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0DAD" w14:textId="77777777" w:rsidR="00BA1912" w:rsidRPr="001575B0" w:rsidRDefault="00BA1912" w:rsidP="001E48D3">
      <w:pPr>
        <w:pStyle w:val="naislab"/>
        <w:spacing w:before="0" w:after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1575B0">
        <w:rPr>
          <w:sz w:val="28"/>
          <w:szCs w:val="28"/>
        </w:rPr>
        <w:t>. pielikums</w:t>
      </w:r>
    </w:p>
    <w:p w14:paraId="745FAC0B" w14:textId="77777777" w:rsidR="00BA1912" w:rsidRPr="001575B0" w:rsidRDefault="00BA1912" w:rsidP="001E48D3">
      <w:pPr>
        <w:pStyle w:val="naislab"/>
        <w:spacing w:before="0" w:after="0"/>
        <w:ind w:firstLine="720"/>
        <w:contextualSpacing/>
        <w:rPr>
          <w:sz w:val="28"/>
          <w:szCs w:val="28"/>
        </w:rPr>
      </w:pPr>
      <w:r w:rsidRPr="001575B0">
        <w:rPr>
          <w:sz w:val="28"/>
          <w:szCs w:val="28"/>
        </w:rPr>
        <w:t>Ministru kabineta</w:t>
      </w:r>
    </w:p>
    <w:p w14:paraId="15580820" w14:textId="705B94A0" w:rsidR="00BA1912" w:rsidRPr="001575B0" w:rsidRDefault="00BA1912" w:rsidP="001E48D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575B0">
        <w:rPr>
          <w:rFonts w:ascii="Times New Roman" w:hAnsi="Times New Roman" w:cs="Times New Roman"/>
          <w:sz w:val="28"/>
          <w:szCs w:val="28"/>
        </w:rPr>
        <w:t>202</w:t>
      </w:r>
      <w:r w:rsidR="00843EDA">
        <w:rPr>
          <w:rFonts w:ascii="Times New Roman" w:hAnsi="Times New Roman" w:cs="Times New Roman"/>
          <w:sz w:val="28"/>
          <w:szCs w:val="28"/>
        </w:rPr>
        <w:t>1</w:t>
      </w:r>
      <w:r w:rsidRPr="001575B0">
        <w:rPr>
          <w:rFonts w:ascii="Times New Roman" w:hAnsi="Times New Roman" w:cs="Times New Roman"/>
          <w:sz w:val="28"/>
          <w:szCs w:val="28"/>
        </w:rPr>
        <w:t>. gada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75B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6D3C7D47" w14:textId="77777777" w:rsidR="00BA1912" w:rsidRPr="001575B0" w:rsidRDefault="00BA1912" w:rsidP="001E48D3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</w:rPr>
      </w:pPr>
      <w:r w:rsidRPr="001575B0">
        <w:rPr>
          <w:rFonts w:ascii="Times New Roman" w:hAnsi="Times New Roman" w:cs="Times New Roman"/>
          <w:sz w:val="28"/>
        </w:rPr>
        <w:t>noteikumiem Nr. </w:t>
      </w:r>
      <w:r>
        <w:rPr>
          <w:rFonts w:ascii="Times New Roman" w:hAnsi="Times New Roman" w:cs="Times New Roman"/>
          <w:sz w:val="28"/>
        </w:rPr>
        <w:t>-</w:t>
      </w:r>
    </w:p>
    <w:p w14:paraId="449EFBD6" w14:textId="77777777" w:rsidR="00BA1912" w:rsidRPr="00427DC3" w:rsidRDefault="00BA1912" w:rsidP="001E48D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2302214" w14:textId="77777777" w:rsidR="00BA1912" w:rsidRPr="00427DC3" w:rsidRDefault="00BA1912" w:rsidP="001E48D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Bezmaksas emisijas kvotu aprēķins un nosacījumi</w:t>
      </w:r>
    </w:p>
    <w:p w14:paraId="23E54787" w14:textId="3A4C4E40" w:rsidR="56C310E6" w:rsidRDefault="56C310E6" w:rsidP="001E48D3">
      <w:pPr>
        <w:spacing w:beforeAutospacing="1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B980ADF" w14:textId="7B4BCB77" w:rsidR="00BA1912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1. Vispārīgie nosacījumi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bezmaksas </w:t>
      </w:r>
      <w:r w:rsidRPr="00427D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emisijas kvotu </w:t>
      </w:r>
      <w:r w:rsidR="00DC08E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daudzuma</w:t>
      </w:r>
      <w:r w:rsidRPr="00427D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noteikšanai</w:t>
      </w:r>
    </w:p>
    <w:p w14:paraId="25C980A7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9F0F4B1" w14:textId="75C51466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1.1. Vispārīgie nosacījumi </w:t>
      </w:r>
      <w:r w:rsidR="006C345D"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bezmaksas </w:t>
      </w: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emisijas kvotu aprēķinam </w:t>
      </w:r>
      <w:proofErr w:type="spellStart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apakšiekārtām</w:t>
      </w:r>
      <w:proofErr w:type="spellEnd"/>
    </w:p>
    <w:p w14:paraId="12D2AABE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4807CC9" w14:textId="52FCCAA5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1. Sākotnējo ikgadējo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bezmaksas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tās darbības līmeņa noteikšanas aprēķina, izmantojot šādu principu:</w:t>
      </w:r>
    </w:p>
    <w:p w14:paraId="1040163F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katras produkta, siltuma un kurināmā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attiecīgo darbības līmeni reizinot ar attiecīgo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vērtību;</w:t>
      </w:r>
    </w:p>
    <w:p w14:paraId="05A23699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katrai centralizētās siltumapgādes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ar centralizēto siltumapgādi saistīto darbības līmeni reizinot ar siltuma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vērtību; </w:t>
      </w:r>
    </w:p>
    <w:p w14:paraId="3CDD13FE" w14:textId="24AC80BF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1.3. katrai procesa emisiju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ar procesu saistīto darbības līmeni reizinot ar 0,9700.</w:t>
      </w:r>
    </w:p>
    <w:p w14:paraId="08D3E440" w14:textId="77777777" w:rsidR="001E48D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8C9F34" w14:textId="43E81BF4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2. Sākotnējam</w:t>
      </w:r>
      <w:r w:rsidR="00CF196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saskaņā ar šo noteikumu 7. punktu veiktajam 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ikgadējam bezmaksas emisijas kvotu aprēķinam</w:t>
      </w:r>
      <w:r w:rsidR="00CF196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piemēro </w:t>
      </w:r>
      <w:r w:rsidR="006C345D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Komisijas 2018. gada 19. decembra deleģētā regula</w:t>
      </w:r>
      <w:r w:rsidR="00CF196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C345D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2019/331, ar ko nosaka Savienības mēroga pārejas noteikumus saskaņotai bezmaksas emisijas kvotu iedalei saskaņā ar Eiropas Parlamenta un Padomes Direktīvas 2003/87/EK 10.a pantu (turpmāk - 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  2019/331</w:t>
      </w:r>
      <w:r w:rsidR="006C345D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 pielikumā norādīto atbilstošā gada oglekļa dioksīda pārvirzes riska koeficientu (CLEF), ņemot vērā šā pielikuma</w:t>
      </w:r>
      <w:r w:rsidR="006C345D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 apakšnodaļā norādītos nosacījumus, ja attiecināms. </w:t>
      </w:r>
    </w:p>
    <w:p w14:paraId="3A853C07" w14:textId="77777777" w:rsidR="001E48D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54262A" w14:textId="15E587FB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Pr="00C43237">
        <w:rPr>
          <w:rFonts w:ascii="Times New Roman" w:eastAsia="Times New Roman" w:hAnsi="Times New Roman" w:cs="Times New Roman"/>
          <w:sz w:val="28"/>
          <w:szCs w:val="28"/>
          <w:lang w:eastAsia="lv-LV"/>
        </w:rPr>
        <w:t>Galīgo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ikgadējo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aprēķina, izmantojot šādus principus:</w:t>
      </w:r>
    </w:p>
    <w:p w14:paraId="2548ED41" w14:textId="4BB5165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3.1. Gados, kad </w:t>
      </w:r>
      <w:r w:rsidR="00387738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visas Eiropas Savienības ikgadējais bezmaksas emisijas</w:t>
      </w:r>
      <w:r w:rsidR="0037402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kvotu k</w:t>
      </w:r>
      <w:r w:rsidR="00387738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opapjoms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9F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mazāks par </w:t>
      </w:r>
      <w:r w:rsidR="003536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iekārtām </w:t>
      </w:r>
      <w:r w:rsidR="002E49F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aprēķināto 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bezmaksas kvotu daudzumu,</w:t>
      </w:r>
      <w:r w:rsidR="00387738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49F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noteikts un 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visām </w:t>
      </w:r>
      <w:r w:rsidR="00CF196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esošo iekārtu bezmaksas emisiju kvotu aprēķinam </w:t>
      </w:r>
      <w:r w:rsidR="0037402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piemērots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starpsektoru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korekcijas koeficients (SSKK</w:t>
      </w:r>
      <w:r w:rsidR="0037402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E49F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4025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regulas 2019/331 14. panta 6. punktu</w:t>
      </w:r>
    </w:p>
    <w:p w14:paraId="79C2A1D7" w14:textId="296A31EA" w:rsidR="00BA1912" w:rsidRPr="007C55E1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 </w:t>
      </w:r>
      <w:r w:rsidR="007C55E1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regulas 2019/331 16. panta 8. punktu,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lineārais samazinājuma koeficients (turpmāk – LSK) sākotnēji noteiktajam </w:t>
      </w:r>
      <w:r w:rsidR="006C345D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550C3E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kvotu daudzumam tiek piemērots:</w:t>
      </w:r>
    </w:p>
    <w:p w14:paraId="3AC79D08" w14:textId="4FB87396" w:rsidR="00BA1912" w:rsidRPr="007C55E1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3.2.1. </w:t>
      </w:r>
      <w:r w:rsidR="00F15409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4141C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ugstas efektivitātes koģenerācijas iekārt</w:t>
      </w:r>
      <w:r w:rsidR="003A7919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as, </w:t>
      </w:r>
      <w:r w:rsidR="00F15409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var pretendēt uz bezmaksas emisijas kvotu piešķiršanu, </w:t>
      </w:r>
      <w:r w:rsidR="003A7919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siltumenerģija tiek izmantota </w:t>
      </w:r>
      <w:r w:rsidR="003A7919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centralizētā siltumapgādē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, ja attiecīgajā gadā netiek piemērots  šā pielikuma 3.1. punktā minētais koeficients</w:t>
      </w:r>
      <w:r w:rsidR="002E4928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EF3151B" w14:textId="036B445A" w:rsidR="002E4928" w:rsidRP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3.2.1.1. 2021.gadam – 0,8562;</w:t>
      </w:r>
    </w:p>
    <w:p w14:paraId="4E7DB46E" w14:textId="0A8D530E" w:rsidR="002E4928" w:rsidRP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3.2.1.2. 2022.gadam – 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0,8342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77FB11C" w14:textId="6DF4BA33" w:rsidR="002E4928" w:rsidRP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3.2.1.3. 20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.gadam – 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0,8122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8BA4E26" w14:textId="1B14D9C4" w:rsidR="002E4928" w:rsidRP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3.2.1.4. 20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.gadam – 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0,7902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54CC83" w14:textId="60624331" w:rsidR="002E4928" w:rsidRP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3.2.1.5. 20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.gadam – 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0,7682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636AD15" w14:textId="796736B1" w:rsidR="002E4928" w:rsidRP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3.2.1.6. 20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.gadam – 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0,7462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9AE342" w14:textId="7BA95443" w:rsidR="002E4928" w:rsidRP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3.2.1.7. 20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.gadam – 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0,7242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0D32A4" w14:textId="40BFB7F9" w:rsidR="002E4928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3.2.1.8. 20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.gadam – </w:t>
      </w:r>
      <w:r w:rsidR="006B71E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0,7022;</w:t>
      </w:r>
    </w:p>
    <w:p w14:paraId="1601A500" w14:textId="7E5A684A" w:rsidR="006B71EA" w:rsidRDefault="006B71EA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</w:t>
      </w:r>
      <w:r w:rsidR="0016153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. 202</w:t>
      </w:r>
      <w:r w:rsidR="0016153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.gadam – </w:t>
      </w:r>
      <w:r w:rsidR="0016153A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0,6802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5FD5DE" w14:textId="553F49E5" w:rsidR="0016153A" w:rsidRPr="002E4928" w:rsidRDefault="0016153A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3.2.1.10. 2029.gadam – 0,6582</w:t>
      </w:r>
      <w:r w:rsidR="00D33011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3E6B605" w14:textId="3A439FD6" w:rsidR="0038184E" w:rsidRDefault="002E4928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3.3. Jaunām iekārtas, sākot ar katra bezmaksas emisijas kvotu piešķiršanas perioda pirmo gadu kā norādīts šā pielikuma 8. punktā.</w:t>
      </w:r>
    </w:p>
    <w:p w14:paraId="4F579A0D" w14:textId="77777777" w:rsidR="0038184E" w:rsidRPr="00FF08F2" w:rsidRDefault="0038184E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BDEF26" w14:textId="245CB0F6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1.2. Oglekļa dioksīda pārvirzes riska nosacījumi </w:t>
      </w:r>
      <w:r w:rsidR="00BF0687"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bezmaksas </w:t>
      </w: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kvotu aprēķinā</w:t>
      </w:r>
    </w:p>
    <w:p w14:paraId="12FD8DBC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35BDFEA" w14:textId="77777777" w:rsidR="001E48D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Ja, pamatojoties uz saimniecisko darbību statistiskās klasifikācijas Eiropas Kopienā (NACE) un rūpnieciskās produkcijas klasifikācijas (PRODCOM) kodiem, procesi kādā no siltuma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kurināmā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procesa emisiju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notiek ievērojamam oglekļa dioksīda pārvirzes riskam pakļautā nozarē vai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apakšnozarē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ir noteiktas Komisijas 2019. gada 15. februāra Deleģētajā lēmumā </w:t>
      </w:r>
      <w:hyperlink r:id="rId10" w:tgtFrame="_blank" w:history="1">
        <w:r w:rsidRPr="00427DC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2019/708</w:t>
        </w:r>
      </w:hyperlink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, ar ko papildina Eiropas Parlamenta un Padomes Direktīvu </w:t>
      </w:r>
      <w:hyperlink r:id="rId11" w:tgtFrame="_blank" w:history="1">
        <w:r w:rsidRPr="00427DC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2003/87/EK</w:t>
        </w:r>
      </w:hyperlink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, 2021.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2030. gada periodam, nosakot sarakstu ar nozarēm un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apakšnozarēm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kuras uzskatāmas par pakļautām oglekļa emisiju pārvirzes riskam (turpmāk – oglekļa dioksīda pārvirzes riskam pakļautā nozare), sākotnējā </w:t>
      </w:r>
      <w:r w:rsidR="00BF06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emisijas kvotu aprēķinā 2021.–2030. gadam izmanto koeficientu 1, ņemot vērā šādus nosacījumus:</w:t>
      </w:r>
    </w:p>
    <w:p w14:paraId="7A90E92F" w14:textId="77777777" w:rsidR="001E48D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 ja vismaz 95 % no siltuma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kurināmā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procesa emisijas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darbības līmeņa notiek oglekļa dioksīda pārvirzes riskam pakļautā nozarē, visu </w:t>
      </w:r>
      <w:proofErr w:type="spellStart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apakšiekārtu</w:t>
      </w:r>
      <w:proofErr w:type="spellEnd"/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kopumā uzskata par pakļautu ievērojamam oglekļa dioksīda pārvirzes riskam;</w:t>
      </w:r>
    </w:p>
    <w:p w14:paraId="0CF87CFC" w14:textId="77777777" w:rsidR="001E48D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4.2. ja vismaz 95 % no siltuma </w:t>
      </w:r>
      <w:proofErr w:type="spellStart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kurināmā </w:t>
      </w:r>
      <w:proofErr w:type="spellStart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procesa emisijas </w:t>
      </w:r>
      <w:proofErr w:type="spellStart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darbības līmeņa nenotiek oglekļa dioksīda pārvirzes riskam pakļautā nozarē, uzskata, ka visa </w:t>
      </w:r>
      <w:proofErr w:type="spellStart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</w:t>
      </w:r>
      <w:proofErr w:type="spellEnd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kopumā nav pakļauta ievērojamam oglekļa dioksīda pārvirzes riskam.</w:t>
      </w:r>
    </w:p>
    <w:p w14:paraId="6C775E57" w14:textId="515EFC75" w:rsidR="001E48D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4.3. Ja procesi kādā no </w:t>
      </w:r>
      <w:proofErr w:type="spellStart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nenotiek oglekļa dioksīda pārvirzes riskam pakļautā nozarē, (izņemot attiecībā uz centralizēto siltumapgādi), sākotnējā </w:t>
      </w:r>
      <w:r w:rsidR="00BF0687"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emisijas kvotu aprēķinā izmanto regulas  2019/331 V pielikumā norādīto atbilstošā gada oglekļa dioksīda pārvirzes riska koeficientu.</w:t>
      </w:r>
    </w:p>
    <w:p w14:paraId="4407FC5B" w14:textId="77777777" w:rsidR="001E48D3" w:rsidRPr="001E48D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B63ED6" w14:textId="6A30AA0B" w:rsidR="00BA1912" w:rsidRDefault="00BA1912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27DC3">
        <w:rPr>
          <w:sz w:val="28"/>
          <w:szCs w:val="28"/>
        </w:rPr>
        <w:lastRenderedPageBreak/>
        <w:t>5. Laika periodā no 2021.</w:t>
      </w:r>
      <w:r>
        <w:rPr>
          <w:sz w:val="28"/>
          <w:szCs w:val="28"/>
        </w:rPr>
        <w:t xml:space="preserve"> līdz</w:t>
      </w:r>
      <w:r w:rsidRPr="00427DC3">
        <w:rPr>
          <w:sz w:val="28"/>
          <w:szCs w:val="28"/>
        </w:rPr>
        <w:t xml:space="preserve"> 2030. gadam centralizētās siltumapgādes </w:t>
      </w:r>
      <w:proofErr w:type="spellStart"/>
      <w:r w:rsidRPr="00427DC3">
        <w:rPr>
          <w:sz w:val="28"/>
          <w:szCs w:val="28"/>
        </w:rPr>
        <w:t>apakšiekārtām</w:t>
      </w:r>
      <w:proofErr w:type="spellEnd"/>
      <w:r w:rsidRPr="00427DC3">
        <w:rPr>
          <w:sz w:val="28"/>
          <w:szCs w:val="28"/>
        </w:rPr>
        <w:t xml:space="preserve"> piemērojamais oglekļa dioksīda pārvirzes koeficients ir 0,3.</w:t>
      </w:r>
    </w:p>
    <w:p w14:paraId="67F85816" w14:textId="77777777" w:rsidR="001E48D3" w:rsidRPr="001E48D3" w:rsidRDefault="001E48D3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14:paraId="39DD622E" w14:textId="3D583A01" w:rsidR="56C310E6" w:rsidRDefault="00BA1912" w:rsidP="001E48D3">
      <w:pPr>
        <w:pStyle w:val="tvhtml"/>
        <w:shd w:val="clear" w:color="auto" w:fill="FFFFFF"/>
        <w:ind w:firstLine="720"/>
        <w:contextualSpacing/>
        <w:jc w:val="center"/>
        <w:rPr>
          <w:b/>
          <w:bCs/>
          <w:sz w:val="28"/>
          <w:szCs w:val="28"/>
        </w:rPr>
      </w:pPr>
      <w:r w:rsidRPr="56C310E6">
        <w:rPr>
          <w:b/>
          <w:bCs/>
          <w:sz w:val="28"/>
          <w:szCs w:val="28"/>
        </w:rPr>
        <w:t xml:space="preserve">1.3. </w:t>
      </w:r>
      <w:r w:rsidR="00BF0687" w:rsidRPr="56C310E6">
        <w:rPr>
          <w:b/>
          <w:bCs/>
          <w:sz w:val="28"/>
          <w:szCs w:val="28"/>
        </w:rPr>
        <w:t>Bezmaksas e</w:t>
      </w:r>
      <w:r w:rsidRPr="56C310E6">
        <w:rPr>
          <w:b/>
          <w:bCs/>
          <w:sz w:val="28"/>
          <w:szCs w:val="28"/>
        </w:rPr>
        <w:t>misijas kvotu aprēķins jaunai iekārtai</w:t>
      </w:r>
    </w:p>
    <w:p w14:paraId="7CB6156C" w14:textId="77777777" w:rsidR="001E48D3" w:rsidRPr="0038184E" w:rsidRDefault="001E48D3" w:rsidP="001E48D3">
      <w:pPr>
        <w:pStyle w:val="tvhtml"/>
        <w:shd w:val="clear" w:color="auto" w:fill="FFFFFF"/>
        <w:ind w:firstLine="720"/>
        <w:contextualSpacing/>
        <w:jc w:val="center"/>
        <w:rPr>
          <w:b/>
          <w:sz w:val="28"/>
          <w:szCs w:val="28"/>
        </w:rPr>
      </w:pPr>
    </w:p>
    <w:p w14:paraId="306DCBCD" w14:textId="7060C100" w:rsidR="00BA1912" w:rsidRDefault="00BA1912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27DC3">
        <w:rPr>
          <w:sz w:val="28"/>
          <w:szCs w:val="28"/>
        </w:rPr>
        <w:t xml:space="preserve">6. Katras jaunas iekārtas </w:t>
      </w:r>
      <w:proofErr w:type="spellStart"/>
      <w:r w:rsidRPr="00427DC3">
        <w:rPr>
          <w:sz w:val="28"/>
          <w:szCs w:val="28"/>
        </w:rPr>
        <w:t>apakšiekārtas</w:t>
      </w:r>
      <w:proofErr w:type="spellEnd"/>
      <w:r w:rsidRPr="00427DC3">
        <w:rPr>
          <w:sz w:val="28"/>
          <w:szCs w:val="28"/>
        </w:rPr>
        <w:t xml:space="preserve"> </w:t>
      </w:r>
      <w:r w:rsidR="00BF0687">
        <w:rPr>
          <w:sz w:val="28"/>
          <w:szCs w:val="28"/>
        </w:rPr>
        <w:t xml:space="preserve">bezmaksas </w:t>
      </w:r>
      <w:r w:rsidRPr="00427DC3">
        <w:rPr>
          <w:sz w:val="28"/>
          <w:szCs w:val="28"/>
        </w:rPr>
        <w:t xml:space="preserve">emisijas kvotu </w:t>
      </w:r>
      <w:r w:rsidR="00DC08EC">
        <w:rPr>
          <w:sz w:val="28"/>
          <w:szCs w:val="28"/>
        </w:rPr>
        <w:t>daudzumu</w:t>
      </w:r>
      <w:r w:rsidRPr="00427DC3">
        <w:rPr>
          <w:sz w:val="28"/>
          <w:szCs w:val="28"/>
        </w:rPr>
        <w:t xml:space="preserve"> pēc iekārtas normālas darbības uzsākšanas aprēķina </w:t>
      </w:r>
      <w:proofErr w:type="spellStart"/>
      <w:r w:rsidRPr="00427DC3">
        <w:rPr>
          <w:sz w:val="28"/>
          <w:szCs w:val="28"/>
        </w:rPr>
        <w:t>apakšiekārtas</w:t>
      </w:r>
      <w:proofErr w:type="spellEnd"/>
      <w:r w:rsidRPr="00427DC3">
        <w:rPr>
          <w:sz w:val="28"/>
          <w:szCs w:val="28"/>
        </w:rPr>
        <w:t xml:space="preserve"> saskaņā ar šo noteikumu 14. vai 15. punkt</w:t>
      </w:r>
      <w:r>
        <w:rPr>
          <w:sz w:val="28"/>
          <w:szCs w:val="28"/>
        </w:rPr>
        <w:t>ā</w:t>
      </w:r>
      <w:r w:rsidRPr="00427DC3">
        <w:rPr>
          <w:sz w:val="28"/>
          <w:szCs w:val="28"/>
        </w:rPr>
        <w:t xml:space="preserve"> noteikto darbības līmeni reizinot ar attiecīgo </w:t>
      </w:r>
      <w:proofErr w:type="spellStart"/>
      <w:r w:rsidRPr="00427DC3">
        <w:rPr>
          <w:sz w:val="28"/>
          <w:szCs w:val="28"/>
        </w:rPr>
        <w:t>līmeņatzīmi</w:t>
      </w:r>
      <w:proofErr w:type="spellEnd"/>
      <w:r w:rsidRPr="00427DC3">
        <w:rPr>
          <w:sz w:val="28"/>
          <w:szCs w:val="28"/>
        </w:rPr>
        <w:t>, kas noteikta regulas 2019/331 I vai II pielikumā, un reizinot ar tās pašas regulas V pielikumā atbilstošā gada minēto oglekļa dioksīda pārvirzes riska koeficientu atbilstoši šādai formulai:</w:t>
      </w:r>
    </w:p>
    <w:p w14:paraId="4AD90513" w14:textId="77777777" w:rsidR="001E48D3" w:rsidRPr="00427DC3" w:rsidRDefault="001E48D3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14:paraId="7F3042D9" w14:textId="40CBFBA9" w:rsidR="00BA1912" w:rsidRPr="00427DC3" w:rsidRDefault="001D7F50" w:rsidP="001E48D3">
      <w:pPr>
        <w:pStyle w:val="tvhtml"/>
        <w:shd w:val="clear" w:color="auto" w:fill="FFFFFF"/>
        <w:ind w:firstLine="720"/>
        <w:contextualSpacing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apakšiek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jaun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× LA ×CLEF (y) </m:t>
          </m:r>
        </m:oMath>
      </m:oMathPara>
    </w:p>
    <w:p w14:paraId="7E198DC7" w14:textId="2CF101FF" w:rsidR="001E48D3" w:rsidRPr="00427DC3" w:rsidRDefault="001E48D3" w:rsidP="001E48D3">
      <w:pPr>
        <w:pStyle w:val="tvhtml"/>
        <w:shd w:val="clear" w:color="auto" w:fill="FFFFFF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k</w:t>
      </w:r>
      <w:r w:rsidR="00BA1912" w:rsidRPr="00427DC3">
        <w:rPr>
          <w:sz w:val="28"/>
          <w:szCs w:val="28"/>
        </w:rPr>
        <w:t>ur</w:t>
      </w:r>
    </w:p>
    <w:p w14:paraId="76669FDC" w14:textId="465E823B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BA1912" w:rsidRPr="00427DC3">
        <w:rPr>
          <w:sz w:val="28"/>
          <w:szCs w:val="28"/>
        </w:rPr>
        <w:t xml:space="preserve">– apakšiekārtas i sākotnējais </w:t>
      </w:r>
      <w:r w:rsidR="00BF0687">
        <w:rPr>
          <w:sz w:val="28"/>
          <w:szCs w:val="28"/>
        </w:rPr>
        <w:t xml:space="preserve">bezmaksas </w:t>
      </w:r>
      <w:r w:rsidR="00BA1912" w:rsidRPr="00427DC3">
        <w:rPr>
          <w:sz w:val="28"/>
          <w:szCs w:val="28"/>
        </w:rPr>
        <w:t xml:space="preserve">emisijas kvotu </w:t>
      </w:r>
      <w:r w:rsidR="00DC08EC">
        <w:rPr>
          <w:sz w:val="28"/>
          <w:szCs w:val="28"/>
        </w:rPr>
        <w:t>daudzums</w:t>
      </w:r>
      <w:r w:rsidR="00BA1912" w:rsidRPr="00427DC3">
        <w:rPr>
          <w:sz w:val="28"/>
          <w:szCs w:val="28"/>
        </w:rPr>
        <w:t>;</w:t>
      </w:r>
    </w:p>
    <w:p w14:paraId="5A0FBAF9" w14:textId="61135037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jaun </m:t>
            </m:r>
          </m:sub>
        </m:sSub>
      </m:oMath>
      <w:r w:rsidR="00BA1912" w:rsidRPr="00427DC3">
        <w:rPr>
          <w:sz w:val="28"/>
          <w:szCs w:val="28"/>
        </w:rPr>
        <w:t xml:space="preserve"> – jaunas apakšiekārtas saskaņā </w:t>
      </w:r>
      <w:r w:rsidR="00BA1912" w:rsidRPr="0038184E">
        <w:rPr>
          <w:sz w:val="28"/>
          <w:szCs w:val="28"/>
        </w:rPr>
        <w:t xml:space="preserve">ar šo noteikumu </w:t>
      </w:r>
      <w:r w:rsidR="00D33011" w:rsidRPr="0038184E">
        <w:rPr>
          <w:sz w:val="28"/>
          <w:szCs w:val="28"/>
        </w:rPr>
        <w:t>10</w:t>
      </w:r>
      <w:r w:rsidR="00BA1912" w:rsidRPr="0038184E">
        <w:rPr>
          <w:sz w:val="28"/>
          <w:szCs w:val="28"/>
        </w:rPr>
        <w:t xml:space="preserve">. vai </w:t>
      </w:r>
      <w:r w:rsidR="00D33011" w:rsidRPr="0038184E">
        <w:rPr>
          <w:sz w:val="28"/>
          <w:szCs w:val="28"/>
        </w:rPr>
        <w:t>11</w:t>
      </w:r>
      <w:r w:rsidR="00BA1912" w:rsidRPr="0038184E">
        <w:rPr>
          <w:sz w:val="28"/>
          <w:szCs w:val="28"/>
        </w:rPr>
        <w:t>.</w:t>
      </w:r>
      <w:r w:rsidR="00BA1912" w:rsidRPr="00427DC3">
        <w:rPr>
          <w:sz w:val="28"/>
          <w:szCs w:val="28"/>
        </w:rPr>
        <w:t> punktu noteiktais darbības līmenis;</w:t>
      </w:r>
    </w:p>
    <w:p w14:paraId="2884CCA2" w14:textId="77777777" w:rsidR="00BA1912" w:rsidRPr="00427DC3" w:rsidRDefault="00BA1912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27DC3">
        <w:rPr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</w:rPr>
          <m:t>LA</m:t>
        </m:r>
      </m:oMath>
      <w:r w:rsidRPr="00427DC3">
        <w:rPr>
          <w:sz w:val="28"/>
          <w:szCs w:val="28"/>
        </w:rPr>
        <w:t xml:space="preserve"> – noteikumu regulas 2019/331 I vai II pielikumos minētā uz konkrēto apakšiekārtu attiecināmā līmeņatzīme;</w:t>
      </w:r>
    </w:p>
    <w:p w14:paraId="41D84550" w14:textId="71A40BD5" w:rsidR="56C310E6" w:rsidRDefault="00BA1912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CLEF (y)</m:t>
        </m:r>
      </m:oMath>
      <w:r w:rsidRPr="00427DC3">
        <w:rPr>
          <w:sz w:val="28"/>
          <w:szCs w:val="28"/>
        </w:rPr>
        <w:t xml:space="preserve"> – oglekļa dioksīda pārvirzes riska koeficients gadā y, kad </w:t>
      </w:r>
      <w:proofErr w:type="spellStart"/>
      <w:r w:rsidRPr="00427DC3">
        <w:rPr>
          <w:sz w:val="28"/>
          <w:szCs w:val="28"/>
        </w:rPr>
        <w:t>apakšiekārta</w:t>
      </w:r>
      <w:proofErr w:type="spellEnd"/>
      <w:r w:rsidRPr="00427DC3">
        <w:rPr>
          <w:sz w:val="28"/>
          <w:szCs w:val="28"/>
        </w:rPr>
        <w:t xml:space="preserve"> uzsāka normālu darbību.</w:t>
      </w:r>
    </w:p>
    <w:p w14:paraId="3D66EA6F" w14:textId="77777777" w:rsidR="001E48D3" w:rsidRDefault="001E48D3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14:paraId="05BAACB7" w14:textId="7C1A86D8" w:rsidR="00BA1912" w:rsidRPr="00427DC3" w:rsidRDefault="00BA1912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27DC3">
        <w:rPr>
          <w:sz w:val="28"/>
          <w:szCs w:val="28"/>
        </w:rPr>
        <w:t xml:space="preserve">7. Jaunās iekārtas galīgo </w:t>
      </w:r>
      <w:r w:rsidR="00BF0687">
        <w:rPr>
          <w:sz w:val="28"/>
          <w:szCs w:val="28"/>
        </w:rPr>
        <w:t xml:space="preserve">bezmaksas </w:t>
      </w:r>
      <w:r w:rsidRPr="00427DC3">
        <w:rPr>
          <w:sz w:val="28"/>
          <w:szCs w:val="28"/>
        </w:rPr>
        <w:t xml:space="preserve">emisijas kvotu </w:t>
      </w:r>
      <w:r w:rsidR="00DC08EC">
        <w:rPr>
          <w:sz w:val="28"/>
          <w:szCs w:val="28"/>
        </w:rPr>
        <w:t>daudzumu</w:t>
      </w:r>
      <w:r w:rsidRPr="00427DC3">
        <w:rPr>
          <w:sz w:val="28"/>
          <w:szCs w:val="28"/>
        </w:rPr>
        <w:t xml:space="preserve"> pēc iekārtas normālas darbības uzsākšanas aprēķina, summējot katras jaunās iekārtas </w:t>
      </w:r>
      <w:proofErr w:type="spellStart"/>
      <w:r w:rsidRPr="00427DC3">
        <w:rPr>
          <w:sz w:val="28"/>
          <w:szCs w:val="28"/>
        </w:rPr>
        <w:t>apakšiekārtas</w:t>
      </w:r>
      <w:proofErr w:type="spellEnd"/>
      <w:r w:rsidRPr="00427DC3">
        <w:rPr>
          <w:sz w:val="28"/>
          <w:szCs w:val="28"/>
        </w:rPr>
        <w:t xml:space="preserve"> sākotnējo </w:t>
      </w:r>
      <w:r w:rsidR="00BF0687">
        <w:rPr>
          <w:sz w:val="28"/>
          <w:szCs w:val="28"/>
        </w:rPr>
        <w:t xml:space="preserve">bezmaksas </w:t>
      </w:r>
      <w:r w:rsidRPr="00427DC3">
        <w:rPr>
          <w:sz w:val="28"/>
          <w:szCs w:val="28"/>
        </w:rPr>
        <w:t xml:space="preserve">emisijas kvotu </w:t>
      </w:r>
      <w:r w:rsidR="00DC08EC">
        <w:rPr>
          <w:sz w:val="28"/>
          <w:szCs w:val="28"/>
        </w:rPr>
        <w:t>daudzumu</w:t>
      </w:r>
      <w:r w:rsidRPr="00427DC3">
        <w:rPr>
          <w:sz w:val="28"/>
          <w:szCs w:val="28"/>
        </w:rPr>
        <w:t xml:space="preserve"> atbilstoši šādai formulai:</w:t>
      </w:r>
    </w:p>
    <w:p w14:paraId="65809549" w14:textId="77777777" w:rsidR="00BA1912" w:rsidRPr="00427DC3" w:rsidRDefault="001D7F50" w:rsidP="001E48D3">
      <w:pPr>
        <w:pStyle w:val="tvhtml"/>
        <w:shd w:val="clear" w:color="auto" w:fill="FFFFFF"/>
        <w:ind w:firstLine="720"/>
        <w:contextualSpacing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iek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apakšiek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p>
              </m:sSubSup>
            </m:e>
          </m:nary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>×LSK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(</m:t>
          </m:r>
          <m:r>
            <w:rPr>
              <w:rFonts w:ascii="Cambria Math" w:hAnsi="Cambria Math"/>
              <w:sz w:val="28"/>
              <w:szCs w:val="28"/>
            </w:rPr>
            <m:t>y)</m:t>
          </m:r>
        </m:oMath>
      </m:oMathPara>
    </w:p>
    <w:p w14:paraId="10EC0330" w14:textId="77777777" w:rsidR="00BA1912" w:rsidRPr="00427DC3" w:rsidRDefault="00BA1912" w:rsidP="001E48D3">
      <w:pPr>
        <w:pStyle w:val="tvhtml"/>
        <w:shd w:val="clear" w:color="auto" w:fill="FFFFFF"/>
        <w:ind w:firstLine="720"/>
        <w:contextualSpacing/>
        <w:rPr>
          <w:sz w:val="28"/>
          <w:szCs w:val="28"/>
        </w:rPr>
      </w:pPr>
      <w:r w:rsidRPr="00427DC3">
        <w:rPr>
          <w:sz w:val="28"/>
          <w:szCs w:val="28"/>
        </w:rPr>
        <w:t>kur</w:t>
      </w:r>
    </w:p>
    <w:p w14:paraId="7C72AA24" w14:textId="77777777" w:rsidR="001E48D3" w:rsidRDefault="00BA1912" w:rsidP="001E48D3">
      <w:pPr>
        <w:pStyle w:val="tvhtml"/>
        <w:shd w:val="clear" w:color="auto" w:fill="FFFFFF"/>
        <w:ind w:firstLine="720"/>
        <w:contextualSpacing/>
        <w:rPr>
          <w:sz w:val="28"/>
          <w:szCs w:val="28"/>
        </w:rPr>
      </w:pPr>
      <w:r w:rsidRPr="00427DC3">
        <w:rPr>
          <w:sz w:val="28"/>
          <w:szCs w:val="28"/>
        </w:rPr>
        <w:t xml:space="preserve">y – gads, kurā </w:t>
      </w:r>
      <w:proofErr w:type="spellStart"/>
      <w:r w:rsidRPr="00427DC3">
        <w:rPr>
          <w:sz w:val="28"/>
          <w:szCs w:val="28"/>
        </w:rPr>
        <w:t>apakšiekārta</w:t>
      </w:r>
      <w:proofErr w:type="spellEnd"/>
      <w:r w:rsidRPr="00427DC3">
        <w:rPr>
          <w:sz w:val="28"/>
          <w:szCs w:val="28"/>
        </w:rPr>
        <w:t xml:space="preserve"> uzsākusi savu darbību perioda no  2021.–2025. gadam vai  2026.–2030. gadam; </w:t>
      </w:r>
    </w:p>
    <w:p w14:paraId="2CEECD57" w14:textId="7B2CB041" w:rsidR="00BA1912" w:rsidRPr="00427DC3" w:rsidRDefault="00BA1912" w:rsidP="001E48D3">
      <w:pPr>
        <w:pStyle w:val="tvhtml"/>
        <w:shd w:val="clear" w:color="auto" w:fill="FFFFFF"/>
        <w:ind w:firstLine="72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LSK (y)</m:t>
        </m:r>
      </m:oMath>
      <w:r w:rsidRPr="00427DC3">
        <w:rPr>
          <w:sz w:val="28"/>
          <w:szCs w:val="28"/>
        </w:rPr>
        <w:t xml:space="preserve"> – lineārais samazinājuma koeficients gadā y, atbilstoši šā pielikuma </w:t>
      </w:r>
      <w:r w:rsidRPr="0038184E">
        <w:rPr>
          <w:sz w:val="28"/>
          <w:szCs w:val="28"/>
        </w:rPr>
        <w:t>8. punktam;</w:t>
      </w:r>
    </w:p>
    <w:p w14:paraId="06467AFC" w14:textId="19A4AA8C" w:rsidR="56C310E6" w:rsidRDefault="001D7F50" w:rsidP="001E48D3">
      <w:pPr>
        <w:pStyle w:val="tvhtml"/>
        <w:shd w:val="clear" w:color="auto" w:fill="FFFFFF"/>
        <w:ind w:firstLine="720"/>
        <w:contextualSpacing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BA1912" w:rsidRPr="00427DC3">
        <w:rPr>
          <w:sz w:val="28"/>
          <w:szCs w:val="28"/>
        </w:rPr>
        <w:t xml:space="preserve">– apakšiekārtas i sākotnējais </w:t>
      </w:r>
      <w:r w:rsidR="00BF0687">
        <w:rPr>
          <w:sz w:val="28"/>
          <w:szCs w:val="28"/>
        </w:rPr>
        <w:t xml:space="preserve">bezmaksas </w:t>
      </w:r>
      <w:r w:rsidR="00BA1912" w:rsidRPr="00427DC3">
        <w:rPr>
          <w:sz w:val="28"/>
          <w:szCs w:val="28"/>
        </w:rPr>
        <w:t xml:space="preserve">emisijas kvotu </w:t>
      </w:r>
      <w:r w:rsidR="00DC08EC">
        <w:rPr>
          <w:sz w:val="28"/>
          <w:szCs w:val="28"/>
        </w:rPr>
        <w:t>daudzums</w:t>
      </w:r>
      <w:r w:rsidR="00BA1912" w:rsidRPr="00427DC3">
        <w:rPr>
          <w:sz w:val="28"/>
          <w:szCs w:val="28"/>
        </w:rPr>
        <w:t>.</w:t>
      </w:r>
    </w:p>
    <w:p w14:paraId="51ED0026" w14:textId="414F152B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 Jaunām iekārtām galīgā piešķiramā bezmaksas emisijas kvotu daudzuma noteikšanai, sākot ar katra </w:t>
      </w:r>
      <w:proofErr w:type="spellStart"/>
      <w:r w:rsidR="244FAF06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emiaijas</w:t>
      </w:r>
      <w:proofErr w:type="spellEnd"/>
      <w:r w:rsidR="244FAF06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kvotu piešķiršanas perioda pirmo gadu, saskaņā ar regulas 2019/331 18. panta </w:t>
      </w:r>
      <w:r w:rsidR="00E947BE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8F4B2C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piemēro lineāro samazinājuma koeficientu: </w:t>
      </w:r>
    </w:p>
    <w:p w14:paraId="0C2B856E" w14:textId="4E37FC36" w:rsidR="00BA1912" w:rsidRPr="00427DC3" w:rsidRDefault="1F34A1AF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8.1.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2021.gadam – 1,000;</w:t>
      </w:r>
    </w:p>
    <w:p w14:paraId="7CAA7558" w14:textId="41228680" w:rsidR="00BA1912" w:rsidRPr="00427DC3" w:rsidRDefault="58CED22C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8.2.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2022.gadam – 0,9780;</w:t>
      </w:r>
    </w:p>
    <w:p w14:paraId="3264AD80" w14:textId="607EF939" w:rsidR="00BA1912" w:rsidRPr="00427DC3" w:rsidRDefault="22560E41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8.3.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2023.gadam – 0,9560;</w:t>
      </w:r>
    </w:p>
    <w:p w14:paraId="5B60DD24" w14:textId="0E1E6ADF" w:rsidR="00BA1912" w:rsidRPr="00427DC3" w:rsidRDefault="48268438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8.4.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2024.gadam – 0,9340;</w:t>
      </w:r>
    </w:p>
    <w:p w14:paraId="2E109F85" w14:textId="04295870" w:rsidR="00BA1912" w:rsidRPr="00427DC3" w:rsidRDefault="4B6D89F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8.5.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2025.gadam – 0,9120;</w:t>
      </w:r>
    </w:p>
    <w:p w14:paraId="4EC48B4E" w14:textId="38D506CB" w:rsidR="00BA1912" w:rsidRPr="00427DC3" w:rsidRDefault="287D1191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8.6.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2026.gadam – 1,000</w:t>
      </w:r>
      <w:r w:rsidR="001D7F50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210EF1" w14:textId="733379AC" w:rsidR="00BA1912" w:rsidRPr="00427DC3" w:rsidRDefault="627849C4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8.7.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2027.gadam – 0,9780;</w:t>
      </w:r>
    </w:p>
    <w:p w14:paraId="40472B10" w14:textId="550018CE" w:rsidR="00BA1912" w:rsidRPr="00427DC3" w:rsidRDefault="216FE841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8.8.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2028.gadam – 0,9560;</w:t>
      </w:r>
    </w:p>
    <w:p w14:paraId="05C3A0F4" w14:textId="77777777" w:rsidR="001E48D3" w:rsidRDefault="57CF5C2D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8.9.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2029. gadam – 0,9340;</w:t>
      </w:r>
    </w:p>
    <w:p w14:paraId="314BD841" w14:textId="19372C6E" w:rsidR="008F4B2C" w:rsidRDefault="5FCCD752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8.10. </w:t>
      </w:r>
      <w:r w:rsidR="00FF08F2" w:rsidRPr="001E48D3">
        <w:rPr>
          <w:rFonts w:ascii="Times New Roman" w:eastAsia="Times New Roman" w:hAnsi="Times New Roman" w:cs="Times New Roman"/>
          <w:sz w:val="28"/>
          <w:szCs w:val="28"/>
          <w:lang w:eastAsia="lv-LV"/>
        </w:rPr>
        <w:t>2030.gadam  - 0,9120.</w:t>
      </w:r>
    </w:p>
    <w:p w14:paraId="74B04390" w14:textId="77777777" w:rsidR="001E48D3" w:rsidRPr="001E48D3" w:rsidRDefault="001E48D3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069F76" w14:textId="291CCFB8" w:rsidR="00BA1912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2. Sākotnējā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bezmaksas </w:t>
      </w:r>
      <w:r w:rsidRPr="00427D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emisijas kvotu </w:t>
      </w:r>
      <w:r w:rsidR="00DC08E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daudzuma</w:t>
      </w:r>
      <w:r w:rsidRPr="00427D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noteikšana atsevišķu procesu </w:t>
      </w:r>
      <w:proofErr w:type="spellStart"/>
      <w:r w:rsidRPr="00427D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apakšiekārtām</w:t>
      </w:r>
      <w:proofErr w:type="spellEnd"/>
    </w:p>
    <w:p w14:paraId="5159889B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A246500" w14:textId="72DA7613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2.1. Celulozes un celulozes produktu ražošanas </w:t>
      </w:r>
      <w:proofErr w:type="spellStart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apakšiekārta</w:t>
      </w:r>
      <w:proofErr w:type="spellEnd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41F0B9F4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957395D" w14:textId="4B1A93A4" w:rsidR="56C310E6" w:rsidRDefault="00D33011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iekārtā ietilpst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ražo celulozi (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īsšķiedras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sulfātceluloze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garšķiedras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sulfātceluloze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termomehāniskā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celuloze un mehāniskā celuloze,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sulfītceluloze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cita celuloze, kas nav iekļauta produkta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līmeņatzīmju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sarakstā) un eksportē izmērāmu siltum</w:t>
      </w:r>
      <w:r w:rsidR="00D967BE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enerģiju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citām tehniski saistītām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sākotnējā 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daudzumā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neierobežojot 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sākotnējo ikgadējo daudzumu, kas piešķirts attiecīgās iekārtas citām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ņem vērā tikai sākotnējo ikgadējo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piešķirts tādā mērā, kādā celulozes produkti, kas ražoti šajā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, ir laisti tirgū un nav pārstrādāti papīrā tajā pašā iekārtā vai citās tehniski saistītās iekārtās.</w:t>
      </w:r>
    </w:p>
    <w:p w14:paraId="559ED7CA" w14:textId="77777777" w:rsidR="001E48D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6C0A0C" w14:textId="49C938B9" w:rsidR="00BA1912" w:rsidRDefault="00D33011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Šā pielikuma </w:t>
      </w:r>
      <w:r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BA1912"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punktā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minētās iekārtas sākotnējo </w:t>
      </w:r>
      <w:r w:rsidR="00BF06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koriģē, sākotnējo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reizinot ar korekcijas faktoru kas ir aprēķināts atbilstoši šādai formulai:</w:t>
      </w:r>
    </w:p>
    <w:p w14:paraId="4791F0F7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CA5875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KorF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celuloze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celuloze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tirgū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celuloze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kopējā</m:t>
                  </m:r>
                </m:sub>
              </m:sSub>
            </m:den>
          </m:f>
        </m:oMath>
      </m:oMathPara>
    </w:p>
    <w:p w14:paraId="21B06223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06B1A632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KorF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celuloze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korekcijas faktors;</w:t>
      </w:r>
    </w:p>
    <w:p w14:paraId="68417898" w14:textId="4C8DA6E3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celuloze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tirgū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celulozes un celulozes produktu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ir laisti tirgū;</w:t>
      </w:r>
    </w:p>
    <w:p w14:paraId="3AC2F9EF" w14:textId="44D612D1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celuloze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kopējā</m:t>
            </m:r>
          </m:sub>
        </m:sSub>
      </m:oMath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kopējais šajā apakšiekārtā saražotais celulozes un celulozes produktu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9CA2A8" w14:textId="77777777" w:rsidR="001E48D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D8014C" w14:textId="385ACE38" w:rsidR="00D33011" w:rsidRDefault="00D33011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Šā pielikuma </w:t>
      </w:r>
      <w:r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BA1912"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punktā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aprēķinu balsta uz tā perioda datiem, kurš tiek izmantots emisiju aprēķinam esošām vai jaunām iekārtām un iekārtām pēc darbības līmeņa ievērojamām izmaiņām.</w:t>
      </w:r>
    </w:p>
    <w:p w14:paraId="2D6274AB" w14:textId="6DC604B8" w:rsidR="002D39F4" w:rsidRDefault="002D39F4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B0089E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750425" w14:textId="5C478650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 xml:space="preserve">2.2. Tvaika krekinga produktu ražošanas </w:t>
      </w:r>
      <w:proofErr w:type="spellStart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apakšiekārta</w:t>
      </w:r>
      <w:proofErr w:type="spellEnd"/>
    </w:p>
    <w:p w14:paraId="3EF8A100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F996B0D" w14:textId="6CA9F225" w:rsidR="00BA1912" w:rsidRPr="00427DC3" w:rsidRDefault="00D33011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Sākotnējais </w:t>
      </w:r>
      <w:r w:rsidR="00BF06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 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augstvērtīgu ķīmisko vielu (turpmāk – HVC) ražošanu saistītai produkta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tiek aprēķināts atbilstoši šādai formulai:</w:t>
      </w:r>
    </w:p>
    <w:p w14:paraId="4BACBE5E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100486" w14:textId="1948F9DC" w:rsidR="00BA1912" w:rsidRPr="006B6C28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lang w:eastAsia="lv-LV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lv-LV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lang w:eastAsia="lv-LV"/>
                </w:rPr>
                <m:t>HVC, Y</m:t>
              </m:r>
            </m:sub>
          </m:sSub>
          <m:r>
            <w:rPr>
              <w:rFonts w:ascii="Cambria Math" w:eastAsia="Times New Roman" w:hAnsi="Cambria Math" w:cs="Times New Roman"/>
              <w:lang w:eastAsia="lv-LV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tiešās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lv-LV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imp.siltums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tiešās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lv-LV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elektrība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+ 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lv-LV"/>
                    </w:rPr>
                    <m:t>imp.siltums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lv-LV"/>
                </w:rPr>
                <m:t xml:space="preserve"> </m:t>
              </m:r>
            </m:den>
          </m:f>
          <m:r>
            <w:rPr>
              <w:rFonts w:ascii="Cambria Math" w:eastAsia="Times New Roman" w:hAnsi="Cambria Math" w:cs="Times New Roman"/>
              <w:lang w:eastAsia="lv-LV"/>
            </w:rPr>
            <m:t xml:space="preserve"> 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lv-LV"/>
                </w:rPr>
                <m:t>LA</m:t>
              </m:r>
            </m:e>
            <m:sub>
              <m:r>
                <w:rPr>
                  <w:rFonts w:ascii="Cambria Math" w:eastAsia="Times New Roman" w:hAnsi="Cambria Math" w:cs="Times New Roman"/>
                  <w:lang w:eastAsia="lv-LV"/>
                </w:rPr>
                <m:t>HVC</m:t>
              </m:r>
            </m:sub>
          </m:sSub>
          <m:r>
            <w:rPr>
              <w:rFonts w:ascii="Cambria Math" w:eastAsia="Times New Roman" w:hAnsi="Cambria Math" w:cs="Times New Roman"/>
              <w:lang w:eastAsia="lv-LV"/>
            </w:rPr>
            <m:t xml:space="preserve"> 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lv-LV"/>
                </w:rPr>
                <m:t>HAL</m:t>
              </m:r>
            </m:e>
            <m:sub>
              <m:r>
                <w:rPr>
                  <w:rFonts w:ascii="Cambria Math" w:eastAsia="Times New Roman" w:hAnsi="Cambria Math" w:cs="Times New Roman"/>
                  <w:lang w:eastAsia="lv-LV"/>
                </w:rPr>
                <m:t>HVC</m:t>
              </m:r>
            </m:sub>
          </m:sSub>
          <m:r>
            <w:rPr>
              <w:rFonts w:ascii="Cambria Math" w:eastAsia="Times New Roman" w:hAnsi="Cambria Math" w:cs="Times New Roman"/>
              <w:lang w:eastAsia="lv-LV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lv-LV"/>
                </w:rPr>
                <m:t>KorF</m:t>
              </m:r>
            </m:e>
            <m:sub>
              <m:r>
                <w:rPr>
                  <w:rFonts w:ascii="Cambria Math" w:eastAsia="Times New Roman" w:hAnsi="Cambria Math" w:cs="Times New Roman"/>
                  <w:lang w:eastAsia="lv-LV"/>
                </w:rPr>
                <m:t>HVC</m:t>
              </m:r>
            </m:sub>
          </m:sSub>
          <m:r>
            <w:rPr>
              <w:rFonts w:ascii="Cambria Math" w:eastAsia="Times New Roman" w:hAnsi="Cambria Math" w:cs="Times New Roman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eastAsia="lv-LV"/>
                </w:rPr>
                <m:t>CLEF</m:t>
              </m:r>
            </m:e>
            <m:sub>
              <m:r>
                <w:rPr>
                  <w:rFonts w:ascii="Cambria Math" w:eastAsia="Times New Roman" w:hAnsi="Cambria Math" w:cs="Times New Roman"/>
                  <w:lang w:eastAsia="lv-LV"/>
                </w:rPr>
                <m:t>HVC, Y</m:t>
              </m:r>
            </m:sub>
          </m:sSub>
        </m:oMath>
      </m:oMathPara>
    </w:p>
    <w:p w14:paraId="75918E3E" w14:textId="77777777" w:rsidR="001E48D3" w:rsidRDefault="001E48D3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8A637F" w14:textId="6345531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1A17B84F" w14:textId="0A87D93A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HVC, Y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sākotnējais ikgadējais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HVC ražošanu saistītai produkta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B0678E1" w14:textId="7E6316D8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tiešās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tiešās emisijas (tonnas CO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ekv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.) HVC iekārtas robežās, </w:t>
      </w:r>
      <w:r w:rsidR="00BA1912" w:rsidRPr="00427DC3" w:rsidDel="00615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skaitā emisijas, kas rodas no siltumenerģijas ražošanas tajā pašā iekārtā </w:t>
      </w:r>
      <w:r w:rsidR="00BA1912" w:rsidRPr="00427DC3" w:rsidDel="00615C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(neietverot emisijas no elektroenerģijas ražošanas un emisijas no tāda siltum</w:t>
      </w:r>
      <w:r w:rsidR="00D967BE">
        <w:rPr>
          <w:rFonts w:ascii="Times New Roman" w:eastAsia="Times New Roman" w:hAnsi="Times New Roman" w:cs="Times New Roman"/>
          <w:sz w:val="28"/>
          <w:szCs w:val="28"/>
          <w:lang w:eastAsia="lv-LV"/>
        </w:rPr>
        <w:t>enerģijas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ražošanas, kas ir eksportēts un importēts no citas iekārtas vai "ne-ETS" iekārtas), periodā, kas izvēlēts </w:t>
      </w:r>
      <w:r w:rsidR="00BF06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emisijas kvotu aprēķinam;</w:t>
      </w:r>
    </w:p>
    <w:p w14:paraId="625822D5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imp.siltums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emisijas (tonnas CO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ekv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.) no izmērāmā siltuma daudzuma, kas attiecīgā produkta ražošanai ir importēts no citām iekārtām, periodā, kas izvēlēts emisijas kvotu aprēķinam;</w:t>
      </w:r>
    </w:p>
    <w:p w14:paraId="6A3D3013" w14:textId="318652DD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elektrība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uz produkta ražošanai nepieciešamo elektroenerģijas patēriņu, kas reizināts ar 0,376 tonnām oglekļa dioksīda uz megavatstundu, attiecināmās netiešās emisijas (tonnas CO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ekv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.), kā norādīts noteikumu regulas 2019/331  I</w:t>
      </w:r>
      <w:r w:rsidR="00DB4B2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2. punktā ietverto procesu un emisiju definīcijā, periodā, kas izvēlēts emisijas kvotu aprēķinam;</w:t>
      </w:r>
    </w:p>
    <w:p w14:paraId="486A3BEB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LA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HVC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="00BA1912" w:rsidRPr="00427DC3">
        <w:rPr>
          <w:rFonts w:ascii="Times New Roman" w:hAnsi="Times New Roman" w:cs="Times New Roman"/>
          <w:sz w:val="28"/>
          <w:szCs w:val="28"/>
        </w:rPr>
        <w:t>regulā 2019/331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II pielikumā minētā tvaika krekinga produkta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vērtība;</w:t>
      </w:r>
    </w:p>
    <w:p w14:paraId="2E89793E" w14:textId="33DEB501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HVC</m:t>
            </m:r>
          </m:sub>
        </m:sSub>
      </m:oMath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atbilstoši noteikumu </w:t>
      </w:r>
      <w:r w:rsidRPr="00427DC3">
        <w:rPr>
          <w:rFonts w:ascii="Times New Roman" w:hAnsi="Times New Roman" w:cs="Times New Roman"/>
          <w:sz w:val="28"/>
          <w:szCs w:val="28"/>
        </w:rPr>
        <w:t xml:space="preserve">regulas 2019/331 III pielikuma 4. punktam 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noteiktais darbības līmenis (tonnas);</w:t>
      </w:r>
    </w:p>
    <w:p w14:paraId="6D5242AE" w14:textId="6C0AC826" w:rsidR="56C310E6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KorF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HV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korekcijas faktors.</w:t>
      </w:r>
    </w:p>
    <w:p w14:paraId="74AD3BBC" w14:textId="77777777" w:rsidR="001E48D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279D72" w14:textId="34D984B9" w:rsidR="00BA1912" w:rsidRDefault="00D33011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Šā pielikuma </w:t>
      </w:r>
      <w:r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BA1912"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punktā minētais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korekcijas faktors ir aprēķināts atbilstoši šādai formulai:</w:t>
      </w:r>
    </w:p>
    <w:p w14:paraId="17C57691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CFC9CD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KorF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HVC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=1,78×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×0,24×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+0,16×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HVC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cits</m:t>
              </m:r>
            </m:sub>
          </m:sSub>
        </m:oMath>
      </m:oMathPara>
    </w:p>
    <w:p w14:paraId="3A7D7778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7A5D00B2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KorF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HVC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korekcijas faktors;</w:t>
      </w:r>
    </w:p>
    <w:p w14:paraId="5CF09F27" w14:textId="2782345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2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vēsturiskais ūdeņraža ražošanas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papildu izejmateriāla (tonnas) bāzlīnijas periodā;</w:t>
      </w:r>
    </w:p>
    <w:p w14:paraId="161689FD" w14:textId="09A20FFD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4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vēsturiskais etilēna ražošanas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papildu izejmateriāla (tonnas) bāzlīnijas periodā;</w:t>
      </w:r>
    </w:p>
    <w:p w14:paraId="79B87B2F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HVC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cits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vēsturiskais citu augstvērtīgu ķīmisko vielu ražošanas (kas nav ūdeņradis un etilēns) no papildu izejmateriāla (HVC tonnās) bāzlīnijas periodā;</w:t>
      </w:r>
    </w:p>
    <w:p w14:paraId="7424CD7C" w14:textId="42DBC74D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HVC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cits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 ikgadējais emisijas oglekļa emisiju pārvirzes riska faktors  ar HVC ražošanu saistītai produ</w:t>
      </w:r>
      <w:r w:rsidR="00FF0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kta </w:t>
      </w:r>
      <w:proofErr w:type="spellStart"/>
      <w:r w:rsidR="00FF08F2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FF08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F08F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FF08F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5121500" w14:textId="5512B546" w:rsidR="56C310E6" w:rsidRDefault="56C310E6" w:rsidP="001E48D3">
      <w:pPr>
        <w:spacing w:beforeAutospacing="1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89F0D6A" w14:textId="0D62457C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2.3. </w:t>
      </w:r>
      <w:proofErr w:type="spellStart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Vinilhlorīda</w:t>
      </w:r>
      <w:proofErr w:type="spellEnd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monomēra</w:t>
      </w:r>
      <w:proofErr w:type="spellEnd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ražošanas </w:t>
      </w:r>
      <w:proofErr w:type="spellStart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apakšiekārta</w:t>
      </w:r>
      <w:proofErr w:type="spellEnd"/>
    </w:p>
    <w:p w14:paraId="0E10715A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58F578C" w14:textId="32585A4F" w:rsidR="00BA1912" w:rsidRDefault="00D33011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Sākotnējais ikgadējais </w:t>
      </w:r>
      <w:r w:rsidR="001028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vinilhlorīda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monomēra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VCM) ražošanu saistītai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aprēķināts atbilstoši šādai formulai:</w:t>
      </w:r>
    </w:p>
    <w:p w14:paraId="028D5774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1E90E5" w14:textId="412E0A49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VCM, Y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tiešās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imp.siltums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tiešās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Em</m:t>
                  </m:r>
                </m:e>
                <m: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lv-LV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lv-LV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lv-LV"/>
                        </w:rPr>
                        <m:t>2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+ 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imp.siltums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 xml:space="preserve"> 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LA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VCM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AL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VCM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CLEF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HVC, Y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</m:t>
          </m:r>
        </m:oMath>
      </m:oMathPara>
    </w:p>
    <w:p w14:paraId="0AA95E90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1E9D64B9" w14:textId="72D77242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VCM, Y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sākotnējais ikgadējais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VCM ražošanu saistītai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72DDFB5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LA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VCM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noteikumu regulas 2019/331 III pielikumā minētā VCM līmeņatzīme;</w:t>
      </w:r>
    </w:p>
    <w:p w14:paraId="55EBD5B4" w14:textId="189C759E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VCM</m:t>
            </m:r>
          </m:sub>
        </m:sSub>
      </m:oMath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– attiecīgais VCM ražošanas darbības līmenis (tonnas).</w:t>
      </w:r>
    </w:p>
    <w:p w14:paraId="53724803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tiešās</m:t>
            </m:r>
          </m:sub>
        </m:sSub>
      </m:oMath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– tiešās VCM ražošanas emisijas (tonnas CO</w:t>
      </w:r>
      <w:r w:rsidRPr="00427D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ekv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.) bāzlīnijas periodā, kas izvēlēts emisijas kvotu aprēķinam;</w:t>
      </w:r>
    </w:p>
    <w:p w14:paraId="62416AF6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imp.siltums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VCM ražošanai importētā siltuma emisijas (tonnas CO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ekv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.) bāzlīnijas periodā, kas izvēlēts emisijas kvotu aprēķinam;</w:t>
      </w:r>
    </w:p>
    <w:p w14:paraId="02B15156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lv-LV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lv-LV"/>
                  </w:rPr>
                  <m:t>2</m:t>
                </m:r>
              </m:sub>
            </m:sSub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ar ūdeņradi, kas izmantots VCM ražošanai, saistītās emisijas (patērētais siltuma daudzums ūdeņraža sadedzināšanai, kas izteikts TJ, reizināts ar aktuālo siltuma līmeņatzīmi ) periodā, kas izvēlēts emisijas kvotu aprēķinam.</w:t>
      </w:r>
    </w:p>
    <w:p w14:paraId="34CE75B2" w14:textId="493F0A3C" w:rsidR="56C310E6" w:rsidRDefault="56C310E6" w:rsidP="001E48D3">
      <w:pPr>
        <w:spacing w:beforeAutospacing="1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ACB6855" w14:textId="27D9523A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2.4. ES ETS </w:t>
      </w:r>
      <w:r w:rsidR="00D33011"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neaptvertā  </w:t>
      </w:r>
      <w:r w:rsidR="00F15409"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siltuma </w:t>
      </w: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nošķiršana</w:t>
      </w:r>
    </w:p>
    <w:p w14:paraId="57344E51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652C949" w14:textId="0CAD4BB3" w:rsidR="00BA1912" w:rsidRDefault="00D33011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produkta </w:t>
      </w:r>
      <w:proofErr w:type="spellStart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</w:t>
      </w:r>
      <w:proofErr w:type="spellEnd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ietver izmērāmu </w:t>
      </w:r>
      <w:r w:rsidR="00BA1912" w:rsidRPr="00F15409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852FB2" w:rsidRPr="00F15409">
        <w:rPr>
          <w:rFonts w:ascii="Times New Roman" w:eastAsia="Times New Roman" w:hAnsi="Times New Roman" w:cs="Times New Roman"/>
          <w:sz w:val="28"/>
          <w:szCs w:val="28"/>
          <w:lang w:eastAsia="lv-LV"/>
        </w:rPr>
        <w:t>enerģiju</w:t>
      </w:r>
      <w:r w:rsidR="00BA1912" w:rsidRPr="00F1540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</w:t>
      </w:r>
      <w:r w:rsidR="00852FB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importēt</w:t>
      </w:r>
      <w:r w:rsid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52FB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iekārtas, kas neveic kādu no likuma "Par piesārņojumu" 2.pielikumā minētajām darbībām un kurām nav izsniegta atļauja (</w:t>
      </w:r>
      <w:r w:rsid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turpmāk - </w:t>
      </w:r>
      <w:r w:rsidR="00852FB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"ne-ETS iekārtām")</w:t>
      </w:r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sākotnējo ikgadējo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</w:t>
      </w:r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šai produkta </w:t>
      </w:r>
      <w:proofErr w:type="spellStart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samazina par tādu </w:t>
      </w:r>
      <w:r w:rsidR="00852FB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enerģijas</w:t>
      </w:r>
      <w:r w:rsidR="00852FB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daudzumu, kāds vēsturiski importēts attiecīgajā gadā no </w:t>
      </w:r>
      <w:r w:rsidR="00D3137A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ne-ETS</w:t>
      </w:r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iekārtas, reizinot to ar regulas 2019/331  I pielikuma 3. punktā minēto siltuma </w:t>
      </w:r>
      <w:proofErr w:type="spellStart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00852F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vērtību.</w:t>
      </w:r>
    </w:p>
    <w:p w14:paraId="6F3DD66F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00B9EE" w14:textId="7FD2498A" w:rsidR="00BA1912" w:rsidRPr="00852FB2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=(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LA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HAL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LA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silt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ne-ETS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siltums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)×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CLEF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</m:oMath>
      </m:oMathPara>
    </w:p>
    <w:p w14:paraId="33E9B315" w14:textId="77777777" w:rsidR="00BA1912" w:rsidRPr="00427DC3" w:rsidRDefault="00BA1912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27DC3">
        <w:rPr>
          <w:sz w:val="28"/>
          <w:szCs w:val="28"/>
        </w:rPr>
        <w:t>kur</w:t>
      </w:r>
    </w:p>
    <w:p w14:paraId="2787FB61" w14:textId="3B5AA5BF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 xml:space="preserve">– apakšiekārtas sākotnējais emisijas kvotu </w:t>
      </w:r>
      <w:r w:rsidR="00DC08EC">
        <w:rPr>
          <w:sz w:val="28"/>
          <w:szCs w:val="28"/>
        </w:rPr>
        <w:t>daudzums</w:t>
      </w:r>
      <w:r w:rsidR="00BA1912" w:rsidRPr="00427DC3">
        <w:rPr>
          <w:sz w:val="28"/>
          <w:szCs w:val="28"/>
        </w:rPr>
        <w:t xml:space="preserve"> (kvotas/gadā);</w:t>
      </w:r>
    </w:p>
    <w:p w14:paraId="26C38E68" w14:textId="08875EB4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HAL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> –apakšiekārtas vēsturiskais darbības līmenis (produkta mērvienība/gadā);</w:t>
      </w:r>
    </w:p>
    <w:p w14:paraId="373B0146" w14:textId="77777777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 xml:space="preserve">– regulas 2019/331 I pielikumā minētā uz konkrēto </w:t>
      </w:r>
      <w:proofErr w:type="spellStart"/>
      <w:r w:rsidR="00BA1912" w:rsidRPr="00427DC3">
        <w:rPr>
          <w:sz w:val="28"/>
          <w:szCs w:val="28"/>
        </w:rPr>
        <w:t>apakšiekārtu</w:t>
      </w:r>
      <w:proofErr w:type="spellEnd"/>
      <w:r w:rsidR="00BA1912" w:rsidRPr="00427DC3">
        <w:rPr>
          <w:sz w:val="28"/>
          <w:szCs w:val="28"/>
        </w:rPr>
        <w:t xml:space="preserve"> attiecināmā </w:t>
      </w:r>
      <w:proofErr w:type="spellStart"/>
      <w:r w:rsidR="00BA1912" w:rsidRPr="00427DC3">
        <w:rPr>
          <w:sz w:val="28"/>
          <w:szCs w:val="28"/>
        </w:rPr>
        <w:t>līmeņatzīme</w:t>
      </w:r>
      <w:proofErr w:type="spellEnd"/>
      <w:r w:rsidR="00BA1912" w:rsidRPr="00427DC3">
        <w:rPr>
          <w:sz w:val="28"/>
          <w:szCs w:val="28"/>
        </w:rPr>
        <w:t xml:space="preserve"> (kvotas/t);</w:t>
      </w:r>
    </w:p>
    <w:p w14:paraId="67F363CA" w14:textId="77777777" w:rsidR="001E48D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silt</m:t>
            </m:r>
          </m:sub>
        </m:sSub>
      </m:oMath>
      <w:r w:rsidR="00BA1912" w:rsidRPr="00427DC3">
        <w:rPr>
          <w:sz w:val="28"/>
          <w:szCs w:val="28"/>
        </w:rPr>
        <w:t xml:space="preserve"> regulas 2019/331 I pielikumā 3. punktā minētā siltuma </w:t>
      </w:r>
      <w:proofErr w:type="spellStart"/>
      <w:r w:rsidR="00BA1912" w:rsidRPr="00427DC3">
        <w:rPr>
          <w:sz w:val="28"/>
          <w:szCs w:val="28"/>
        </w:rPr>
        <w:t>līmeņatzīme</w:t>
      </w:r>
      <w:proofErr w:type="spellEnd"/>
      <w:r w:rsidR="00BA1912" w:rsidRPr="00427DC3">
        <w:rPr>
          <w:sz w:val="28"/>
          <w:szCs w:val="28"/>
        </w:rPr>
        <w:t>;</w:t>
      </w:r>
    </w:p>
    <w:p w14:paraId="16FF5C0F" w14:textId="4D1CE113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ne-ETS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siltums</m:t>
            </m:r>
          </m:sub>
        </m:sSub>
      </m:oMath>
      <w:r w:rsidR="00BA1912" w:rsidRPr="00427DC3">
        <w:rPr>
          <w:sz w:val="28"/>
          <w:szCs w:val="28"/>
        </w:rPr>
        <w:t xml:space="preserve"> - siltuma </w:t>
      </w:r>
      <w:r w:rsidR="00DC08EC">
        <w:rPr>
          <w:sz w:val="28"/>
          <w:szCs w:val="28"/>
        </w:rPr>
        <w:t>daudzums</w:t>
      </w:r>
      <w:r w:rsidR="00BA1912" w:rsidRPr="00427DC3">
        <w:rPr>
          <w:sz w:val="28"/>
          <w:szCs w:val="28"/>
        </w:rPr>
        <w:t xml:space="preserve"> (TJ/gadā), kas importēts no "ne-ETS" iekārtas un patērēts </w:t>
      </w:r>
      <w:proofErr w:type="spellStart"/>
      <w:r w:rsidR="00BA1912" w:rsidRPr="00427DC3">
        <w:rPr>
          <w:sz w:val="28"/>
          <w:szCs w:val="28"/>
        </w:rPr>
        <w:t>līmeņatzīmes</w:t>
      </w:r>
      <w:proofErr w:type="spellEnd"/>
      <w:r w:rsidR="00BA1912" w:rsidRPr="00427DC3">
        <w:rPr>
          <w:sz w:val="28"/>
          <w:szCs w:val="28"/>
        </w:rPr>
        <w:t xml:space="preserve"> </w:t>
      </w:r>
      <w:proofErr w:type="spellStart"/>
      <w:r w:rsidR="00BA1912" w:rsidRPr="00427DC3">
        <w:rPr>
          <w:sz w:val="28"/>
          <w:szCs w:val="28"/>
        </w:rPr>
        <w:t>apakšiekārtas</w:t>
      </w:r>
      <w:proofErr w:type="spellEnd"/>
      <w:r w:rsidR="00BA1912" w:rsidRPr="00427DC3">
        <w:rPr>
          <w:sz w:val="28"/>
          <w:szCs w:val="28"/>
        </w:rPr>
        <w:t xml:space="preserve"> robežās (kurai tiek aprēķinātas emisijas kvotas) periodā, kas izvēlēts emisijas kvotu aprēķinam;</w:t>
      </w:r>
    </w:p>
    <w:p w14:paraId="0B7E5A45" w14:textId="4F256D02" w:rsidR="56C310E6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CLEF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>– uz apakšiekārtu attiecināms regulas 2019/331 V pielikuma oglekļa dioksīda pārvirzes riska koeficients.</w:t>
      </w:r>
    </w:p>
    <w:p w14:paraId="61B8F2F9" w14:textId="7F482248" w:rsidR="00BA1912" w:rsidRDefault="00F15409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Sākotnējais ikgadējais </w:t>
      </w:r>
      <w:r w:rsidR="33C4D851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</w:t>
      </w:r>
      <w:proofErr w:type="spellStart"/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kuras saņēmušas izmērāmu siltumu no tādām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apakšiekārtām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ražo produktus, uz kuriem attiecas regulas 2019/331  I pielikuma 1. punktā minētās slāpekļskābes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samazina par šī izmērāmā siltuma, kas saražots slāpekļskābi ražojošajās iekārtās, patēriņa ikgadējo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reizinātu ar noteikumu regulas 2019/331  I pielikuma 3. punktā  minēto siltuma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līmeņatzīmi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D582590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4E2E86" w14:textId="3309899A" w:rsidR="00BA1912" w:rsidRPr="00F15409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=(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LA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HAL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LA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silt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slāpekļskābe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)×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CLEF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apakšiek</m:t>
              </m:r>
            </m:sub>
          </m:sSub>
        </m:oMath>
      </m:oMathPara>
    </w:p>
    <w:p w14:paraId="455B8C04" w14:textId="77777777" w:rsidR="00BA1912" w:rsidRPr="00427DC3" w:rsidRDefault="00BA1912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427DC3">
        <w:rPr>
          <w:sz w:val="28"/>
          <w:szCs w:val="28"/>
        </w:rPr>
        <w:t>kur</w:t>
      </w:r>
    </w:p>
    <w:p w14:paraId="64175E47" w14:textId="4E20646B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 xml:space="preserve">– apakšiekārtas sākotnējais emisijas kvotu </w:t>
      </w:r>
      <w:r w:rsidR="00DC08EC">
        <w:rPr>
          <w:sz w:val="28"/>
          <w:szCs w:val="28"/>
        </w:rPr>
        <w:t>daudzums</w:t>
      </w:r>
      <w:r w:rsidR="00BA1912" w:rsidRPr="00427DC3">
        <w:rPr>
          <w:sz w:val="28"/>
          <w:szCs w:val="28"/>
        </w:rPr>
        <w:t xml:space="preserve"> (kvotas/gadā);</w:t>
      </w:r>
    </w:p>
    <w:p w14:paraId="6F88A80D" w14:textId="0FF09DA8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HAL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> –apakšiekārtas vēsturiskais darbības līmenis;</w:t>
      </w:r>
    </w:p>
    <w:p w14:paraId="68A3E7E4" w14:textId="77777777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>– regulas 2019/331 I pielikumā minētā uz konkrēto apakšiekārtu attiecināmā līmeņatzīme;</w:t>
      </w:r>
    </w:p>
    <w:p w14:paraId="1236340D" w14:textId="77777777" w:rsidR="001E48D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silt</m:t>
            </m:r>
          </m:sub>
        </m:sSub>
      </m:oMath>
      <w:r w:rsidR="00BA1912" w:rsidRPr="00427DC3">
        <w:rPr>
          <w:sz w:val="28"/>
          <w:szCs w:val="28"/>
        </w:rPr>
        <w:t xml:space="preserve"> regulas 2019/331 I pielikumā 3. punktā minētā siltuma </w:t>
      </w:r>
      <w:proofErr w:type="spellStart"/>
      <w:r w:rsidR="00BA1912" w:rsidRPr="00427DC3">
        <w:rPr>
          <w:sz w:val="28"/>
          <w:szCs w:val="28"/>
        </w:rPr>
        <w:t>līmeņatzīme</w:t>
      </w:r>
      <w:proofErr w:type="spellEnd"/>
      <w:r w:rsidR="00BA1912" w:rsidRPr="00427DC3">
        <w:rPr>
          <w:sz w:val="28"/>
          <w:szCs w:val="28"/>
        </w:rPr>
        <w:t>;</w:t>
      </w:r>
    </w:p>
    <w:p w14:paraId="7CCE5998" w14:textId="42C4C7EA" w:rsidR="00BA1912" w:rsidRPr="00427DC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slāpekļskābe</m:t>
            </m:r>
          </m:sub>
        </m:sSub>
      </m:oMath>
      <w:r w:rsidR="00BA1912" w:rsidRPr="00427DC3">
        <w:rPr>
          <w:sz w:val="28"/>
          <w:szCs w:val="28"/>
        </w:rPr>
        <w:t xml:space="preserve">- siltuma </w:t>
      </w:r>
      <w:r w:rsidR="00DC08EC">
        <w:rPr>
          <w:sz w:val="28"/>
          <w:szCs w:val="28"/>
        </w:rPr>
        <w:t>daudzums</w:t>
      </w:r>
      <w:r w:rsidR="00BA1912" w:rsidRPr="00427DC3">
        <w:rPr>
          <w:sz w:val="28"/>
          <w:szCs w:val="28"/>
        </w:rPr>
        <w:t xml:space="preserve"> (TJ/gadā), kas importēts no </w:t>
      </w:r>
      <w:proofErr w:type="spellStart"/>
      <w:r w:rsidR="00BA1912" w:rsidRPr="00427DC3">
        <w:rPr>
          <w:sz w:val="28"/>
          <w:szCs w:val="28"/>
        </w:rPr>
        <w:t>apakšiekārtas</w:t>
      </w:r>
      <w:proofErr w:type="spellEnd"/>
      <w:r w:rsidR="00BA1912" w:rsidRPr="00427DC3">
        <w:rPr>
          <w:sz w:val="28"/>
          <w:szCs w:val="28"/>
        </w:rPr>
        <w:t xml:space="preserve">, kas ražo slāpekļskābes </w:t>
      </w:r>
      <w:proofErr w:type="spellStart"/>
      <w:r w:rsidR="00BA1912" w:rsidRPr="00427DC3">
        <w:rPr>
          <w:sz w:val="28"/>
          <w:szCs w:val="28"/>
        </w:rPr>
        <w:t>līmeņatzīmes</w:t>
      </w:r>
      <w:proofErr w:type="spellEnd"/>
      <w:r w:rsidR="00BA1912" w:rsidRPr="00427DC3">
        <w:rPr>
          <w:sz w:val="28"/>
          <w:szCs w:val="28"/>
        </w:rPr>
        <w:t xml:space="preserve"> aptvertus produktus  un patērēts </w:t>
      </w:r>
      <w:proofErr w:type="spellStart"/>
      <w:r w:rsidR="00BA1912" w:rsidRPr="00427DC3">
        <w:rPr>
          <w:sz w:val="28"/>
          <w:szCs w:val="28"/>
        </w:rPr>
        <w:t>līmeņatzīmes</w:t>
      </w:r>
      <w:proofErr w:type="spellEnd"/>
      <w:r w:rsidR="00BA1912" w:rsidRPr="00427DC3">
        <w:rPr>
          <w:sz w:val="28"/>
          <w:szCs w:val="28"/>
        </w:rPr>
        <w:t xml:space="preserve"> </w:t>
      </w:r>
      <w:proofErr w:type="spellStart"/>
      <w:r w:rsidR="00BA1912" w:rsidRPr="00427DC3">
        <w:rPr>
          <w:sz w:val="28"/>
          <w:szCs w:val="28"/>
        </w:rPr>
        <w:t>apakšiekārtas</w:t>
      </w:r>
      <w:proofErr w:type="spellEnd"/>
      <w:r w:rsidR="00BA1912" w:rsidRPr="00427DC3">
        <w:rPr>
          <w:sz w:val="28"/>
          <w:szCs w:val="28"/>
        </w:rPr>
        <w:t xml:space="preserve"> robežās (kurai tiek aprēķinātas emisijas kvotas) periodā, kas izvēlēts emisijas kvotu aprēķinam;</w:t>
      </w:r>
    </w:p>
    <w:p w14:paraId="6E702ACA" w14:textId="4A014BF9" w:rsidR="56C310E6" w:rsidRPr="001E48D3" w:rsidRDefault="001D7F50" w:rsidP="001E48D3">
      <w:pPr>
        <w:pStyle w:val="tvhtml"/>
        <w:shd w:val="clear" w:color="auto" w:fill="FFFFFF"/>
        <w:ind w:firstLine="720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CLEF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apakšiek</m:t>
            </m:r>
          </m:sub>
        </m:sSub>
      </m:oMath>
      <w:r w:rsidR="00BA1912" w:rsidRPr="00427DC3">
        <w:rPr>
          <w:sz w:val="28"/>
          <w:szCs w:val="28"/>
        </w:rPr>
        <w:t>– uz apakšiekārtu attiecināms regulas 2019/331 V pielikuma oglekļa dioksīda pārvirzes riska koeficients.</w:t>
      </w:r>
    </w:p>
    <w:p w14:paraId="1351F675" w14:textId="2ECC6301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2.5. Kurināmā un elektroenerģijas </w:t>
      </w:r>
      <w:r w:rsidRPr="00D60C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apmaināmība</w:t>
      </w:r>
    </w:p>
    <w:p w14:paraId="71FEE524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4B4A36C" w14:textId="5AA996BB" w:rsidR="00BA1912" w:rsidRDefault="00F15409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Katrai </w:t>
      </w:r>
      <w:r w:rsidR="00BA1912" w:rsidRPr="00427DC3">
        <w:rPr>
          <w:rFonts w:ascii="Times New Roman" w:hAnsi="Times New Roman" w:cs="Times New Roman"/>
          <w:sz w:val="28"/>
          <w:szCs w:val="28"/>
        </w:rPr>
        <w:t xml:space="preserve">regulas 2019/331 I pielikuma 2. punktā 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minētajai produkta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sākotnējais ikgadējais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aprēķināts atbilstoši šādai formulai:</w:t>
      </w:r>
    </w:p>
    <w:p w14:paraId="37085921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EE1EF4" w14:textId="533734C5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prod, Y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tiešās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imp.siltums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tiešās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elektrība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+ Em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lv-LV"/>
                    </w:rPr>
                    <m:t>imp.siltums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 xml:space="preserve"> </m:t>
              </m:r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LA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prod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AL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prod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CLEF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lv-LV"/>
                </w:rPr>
                <m:t>prod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lv-LV"/>
            </w:rPr>
            <m:t xml:space="preserve"> </m:t>
          </m:r>
        </m:oMath>
      </m:oMathPara>
    </w:p>
    <w:p w14:paraId="7A2663BC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CD0F1F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2EC9DA6D" w14:textId="715B8D08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prod, Y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sākotnējais ikgadējais emisijas kvotu </w:t>
      </w:r>
      <w:r w:rsidR="00DC08EC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daudzums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produkta ražošanu saistītai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apakšiekārtai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gadā Y;</w:t>
      </w:r>
    </w:p>
    <w:p w14:paraId="10CD49FD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LA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prod</m:t>
            </m:r>
          </m:sub>
        </m:sSub>
      </m:oMath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attiecīgā </w:t>
      </w:r>
      <w:r w:rsidRPr="00427DC3">
        <w:rPr>
          <w:rFonts w:ascii="Times New Roman" w:hAnsi="Times New Roman" w:cs="Times New Roman"/>
          <w:sz w:val="28"/>
          <w:szCs w:val="28"/>
        </w:rPr>
        <w:t xml:space="preserve">regulas 2019/331 I pielikuma 2. punktā </w:t>
      </w: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minētā produkta </w:t>
      </w:r>
      <w:proofErr w:type="spellStart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</w:t>
      </w:r>
      <w:proofErr w:type="spellEnd"/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(kvotas/t);</w:t>
      </w:r>
    </w:p>
    <w:p w14:paraId="2E9C1FD7" w14:textId="27BB59EE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prod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attiecīgais ar produktu saistītais darbības līmenis (tonnas);</w:t>
      </w:r>
    </w:p>
    <w:p w14:paraId="367E4609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tiešās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tiešās emisijas (tonnas CO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ekv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.) periodā, kas izvēlēts emisijas kvotu aprēķinam;</w:t>
      </w:r>
    </w:p>
    <w:p w14:paraId="6EC7F91C" w14:textId="77777777" w:rsidR="001E48D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Em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imp.siltums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emisijas no neto importētā siltuma (tonnas CO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2 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ekv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.), kas attiecas uz attiecīgā produkta ražošanai izmantoto no citām iekārtām importēto izmērāmā siltuma daudzumu (regulas 2019/331 I pielikuma 3. punktā), periodā, kas izvēlēts emisijas kvotu aprēķinam;</w:t>
      </w:r>
    </w:p>
    <w:p w14:paraId="27F60D4D" w14:textId="77777777" w:rsidR="001E48D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elektrība</m:t>
            </m:r>
          </m:sub>
        </m:sSub>
      </m:oMath>
      <w:r w:rsidR="00BA1912" w:rsidRPr="001E48D3">
        <w:rPr>
          <w:rFonts w:ascii="Times New Roman" w:hAnsi="Times New Roman" w:cs="Times New Roman"/>
          <w:sz w:val="28"/>
          <w:szCs w:val="28"/>
        </w:rPr>
        <w:t> – uz produkta ražošanai nepieciešamo elektroenerģijas patēriņu, kas reizināts ar 0,376 tonnām oglekļa dioksīda uz megavatstundu, attiecināmās netiešās emisijas (tonnas CO</w:t>
      </w:r>
      <w:r w:rsidR="00BA1912" w:rsidRPr="001E48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1912" w:rsidRPr="001E48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A1912" w:rsidRPr="001E48D3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BA1912" w:rsidRPr="001E48D3">
        <w:rPr>
          <w:rFonts w:ascii="Times New Roman" w:hAnsi="Times New Roman" w:cs="Times New Roman"/>
          <w:sz w:val="28"/>
          <w:szCs w:val="28"/>
        </w:rPr>
        <w:t>.), kā norādīts regulas 2019/331 I pielikuma 2. punktā</w:t>
      </w:r>
      <w:r w:rsidR="00BA1912" w:rsidRPr="001E48D3" w:rsidDel="00D50F3F">
        <w:rPr>
          <w:rFonts w:ascii="Times New Roman" w:hAnsi="Times New Roman" w:cs="Times New Roman"/>
          <w:sz w:val="28"/>
          <w:szCs w:val="28"/>
        </w:rPr>
        <w:t xml:space="preserve"> </w:t>
      </w:r>
      <w:r w:rsidR="00BA1912" w:rsidRPr="001E48D3">
        <w:rPr>
          <w:rFonts w:ascii="Times New Roman" w:hAnsi="Times New Roman" w:cs="Times New Roman"/>
          <w:sz w:val="28"/>
          <w:szCs w:val="28"/>
        </w:rPr>
        <w:t>ietverto procesu un emisiju definīcijā, periodā, kas izvēlēts emisijas kvotu aprēķinam;</w:t>
      </w:r>
    </w:p>
    <w:p w14:paraId="18BFA5AD" w14:textId="091E3B3B" w:rsidR="56C310E6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CLEF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prod</m:t>
            </m:r>
          </m:sub>
        </m:sSub>
      </m:oMath>
      <w:r w:rsidR="00BA1912" w:rsidRPr="001E48D3">
        <w:rPr>
          <w:rFonts w:ascii="Times New Roman" w:hAnsi="Times New Roman" w:cs="Times New Roman"/>
          <w:sz w:val="28"/>
          <w:szCs w:val="28"/>
        </w:rPr>
        <w:t>– uz apakšiekārtu attiecināms regulas 2019/331 V pielikuma oglekļa dioksīda pārvirzes riska koeficients.</w:t>
      </w:r>
    </w:p>
    <w:p w14:paraId="67D2F8EF" w14:textId="77777777" w:rsidR="001E48D3" w:rsidRPr="001E48D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109279" w14:textId="23A4D300" w:rsidR="56C310E6" w:rsidRDefault="00BA1912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3. </w:t>
      </w:r>
      <w:proofErr w:type="spellStart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Apakšiekārtu</w:t>
      </w:r>
      <w:proofErr w:type="spellEnd"/>
      <w:r w:rsidRPr="56C310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darbības līmeņa izmaiņu noteikšana</w:t>
      </w:r>
    </w:p>
    <w:p w14:paraId="053F693E" w14:textId="77777777" w:rsidR="001E48D3" w:rsidRPr="0038184E" w:rsidRDefault="001E48D3" w:rsidP="001E48D3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FC69524" w14:textId="6CB51283" w:rsidR="00BA1912" w:rsidRDefault="00F15409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laika periodā no  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2021. līdz 2025. gadam vai </w:t>
      </w:r>
      <w:r w:rsidR="2DE2740F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2026. līdz 2030. gadam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operatoram piešķirto 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bezmaksas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kvotu daudzuma </w:t>
      </w:r>
      <w:r w:rsidR="00AB2CEB">
        <w:rPr>
          <w:rFonts w:ascii="Times New Roman" w:eastAsia="Times New Roman" w:hAnsi="Times New Roman" w:cs="Times New Roman"/>
          <w:sz w:val="28"/>
          <w:szCs w:val="28"/>
          <w:lang w:eastAsia="lv-LV"/>
        </w:rPr>
        <w:t>izmaiņas veic pirmo reizi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to veic saskaņā ar šo </w:t>
      </w:r>
      <w:r w:rsidR="00BA1912"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23. punktu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, atbilstoši darbības līmeņa procentuālajām izmaiņām, kuras nosaka atbilstoši šādai formulai:</w:t>
      </w:r>
    </w:p>
    <w:p w14:paraId="7994251F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5467B6" w14:textId="57B17A3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ALI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apakšiek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AAL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apakšiek, Y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HAL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HAL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×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100</m:t>
          </m:r>
        </m:oMath>
      </m:oMathPara>
    </w:p>
    <w:p w14:paraId="311B7EAB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06D73FE4" w14:textId="38F9F319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ALI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apakšiekārtas darbības līmeņa izmaiņas </w:t>
      </w:r>
    </w:p>
    <w:p w14:paraId="0ABAB22C" w14:textId="7A42F39D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apakšiek, Y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apakšiekārtas vidējais darbības līmenis Y gadā</w:t>
      </w:r>
    </w:p>
    <w:p w14:paraId="5ECF5B33" w14:textId="4BA1802C" w:rsidR="00BA1912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vēsturiskais darbības līmenis</w:t>
      </w:r>
    </w:p>
    <w:p w14:paraId="0DBEE70A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EAA92A" w14:textId="43610814" w:rsidR="00BA1912" w:rsidRDefault="00F15409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. Ja laika periodā no  2021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līdz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2025. gadam vai</w:t>
      </w:r>
      <w:r w:rsidR="34490A73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2026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līdz 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2030. gadam, nepieciešama atkārtota operatoram piešķirto</w:t>
      </w:r>
      <w:r w:rsidR="00BF0687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bezmaksas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emisijas kvotu pielāgošana,  to veic saskaņā ar </w:t>
      </w:r>
      <w:r w:rsidR="00BA1912"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24. punktu,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darbības līmeņa procentuālajām izmaiņām, kuras nosaka atbilstoši šādai formulai:</w:t>
      </w:r>
    </w:p>
    <w:p w14:paraId="7C7FBDCE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6890D7" w14:textId="6B4B7FF8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ALI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apakšiek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AAL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apakšiek, Y+n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HAL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HAL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×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100</m:t>
          </m:r>
        </m:oMath>
      </m:oMathPara>
    </w:p>
    <w:p w14:paraId="0289671E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6C45A9A9" w14:textId="2A40F23D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ALI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apakšiekārtas darbības līmeņa izmaiņas;</w:t>
      </w:r>
    </w:p>
    <w:p w14:paraId="478AA857" w14:textId="73622245" w:rsidR="00BA1912" w:rsidRPr="00427DC3" w:rsidRDefault="001D7F50" w:rsidP="001E48D3">
      <w:pPr>
        <w:spacing w:before="100" w:beforeAutospacing="1" w:after="100" w:afterAutospacing="1" w:line="240" w:lineRule="auto"/>
        <w:ind w:left="284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apakšiek, Y+n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apakšiekārtas vidējais darbības līmenis gadā, kas seko gadam, kad </w:t>
      </w:r>
      <w:r w:rsidR="008671C7">
        <w:rPr>
          <w:rFonts w:ascii="Times New Roman" w:eastAsia="Times New Roman" w:hAnsi="Times New Roman" w:cs="Times New Roman"/>
          <w:sz w:val="28"/>
          <w:szCs w:val="28"/>
          <w:lang w:eastAsia="lv-LV"/>
        </w:rPr>
        <w:t>pirmo reizi veikta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piešķirto kvotu izmaiņa vai katram nākošajam gadam;</w:t>
      </w:r>
    </w:p>
    <w:p w14:paraId="6301E170" w14:textId="3543AFE2" w:rsidR="56C310E6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HAL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vēsturiskais darbības līmenis.</w:t>
      </w:r>
    </w:p>
    <w:p w14:paraId="00BF4241" w14:textId="77777777" w:rsidR="004C3D8F" w:rsidRDefault="004C3D8F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F481FC" w14:textId="6FB20FF2" w:rsidR="00BA1912" w:rsidRDefault="00F15409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Kurināmā vai siltuma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līmeņatzīmes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apakšiekārtu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darbības līmeņa izmaiņas, kas saistītas ar kopējo </w:t>
      </w:r>
      <w:proofErr w:type="spellStart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="00BA191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energoefektivitātes izmaiņu nosaka attiecibā pret vidējo energoefektivitātes līmeni, kuru aprē</w:t>
      </w:r>
      <w:r w:rsidR="00FF08F2" w:rsidRPr="56C310E6">
        <w:rPr>
          <w:rFonts w:ascii="Times New Roman" w:eastAsia="Times New Roman" w:hAnsi="Times New Roman" w:cs="Times New Roman"/>
          <w:sz w:val="28"/>
          <w:szCs w:val="28"/>
          <w:lang w:eastAsia="lv-LV"/>
        </w:rPr>
        <w:t>ķina atbilstoši šādai formulai:</w:t>
      </w:r>
    </w:p>
    <w:p w14:paraId="1D1AA24A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Start w:id="0" w:name="_Hlk60739947"/>
    <w:p w14:paraId="642B9D9A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VE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apakšiek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 xml:space="preserve">,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Y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apakšiek, Y-1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apakšiek, Y-2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 xml:space="preserve"> </m:t>
          </m:r>
        </m:oMath>
      </m:oMathPara>
    </w:p>
    <w:bookmarkEnd w:id="0"/>
    <w:p w14:paraId="7849FCDA" w14:textId="77777777" w:rsidR="00BA1912" w:rsidRPr="00427DC3" w:rsidRDefault="00BA1912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49762437" w14:textId="77777777" w:rsidR="00BA1912" w:rsidRPr="00427DC3" w:rsidRDefault="001D7F50" w:rsidP="001E48D3">
      <w:pPr>
        <w:spacing w:before="100" w:beforeAutospacing="1" w:after="100" w:afterAutospacing="1" w:line="240" w:lineRule="auto"/>
        <w:ind w:left="284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VE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 xml:space="preserve">,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Y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siltuma vai kurināmā līmeņatzīmes iekārtas vai apakšiekārtas vidējais energoefektivitātes līmenis Y gadā;</w:t>
      </w:r>
    </w:p>
    <w:p w14:paraId="545836E8" w14:textId="77777777" w:rsidR="00BA1912" w:rsidRPr="00427DC3" w:rsidRDefault="001D7F50" w:rsidP="001E48D3">
      <w:pPr>
        <w:spacing w:before="100" w:beforeAutospacing="1" w:after="100" w:afterAutospacing="1" w:line="240" w:lineRule="auto"/>
        <w:ind w:left="284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apakšiek, Y-1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siltuma vai kurināmā līmeņatzīmes iekārtas vai apakšiekārtas vidējais darbības līmenis Y-1 gadā;</w:t>
      </w:r>
    </w:p>
    <w:p w14:paraId="349E6FC6" w14:textId="21D0AF9A" w:rsidR="56C310E6" w:rsidRDefault="001D7F50" w:rsidP="001E48D3">
      <w:pPr>
        <w:spacing w:before="100" w:beforeAutospacing="1" w:after="100" w:afterAutospacing="1" w:line="24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apakšiek, Y-2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siltuma vai kurināmā līmeņatzīmes iekārtas vai apakšiekārtas vidējais darbības līmenis Y-2 gadā. </w:t>
      </w:r>
    </w:p>
    <w:p w14:paraId="5DED5BB1" w14:textId="77777777" w:rsidR="001E48D3" w:rsidRDefault="001E48D3" w:rsidP="001E48D3">
      <w:pPr>
        <w:spacing w:before="100" w:beforeAutospacing="1" w:after="100" w:afterAutospacing="1" w:line="24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CC3693" w14:textId="6989B34E" w:rsidR="00BA1912" w:rsidRDefault="00F15409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Apakšiekārtās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uz kurām attiecas viena vai vairākas no šo </w:t>
      </w:r>
      <w:r w:rsidR="00BA1912" w:rsidRPr="0038184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20.2. punktā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minētajām  parametru izmaiņām, katru gadu kopā ar vidējo darbības līmeni, nosaka parametru vidējo vērtību un tā izmaiņas, lai novērtētu to iespējamo ietekmi uz kvotu sadali. Parametru vidējo vērtību nosaka:</w:t>
      </w:r>
    </w:p>
    <w:p w14:paraId="62B0A1E2" w14:textId="77777777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5684B6" w14:textId="2D3F402E" w:rsidR="00BA1912" w:rsidRPr="001E48D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lv-LV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VP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apakšiek, Y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apakšiek, Y-1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lv-LV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lv-LV"/>
                    </w:rPr>
                    <m:t>apakšiek, Y-2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lv-LV"/>
                </w:rPr>
                <m:t>2</m:t>
              </m:r>
            </m:den>
          </m:f>
        </m:oMath>
      </m:oMathPara>
    </w:p>
    <w:p w14:paraId="6E8DFFD2" w14:textId="101C8FAD" w:rsidR="001E48D3" w:rsidRPr="00427DC3" w:rsidRDefault="001E48D3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</w:p>
    <w:p w14:paraId="5E2E15C1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VP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apakšiek, Y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apakšiekārtas vidējais darbības līmenis Y gadā</w:t>
      </w:r>
    </w:p>
    <w:p w14:paraId="29056C93" w14:textId="77777777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apakšiek, Y-1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apakšiekārtas līmenis Y-1 gadā</w:t>
      </w:r>
    </w:p>
    <w:p w14:paraId="5023069D" w14:textId="0BEC3898" w:rsidR="00BA1912" w:rsidRPr="00427DC3" w:rsidRDefault="001D7F50" w:rsidP="001E48D3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lv-LV"/>
              </w:rPr>
              <m:t>apakšiek, Y-2</m:t>
            </m:r>
          </m:sub>
        </m:sSub>
      </m:oMath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17D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apakšiekārtas</w:t>
      </w:r>
      <w:proofErr w:type="spellEnd"/>
      <w:r w:rsidR="00BA1912" w:rsidRPr="00427D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līmenis Y-2 gadā</w:t>
      </w:r>
    </w:p>
    <w:p w14:paraId="6AC18C40" w14:textId="77777777" w:rsidR="00BA1912" w:rsidRPr="00427DC3" w:rsidRDefault="00BA1912" w:rsidP="001E48D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10A29D46" w14:textId="77777777" w:rsidR="0058120E" w:rsidRDefault="0058120E" w:rsidP="00581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375E00" w14:textId="4FE15C94" w:rsidR="008E1EEF" w:rsidRPr="00F017D5" w:rsidRDefault="00BA1912" w:rsidP="005812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1E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ministrs </w:t>
      </w:r>
      <w:r w:rsidR="0058120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120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120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F017D5" w:rsidRPr="00F017D5">
        <w:rPr>
          <w:rFonts w:ascii="Times New Roman" w:eastAsia="Times New Roman" w:hAnsi="Times New Roman" w:cs="Times New Roman"/>
          <w:sz w:val="28"/>
          <w:szCs w:val="28"/>
          <w:lang w:eastAsia="lv-LV"/>
        </w:rPr>
        <w:t>A.T.Ple</w:t>
      </w:r>
      <w:r w:rsidR="0058120E">
        <w:rPr>
          <w:rFonts w:ascii="Times New Roman" w:eastAsia="Times New Roman" w:hAnsi="Times New Roman" w:cs="Times New Roman"/>
          <w:sz w:val="28"/>
          <w:szCs w:val="28"/>
          <w:lang w:eastAsia="lv-LV"/>
        </w:rPr>
        <w:t>šs</w:t>
      </w:r>
      <w:proofErr w:type="spellEnd"/>
    </w:p>
    <w:p w14:paraId="589F1EA7" w14:textId="77777777" w:rsidR="008E1EEF" w:rsidRPr="008E1EEF" w:rsidRDefault="008E1EEF" w:rsidP="001E48D3">
      <w:pPr>
        <w:spacing w:line="240" w:lineRule="auto"/>
        <w:ind w:firstLine="720"/>
        <w:contextualSpacing/>
      </w:pPr>
    </w:p>
    <w:sectPr w:rsidR="008E1EEF" w:rsidRPr="008E1EEF" w:rsidSect="003146F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E971" w14:textId="77777777" w:rsidR="00AF6468" w:rsidRDefault="00AF6468" w:rsidP="00BA1912">
      <w:pPr>
        <w:spacing w:after="0" w:line="240" w:lineRule="auto"/>
      </w:pPr>
      <w:r>
        <w:separator/>
      </w:r>
    </w:p>
  </w:endnote>
  <w:endnote w:type="continuationSeparator" w:id="0">
    <w:p w14:paraId="21D85E9D" w14:textId="77777777" w:rsidR="00AF6468" w:rsidRDefault="00AF6468" w:rsidP="00BA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0F0B" w14:textId="0C912F6C" w:rsidR="00AF6468" w:rsidRPr="003146F9" w:rsidRDefault="00AF6468">
    <w:pPr>
      <w:pStyle w:val="Footer"/>
      <w:rPr>
        <w:rFonts w:ascii="Times New Roman" w:hAnsi="Times New Roman"/>
        <w:sz w:val="20"/>
      </w:rPr>
    </w:pPr>
    <w:r w:rsidRPr="003146F9">
      <w:rPr>
        <w:rFonts w:ascii="Times New Roman" w:hAnsi="Times New Roman"/>
        <w:sz w:val="20"/>
      </w:rPr>
      <w:fldChar w:fldCharType="begin"/>
    </w:r>
    <w:r w:rsidRPr="003146F9">
      <w:rPr>
        <w:rFonts w:ascii="Times New Roman" w:hAnsi="Times New Roman"/>
        <w:sz w:val="20"/>
      </w:rPr>
      <w:instrText xml:space="preserve"> FILENAME   \* MERGEFORMAT </w:instrText>
    </w:r>
    <w:r w:rsidRPr="003146F9">
      <w:rPr>
        <w:rFonts w:ascii="Times New Roman" w:hAnsi="Times New Roman"/>
        <w:sz w:val="20"/>
      </w:rPr>
      <w:fldChar w:fldCharType="separate"/>
    </w:r>
    <w:r w:rsidR="001D7F50">
      <w:rPr>
        <w:rFonts w:ascii="Times New Roman" w:hAnsi="Times New Roman"/>
        <w:noProof/>
        <w:sz w:val="20"/>
      </w:rPr>
      <w:t>VARAMNotP2_080221_ES_ETS_kvotas</w:t>
    </w:r>
    <w:r w:rsidRPr="003146F9">
      <w:rPr>
        <w:rFonts w:ascii="Times New Roman" w:hAnsi="Times New Roman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19B5" w14:textId="376A9BD4" w:rsidR="003146F9" w:rsidRPr="003146F9" w:rsidRDefault="003146F9">
    <w:pPr>
      <w:pStyle w:val="Footer"/>
      <w:rPr>
        <w:rFonts w:ascii="Times New Roman" w:hAnsi="Times New Roman"/>
        <w:sz w:val="20"/>
      </w:rPr>
    </w:pPr>
    <w:r w:rsidRPr="003146F9">
      <w:rPr>
        <w:rFonts w:ascii="Times New Roman" w:hAnsi="Times New Roman"/>
        <w:sz w:val="20"/>
      </w:rPr>
      <w:fldChar w:fldCharType="begin"/>
    </w:r>
    <w:r w:rsidRPr="003146F9">
      <w:rPr>
        <w:rFonts w:ascii="Times New Roman" w:hAnsi="Times New Roman"/>
        <w:sz w:val="20"/>
      </w:rPr>
      <w:instrText xml:space="preserve"> FILENAME   \* MERGEFORMAT </w:instrText>
    </w:r>
    <w:r w:rsidRPr="003146F9">
      <w:rPr>
        <w:rFonts w:ascii="Times New Roman" w:hAnsi="Times New Roman"/>
        <w:sz w:val="20"/>
      </w:rPr>
      <w:fldChar w:fldCharType="separate"/>
    </w:r>
    <w:r w:rsidR="001D7F50">
      <w:rPr>
        <w:rFonts w:ascii="Times New Roman" w:hAnsi="Times New Roman"/>
        <w:noProof/>
        <w:sz w:val="20"/>
      </w:rPr>
      <w:t>VARAMNotP2_080221_ES_ETS_kvotas</w:t>
    </w:r>
    <w:r w:rsidRPr="003146F9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14C6" w14:textId="77777777" w:rsidR="00AF6468" w:rsidRDefault="00AF6468" w:rsidP="00BA1912">
      <w:pPr>
        <w:spacing w:after="0" w:line="240" w:lineRule="auto"/>
      </w:pPr>
      <w:r>
        <w:separator/>
      </w:r>
    </w:p>
  </w:footnote>
  <w:footnote w:type="continuationSeparator" w:id="0">
    <w:p w14:paraId="1261E1E0" w14:textId="77777777" w:rsidR="00AF6468" w:rsidRDefault="00AF6468" w:rsidP="00BA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06807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EA8FBBD" w14:textId="1239858D" w:rsidR="00AF6468" w:rsidRPr="003146F9" w:rsidRDefault="00AF6468">
        <w:pPr>
          <w:pStyle w:val="Header"/>
          <w:jc w:val="center"/>
          <w:rPr>
            <w:rFonts w:ascii="Times New Roman" w:hAnsi="Times New Roman"/>
            <w:sz w:val="24"/>
          </w:rPr>
        </w:pPr>
        <w:r w:rsidRPr="003146F9">
          <w:rPr>
            <w:rFonts w:ascii="Times New Roman" w:hAnsi="Times New Roman"/>
            <w:sz w:val="24"/>
          </w:rPr>
          <w:fldChar w:fldCharType="begin"/>
        </w:r>
        <w:r w:rsidRPr="003146F9">
          <w:rPr>
            <w:rFonts w:ascii="Times New Roman" w:hAnsi="Times New Roman"/>
            <w:sz w:val="24"/>
          </w:rPr>
          <w:instrText xml:space="preserve"> PAGE   \* MERGEFORMAT </w:instrText>
        </w:r>
        <w:r w:rsidRPr="003146F9">
          <w:rPr>
            <w:rFonts w:ascii="Times New Roman" w:hAnsi="Times New Roman"/>
            <w:sz w:val="24"/>
          </w:rPr>
          <w:fldChar w:fldCharType="separate"/>
        </w:r>
        <w:r w:rsidRPr="003146F9">
          <w:rPr>
            <w:rFonts w:ascii="Times New Roman" w:hAnsi="Times New Roman"/>
            <w:noProof/>
            <w:sz w:val="24"/>
          </w:rPr>
          <w:t>2</w:t>
        </w:r>
        <w:r w:rsidRPr="003146F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852121A" w14:textId="77777777" w:rsidR="00AF6468" w:rsidRDefault="00AF6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12"/>
    <w:rsid w:val="00013B02"/>
    <w:rsid w:val="0003430E"/>
    <w:rsid w:val="00034E6E"/>
    <w:rsid w:val="00046081"/>
    <w:rsid w:val="00053009"/>
    <w:rsid w:val="00094F3A"/>
    <w:rsid w:val="000F3E55"/>
    <w:rsid w:val="001028A3"/>
    <w:rsid w:val="0016153A"/>
    <w:rsid w:val="00161E54"/>
    <w:rsid w:val="001D03D5"/>
    <w:rsid w:val="001D7F50"/>
    <w:rsid w:val="001E48D3"/>
    <w:rsid w:val="002D39F4"/>
    <w:rsid w:val="002D659E"/>
    <w:rsid w:val="002E4928"/>
    <w:rsid w:val="002E49F5"/>
    <w:rsid w:val="003146F9"/>
    <w:rsid w:val="0032017C"/>
    <w:rsid w:val="00335660"/>
    <w:rsid w:val="00353648"/>
    <w:rsid w:val="00365A0D"/>
    <w:rsid w:val="00374025"/>
    <w:rsid w:val="0038184E"/>
    <w:rsid w:val="00387738"/>
    <w:rsid w:val="003A7919"/>
    <w:rsid w:val="003C243E"/>
    <w:rsid w:val="00474A24"/>
    <w:rsid w:val="004A6E64"/>
    <w:rsid w:val="004C3D8F"/>
    <w:rsid w:val="004D3536"/>
    <w:rsid w:val="005328A7"/>
    <w:rsid w:val="00550C3E"/>
    <w:rsid w:val="00561027"/>
    <w:rsid w:val="0058120E"/>
    <w:rsid w:val="006B6C28"/>
    <w:rsid w:val="006B71EA"/>
    <w:rsid w:val="006C091E"/>
    <w:rsid w:val="006C345D"/>
    <w:rsid w:val="006E23DE"/>
    <w:rsid w:val="006F26D3"/>
    <w:rsid w:val="007378FC"/>
    <w:rsid w:val="007709CD"/>
    <w:rsid w:val="007C55E1"/>
    <w:rsid w:val="007D36D7"/>
    <w:rsid w:val="007E1CE6"/>
    <w:rsid w:val="008019A4"/>
    <w:rsid w:val="0083231D"/>
    <w:rsid w:val="00833713"/>
    <w:rsid w:val="00843EDA"/>
    <w:rsid w:val="00852FB2"/>
    <w:rsid w:val="008671C7"/>
    <w:rsid w:val="008E1EEF"/>
    <w:rsid w:val="008F4B2C"/>
    <w:rsid w:val="00975F3C"/>
    <w:rsid w:val="00A53959"/>
    <w:rsid w:val="00AB2CEB"/>
    <w:rsid w:val="00AF5F72"/>
    <w:rsid w:val="00AF6468"/>
    <w:rsid w:val="00BA1912"/>
    <w:rsid w:val="00BF0687"/>
    <w:rsid w:val="00C43237"/>
    <w:rsid w:val="00C4459D"/>
    <w:rsid w:val="00CB7995"/>
    <w:rsid w:val="00CF196A"/>
    <w:rsid w:val="00D3137A"/>
    <w:rsid w:val="00D33011"/>
    <w:rsid w:val="00D60C78"/>
    <w:rsid w:val="00D728F0"/>
    <w:rsid w:val="00D967BE"/>
    <w:rsid w:val="00DB4B26"/>
    <w:rsid w:val="00DC08EC"/>
    <w:rsid w:val="00DC5F98"/>
    <w:rsid w:val="00DF2354"/>
    <w:rsid w:val="00E713F4"/>
    <w:rsid w:val="00E947BE"/>
    <w:rsid w:val="00E951B0"/>
    <w:rsid w:val="00EA3249"/>
    <w:rsid w:val="00EF122C"/>
    <w:rsid w:val="00F017D5"/>
    <w:rsid w:val="00F15409"/>
    <w:rsid w:val="00F4141C"/>
    <w:rsid w:val="00F47B24"/>
    <w:rsid w:val="00FB0696"/>
    <w:rsid w:val="00FC5562"/>
    <w:rsid w:val="00FD5BA0"/>
    <w:rsid w:val="00FF08F2"/>
    <w:rsid w:val="01D41FA2"/>
    <w:rsid w:val="0920BE43"/>
    <w:rsid w:val="09F36B53"/>
    <w:rsid w:val="0B8F3BB4"/>
    <w:rsid w:val="1F34A1AF"/>
    <w:rsid w:val="216FE841"/>
    <w:rsid w:val="22560E41"/>
    <w:rsid w:val="244FAF06"/>
    <w:rsid w:val="287D1191"/>
    <w:rsid w:val="288BD00C"/>
    <w:rsid w:val="2DE2740F"/>
    <w:rsid w:val="322FEFCB"/>
    <w:rsid w:val="33C4D851"/>
    <w:rsid w:val="34490A73"/>
    <w:rsid w:val="34A91D49"/>
    <w:rsid w:val="44BF4113"/>
    <w:rsid w:val="48268438"/>
    <w:rsid w:val="498FEFAF"/>
    <w:rsid w:val="4B6D89F0"/>
    <w:rsid w:val="55AFFF73"/>
    <w:rsid w:val="565FFA67"/>
    <w:rsid w:val="56C310E6"/>
    <w:rsid w:val="57CF5C2D"/>
    <w:rsid w:val="58CED22C"/>
    <w:rsid w:val="5FCCD752"/>
    <w:rsid w:val="627849C4"/>
    <w:rsid w:val="6C3D5247"/>
    <w:rsid w:val="6DD922A8"/>
    <w:rsid w:val="7C3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242FB"/>
  <w15:chartTrackingRefBased/>
  <w15:docId w15:val="{E1472818-33F6-424B-9AA6-E153B40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A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A1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12"/>
    <w:rPr>
      <w:rFonts w:eastAsiaTheme="minorEastAsia"/>
    </w:rPr>
  </w:style>
  <w:style w:type="paragraph" w:customStyle="1" w:styleId="naislab">
    <w:name w:val="naislab"/>
    <w:basedOn w:val="Normal"/>
    <w:uiPriority w:val="99"/>
    <w:rsid w:val="00BA191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A1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3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C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C3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eli/dir/2003/87/oj/?locale=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eli/dec_del/2019/708/oj/?locale=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FCF4948B9B38B45986EB71B41309B11" ma:contentTypeVersion="12" ma:contentTypeDescription="Izveidot jaunu dokumentu." ma:contentTypeScope="" ma:versionID="aa43bd63e9a2253f0664e2192b478373">
  <xsd:schema xmlns:xsd="http://www.w3.org/2001/XMLSchema" xmlns:xs="http://www.w3.org/2001/XMLSchema" xmlns:p="http://schemas.microsoft.com/office/2006/metadata/properties" xmlns:ns3="52b5ec69-d60d-44c5-a871-90af085d311e" xmlns:ns4="40e45d78-7048-4249-8b36-7612895e419c" targetNamespace="http://schemas.microsoft.com/office/2006/metadata/properties" ma:root="true" ma:fieldsID="ccde5804ff349d184156767c771cfb4f" ns3:_="" ns4:_="">
    <xsd:import namespace="52b5ec69-d60d-44c5-a871-90af085d311e"/>
    <xsd:import namespace="40e45d78-7048-4249-8b36-7612895e4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ec69-d60d-44c5-a871-90af085d3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45d78-7048-4249-8b36-7612895e4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2262-A07E-4A40-AEC6-9C00611E9D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b5ec69-d60d-44c5-a871-90af085d311e"/>
    <ds:schemaRef ds:uri="40e45d78-7048-4249-8b36-7612895e41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5FCED-D163-4E29-9B46-C02A509F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16F30-7912-4980-BE99-4D05EC133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ec69-d60d-44c5-a871-90af085d311e"/>
    <ds:schemaRef ds:uri="40e45d78-7048-4249-8b36-7612895e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F86A3-6D1C-468C-9082-674F846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12340</Words>
  <Characters>7035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"Bezmaksas emisijas kvotu piešķiršanas kārtība stacionāro tehnoloģisko iekārtu operatoriem", 2.pielikums</vt:lpstr>
    </vt:vector>
  </TitlesOfParts>
  <Company>VARAM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"Bezmaksas emisijas kvotu piešķiršanas kārtība stacionāro tehnoloģisko iekārtu operatoriem", 2.pielikums</dc:title>
  <dc:subject>Noteikumu projekts, 2. pielikums</dc:subject>
  <dc:creator>Ilze  Kamarūte</dc:creator>
  <cp:keywords/>
  <dc:description>66016702, ilze.kamarute@varam.gov.lv</dc:description>
  <cp:lastModifiedBy>Ilze  Kamarūte</cp:lastModifiedBy>
  <cp:revision>3</cp:revision>
  <cp:lastPrinted>2020-10-20T05:52:00Z</cp:lastPrinted>
  <dcterms:created xsi:type="dcterms:W3CDTF">2021-02-08T09:42:00Z</dcterms:created>
  <dcterms:modified xsi:type="dcterms:W3CDTF">2021-02-08T09:43:00Z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0x0101009FCF4948B9B38B45986EB71B41309B11</vt:lpwstr>
  </property>
</Properties>
</file>