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ED5B2" w14:textId="77777777" w:rsidR="000D3714" w:rsidRDefault="00625686" w:rsidP="00DB3D17">
      <w:pPr>
        <w:pStyle w:val="Heading1"/>
        <w:spacing w:before="0"/>
        <w:ind w:right="-567" w:firstLine="0"/>
      </w:pPr>
      <w:r w:rsidRPr="00292382">
        <w:t>Informatīvais ziņojums “</w:t>
      </w:r>
      <w:r w:rsidR="009F762E" w:rsidRPr="00292382">
        <w:t xml:space="preserve">Par </w:t>
      </w:r>
      <w:r w:rsidR="008C7B1C" w:rsidRPr="00292382">
        <w:t xml:space="preserve">vides trokšņa </w:t>
      </w:r>
      <w:r w:rsidR="000D3714" w:rsidRPr="00292382">
        <w:t>regulējumu”</w:t>
      </w:r>
    </w:p>
    <w:p w14:paraId="1E884B15" w14:textId="77777777" w:rsidR="00BE0C00" w:rsidRPr="00883849" w:rsidRDefault="00BE0C00" w:rsidP="00DB3D17"/>
    <w:p w14:paraId="6D48DE82" w14:textId="7658825F" w:rsidR="009A783D" w:rsidRPr="00292382" w:rsidRDefault="000E11B2" w:rsidP="00DB3D17">
      <w:pPr>
        <w:spacing w:before="120"/>
        <w:textAlignment w:val="baseline"/>
        <w:rPr>
          <w:rFonts w:eastAsia="Times New Roman"/>
          <w:bCs/>
          <w:szCs w:val="24"/>
        </w:rPr>
      </w:pPr>
      <w:r w:rsidRPr="00292382">
        <w:rPr>
          <w:rFonts w:eastAsia="Times New Roman" w:cs="Times New Roman"/>
          <w:szCs w:val="24"/>
          <w:lang w:eastAsia="lv-LV"/>
        </w:rPr>
        <w:t xml:space="preserve">Skaņu rada mehāniskās svārstības un viļņi, kas izplatās elastīgā vidē – gāzē, šķidrumā, cietvielā. Ar terminu </w:t>
      </w:r>
      <w:r w:rsidRPr="00292382">
        <w:rPr>
          <w:rFonts w:eastAsia="Times New Roman" w:cs="Times New Roman"/>
          <w:i/>
          <w:szCs w:val="24"/>
          <w:lang w:eastAsia="lv-LV"/>
        </w:rPr>
        <w:t xml:space="preserve">“skaņa” </w:t>
      </w:r>
      <w:r w:rsidRPr="00292382">
        <w:rPr>
          <w:rFonts w:eastAsia="Times New Roman" w:cs="Times New Roman"/>
          <w:szCs w:val="24"/>
          <w:lang w:eastAsia="lv-LV"/>
        </w:rPr>
        <w:t>saprot arī tās sajūtas, kas rodas, skaņas viļņiem iedarbojoties uz cilvēku dzirdes orgāniem</w:t>
      </w:r>
      <w:r w:rsidRPr="00292382">
        <w:rPr>
          <w:rStyle w:val="FootnoteReference"/>
          <w:rFonts w:eastAsia="Times New Roman" w:cs="Times New Roman"/>
          <w:szCs w:val="24"/>
          <w:lang w:eastAsia="lv-LV"/>
        </w:rPr>
        <w:footnoteReference w:id="2"/>
      </w:r>
      <w:r w:rsidRPr="00292382">
        <w:rPr>
          <w:rFonts w:eastAsia="Times New Roman" w:cs="Times New Roman"/>
          <w:szCs w:val="24"/>
          <w:lang w:eastAsia="lv-LV"/>
        </w:rPr>
        <w:t xml:space="preserve">. </w:t>
      </w:r>
      <w:r w:rsidR="009A783D" w:rsidRPr="00292382">
        <w:rPr>
          <w:szCs w:val="24"/>
        </w:rPr>
        <w:t xml:space="preserve">Skaņu cilvēki var uztvert kā kaut ko patīkamu, piemēram, mūzika, gan kā nepatīkamu, piemēram, oda sīkšana. Tas lielā mērā ir atkarīgs no katra cilvēka tolerances un tā, ko konkrētajā brīdī cilvēks dara. </w:t>
      </w:r>
      <w:r w:rsidR="009A783D" w:rsidRPr="00292382">
        <w:rPr>
          <w:szCs w:val="24"/>
          <w:u w:val="single"/>
        </w:rPr>
        <w:t>Gadījumos, kad skaņa ir kaitinoša vai nevēlama, tā tiek saukta par troksni.</w:t>
      </w:r>
      <w:r w:rsidR="00F31307" w:rsidRPr="00292382">
        <w:rPr>
          <w:rStyle w:val="FootnoteReference"/>
          <w:szCs w:val="24"/>
          <w:u w:val="single"/>
        </w:rPr>
        <w:footnoteReference w:id="3"/>
      </w:r>
      <w:r w:rsidR="00886ED7" w:rsidRPr="00292382">
        <w:rPr>
          <w:szCs w:val="24"/>
          <w:u w:val="single"/>
        </w:rPr>
        <w:t xml:space="preserve"> </w:t>
      </w:r>
      <w:r w:rsidR="00886ED7" w:rsidRPr="00292382">
        <w:rPr>
          <w:rFonts w:eastAsia="Times New Roman"/>
          <w:bCs/>
          <w:szCs w:val="24"/>
        </w:rPr>
        <w:t>Tas, vai troksnis ir traucējošs (spēcīgs, regulārs, ilgstošs, pastāvīgs u.tml.), novērtējams kopsakarā ar visiem lietas apstākļiem, tostarp arī ņemot vērā, piemēram, laika periodu, kādā saņemtas sūdzības, un trokšņa avotu attālumu līdz personas atrašanās vietai vai dzīvojamai telpai</w:t>
      </w:r>
      <w:r w:rsidR="002C42C5" w:rsidRPr="00292382">
        <w:rPr>
          <w:rFonts w:eastAsia="Times New Roman"/>
          <w:bCs/>
          <w:szCs w:val="24"/>
        </w:rPr>
        <w:t>.</w:t>
      </w:r>
      <w:r w:rsidR="00886ED7" w:rsidRPr="00292382">
        <w:rPr>
          <w:rStyle w:val="FootnoteReference"/>
          <w:rFonts w:eastAsia="Times New Roman"/>
          <w:bCs/>
          <w:szCs w:val="24"/>
        </w:rPr>
        <w:footnoteReference w:id="4"/>
      </w:r>
    </w:p>
    <w:p w14:paraId="5410D663" w14:textId="6050D47B" w:rsidR="000E11B2" w:rsidRPr="00292382" w:rsidRDefault="000E11B2" w:rsidP="00DB3D17">
      <w:pPr>
        <w:spacing w:before="120"/>
        <w:rPr>
          <w:szCs w:val="24"/>
        </w:rPr>
      </w:pPr>
      <w:r w:rsidRPr="00292382">
        <w:rPr>
          <w:rFonts w:eastAsia="Times New Roman" w:cs="Times New Roman"/>
          <w:szCs w:val="24"/>
          <w:lang w:eastAsia="lv-LV"/>
        </w:rPr>
        <w:t>Latvijas normatīvajos aktos troksnis ir definēts kā gaisa vidē nevēlamas, traucējošas visu veidu skaņas, kas rada diskomfortu, ietekmē dzirdi un traucē akustisko saziņu</w:t>
      </w:r>
      <w:r w:rsidR="008C10A7" w:rsidRPr="00292382">
        <w:rPr>
          <w:rFonts w:eastAsia="Times New Roman" w:cs="Times New Roman"/>
          <w:szCs w:val="24"/>
          <w:lang w:eastAsia="lv-LV"/>
        </w:rPr>
        <w:t>.</w:t>
      </w:r>
      <w:r w:rsidRPr="00292382">
        <w:rPr>
          <w:rStyle w:val="FootnoteReference"/>
          <w:rFonts w:eastAsia="Times New Roman" w:cs="Times New Roman"/>
          <w:szCs w:val="24"/>
          <w:lang w:eastAsia="lv-LV"/>
        </w:rPr>
        <w:footnoteReference w:id="5"/>
      </w:r>
      <w:r w:rsidRPr="00292382">
        <w:rPr>
          <w:rFonts w:eastAsia="Times New Roman" w:cs="Times New Roman"/>
          <w:szCs w:val="24"/>
          <w:lang w:eastAsia="lv-LV"/>
        </w:rPr>
        <w:t xml:space="preserve"> Vides troksnis ir cilvēka darbības radīts āra troksnis, piemēram, troksnis, ko rada transportlīdzekļi, ceļu satiksme, dzelzceļa satiksme, gaisa satiksme, troksnis, kas rodas rūpnieciskās darbības zonās.</w:t>
      </w:r>
    </w:p>
    <w:p w14:paraId="1F8D210E" w14:textId="77777777" w:rsidR="00F81186" w:rsidRPr="00292382" w:rsidRDefault="000D3714" w:rsidP="00F81186">
      <w:pPr>
        <w:pStyle w:val="Heading1"/>
        <w:ind w:right="-567" w:firstLine="0"/>
        <w:rPr>
          <w:rFonts w:cs="Times New Roman"/>
          <w:b w:val="0"/>
          <w:sz w:val="24"/>
          <w:szCs w:val="24"/>
        </w:rPr>
      </w:pPr>
      <w:r w:rsidRPr="00292382">
        <w:rPr>
          <w:rFonts w:cs="Times New Roman"/>
          <w:sz w:val="24"/>
          <w:szCs w:val="24"/>
        </w:rPr>
        <w:t>1. Informatīvā ziņojuma izstrādes nepieciešamības pamatojums</w:t>
      </w:r>
    </w:p>
    <w:p w14:paraId="0439EB6F" w14:textId="5676E1DD" w:rsidR="000515D1" w:rsidRPr="00292382" w:rsidRDefault="004077FE" w:rsidP="00DB3D17">
      <w:pPr>
        <w:pStyle w:val="NormalWeb"/>
        <w:spacing w:before="150" w:beforeAutospacing="0" w:after="150" w:afterAutospacing="0"/>
        <w:ind w:firstLine="720"/>
        <w:jc w:val="both"/>
        <w:rPr>
          <w:bCs/>
        </w:rPr>
      </w:pPr>
      <w:r w:rsidRPr="00292382">
        <w:t>Vides troksnis Eiropas Savienības (turpmāk – ES) trokšņa politikas kontekstā tiek definēts kā satiksmes un rūpnieciskās aktivitātes rezultātā radīts troksnis</w:t>
      </w:r>
      <w:r w:rsidR="00C908F2" w:rsidRPr="00292382">
        <w:t>.</w:t>
      </w:r>
      <w:r w:rsidRPr="00292382">
        <w:rPr>
          <w:rStyle w:val="FootnoteReference"/>
        </w:rPr>
        <w:footnoteReference w:id="6"/>
      </w:r>
      <w:r w:rsidR="00C908F2" w:rsidRPr="00292382">
        <w:t xml:space="preserve"> </w:t>
      </w:r>
      <w:r w:rsidR="00042EA5" w:rsidRPr="00292382">
        <w:t>ES trokšņa politika atšķirībā no citiem vides politikas sektoriem balstās</w:t>
      </w:r>
      <w:r w:rsidR="008746D2">
        <w:t>,</w:t>
      </w:r>
      <w:r w:rsidR="00042EA5" w:rsidRPr="00292382">
        <w:t xml:space="preserve"> galvenokārt</w:t>
      </w:r>
      <w:r w:rsidR="008746D2">
        <w:t>,</w:t>
      </w:r>
      <w:r w:rsidR="00042EA5" w:rsidRPr="00292382">
        <w:t xml:space="preserve"> uz ES iekšējā tirgus harmonizēšanas mērķiem</w:t>
      </w:r>
      <w:r w:rsidR="000515D1" w:rsidRPr="00292382">
        <w:t xml:space="preserve">, </w:t>
      </w:r>
      <w:r w:rsidR="00542610" w:rsidRPr="00292382">
        <w:t xml:space="preserve">nosakot saistošus tehniskos standartus </w:t>
      </w:r>
      <w:r w:rsidR="00D44B6A" w:rsidRPr="00292382">
        <w:t xml:space="preserve">attiecībā uz trokšņa emisijām </w:t>
      </w:r>
      <w:r w:rsidR="000515D1" w:rsidRPr="00292382">
        <w:t xml:space="preserve">no </w:t>
      </w:r>
      <w:r w:rsidR="00542610" w:rsidRPr="00292382">
        <w:t xml:space="preserve">transportlīdzekļiem, vilcieniem, gaisa kuģiem, mājsaimniecības iekārtām, ārpus telpām izmantojamām iekārtām un citām troksni veidojošām iekārtām. </w:t>
      </w:r>
      <w:r w:rsidR="00D44B6A" w:rsidRPr="00292382">
        <w:t>Šādu situāciju nosaka apstāklis, ka vides trok</w:t>
      </w:r>
      <w:r w:rsidR="00CE22FF" w:rsidRPr="00292382">
        <w:t>šņa pārvaldība</w:t>
      </w:r>
      <w:r w:rsidR="00D44B6A" w:rsidRPr="00292382">
        <w:t xml:space="preserve"> visefektīvāk </w:t>
      </w:r>
      <w:r w:rsidR="00CE22FF" w:rsidRPr="00292382">
        <w:t xml:space="preserve">ir </w:t>
      </w:r>
      <w:r w:rsidR="00D44B6A" w:rsidRPr="00292382">
        <w:t>īstenojam</w:t>
      </w:r>
      <w:r w:rsidR="00CE22FF" w:rsidRPr="00292382">
        <w:t>a</w:t>
      </w:r>
      <w:r w:rsidR="00D44B6A" w:rsidRPr="00292382">
        <w:t xml:space="preserve"> nacionālā vai pašvaldību līmenī. </w:t>
      </w:r>
      <w:r w:rsidR="00542610" w:rsidRPr="00292382">
        <w:rPr>
          <w:bCs/>
        </w:rPr>
        <w:t xml:space="preserve">Eiropas Parlamenta un Padomes 2002. gada 25. jūnija </w:t>
      </w:r>
      <w:r w:rsidR="007E18BF">
        <w:rPr>
          <w:bCs/>
        </w:rPr>
        <w:t>D</w:t>
      </w:r>
      <w:r w:rsidR="00542610" w:rsidRPr="00292382">
        <w:rPr>
          <w:bCs/>
        </w:rPr>
        <w:t xml:space="preserve">irektīva 2002/49/EK par vides trokšņa novērtēšanu un pārvaldību (turpmāk – Direktīva 2002/49/EK) ir galvenais instruments, lai identificētu trokšņa līmeņus ES un </w:t>
      </w:r>
      <w:r w:rsidR="00D44B6A" w:rsidRPr="00292382">
        <w:rPr>
          <w:bCs/>
        </w:rPr>
        <w:t>iniciētu trokšņa samazināšanas pasākumus ES dalībvalstu līmenī. Direktīva 2002/49/EK nosaka</w:t>
      </w:r>
      <w:r w:rsidR="000515D1" w:rsidRPr="00292382">
        <w:rPr>
          <w:bCs/>
        </w:rPr>
        <w:t xml:space="preserve"> prasības</w:t>
      </w:r>
      <w:r w:rsidR="00D44B6A" w:rsidRPr="00292382">
        <w:rPr>
          <w:bCs/>
        </w:rPr>
        <w:t xml:space="preserve"> transporta un rūpnieciskās darbības </w:t>
      </w:r>
      <w:r w:rsidR="000515D1" w:rsidRPr="00292382">
        <w:rPr>
          <w:bCs/>
        </w:rPr>
        <w:t>radītā vides trokšņa novērtēšanai un pārvaldībai.</w:t>
      </w:r>
    </w:p>
    <w:p w14:paraId="3D09B088" w14:textId="77777777" w:rsidR="008C48B2" w:rsidRPr="00292382" w:rsidRDefault="008C48B2" w:rsidP="00DB3D17">
      <w:pPr>
        <w:pStyle w:val="NormalWeb"/>
        <w:spacing w:before="120" w:beforeAutospacing="0" w:after="0" w:afterAutospacing="0"/>
        <w:ind w:firstLine="709"/>
        <w:jc w:val="both"/>
      </w:pPr>
      <w:r w:rsidRPr="00292382">
        <w:t>Līdz šim V</w:t>
      </w:r>
      <w:r w:rsidR="004A7C03" w:rsidRPr="00292382">
        <w:t xml:space="preserve">ides aizsardzības un reģionālās </w:t>
      </w:r>
      <w:r w:rsidR="00934198" w:rsidRPr="00292382">
        <w:t>attīstības ministrija (turpmāk –</w:t>
      </w:r>
      <w:r w:rsidR="004A7C03" w:rsidRPr="00292382">
        <w:t xml:space="preserve"> VARAM)</w:t>
      </w:r>
      <w:r w:rsidRPr="00292382">
        <w:t xml:space="preserve"> kā atbildīgā nozares ministrija attiecībā uz vides trokšņa pārvaldību ir virzījusi diskusiju par atsevišķu trokšņa avotu pārvaldību (s</w:t>
      </w:r>
      <w:r w:rsidRPr="00292382">
        <w:rPr>
          <w:shd w:val="clear" w:color="auto" w:fill="FFFFFF"/>
        </w:rPr>
        <w:t xml:space="preserve">porta bāzu reģistrā reģistrētās atklātajās autosporta un motosporta bāzēs, kurās iespējams nodrošināt treniņu procesu un sacensības autosporta un motosporta veidos un kuras izvietotas apdzīvotā vietā (pilsētā vai ciemā)), kā arī </w:t>
      </w:r>
      <w:r w:rsidRPr="00292382">
        <w:t>par trokšņa normatīvā regulējuma pilnveidošanu attiecībā uz sabiedrisko kārtību un satiksmes radīto troksni 2015. gada 14. aprīlī izveidotajā darba grupā. Tomēr nevienā no gadījumiem VARAM ieceres nav sekmīgi īstenojušās:</w:t>
      </w:r>
    </w:p>
    <w:p w14:paraId="37C61584" w14:textId="3B7A6636" w:rsidR="008C48B2" w:rsidRPr="00292382" w:rsidRDefault="008C48B2" w:rsidP="000A66E8">
      <w:pPr>
        <w:pStyle w:val="NormalWeb"/>
        <w:numPr>
          <w:ilvl w:val="0"/>
          <w:numId w:val="5"/>
        </w:numPr>
        <w:spacing w:before="0" w:beforeAutospacing="0" w:after="0" w:afterAutospacing="0"/>
        <w:ind w:left="777" w:hanging="357"/>
        <w:jc w:val="both"/>
      </w:pPr>
      <w:r w:rsidRPr="00292382">
        <w:t xml:space="preserve">regulējums par vides trokšņa robežlielumiem ārpus telpām izvietotām trasēm (Ministru kabineta 2014. gada 7. janvāra noteikumu Nr. 16 “Trokšņa novērtēšanas un pārvaldības kārtība” 2. pielikuma 2. punkts) ar </w:t>
      </w:r>
      <w:r w:rsidR="00491A3D" w:rsidRPr="00292382">
        <w:t xml:space="preserve">Latvijas Republikas </w:t>
      </w:r>
      <w:r w:rsidRPr="00292382">
        <w:t>Satversmes tiesas 2017. gad</w:t>
      </w:r>
      <w:r w:rsidR="00AC5549" w:rsidRPr="00292382">
        <w:t xml:space="preserve">a </w:t>
      </w:r>
      <w:r w:rsidR="00AC5549" w:rsidRPr="00292382">
        <w:lastRenderedPageBreak/>
        <w:t xml:space="preserve">19. decembra </w:t>
      </w:r>
      <w:r w:rsidR="001E2915" w:rsidRPr="00AD0F36">
        <w:t>spriedumu</w:t>
      </w:r>
      <w:r w:rsidR="001E2915">
        <w:t xml:space="preserve"> </w:t>
      </w:r>
      <w:r w:rsidR="00AC5549" w:rsidRPr="00292382">
        <w:t>lietā Nr. </w:t>
      </w:r>
      <w:r w:rsidRPr="00292382">
        <w:t>2017-02-03</w:t>
      </w:r>
      <w:r w:rsidR="008D681C">
        <w:rPr>
          <w:rStyle w:val="FootnoteReference"/>
        </w:rPr>
        <w:footnoteReference w:id="7"/>
      </w:r>
      <w:r w:rsidRPr="00292382">
        <w:t xml:space="preserve"> tika atzīts par neatbilstošu Latvijas Republikas Satversmes 111. un 115. pantam</w:t>
      </w:r>
      <w:r w:rsidR="00B15933" w:rsidRPr="00292382">
        <w:t>;</w:t>
      </w:r>
    </w:p>
    <w:p w14:paraId="45344710" w14:textId="3C8E69AD" w:rsidR="008C48B2" w:rsidRPr="00292382" w:rsidRDefault="008C48B2" w:rsidP="000A66E8">
      <w:pPr>
        <w:pStyle w:val="NormalWeb"/>
        <w:numPr>
          <w:ilvl w:val="0"/>
          <w:numId w:val="5"/>
        </w:numPr>
        <w:spacing w:before="0" w:beforeAutospacing="0" w:after="0" w:afterAutospacing="0"/>
        <w:ind w:left="777" w:hanging="357"/>
        <w:jc w:val="both"/>
      </w:pPr>
      <w:r w:rsidRPr="00292382">
        <w:t>Trokšņa darba grupas plašais sastāvs</w:t>
      </w:r>
      <w:r w:rsidR="008746D2">
        <w:t xml:space="preserve"> (</w:t>
      </w:r>
      <w:r w:rsidR="008746D2" w:rsidRPr="00292382">
        <w:t>31 dalībniek</w:t>
      </w:r>
      <w:r w:rsidR="008746D2">
        <w:t>s)</w:t>
      </w:r>
      <w:r w:rsidRPr="00292382">
        <w:t>, kas nodrošināja pārstāvniecību no nozaru ministrijām, valsts un pašvaldības institūcijām, satiksmes infrastruktūru pārvaldītājiem, asociācijām un biedrībām</w:t>
      </w:r>
      <w:r w:rsidR="008A20D8">
        <w:t>,</w:t>
      </w:r>
      <w:r w:rsidRPr="00292382">
        <w:t xml:space="preserve"> faktiski veica konsultatīvās padomes funkcijas</w:t>
      </w:r>
      <w:r w:rsidR="00807787" w:rsidRPr="00292382">
        <w:t>,</w:t>
      </w:r>
      <w:r w:rsidRPr="00292382">
        <w:t xml:space="preserve"> nevis konkrētu normatīvo aktu projektu izstrādi.</w:t>
      </w:r>
    </w:p>
    <w:p w14:paraId="0197100D" w14:textId="3E78F2BB" w:rsidR="00B13FEA" w:rsidRPr="00292382" w:rsidRDefault="008C48B2" w:rsidP="00DB3D17">
      <w:pPr>
        <w:pStyle w:val="NormalWeb"/>
        <w:spacing w:before="120" w:beforeAutospacing="0" w:after="0" w:afterAutospacing="0"/>
        <w:ind w:firstLine="709"/>
        <w:jc w:val="both"/>
      </w:pPr>
      <w:r w:rsidRPr="00292382">
        <w:t xml:space="preserve">Satiksmes ministrija </w:t>
      </w:r>
      <w:r w:rsidR="00491A3D" w:rsidRPr="00292382">
        <w:t xml:space="preserve">2016. gada 9. maijā </w:t>
      </w:r>
      <w:r w:rsidRPr="00292382">
        <w:t xml:space="preserve">izveidoja darba grupu </w:t>
      </w:r>
      <w:r w:rsidR="007E25CF" w:rsidRPr="00292382">
        <w:t xml:space="preserve">(turpmāk – SM darba grupa) </w:t>
      </w:r>
      <w:r w:rsidRPr="00292382">
        <w:t>grozījumu izstrādei Ministru kabineta 2014. gada 7.</w:t>
      </w:r>
      <w:r w:rsidR="008A20D8">
        <w:t> </w:t>
      </w:r>
      <w:r w:rsidRPr="00292382">
        <w:t xml:space="preserve">janvāra noteikumos Nr. 16 “Trokšņa novērtēšanas un pārvaldības kārtība” </w:t>
      </w:r>
      <w:r w:rsidR="00B13FEA" w:rsidRPr="00292382">
        <w:t xml:space="preserve">(turpmāk – MK noteikumi Nr. 16) </w:t>
      </w:r>
      <w:r w:rsidRPr="00292382">
        <w:t>trokšņa novērtēšanai un pārvaldībai transporta sektorā</w:t>
      </w:r>
      <w:r w:rsidR="007735C4" w:rsidRPr="00292382">
        <w:t xml:space="preserve">. SM darba grupas uzdevums bija </w:t>
      </w:r>
      <w:r w:rsidR="00651FDB" w:rsidRPr="00292382">
        <w:t xml:space="preserve">arī </w:t>
      </w:r>
      <w:r w:rsidR="007735C4" w:rsidRPr="00292382">
        <w:t xml:space="preserve">sniegt </w:t>
      </w:r>
      <w:r w:rsidR="007E25CF" w:rsidRPr="00292382">
        <w:t xml:space="preserve">priekšlikumus, komentārus un piedāvājumus rīcībai Satiksmes ministrijas vadībai par trokšņa </w:t>
      </w:r>
      <w:r w:rsidR="004B5920" w:rsidRPr="00292382">
        <w:t>novērtēšanu un pārvaldību transporta sektorā</w:t>
      </w:r>
      <w:r w:rsidRPr="00292382">
        <w:t xml:space="preserve">. </w:t>
      </w:r>
      <w:r w:rsidR="007E25CF" w:rsidRPr="00292382">
        <w:t xml:space="preserve">SM darba grupā bija </w:t>
      </w:r>
      <w:r w:rsidR="004B5920" w:rsidRPr="00292382">
        <w:t>pārstāvēta VARAM, Veselības inspekcija, VAS “Latvijas dzelzceļš”, VAS “Starptautiskā lidosta “Rīga”” un SIA “Eiropas dzelzceļa līnijas”. SM darba grupas sanāksme tika organizēta 2016. gada 27. maijā</w:t>
      </w:r>
      <w:r w:rsidR="000F6B4B" w:rsidRPr="00292382">
        <w:t>. Grozījumu projekta MK noteikum</w:t>
      </w:r>
      <w:r w:rsidR="00A35F88">
        <w:t>u</w:t>
      </w:r>
      <w:r w:rsidR="009E29CC" w:rsidRPr="00292382">
        <w:t xml:space="preserve"> Nr.</w:t>
      </w:r>
      <w:r w:rsidR="008A20D8">
        <w:t> </w:t>
      </w:r>
      <w:r w:rsidR="009E29CC" w:rsidRPr="00292382">
        <w:t>16</w:t>
      </w:r>
      <w:r w:rsidR="000F6B4B" w:rsidRPr="00292382">
        <w:t xml:space="preserve"> </w:t>
      </w:r>
      <w:r w:rsidR="009E29CC" w:rsidRPr="00292382">
        <w:t>sākotnējās ietekmes novērtējuma ziņojumā (</w:t>
      </w:r>
      <w:r w:rsidR="00B13FEA" w:rsidRPr="00292382">
        <w:t>anotācijā</w:t>
      </w:r>
      <w:r w:rsidR="009E29CC" w:rsidRPr="00292382">
        <w:t>)</w:t>
      </w:r>
      <w:r w:rsidR="00B13FEA" w:rsidRPr="00292382">
        <w:t xml:space="preserve"> par tiesību akta projekta izstrādes nepieciešamību bija norādīts, ka:</w:t>
      </w:r>
    </w:p>
    <w:p w14:paraId="1B4F7108" w14:textId="4C325120" w:rsidR="00B13FEA" w:rsidRPr="00292382" w:rsidRDefault="00B13FEA" w:rsidP="000A66E8">
      <w:pPr>
        <w:pStyle w:val="NormalWeb"/>
        <w:numPr>
          <w:ilvl w:val="0"/>
          <w:numId w:val="10"/>
        </w:numPr>
        <w:spacing w:before="0" w:beforeAutospacing="0" w:after="0" w:afterAutospacing="0"/>
        <w:ind w:left="777" w:hanging="357"/>
        <w:jc w:val="both"/>
      </w:pPr>
      <w:r w:rsidRPr="00292382">
        <w:t xml:space="preserve">MK noteikumus Nr. 16 ir nepieciešams aktualizēt saskaņā ar 2016. gada </w:t>
      </w:r>
      <w:r w:rsidR="00B65F74">
        <w:t>2</w:t>
      </w:r>
      <w:r w:rsidRPr="00292382">
        <w:t>9. </w:t>
      </w:r>
      <w:r w:rsidR="00B65F74" w:rsidRPr="00292382">
        <w:t>jūnij</w:t>
      </w:r>
      <w:r w:rsidR="00B65F74">
        <w:t>a</w:t>
      </w:r>
      <w:r w:rsidR="00B65F74" w:rsidRPr="00292382">
        <w:t xml:space="preserve"> </w:t>
      </w:r>
      <w:r w:rsidRPr="00292382">
        <w:t>likumu “Grozījumi likumā “Par piesārņojumu”</w:t>
      </w:r>
      <w:r w:rsidR="008A20D8">
        <w:t>”</w:t>
      </w:r>
      <w:r w:rsidRPr="00292382">
        <w:t>;</w:t>
      </w:r>
    </w:p>
    <w:p w14:paraId="51AFFD20" w14:textId="77777777" w:rsidR="00091B2F" w:rsidRPr="00292382" w:rsidRDefault="00B13FEA" w:rsidP="000A66E8">
      <w:pPr>
        <w:pStyle w:val="NormalWeb"/>
        <w:numPr>
          <w:ilvl w:val="0"/>
          <w:numId w:val="10"/>
        </w:numPr>
        <w:spacing w:before="0" w:beforeAutospacing="0" w:after="0" w:afterAutospacing="0"/>
        <w:ind w:left="777" w:hanging="357"/>
        <w:jc w:val="both"/>
      </w:pPr>
      <w:r w:rsidRPr="00292382">
        <w:t xml:space="preserve">Nepieciešams mazināt transporta nozares administratīvo un finansiālo slogu, izpildot </w:t>
      </w:r>
      <w:r w:rsidR="00091B2F" w:rsidRPr="00292382">
        <w:t>nepamatoti augstas trokšņa ierobežošanas normatīvā regulējuma prasības.</w:t>
      </w:r>
    </w:p>
    <w:p w14:paraId="678E82F6" w14:textId="07A5F3A9" w:rsidR="00091B2F" w:rsidRPr="00292382" w:rsidRDefault="000F6B4B" w:rsidP="00E6193B">
      <w:pPr>
        <w:pStyle w:val="NormalWeb"/>
        <w:spacing w:before="120" w:beforeAutospacing="0" w:after="0" w:afterAutospacing="0"/>
        <w:jc w:val="both"/>
      </w:pPr>
      <w:r w:rsidRPr="00292382">
        <w:t>Grozījumu projekts MK noteikumos Nr. 16</w:t>
      </w:r>
      <w:r w:rsidR="0093601D">
        <w:t>,</w:t>
      </w:r>
      <w:r w:rsidR="00091B2F" w:rsidRPr="00292382">
        <w:t xml:space="preserve"> cita starpā paredzēja</w:t>
      </w:r>
      <w:r w:rsidRPr="00292382">
        <w:t>:</w:t>
      </w:r>
    </w:p>
    <w:p w14:paraId="614300B7" w14:textId="73E97097" w:rsidR="00E6193B" w:rsidRPr="00292382" w:rsidRDefault="00091B2F" w:rsidP="000A66E8">
      <w:pPr>
        <w:pStyle w:val="NormalWeb"/>
        <w:numPr>
          <w:ilvl w:val="0"/>
          <w:numId w:val="11"/>
        </w:numPr>
        <w:spacing w:before="0" w:beforeAutospacing="0" w:after="0" w:afterAutospacing="0"/>
        <w:jc w:val="both"/>
      </w:pPr>
      <w:r w:rsidRPr="00292382">
        <w:t>Ja trokšņa rādītāja vērtība saskaņā ar trokšņa novērtēšanas datiem (tai skaitā, ar trokšņa stratēģisko karti) pārsniedz MK noteikumu Nr. 16 2. pielikumā noteiktos vides trokšņa robežlielumus ir pieļaujam</w:t>
      </w:r>
      <w:r w:rsidR="001E7540" w:rsidRPr="00292382">
        <w:t>a</w:t>
      </w:r>
      <w:r w:rsidRPr="00292382">
        <w:t xml:space="preserve"> ēku būvniecība tikai tad, ja tiek īstenoti prettrokšņa pasākumi atbilstoši Latvijas Būvnormatīvam LBN 016-15 “Būvakustika”</w:t>
      </w:r>
      <w:r w:rsidRPr="00292382">
        <w:rPr>
          <w:rStyle w:val="FootnoteReference"/>
        </w:rPr>
        <w:footnoteReference w:id="8"/>
      </w:r>
      <w:r w:rsidR="00E6193B" w:rsidRPr="00292382">
        <w:t xml:space="preserve"> un tiek nodrošināti MK noteikumu Nr. 16 4. pielikumā noteikt</w:t>
      </w:r>
      <w:r w:rsidR="001E7540" w:rsidRPr="00292382">
        <w:t>ie</w:t>
      </w:r>
      <w:r w:rsidR="00E6193B" w:rsidRPr="00292382">
        <w:t xml:space="preserve"> trokšņa robežlielum</w:t>
      </w:r>
      <w:r w:rsidR="001E7540" w:rsidRPr="00292382">
        <w:t>i</w:t>
      </w:r>
      <w:r w:rsidR="00E6193B" w:rsidRPr="00292382">
        <w:t xml:space="preserve"> telpās;</w:t>
      </w:r>
    </w:p>
    <w:p w14:paraId="627F5527" w14:textId="77777777" w:rsidR="000F6B4B" w:rsidRPr="00292382" w:rsidRDefault="00E6193B" w:rsidP="000A66E8">
      <w:pPr>
        <w:pStyle w:val="NormalWeb"/>
        <w:numPr>
          <w:ilvl w:val="0"/>
          <w:numId w:val="11"/>
        </w:numPr>
        <w:spacing w:before="0" w:beforeAutospacing="0" w:after="0" w:afterAutospacing="0"/>
        <w:jc w:val="both"/>
      </w:pPr>
      <w:r w:rsidRPr="00292382">
        <w:t xml:space="preserve">Paaugstināt noteiktos vides trokšņa robežlielumus </w:t>
      </w:r>
      <w:proofErr w:type="spellStart"/>
      <w:r w:rsidRPr="00292382">
        <w:t>L</w:t>
      </w:r>
      <w:r w:rsidRPr="00292382">
        <w:rPr>
          <w:vertAlign w:val="subscript"/>
        </w:rPr>
        <w:t>diena</w:t>
      </w:r>
      <w:proofErr w:type="spellEnd"/>
      <w:r w:rsidRPr="00292382">
        <w:t xml:space="preserve"> (</w:t>
      </w:r>
      <w:proofErr w:type="spellStart"/>
      <w:r w:rsidRPr="00292382">
        <w:t>dB</w:t>
      </w:r>
      <w:proofErr w:type="spellEnd"/>
      <w:r w:rsidRPr="00292382">
        <w:t xml:space="preserve">(A)), </w:t>
      </w:r>
      <w:proofErr w:type="spellStart"/>
      <w:r w:rsidRPr="00292382">
        <w:t>L</w:t>
      </w:r>
      <w:r w:rsidRPr="00292382">
        <w:rPr>
          <w:vertAlign w:val="subscript"/>
        </w:rPr>
        <w:t>vakars</w:t>
      </w:r>
      <w:proofErr w:type="spellEnd"/>
      <w:r w:rsidRPr="00292382">
        <w:t xml:space="preserve"> (</w:t>
      </w:r>
      <w:proofErr w:type="spellStart"/>
      <w:r w:rsidRPr="00292382">
        <w:t>dB</w:t>
      </w:r>
      <w:proofErr w:type="spellEnd"/>
      <w:r w:rsidRPr="00292382">
        <w:t xml:space="preserve">(A)), </w:t>
      </w:r>
      <w:proofErr w:type="spellStart"/>
      <w:r w:rsidRPr="00292382">
        <w:t>L</w:t>
      </w:r>
      <w:r w:rsidRPr="00292382">
        <w:rPr>
          <w:vertAlign w:val="subscript"/>
        </w:rPr>
        <w:t>nakts</w:t>
      </w:r>
      <w:proofErr w:type="spellEnd"/>
      <w:r w:rsidRPr="00292382">
        <w:t xml:space="preserve"> (</w:t>
      </w:r>
      <w:proofErr w:type="spellStart"/>
      <w:r w:rsidRPr="00292382">
        <w:t>dB</w:t>
      </w:r>
      <w:proofErr w:type="spellEnd"/>
      <w:r w:rsidRPr="00292382">
        <w:t xml:space="preserve">(A)) par 10 </w:t>
      </w:r>
      <w:proofErr w:type="spellStart"/>
      <w:r w:rsidRPr="00292382">
        <w:t>dB</w:t>
      </w:r>
      <w:proofErr w:type="spellEnd"/>
      <w:r w:rsidRPr="00292382">
        <w:t>(A).</w:t>
      </w:r>
    </w:p>
    <w:p w14:paraId="49F2AFDB" w14:textId="0093C241" w:rsidR="008C48B2" w:rsidRPr="00292382" w:rsidRDefault="00B13ECD" w:rsidP="00DB3D17">
      <w:pPr>
        <w:pStyle w:val="NormalWeb"/>
        <w:spacing w:before="120" w:beforeAutospacing="0" w:after="0" w:afterAutospacing="0"/>
        <w:ind w:firstLine="709"/>
        <w:jc w:val="both"/>
      </w:pPr>
      <w:r w:rsidRPr="00292382">
        <w:t xml:space="preserve">VARAM neatbalstīja </w:t>
      </w:r>
      <w:r w:rsidR="006F571E" w:rsidRPr="00292382">
        <w:t xml:space="preserve">Satiksmes ministrijas </w:t>
      </w:r>
      <w:r w:rsidR="0071024F" w:rsidRPr="00292382">
        <w:t xml:space="preserve">sākotnējā </w:t>
      </w:r>
      <w:r w:rsidR="006F571E" w:rsidRPr="00292382">
        <w:t>priekšlikum</w:t>
      </w:r>
      <w:r w:rsidRPr="00292382">
        <w:t>a</w:t>
      </w:r>
      <w:r w:rsidR="006F571E" w:rsidRPr="00292382">
        <w:t xml:space="preserve"> par </w:t>
      </w:r>
      <w:r w:rsidR="009E29CC" w:rsidRPr="00292382">
        <w:t xml:space="preserve">sagatavoto </w:t>
      </w:r>
      <w:r w:rsidR="006F571E" w:rsidRPr="00292382">
        <w:t>MK noteikumu Nr. 16 grozījumu projekt</w:t>
      </w:r>
      <w:r w:rsidRPr="00292382">
        <w:t>u tālāko virzību</w:t>
      </w:r>
      <w:r w:rsidR="0075522D" w:rsidRPr="00292382">
        <w:t>, pieņemot, ka</w:t>
      </w:r>
      <w:r w:rsidR="0071024F" w:rsidRPr="00292382">
        <w:t xml:space="preserve"> tas tiks pilnveidots un diskutēts SM darba grupā</w:t>
      </w:r>
      <w:r w:rsidRPr="00292382">
        <w:t>.</w:t>
      </w:r>
    </w:p>
    <w:p w14:paraId="7E51339B" w14:textId="4751FE05" w:rsidR="007B35DF" w:rsidRPr="00292382" w:rsidRDefault="007B35DF" w:rsidP="00DB3D17">
      <w:pPr>
        <w:pStyle w:val="NormalWeb"/>
        <w:spacing w:before="150" w:beforeAutospacing="0" w:after="150" w:afterAutospacing="0"/>
        <w:ind w:firstLine="709"/>
        <w:jc w:val="both"/>
      </w:pPr>
      <w:r w:rsidRPr="00292382">
        <w:t>Ministru kabineta 2019.</w:t>
      </w:r>
      <w:r w:rsidR="008A20D8">
        <w:t> </w:t>
      </w:r>
      <w:r w:rsidRPr="00292382">
        <w:t xml:space="preserve">gada 2. jūlija sēdes protokollēmuma (protokols Nr. 31, 33.§) (pieejams Ministru kabineta tīmekļvietnē </w:t>
      </w:r>
      <w:hyperlink r:id="rId8" w:history="1">
        <w:r w:rsidRPr="00292382">
          <w:rPr>
            <w:rStyle w:val="Hyperlink"/>
          </w:rPr>
          <w:t>http://tap.mk.gov.lv/mk/mksedes/saraksts/protokols/?protokols=2019-07-02</w:t>
        </w:r>
      </w:hyperlink>
      <w:r w:rsidRPr="00292382">
        <w:t xml:space="preserve">) 2. punkts noteic, ka, lai izvērtētu </w:t>
      </w:r>
      <w:proofErr w:type="spellStart"/>
      <w:r w:rsidRPr="00292382">
        <w:t>problēmjautājumus</w:t>
      </w:r>
      <w:proofErr w:type="spellEnd"/>
      <w:r w:rsidRPr="00292382">
        <w:t>, kas saistīti ar vides trokšņa novērtēšanu un pārvaldību, kā arī, lai izstrādātu priekšlikumus to risināšanai,</w:t>
      </w:r>
      <w:r w:rsidR="002F361A" w:rsidRPr="00292382">
        <w:t xml:space="preserve"> VARAM</w:t>
      </w:r>
      <w:r w:rsidRPr="00292382">
        <w:t xml:space="preserve"> sadarbībā ar Satiksmes ministriju</w:t>
      </w:r>
      <w:r w:rsidR="002F361A" w:rsidRPr="00292382">
        <w:t xml:space="preserve"> (turpmāk – SM)</w:t>
      </w:r>
      <w:r w:rsidRPr="00292382">
        <w:t>, Ekonomikas ministriju</w:t>
      </w:r>
      <w:r w:rsidR="002F361A" w:rsidRPr="00292382">
        <w:t xml:space="preserve"> (turpmāk – EM)</w:t>
      </w:r>
      <w:r w:rsidRPr="00292382">
        <w:t>, Veselības ministriju</w:t>
      </w:r>
      <w:r w:rsidR="002F361A" w:rsidRPr="00292382">
        <w:t xml:space="preserve"> (turpmāk – VM)</w:t>
      </w:r>
      <w:r w:rsidRPr="00292382">
        <w:t>, Izglītības un zinātnes ministriju</w:t>
      </w:r>
      <w:r w:rsidR="002F361A" w:rsidRPr="00292382">
        <w:t xml:space="preserve"> (turpmāk – IZM)</w:t>
      </w:r>
      <w:r w:rsidRPr="00292382">
        <w:t xml:space="preserve"> un Kultūras ministriju </w:t>
      </w:r>
      <w:r w:rsidR="002F361A" w:rsidRPr="00292382">
        <w:t xml:space="preserve">(turpmāk – KM) </w:t>
      </w:r>
      <w:r w:rsidRPr="00292382">
        <w:t>sagatavo informatīv</w:t>
      </w:r>
      <w:r w:rsidR="007735C4" w:rsidRPr="00292382">
        <w:t>o</w:t>
      </w:r>
      <w:r w:rsidRPr="00292382">
        <w:t xml:space="preserve"> ziņojum</w:t>
      </w:r>
      <w:r w:rsidR="007735C4" w:rsidRPr="00292382">
        <w:t>u</w:t>
      </w:r>
      <w:r w:rsidRPr="00292382">
        <w:t xml:space="preserve"> “Par vides trokšņa regulējumu” (turpmāk – informatīvais ziņojums) un līdz 2019. gada 30. septembrim iesniegt izskatīšanai Ministru kabinetā</w:t>
      </w:r>
      <w:r w:rsidR="0012186E" w:rsidRPr="00292382">
        <w:t>.</w:t>
      </w:r>
    </w:p>
    <w:p w14:paraId="0C35B35A" w14:textId="77777777" w:rsidR="00AB7D27" w:rsidRPr="00292382" w:rsidRDefault="008C48B2" w:rsidP="00AB7D27">
      <w:pPr>
        <w:pStyle w:val="NormalWeb"/>
        <w:spacing w:before="150" w:beforeAutospacing="0" w:after="150" w:afterAutospacing="0"/>
        <w:ind w:right="-567"/>
        <w:jc w:val="center"/>
        <w:rPr>
          <w:bCs/>
        </w:rPr>
      </w:pPr>
      <w:r w:rsidRPr="00292382">
        <w:rPr>
          <w:b/>
          <w:bCs/>
        </w:rPr>
        <w:t>2</w:t>
      </w:r>
      <w:r w:rsidR="00AB7D27" w:rsidRPr="00292382">
        <w:rPr>
          <w:b/>
          <w:bCs/>
        </w:rPr>
        <w:t>. Vides trokšņa regulējuma attīstība Latvijā</w:t>
      </w:r>
    </w:p>
    <w:p w14:paraId="032E48DC" w14:textId="77777777" w:rsidR="009866EF" w:rsidRPr="00292382" w:rsidRDefault="009866EF" w:rsidP="00DB3D17">
      <w:pPr>
        <w:pStyle w:val="NormalWeb"/>
        <w:spacing w:before="150" w:beforeAutospacing="0" w:after="0" w:afterAutospacing="0"/>
        <w:ind w:firstLine="709"/>
        <w:jc w:val="both"/>
        <w:rPr>
          <w:bCs/>
        </w:rPr>
      </w:pPr>
      <w:r w:rsidRPr="00292382">
        <w:rPr>
          <w:bCs/>
        </w:rPr>
        <w:t>Direktīvas 2002/49/EK 1. panta 1. punkts noteic, ka šīs direktīvas mērķis ir</w:t>
      </w:r>
      <w:r w:rsidRPr="00292382">
        <w:t xml:space="preserve"> formulēt kopēju pieeju, </w:t>
      </w:r>
      <w:r w:rsidRPr="00292382">
        <w:rPr>
          <w:u w:val="single"/>
        </w:rPr>
        <w:t>lai prioritārās jomās</w:t>
      </w:r>
      <w:r w:rsidRPr="00292382">
        <w:t xml:space="preserve"> </w:t>
      </w:r>
      <w:r w:rsidRPr="00292382">
        <w:rPr>
          <w:bCs/>
        </w:rPr>
        <w:t xml:space="preserve">(ceļu un dzelzceļu, lidostu satiksme, rūpnieciskās iekārtas, ārpus telpām izmantojamas iekārtas un pārvietojamie mehānismi) </w:t>
      </w:r>
      <w:r w:rsidRPr="00292382">
        <w:t xml:space="preserve">nepieļautu, novērstu vai </w:t>
      </w:r>
      <w:r w:rsidRPr="00292382">
        <w:lastRenderedPageBreak/>
        <w:t xml:space="preserve">samazinātu kaitīgās sekas, ieskaitot kairinājumu, kas rodas, iedarbojoties vides troksnim. </w:t>
      </w:r>
      <w:r w:rsidRPr="00292382">
        <w:rPr>
          <w:bCs/>
        </w:rPr>
        <w:t>Direktīvas 2002/49/EK 1. pants noteic</w:t>
      </w:r>
      <w:r w:rsidRPr="00292382">
        <w:t>, ka, l</w:t>
      </w:r>
      <w:r w:rsidRPr="00292382">
        <w:rPr>
          <w:bCs/>
        </w:rPr>
        <w:t xml:space="preserve">ai sasniegtu šo mērķi, </w:t>
      </w:r>
      <w:r w:rsidRPr="00292382">
        <w:rPr>
          <w:bCs/>
          <w:u w:val="single"/>
        </w:rPr>
        <w:t>pakāpeniski veic</w:t>
      </w:r>
      <w:r w:rsidRPr="00292382">
        <w:t xml:space="preserve"> šādus pasākumus:</w:t>
      </w:r>
    </w:p>
    <w:p w14:paraId="21ADC623" w14:textId="77777777" w:rsidR="009866EF" w:rsidRPr="00292382" w:rsidRDefault="009866EF" w:rsidP="000A66E8">
      <w:pPr>
        <w:pStyle w:val="ListParagraph"/>
        <w:numPr>
          <w:ilvl w:val="0"/>
          <w:numId w:val="7"/>
        </w:numPr>
        <w:ind w:left="709" w:right="142" w:hanging="283"/>
        <w:rPr>
          <w:color w:val="000000"/>
        </w:rPr>
      </w:pPr>
      <w:r w:rsidRPr="00292382">
        <w:rPr>
          <w:rFonts w:eastAsia="Times New Roman" w:cs="Times New Roman"/>
          <w:szCs w:val="24"/>
          <w:lang w:eastAsia="lv-LV"/>
        </w:rPr>
        <w:t xml:space="preserve">nosaka </w:t>
      </w:r>
      <w:r w:rsidRPr="00292382">
        <w:rPr>
          <w:rFonts w:cs="Times New Roman"/>
          <w:szCs w:val="24"/>
        </w:rPr>
        <w:t xml:space="preserve">vides trokšņa </w:t>
      </w:r>
      <w:r w:rsidRPr="00292382">
        <w:rPr>
          <w:rFonts w:eastAsia="Times New Roman" w:cs="Times New Roman"/>
          <w:szCs w:val="24"/>
          <w:lang w:eastAsia="lv-LV"/>
        </w:rPr>
        <w:t xml:space="preserve">iedarbību, veicot trokšņa kartēšanu </w:t>
      </w:r>
      <w:r w:rsidRPr="00292382">
        <w:rPr>
          <w:rFonts w:eastAsia="Times New Roman" w:cs="Times New Roman"/>
          <w:color w:val="000000"/>
          <w:szCs w:val="24"/>
          <w:lang w:eastAsia="lv-LV"/>
        </w:rPr>
        <w:t>ar dalībvalstīm kopējām vērtēšanas metodēm;</w:t>
      </w:r>
    </w:p>
    <w:p w14:paraId="2296F89F" w14:textId="77777777" w:rsidR="009866EF" w:rsidRPr="00292382" w:rsidRDefault="009866EF" w:rsidP="000A66E8">
      <w:pPr>
        <w:pStyle w:val="ListParagraph"/>
        <w:numPr>
          <w:ilvl w:val="0"/>
          <w:numId w:val="7"/>
        </w:numPr>
        <w:ind w:left="709" w:right="142" w:hanging="283"/>
        <w:rPr>
          <w:color w:val="000000"/>
        </w:rPr>
      </w:pPr>
      <w:r w:rsidRPr="00292382">
        <w:rPr>
          <w:rFonts w:eastAsia="Times New Roman" w:cs="Times New Roman"/>
          <w:color w:val="000000"/>
          <w:szCs w:val="24"/>
          <w:lang w:eastAsia="lv-LV"/>
        </w:rPr>
        <w:t xml:space="preserve">nodrošina sabiedrībai pieejamu informāciju par vides troksni un tā ietekmi; </w:t>
      </w:r>
    </w:p>
    <w:p w14:paraId="14CCB651" w14:textId="09AEFA07" w:rsidR="009866EF" w:rsidRPr="00292382" w:rsidRDefault="009866EF" w:rsidP="000A66E8">
      <w:pPr>
        <w:pStyle w:val="ListParagraph"/>
        <w:numPr>
          <w:ilvl w:val="0"/>
          <w:numId w:val="7"/>
        </w:numPr>
        <w:ind w:left="709" w:right="142" w:hanging="283"/>
        <w:rPr>
          <w:color w:val="000000"/>
        </w:rPr>
      </w:pPr>
      <w:r w:rsidRPr="00292382">
        <w:rPr>
          <w:rFonts w:eastAsia="Times New Roman" w:cs="Times New Roman"/>
          <w:color w:val="000000"/>
          <w:szCs w:val="24"/>
          <w:lang w:eastAsia="lv-LV"/>
        </w:rPr>
        <w:t>pamatojoties uz trokšņa kartēšanā iegūtiem rezultātiem, pieņem rīcības plānus dalībvalstīs ar mērķi novērst un samazināt vides troksni (ja tas nepieciešams un</w:t>
      </w:r>
      <w:r w:rsidR="00A35F88">
        <w:rPr>
          <w:rFonts w:eastAsia="Times New Roman" w:cs="Times New Roman"/>
          <w:color w:val="000000"/>
          <w:szCs w:val="24"/>
          <w:lang w:eastAsia="lv-LV"/>
        </w:rPr>
        <w:t>,</w:t>
      </w:r>
      <w:r w:rsidRPr="00292382">
        <w:rPr>
          <w:rFonts w:eastAsia="Times New Roman" w:cs="Times New Roman"/>
          <w:color w:val="000000"/>
          <w:szCs w:val="24"/>
          <w:lang w:eastAsia="lv-LV"/>
        </w:rPr>
        <w:t xml:space="preserve"> jo īpaši – ja tā ekspozīcijas līmenis var kaitīgi ietekmēt cilvēka </w:t>
      </w:r>
      <w:r w:rsidRPr="00292382">
        <w:rPr>
          <w:rFonts w:eastAsia="Times New Roman" w:cs="Times New Roman"/>
          <w:szCs w:val="24"/>
          <w:lang w:eastAsia="lv-LV"/>
        </w:rPr>
        <w:t>veselību), kā arī saglabāt esošo stāvokli tur, kur tas ir labs.</w:t>
      </w:r>
    </w:p>
    <w:p w14:paraId="0C7B1101" w14:textId="77777777" w:rsidR="009866EF" w:rsidRPr="00292382" w:rsidRDefault="009866EF" w:rsidP="00DB3D17">
      <w:pPr>
        <w:spacing w:before="150" w:after="150"/>
        <w:ind w:firstLine="709"/>
        <w:rPr>
          <w:rFonts w:eastAsia="Times New Roman" w:cs="Times New Roman"/>
          <w:szCs w:val="24"/>
          <w:lang w:eastAsia="lv-LV"/>
        </w:rPr>
      </w:pPr>
      <w:r w:rsidRPr="00292382">
        <w:rPr>
          <w:rFonts w:eastAsia="Times New Roman" w:cs="Times New Roman"/>
          <w:bCs/>
          <w:szCs w:val="24"/>
          <w:lang w:eastAsia="lv-LV"/>
        </w:rPr>
        <w:t>Papildus Direktīvas 2002/49/EK preambulas 8. punkts, skaidrojot vienotā regulējuma nepieciešamību, paredz</w:t>
      </w:r>
      <w:r w:rsidR="00491A3D" w:rsidRPr="00292382">
        <w:rPr>
          <w:rFonts w:eastAsia="Times New Roman" w:cs="Times New Roman"/>
          <w:bCs/>
          <w:szCs w:val="24"/>
          <w:lang w:eastAsia="lv-LV"/>
        </w:rPr>
        <w:t>,</w:t>
      </w:r>
      <w:r w:rsidRPr="00292382">
        <w:rPr>
          <w:rFonts w:eastAsia="Times New Roman" w:cs="Times New Roman"/>
          <w:bCs/>
          <w:szCs w:val="24"/>
          <w:lang w:eastAsia="lv-LV"/>
        </w:rPr>
        <w:t xml:space="preserve"> ka dalībvalstīs nepieciešams </w:t>
      </w:r>
      <w:r w:rsidRPr="00292382">
        <w:rPr>
          <w:rFonts w:eastAsia="Times New Roman" w:cs="Times New Roman"/>
          <w:szCs w:val="24"/>
          <w:lang w:eastAsia="lv-LV"/>
        </w:rPr>
        <w:t>noteikt kopējas vērtēšanas metodes attiecībā uz “</w:t>
      </w:r>
      <w:r w:rsidRPr="00292382">
        <w:rPr>
          <w:rFonts w:eastAsia="Times New Roman" w:cs="Times New Roman"/>
          <w:i/>
          <w:szCs w:val="24"/>
          <w:lang w:eastAsia="lv-LV"/>
        </w:rPr>
        <w:t>vides troksni</w:t>
      </w:r>
      <w:r w:rsidRPr="00292382">
        <w:rPr>
          <w:rFonts w:eastAsia="Times New Roman" w:cs="Times New Roman"/>
          <w:szCs w:val="24"/>
          <w:lang w:eastAsia="lv-LV"/>
        </w:rPr>
        <w:t>”, kā arī “</w:t>
      </w:r>
      <w:r w:rsidRPr="00292382">
        <w:rPr>
          <w:rFonts w:eastAsia="Times New Roman" w:cs="Times New Roman"/>
          <w:i/>
          <w:szCs w:val="24"/>
          <w:lang w:eastAsia="lv-LV"/>
        </w:rPr>
        <w:t>robežvērtību</w:t>
      </w:r>
      <w:r w:rsidRPr="00292382">
        <w:rPr>
          <w:rFonts w:eastAsia="Times New Roman" w:cs="Times New Roman"/>
          <w:szCs w:val="24"/>
          <w:lang w:eastAsia="lv-LV"/>
        </w:rPr>
        <w:t xml:space="preserve">” definīciju, kas atbilstoši </w:t>
      </w:r>
      <w:r w:rsidRPr="00292382">
        <w:rPr>
          <w:rFonts w:eastAsia="Times New Roman" w:cs="Times New Roman"/>
          <w:bCs/>
          <w:szCs w:val="24"/>
          <w:lang w:eastAsia="lv-LV"/>
        </w:rPr>
        <w:t xml:space="preserve">Direktīvas 2002/49/EK 3. panta s) apakšpunktam </w:t>
      </w:r>
      <w:r w:rsidRPr="00292382">
        <w:rPr>
          <w:rFonts w:eastAsia="Times New Roman" w:cs="Times New Roman"/>
          <w:szCs w:val="24"/>
          <w:lang w:eastAsia="lv-LV"/>
        </w:rPr>
        <w:t xml:space="preserve">nozīmē dalībvalsts noteikto </w:t>
      </w:r>
      <w:proofErr w:type="spellStart"/>
      <w:r w:rsidRPr="00292382">
        <w:rPr>
          <w:rFonts w:eastAsia="Times New Roman" w:cs="Times New Roman"/>
          <w:szCs w:val="24"/>
          <w:lang w:eastAsia="lv-LV"/>
        </w:rPr>
        <w:t>L</w:t>
      </w:r>
      <w:r w:rsidRPr="00292382">
        <w:rPr>
          <w:rFonts w:eastAsia="Times New Roman" w:cs="Times New Roman"/>
          <w:szCs w:val="24"/>
          <w:vertAlign w:val="subscript"/>
          <w:lang w:eastAsia="lv-LV"/>
        </w:rPr>
        <w:t>den</w:t>
      </w:r>
      <w:proofErr w:type="spellEnd"/>
      <w:r w:rsidRPr="00292382">
        <w:rPr>
          <w:rFonts w:eastAsia="Times New Roman" w:cs="Times New Roman"/>
          <w:szCs w:val="24"/>
          <w:lang w:eastAsia="lv-LV"/>
        </w:rPr>
        <w:t xml:space="preserve"> vai </w:t>
      </w:r>
      <w:proofErr w:type="spellStart"/>
      <w:r w:rsidRPr="00292382">
        <w:rPr>
          <w:rFonts w:eastAsia="Times New Roman" w:cs="Times New Roman"/>
          <w:szCs w:val="24"/>
          <w:lang w:eastAsia="lv-LV"/>
        </w:rPr>
        <w:t>L</w:t>
      </w:r>
      <w:r w:rsidRPr="00292382">
        <w:rPr>
          <w:rFonts w:eastAsia="Times New Roman" w:cs="Times New Roman"/>
          <w:szCs w:val="24"/>
          <w:vertAlign w:val="subscript"/>
          <w:lang w:eastAsia="lv-LV"/>
        </w:rPr>
        <w:t>nakts</w:t>
      </w:r>
      <w:proofErr w:type="spellEnd"/>
      <w:r w:rsidRPr="00292382">
        <w:rPr>
          <w:rFonts w:eastAsia="Times New Roman" w:cs="Times New Roman"/>
          <w:szCs w:val="24"/>
          <w:lang w:eastAsia="lv-LV"/>
        </w:rPr>
        <w:t xml:space="preserve"> vērtību un attiecīgā gadījumā </w:t>
      </w:r>
      <w:proofErr w:type="spellStart"/>
      <w:r w:rsidRPr="00292382">
        <w:rPr>
          <w:rFonts w:eastAsia="Times New Roman" w:cs="Times New Roman"/>
          <w:szCs w:val="24"/>
          <w:lang w:eastAsia="lv-LV"/>
        </w:rPr>
        <w:t>L</w:t>
      </w:r>
      <w:r w:rsidRPr="00292382">
        <w:rPr>
          <w:rFonts w:eastAsia="Times New Roman" w:cs="Times New Roman"/>
          <w:szCs w:val="24"/>
          <w:vertAlign w:val="subscript"/>
          <w:lang w:eastAsia="lv-LV"/>
        </w:rPr>
        <w:t>diena</w:t>
      </w:r>
      <w:proofErr w:type="spellEnd"/>
      <w:r w:rsidRPr="00292382">
        <w:rPr>
          <w:rFonts w:eastAsia="Times New Roman" w:cs="Times New Roman"/>
          <w:szCs w:val="24"/>
          <w:lang w:eastAsia="lv-LV"/>
        </w:rPr>
        <w:t xml:space="preserve"> un </w:t>
      </w:r>
      <w:proofErr w:type="spellStart"/>
      <w:r w:rsidRPr="00292382">
        <w:rPr>
          <w:rFonts w:eastAsia="Times New Roman" w:cs="Times New Roman"/>
          <w:szCs w:val="24"/>
          <w:lang w:eastAsia="lv-LV"/>
        </w:rPr>
        <w:t>L</w:t>
      </w:r>
      <w:r w:rsidRPr="00292382">
        <w:rPr>
          <w:rFonts w:eastAsia="Times New Roman" w:cs="Times New Roman"/>
          <w:szCs w:val="24"/>
          <w:vertAlign w:val="subscript"/>
          <w:lang w:eastAsia="lv-LV"/>
        </w:rPr>
        <w:t>vakars</w:t>
      </w:r>
      <w:proofErr w:type="spellEnd"/>
      <w:r w:rsidRPr="00292382">
        <w:rPr>
          <w:rFonts w:eastAsia="Times New Roman" w:cs="Times New Roman"/>
          <w:szCs w:val="24"/>
          <w:lang w:eastAsia="lv-LV"/>
        </w:rPr>
        <w:t xml:space="preserve"> vērtību, kuru pārsniedzot, kompetentās iestādes izskata iespēju veikt vai veic sekas mīkstinošus pasākumus.</w:t>
      </w:r>
    </w:p>
    <w:p w14:paraId="68480317" w14:textId="4104C474" w:rsidR="009866EF" w:rsidRPr="00292382" w:rsidRDefault="009866EF" w:rsidP="00DB3D17">
      <w:pPr>
        <w:spacing w:before="150" w:after="150"/>
        <w:ind w:firstLine="709"/>
        <w:rPr>
          <w:rFonts w:eastAsia="Times New Roman" w:cs="Times New Roman"/>
          <w:szCs w:val="24"/>
          <w:lang w:eastAsia="lv-LV"/>
        </w:rPr>
      </w:pPr>
      <w:r w:rsidRPr="00292382">
        <w:rPr>
          <w:rFonts w:eastAsia="Times New Roman" w:cs="Times New Roman"/>
          <w:szCs w:val="24"/>
          <w:lang w:eastAsia="lv-LV"/>
        </w:rPr>
        <w:t xml:space="preserve">Tādējādi – gan no Direktīvas </w:t>
      </w:r>
      <w:r w:rsidRPr="00292382">
        <w:rPr>
          <w:rFonts w:eastAsia="Times New Roman" w:cs="Times New Roman"/>
          <w:bCs/>
          <w:szCs w:val="24"/>
          <w:lang w:eastAsia="lv-LV"/>
        </w:rPr>
        <w:t xml:space="preserve">2002/49/EK </w:t>
      </w:r>
      <w:r w:rsidRPr="00292382">
        <w:rPr>
          <w:rFonts w:eastAsia="Times New Roman" w:cs="Times New Roman"/>
          <w:szCs w:val="24"/>
          <w:lang w:eastAsia="lv-LV"/>
        </w:rPr>
        <w:t xml:space="preserve">preambulas 5., 8. un 10. punkta, gan no 1. panta 1. punkta un 7. panta 1. punkta izriet, ka Direktīvas </w:t>
      </w:r>
      <w:r w:rsidRPr="00292382">
        <w:rPr>
          <w:rFonts w:eastAsia="Times New Roman" w:cs="Times New Roman"/>
          <w:bCs/>
          <w:szCs w:val="24"/>
          <w:lang w:eastAsia="lv-LV"/>
        </w:rPr>
        <w:t>2002/49/EK tvērumā ietilpst vides trokšņa pārvaldības jautājumi prioritārās jomās no galvenajiem trokšņa avotiem</w:t>
      </w:r>
      <w:r w:rsidRPr="00292382">
        <w:rPr>
          <w:rFonts w:eastAsia="Times New Roman" w:cs="Times New Roman"/>
          <w:bCs/>
          <w:szCs w:val="24"/>
          <w:vertAlign w:val="superscript"/>
          <w:lang w:eastAsia="lv-LV"/>
        </w:rPr>
        <w:footnoteReference w:id="9"/>
      </w:r>
      <w:r w:rsidRPr="00292382">
        <w:rPr>
          <w:rFonts w:eastAsia="Times New Roman" w:cs="Times New Roman"/>
          <w:bCs/>
          <w:szCs w:val="24"/>
          <w:lang w:eastAsia="lv-LV"/>
        </w:rPr>
        <w:t>, ņemot vērā dalībvalstīs esošu problēmu noteiktos rajonos</w:t>
      </w:r>
      <w:r w:rsidRPr="00292382">
        <w:rPr>
          <w:rFonts w:eastAsia="Times New Roman" w:cs="Times New Roman"/>
          <w:bCs/>
          <w:szCs w:val="24"/>
          <w:vertAlign w:val="superscript"/>
          <w:lang w:eastAsia="lv-LV"/>
        </w:rPr>
        <w:footnoteReference w:id="10"/>
      </w:r>
      <w:r w:rsidRPr="00292382">
        <w:rPr>
          <w:rFonts w:eastAsia="Times New Roman" w:cs="Times New Roman"/>
          <w:bCs/>
          <w:szCs w:val="24"/>
          <w:lang w:eastAsia="lv-LV"/>
        </w:rPr>
        <w:t>, kuriem pakāpeniski jānodrošina trokšņa kartēšanu (nosakot vides trokšņa iedarbību) un noteiktas rīcības</w:t>
      </w:r>
      <w:r w:rsidRPr="00292382">
        <w:rPr>
          <w:rFonts w:ascii="Tahoma" w:eastAsia="Times New Roman" w:hAnsi="Tahoma" w:cs="Tahoma"/>
          <w:sz w:val="17"/>
          <w:szCs w:val="17"/>
          <w:lang w:eastAsia="lv-LV"/>
        </w:rPr>
        <w:t xml:space="preserve"> </w:t>
      </w:r>
      <w:r w:rsidRPr="00292382">
        <w:rPr>
          <w:rFonts w:eastAsia="Times New Roman" w:cs="Times New Roman"/>
          <w:szCs w:val="24"/>
          <w:lang w:eastAsia="lv-LV"/>
        </w:rPr>
        <w:t>ar troksni saistītu jautājumu risināšanai, vajadzības gadījumā ieskaitot trokšņa samazināšanu</w:t>
      </w:r>
      <w:r w:rsidRPr="00292382">
        <w:rPr>
          <w:rFonts w:eastAsia="Times New Roman" w:cs="Times New Roman"/>
          <w:bCs/>
          <w:szCs w:val="24"/>
          <w:lang w:eastAsia="lv-LV"/>
        </w:rPr>
        <w:t xml:space="preserve">. No </w:t>
      </w:r>
      <w:r w:rsidRPr="00292382">
        <w:rPr>
          <w:rFonts w:eastAsia="Times New Roman" w:cs="Times New Roman"/>
          <w:szCs w:val="24"/>
          <w:lang w:eastAsia="lv-LV"/>
        </w:rPr>
        <w:t xml:space="preserve">Direktīvas </w:t>
      </w:r>
      <w:r w:rsidRPr="00292382">
        <w:rPr>
          <w:rFonts w:eastAsia="Times New Roman" w:cs="Times New Roman"/>
          <w:bCs/>
          <w:szCs w:val="24"/>
          <w:lang w:eastAsia="lv-LV"/>
        </w:rPr>
        <w:t xml:space="preserve">2002/49/EK tāpat izriet, ka </w:t>
      </w:r>
      <w:r w:rsidRPr="00292382">
        <w:rPr>
          <w:rFonts w:eastAsia="Times New Roman" w:cs="Times New Roman"/>
          <w:szCs w:val="24"/>
          <w:lang w:eastAsia="lv-LV"/>
        </w:rPr>
        <w:t xml:space="preserve">Direktīvas </w:t>
      </w:r>
      <w:r w:rsidRPr="00292382">
        <w:rPr>
          <w:rFonts w:eastAsia="Times New Roman" w:cs="Times New Roman"/>
          <w:bCs/>
          <w:szCs w:val="24"/>
          <w:lang w:eastAsia="lv-LV"/>
        </w:rPr>
        <w:t xml:space="preserve">2002/49/EK izpratnē vides trokšņa robežlielums nav vērtība, kas </w:t>
      </w:r>
      <w:r w:rsidRPr="00292382">
        <w:rPr>
          <w:rFonts w:eastAsia="Times New Roman" w:cs="Times New Roman"/>
          <w:szCs w:val="24"/>
          <w:lang w:eastAsia="lv-LV"/>
        </w:rPr>
        <w:t xml:space="preserve">saistoša jebkuram operatoram, kas veic vai ir paredzējis veikt piesārņojošu darbību, kuras izraisīta emisija var ietekmēt attiecīgo teritoriju, attiecīgi </w:t>
      </w:r>
      <w:r w:rsidRPr="00292382">
        <w:rPr>
          <w:rFonts w:eastAsia="Times New Roman" w:cs="Times New Roman"/>
          <w:bCs/>
          <w:szCs w:val="24"/>
          <w:lang w:eastAsia="lv-LV"/>
        </w:rPr>
        <w:t>šīs direktīvas izpratnē tas nav pielīdzināms likuma “Par piesārņojumu” 13.</w:t>
      </w:r>
      <w:r w:rsidR="008A20D8">
        <w:rPr>
          <w:rFonts w:eastAsia="Times New Roman" w:cs="Times New Roman"/>
          <w:bCs/>
          <w:szCs w:val="24"/>
          <w:lang w:eastAsia="lv-LV"/>
        </w:rPr>
        <w:t> </w:t>
      </w:r>
      <w:r w:rsidRPr="00292382">
        <w:rPr>
          <w:rFonts w:eastAsia="Times New Roman" w:cs="Times New Roman"/>
          <w:bCs/>
          <w:szCs w:val="24"/>
          <w:lang w:eastAsia="lv-LV"/>
        </w:rPr>
        <w:t>panta otrajā daļā noteiktajam vides kvalitātes normatīvam (robežlielumam)</w:t>
      </w:r>
      <w:r w:rsidR="00E35FFE" w:rsidRPr="00292382">
        <w:rPr>
          <w:rFonts w:eastAsia="Times New Roman" w:cs="Times New Roman"/>
          <w:bCs/>
          <w:szCs w:val="24"/>
          <w:lang w:eastAsia="lv-LV"/>
        </w:rPr>
        <w:t>.</w:t>
      </w:r>
      <w:r w:rsidRPr="00292382">
        <w:rPr>
          <w:rFonts w:eastAsia="Times New Roman" w:cs="Times New Roman"/>
          <w:bCs/>
          <w:szCs w:val="24"/>
          <w:vertAlign w:val="superscript"/>
          <w:lang w:eastAsia="lv-LV"/>
        </w:rPr>
        <w:footnoteReference w:id="11"/>
      </w:r>
      <w:r w:rsidR="00C034FE" w:rsidRPr="00292382">
        <w:rPr>
          <w:rFonts w:eastAsia="Times New Roman" w:cs="Times New Roman"/>
          <w:bCs/>
          <w:szCs w:val="24"/>
          <w:lang w:eastAsia="lv-LV"/>
        </w:rPr>
        <w:t xml:space="preserve"> </w:t>
      </w:r>
      <w:r w:rsidRPr="00292382">
        <w:rPr>
          <w:rFonts w:eastAsia="Times New Roman" w:cs="Times New Roman"/>
          <w:szCs w:val="24"/>
          <w:lang w:eastAsia="lv-LV"/>
        </w:rPr>
        <w:t xml:space="preserve">Tātad tas ir pielīdzināms </w:t>
      </w:r>
      <w:proofErr w:type="spellStart"/>
      <w:r w:rsidRPr="00292382">
        <w:rPr>
          <w:rFonts w:eastAsia="Times New Roman" w:cs="Times New Roman"/>
          <w:szCs w:val="24"/>
          <w:lang w:eastAsia="lv-LV"/>
        </w:rPr>
        <w:t>mērķlielumam</w:t>
      </w:r>
      <w:proofErr w:type="spellEnd"/>
      <w:r w:rsidRPr="00292382">
        <w:rPr>
          <w:rFonts w:eastAsia="Times New Roman" w:cs="Times New Roman"/>
          <w:szCs w:val="24"/>
          <w:vertAlign w:val="superscript"/>
          <w:lang w:eastAsia="lv-LV"/>
        </w:rPr>
        <w:footnoteReference w:id="12"/>
      </w:r>
      <w:r w:rsidRPr="00292382">
        <w:rPr>
          <w:rFonts w:eastAsia="Times New Roman" w:cs="Times New Roman"/>
          <w:szCs w:val="24"/>
          <w:lang w:eastAsia="lv-LV"/>
        </w:rPr>
        <w:t xml:space="preserve">, ko vides aizsardzības institūcijas ņem vērā, </w:t>
      </w:r>
      <w:r w:rsidRPr="00292382">
        <w:rPr>
          <w:rFonts w:eastAsia="Times New Roman" w:cs="Times New Roman"/>
          <w:color w:val="000000"/>
          <w:szCs w:val="24"/>
          <w:lang w:eastAsia="lv-LV"/>
        </w:rPr>
        <w:t xml:space="preserve">ar mērķi novērst un samazināt vides troksni, ja tas nepieciešams (jo īpaši – ja tā ekspozīcijas līmenis var kaitīgi ietekmēt cilvēka </w:t>
      </w:r>
      <w:r w:rsidRPr="00292382">
        <w:rPr>
          <w:rFonts w:eastAsia="Times New Roman" w:cs="Times New Roman"/>
          <w:szCs w:val="24"/>
          <w:lang w:eastAsia="lv-LV"/>
        </w:rPr>
        <w:t>veselību), kā arī saglabāt esošo stāvokli tur, kur tas ir labs.</w:t>
      </w:r>
    </w:p>
    <w:p w14:paraId="2DAB7E3F" w14:textId="3EC0C919" w:rsidR="008C48B2" w:rsidRPr="00292382" w:rsidRDefault="008C48B2" w:rsidP="00DB3D17">
      <w:pPr>
        <w:spacing w:before="120" w:after="120"/>
        <w:ind w:firstLine="709"/>
        <w:outlineLvl w:val="2"/>
        <w:rPr>
          <w:rFonts w:eastAsia="Times New Roman"/>
          <w:bCs/>
          <w:szCs w:val="24"/>
        </w:rPr>
      </w:pPr>
      <w:r w:rsidRPr="00292382">
        <w:rPr>
          <w:rFonts w:eastAsia="Times New Roman"/>
          <w:bCs/>
          <w:szCs w:val="24"/>
        </w:rPr>
        <w:t>Direktīvas 2002/49/EK prasību pārņemšanu nacionāl</w:t>
      </w:r>
      <w:r w:rsidR="00511799">
        <w:rPr>
          <w:rFonts w:eastAsia="Times New Roman"/>
          <w:bCs/>
          <w:szCs w:val="24"/>
        </w:rPr>
        <w:t>ajā</w:t>
      </w:r>
      <w:r w:rsidR="008A20D8">
        <w:rPr>
          <w:rFonts w:eastAsia="Times New Roman"/>
          <w:bCs/>
          <w:szCs w:val="24"/>
        </w:rPr>
        <w:t xml:space="preserve"> normatīvajā regulējumā</w:t>
      </w:r>
      <w:r w:rsidRPr="00292382">
        <w:rPr>
          <w:rFonts w:eastAsia="Times New Roman"/>
          <w:bCs/>
          <w:szCs w:val="24"/>
        </w:rPr>
        <w:t xml:space="preserve"> nodrošināja likuma “Par piesārņojumu” </w:t>
      </w:r>
      <w:r w:rsidR="00133E15" w:rsidRPr="00292382">
        <w:rPr>
          <w:rFonts w:eastAsia="Times New Roman"/>
          <w:bCs/>
          <w:szCs w:val="24"/>
        </w:rPr>
        <w:t>18.</w:t>
      </w:r>
      <w:r w:rsidR="00133E15" w:rsidRPr="00292382">
        <w:rPr>
          <w:rFonts w:eastAsia="Times New Roman"/>
          <w:bCs/>
          <w:szCs w:val="24"/>
          <w:vertAlign w:val="superscript"/>
        </w:rPr>
        <w:t>1</w:t>
      </w:r>
      <w:r w:rsidR="00133E15" w:rsidRPr="00292382">
        <w:rPr>
          <w:rFonts w:eastAsia="Times New Roman"/>
          <w:bCs/>
          <w:szCs w:val="24"/>
        </w:rPr>
        <w:t xml:space="preserve"> panta</w:t>
      </w:r>
      <w:r w:rsidR="00AB0D30" w:rsidRPr="00292382">
        <w:rPr>
          <w:rFonts w:eastAsia="Times New Roman"/>
          <w:bCs/>
          <w:szCs w:val="24"/>
        </w:rPr>
        <w:t xml:space="preserve"> trešās daļas </w:t>
      </w:r>
      <w:r w:rsidRPr="00292382">
        <w:rPr>
          <w:rFonts w:eastAsia="Times New Roman"/>
          <w:bCs/>
          <w:szCs w:val="24"/>
        </w:rPr>
        <w:t>deleģējums</w:t>
      </w:r>
      <w:r w:rsidR="008A20D8">
        <w:rPr>
          <w:rFonts w:eastAsia="Times New Roman"/>
          <w:bCs/>
          <w:szCs w:val="24"/>
        </w:rPr>
        <w:t>,</w:t>
      </w:r>
      <w:r w:rsidRPr="00292382">
        <w:rPr>
          <w:rFonts w:eastAsia="Times New Roman"/>
          <w:bCs/>
          <w:szCs w:val="24"/>
        </w:rPr>
        <w:t xml:space="preserve"> un tika izdoti Ministru kabineta 2004. gada 13. jūlija noteikumi Nr. 597 “Vides trokšņa novērtēšanas kārtība” (turpmāk – MK noteikumi Nr. 597)</w:t>
      </w:r>
      <w:r w:rsidR="000E5651">
        <w:rPr>
          <w:rFonts w:eastAsia="Times New Roman"/>
          <w:bCs/>
          <w:szCs w:val="24"/>
        </w:rPr>
        <w:t xml:space="preserve"> (zaudējuši spēku 2014. gada 24. janvārī</w:t>
      </w:r>
      <w:r w:rsidR="006C2E23">
        <w:rPr>
          <w:rFonts w:eastAsia="Times New Roman"/>
          <w:bCs/>
          <w:szCs w:val="24"/>
        </w:rPr>
        <w:t xml:space="preserve">, stājoties spēkā </w:t>
      </w:r>
      <w:r w:rsidR="00A35F88" w:rsidRPr="00292382">
        <w:t>MK noteikumi</w:t>
      </w:r>
      <w:r w:rsidR="00A35F88">
        <w:t>em</w:t>
      </w:r>
      <w:r w:rsidR="00A35F88" w:rsidRPr="00292382">
        <w:t xml:space="preserve"> Nr. 16</w:t>
      </w:r>
      <w:r w:rsidR="000E5651">
        <w:rPr>
          <w:rFonts w:eastAsia="Times New Roman"/>
          <w:bCs/>
          <w:szCs w:val="24"/>
        </w:rPr>
        <w:t>)</w:t>
      </w:r>
      <w:r w:rsidRPr="00292382">
        <w:rPr>
          <w:rFonts w:eastAsia="Times New Roman"/>
          <w:bCs/>
          <w:szCs w:val="24"/>
        </w:rPr>
        <w:t>, kas regulēja trokšņu novērtēšanas vispārējo pārvaldības kārtību, tie noteica trokšņa robežlielumu</w:t>
      </w:r>
      <w:r w:rsidR="00511799">
        <w:rPr>
          <w:rFonts w:eastAsia="Times New Roman"/>
          <w:bCs/>
          <w:szCs w:val="24"/>
        </w:rPr>
        <w:t>s</w:t>
      </w:r>
      <w:r w:rsidRPr="00292382">
        <w:rPr>
          <w:rFonts w:eastAsia="Times New Roman"/>
          <w:bCs/>
          <w:szCs w:val="24"/>
        </w:rPr>
        <w:t xml:space="preserve">, kā arī kārtību, kādā izstrādā trokšņa stratēģiskās kartes un rīcības plānu, lai novērstu vai samazinātu vides troksni. Attiecīgi MK noteikumu Nr. 597 3. punkts noteica, ka šo noteikumu mērķis ir novērst vai samazināt vides trokšņa radītās kaitīgās sekas un diskomfortu, kā arī nodrošināt rīcības plānu trokšņa samazināšanai izstrādi. Līdz ar to MK noteikumos Nr. 597 tika noteikti vispārīgi pasākumi, kas vērsti uz plānveidīgu trokšņa apzināšanu, plānošanu un </w:t>
      </w:r>
      <w:proofErr w:type="spellStart"/>
      <w:r w:rsidRPr="00292382">
        <w:rPr>
          <w:rFonts w:eastAsia="Times New Roman"/>
          <w:bCs/>
          <w:szCs w:val="24"/>
        </w:rPr>
        <w:t>problēmjautājumu</w:t>
      </w:r>
      <w:proofErr w:type="spellEnd"/>
      <w:r w:rsidRPr="00292382">
        <w:rPr>
          <w:rFonts w:eastAsia="Times New Roman"/>
          <w:bCs/>
          <w:szCs w:val="24"/>
        </w:rPr>
        <w:t xml:space="preserve"> novēršanu.</w:t>
      </w:r>
    </w:p>
    <w:p w14:paraId="2716F827" w14:textId="04EF9E3A" w:rsidR="002F568B" w:rsidRDefault="002F568B" w:rsidP="00DB3D17">
      <w:pPr>
        <w:spacing w:before="120" w:after="120"/>
        <w:ind w:firstLine="709"/>
        <w:outlineLvl w:val="2"/>
        <w:rPr>
          <w:rFonts w:eastAsia="Times New Roman"/>
          <w:bCs/>
          <w:szCs w:val="24"/>
        </w:rPr>
      </w:pPr>
      <w:r w:rsidRPr="00292382">
        <w:t xml:space="preserve">Jāatzīmē, ka vides kvalitātes normatīvi trokšņa emisijai līdz 2014. gada 17. jūlijam bija noteikti ar </w:t>
      </w:r>
      <w:bookmarkStart w:id="0" w:name="_Hlk13137449"/>
      <w:r w:rsidR="001E2915" w:rsidRPr="00446D9D">
        <w:rPr>
          <w:szCs w:val="24"/>
        </w:rPr>
        <w:t xml:space="preserve">Ministru kabineta 2004. gada 13. jūlija noteikumiem Nr. 598 "Noteikumi par </w:t>
      </w:r>
      <w:r w:rsidR="001E2915" w:rsidRPr="00446D9D">
        <w:rPr>
          <w:szCs w:val="24"/>
        </w:rPr>
        <w:lastRenderedPageBreak/>
        <w:t>akustiskā trokšņa normatīviem dzīvojamo un publisko ēku telpās" (spēkā līdz 2010. gada 1. jūlijam), ar kuriem par spēku zaudējušiem tika atzīti Ministru kabineta 2001. gada 22. maija noteikumi Nr. 214 "Noteikumi par akustiskā trokšņa normatīviem dzīvojamo un publisko ēku telpās un teritorijā"</w:t>
      </w:r>
      <w:bookmarkEnd w:id="0"/>
      <w:r w:rsidR="002F361A" w:rsidRPr="00292382">
        <w:t xml:space="preserve"> (turpmāk – MK noteikumi Nr. 214)</w:t>
      </w:r>
      <w:r w:rsidRPr="00292382">
        <w:t xml:space="preserve">, kas </w:t>
      </w:r>
      <w:r w:rsidRPr="00292382">
        <w:rPr>
          <w:shd w:val="clear" w:color="auto" w:fill="FFFFFF"/>
        </w:rPr>
        <w:t>noteica akustiskā trokšņa</w:t>
      </w:r>
      <w:r w:rsidRPr="00292382">
        <w:rPr>
          <w:rStyle w:val="FootnoteReference"/>
          <w:shd w:val="clear" w:color="auto" w:fill="FFFFFF"/>
        </w:rPr>
        <w:footnoteReference w:id="13"/>
      </w:r>
      <w:r w:rsidRPr="00292382">
        <w:rPr>
          <w:shd w:val="clear" w:color="auto" w:fill="FFFFFF"/>
        </w:rPr>
        <w:t xml:space="preserve"> pieļaujamos normatīvus gan dzīvojamo un publisko ēku telpās, gan teritorijās (vidē), lai nodrošinātu cilvēku aizsardzību pret akustiskā trokšņa nelabvēlīgo iedarbību, kā arī akustiskā trokšņa </w:t>
      </w:r>
      <w:r w:rsidRPr="00292382">
        <w:rPr>
          <w:rFonts w:eastAsia="Times New Roman"/>
          <w:bCs/>
          <w:szCs w:val="24"/>
        </w:rPr>
        <w:t>mērīšanu un novērtēšan</w:t>
      </w:r>
      <w:r w:rsidR="00A35F88">
        <w:rPr>
          <w:rFonts w:eastAsia="Times New Roman"/>
          <w:bCs/>
          <w:szCs w:val="24"/>
        </w:rPr>
        <w:t>u</w:t>
      </w:r>
      <w:r w:rsidRPr="00292382">
        <w:rPr>
          <w:rFonts w:eastAsia="Times New Roman"/>
          <w:bCs/>
          <w:szCs w:val="24"/>
        </w:rPr>
        <w:t>, pieļaujamo normatīvu ievērošanas kontroli.</w:t>
      </w:r>
    </w:p>
    <w:p w14:paraId="373AABA9" w14:textId="6F0B4C1F" w:rsidR="008C48B2" w:rsidRPr="00292382" w:rsidRDefault="008C48B2" w:rsidP="00DB3D17">
      <w:pPr>
        <w:spacing w:before="120"/>
        <w:ind w:firstLine="709"/>
        <w:outlineLvl w:val="2"/>
        <w:rPr>
          <w:rFonts w:eastAsia="Times New Roman"/>
          <w:bCs/>
          <w:szCs w:val="24"/>
        </w:rPr>
      </w:pPr>
      <w:r w:rsidRPr="00292382">
        <w:rPr>
          <w:rFonts w:eastAsia="Times New Roman"/>
          <w:bCs/>
          <w:szCs w:val="24"/>
        </w:rPr>
        <w:t xml:space="preserve">Laika gaitā </w:t>
      </w:r>
      <w:r w:rsidR="00213BC3" w:rsidRPr="00292382">
        <w:rPr>
          <w:rFonts w:eastAsia="Times New Roman"/>
          <w:bCs/>
          <w:szCs w:val="24"/>
        </w:rPr>
        <w:t>MK noteikumi Nr. 214</w:t>
      </w:r>
      <w:r w:rsidRPr="00292382">
        <w:rPr>
          <w:rFonts w:eastAsia="Times New Roman"/>
          <w:bCs/>
          <w:szCs w:val="24"/>
        </w:rPr>
        <w:t xml:space="preserve"> ir pārskatīti un </w:t>
      </w:r>
      <w:r w:rsidR="006F571E" w:rsidRPr="00292382">
        <w:rPr>
          <w:rFonts w:eastAsia="Times New Roman"/>
          <w:bCs/>
          <w:szCs w:val="24"/>
        </w:rPr>
        <w:t>vairākkārt ir izdarīti grozījumi</w:t>
      </w:r>
      <w:r w:rsidRPr="00292382">
        <w:rPr>
          <w:rFonts w:eastAsia="Times New Roman"/>
          <w:bCs/>
          <w:szCs w:val="24"/>
        </w:rPr>
        <w:t xml:space="preserve">, bet </w:t>
      </w:r>
      <w:r w:rsidR="002F1EA5">
        <w:rPr>
          <w:rFonts w:eastAsia="Times New Roman"/>
          <w:bCs/>
          <w:szCs w:val="24"/>
        </w:rPr>
        <w:t xml:space="preserve">ar </w:t>
      </w:r>
      <w:r w:rsidRPr="00292382">
        <w:rPr>
          <w:rFonts w:eastAsia="Times New Roman"/>
          <w:bCs/>
          <w:szCs w:val="24"/>
        </w:rPr>
        <w:t xml:space="preserve">Ministru kabineta 2011. gada 11. janvāra sēdes </w:t>
      </w:r>
      <w:proofErr w:type="spellStart"/>
      <w:r w:rsidRPr="00292382">
        <w:rPr>
          <w:rFonts w:eastAsia="Times New Roman"/>
          <w:bCs/>
          <w:szCs w:val="24"/>
        </w:rPr>
        <w:t>protokollēmum</w:t>
      </w:r>
      <w:r w:rsidR="00511799">
        <w:rPr>
          <w:rFonts w:eastAsia="Times New Roman"/>
          <w:bCs/>
          <w:szCs w:val="24"/>
        </w:rPr>
        <w:t>u</w:t>
      </w:r>
      <w:proofErr w:type="spellEnd"/>
      <w:r w:rsidRPr="00292382">
        <w:rPr>
          <w:rFonts w:eastAsia="Times New Roman"/>
          <w:bCs/>
          <w:szCs w:val="24"/>
        </w:rPr>
        <w:t xml:space="preserve"> (prot. Nr. 3 28</w:t>
      </w:r>
      <w:r w:rsidRPr="00292382">
        <w:rPr>
          <w:rFonts w:eastAsia="Times New Roman" w:cs="Times New Roman"/>
          <w:bCs/>
          <w:szCs w:val="24"/>
        </w:rPr>
        <w:t>§</w:t>
      </w:r>
      <w:r w:rsidRPr="00292382">
        <w:rPr>
          <w:rFonts w:eastAsia="Times New Roman"/>
          <w:bCs/>
          <w:szCs w:val="24"/>
        </w:rPr>
        <w:t xml:space="preserve">) </w:t>
      </w:r>
      <w:r w:rsidR="002F1EA5">
        <w:rPr>
          <w:rFonts w:eastAsia="Times New Roman"/>
          <w:bCs/>
          <w:szCs w:val="24"/>
        </w:rPr>
        <w:t>tika uzdots</w:t>
      </w:r>
      <w:r w:rsidRPr="00292382">
        <w:rPr>
          <w:rFonts w:eastAsia="Times New Roman"/>
          <w:bCs/>
          <w:szCs w:val="24"/>
        </w:rPr>
        <w:t xml:space="preserve"> sagatavot jaunu</w:t>
      </w:r>
      <w:r w:rsidR="00491A3D" w:rsidRPr="00292382">
        <w:rPr>
          <w:rFonts w:eastAsia="Times New Roman"/>
          <w:bCs/>
          <w:szCs w:val="24"/>
        </w:rPr>
        <w:t xml:space="preserve"> Ministru kabineta</w:t>
      </w:r>
      <w:r w:rsidRPr="00292382">
        <w:rPr>
          <w:rFonts w:eastAsia="Times New Roman"/>
          <w:bCs/>
          <w:szCs w:val="24"/>
        </w:rPr>
        <w:t xml:space="preserve"> noteikumu projektu par trokšņa novērtēšanas un pārvaldības kārtību, nosakot trokšņa rādītājus, to piemērošanas kārtību un novērtēšanas metodes dzīvojamo un publisko ēku telpām. MK noteikumi Nr. 16 </w:t>
      </w:r>
      <w:r w:rsidR="005F28EA" w:rsidRPr="00292382">
        <w:rPr>
          <w:rFonts w:eastAsia="Times New Roman"/>
          <w:bCs/>
          <w:szCs w:val="24"/>
        </w:rPr>
        <w:t>apvienoja</w:t>
      </w:r>
      <w:r w:rsidRPr="00292382">
        <w:rPr>
          <w:rFonts w:eastAsia="Times New Roman"/>
          <w:bCs/>
          <w:szCs w:val="24"/>
        </w:rPr>
        <w:t xml:space="preserve"> gan vides trokšņa, gan trokšņa novērtēšanu telpās, jo:</w:t>
      </w:r>
    </w:p>
    <w:p w14:paraId="60D854C6" w14:textId="55FFBF78" w:rsidR="008C48B2" w:rsidRPr="00292382" w:rsidRDefault="008C48B2" w:rsidP="000A66E8">
      <w:pPr>
        <w:pStyle w:val="ListParagraph"/>
        <w:numPr>
          <w:ilvl w:val="0"/>
          <w:numId w:val="6"/>
        </w:numPr>
        <w:ind w:left="709" w:hanging="284"/>
        <w:contextualSpacing w:val="0"/>
        <w:outlineLvl w:val="2"/>
        <w:rPr>
          <w:rFonts w:eastAsia="Times New Roman" w:cs="Times New Roman"/>
          <w:bCs/>
          <w:szCs w:val="24"/>
        </w:rPr>
      </w:pPr>
      <w:r w:rsidRPr="00292382">
        <w:rPr>
          <w:rFonts w:eastAsia="Times New Roman"/>
          <w:bCs/>
          <w:szCs w:val="24"/>
        </w:rPr>
        <w:t xml:space="preserve">Ministru kabineta iekārtas likuma </w:t>
      </w:r>
      <w:r w:rsidR="002F1EA5">
        <w:rPr>
          <w:rFonts w:eastAsia="Times New Roman"/>
          <w:bCs/>
          <w:szCs w:val="24"/>
        </w:rPr>
        <w:t>p</w:t>
      </w:r>
      <w:r w:rsidRPr="00292382">
        <w:rPr>
          <w:rFonts w:eastAsia="Times New Roman"/>
          <w:bCs/>
          <w:szCs w:val="24"/>
        </w:rPr>
        <w:t>ārejas noteikumu 6. p</w:t>
      </w:r>
      <w:r w:rsidR="008824DF" w:rsidRPr="00292382">
        <w:rPr>
          <w:rFonts w:eastAsia="Times New Roman"/>
          <w:bCs/>
          <w:szCs w:val="24"/>
        </w:rPr>
        <w:t xml:space="preserve">unkts </w:t>
      </w:r>
      <w:r w:rsidRPr="00292382">
        <w:rPr>
          <w:rFonts w:eastAsia="Times New Roman"/>
          <w:bCs/>
          <w:szCs w:val="24"/>
        </w:rPr>
        <w:t>noteica, ka</w:t>
      </w:r>
      <w:r w:rsidRPr="00292382">
        <w:rPr>
          <w:rFonts w:eastAsia="Times New Roman" w:cs="Times New Roman"/>
          <w:bCs/>
          <w:szCs w:val="24"/>
        </w:rPr>
        <w:t xml:space="preserve"> </w:t>
      </w:r>
      <w:r w:rsidRPr="00292382">
        <w:rPr>
          <w:rFonts w:cs="Times New Roman"/>
          <w:szCs w:val="24"/>
          <w:shd w:val="clear" w:color="auto" w:fill="FFFFFF"/>
        </w:rPr>
        <w:t xml:space="preserve">Ministru kabineta noteikumi, kas izdoti, pamatojoties uz </w:t>
      </w:r>
      <w:r w:rsidR="00C034FE" w:rsidRPr="00292382">
        <w:rPr>
          <w:rFonts w:cs="Times New Roman"/>
          <w:szCs w:val="24"/>
          <w:shd w:val="clear" w:color="auto" w:fill="FFFFFF"/>
        </w:rPr>
        <w:t xml:space="preserve">Latvijas Republikas </w:t>
      </w:r>
      <w:r w:rsidRPr="00292382">
        <w:rPr>
          <w:rFonts w:cs="Times New Roman"/>
          <w:szCs w:val="24"/>
          <w:shd w:val="clear" w:color="auto" w:fill="FFFFFF"/>
        </w:rPr>
        <w:t>Saeimas 1993. gada 15. jūlijā pieņemtā Ministru kabineta iekārtas likuma 14.</w:t>
      </w:r>
      <w:r w:rsidR="002F1EA5">
        <w:rPr>
          <w:rFonts w:cs="Times New Roman"/>
          <w:szCs w:val="24"/>
          <w:shd w:val="clear" w:color="auto" w:fill="FFFFFF"/>
        </w:rPr>
        <w:t> </w:t>
      </w:r>
      <w:r w:rsidRPr="00292382">
        <w:rPr>
          <w:rFonts w:cs="Times New Roman"/>
          <w:szCs w:val="24"/>
          <w:shd w:val="clear" w:color="auto" w:fill="FFFFFF"/>
        </w:rPr>
        <w:t>panta pirmās daļas 3.</w:t>
      </w:r>
      <w:r w:rsidR="002F1EA5">
        <w:rPr>
          <w:rFonts w:cs="Times New Roman"/>
          <w:szCs w:val="24"/>
          <w:shd w:val="clear" w:color="auto" w:fill="FFFFFF"/>
        </w:rPr>
        <w:t> </w:t>
      </w:r>
      <w:r w:rsidRPr="00292382">
        <w:rPr>
          <w:rFonts w:cs="Times New Roman"/>
          <w:szCs w:val="24"/>
          <w:shd w:val="clear" w:color="auto" w:fill="FFFFFF"/>
        </w:rPr>
        <w:t>punktu</w:t>
      </w:r>
      <w:r w:rsidR="008824DF" w:rsidRPr="00292382">
        <w:rPr>
          <w:rFonts w:cs="Times New Roman"/>
          <w:szCs w:val="24"/>
          <w:shd w:val="clear" w:color="auto" w:fill="FFFFFF"/>
        </w:rPr>
        <w:t>,</w:t>
      </w:r>
      <w:r w:rsidRPr="00292382">
        <w:rPr>
          <w:rFonts w:cs="Times New Roman"/>
          <w:szCs w:val="24"/>
          <w:shd w:val="clear" w:color="auto" w:fill="FFFFFF"/>
        </w:rPr>
        <w:t xml:space="preserve"> ir spēkā līdz attiecīgo Ministru kabineta noteikumu spēkā stāšanās dienai, bet ne ilgāk kā līdz 2010. gada 1. jūlijam. Šāda pilnvarojuma formālā statusa izmaiņa tika novērtēta kā </w:t>
      </w:r>
      <w:r w:rsidR="00213BC3" w:rsidRPr="00292382">
        <w:rPr>
          <w:rFonts w:cs="Times New Roman"/>
          <w:szCs w:val="24"/>
          <w:shd w:val="clear" w:color="auto" w:fill="FFFFFF"/>
        </w:rPr>
        <w:t xml:space="preserve">MK noteikumu Nr. 214 </w:t>
      </w:r>
      <w:r w:rsidRPr="00292382">
        <w:rPr>
          <w:rFonts w:cs="Times New Roman"/>
          <w:szCs w:val="24"/>
          <w:shd w:val="clear" w:color="auto" w:fill="FFFFFF"/>
        </w:rPr>
        <w:t xml:space="preserve">izdošanas pilnvarojuma </w:t>
      </w:r>
      <w:proofErr w:type="spellStart"/>
      <w:r w:rsidRPr="00292382">
        <w:rPr>
          <w:rFonts w:cs="Times New Roman"/>
          <w:szCs w:val="24"/>
          <w:shd w:val="clear" w:color="auto" w:fill="FFFFFF"/>
        </w:rPr>
        <w:t>leģimitātes</w:t>
      </w:r>
      <w:proofErr w:type="spellEnd"/>
      <w:r w:rsidRPr="00292382">
        <w:rPr>
          <w:rFonts w:cs="Times New Roman"/>
          <w:szCs w:val="24"/>
          <w:shd w:val="clear" w:color="auto" w:fill="FFFFFF"/>
        </w:rPr>
        <w:t xml:space="preserve"> zudums;</w:t>
      </w:r>
    </w:p>
    <w:p w14:paraId="66391CB9" w14:textId="77777777" w:rsidR="002F568B" w:rsidRPr="00292382" w:rsidRDefault="008C48B2" w:rsidP="000A66E8">
      <w:pPr>
        <w:pStyle w:val="ListParagraph"/>
        <w:numPr>
          <w:ilvl w:val="0"/>
          <w:numId w:val="6"/>
        </w:numPr>
        <w:spacing w:before="120" w:after="120"/>
        <w:ind w:left="709" w:hanging="283"/>
        <w:contextualSpacing w:val="0"/>
        <w:outlineLvl w:val="2"/>
        <w:rPr>
          <w:rFonts w:eastAsia="Times New Roman"/>
          <w:bCs/>
          <w:szCs w:val="24"/>
        </w:rPr>
      </w:pPr>
      <w:r w:rsidRPr="00292382">
        <w:rPr>
          <w:rFonts w:cs="Times New Roman"/>
          <w:szCs w:val="24"/>
          <w:shd w:val="clear" w:color="auto" w:fill="FFFFFF"/>
        </w:rPr>
        <w:t>Likumdevējs neregulēja</w:t>
      </w:r>
      <w:r w:rsidR="00B25A04" w:rsidRPr="00292382">
        <w:rPr>
          <w:rFonts w:cs="Times New Roman"/>
          <w:szCs w:val="24"/>
          <w:shd w:val="clear" w:color="auto" w:fill="FFFFFF"/>
        </w:rPr>
        <w:t>,</w:t>
      </w:r>
      <w:r w:rsidRPr="00292382">
        <w:rPr>
          <w:rFonts w:cs="Times New Roman"/>
          <w:szCs w:val="24"/>
          <w:shd w:val="clear" w:color="auto" w:fill="FFFFFF"/>
        </w:rPr>
        <w:t xml:space="preserve"> un līdz šim likumdevējs nav pilnvarojis izpildvaru izstrādāt regulējumu attiecībā uz sabiedrības interešu nodrošināš</w:t>
      </w:r>
      <w:r w:rsidR="00CD11DE" w:rsidRPr="00292382">
        <w:rPr>
          <w:rFonts w:cs="Times New Roman"/>
          <w:szCs w:val="24"/>
          <w:shd w:val="clear" w:color="auto" w:fill="FFFFFF"/>
        </w:rPr>
        <w:t>anu sabiedrības veselības jomā.</w:t>
      </w:r>
    </w:p>
    <w:p w14:paraId="380FDB85" w14:textId="77777777" w:rsidR="008C48B2" w:rsidRPr="00292382" w:rsidRDefault="008C48B2" w:rsidP="002F568B">
      <w:pPr>
        <w:pStyle w:val="ListParagraph"/>
        <w:spacing w:before="120" w:after="120"/>
        <w:ind w:left="709" w:firstLine="0"/>
        <w:contextualSpacing w:val="0"/>
        <w:jc w:val="center"/>
        <w:outlineLvl w:val="2"/>
        <w:rPr>
          <w:rFonts w:eastAsia="Times New Roman"/>
          <w:bCs/>
          <w:szCs w:val="24"/>
        </w:rPr>
      </w:pPr>
      <w:r w:rsidRPr="00292382">
        <w:rPr>
          <w:b/>
          <w:szCs w:val="24"/>
          <w:lang w:eastAsia="lv-LV"/>
        </w:rPr>
        <w:t>3. Esošās situācijas raksturojums un problemātika</w:t>
      </w:r>
    </w:p>
    <w:p w14:paraId="53654FE3" w14:textId="45BC6EBC" w:rsidR="008C48B2" w:rsidRPr="00292382" w:rsidRDefault="009866EF" w:rsidP="00DB3D17">
      <w:pPr>
        <w:spacing w:before="120" w:after="120"/>
        <w:ind w:firstLine="709"/>
        <w:outlineLvl w:val="2"/>
      </w:pPr>
      <w:r w:rsidRPr="00292382">
        <w:rPr>
          <w:rFonts w:eastAsia="Times New Roman"/>
          <w:bCs/>
          <w:szCs w:val="24"/>
        </w:rPr>
        <w:t>P</w:t>
      </w:r>
      <w:r w:rsidR="008C48B2" w:rsidRPr="00292382">
        <w:rPr>
          <w:shd w:val="clear" w:color="auto" w:fill="FFFFFF"/>
        </w:rPr>
        <w:t xml:space="preserve">ārņemot </w:t>
      </w:r>
      <w:r w:rsidR="008C48B2" w:rsidRPr="00292382">
        <w:rPr>
          <w:bCs/>
        </w:rPr>
        <w:t xml:space="preserve">Direktīvu 2002/49/EK (veicot grozījumus </w:t>
      </w:r>
      <w:r w:rsidR="008C48B2" w:rsidRPr="00292382">
        <w:rPr>
          <w:rFonts w:cs="Times New Roman"/>
          <w:szCs w:val="24"/>
        </w:rPr>
        <w:t>likumā “Par piesārņojumu”</w:t>
      </w:r>
      <w:r w:rsidR="008C48B2" w:rsidRPr="00292382">
        <w:t xml:space="preserve"> un izdodot MK noteikumus Nr.</w:t>
      </w:r>
      <w:r w:rsidR="002F1EA5">
        <w:t> </w:t>
      </w:r>
      <w:r w:rsidR="008C48B2" w:rsidRPr="00292382">
        <w:t xml:space="preserve">16), radītais tiesiskais regulējums attiecībā uz trokšņa, tostarp vides trokšņa, novērtēšanu un pārvaldību, </w:t>
      </w:r>
      <w:r w:rsidR="008C48B2" w:rsidRPr="00292382">
        <w:rPr>
          <w:u w:val="single"/>
        </w:rPr>
        <w:t>skaidri nenodala īpašo regulējumu, kas attiecas uz vides trokšņa</w:t>
      </w:r>
      <w:r w:rsidR="008C48B2" w:rsidRPr="00292382">
        <w:t xml:space="preserve"> kā esošas problēmas pie galvenajiem un lielajiem trokšņa avotiem noteiktos rajonos novērtēšanu, pārvaldību un pakāpenisku risināšanu, no </w:t>
      </w:r>
      <w:r w:rsidR="008C48B2" w:rsidRPr="00292382">
        <w:rPr>
          <w:u w:val="single"/>
        </w:rPr>
        <w:t>regulējuma, kas attiecas uz troksni kā vienu no emisijas veidiem</w:t>
      </w:r>
      <w:r w:rsidR="008C48B2" w:rsidRPr="00292382">
        <w:t xml:space="preserve"> likuma “Par piesārņojumu” izpratnē, kura savlaicīga novērtēšana un novēršana līdz pieņemamam līmenim ir piesārņotāja pienākums, kas izriet no likuma “Par piesārņojumu” un pamatprincipiem, kas nostiprināti Vides aizsardzības likumā</w:t>
      </w:r>
      <w:r w:rsidR="00DC5238" w:rsidRPr="00292382">
        <w:t>:</w:t>
      </w:r>
      <w:r w:rsidR="008C48B2" w:rsidRPr="00292382">
        <w:rPr>
          <w:rStyle w:val="FootnoteReference"/>
        </w:rPr>
        <w:footnoteReference w:id="14"/>
      </w:r>
    </w:p>
    <w:p w14:paraId="52AD8BE5" w14:textId="68F0F218" w:rsidR="000504EA" w:rsidRPr="00292382" w:rsidRDefault="000504EA" w:rsidP="000A66E8">
      <w:pPr>
        <w:pStyle w:val="ListParagraph"/>
        <w:numPr>
          <w:ilvl w:val="0"/>
          <w:numId w:val="4"/>
        </w:numPr>
        <w:spacing w:before="120"/>
        <w:ind w:left="777" w:hanging="357"/>
        <w:contextualSpacing w:val="0"/>
        <w:rPr>
          <w:rFonts w:cs="Times New Roman"/>
          <w:szCs w:val="24"/>
        </w:rPr>
      </w:pPr>
      <w:r w:rsidRPr="00292382">
        <w:t xml:space="preserve">Līdz </w:t>
      </w:r>
      <w:r w:rsidRPr="00292382">
        <w:rPr>
          <w:bCs/>
        </w:rPr>
        <w:t xml:space="preserve">Direktīvas 2002/49/EK pārņemšanai likuma “Par piesārņojumu” 1. panta 3. punkts noteica un arī pašreiz spēkā esošā redakcijā noteic, ka troksnis ir viens no </w:t>
      </w:r>
      <w:r w:rsidRPr="00292382">
        <w:rPr>
          <w:bCs/>
          <w:i/>
        </w:rPr>
        <w:t xml:space="preserve">emisijas </w:t>
      </w:r>
      <w:r w:rsidRPr="00292382">
        <w:rPr>
          <w:bCs/>
        </w:rPr>
        <w:t xml:space="preserve">veidiem, bet 1. panta 7. punkts, ka piesārņojums </w:t>
      </w:r>
      <w:r w:rsidRPr="00292382">
        <w:rPr>
          <w:rFonts w:cs="Times New Roman"/>
          <w:bCs/>
          <w:szCs w:val="24"/>
        </w:rPr>
        <w:t xml:space="preserve">ir </w:t>
      </w:r>
      <w:r w:rsidRPr="00292382">
        <w:rPr>
          <w:rFonts w:cs="Times New Roman"/>
          <w:szCs w:val="24"/>
          <w:shd w:val="clear" w:color="auto" w:fill="FFFFFF"/>
        </w:rPr>
        <w:t xml:space="preserve">cilvēka rīcības izraisīta vielu, vibrācijas, siltuma vai </w:t>
      </w:r>
      <w:r w:rsidRPr="00292382">
        <w:rPr>
          <w:rFonts w:cs="Times New Roman"/>
          <w:szCs w:val="24"/>
          <w:u w:val="single"/>
          <w:shd w:val="clear" w:color="auto" w:fill="FFFFFF"/>
        </w:rPr>
        <w:t>trokšņa</w:t>
      </w:r>
      <w:r w:rsidRPr="00292382">
        <w:rPr>
          <w:rFonts w:cs="Times New Roman"/>
          <w:szCs w:val="24"/>
          <w:shd w:val="clear" w:color="auto" w:fill="FFFFFF"/>
        </w:rPr>
        <w:t xml:space="preserve"> tieša vai netieša novadīšana gaisā, ūdenī vai zemē, kam var būt kaitīga ietekme uz cilvēku veselību vai vidi un kas var radīt kaitējumu īpašumam vai ietekmēt dabas resursu izmantošanu un cita veida likumīgu vides izmantošanu.</w:t>
      </w:r>
      <w:r w:rsidRPr="00292382">
        <w:rPr>
          <w:rFonts w:ascii="Arial" w:hAnsi="Arial" w:cs="Arial"/>
          <w:sz w:val="20"/>
          <w:szCs w:val="20"/>
          <w:shd w:val="clear" w:color="auto" w:fill="FFFFFF"/>
        </w:rPr>
        <w:t xml:space="preserve"> </w:t>
      </w:r>
      <w:r w:rsidRPr="00292382">
        <w:rPr>
          <w:bCs/>
        </w:rPr>
        <w:t>Savukārt likuma “Par piesārņojumu” 12. panta otrās daļas 2. punkts nosaka deleģējumu Ministru kabinetam, l</w:t>
      </w:r>
      <w:r w:rsidRPr="00292382">
        <w:t xml:space="preserve">ai novērstu kaitējumu cilvēku veselībai vai videi, noteikt </w:t>
      </w:r>
      <w:r w:rsidRPr="00292382">
        <w:rPr>
          <w:rFonts w:cs="Times New Roman"/>
          <w:szCs w:val="24"/>
          <w:shd w:val="clear" w:color="auto" w:fill="FFFFFF"/>
        </w:rPr>
        <w:t>augstāko un zemāko pieļaujamo līmeni vai raksturlielumus vielu, trokšņu, organismu vai citu vidi ietekmējošu faktoru klātbūtnei vidē.</w:t>
      </w:r>
      <w:r w:rsidRPr="00292382">
        <w:t xml:space="preserve"> Papildus </w:t>
      </w:r>
      <w:r w:rsidRPr="00292382">
        <w:rPr>
          <w:rFonts w:cs="Times New Roman"/>
          <w:szCs w:val="24"/>
        </w:rPr>
        <w:t>deleģējumu Ministru kabinetam noteikt</w:t>
      </w:r>
      <w:r w:rsidRPr="00292382">
        <w:rPr>
          <w:rFonts w:cs="Times New Roman"/>
          <w:szCs w:val="24"/>
          <w:shd w:val="clear" w:color="auto" w:fill="FFFFFF"/>
        </w:rPr>
        <w:t xml:space="preserve"> trokšņa rādītājus, to piemērošanas kārtību un novērtēšanas metodes</w:t>
      </w:r>
      <w:r w:rsidRPr="00292382">
        <w:rPr>
          <w:rFonts w:cs="Times New Roman"/>
          <w:szCs w:val="24"/>
        </w:rPr>
        <w:t xml:space="preserve"> nosaka arī likuma “Par piesārņojumu” </w:t>
      </w:r>
      <w:r w:rsidRPr="00292382">
        <w:rPr>
          <w:rFonts w:eastAsia="Times New Roman" w:cs="Times New Roman"/>
          <w:bCs/>
          <w:szCs w:val="24"/>
        </w:rPr>
        <w:t>18.</w:t>
      </w:r>
      <w:r w:rsidRPr="00292382">
        <w:rPr>
          <w:rFonts w:eastAsia="Times New Roman" w:cs="Times New Roman"/>
          <w:bCs/>
          <w:szCs w:val="24"/>
          <w:vertAlign w:val="superscript"/>
        </w:rPr>
        <w:t>1</w:t>
      </w:r>
      <w:r w:rsidR="00EF0424">
        <w:rPr>
          <w:rFonts w:eastAsia="Times New Roman" w:cs="Times New Roman"/>
          <w:bCs/>
          <w:szCs w:val="24"/>
        </w:rPr>
        <w:t> </w:t>
      </w:r>
      <w:r w:rsidRPr="00292382">
        <w:rPr>
          <w:rFonts w:eastAsia="Times New Roman" w:cs="Times New Roman"/>
          <w:bCs/>
          <w:szCs w:val="24"/>
        </w:rPr>
        <w:t>panta trešā daļa.</w:t>
      </w:r>
    </w:p>
    <w:p w14:paraId="27E863E3" w14:textId="7E846DB6" w:rsidR="008C48B2" w:rsidRPr="00292382" w:rsidRDefault="008C48B2" w:rsidP="00915413">
      <w:pPr>
        <w:pStyle w:val="ListParagraph"/>
        <w:numPr>
          <w:ilvl w:val="0"/>
          <w:numId w:val="4"/>
        </w:numPr>
        <w:spacing w:before="120"/>
        <w:contextualSpacing w:val="0"/>
        <w:rPr>
          <w:rFonts w:cs="Times New Roman"/>
          <w:szCs w:val="24"/>
        </w:rPr>
      </w:pPr>
      <w:r w:rsidRPr="00292382">
        <w:t xml:space="preserve">Attiecībā uz vides kvalitātes normatīviem </w:t>
      </w:r>
      <w:r w:rsidRPr="00292382">
        <w:rPr>
          <w:bCs/>
        </w:rPr>
        <w:t>likuma “Par piesārņojumu” 13. pants</w:t>
      </w:r>
      <w:r w:rsidR="002F1EA5">
        <w:rPr>
          <w:bCs/>
        </w:rPr>
        <w:t>,</w:t>
      </w:r>
      <w:r w:rsidRPr="00292382">
        <w:rPr>
          <w:bCs/>
        </w:rPr>
        <w:t xml:space="preserve"> tā </w:t>
      </w:r>
      <w:r w:rsidR="006E2D54" w:rsidRPr="00292382">
        <w:rPr>
          <w:bCs/>
        </w:rPr>
        <w:t>sākotnējā</w:t>
      </w:r>
      <w:r w:rsidRPr="00292382">
        <w:rPr>
          <w:bCs/>
        </w:rPr>
        <w:t xml:space="preserve"> redakcijā (</w:t>
      </w:r>
      <w:r w:rsidR="006E2D54" w:rsidRPr="00292382">
        <w:rPr>
          <w:bCs/>
        </w:rPr>
        <w:t>no 2001. gada 1. jūlija</w:t>
      </w:r>
      <w:r w:rsidRPr="00292382">
        <w:rPr>
          <w:bCs/>
        </w:rPr>
        <w:t>)</w:t>
      </w:r>
      <w:r w:rsidR="006F571E" w:rsidRPr="00292382">
        <w:rPr>
          <w:bCs/>
        </w:rPr>
        <w:t xml:space="preserve"> un spēkā esošā redakcijā </w:t>
      </w:r>
      <w:r w:rsidRPr="00292382">
        <w:rPr>
          <w:bCs/>
        </w:rPr>
        <w:t>noteic</w:t>
      </w:r>
      <w:r w:rsidRPr="00292382">
        <w:rPr>
          <w:rFonts w:cs="Times New Roman"/>
          <w:bCs/>
          <w:szCs w:val="24"/>
        </w:rPr>
        <w:t xml:space="preserve">, ka tos </w:t>
      </w:r>
      <w:r w:rsidRPr="00292382">
        <w:rPr>
          <w:rFonts w:cs="Times New Roman"/>
          <w:szCs w:val="24"/>
        </w:rPr>
        <w:t xml:space="preserve">iedala robežlielumos un </w:t>
      </w:r>
      <w:proofErr w:type="spellStart"/>
      <w:r w:rsidRPr="00292382">
        <w:rPr>
          <w:rFonts w:cs="Times New Roman"/>
          <w:szCs w:val="24"/>
        </w:rPr>
        <w:t>mērķlielumos</w:t>
      </w:r>
      <w:proofErr w:type="spellEnd"/>
      <w:r w:rsidRPr="00292382">
        <w:rPr>
          <w:rFonts w:cs="Times New Roman"/>
          <w:szCs w:val="24"/>
        </w:rPr>
        <w:t xml:space="preserve">. Saskaņā ar </w:t>
      </w:r>
      <w:r w:rsidR="00915413" w:rsidRPr="00292382">
        <w:rPr>
          <w:rFonts w:cs="Times New Roman"/>
          <w:szCs w:val="24"/>
        </w:rPr>
        <w:t>likuma “Par piesārņojumu”</w:t>
      </w:r>
      <w:r w:rsidRPr="00292382">
        <w:rPr>
          <w:rFonts w:cs="Times New Roman"/>
          <w:szCs w:val="24"/>
        </w:rPr>
        <w:t xml:space="preserve"> </w:t>
      </w:r>
      <w:r w:rsidRPr="00292382">
        <w:rPr>
          <w:rFonts w:cs="Times New Roman"/>
          <w:szCs w:val="24"/>
        </w:rPr>
        <w:lastRenderedPageBreak/>
        <w:t xml:space="preserve">13. panta otro daļu robežlielums ir saistošs jebkuram operatoram, kas veic vai ir paredzējis veikt piesārņojošu darbību, kuras izraisīta emisija var ietekmēt attiecīgo teritoriju, savukārt trešā daļa noteic, ka </w:t>
      </w:r>
      <w:proofErr w:type="spellStart"/>
      <w:r w:rsidRPr="00292382">
        <w:rPr>
          <w:rFonts w:cs="Times New Roman"/>
          <w:szCs w:val="24"/>
        </w:rPr>
        <w:t>mē</w:t>
      </w:r>
      <w:r w:rsidRPr="00292382">
        <w:t>rķ</w:t>
      </w:r>
      <w:r w:rsidRPr="00292382">
        <w:rPr>
          <w:rFonts w:cs="Times New Roman"/>
          <w:szCs w:val="24"/>
        </w:rPr>
        <w:t>lielums</w:t>
      </w:r>
      <w:proofErr w:type="spellEnd"/>
      <w:r w:rsidRPr="00292382">
        <w:rPr>
          <w:rFonts w:cs="Times New Roman"/>
          <w:szCs w:val="24"/>
        </w:rPr>
        <w:t xml:space="preserve"> ir vērtība, kuru vides aizsardzības institūcijas ņem vērā, pieņemot lēmumu par atļaujas izsniegšanu un izstrādājot labāko pieejamo tehnisko paņēmienu izmantošanas nosacījumus, kā arī kontrolējot piesārņojošu darbību. </w:t>
      </w:r>
      <w:r w:rsidRPr="00292382">
        <w:rPr>
          <w:color w:val="000000"/>
          <w:shd w:val="clear" w:color="auto" w:fill="FFFFFF"/>
        </w:rPr>
        <w:t>L</w:t>
      </w:r>
      <w:r w:rsidRPr="00292382">
        <w:rPr>
          <w:rFonts w:cs="Times New Roman"/>
          <w:color w:val="000000"/>
          <w:szCs w:val="24"/>
          <w:shd w:val="clear" w:color="auto" w:fill="FFFFFF"/>
        </w:rPr>
        <w:t xml:space="preserve">ikuma </w:t>
      </w:r>
      <w:r w:rsidRPr="00292382">
        <w:rPr>
          <w:rFonts w:cs="Times New Roman"/>
          <w:bCs/>
          <w:szCs w:val="24"/>
        </w:rPr>
        <w:t xml:space="preserve">“Par piesārņojumu” </w:t>
      </w:r>
      <w:r w:rsidRPr="00292382">
        <w:t>14. pants noteic, ka “Piesārņojošu darbību nedrīkst uzsākt, ja ir pārsniegti vai var tikt pārsniegti vides kvalitātes normatīvu robežlielumi</w:t>
      </w:r>
      <w:r w:rsidR="007913F5" w:rsidRPr="00292382">
        <w:t xml:space="preserve"> </w:t>
      </w:r>
      <w:r w:rsidRPr="00292382">
        <w:t>noteiktam piesārņojuma veidam noteiktā teritorijā un ja attiecīgās darbības izraisītās emisijas var palielināt kopējo attiecīgā piesārņojuma daudzumu šajā teritorijā”.</w:t>
      </w:r>
      <w:r w:rsidRPr="00292382">
        <w:rPr>
          <w:i/>
        </w:rPr>
        <w:t xml:space="preserve"> </w:t>
      </w:r>
      <w:r w:rsidRPr="00292382">
        <w:rPr>
          <w:rFonts w:cs="Times New Roman"/>
          <w:szCs w:val="24"/>
        </w:rPr>
        <w:t xml:space="preserve">Savukārt </w:t>
      </w:r>
      <w:r w:rsidR="0059684C" w:rsidRPr="00292382">
        <w:rPr>
          <w:rFonts w:cs="Times New Roman"/>
          <w:bCs/>
          <w:szCs w:val="24"/>
        </w:rPr>
        <w:t xml:space="preserve">likuma “Par piesārņojumu” </w:t>
      </w:r>
      <w:r w:rsidRPr="00292382">
        <w:rPr>
          <w:rFonts w:cs="Times New Roman"/>
          <w:szCs w:val="24"/>
        </w:rPr>
        <w:t>11. panta pirmās daļas 2. punkts nosaka, ka, veicot piesārņojošu darbību, operators ievēro noteiktu piesārņojuma veidu emisijas robežvērtības. Attiecīgi, ja kādam piesārņojuma veidam ir noteikti vides kvalitātes robežlielumi, tie ir saistoši un nevar tikt pārsniegti.</w:t>
      </w:r>
    </w:p>
    <w:p w14:paraId="194CCBB7" w14:textId="2BCCF817" w:rsidR="002F568B" w:rsidRPr="004372CE" w:rsidRDefault="002F568B" w:rsidP="000A66E8">
      <w:pPr>
        <w:pStyle w:val="ListParagraph"/>
        <w:numPr>
          <w:ilvl w:val="0"/>
          <w:numId w:val="4"/>
        </w:numPr>
        <w:spacing w:before="120"/>
        <w:ind w:left="777" w:hanging="357"/>
        <w:contextualSpacing w:val="0"/>
        <w:rPr>
          <w:rFonts w:cs="Times New Roman"/>
          <w:szCs w:val="24"/>
        </w:rPr>
      </w:pPr>
      <w:r w:rsidRPr="00292382">
        <w:rPr>
          <w:rFonts w:eastAsia="Calibri"/>
        </w:rPr>
        <w:t>Spēkā esoš</w:t>
      </w:r>
      <w:r w:rsidR="000504EA" w:rsidRPr="00292382">
        <w:rPr>
          <w:rFonts w:eastAsia="Calibri"/>
        </w:rPr>
        <w:t>o</w:t>
      </w:r>
      <w:r w:rsidRPr="00292382">
        <w:t xml:space="preserve"> MK note</w:t>
      </w:r>
      <w:r w:rsidR="00396E44" w:rsidRPr="00292382">
        <w:t>ikum</w:t>
      </w:r>
      <w:r w:rsidR="000504EA" w:rsidRPr="00292382">
        <w:t>u</w:t>
      </w:r>
      <w:r w:rsidR="00396E44" w:rsidRPr="00292382">
        <w:t xml:space="preserve"> Nr.</w:t>
      </w:r>
      <w:r w:rsidR="002F1EA5">
        <w:t> </w:t>
      </w:r>
      <w:r w:rsidRPr="00292382">
        <w:t xml:space="preserve">16, kas </w:t>
      </w:r>
      <w:r w:rsidRPr="00292382">
        <w:rPr>
          <w:rFonts w:cs="Times New Roman"/>
          <w:szCs w:val="24"/>
        </w:rPr>
        <w:t>izdoti, pamatojoties uz likumā “Par piesārņojumu”</w:t>
      </w:r>
      <w:r w:rsidR="00DC5787" w:rsidRPr="00292382">
        <w:rPr>
          <w:rFonts w:cs="Times New Roman"/>
          <w:szCs w:val="24"/>
        </w:rPr>
        <w:t xml:space="preserve"> </w:t>
      </w:r>
      <w:r w:rsidR="00DC5787" w:rsidRPr="00292382">
        <w:rPr>
          <w:rFonts w:eastAsia="Times New Roman"/>
          <w:bCs/>
          <w:szCs w:val="24"/>
        </w:rPr>
        <w:t>18.</w:t>
      </w:r>
      <w:r w:rsidR="00DC5787" w:rsidRPr="00292382">
        <w:rPr>
          <w:rFonts w:eastAsia="Times New Roman"/>
          <w:bCs/>
          <w:szCs w:val="24"/>
          <w:vertAlign w:val="superscript"/>
        </w:rPr>
        <w:t>1</w:t>
      </w:r>
      <w:r w:rsidR="002F1EA5">
        <w:rPr>
          <w:rFonts w:eastAsia="Times New Roman"/>
          <w:bCs/>
          <w:szCs w:val="24"/>
        </w:rPr>
        <w:t> </w:t>
      </w:r>
      <w:r w:rsidR="00DC5787" w:rsidRPr="00292382">
        <w:rPr>
          <w:rFonts w:eastAsia="Times New Roman"/>
          <w:bCs/>
          <w:szCs w:val="24"/>
        </w:rPr>
        <w:t>pantā</w:t>
      </w:r>
      <w:r w:rsidRPr="00292382">
        <w:rPr>
          <w:rFonts w:cs="Times New Roman"/>
          <w:szCs w:val="24"/>
        </w:rPr>
        <w:t xml:space="preserve"> ietvertu deleģējumu, 7. punkts noteic, ka </w:t>
      </w:r>
      <w:r w:rsidRPr="00292382">
        <w:rPr>
          <w:rFonts w:cs="Times New Roman"/>
          <w:szCs w:val="24"/>
          <w:shd w:val="clear" w:color="auto" w:fill="FFFFFF"/>
        </w:rPr>
        <w:t xml:space="preserve">vides trokšņa </w:t>
      </w:r>
      <w:r w:rsidRPr="00B52D4B">
        <w:rPr>
          <w:rFonts w:cs="Times New Roman"/>
          <w:szCs w:val="24"/>
          <w:shd w:val="clear" w:color="auto" w:fill="FFFFFF"/>
        </w:rPr>
        <w:t xml:space="preserve">robežlielumi un to novērtēšanas nosacījumi norādīti šo noteikumu </w:t>
      </w:r>
      <w:hyperlink r:id="rId9" w:anchor="piel2" w:history="1">
        <w:r w:rsidRPr="00B52D4B">
          <w:rPr>
            <w:rFonts w:cs="Times New Roman"/>
            <w:szCs w:val="24"/>
            <w:shd w:val="clear" w:color="auto" w:fill="FFFFFF"/>
          </w:rPr>
          <w:t>2. pielikumā</w:t>
        </w:r>
      </w:hyperlink>
      <w:r w:rsidRPr="00B52D4B">
        <w:rPr>
          <w:rFonts w:cs="Times New Roman"/>
          <w:szCs w:val="24"/>
          <w:shd w:val="clear" w:color="auto" w:fill="FFFFFF"/>
        </w:rPr>
        <w:t xml:space="preserve">, savukārt šo noteikumu 10. punkts noteic, ka trokšņa robežlielumi telpās noteikti šo noteikumu </w:t>
      </w:r>
      <w:r w:rsidR="006B4F17" w:rsidRPr="00B52D4B">
        <w:rPr>
          <w:rFonts w:cs="Times New Roman"/>
          <w:szCs w:val="24"/>
          <w:shd w:val="clear" w:color="auto" w:fill="FFFFFF"/>
        </w:rPr>
        <w:t>4</w:t>
      </w:r>
      <w:r w:rsidRPr="00B52D4B">
        <w:rPr>
          <w:rFonts w:cs="Times New Roman"/>
          <w:szCs w:val="24"/>
          <w:shd w:val="clear" w:color="auto" w:fill="FFFFFF"/>
        </w:rPr>
        <w:t>. pielikumā.</w:t>
      </w:r>
      <w:r w:rsidRPr="00B52D4B">
        <w:rPr>
          <w:shd w:val="clear" w:color="auto" w:fill="FFFFFF"/>
        </w:rPr>
        <w:t xml:space="preserve"> </w:t>
      </w:r>
      <w:r w:rsidR="000504EA" w:rsidRPr="00B52D4B">
        <w:rPr>
          <w:shd w:val="clear" w:color="auto" w:fill="FFFFFF"/>
        </w:rPr>
        <w:t>MK noteikumu Nr.</w:t>
      </w:r>
      <w:r w:rsidR="00807723" w:rsidRPr="00B52D4B">
        <w:rPr>
          <w:shd w:val="clear" w:color="auto" w:fill="FFFFFF"/>
        </w:rPr>
        <w:t> </w:t>
      </w:r>
      <w:r w:rsidR="000504EA" w:rsidRPr="00B52D4B">
        <w:rPr>
          <w:shd w:val="clear" w:color="auto" w:fill="FFFFFF"/>
        </w:rPr>
        <w:t>16 2. pielikuma 1. tabulas 2. piezīmē</w:t>
      </w:r>
      <w:r w:rsidR="000504EA" w:rsidRPr="00292382">
        <w:rPr>
          <w:shd w:val="clear" w:color="auto" w:fill="FFFFFF"/>
        </w:rPr>
        <w:t xml:space="preserve"> noteikts, ka aizsargjoslās gar autoceļiem (tai skaitā arī gar autoceļiem, uz kuriem satiksmes intensitāte ir mazāka nekā trīs miljoni transportlīdzekļu gadā), aizsargjoslās gar dzelzceļiem un teritorijās, kas atrodas tuvāk par 30</w:t>
      </w:r>
      <w:r w:rsidR="00807723">
        <w:rPr>
          <w:shd w:val="clear" w:color="auto" w:fill="FFFFFF"/>
        </w:rPr>
        <w:t> </w:t>
      </w:r>
      <w:r w:rsidR="000504EA" w:rsidRPr="00292382">
        <w:rPr>
          <w:shd w:val="clear" w:color="auto" w:fill="FFFFFF"/>
        </w:rPr>
        <w:t xml:space="preserve">m no stacionāriem trokšņa avotiem, vides trokšņa robežlielumi uzskatāmi par </w:t>
      </w:r>
      <w:proofErr w:type="spellStart"/>
      <w:r w:rsidR="000504EA" w:rsidRPr="00292382">
        <w:rPr>
          <w:shd w:val="clear" w:color="auto" w:fill="FFFFFF"/>
        </w:rPr>
        <w:t>mērķlielumiem</w:t>
      </w:r>
      <w:proofErr w:type="spellEnd"/>
      <w:r w:rsidR="000504EA" w:rsidRPr="00292382">
        <w:rPr>
          <w:shd w:val="clear" w:color="auto" w:fill="FFFFFF"/>
        </w:rPr>
        <w:t xml:space="preserve">. </w:t>
      </w:r>
      <w:r w:rsidRPr="00292382">
        <w:rPr>
          <w:shd w:val="clear" w:color="auto" w:fill="FFFFFF"/>
        </w:rPr>
        <w:t>Tomēr MK noteikumu Nr. 16 4.13. apakšpunkts noteic, ka</w:t>
      </w:r>
      <w:r w:rsidR="00807723">
        <w:rPr>
          <w:shd w:val="clear" w:color="auto" w:fill="FFFFFF"/>
        </w:rPr>
        <w:t xml:space="preserve"> </w:t>
      </w:r>
      <w:r w:rsidRPr="00292382">
        <w:rPr>
          <w:shd w:val="clear" w:color="auto" w:fill="FFFFFF"/>
        </w:rPr>
        <w:t>“</w:t>
      </w:r>
      <w:r w:rsidRPr="00292382">
        <w:rPr>
          <w:bCs/>
          <w:shd w:val="clear" w:color="auto" w:fill="FFFFFF"/>
        </w:rPr>
        <w:t>trokšņa robežlielums”</w:t>
      </w:r>
      <w:r w:rsidR="00807723">
        <w:rPr>
          <w:shd w:val="clear" w:color="auto" w:fill="FFFFFF"/>
        </w:rPr>
        <w:t xml:space="preserve"> </w:t>
      </w:r>
      <w:r w:rsidRPr="00292382">
        <w:rPr>
          <w:shd w:val="clear" w:color="auto" w:fill="FFFFFF"/>
        </w:rPr>
        <w:t>(ne tikai vides trokšņa) ir “pieļaujamā trokšņa rādītāja vērtība, kuru pārsniedzot</w:t>
      </w:r>
      <w:r w:rsidR="00CC1E36" w:rsidRPr="00292382">
        <w:rPr>
          <w:shd w:val="clear" w:color="auto" w:fill="FFFFFF"/>
        </w:rPr>
        <w:t>,</w:t>
      </w:r>
      <w:r w:rsidRPr="00292382">
        <w:rPr>
          <w:shd w:val="clear" w:color="auto" w:fill="FFFFFF"/>
        </w:rPr>
        <w:t xml:space="preserve"> attiecīgā institūcija izskata iespēju veikt vai veic pasākumus, kas samazina trokšņa rādītāja vērtību”. </w:t>
      </w:r>
      <w:r w:rsidRPr="00292382">
        <w:t>MK note</w:t>
      </w:r>
      <w:r w:rsidR="00FB20AB" w:rsidRPr="00292382">
        <w:t>ikumu Nr. </w:t>
      </w:r>
      <w:r w:rsidRPr="00292382">
        <w:t xml:space="preserve">16 </w:t>
      </w:r>
      <w:r w:rsidRPr="00292382">
        <w:rPr>
          <w:shd w:val="clear" w:color="auto" w:fill="FFFFFF"/>
        </w:rPr>
        <w:t xml:space="preserve">4.13. apakšpunktā ietvertā robežlieluma definīcija atbilst “robežlieluma” definīcijai </w:t>
      </w:r>
      <w:r w:rsidRPr="00292382">
        <w:rPr>
          <w:bCs/>
        </w:rPr>
        <w:t xml:space="preserve">Direktīvas 2002/49/EK tvērumā, tomēr tā neatbilst </w:t>
      </w:r>
      <w:r w:rsidRPr="00292382">
        <w:rPr>
          <w:rFonts w:cs="Times New Roman"/>
          <w:szCs w:val="24"/>
        </w:rPr>
        <w:t>likum</w:t>
      </w:r>
      <w:r w:rsidRPr="00292382">
        <w:t>am</w:t>
      </w:r>
      <w:r w:rsidRPr="00292382">
        <w:rPr>
          <w:rFonts w:cs="Times New Roman"/>
          <w:szCs w:val="24"/>
        </w:rPr>
        <w:t xml:space="preserve"> “Par piesārņojumu” </w:t>
      </w:r>
      <w:r w:rsidRPr="00292382">
        <w:t xml:space="preserve">un tajā ietvertajam </w:t>
      </w:r>
      <w:r w:rsidRPr="00292382">
        <w:rPr>
          <w:bCs/>
        </w:rPr>
        <w:t xml:space="preserve">robežlieluma jēdzienam </w:t>
      </w:r>
      <w:r w:rsidRPr="00292382">
        <w:t>(un regulējumam attiecībā uz to).</w:t>
      </w:r>
    </w:p>
    <w:p w14:paraId="77A8EB13" w14:textId="73AF7D2C" w:rsidR="004372CE" w:rsidRPr="004372CE" w:rsidRDefault="004372CE" w:rsidP="00DB3D17">
      <w:pPr>
        <w:pStyle w:val="xxmsonormal"/>
        <w:shd w:val="clear" w:color="auto" w:fill="FFFFFF"/>
        <w:spacing w:before="120" w:beforeAutospacing="0" w:after="0" w:afterAutospacing="0"/>
        <w:ind w:firstLine="709"/>
        <w:jc w:val="both"/>
        <w:rPr>
          <w:color w:val="201F1E"/>
        </w:rPr>
      </w:pPr>
      <w:r w:rsidRPr="004372CE">
        <w:rPr>
          <w:color w:val="201F1E"/>
        </w:rPr>
        <w:t>Kā tas izriet no MK noteikumu Nr.</w:t>
      </w:r>
      <w:r w:rsidR="00807723">
        <w:rPr>
          <w:color w:val="201F1E"/>
        </w:rPr>
        <w:t> </w:t>
      </w:r>
      <w:r w:rsidRPr="004372CE">
        <w:rPr>
          <w:color w:val="201F1E"/>
        </w:rPr>
        <w:t>16</w:t>
      </w:r>
      <w:r w:rsidR="00807723">
        <w:rPr>
          <w:color w:val="201F1E"/>
        </w:rPr>
        <w:t xml:space="preserve"> </w:t>
      </w:r>
      <w:r w:rsidRPr="004372CE">
        <w:rPr>
          <w:color w:val="000000"/>
          <w:bdr w:val="none" w:sz="0" w:space="0" w:color="auto" w:frame="1"/>
          <w:shd w:val="clear" w:color="auto" w:fill="FFFFFF"/>
        </w:rPr>
        <w:t>4.13. apakšpunktā un</w:t>
      </w:r>
      <w:r w:rsidR="00807723">
        <w:rPr>
          <w:color w:val="000000"/>
          <w:bdr w:val="none" w:sz="0" w:space="0" w:color="auto" w:frame="1"/>
          <w:shd w:val="clear" w:color="auto" w:fill="FFFFFF"/>
        </w:rPr>
        <w:t xml:space="preserve"> </w:t>
      </w:r>
      <w:r w:rsidRPr="004372CE">
        <w:rPr>
          <w:color w:val="201F1E"/>
        </w:rPr>
        <w:t>Direktīvā 2002/49/EK</w:t>
      </w:r>
      <w:r w:rsidR="00807723">
        <w:rPr>
          <w:color w:val="201F1E"/>
        </w:rPr>
        <w:t xml:space="preserve"> </w:t>
      </w:r>
      <w:r w:rsidRPr="004372CE">
        <w:rPr>
          <w:color w:val="000000"/>
          <w:bdr w:val="none" w:sz="0" w:space="0" w:color="auto" w:frame="1"/>
          <w:shd w:val="clear" w:color="auto" w:fill="FFFFFF"/>
        </w:rPr>
        <w:t>lietotās robežlieluma definīcijas, tas ir lielums, uz kuru pakāpeniski tiecas, pieļaujot, ka tā varētu tikt arī pārsniegta. Savukārt</w:t>
      </w:r>
      <w:r w:rsidR="00807723">
        <w:rPr>
          <w:color w:val="000000"/>
          <w:bdr w:val="none" w:sz="0" w:space="0" w:color="auto" w:frame="1"/>
          <w:shd w:val="clear" w:color="auto" w:fill="FFFFFF"/>
        </w:rPr>
        <w:t xml:space="preserve"> </w:t>
      </w:r>
      <w:r w:rsidRPr="004372CE">
        <w:rPr>
          <w:color w:val="201F1E"/>
        </w:rPr>
        <w:t>MK noteikumi Nr.</w:t>
      </w:r>
      <w:r w:rsidR="00807723">
        <w:rPr>
          <w:color w:val="201F1E"/>
        </w:rPr>
        <w:t> </w:t>
      </w:r>
      <w:r w:rsidRPr="004372CE">
        <w:rPr>
          <w:color w:val="201F1E"/>
        </w:rPr>
        <w:t>16</w:t>
      </w:r>
      <w:r w:rsidR="00807723">
        <w:rPr>
          <w:color w:val="201F1E"/>
        </w:rPr>
        <w:t xml:space="preserve"> </w:t>
      </w:r>
      <w:r w:rsidRPr="004372CE">
        <w:rPr>
          <w:color w:val="000000"/>
          <w:bdr w:val="none" w:sz="0" w:space="0" w:color="auto" w:frame="1"/>
          <w:shd w:val="clear" w:color="auto" w:fill="FFFFFF"/>
        </w:rPr>
        <w:t>ir likumam “</w:t>
      </w:r>
      <w:r w:rsidRPr="004372CE">
        <w:rPr>
          <w:iCs/>
          <w:color w:val="000000"/>
          <w:bdr w:val="none" w:sz="0" w:space="0" w:color="auto" w:frame="1"/>
          <w:shd w:val="clear" w:color="auto" w:fill="FFFFFF"/>
        </w:rPr>
        <w:t>Par piesārņojumu</w:t>
      </w:r>
      <w:r w:rsidRPr="004372CE">
        <w:rPr>
          <w:color w:val="000000"/>
          <w:bdr w:val="none" w:sz="0" w:space="0" w:color="auto" w:frame="1"/>
          <w:shd w:val="clear" w:color="auto" w:fill="FFFFFF"/>
        </w:rPr>
        <w:t>” pakārtots normatīvais akts, un atbilstoši šajā likumā lietotajai robežlieluma definīcijai (13. pants) – robežlielums ir vērtība, kas nevar tikt pārsniegta, jo tā ir saistoša operatoram</w:t>
      </w:r>
      <w:r w:rsidRPr="004372CE">
        <w:rPr>
          <w:color w:val="201F1E"/>
        </w:rPr>
        <w:t>. Tādēļ starp normatīvajos aktos lietotām definīcijām ir pretruna, kas novēršama, veicot precizējumus un nodalot, kuros gadījumos kura no tām piemērojama.</w:t>
      </w:r>
    </w:p>
    <w:p w14:paraId="264F2CB8" w14:textId="2297427D" w:rsidR="004372CE" w:rsidRPr="004372CE" w:rsidRDefault="004372CE" w:rsidP="00DB3D17">
      <w:pPr>
        <w:pStyle w:val="xxmsonormal"/>
        <w:shd w:val="clear" w:color="auto" w:fill="FFFFFF"/>
        <w:spacing w:before="120" w:beforeAutospacing="0" w:after="0" w:afterAutospacing="0"/>
        <w:ind w:firstLine="709"/>
        <w:jc w:val="both"/>
        <w:rPr>
          <w:color w:val="201F1E"/>
        </w:rPr>
      </w:pPr>
      <w:r w:rsidRPr="004372CE">
        <w:rPr>
          <w:color w:val="201F1E"/>
        </w:rPr>
        <w:t>Direktīva 2002/49/EK paredz, ka noteiktos gadījumos vides troksnis varētu būt arī lielāks par paredzēto vides kvalitātes vērtību, tomēr no</w:t>
      </w:r>
      <w:r w:rsidR="00807723">
        <w:rPr>
          <w:color w:val="201F1E"/>
        </w:rPr>
        <w:t xml:space="preserve"> </w:t>
      </w:r>
      <w:r w:rsidRPr="004372CE">
        <w:rPr>
          <w:color w:val="000000"/>
          <w:bdr w:val="none" w:sz="0" w:space="0" w:color="auto" w:frame="1"/>
          <w:shd w:val="clear" w:color="auto" w:fill="FFFFFF"/>
        </w:rPr>
        <w:t>likumam “</w:t>
      </w:r>
      <w:r w:rsidRPr="004372CE">
        <w:rPr>
          <w:iCs/>
          <w:color w:val="000000"/>
          <w:bdr w:val="none" w:sz="0" w:space="0" w:color="auto" w:frame="1"/>
          <w:shd w:val="clear" w:color="auto" w:fill="FFFFFF"/>
        </w:rPr>
        <w:t>Par piesārņojumu</w:t>
      </w:r>
      <w:r w:rsidRPr="004372CE">
        <w:rPr>
          <w:color w:val="000000"/>
          <w:bdr w:val="none" w:sz="0" w:space="0" w:color="auto" w:frame="1"/>
          <w:shd w:val="clear" w:color="auto" w:fill="FFFFFF"/>
        </w:rPr>
        <w:t>” izriet, ka robežlielums nekad nevar tikt pārsniegts, jo saskaņā ar minētā likuma 13.</w:t>
      </w:r>
      <w:r w:rsidR="00807723">
        <w:rPr>
          <w:color w:val="000000"/>
          <w:bdr w:val="none" w:sz="0" w:space="0" w:color="auto" w:frame="1"/>
          <w:shd w:val="clear" w:color="auto" w:fill="FFFFFF"/>
        </w:rPr>
        <w:t> </w:t>
      </w:r>
      <w:r w:rsidRPr="004372CE">
        <w:rPr>
          <w:color w:val="000000"/>
          <w:bdr w:val="none" w:sz="0" w:space="0" w:color="auto" w:frame="1"/>
          <w:shd w:val="clear" w:color="auto" w:fill="FFFFFF"/>
        </w:rPr>
        <w:t>panta 4.</w:t>
      </w:r>
      <w:r w:rsidR="00807723">
        <w:rPr>
          <w:color w:val="000000"/>
          <w:bdr w:val="none" w:sz="0" w:space="0" w:color="auto" w:frame="1"/>
          <w:shd w:val="clear" w:color="auto" w:fill="FFFFFF"/>
        </w:rPr>
        <w:t> </w:t>
      </w:r>
      <w:r w:rsidRPr="004372CE">
        <w:rPr>
          <w:color w:val="000000"/>
          <w:bdr w:val="none" w:sz="0" w:space="0" w:color="auto" w:frame="1"/>
          <w:shd w:val="clear" w:color="auto" w:fill="FFFFFF"/>
        </w:rPr>
        <w:t>daļu pārsniegts var</w:t>
      </w:r>
      <w:r w:rsidR="00807723">
        <w:rPr>
          <w:color w:val="201F1E"/>
        </w:rPr>
        <w:t xml:space="preserve"> </w:t>
      </w:r>
      <w:r w:rsidRPr="004372CE">
        <w:rPr>
          <w:color w:val="201F1E"/>
        </w:rPr>
        <w:t xml:space="preserve">būt tikai </w:t>
      </w:r>
      <w:proofErr w:type="spellStart"/>
      <w:r w:rsidRPr="004372CE">
        <w:rPr>
          <w:color w:val="201F1E"/>
        </w:rPr>
        <w:t>mērķlielums</w:t>
      </w:r>
      <w:proofErr w:type="spellEnd"/>
      <w:r w:rsidRPr="004372CE">
        <w:rPr>
          <w:color w:val="201F1E"/>
        </w:rPr>
        <w:t xml:space="preserve"> ar apņemšanos pakāpeniski samazināt emisiju. Tā rezultātā nereti teritorijās, kur autosatiksmes radīts vides troksnis ir lielāks par MK noteikumos Nr.</w:t>
      </w:r>
      <w:r w:rsidR="00807723">
        <w:rPr>
          <w:color w:val="201F1E"/>
        </w:rPr>
        <w:t> </w:t>
      </w:r>
      <w:r w:rsidRPr="004372CE">
        <w:rPr>
          <w:color w:val="201F1E"/>
        </w:rPr>
        <w:t>16 noteikto robežlielumu, ilgstoši turpinās normatīvo aktu pārkāpums (nav ievērots robežlielums), un šādās teritorijās nav arī iespējams izsniegt piesārņojošās darbības atļauju operatoram (piemēram, ražotnes izveidei), jo robežlielumi operatoram ir saistoši. Likuma “</w:t>
      </w:r>
      <w:r w:rsidRPr="004372CE">
        <w:rPr>
          <w:iCs/>
          <w:color w:val="201F1E"/>
        </w:rPr>
        <w:t>Par piesārņojumu</w:t>
      </w:r>
      <w:r w:rsidRPr="004372CE">
        <w:rPr>
          <w:color w:val="201F1E"/>
        </w:rPr>
        <w:t>” 14.</w:t>
      </w:r>
      <w:r w:rsidR="00807723">
        <w:rPr>
          <w:color w:val="201F1E"/>
        </w:rPr>
        <w:t> </w:t>
      </w:r>
      <w:r w:rsidRPr="004372CE">
        <w:rPr>
          <w:color w:val="201F1E"/>
        </w:rPr>
        <w:t>panta pirmā daļa nosaka, ka piesārņojošu darbību nedrīkst uzsākt, ja ir pārsniegti vai var tikt pārsniegti vides kvalitātes normatīvu robežlielumi noteiktam piesārņojuma veidam noteiktā teritorijā un</w:t>
      </w:r>
      <w:r w:rsidR="00807723">
        <w:rPr>
          <w:color w:val="201F1E"/>
        </w:rPr>
        <w:t>,</w:t>
      </w:r>
      <w:r w:rsidRPr="004372CE">
        <w:rPr>
          <w:color w:val="201F1E"/>
        </w:rPr>
        <w:t xml:space="preserve"> ja attiecīgās darbības izraisītās emisijas var palielināt kopējo attiecīgā piesārņojuma daudzumu šajā teritorijā. Šādos gadījumos atļauja piesārņojošas darbības veikšanai netiek izsniegta.</w:t>
      </w:r>
    </w:p>
    <w:p w14:paraId="322FF390" w14:textId="521DAB27" w:rsidR="00135512" w:rsidRPr="00292382" w:rsidRDefault="002A1DB0" w:rsidP="00DB3D17">
      <w:pPr>
        <w:pStyle w:val="ListParagraph"/>
        <w:spacing w:before="120"/>
        <w:ind w:left="0" w:firstLine="709"/>
        <w:contextualSpacing w:val="0"/>
        <w:rPr>
          <w:rFonts w:eastAsia="Times New Roman" w:cs="Times New Roman"/>
          <w:szCs w:val="24"/>
          <w:lang w:eastAsia="lv-LV"/>
        </w:rPr>
      </w:pPr>
      <w:r w:rsidRPr="00292382">
        <w:rPr>
          <w:rFonts w:eastAsia="Times New Roman" w:cs="Times New Roman"/>
          <w:szCs w:val="24"/>
          <w:lang w:eastAsia="lv-LV"/>
        </w:rPr>
        <w:t xml:space="preserve">Tādējādi spēkā esošo MK noteikumu Nr. 16 </w:t>
      </w:r>
      <w:r w:rsidR="002F1EA5">
        <w:rPr>
          <w:rFonts w:eastAsia="Times New Roman" w:cs="Times New Roman"/>
          <w:szCs w:val="24"/>
          <w:lang w:eastAsia="lv-LV"/>
        </w:rPr>
        <w:t>regulējumā</w:t>
      </w:r>
      <w:r w:rsidRPr="00292382">
        <w:rPr>
          <w:rFonts w:eastAsia="Times New Roman" w:cs="Times New Roman"/>
          <w:szCs w:val="24"/>
          <w:lang w:eastAsia="lv-LV"/>
        </w:rPr>
        <w:t xml:space="preserve"> ietilpst gan Direktīvas 2002/49/EK tvērum</w:t>
      </w:r>
      <w:r w:rsidR="00045B35" w:rsidRPr="00292382">
        <w:rPr>
          <w:rFonts w:eastAsia="Times New Roman" w:cs="Times New Roman"/>
          <w:szCs w:val="24"/>
          <w:lang w:eastAsia="lv-LV"/>
        </w:rPr>
        <w:t>s</w:t>
      </w:r>
      <w:r w:rsidRPr="00292382">
        <w:rPr>
          <w:rFonts w:eastAsia="Times New Roman" w:cs="Times New Roman"/>
          <w:szCs w:val="24"/>
          <w:lang w:eastAsia="lv-LV"/>
        </w:rPr>
        <w:t>, gan tehnisk</w:t>
      </w:r>
      <w:r w:rsidR="00045B35" w:rsidRPr="00292382">
        <w:rPr>
          <w:rFonts w:eastAsia="Times New Roman" w:cs="Times New Roman"/>
          <w:szCs w:val="24"/>
          <w:lang w:eastAsia="lv-LV"/>
        </w:rPr>
        <w:t>ie</w:t>
      </w:r>
      <w:r w:rsidRPr="00292382">
        <w:rPr>
          <w:rFonts w:eastAsia="Times New Roman" w:cs="Times New Roman"/>
          <w:szCs w:val="24"/>
          <w:lang w:eastAsia="lv-LV"/>
        </w:rPr>
        <w:t xml:space="preserve"> noteikum</w:t>
      </w:r>
      <w:r w:rsidR="00045B35" w:rsidRPr="00292382">
        <w:rPr>
          <w:rFonts w:eastAsia="Times New Roman" w:cs="Times New Roman"/>
          <w:szCs w:val="24"/>
          <w:lang w:eastAsia="lv-LV"/>
        </w:rPr>
        <w:t>i</w:t>
      </w:r>
      <w:r w:rsidRPr="00292382">
        <w:rPr>
          <w:rFonts w:eastAsia="Times New Roman" w:cs="Times New Roman"/>
          <w:szCs w:val="24"/>
          <w:lang w:eastAsia="lv-LV"/>
        </w:rPr>
        <w:t xml:space="preserve"> attiecībā uz vides trokšņa ietekmes novērtēšanas </w:t>
      </w:r>
      <w:r w:rsidRPr="00292382">
        <w:rPr>
          <w:rFonts w:eastAsia="Times New Roman" w:cs="Times New Roman"/>
          <w:szCs w:val="24"/>
          <w:lang w:eastAsia="lv-LV"/>
        </w:rPr>
        <w:lastRenderedPageBreak/>
        <w:t>metodēm, gan trokšņa robežlielum</w:t>
      </w:r>
      <w:r w:rsidR="00045B35" w:rsidRPr="00292382">
        <w:rPr>
          <w:rFonts w:eastAsia="Times New Roman" w:cs="Times New Roman"/>
          <w:szCs w:val="24"/>
          <w:lang w:eastAsia="lv-LV"/>
        </w:rPr>
        <w:t>i</w:t>
      </w:r>
      <w:r w:rsidRPr="00292382">
        <w:rPr>
          <w:rFonts w:eastAsia="Times New Roman" w:cs="Times New Roman"/>
          <w:szCs w:val="24"/>
          <w:lang w:eastAsia="lv-LV"/>
        </w:rPr>
        <w:t xml:space="preserve"> apbūves teritorijām atkarībā no to izmantošanas funkcijām un trokšņa robežlielum</w:t>
      </w:r>
      <w:r w:rsidR="00045B35" w:rsidRPr="00292382">
        <w:rPr>
          <w:rFonts w:eastAsia="Times New Roman" w:cs="Times New Roman"/>
          <w:szCs w:val="24"/>
          <w:lang w:eastAsia="lv-LV"/>
        </w:rPr>
        <w:t>i</w:t>
      </w:r>
      <w:r w:rsidRPr="00292382">
        <w:rPr>
          <w:rFonts w:eastAsia="Times New Roman" w:cs="Times New Roman"/>
          <w:szCs w:val="24"/>
          <w:lang w:eastAsia="lv-LV"/>
        </w:rPr>
        <w:t xml:space="preserve"> telpās atkarībā no to lietošanas funkcijām.</w:t>
      </w:r>
      <w:r w:rsidR="00135512" w:rsidRPr="00292382">
        <w:rPr>
          <w:rFonts w:eastAsia="Times New Roman" w:cs="Times New Roman"/>
          <w:szCs w:val="24"/>
          <w:lang w:eastAsia="lv-LV"/>
        </w:rPr>
        <w:t xml:space="preserve"> </w:t>
      </w:r>
      <w:r w:rsidR="000504EA" w:rsidRPr="00292382">
        <w:rPr>
          <w:rFonts w:eastAsia="Times New Roman" w:cs="Times New Roman"/>
          <w:szCs w:val="24"/>
          <w:lang w:eastAsia="lv-LV"/>
        </w:rPr>
        <w:t>Tomēr ar MK noteikumiem Nr. 16 nav nodalīts Direktīvā 2002/49/EK paredzētais regulējums esošajiem, stratēģiski nozīmīgajiem satiksmes objektiem un lielajām aglomerācijām, kurās atbilstoši Direktīvas 2002/49/EK nosacījumiem pakāpeniski veicamas rīcības,</w:t>
      </w:r>
      <w:r w:rsidR="000504EA" w:rsidRPr="00292382">
        <w:rPr>
          <w:shd w:val="clear" w:color="auto" w:fill="FFFFFF"/>
        </w:rPr>
        <w:t xml:space="preserve"> kas samazina trokšņa rādītāja vērtību (vides trokšņa </w:t>
      </w:r>
      <w:proofErr w:type="spellStart"/>
      <w:r w:rsidR="000504EA" w:rsidRPr="00292382">
        <w:rPr>
          <w:shd w:val="clear" w:color="auto" w:fill="FFFFFF"/>
        </w:rPr>
        <w:t>mērķlielums</w:t>
      </w:r>
      <w:proofErr w:type="spellEnd"/>
      <w:r w:rsidR="000504EA" w:rsidRPr="00292382">
        <w:rPr>
          <w:shd w:val="clear" w:color="auto" w:fill="FFFFFF"/>
        </w:rPr>
        <w:t>), no regulējuma jaunu darbību īstenošanai un teritoriju plānošanai, ar mērķi nepasliktināt esošo situāciju un neradīt jaunas vides problēmas nākotnē (vides trokšņa robežlielumi).</w:t>
      </w:r>
    </w:p>
    <w:p w14:paraId="749FAB1C" w14:textId="293DAB71" w:rsidR="00CE337F" w:rsidRPr="00292382" w:rsidRDefault="00CE337F" w:rsidP="00DB3D17">
      <w:pPr>
        <w:pStyle w:val="ListParagraph"/>
        <w:shd w:val="clear" w:color="auto" w:fill="FFFFFF" w:themeFill="background1"/>
        <w:spacing w:before="120"/>
        <w:ind w:left="0" w:firstLine="709"/>
        <w:contextualSpacing w:val="0"/>
      </w:pPr>
      <w:r w:rsidRPr="00292382">
        <w:t>Vides politikā vides troksnis ir viens no paredzētās darbīb</w:t>
      </w:r>
      <w:r w:rsidR="005B26FB" w:rsidRPr="00292382">
        <w:t>as</w:t>
      </w:r>
      <w:r w:rsidRPr="00292382">
        <w:t xml:space="preserve"> </w:t>
      </w:r>
      <w:r w:rsidRPr="00292382">
        <w:rPr>
          <w:b/>
        </w:rPr>
        <w:t>ietekmes uz vidi novērtējuma</w:t>
      </w:r>
      <w:r w:rsidR="005B26FB" w:rsidRPr="00292382">
        <w:t xml:space="preserve"> aspektiem</w:t>
      </w:r>
      <w:r w:rsidRPr="00292382">
        <w:t>. Ietekmes uz vidi novērtējums (turpmāk – IVN) ir procedūra, kas veicama pirms paredzēto darbību realizācijas, lai novērtētu tās iespējam</w:t>
      </w:r>
      <w:r w:rsidR="00605A66">
        <w:t>o</w:t>
      </w:r>
      <w:r w:rsidRPr="00292382">
        <w:t xml:space="preserve"> ietekmi uz vidi un izstrādātu risinājumus tās novēršanai vai samazināšanai, vai aizliegtu paredzēto darbību normatīvo aktu pārkāpumu gadījumā</w:t>
      </w:r>
      <w:r w:rsidR="006C6F42" w:rsidRPr="00292382">
        <w:t>.</w:t>
      </w:r>
      <w:r w:rsidRPr="00292382">
        <w:rPr>
          <w:rStyle w:val="FootnoteReference"/>
        </w:rPr>
        <w:footnoteReference w:id="15"/>
      </w:r>
      <w:r w:rsidR="006C6F42" w:rsidRPr="00292382">
        <w:t xml:space="preserve"> </w:t>
      </w:r>
      <w:r w:rsidRPr="00292382">
        <w:t>Viens no ietekmju veidiem, kas atbilstoši piemērojamo normatīvo aktu prasībām</w:t>
      </w:r>
      <w:r w:rsidRPr="00292382">
        <w:rPr>
          <w:rStyle w:val="FootnoteReference"/>
        </w:rPr>
        <w:footnoteReference w:id="16"/>
      </w:r>
      <w:r w:rsidRPr="00292382">
        <w:t xml:space="preserve"> ir jāvērtē – ir troksnis. Vērtējot paredzētās darbības ietekmi un to, vai ir pieļaujams to akceptēt, IVN ietvaros ir jānodrošina sagaidāmā trokšņa novērtējums, kā arī jāvērtē sagaidāmās ietekmes atbilstību vides kvalitātes normatīvam (robežlielumam, kas vides troksnim noteikts MK noteikumu Nr.</w:t>
      </w:r>
      <w:r w:rsidR="00605A66">
        <w:t> </w:t>
      </w:r>
      <w:r w:rsidRPr="00292382">
        <w:t xml:space="preserve">16 2. pielikumā). </w:t>
      </w:r>
      <w:r w:rsidR="00651FDB" w:rsidRPr="00292382">
        <w:t>MK noteikumu Nr.</w:t>
      </w:r>
      <w:r w:rsidR="00605A66">
        <w:t> </w:t>
      </w:r>
      <w:r w:rsidR="00651FDB" w:rsidRPr="00292382">
        <w:t>16 1.</w:t>
      </w:r>
      <w:r w:rsidR="00605A66">
        <w:t> </w:t>
      </w:r>
      <w:r w:rsidR="00651FDB" w:rsidRPr="00292382">
        <w:t xml:space="preserve">pielikuma 9. punkts </w:t>
      </w:r>
      <w:r w:rsidR="007735C4" w:rsidRPr="00292382">
        <w:t>nosaka trokšņa aprēķināšanas metodes, kuras pielietojamas arī trokšņa prognozēšanai, veicot IVN vai izdodot piesārņojošās darbības atļauju.</w:t>
      </w:r>
      <w:r w:rsidR="00651FDB" w:rsidRPr="00292382">
        <w:t xml:space="preserve"> </w:t>
      </w:r>
    </w:p>
    <w:p w14:paraId="1CA6F0EE" w14:textId="3DE6D65B" w:rsidR="007A7475" w:rsidRDefault="00CE337F" w:rsidP="00DB3D17">
      <w:pPr>
        <w:pStyle w:val="CommentText"/>
        <w:spacing w:before="120"/>
        <w:ind w:firstLine="709"/>
        <w:rPr>
          <w:sz w:val="24"/>
          <w:szCs w:val="24"/>
        </w:rPr>
      </w:pPr>
      <w:r w:rsidRPr="00292382">
        <w:rPr>
          <w:sz w:val="24"/>
          <w:szCs w:val="24"/>
        </w:rPr>
        <w:t xml:space="preserve">Būtisks </w:t>
      </w:r>
      <w:proofErr w:type="spellStart"/>
      <w:r w:rsidRPr="00292382">
        <w:rPr>
          <w:sz w:val="24"/>
          <w:szCs w:val="24"/>
        </w:rPr>
        <w:t>problēmjautājums</w:t>
      </w:r>
      <w:proofErr w:type="spellEnd"/>
      <w:r w:rsidRPr="00292382">
        <w:rPr>
          <w:sz w:val="24"/>
          <w:szCs w:val="24"/>
        </w:rPr>
        <w:t xml:space="preserve"> ir vides trokšņa regulējuma (MK noteikumi Nr. 16) ietvars, kas noteic kopējo vides kvalitātes normatīvu (robežlielums vides troksnim) vidē, bet nevis pieļaujamo attiecīgā trokšņa avota radīto vides troksni, attiecīgi paredzētās darbības radīts piesārņojums netiek nodalīts no citiem trokšņa avotiem, lai gan dažādiem trokšņa avotiem (dzelzceļa un autoceļa satiksme, gaisa satiksme, rūpnieciskie trokšņa avoti) trokšņa piesārņojuma raksturs un iedarbība atšķiras. </w:t>
      </w:r>
      <w:r w:rsidR="007A7475" w:rsidRPr="00292382">
        <w:rPr>
          <w:sz w:val="24"/>
          <w:szCs w:val="24"/>
        </w:rPr>
        <w:t>Citu valstu pieredze (piemēram, Lietuvas</w:t>
      </w:r>
      <w:r w:rsidR="007A7475" w:rsidRPr="00292382">
        <w:rPr>
          <w:sz w:val="24"/>
          <w:szCs w:val="24"/>
          <w:vertAlign w:val="superscript"/>
        </w:rPr>
        <w:footnoteReference w:id="17"/>
      </w:r>
      <w:r w:rsidR="007A7475" w:rsidRPr="00292382">
        <w:rPr>
          <w:sz w:val="24"/>
          <w:szCs w:val="24"/>
        </w:rPr>
        <w:t>) rāda, ka atšķirīgiem trokšņa avotiem (satiksmes troksnis, rūpniecības troksnis) var būt pamatoti noteikti arī diferencētus trokšņa rādītājus</w:t>
      </w:r>
      <w:r w:rsidR="007A7475" w:rsidRPr="00292382">
        <w:rPr>
          <w:sz w:val="24"/>
          <w:szCs w:val="24"/>
          <w:vertAlign w:val="superscript"/>
        </w:rPr>
        <w:footnoteReference w:id="18"/>
      </w:r>
      <w:r w:rsidR="007A7475" w:rsidRPr="00292382">
        <w:rPr>
          <w:sz w:val="24"/>
          <w:szCs w:val="24"/>
        </w:rPr>
        <w:t xml:space="preserve"> (</w:t>
      </w:r>
      <w:proofErr w:type="spellStart"/>
      <w:r w:rsidR="007A7475" w:rsidRPr="00292382">
        <w:rPr>
          <w:sz w:val="24"/>
          <w:szCs w:val="24"/>
        </w:rPr>
        <w:t>mērķlielumus</w:t>
      </w:r>
      <w:proofErr w:type="spellEnd"/>
      <w:r w:rsidR="007A7475" w:rsidRPr="00292382">
        <w:rPr>
          <w:sz w:val="24"/>
          <w:szCs w:val="24"/>
        </w:rPr>
        <w:t xml:space="preserve"> un robežlielumus). Pašlaik </w:t>
      </w:r>
      <w:r w:rsidRPr="00292382">
        <w:rPr>
          <w:sz w:val="24"/>
          <w:szCs w:val="24"/>
        </w:rPr>
        <w:t>veidojas situācija, ka nav iespējams attīstīt jaunu vai paplašināt esošu darbību ar cita veida trokšņa avotiem. Darbības, kas pašas par sevi nerada vides trokšņa robežlielumu pārsniegumu (vērtētas bez fona trokšņa), tiek ierobežotas vai nepieļautas, jo pārsniegums rodas, troksnim summējoties kopā visiem trokšņa avotiem.</w:t>
      </w:r>
      <w:r w:rsidR="00651FDB" w:rsidRPr="00292382">
        <w:rPr>
          <w:sz w:val="24"/>
          <w:szCs w:val="24"/>
        </w:rPr>
        <w:t xml:space="preserve"> </w:t>
      </w:r>
      <w:r w:rsidR="007A7475" w:rsidRPr="00292382">
        <w:rPr>
          <w:sz w:val="24"/>
          <w:szCs w:val="24"/>
        </w:rPr>
        <w:t xml:space="preserve">Nereti troksni rada arī pilsētvides attīstības projekti, kuriem netiek veikts ietekmes uz vidi novērtējums un kuru darbībai nav jāsaņem piesārņojošās darbības atļauja. Šādu projektu iespējamas ietekmes savlaicīga identificēšana un novēršana ir atkarīga no tā, cik efektīvi tiek piemēroti pilsētvides plānošanas un </w:t>
      </w:r>
      <w:proofErr w:type="spellStart"/>
      <w:r w:rsidR="007A7475" w:rsidRPr="00292382">
        <w:rPr>
          <w:sz w:val="24"/>
          <w:szCs w:val="24"/>
        </w:rPr>
        <w:t>būvprojektēšanas</w:t>
      </w:r>
      <w:proofErr w:type="spellEnd"/>
      <w:r w:rsidR="007A7475" w:rsidRPr="00292382">
        <w:rPr>
          <w:sz w:val="24"/>
          <w:szCs w:val="24"/>
        </w:rPr>
        <w:t xml:space="preserve"> instrumenti (piemēram, iekļaujot vietējās pašvaldības teritorijas plānojumā attiecīgus teritoriju izmantošanas un apbūves noteikumus, vai, izvirzot būvprojektā nosacījumu, ka jāveic trokšņa aprēķini un jānodrošina, ka plānotā darbība nepārsniegs noteiktu ietekmes līmeni). Tomēr šie plānošanas un </w:t>
      </w:r>
      <w:proofErr w:type="spellStart"/>
      <w:r w:rsidR="007A7475" w:rsidRPr="00292382">
        <w:rPr>
          <w:sz w:val="24"/>
          <w:szCs w:val="24"/>
        </w:rPr>
        <w:t>būvprojektēšanas</w:t>
      </w:r>
      <w:proofErr w:type="spellEnd"/>
      <w:r w:rsidR="007A7475" w:rsidRPr="00292382">
        <w:rPr>
          <w:sz w:val="24"/>
          <w:szCs w:val="24"/>
        </w:rPr>
        <w:t xml:space="preserve"> instrumenti ir vāji izmantoti, informatīvajā ziņojumā tālāk norādīt</w:t>
      </w:r>
      <w:r w:rsidR="00605A66">
        <w:rPr>
          <w:sz w:val="24"/>
          <w:szCs w:val="24"/>
        </w:rPr>
        <w:t>o</w:t>
      </w:r>
      <w:r w:rsidR="007A7475" w:rsidRPr="00292382">
        <w:rPr>
          <w:sz w:val="24"/>
          <w:szCs w:val="24"/>
        </w:rPr>
        <w:t xml:space="preserve"> iemeslu dēļ. </w:t>
      </w:r>
    </w:p>
    <w:p w14:paraId="02352626" w14:textId="77777777" w:rsidR="009520E1" w:rsidRPr="00292382" w:rsidRDefault="009520E1" w:rsidP="00DB3D17">
      <w:pPr>
        <w:spacing w:before="120"/>
        <w:ind w:firstLine="709"/>
      </w:pPr>
      <w:r w:rsidRPr="00292382">
        <w:rPr>
          <w:b/>
        </w:rPr>
        <w:t>Trokšņa stratēģisko karšu un rīcības plānu izstrāde</w:t>
      </w:r>
      <w:r w:rsidRPr="00292382">
        <w:t xml:space="preserve"> šobrīd ir viens no jautājumiem, kas ir noregulēts MK noteikumos Nr. 16. Trokšņa stratēģisko karšu un rīcības plānu izstrāde ir attiecināma uz:</w:t>
      </w:r>
    </w:p>
    <w:p w14:paraId="4C054231" w14:textId="412A2D19" w:rsidR="009520E1" w:rsidRPr="00292382" w:rsidRDefault="009520E1" w:rsidP="000A66E8">
      <w:pPr>
        <w:pStyle w:val="ListParagraph"/>
        <w:numPr>
          <w:ilvl w:val="0"/>
          <w:numId w:val="8"/>
        </w:numPr>
        <w:ind w:left="777" w:hanging="357"/>
        <w:contextualSpacing w:val="0"/>
        <w:rPr>
          <w:rFonts w:eastAsia="Times New Roman" w:cs="Times New Roman"/>
          <w:iCs/>
          <w:szCs w:val="24"/>
          <w:lang w:eastAsia="lv-LV"/>
        </w:rPr>
      </w:pPr>
      <w:r w:rsidRPr="00292382">
        <w:rPr>
          <w:rFonts w:eastAsia="Times New Roman" w:cs="Times New Roman"/>
          <w:iCs/>
          <w:szCs w:val="24"/>
          <w:lang w:eastAsia="lv-LV"/>
        </w:rPr>
        <w:t>aglomerācijas teritoriju, kurā iedzīvotāju skaits pārsniedz 100 000 un iedzīvotāju blīvums pārsniedz 500 iedzīvotāju u</w:t>
      </w:r>
      <w:r w:rsidR="00321323" w:rsidRPr="00292382">
        <w:rPr>
          <w:rFonts w:eastAsia="Times New Roman" w:cs="Times New Roman"/>
          <w:iCs/>
          <w:szCs w:val="24"/>
          <w:lang w:eastAsia="lv-LV"/>
        </w:rPr>
        <w:t>z</w:t>
      </w:r>
      <w:r w:rsidRPr="00292382">
        <w:rPr>
          <w:rFonts w:eastAsia="Times New Roman" w:cs="Times New Roman"/>
          <w:iCs/>
          <w:szCs w:val="24"/>
          <w:lang w:eastAsia="lv-LV"/>
        </w:rPr>
        <w:t xml:space="preserve"> kvadrātkilometru;</w:t>
      </w:r>
    </w:p>
    <w:p w14:paraId="00C92919" w14:textId="77777777" w:rsidR="009520E1" w:rsidRPr="00292382" w:rsidRDefault="009520E1" w:rsidP="000A66E8">
      <w:pPr>
        <w:pStyle w:val="ListParagraph"/>
        <w:numPr>
          <w:ilvl w:val="0"/>
          <w:numId w:val="8"/>
        </w:numPr>
        <w:ind w:left="777" w:hanging="357"/>
        <w:contextualSpacing w:val="0"/>
        <w:rPr>
          <w:rFonts w:eastAsia="Times New Roman" w:cs="Times New Roman"/>
          <w:iCs/>
          <w:szCs w:val="24"/>
          <w:lang w:eastAsia="lv-LV"/>
        </w:rPr>
      </w:pPr>
      <w:r w:rsidRPr="00292382">
        <w:rPr>
          <w:rFonts w:eastAsia="Times New Roman" w:cs="Times New Roman"/>
          <w:iCs/>
          <w:szCs w:val="24"/>
          <w:lang w:eastAsia="lv-LV"/>
        </w:rPr>
        <w:lastRenderedPageBreak/>
        <w:t>reģionālas, valsts vai starptautiskas nozīmes autoceļu, uz kura satiksmes intensitāte ir vairāk nekā trīs miljoni transportlīdzekļu gadā;</w:t>
      </w:r>
    </w:p>
    <w:p w14:paraId="403A5FA6" w14:textId="77777777" w:rsidR="009520E1" w:rsidRPr="00292382" w:rsidRDefault="009520E1" w:rsidP="000A66E8">
      <w:pPr>
        <w:pStyle w:val="ListParagraph"/>
        <w:numPr>
          <w:ilvl w:val="0"/>
          <w:numId w:val="8"/>
        </w:numPr>
        <w:spacing w:before="120"/>
        <w:rPr>
          <w:rFonts w:eastAsia="Times New Roman" w:cs="Times New Roman"/>
          <w:iCs/>
          <w:szCs w:val="24"/>
          <w:lang w:eastAsia="lv-LV"/>
        </w:rPr>
      </w:pPr>
      <w:r w:rsidRPr="00292382">
        <w:rPr>
          <w:rFonts w:eastAsia="Times New Roman" w:cs="Times New Roman"/>
          <w:iCs/>
          <w:szCs w:val="24"/>
          <w:lang w:eastAsia="lv-LV"/>
        </w:rPr>
        <w:t>dzelzceļa līniju, uz kuras satiksmes intensitāte ir vairāk nekā 30 000 vilcienu sastāvu gadā;</w:t>
      </w:r>
    </w:p>
    <w:p w14:paraId="1A744CA8" w14:textId="7B2B344F" w:rsidR="009520E1" w:rsidRPr="00292382" w:rsidRDefault="009520E1" w:rsidP="000A66E8">
      <w:pPr>
        <w:pStyle w:val="ListParagraph"/>
        <w:numPr>
          <w:ilvl w:val="0"/>
          <w:numId w:val="8"/>
        </w:numPr>
        <w:spacing w:before="120"/>
        <w:rPr>
          <w:rFonts w:eastAsia="Times New Roman" w:cs="Times New Roman"/>
          <w:iCs/>
          <w:szCs w:val="24"/>
          <w:lang w:eastAsia="lv-LV"/>
        </w:rPr>
      </w:pPr>
      <w:r w:rsidRPr="00292382">
        <w:rPr>
          <w:rFonts w:eastAsia="Times New Roman" w:cs="Times New Roman"/>
          <w:iCs/>
          <w:szCs w:val="24"/>
          <w:lang w:eastAsia="lv-LV"/>
        </w:rPr>
        <w:t>pasažieru lidostu, kurā notiek gaisa</w:t>
      </w:r>
      <w:r w:rsidR="00605A66">
        <w:rPr>
          <w:rFonts w:eastAsia="Times New Roman" w:cs="Times New Roman"/>
          <w:iCs/>
          <w:szCs w:val="24"/>
          <w:lang w:eastAsia="lv-LV"/>
        </w:rPr>
        <w:t xml:space="preserve"> </w:t>
      </w:r>
      <w:r w:rsidRPr="00292382">
        <w:rPr>
          <w:rFonts w:eastAsia="Times New Roman" w:cs="Times New Roman"/>
          <w:iCs/>
          <w:szCs w:val="24"/>
          <w:lang w:eastAsia="lv-LV"/>
        </w:rPr>
        <w:t>kuģu pārvietošanās (pacelšanās vai nosēšanās) vairāk nekā 50 000 reižu gadā, izņemot pārvietošanos, ko tikai mācību nolūkā veic vieglās lidmašīnas.</w:t>
      </w:r>
    </w:p>
    <w:p w14:paraId="70F497F0" w14:textId="1413287A" w:rsidR="00FF0921" w:rsidRPr="00292382" w:rsidRDefault="009520E1" w:rsidP="00DB3D17">
      <w:pPr>
        <w:spacing w:before="120"/>
        <w:ind w:firstLine="709"/>
        <w:rPr>
          <w:rFonts w:eastAsia="Times New Roman" w:cs="Times New Roman"/>
          <w:bCs/>
          <w:color w:val="000000" w:themeColor="text1"/>
          <w:szCs w:val="24"/>
        </w:rPr>
      </w:pPr>
      <w:r w:rsidRPr="00292382">
        <w:rPr>
          <w:rFonts w:eastAsia="Times New Roman" w:cs="Times New Roman"/>
          <w:szCs w:val="24"/>
          <w:lang w:eastAsia="lv-LV"/>
        </w:rPr>
        <w:t xml:space="preserve">Prasības trokšņa stratēģisko karšu un rīcības plānu izstrādei nosaka </w:t>
      </w:r>
      <w:r w:rsidRPr="00292382">
        <w:rPr>
          <w:bCs/>
        </w:rPr>
        <w:t xml:space="preserve">Direktīva 2002/49/EK </w:t>
      </w:r>
      <w:r w:rsidRPr="00292382">
        <w:rPr>
          <w:rFonts w:eastAsia="Times New Roman" w:cs="Times New Roman"/>
          <w:szCs w:val="24"/>
          <w:lang w:eastAsia="lv-LV"/>
        </w:rPr>
        <w:t xml:space="preserve">un tās pastāvīgi tiek pārskatītas. Ar Ministru kabineta 2019. gada 2. jūlija noteikumiem Nr. 294 “Grozījumi Ministru kabineta 2014. gada 7. janvāra noteikumos Nr. 16 “Trokšņa novērtēšanas un pārvaldības kārtība”” (turpmāk – MK noteikumi Nr. 294) </w:t>
      </w:r>
      <w:r w:rsidRPr="00292382">
        <w:rPr>
          <w:rFonts w:eastAsia="Times New Roman" w:cs="Times New Roman"/>
          <w:bCs/>
          <w:color w:val="000000" w:themeColor="text1"/>
          <w:szCs w:val="24"/>
        </w:rPr>
        <w:t xml:space="preserve">nacionālajā normatīvajā regulējumā tika pārņemtas prasības par kopīgām trokšņa novērtēšanas (aprēķina) metodēm, kas aizstāj līdz šim </w:t>
      </w:r>
      <w:r w:rsidRPr="00292382">
        <w:rPr>
          <w:rFonts w:cs="Times New Roman"/>
          <w:szCs w:val="24"/>
          <w:lang w:eastAsia="lv-LV"/>
        </w:rPr>
        <w:t>ieteicamās trokšņa novērtēšanas (aprēķina) pagaidu metodes trokšņa stratēģisko karšu izstrādē</w:t>
      </w:r>
      <w:r w:rsidRPr="00292382">
        <w:rPr>
          <w:rFonts w:eastAsia="Times New Roman" w:cs="Times New Roman"/>
          <w:bCs/>
          <w:color w:val="000000" w:themeColor="text1"/>
          <w:szCs w:val="24"/>
        </w:rPr>
        <w:t>. L</w:t>
      </w:r>
      <w:r w:rsidR="001D659A" w:rsidRPr="00292382">
        <w:rPr>
          <w:rFonts w:eastAsia="Times New Roman" w:cs="Times New Roman"/>
          <w:bCs/>
          <w:color w:val="000000" w:themeColor="text1"/>
          <w:szCs w:val="24"/>
        </w:rPr>
        <w:t xml:space="preserve">ai gan MK noteikumu Nr. 294 būtību veido procesuālās normas, saskaņošanas un virzības procesā </w:t>
      </w:r>
      <w:r w:rsidRPr="00292382">
        <w:rPr>
          <w:rFonts w:eastAsia="Times New Roman" w:cs="Times New Roman"/>
          <w:bCs/>
          <w:color w:val="000000" w:themeColor="text1"/>
          <w:szCs w:val="24"/>
        </w:rPr>
        <w:t xml:space="preserve">VARAM </w:t>
      </w:r>
      <w:r w:rsidR="001D659A" w:rsidRPr="00292382">
        <w:rPr>
          <w:rFonts w:eastAsia="Times New Roman" w:cs="Times New Roman"/>
          <w:bCs/>
          <w:color w:val="000000" w:themeColor="text1"/>
          <w:szCs w:val="24"/>
        </w:rPr>
        <w:t xml:space="preserve">saņēma iebildumus par visiem ar MK noteikumiem Nr. 16 regulētajiem jautājumiem. </w:t>
      </w:r>
      <w:r w:rsidRPr="00292382">
        <w:rPr>
          <w:rFonts w:eastAsia="Times New Roman" w:cs="Times New Roman"/>
          <w:bCs/>
          <w:color w:val="000000" w:themeColor="text1"/>
          <w:szCs w:val="24"/>
        </w:rPr>
        <w:t>Jau šobrīd E</w:t>
      </w:r>
      <w:r w:rsidR="00FB20AB" w:rsidRPr="00292382">
        <w:rPr>
          <w:rFonts w:eastAsia="Times New Roman" w:cs="Times New Roman"/>
          <w:bCs/>
          <w:color w:val="000000" w:themeColor="text1"/>
          <w:szCs w:val="24"/>
        </w:rPr>
        <w:t xml:space="preserve">S </w:t>
      </w:r>
      <w:r w:rsidRPr="00292382">
        <w:rPr>
          <w:rFonts w:eastAsia="Times New Roman" w:cs="Times New Roman"/>
          <w:bCs/>
          <w:color w:val="000000" w:themeColor="text1"/>
          <w:szCs w:val="24"/>
        </w:rPr>
        <w:t xml:space="preserve">Padomes Vides darba grupas ietvaros pārbaudei ir nodota Komisijas direktīva, ar kuru tiks pārskatīts Direktīvas 2002/49/EK III pielikums par kaitīgo trokšņa seku uz iedzīvotājiem novērtēšanas metodes, kas būs jāpārņem nacionālajā regulējumā. </w:t>
      </w:r>
      <w:r w:rsidR="008C678D" w:rsidRPr="00292382">
        <w:rPr>
          <w:rFonts w:eastAsia="Times New Roman" w:cs="Times New Roman"/>
          <w:bCs/>
          <w:color w:val="000000" w:themeColor="text1"/>
          <w:szCs w:val="24"/>
        </w:rPr>
        <w:t xml:space="preserve">Līdz ar to jau šobrīd var paredzēt, ka, pārņemot nacionālajā regulējumā Direktīvas 2002/49/EK III pielikuma prasības, kas attiecināmas uz trokšņa stratēģisko karšu izstrādi, tiks rosinātas plašas diskusijas gan par teritorijas attīstības plānošanu, gan par sadzīves troksni un citiem ar trokšņa pārvaldību saistītiem jautājumiem. Papildus </w:t>
      </w:r>
      <w:r w:rsidR="00FF0921" w:rsidRPr="00292382">
        <w:rPr>
          <w:bCs/>
        </w:rPr>
        <w:t>S</w:t>
      </w:r>
      <w:r w:rsidR="00AC714D" w:rsidRPr="00292382">
        <w:rPr>
          <w:bCs/>
        </w:rPr>
        <w:t>M</w:t>
      </w:r>
      <w:r w:rsidR="00FF0921" w:rsidRPr="00292382">
        <w:rPr>
          <w:bCs/>
        </w:rPr>
        <w:t xml:space="preserve"> ir norādījusi, ka valsts autoceļiem izstrādāto rīcības plānu trokšņa samazināšanai īstenošanai finansējums netiek piešķirts</w:t>
      </w:r>
      <w:r w:rsidR="00F02198" w:rsidRPr="00292382">
        <w:rPr>
          <w:bCs/>
        </w:rPr>
        <w:t>, bet, stratēģiskās trokšņa kartes ceļu satiksmes infrastruktūrai būtu jāizmanto kā galvenais rīks aizsardzībai pret troksni teritoriju attīstības plānošanā un apbūvē.</w:t>
      </w:r>
      <w:r w:rsidR="008C678D" w:rsidRPr="00292382">
        <w:rPr>
          <w:bCs/>
        </w:rPr>
        <w:t xml:space="preserve"> Šāda piebilde apstiprina, ka nepieciešams skaidrs un saprotams regulējums par </w:t>
      </w:r>
      <w:r w:rsidR="008C678D" w:rsidRPr="00292382">
        <w:t>trokšņa stratēģisko karšu un rīcības plānu izstrādi</w:t>
      </w:r>
      <w:r w:rsidR="008C678D" w:rsidRPr="00AD0F36">
        <w:t>.</w:t>
      </w:r>
      <w:r w:rsidR="0056112E" w:rsidRPr="00AD0F36">
        <w:t xml:space="preserve"> </w:t>
      </w:r>
      <w:r w:rsidR="008E08B2" w:rsidRPr="00AD0F36">
        <w:t>S</w:t>
      </w:r>
      <w:r w:rsidR="0056112E" w:rsidRPr="00AD0F36">
        <w:t xml:space="preserve">agatavojot atsevišķus Ministru kabineta noteikumus par trokšņa stratēģisko karšu un rīcības plānu izstrādi, </w:t>
      </w:r>
      <w:r w:rsidR="008E08B2" w:rsidRPr="00AD0F36">
        <w:t xml:space="preserve">būtu iespējams attīstīt noteiktai mērķauditorijai (trokšņa stratēģisko karšu un rīcības plānu izstrādātāji) skaidru un precīzu regulējumu, paaugstinātu iespēju </w:t>
      </w:r>
      <w:r w:rsidR="0056112E" w:rsidRPr="00AD0F36">
        <w:t>ātri reaģēt uz izmaiņām ES tiesību aktos</w:t>
      </w:r>
      <w:r w:rsidR="008E08B2" w:rsidRPr="00AD0F36">
        <w:t xml:space="preserve"> un </w:t>
      </w:r>
      <w:r w:rsidR="0056112E" w:rsidRPr="00AD0F36">
        <w:t>efektīvāk virzīt diskusiju ar iesaistītajām pusēm</w:t>
      </w:r>
      <w:r w:rsidR="008E08B2" w:rsidRPr="00AD0F36">
        <w:t>.</w:t>
      </w:r>
    </w:p>
    <w:p w14:paraId="3ABDAE90" w14:textId="7F7E44AA" w:rsidR="000D37E2" w:rsidRPr="00292382" w:rsidRDefault="00E501AA" w:rsidP="00DB3D17">
      <w:pPr>
        <w:pStyle w:val="NormalWeb"/>
        <w:spacing w:before="120" w:beforeAutospacing="0" w:after="0" w:afterAutospacing="0"/>
        <w:ind w:firstLine="709"/>
        <w:jc w:val="both"/>
        <w:rPr>
          <w:bCs/>
        </w:rPr>
      </w:pPr>
      <w:r w:rsidRPr="00292382">
        <w:t xml:space="preserve">Vides aizsardzības nosacījumi, tai skaitā, attiecībā uz vides trokšņa novērtēšanu un pārvaldību, </w:t>
      </w:r>
      <w:r w:rsidR="00B65F74">
        <w:t xml:space="preserve">ir </w:t>
      </w:r>
      <w:r w:rsidR="0028719F">
        <w:t xml:space="preserve">pastarpināti vērsti uz </w:t>
      </w:r>
      <w:r w:rsidRPr="00292382">
        <w:t>cilvēka veselīb</w:t>
      </w:r>
      <w:r w:rsidR="00B65F74">
        <w:t>as aizsardzību</w:t>
      </w:r>
      <w:r w:rsidRPr="00292382">
        <w:t>.</w:t>
      </w:r>
      <w:r w:rsidR="0028719F">
        <w:t xml:space="preserve"> </w:t>
      </w:r>
      <w:r w:rsidRPr="00292382">
        <w:rPr>
          <w:bCs/>
        </w:rPr>
        <w:t xml:space="preserve">Līdz ar to Latvijā </w:t>
      </w:r>
      <w:r w:rsidR="007913F5" w:rsidRPr="00292382">
        <w:rPr>
          <w:bCs/>
        </w:rPr>
        <w:t xml:space="preserve">vides aizsardzības jomā </w:t>
      </w:r>
      <w:r w:rsidRPr="00292382">
        <w:rPr>
          <w:bCs/>
        </w:rPr>
        <w:t>vides trokšņa regulējumu īsteno ar piesārņojošo darbību atļauju sistēmu</w:t>
      </w:r>
      <w:r w:rsidRPr="00292382">
        <w:rPr>
          <w:bCs/>
          <w:vertAlign w:val="superscript"/>
        </w:rPr>
        <w:footnoteReference w:id="19"/>
      </w:r>
      <w:r w:rsidRPr="00292382">
        <w:rPr>
          <w:bCs/>
        </w:rPr>
        <w:t>, izvirzot nosacījumus attiecībā uz rūpnieciskās (piesārņojošās) darbības veikšanu. Lai gan Direktīvas 2002/49/EK prasības</w:t>
      </w:r>
      <w:r w:rsidR="00B773AD" w:rsidRPr="00292382">
        <w:rPr>
          <w:bCs/>
        </w:rPr>
        <w:t xml:space="preserve"> pēc būtības</w:t>
      </w:r>
      <w:r w:rsidRPr="00292382">
        <w:rPr>
          <w:bCs/>
        </w:rPr>
        <w:t xml:space="preserve"> īsteno </w:t>
      </w:r>
      <w:r w:rsidRPr="00292382">
        <w:rPr>
          <w:b/>
          <w:bCs/>
        </w:rPr>
        <w:t>sabiedrības veselības aizsardzību</w:t>
      </w:r>
      <w:r w:rsidRPr="00292382">
        <w:rPr>
          <w:bCs/>
        </w:rPr>
        <w:t xml:space="preserve"> un pārsvarā attiecināmas uz transporta nozari (ceļu satiksme, dzelzceļa satiksme, gaisa satiksme), vēsturiski </w:t>
      </w:r>
      <w:r w:rsidR="00AC714D" w:rsidRPr="00292382">
        <w:rPr>
          <w:bCs/>
        </w:rPr>
        <w:t>VARAM</w:t>
      </w:r>
      <w:r w:rsidRPr="00292382">
        <w:rPr>
          <w:bCs/>
        </w:rPr>
        <w:t xml:space="preserve"> ir noteikta kā atbildīgā ministrija</w:t>
      </w:r>
      <w:r w:rsidR="00846183" w:rsidRPr="00292382">
        <w:rPr>
          <w:bCs/>
        </w:rPr>
        <w:t xml:space="preserve">. </w:t>
      </w:r>
      <w:r w:rsidRPr="00292382">
        <w:rPr>
          <w:bCs/>
        </w:rPr>
        <w:t>Diemžēl šāds atbildības sadalījums VARAM nostāda vidutāja lomā starp veselības nozares definētiem trokšņa robežlielumiem un, piemēram, transporta nozares plānoto attīstību – pārvadājumu apjoma pieaugumu un infrastruktūras atjaunošanu/modernizāciju, kas neizbēgami palielina vides trokšņa līmeni un paaugstina izmaksas trokšņa samazināšanas pasākumu īstenošanai.</w:t>
      </w:r>
    </w:p>
    <w:p w14:paraId="1A7FCF39" w14:textId="6E1A3865" w:rsidR="006028B2" w:rsidRPr="00321EF4" w:rsidRDefault="00F8298E" w:rsidP="00321EF4">
      <w:pPr>
        <w:pStyle w:val="tv213"/>
        <w:shd w:val="clear" w:color="auto" w:fill="FFFFFF"/>
        <w:spacing w:before="0" w:beforeAutospacing="0" w:after="0" w:afterAutospacing="0" w:line="293" w:lineRule="atLeast"/>
      </w:pPr>
      <w:r w:rsidRPr="00292382">
        <w:t xml:space="preserve">Būtisks sabiedrības veselības aizsardzības aspekts ir </w:t>
      </w:r>
      <w:r w:rsidRPr="00292382">
        <w:rPr>
          <w:b/>
        </w:rPr>
        <w:t>trokšņa novērtēšana telpās</w:t>
      </w:r>
      <w:r w:rsidR="00D16FCA" w:rsidRPr="00292382">
        <w:rPr>
          <w:b/>
        </w:rPr>
        <w:t xml:space="preserve"> un teritorijās</w:t>
      </w:r>
      <w:r w:rsidRPr="00292382">
        <w:t>. Lai gan atsevišķs regulējums pastāvēja līdz 2014. gadam, attiecībā uz troksni telpās joprojām pastāv skaidra izpratne, ka tiesiskā regulējuma mērķis ir aizsargāt cilvēka veselību dzīvojamo</w:t>
      </w:r>
      <w:r w:rsidR="00076D68" w:rsidRPr="00292382">
        <w:t xml:space="preserve">, </w:t>
      </w:r>
      <w:r w:rsidRPr="00292382">
        <w:t>publisko ēku telpās</w:t>
      </w:r>
      <w:r w:rsidR="00076D68" w:rsidRPr="00292382">
        <w:t xml:space="preserve"> un teritorijās</w:t>
      </w:r>
      <w:r w:rsidRPr="00292382">
        <w:t xml:space="preserve">, tai skaitā, attiecībā uz komercdarbības un </w:t>
      </w:r>
      <w:r w:rsidRPr="00B52D4B">
        <w:t xml:space="preserve">saimnieciskās darbības veikšanu. </w:t>
      </w:r>
      <w:r w:rsidR="0056077F" w:rsidRPr="00B52D4B">
        <w:t xml:space="preserve">VARAM ieskatā </w:t>
      </w:r>
      <w:r w:rsidRPr="00B52D4B">
        <w:t>2014. gadā īstenotā trokšņa regulējumu telpās</w:t>
      </w:r>
      <w:r w:rsidR="0056077F" w:rsidRPr="00B52D4B">
        <w:t xml:space="preserve"> vienkāršošana</w:t>
      </w:r>
      <w:r w:rsidRPr="00B52D4B">
        <w:t xml:space="preserve">, </w:t>
      </w:r>
      <w:r w:rsidR="00B10FAE" w:rsidRPr="00B52D4B">
        <w:t xml:space="preserve">daļēji to </w:t>
      </w:r>
      <w:r w:rsidRPr="00B52D4B">
        <w:t xml:space="preserve">integrējot vides trokšņa regulējumā, ar kuru nacionālajā </w:t>
      </w:r>
      <w:r w:rsidRPr="00B52D4B">
        <w:lastRenderedPageBreak/>
        <w:t xml:space="preserve">likumdošanā tiek pārņemtas Direktīvas 2002/49/EK prasības, </w:t>
      </w:r>
      <w:r w:rsidR="00C37096" w:rsidRPr="00B52D4B">
        <w:t>joprojām ir disku</w:t>
      </w:r>
      <w:r w:rsidR="0056077F" w:rsidRPr="00B52D4B">
        <w:t>tabla.</w:t>
      </w:r>
      <w:r w:rsidR="00E31C14" w:rsidRPr="00B52D4B">
        <w:t xml:space="preserve"> Turpretī VM </w:t>
      </w:r>
      <w:r w:rsidR="00321EF4" w:rsidRPr="00B52D4B">
        <w:t xml:space="preserve">pauž viedokli, ka </w:t>
      </w:r>
      <w:r w:rsidR="006028B2" w:rsidRPr="00B52D4B">
        <w:t xml:space="preserve">vides troksnis ir pamats kopīgam trokšņu diskomfortam attiecībā uz cilvēkiem, ko papildina sadzīves troksnis utt. Veselības inspekcijas darbu apgrūtina tas, ka pašvaldības atsevišķos gadījumos nav līdz galam īstenojušās tām MK noteikumos Nr. 16  12.punktā deleģētās funkcijas nodrošināt  </w:t>
      </w:r>
      <w:r w:rsidR="006028B2" w:rsidRPr="00B52D4B">
        <w:rPr>
          <w:shd w:val="clear" w:color="auto" w:fill="FFFFFF"/>
        </w:rPr>
        <w:t>ar mūzikas atskaņošanu un citu ar sabiedrisko kārtību saistīto trokšņa kontroli, b</w:t>
      </w:r>
      <w:r w:rsidR="006028B2" w:rsidRPr="00B52D4B">
        <w:t>et tas nenozīmē, ka MK noteikumu Nr. 16 ideja kopumā būtu kļūdaina.</w:t>
      </w:r>
    </w:p>
    <w:p w14:paraId="026C6F85" w14:textId="59B4F008" w:rsidR="003C636F" w:rsidRPr="00292382" w:rsidRDefault="00F8298E" w:rsidP="00575854">
      <w:pPr>
        <w:pStyle w:val="tv213"/>
        <w:shd w:val="clear" w:color="auto" w:fill="FFFFFF"/>
        <w:spacing w:before="0" w:beforeAutospacing="0" w:after="0" w:afterAutospacing="0" w:line="293" w:lineRule="atLeast"/>
        <w:rPr>
          <w:i/>
          <w:shd w:val="clear" w:color="auto" w:fill="FFFFFF"/>
        </w:rPr>
      </w:pPr>
      <w:r w:rsidRPr="00292382">
        <w:t xml:space="preserve">Ņemot vērā, ka Direktīvas 2002/49/EK 3. pantā ir definēts, ka </w:t>
      </w:r>
      <w:r w:rsidRPr="00292382">
        <w:rPr>
          <w:i/>
        </w:rPr>
        <w:t xml:space="preserve">“vides troksnis nozīmē nevēlamu vai kaitīgu cilvēka darbības radītu </w:t>
      </w:r>
      <w:r w:rsidRPr="00292382">
        <w:rPr>
          <w:i/>
          <w:u w:val="single"/>
        </w:rPr>
        <w:t>āra troksni</w:t>
      </w:r>
      <w:r w:rsidRPr="00292382">
        <w:rPr>
          <w:i/>
        </w:rPr>
        <w:t xml:space="preserve">, ieskaitot troksni, ko izraisa transportlīdzekļi, ceļu satiksme, dzelzceļa satiksme, gaisa satiksme un kas rodas rūpnieciskās darbības zonās”, </w:t>
      </w:r>
      <w:r w:rsidRPr="00292382">
        <w:t>tehniski apvienot</w:t>
      </w:r>
      <w:r w:rsidR="00B773AD" w:rsidRPr="00292382">
        <w:t>ais</w:t>
      </w:r>
      <w:r w:rsidRPr="00292382">
        <w:t xml:space="preserve"> vides trokšņa un trokšņa novērtēšanas telpās regulējums nenodrošina ne visaptverošu trokšņa pārvaldības normatīvo aktu (</w:t>
      </w:r>
      <w:r w:rsidR="00B10FAE" w:rsidRPr="00292382">
        <w:t xml:space="preserve">atsevišķas prasības ir noteiktas </w:t>
      </w:r>
      <w:r w:rsidRPr="00292382">
        <w:t>trokšņa pārvaldīb</w:t>
      </w:r>
      <w:r w:rsidR="00B10FAE" w:rsidRPr="00292382">
        <w:t>ai</w:t>
      </w:r>
      <w:r w:rsidRPr="00292382">
        <w:t xml:space="preserve"> darba vidē</w:t>
      </w:r>
      <w:r w:rsidR="00B10FAE" w:rsidRPr="00292382">
        <w:rPr>
          <w:rStyle w:val="FootnoteReference"/>
        </w:rPr>
        <w:footnoteReference w:id="20"/>
      </w:r>
      <w:r w:rsidR="00B10FAE" w:rsidRPr="00292382">
        <w:t xml:space="preserve">, </w:t>
      </w:r>
      <w:r w:rsidRPr="00292382">
        <w:t>par mašīnu darbības radītā trokšņa emisij</w:t>
      </w:r>
      <w:r w:rsidR="00EB4BA1" w:rsidRPr="00292382">
        <w:t>u pārvaldībai</w:t>
      </w:r>
      <w:r w:rsidRPr="00292382">
        <w:rPr>
          <w:rStyle w:val="FootnoteReference"/>
        </w:rPr>
        <w:footnoteReference w:id="21"/>
      </w:r>
      <w:r w:rsidR="00B10FAE" w:rsidRPr="00292382">
        <w:t>, vides</w:t>
      </w:r>
      <w:r w:rsidR="00EB4BA1" w:rsidRPr="00292382">
        <w:t xml:space="preserve"> higiēnas jeb vides veselības nodrošināšanai</w:t>
      </w:r>
      <w:r w:rsidR="00EB4BA1" w:rsidRPr="00292382">
        <w:rPr>
          <w:rStyle w:val="FootnoteReference"/>
        </w:rPr>
        <w:footnoteReference w:id="22"/>
      </w:r>
      <w:r w:rsidR="00EB4BA1" w:rsidRPr="00292382">
        <w:t>)</w:t>
      </w:r>
      <w:r w:rsidRPr="00292382">
        <w:t>,</w:t>
      </w:r>
      <w:r w:rsidR="00AF41B5" w:rsidRPr="00292382">
        <w:t xml:space="preserve"> </w:t>
      </w:r>
      <w:r w:rsidRPr="00292382">
        <w:t xml:space="preserve">ne arī atbalsta </w:t>
      </w:r>
      <w:r w:rsidR="00076D68" w:rsidRPr="00292382">
        <w:t xml:space="preserve">Veselības inspekcijas īstenoto </w:t>
      </w:r>
      <w:r w:rsidRPr="00292382">
        <w:t>uzraudzības un kontroles praks</w:t>
      </w:r>
      <w:r w:rsidR="00076D68" w:rsidRPr="00292382">
        <w:t>i</w:t>
      </w:r>
      <w:r w:rsidRPr="00292382">
        <w:t xml:space="preserve">. </w:t>
      </w:r>
      <w:r w:rsidR="00076D68" w:rsidRPr="00292382">
        <w:t>Piemēram, veselības aizsardzībā pastāv normatīvo aktu kopums vides higiēnas jeb vides veselības jomā</w:t>
      </w:r>
      <w:r w:rsidR="00076D68" w:rsidRPr="00292382">
        <w:rPr>
          <w:vertAlign w:val="superscript"/>
        </w:rPr>
        <w:t>20</w:t>
      </w:r>
      <w:r w:rsidR="00AF41B5" w:rsidRPr="00292382">
        <w:t>, kas skaidri definē nepieciešamību novērtēt vides faktoru (fizikālo, ķīmisko, bioloģisko) iespējamo kaitīgo ietekmi uz cilvēka veselību</w:t>
      </w:r>
      <w:r w:rsidR="00E37699" w:rsidRPr="00292382">
        <w:t xml:space="preserve">, kā arī atsevišķos gadījumos arī izvirza noteiktas prasības par aizsardzību pret troksni: izglītības iestāžu teritorijās sporta zonas novietojums attiecībā pret mācību korpusa logiem (ne tuvāk par 20 m), vai sporta zonas norobežošana aizsardzībai pret troksni izglītības iestādes teritorijā. Būvniecības jomu reglamentējošie normatīvie akti arī precīzi nodala </w:t>
      </w:r>
      <w:r w:rsidR="003C636F" w:rsidRPr="00292382">
        <w:t>institūciju kompetences un, piemēram, Būvniecības likuma 9</w:t>
      </w:r>
      <w:r w:rsidR="003C636F" w:rsidRPr="00292382">
        <w:rPr>
          <w:vertAlign w:val="superscript"/>
        </w:rPr>
        <w:t>1</w:t>
      </w:r>
      <w:r w:rsidR="003C636F" w:rsidRPr="00292382">
        <w:t>. panta “Būvnormatīvu tehniskās prasības u</w:t>
      </w:r>
      <w:r w:rsidR="00C926C3" w:rsidRPr="00292382">
        <w:t xml:space="preserve">n atkāpes no tām” </w:t>
      </w:r>
      <w:r w:rsidR="003E315F">
        <w:t>septītā daļa</w:t>
      </w:r>
      <w:r w:rsidR="00C926C3" w:rsidRPr="00292382">
        <w:t xml:space="preserve"> noteic</w:t>
      </w:r>
      <w:r w:rsidR="003C636F" w:rsidRPr="00292382">
        <w:t xml:space="preserve">, ka </w:t>
      </w:r>
      <w:r w:rsidR="003C636F" w:rsidRPr="00292382">
        <w:rPr>
          <w:i/>
        </w:rPr>
        <w:t>“</w:t>
      </w:r>
      <w:r w:rsidR="003C636F" w:rsidRPr="00292382">
        <w:rPr>
          <w:i/>
          <w:shd w:val="clear" w:color="auto" w:fill="FFFFFF"/>
        </w:rPr>
        <w:t>Alternatīvos tehniskos risinājumus un atkāpes no būvnormatīvu tehniskajām prasībām speciālajos būvnoteikumos noteiktajos gadījumos saskaņo:</w:t>
      </w:r>
    </w:p>
    <w:p w14:paraId="4AAC1F5C" w14:textId="1657C686" w:rsidR="003C636F" w:rsidRPr="00292382" w:rsidRDefault="003C636F" w:rsidP="003C636F">
      <w:pPr>
        <w:pStyle w:val="tv213"/>
        <w:shd w:val="clear" w:color="auto" w:fill="FFFFFF"/>
        <w:spacing w:before="0" w:beforeAutospacing="0" w:after="0" w:afterAutospacing="0" w:line="293" w:lineRule="atLeast"/>
        <w:rPr>
          <w:i/>
        </w:rPr>
      </w:pPr>
      <w:r w:rsidRPr="00292382">
        <w:rPr>
          <w:i/>
          <w:shd w:val="clear" w:color="auto" w:fill="FFFFFF"/>
        </w:rPr>
        <w:t xml:space="preserve">1) </w:t>
      </w:r>
      <w:r w:rsidRPr="00292382">
        <w:rPr>
          <w:i/>
        </w:rPr>
        <w:t>Valsts ugunsdzēsības un glābšanas dienests — ugunsdrošības jomā;</w:t>
      </w:r>
    </w:p>
    <w:p w14:paraId="483BDB79" w14:textId="77777777" w:rsidR="003C636F" w:rsidRPr="00292382" w:rsidRDefault="003C636F" w:rsidP="003C636F">
      <w:pPr>
        <w:shd w:val="clear" w:color="auto" w:fill="FFFFFF"/>
        <w:spacing w:line="293" w:lineRule="atLeast"/>
        <w:ind w:left="709" w:firstLine="0"/>
        <w:rPr>
          <w:rFonts w:eastAsia="Times New Roman" w:cs="Times New Roman"/>
          <w:i/>
          <w:szCs w:val="24"/>
          <w:lang w:eastAsia="lv-LV"/>
        </w:rPr>
      </w:pPr>
      <w:r w:rsidRPr="00292382">
        <w:rPr>
          <w:rFonts w:eastAsia="Times New Roman" w:cs="Times New Roman"/>
          <w:i/>
          <w:szCs w:val="24"/>
          <w:lang w:eastAsia="lv-LV"/>
        </w:rPr>
        <w:t>2) Veselības inspekcija — higiēnas, tai skaitā nekaitīguma, jomā;</w:t>
      </w:r>
    </w:p>
    <w:p w14:paraId="3B5F7CA3" w14:textId="77777777" w:rsidR="003C636F" w:rsidRPr="00292382" w:rsidRDefault="003C636F" w:rsidP="003C636F">
      <w:pPr>
        <w:shd w:val="clear" w:color="auto" w:fill="FFFFFF"/>
        <w:spacing w:line="293" w:lineRule="atLeast"/>
        <w:ind w:left="709" w:firstLine="0"/>
        <w:rPr>
          <w:rFonts w:eastAsia="Times New Roman" w:cs="Times New Roman"/>
          <w:i/>
          <w:szCs w:val="24"/>
          <w:lang w:eastAsia="lv-LV"/>
        </w:rPr>
      </w:pPr>
      <w:r w:rsidRPr="00292382">
        <w:rPr>
          <w:rFonts w:eastAsia="Times New Roman" w:cs="Times New Roman"/>
          <w:i/>
          <w:szCs w:val="24"/>
          <w:lang w:eastAsia="lv-LV"/>
        </w:rPr>
        <w:t>3) Valsts vides dienests — vides aizsardzības jomā;</w:t>
      </w:r>
    </w:p>
    <w:p w14:paraId="593D3E39" w14:textId="7CCCF08C" w:rsidR="003C636F" w:rsidRPr="00292382" w:rsidRDefault="003C636F" w:rsidP="003C636F">
      <w:pPr>
        <w:shd w:val="clear" w:color="auto" w:fill="FFFFFF"/>
        <w:spacing w:line="293" w:lineRule="atLeast"/>
        <w:ind w:left="709" w:firstLine="0"/>
        <w:rPr>
          <w:rFonts w:eastAsia="Times New Roman" w:cs="Times New Roman"/>
          <w:i/>
          <w:szCs w:val="24"/>
          <w:lang w:eastAsia="lv-LV"/>
        </w:rPr>
      </w:pPr>
      <w:r w:rsidRPr="00292382">
        <w:rPr>
          <w:rFonts w:eastAsia="Times New Roman" w:cs="Times New Roman"/>
          <w:i/>
          <w:szCs w:val="24"/>
          <w:lang w:eastAsia="lv-LV"/>
        </w:rPr>
        <w:t>4) būvvalde vai institūcija, kura pilda būvvaldes funkcijas, — vides pieejamības jomā.”</w:t>
      </w:r>
    </w:p>
    <w:p w14:paraId="0117A45C" w14:textId="487414FB" w:rsidR="00360424" w:rsidRPr="008A6068" w:rsidRDefault="00F8298E" w:rsidP="00360424">
      <w:pPr>
        <w:pStyle w:val="NormalWeb"/>
        <w:spacing w:before="120" w:beforeAutospacing="0" w:after="0" w:afterAutospacing="0"/>
        <w:ind w:firstLine="709"/>
        <w:jc w:val="both"/>
        <w:rPr>
          <w:bCs/>
        </w:rPr>
      </w:pPr>
      <w:r w:rsidRPr="00292382">
        <w:rPr>
          <w:bCs/>
        </w:rPr>
        <w:t xml:space="preserve">Jāuzsver, ka vides trokšņa robežlielumu un </w:t>
      </w:r>
      <w:proofErr w:type="spellStart"/>
      <w:r w:rsidRPr="00292382">
        <w:rPr>
          <w:bCs/>
        </w:rPr>
        <w:t>mērķlielumu</w:t>
      </w:r>
      <w:proofErr w:type="spellEnd"/>
      <w:r w:rsidRPr="00292382">
        <w:rPr>
          <w:bCs/>
        </w:rPr>
        <w:t xml:space="preserve"> vērtības balstās uz Pasaules Veselības organizācijas (turpmāk – PVO) vadlīnijām par vides troksni Eiropas reģionam</w:t>
      </w:r>
      <w:r w:rsidRPr="00292382">
        <w:rPr>
          <w:rStyle w:val="FootnoteReference"/>
          <w:bCs/>
        </w:rPr>
        <w:footnoteReference w:id="23"/>
      </w:r>
      <w:r w:rsidRPr="00292382">
        <w:rPr>
          <w:bCs/>
        </w:rPr>
        <w:t xml:space="preserve"> (turpmāk – PVO vadlīnijas). 2018. gadā precizētajā PVO vadlīniju dokumentā rekomendācijas par pieļaujamiem vides trokšņa līmeņiem variē no apstiprināmos zinātniskos pētījumos balstītos ieteikumos </w:t>
      </w:r>
      <w:r w:rsidRPr="006957CA">
        <w:rPr>
          <w:bCs/>
        </w:rPr>
        <w:t>(</w:t>
      </w:r>
      <w:proofErr w:type="spellStart"/>
      <w:r w:rsidRPr="006957CA">
        <w:rPr>
          <w:bCs/>
          <w:i/>
        </w:rPr>
        <w:t>strong</w:t>
      </w:r>
      <w:proofErr w:type="spellEnd"/>
      <w:r w:rsidRPr="006957CA">
        <w:rPr>
          <w:bCs/>
        </w:rPr>
        <w:t>)</w:t>
      </w:r>
      <w:r w:rsidRPr="00292382">
        <w:rPr>
          <w:bCs/>
        </w:rPr>
        <w:t xml:space="preserve"> līdz pieņēmumiem ar nepieciešamību pēc papildu datiem (</w:t>
      </w:r>
      <w:proofErr w:type="spellStart"/>
      <w:r w:rsidRPr="006957CA">
        <w:rPr>
          <w:bCs/>
          <w:i/>
        </w:rPr>
        <w:t>conditional</w:t>
      </w:r>
      <w:proofErr w:type="spellEnd"/>
      <w:r w:rsidRPr="006957CA">
        <w:rPr>
          <w:bCs/>
        </w:rPr>
        <w:t>)</w:t>
      </w:r>
      <w:r w:rsidRPr="00292382">
        <w:rPr>
          <w:bCs/>
        </w:rPr>
        <w:t xml:space="preserve">. PVO vadlīniju rekomendācijas aptver ceļu satiksmes troksni, dzelzceļa troksni, lidmašīnu troksni, vēja ģeneratoru troksni un izklaides troksni. PVO vadlīnijas nedefinē un </w:t>
      </w:r>
      <w:r w:rsidRPr="00292382">
        <w:rPr>
          <w:bCs/>
        </w:rPr>
        <w:lastRenderedPageBreak/>
        <w:t>neizvērtē tādus trokšņa avotus, par kuriem pārsvarā tiek saņemtas iedzīvotāju sūdzības, piemēram, motosporta un autosporta troksnis, šau</w:t>
      </w:r>
      <w:r w:rsidR="00FB16AB" w:rsidRPr="00292382">
        <w:rPr>
          <w:bCs/>
        </w:rPr>
        <w:t xml:space="preserve">šanas sporta </w:t>
      </w:r>
      <w:r w:rsidRPr="00292382">
        <w:rPr>
          <w:bCs/>
        </w:rPr>
        <w:t xml:space="preserve">troksnis. Tādējādi </w:t>
      </w:r>
      <w:r w:rsidRPr="00292382">
        <w:t xml:space="preserve">normatīvo aktu regulējuma attīstību </w:t>
      </w:r>
      <w:r w:rsidR="00B773AD" w:rsidRPr="00292382">
        <w:t xml:space="preserve">trokšņa pārvaldības </w:t>
      </w:r>
      <w:r w:rsidRPr="00292382">
        <w:t>jomā ierobežo</w:t>
      </w:r>
      <w:r w:rsidR="00F8748E" w:rsidRPr="00292382">
        <w:t xml:space="preserve"> </w:t>
      </w:r>
      <w:r w:rsidRPr="00292382">
        <w:t>references pētījumu trūkums par noteiktu aktivitāšu/objektu darbības trokšņa iedarbību uz cilvēku veselību. 2016. gadā V</w:t>
      </w:r>
      <w:r w:rsidR="00AC714D" w:rsidRPr="00292382">
        <w:t>M</w:t>
      </w:r>
      <w:r w:rsidR="00EF52A9">
        <w:rPr>
          <w:rStyle w:val="FootnoteReference"/>
        </w:rPr>
        <w:footnoteReference w:id="24"/>
      </w:r>
      <w:r w:rsidRPr="00292382">
        <w:t xml:space="preserve"> norādīja, ka gan pasaulē, gan Eiropā tiek veikti pētījumi par dažādu trokšņa avotu ietekmi uz cilvēku veselību. V</w:t>
      </w:r>
      <w:r w:rsidR="00AC714D" w:rsidRPr="00292382">
        <w:t>M</w:t>
      </w:r>
      <w:r w:rsidRPr="00292382">
        <w:t xml:space="preserve"> ieskatā, ņemot vērā, ka nav pierādījumu, ka Latvijas iedzīvotāju skaņas uztvere būtiski atšķir</w:t>
      </w:r>
      <w:r w:rsidR="00FB16AB" w:rsidRPr="00292382">
        <w:t>tos</w:t>
      </w:r>
      <w:r w:rsidRPr="00292382">
        <w:t xml:space="preserve"> no citiem pasaules iedzīvotājiem, ārpus Latvijas veiktie pētījumu rezultāti, noteiktie trokšņa indikatori un robežlielumi var tikt attiecināmi arī uz Latvijas apstākļiem un iedzīvotājiem. </w:t>
      </w:r>
    </w:p>
    <w:p w14:paraId="75561E3A" w14:textId="75A4CAD0" w:rsidR="00F8298E" w:rsidRDefault="00575854" w:rsidP="00DB3D17">
      <w:pPr>
        <w:pStyle w:val="NormalWeb"/>
        <w:spacing w:before="120" w:beforeAutospacing="0" w:after="0" w:afterAutospacing="0"/>
        <w:ind w:firstLine="709"/>
        <w:jc w:val="both"/>
        <w:rPr>
          <w:bCs/>
        </w:rPr>
      </w:pPr>
      <w:r>
        <w:t>T</w:t>
      </w:r>
      <w:r w:rsidR="00F8298E" w:rsidRPr="00292382">
        <w:t>omēr tieša</w:t>
      </w:r>
      <w:r w:rsidR="00F8748E" w:rsidRPr="00292382">
        <w:t>,</w:t>
      </w:r>
      <w:r w:rsidR="00F8298E" w:rsidRPr="00292382">
        <w:t xml:space="preserve"> kāda konkrēta pētījuma rezultāt</w:t>
      </w:r>
      <w:r w:rsidR="00B24201" w:rsidRPr="00292382">
        <w:t>u</w:t>
      </w:r>
      <w:r w:rsidR="00F8298E" w:rsidRPr="00292382">
        <w:t xml:space="preserve"> par vides trokšņa ietekmi uz cilvēka veselību</w:t>
      </w:r>
      <w:r w:rsidR="00400D34">
        <w:t xml:space="preserve"> </w:t>
      </w:r>
      <w:r w:rsidR="00B24201" w:rsidRPr="00292382">
        <w:t xml:space="preserve">pārnešana normatīvajos aktos </w:t>
      </w:r>
      <w:r w:rsidR="00280F20" w:rsidRPr="00292382">
        <w:t xml:space="preserve">kā vispārēju ierobežojumu nav korekta. Pētījumu rezultātu </w:t>
      </w:r>
      <w:r w:rsidR="00B24201" w:rsidRPr="00292382">
        <w:t>adaptācij</w:t>
      </w:r>
      <w:r w:rsidR="00280F20" w:rsidRPr="00292382">
        <w:t>u</w:t>
      </w:r>
      <w:r w:rsidR="00B24201" w:rsidRPr="00292382">
        <w:t xml:space="preserve"> līdz konkrētiem robežlielumiem un to piemērošanas nosacījumiem normatīva</w:t>
      </w:r>
      <w:r w:rsidR="00280F20" w:rsidRPr="00292382">
        <w:t>j</w:t>
      </w:r>
      <w:r w:rsidR="009D0D91" w:rsidRPr="00292382">
        <w:t>os aktos</w:t>
      </w:r>
      <w:r w:rsidR="00280F20" w:rsidRPr="00292382">
        <w:t xml:space="preserve"> </w:t>
      </w:r>
      <w:r w:rsidR="00F8298E" w:rsidRPr="00292382">
        <w:t>nosaka vairāki apstākļi</w:t>
      </w:r>
      <w:r w:rsidR="00F8748E" w:rsidRPr="00292382">
        <w:rPr>
          <w:vertAlign w:val="superscript"/>
        </w:rPr>
        <w:t>19</w:t>
      </w:r>
      <w:r w:rsidR="00F8298E" w:rsidRPr="00292382">
        <w:t>: pētījuma veids (</w:t>
      </w:r>
      <w:proofErr w:type="spellStart"/>
      <w:r w:rsidR="00F8298E" w:rsidRPr="00292382">
        <w:rPr>
          <w:rStyle w:val="Emphasis"/>
          <w:b w:val="0"/>
          <w:bCs w:val="0"/>
          <w:iCs/>
          <w:shd w:val="clear" w:color="auto" w:fill="FFFFFF"/>
        </w:rPr>
        <w:t>p</w:t>
      </w:r>
      <w:r w:rsidR="00F8298E" w:rsidRPr="00292382">
        <w:rPr>
          <w:rStyle w:val="Emphasis"/>
          <w:rFonts w:eastAsiaTheme="majorEastAsia"/>
          <w:b w:val="0"/>
          <w:bCs w:val="0"/>
          <w:iCs/>
          <w:shd w:val="clear" w:color="auto" w:fill="FFFFFF"/>
        </w:rPr>
        <w:t>rospektīvs</w:t>
      </w:r>
      <w:proofErr w:type="spellEnd"/>
      <w:r w:rsidR="00F8298E" w:rsidRPr="00292382">
        <w:rPr>
          <w:b/>
          <w:shd w:val="clear" w:color="auto" w:fill="FFFFFF"/>
        </w:rPr>
        <w:t xml:space="preserve"> </w:t>
      </w:r>
      <w:r w:rsidR="00F8298E" w:rsidRPr="00292382">
        <w:rPr>
          <w:shd w:val="clear" w:color="auto" w:fill="FFFFFF"/>
        </w:rPr>
        <w:t>vai retrospektīvs</w:t>
      </w:r>
      <w:r w:rsidR="00F8298E" w:rsidRPr="00292382">
        <w:t xml:space="preserve"> kohortas pētījums), pētījumā iesaistītās iedzīvotāju grupas (plaša sabiedrība, īpaši j</w:t>
      </w:r>
      <w:r w:rsidR="00B12FDF">
        <w:t>u</w:t>
      </w:r>
      <w:r w:rsidR="00F8298E" w:rsidRPr="00292382">
        <w:t>tīgās iedzīvotāju grupas u</w:t>
      </w:r>
      <w:r w:rsidR="003E315F">
        <w:t>.</w:t>
      </w:r>
      <w:r w:rsidR="00F8298E" w:rsidRPr="00292382">
        <w:t>tml.), trokšņa ekspozīcijas novērtēšana (mērījumi vai modelēšanas dati), pētījuma apstākļi (papildu risku cilvēka veselībai iekļaušana vai izslēgšana), trokšņa ietekmes novērtējums (piem</w:t>
      </w:r>
      <w:r w:rsidR="00B12FDF">
        <w:t>ēram</w:t>
      </w:r>
      <w:r w:rsidR="00F8298E" w:rsidRPr="00292382">
        <w:t>, miega traucējumi, dzirdes traucējumi, sirds un asinsvadu noteiktas saslimšanas u</w:t>
      </w:r>
      <w:r w:rsidR="003E315F">
        <w:t>.</w:t>
      </w:r>
      <w:r w:rsidR="00F8298E" w:rsidRPr="00292382">
        <w:t>tml.). Tāpat arī jebkuru pētījumu jāvērtē arī no pētījuma veikšanas kvalitātes viedokļa (pētījumu autoru kvalifikācija, starptautiski atzītas references, izmantoto mērīšanas/aprēķinu metodes, datu bāzes, pētījumu neatkarība u</w:t>
      </w:r>
      <w:r w:rsidR="00550F78">
        <w:t>.</w:t>
      </w:r>
      <w:r w:rsidR="00F8298E" w:rsidRPr="00292382">
        <w:t xml:space="preserve">tml.). Līdz ar to, balstoties uz minēto, objektīvi jāatzīst, ka </w:t>
      </w:r>
      <w:r w:rsidR="00F8298E" w:rsidRPr="00292382">
        <w:rPr>
          <w:bCs/>
        </w:rPr>
        <w:t>VARAM kompetence ir ierobežota</w:t>
      </w:r>
      <w:r w:rsidR="00B773AD" w:rsidRPr="00292382">
        <w:rPr>
          <w:bCs/>
        </w:rPr>
        <w:t xml:space="preserve">, lai </w:t>
      </w:r>
      <w:r w:rsidR="00F8298E" w:rsidRPr="00292382">
        <w:rPr>
          <w:bCs/>
        </w:rPr>
        <w:t>konkrēt</w:t>
      </w:r>
      <w:r w:rsidR="009D0D91" w:rsidRPr="00292382">
        <w:rPr>
          <w:bCs/>
        </w:rPr>
        <w:t>u trokšņa ietekmes uz cilvēka veselību pētījumu rezultātu</w:t>
      </w:r>
      <w:r w:rsidR="00B773AD" w:rsidRPr="00292382">
        <w:rPr>
          <w:bCs/>
        </w:rPr>
        <w:t>s</w:t>
      </w:r>
      <w:r w:rsidR="009D0D91" w:rsidRPr="00292382">
        <w:rPr>
          <w:bCs/>
        </w:rPr>
        <w:t xml:space="preserve"> kritisk</w:t>
      </w:r>
      <w:r w:rsidR="00B773AD" w:rsidRPr="00292382">
        <w:rPr>
          <w:bCs/>
        </w:rPr>
        <w:t>i</w:t>
      </w:r>
      <w:r w:rsidR="009D0D91" w:rsidRPr="00292382">
        <w:rPr>
          <w:bCs/>
        </w:rPr>
        <w:t xml:space="preserve"> </w:t>
      </w:r>
      <w:r w:rsidR="00B773AD" w:rsidRPr="00292382">
        <w:rPr>
          <w:bCs/>
        </w:rPr>
        <w:t xml:space="preserve">novērtētu un </w:t>
      </w:r>
      <w:r w:rsidR="009D0D91" w:rsidRPr="00292382">
        <w:rPr>
          <w:bCs/>
        </w:rPr>
        <w:t>adaptē</w:t>
      </w:r>
      <w:r w:rsidR="00B773AD" w:rsidRPr="00292382">
        <w:rPr>
          <w:bCs/>
        </w:rPr>
        <w:t xml:space="preserve">tu </w:t>
      </w:r>
      <w:r w:rsidR="009D0D91" w:rsidRPr="00292382">
        <w:rPr>
          <w:bCs/>
        </w:rPr>
        <w:t xml:space="preserve">kā noteiktas trokšņa robežlielumu vai </w:t>
      </w:r>
      <w:proofErr w:type="spellStart"/>
      <w:r w:rsidR="009D0D91" w:rsidRPr="00292382">
        <w:rPr>
          <w:bCs/>
        </w:rPr>
        <w:t>mērķlielumu</w:t>
      </w:r>
      <w:proofErr w:type="spellEnd"/>
      <w:r w:rsidR="009D0D91" w:rsidRPr="00292382">
        <w:rPr>
          <w:bCs/>
        </w:rPr>
        <w:t xml:space="preserve"> vērtības.</w:t>
      </w:r>
      <w:r w:rsidR="00F0635B">
        <w:rPr>
          <w:bCs/>
        </w:rPr>
        <w:t xml:space="preserve"> </w:t>
      </w:r>
    </w:p>
    <w:p w14:paraId="3AE50478" w14:textId="74857DE4" w:rsidR="00A3719A" w:rsidRPr="00D24679" w:rsidRDefault="00A3719A" w:rsidP="00A3719A">
      <w:pPr>
        <w:pStyle w:val="NoSpacing"/>
        <w:ind w:firstLine="720"/>
        <w:jc w:val="both"/>
        <w:rPr>
          <w:rFonts w:ascii="Times New Roman" w:hAnsi="Times New Roman" w:cs="Times New Roman"/>
          <w:sz w:val="24"/>
          <w:szCs w:val="24"/>
        </w:rPr>
      </w:pPr>
      <w:r w:rsidRPr="00D24679">
        <w:rPr>
          <w:rFonts w:ascii="Times New Roman" w:hAnsi="Times New Roman" w:cs="Times New Roman"/>
          <w:sz w:val="24"/>
          <w:szCs w:val="24"/>
        </w:rPr>
        <w:t xml:space="preserve">VM </w:t>
      </w:r>
      <w:r w:rsidR="002C4EF6" w:rsidRPr="00D24679">
        <w:rPr>
          <w:rFonts w:ascii="Times New Roman" w:hAnsi="Times New Roman" w:cs="Times New Roman"/>
          <w:sz w:val="24"/>
          <w:szCs w:val="24"/>
        </w:rPr>
        <w:t xml:space="preserve">norāda, ka </w:t>
      </w:r>
      <w:r w:rsidRPr="00D24679">
        <w:rPr>
          <w:rFonts w:ascii="Times New Roman" w:hAnsi="Times New Roman" w:cs="Times New Roman"/>
          <w:sz w:val="24"/>
          <w:szCs w:val="24"/>
        </w:rPr>
        <w:t xml:space="preserve">Latvijā nav specializētu vides, vides veselības vai sabiedrības veselības institūtu, </w:t>
      </w:r>
      <w:r w:rsidR="003A4C7E" w:rsidRPr="00D24679">
        <w:rPr>
          <w:rFonts w:ascii="Times New Roman" w:hAnsi="Times New Roman" w:cs="Times New Roman"/>
          <w:sz w:val="24"/>
          <w:szCs w:val="24"/>
        </w:rPr>
        <w:t xml:space="preserve">un </w:t>
      </w:r>
      <w:r w:rsidRPr="00D24679">
        <w:rPr>
          <w:rFonts w:ascii="Times New Roman" w:hAnsi="Times New Roman" w:cs="Times New Roman"/>
          <w:sz w:val="24"/>
          <w:szCs w:val="24"/>
        </w:rPr>
        <w:t>nav sagaidāms, ka pārskatāmā nākotnē Latvija radīs savu patstāvīgu vides kvalitātes, t.sk. trokšņu, normatīvu sistēmu, kas balstītos uz nacionālajiem pētījumiem. Latvija balstās uz starptautisko institūciju, piemēram, Pasaules Veselības organizācijas normatīvo vērtību priekšlikumiem, kuru pamatā ir plaša zinātnisko publikāciju klāsta izvērtējums, nevis atsevišķu pētījumu rezultāti. Līdz ar to mazajām valstīm, kurām trūkst attiecīgās jomas ekspertu resursi, nav pašai jāvērtē katra pētījuma un katras publikācijas kvalitāte.</w:t>
      </w:r>
    </w:p>
    <w:p w14:paraId="5A4D31E6" w14:textId="56338E54" w:rsidR="00B773AD" w:rsidRPr="00292382" w:rsidRDefault="009D0D91" w:rsidP="00DB3D17">
      <w:pPr>
        <w:pStyle w:val="NormalWeb"/>
        <w:spacing w:before="120" w:beforeAutospacing="0" w:after="0" w:afterAutospacing="0"/>
        <w:ind w:firstLine="709"/>
        <w:jc w:val="both"/>
      </w:pPr>
      <w:r w:rsidRPr="00D24679">
        <w:t>Bet, ņ</w:t>
      </w:r>
      <w:r w:rsidR="00F8298E" w:rsidRPr="00D24679">
        <w:t>emot vērā gan sūdzību raksturu par troksni, gan arī tiesu praks</w:t>
      </w:r>
      <w:r w:rsidR="00D01E75" w:rsidRPr="00D24679">
        <w:t xml:space="preserve">i </w:t>
      </w:r>
      <w:r w:rsidR="00F8298E" w:rsidRPr="00D24679">
        <w:t>(piemēram,</w:t>
      </w:r>
      <w:r w:rsidR="00F8298E" w:rsidRPr="00292382">
        <w:t xml:space="preserve"> Latvijas Republikas Satversmes tiesas 2017. gada 19. decembra spriedums lietā Nr. 2017-02-03</w:t>
      </w:r>
      <w:r w:rsidR="00F8298E" w:rsidRPr="00292382">
        <w:rPr>
          <w:rStyle w:val="FootnoteReference"/>
        </w:rPr>
        <w:footnoteReference w:id="25"/>
      </w:r>
      <w:r w:rsidR="00F8298E" w:rsidRPr="00292382">
        <w:t>, Administratīvās rajona tiesas Rīgas tiesu nama 2018. gada 17. aprīļa spriedums lietā A42-00048-18/17 un 2019. gada 16. aprīļa spriedums lietā Nr. 420262318) secināms, ka nepieciešams nostiprināt trokšņa regulējumu telpās. Efektīvas trokšņa novērtēšanas un pārvaldības nodrošināšanai arī V</w:t>
      </w:r>
      <w:r w:rsidR="00AC714D" w:rsidRPr="00292382">
        <w:t>M</w:t>
      </w:r>
      <w:r w:rsidR="00F8298E" w:rsidRPr="00292382">
        <w:t xml:space="preserve"> rosina precizēt iekštelpu trokšņa </w:t>
      </w:r>
      <w:proofErr w:type="spellStart"/>
      <w:r w:rsidR="00F8298E" w:rsidRPr="00292382">
        <w:t>mērķlielumus</w:t>
      </w:r>
      <w:proofErr w:type="spellEnd"/>
      <w:r w:rsidR="00F8298E" w:rsidRPr="00292382">
        <w:t xml:space="preserve"> un attīstīt plašāku pieeju par normatīvo aktu prasību piemērošanu praksē, piemēram, izglītības iestāžu mācību telpās – darbmācību kabinetos, kur tiek darbināti darba galdi, vai arī ķīmijas kabinetos, kur jānodrošina ventilācija. </w:t>
      </w:r>
      <w:r w:rsidR="001A6753" w:rsidRPr="00292382">
        <w:t xml:space="preserve">Indikatīvi </w:t>
      </w:r>
      <w:r w:rsidR="00B82C23" w:rsidRPr="00292382">
        <w:t>prognozē</w:t>
      </w:r>
      <w:r w:rsidR="001A6753" w:rsidRPr="00292382">
        <w:t xml:space="preserve">jama arī </w:t>
      </w:r>
      <w:r w:rsidR="00B82C23" w:rsidRPr="00292382">
        <w:t>nepieciešamīb</w:t>
      </w:r>
      <w:r w:rsidR="001A6753" w:rsidRPr="00292382">
        <w:t>a</w:t>
      </w:r>
      <w:r w:rsidR="00B82C23" w:rsidRPr="00292382">
        <w:t xml:space="preserve"> risināt ar trokšņu pārvaldību saistītos jautājumus arī ārpus industriālās darba vides, piemēram, izglītības iestādēs – troksnis, kas nepārsniedz darba vides trokšņa robežlielumu (87 </w:t>
      </w:r>
      <w:proofErr w:type="spellStart"/>
      <w:r w:rsidR="00B82C23" w:rsidRPr="00292382">
        <w:t>dB</w:t>
      </w:r>
      <w:proofErr w:type="spellEnd"/>
      <w:r w:rsidR="00B82C23" w:rsidRPr="00292382">
        <w:t>(A)) iespējams var būt traucējošs faktors un radīt risku cilvēka veselībai</w:t>
      </w:r>
      <w:r w:rsidR="00B82C23" w:rsidRPr="00292382">
        <w:rPr>
          <w:rStyle w:val="FootnoteReference"/>
        </w:rPr>
        <w:footnoteReference w:id="26"/>
      </w:r>
      <w:r w:rsidR="00B82C23" w:rsidRPr="00292382">
        <w:t>.</w:t>
      </w:r>
      <w:r w:rsidR="00834D79">
        <w:t xml:space="preserve"> Tātad objektīvi pastāv</w:t>
      </w:r>
      <w:r w:rsidR="00834D79" w:rsidRPr="00292382">
        <w:t xml:space="preserve"> Veselības inspekcijas </w:t>
      </w:r>
      <w:r w:rsidR="00834D79">
        <w:t xml:space="preserve">(vides trokšņa uzraudzības iestādes) </w:t>
      </w:r>
      <w:r w:rsidR="00834D79" w:rsidRPr="00292382">
        <w:t xml:space="preserve">vajadzības attīstīt </w:t>
      </w:r>
      <w:r w:rsidR="00834D79">
        <w:t xml:space="preserve">vides trokšņa </w:t>
      </w:r>
      <w:r w:rsidR="00834D79" w:rsidRPr="00292382">
        <w:t>kontroles praks</w:t>
      </w:r>
      <w:r w:rsidR="00834D79">
        <w:t xml:space="preserve">i un </w:t>
      </w:r>
      <w:r w:rsidR="00834D79">
        <w:lastRenderedPageBreak/>
        <w:t xml:space="preserve">metodoloģiju </w:t>
      </w:r>
      <w:r w:rsidR="00834D79" w:rsidRPr="00292382">
        <w:t>Epidemioloģiskās drošības likuma regulēto jautājumu (cilvēka veselībai nekaitīgas vides nodrošināšana) ietvaros.</w:t>
      </w:r>
    </w:p>
    <w:p w14:paraId="3A45358A" w14:textId="11EAEAFB" w:rsidR="00B773AD" w:rsidRPr="00292382" w:rsidRDefault="00B773AD" w:rsidP="00DB3D17">
      <w:pPr>
        <w:pStyle w:val="NormalWeb"/>
        <w:spacing w:before="120" w:beforeAutospacing="0" w:after="0" w:afterAutospacing="0"/>
        <w:ind w:firstLine="709"/>
        <w:jc w:val="both"/>
      </w:pPr>
      <w:r w:rsidRPr="00292382">
        <w:rPr>
          <w:bCs/>
        </w:rPr>
        <w:t xml:space="preserve">VARAM saņemto sūdzību par vides troksni pamatojums ir iedzīvotāju bažas par trokšņa kaitīgo ietekmi uz veselību. VARAM, sniedzot atbildes uz sūdzībām par vides trokšņa jautājumiem, balstās uz galvenajiem vides aizsardzības principiem: piesardzības, preventīvas darbības un principu, ka piesārņojums ir jānovērš, novēršot tā cēloni. </w:t>
      </w:r>
      <w:r w:rsidRPr="00292382">
        <w:t>Vides politika kopumā ir vērsta uz vides aizsardzības un cilvēka veselības aizsardzību. Tomēr pastāv nošķīrums starp vides aizsardzības un veselības aizsardzības nozarēm. Šobrīd faktiski ir izveidojusies situācija, ka VARAM atbildībā ir joma – cilvēka veselības aizsardzības uzraudzība un kontrole, arī tādā izpratnē, kas tiešā veidā neietilpst VARAM kompetencē</w:t>
      </w:r>
      <w:r w:rsidR="00D01E75" w:rsidRPr="00292382">
        <w:t>,</w:t>
      </w:r>
      <w:r w:rsidRPr="00292382">
        <w:t xml:space="preserve"> t.i., pārsniedz piesārņojošo darbību uzraudzības jomu. </w:t>
      </w:r>
    </w:p>
    <w:p w14:paraId="34FCD8D8" w14:textId="24352901" w:rsidR="00800A5B" w:rsidRDefault="00800A5B" w:rsidP="00DB3D17">
      <w:pPr>
        <w:pStyle w:val="ListParagraph"/>
        <w:shd w:val="clear" w:color="auto" w:fill="FFFFFF" w:themeFill="background1"/>
        <w:spacing w:before="120"/>
        <w:ind w:left="0" w:firstLine="709"/>
        <w:contextualSpacing w:val="0"/>
        <w:rPr>
          <w:rFonts w:cs="Times New Roman"/>
          <w:szCs w:val="24"/>
        </w:rPr>
      </w:pPr>
      <w:r w:rsidRPr="00292382">
        <w:rPr>
          <w:rFonts w:eastAsia="Times New Roman" w:cs="Times New Roman"/>
          <w:szCs w:val="24"/>
          <w:lang w:eastAsia="lv-LV"/>
        </w:rPr>
        <w:t>Tādēļ VARAM secina, ka v</w:t>
      </w:r>
      <w:r w:rsidRPr="00292382">
        <w:rPr>
          <w:rFonts w:eastAsia="Times New Roman"/>
          <w:szCs w:val="24"/>
          <w:lang w:eastAsia="lv-LV"/>
        </w:rPr>
        <w:t xml:space="preserve">ides trokšņa regulējuma apvienošana ar trokšņa novērtēšanu telpās un teritorijās praksē nav sevi attaisnojusi, jo neatvieglo ne vides trokšņa regulējuma, ne trokšņa regulējuma telpās un teritorijās piemērošanu, ne </w:t>
      </w:r>
      <w:r w:rsidR="00B12FDF">
        <w:rPr>
          <w:rFonts w:eastAsia="Times New Roman"/>
          <w:szCs w:val="24"/>
          <w:lang w:eastAsia="lv-LV"/>
        </w:rPr>
        <w:t xml:space="preserve">arī </w:t>
      </w:r>
      <w:r w:rsidRPr="00292382">
        <w:rPr>
          <w:rFonts w:eastAsia="Times New Roman"/>
          <w:szCs w:val="24"/>
          <w:lang w:eastAsia="lv-LV"/>
        </w:rPr>
        <w:t>sasaisti ar būvniecības būvakustiku reglamentējošiem normatīvajiem aktiem. Šobrīd trokšņa regulējum</w:t>
      </w:r>
      <w:r w:rsidR="001D72C9">
        <w:rPr>
          <w:rFonts w:eastAsia="Times New Roman"/>
          <w:szCs w:val="24"/>
          <w:lang w:eastAsia="lv-LV"/>
        </w:rPr>
        <w:t xml:space="preserve">u </w:t>
      </w:r>
      <w:r w:rsidRPr="00292382">
        <w:rPr>
          <w:rFonts w:eastAsia="Times New Roman"/>
          <w:szCs w:val="24"/>
          <w:lang w:eastAsia="lv-LV"/>
        </w:rPr>
        <w:t>raksturo arī fakts, ka v</w:t>
      </w:r>
      <w:r w:rsidRPr="00292382">
        <w:rPr>
          <w:rFonts w:cs="Times New Roman"/>
          <w:szCs w:val="24"/>
        </w:rPr>
        <w:t>isu iesaistīto nozaru ministrijām tiek adresēti jautājumi par trokšņa novērtēšanu telpās sūdzību gadījumos, tai skaitā, skaidrot trokšņa jēdzienu telpās, tā mērīšanas nosacījumus (piem</w:t>
      </w:r>
      <w:r w:rsidR="00CB191F">
        <w:rPr>
          <w:rFonts w:cs="Times New Roman"/>
          <w:szCs w:val="24"/>
        </w:rPr>
        <w:t>ēram</w:t>
      </w:r>
      <w:r w:rsidRPr="00292382">
        <w:rPr>
          <w:rFonts w:cs="Times New Roman"/>
          <w:szCs w:val="24"/>
        </w:rPr>
        <w:t>, kāpēc troksni telpās mēra pie aizvērtiem logiem), iespējamās kaitīgās trokšņa ietekmes uz veselību, kontrolējošās institūcijas pārbaužu biežumu u</w:t>
      </w:r>
      <w:r w:rsidR="00550F78">
        <w:rPr>
          <w:rFonts w:cs="Times New Roman"/>
          <w:szCs w:val="24"/>
        </w:rPr>
        <w:t>.</w:t>
      </w:r>
      <w:r w:rsidRPr="00292382">
        <w:rPr>
          <w:rFonts w:cs="Times New Roman"/>
          <w:szCs w:val="24"/>
        </w:rPr>
        <w:t xml:space="preserve">tml. Secināms, ka MK noteikumi Nr. 16 un tā piemērošanas nosacījumi, īpaši privātpersonām, ir sarežģīti, grūti uztverami. Normatīvajam aktam būtu jānodrošina precīzs, ikvienam sabiedrības loceklim saprotams tiesiskais regulējums. </w:t>
      </w:r>
    </w:p>
    <w:p w14:paraId="7975C1E6" w14:textId="091C7F1B" w:rsidR="00CA2E15" w:rsidRPr="00EA6850" w:rsidRDefault="006957CA" w:rsidP="00DB3D17">
      <w:pPr>
        <w:pStyle w:val="NoSpacing"/>
        <w:ind w:firstLine="709"/>
        <w:contextualSpacing/>
        <w:jc w:val="both"/>
      </w:pPr>
      <w:r w:rsidRPr="00EA6850">
        <w:rPr>
          <w:rFonts w:ascii="Times New Roman" w:hAnsi="Times New Roman" w:cs="Times New Roman"/>
          <w:sz w:val="24"/>
          <w:szCs w:val="24"/>
        </w:rPr>
        <w:t>V</w:t>
      </w:r>
      <w:r w:rsidR="00314E14" w:rsidRPr="00EA6850">
        <w:rPr>
          <w:rFonts w:ascii="Times New Roman" w:hAnsi="Times New Roman" w:cs="Times New Roman"/>
          <w:sz w:val="24"/>
          <w:szCs w:val="24"/>
        </w:rPr>
        <w:t>M</w:t>
      </w:r>
      <w:r w:rsidRPr="00EA6850">
        <w:rPr>
          <w:rFonts w:ascii="Times New Roman" w:hAnsi="Times New Roman" w:cs="Times New Roman"/>
          <w:sz w:val="24"/>
          <w:szCs w:val="24"/>
        </w:rPr>
        <w:t xml:space="preserve"> atbalsta ieceri sakārtot vides trokšņa pārvaldību un veicināt tās attīstību</w:t>
      </w:r>
      <w:r w:rsidRPr="00EA6850">
        <w:rPr>
          <w:rStyle w:val="FootnoteReference"/>
          <w:rFonts w:ascii="Times New Roman" w:hAnsi="Times New Roman" w:cs="Times New Roman"/>
          <w:sz w:val="24"/>
          <w:szCs w:val="24"/>
        </w:rPr>
        <w:footnoteReference w:id="27"/>
      </w:r>
      <w:r w:rsidR="00082B6B" w:rsidRPr="00EA6850">
        <w:rPr>
          <w:rFonts w:ascii="Times New Roman" w:hAnsi="Times New Roman" w:cs="Times New Roman"/>
          <w:sz w:val="24"/>
          <w:szCs w:val="24"/>
        </w:rPr>
        <w:t>, kā arī izprot Direktīvas 2002/49/EK tvērumu (piemēram, Direktīva 2002/49/EK neizvirza prasības attiecībā uz pašvaldību darbību, sabiedrisko kārtību u.tml.)</w:t>
      </w:r>
      <w:r w:rsidRPr="00EA6850">
        <w:rPr>
          <w:rFonts w:ascii="Times New Roman" w:hAnsi="Times New Roman" w:cs="Times New Roman"/>
          <w:sz w:val="24"/>
          <w:szCs w:val="24"/>
        </w:rPr>
        <w:t>.</w:t>
      </w:r>
      <w:r w:rsidR="00082B6B" w:rsidRPr="00EA6850">
        <w:rPr>
          <w:rFonts w:ascii="Times New Roman" w:hAnsi="Times New Roman" w:cs="Times New Roman"/>
          <w:sz w:val="24"/>
          <w:szCs w:val="24"/>
        </w:rPr>
        <w:t xml:space="preserve"> </w:t>
      </w:r>
      <w:r w:rsidR="00314E14" w:rsidRPr="00EA6850">
        <w:rPr>
          <w:rFonts w:ascii="Times New Roman" w:hAnsi="Times New Roman" w:cs="Times New Roman"/>
          <w:sz w:val="24"/>
          <w:szCs w:val="24"/>
        </w:rPr>
        <w:t>VM rosina sabiedrībai aktuālos jautājumus trokšņa pārvaldībā apkopot vienā normatīvajā aktā, ko izstrādātu visas iesaistītā</w:t>
      </w:r>
      <w:r w:rsidR="007966B3" w:rsidRPr="00EA6850">
        <w:rPr>
          <w:rFonts w:ascii="Times New Roman" w:hAnsi="Times New Roman" w:cs="Times New Roman"/>
          <w:sz w:val="24"/>
          <w:szCs w:val="24"/>
        </w:rPr>
        <w:t>s</w:t>
      </w:r>
      <w:r w:rsidR="00314E14" w:rsidRPr="00EA6850">
        <w:rPr>
          <w:rFonts w:ascii="Times New Roman" w:hAnsi="Times New Roman" w:cs="Times New Roman"/>
          <w:sz w:val="24"/>
          <w:szCs w:val="24"/>
        </w:rPr>
        <w:t xml:space="preserve"> iestādes, tādējādi atsevišķs regulējums trokšņa novērtēšanai telp</w:t>
      </w:r>
      <w:r w:rsidR="008D22CA" w:rsidRPr="00EA6850">
        <w:rPr>
          <w:rFonts w:ascii="Times New Roman" w:hAnsi="Times New Roman" w:cs="Times New Roman"/>
          <w:sz w:val="24"/>
          <w:szCs w:val="24"/>
        </w:rPr>
        <w:t>ā</w:t>
      </w:r>
      <w:r w:rsidR="00314E14" w:rsidRPr="00EA6850">
        <w:rPr>
          <w:rFonts w:ascii="Times New Roman" w:hAnsi="Times New Roman" w:cs="Times New Roman"/>
          <w:sz w:val="24"/>
          <w:szCs w:val="24"/>
        </w:rPr>
        <w:t>s nebūtu nepiecie</w:t>
      </w:r>
      <w:r w:rsidR="005173FD" w:rsidRPr="00EA6850">
        <w:rPr>
          <w:rFonts w:ascii="Times New Roman" w:hAnsi="Times New Roman" w:cs="Times New Roman"/>
          <w:sz w:val="24"/>
          <w:szCs w:val="24"/>
        </w:rPr>
        <w:t xml:space="preserve">šams. </w:t>
      </w:r>
      <w:r w:rsidR="00555139" w:rsidRPr="00EA6850">
        <w:rPr>
          <w:rFonts w:ascii="Times New Roman" w:hAnsi="Times New Roman" w:cs="Times New Roman"/>
          <w:sz w:val="24"/>
          <w:szCs w:val="24"/>
        </w:rPr>
        <w:t xml:space="preserve">VARAM nepiekrīt, ka vides trokšņa regulējums atbilstoši Direktīvas 2002/49/EK uzstādījumam būtu par pamatu visaptveroša trokšņa regulējuma virzībai. </w:t>
      </w:r>
      <w:r w:rsidR="008B4CED" w:rsidRPr="00EA6850">
        <w:rPr>
          <w:rFonts w:ascii="Times New Roman" w:hAnsi="Times New Roman" w:cs="Times New Roman"/>
          <w:sz w:val="24"/>
          <w:szCs w:val="24"/>
        </w:rPr>
        <w:t>Viennozīmīgi var secināt, ka tieši veselības aizsardzības jautājums ir sabiedrības uzmanības fokusā. Līdz ar to būtu jāvērtē, ciktāl nozaru normatīvie akti (piemēram, būvniecības jomā, darba vides drošības jomā) nodrošina sabiedrības veselības aizsardz</w:t>
      </w:r>
      <w:r w:rsidR="00CA2E15" w:rsidRPr="00EA6850">
        <w:rPr>
          <w:rFonts w:ascii="Times New Roman" w:hAnsi="Times New Roman" w:cs="Times New Roman"/>
          <w:sz w:val="24"/>
          <w:szCs w:val="24"/>
        </w:rPr>
        <w:t xml:space="preserve">ību, vai un kādi normatīvie akti būtu nepieciešami. Šādi jautājumi būtu saistāmi ar sabiedrības veselības politikas plānošanas dokumentu izstrādi. </w:t>
      </w:r>
    </w:p>
    <w:p w14:paraId="5F5A2933" w14:textId="21734BB3" w:rsidR="006337BD" w:rsidRDefault="006337BD" w:rsidP="00DB3D17">
      <w:pPr>
        <w:spacing w:before="120"/>
        <w:ind w:firstLine="709"/>
        <w:rPr>
          <w:b/>
          <w:szCs w:val="24"/>
        </w:rPr>
      </w:pPr>
      <w:r>
        <w:rPr>
          <w:rFonts w:cs="Times New Roman"/>
          <w:szCs w:val="24"/>
        </w:rPr>
        <w:t xml:space="preserve">Esošais vides trokšņa regulējums ir sadrumstalots un būtiski atšķiras no </w:t>
      </w:r>
      <w:r w:rsidRPr="00292382">
        <w:rPr>
          <w:bCs/>
        </w:rPr>
        <w:t>Direktīva</w:t>
      </w:r>
      <w:r>
        <w:rPr>
          <w:bCs/>
        </w:rPr>
        <w:t>s</w:t>
      </w:r>
      <w:r w:rsidRPr="00292382">
        <w:rPr>
          <w:bCs/>
        </w:rPr>
        <w:t xml:space="preserve"> 2002/49/EK</w:t>
      </w:r>
      <w:r>
        <w:rPr>
          <w:rFonts w:cs="Times New Roman"/>
          <w:szCs w:val="24"/>
        </w:rPr>
        <w:t xml:space="preserve"> prasību pārņemšanas 2004. gadā izdotā nacionālā normatīvā akta – </w:t>
      </w:r>
      <w:r w:rsidRPr="00FA3D6D">
        <w:rPr>
          <w:rFonts w:eastAsia="Times New Roman" w:cs="Times New Roman"/>
          <w:bCs/>
          <w:szCs w:val="24"/>
          <w:lang w:eastAsia="lv-LV"/>
        </w:rPr>
        <w:t>M</w:t>
      </w:r>
      <w:r>
        <w:rPr>
          <w:rFonts w:eastAsia="Times New Roman" w:cs="Times New Roman"/>
          <w:bCs/>
          <w:szCs w:val="24"/>
          <w:lang w:eastAsia="lv-LV"/>
        </w:rPr>
        <w:t>K noteikumu Nr. </w:t>
      </w:r>
      <w:r w:rsidRPr="00FA3D6D">
        <w:rPr>
          <w:rFonts w:eastAsia="Times New Roman" w:cs="Times New Roman"/>
          <w:bCs/>
          <w:szCs w:val="24"/>
          <w:lang w:eastAsia="lv-LV"/>
        </w:rPr>
        <w:t>597</w:t>
      </w:r>
      <w:r>
        <w:rPr>
          <w:rFonts w:eastAsia="Times New Roman" w:cs="Times New Roman"/>
          <w:bCs/>
          <w:szCs w:val="24"/>
          <w:lang w:eastAsia="lv-LV"/>
        </w:rPr>
        <w:t xml:space="preserve"> ietvara. Īpaši jāuzsver, ka līdz </w:t>
      </w:r>
      <w:r w:rsidRPr="00294DBE">
        <w:rPr>
          <w:rFonts w:eastAsia="Times New Roman" w:cs="Times New Roman"/>
          <w:bCs/>
          <w:szCs w:val="24"/>
          <w:lang w:eastAsia="lv-LV"/>
        </w:rPr>
        <w:t>2019</w:t>
      </w:r>
      <w:r>
        <w:rPr>
          <w:rFonts w:eastAsia="Times New Roman" w:cs="Times New Roman"/>
          <w:bCs/>
          <w:szCs w:val="24"/>
          <w:lang w:eastAsia="lv-LV"/>
        </w:rPr>
        <w:t>. </w:t>
      </w:r>
      <w:r w:rsidRPr="00294DBE">
        <w:rPr>
          <w:rFonts w:eastAsia="Times New Roman" w:cs="Times New Roman"/>
          <w:bCs/>
          <w:szCs w:val="24"/>
          <w:lang w:eastAsia="lv-LV"/>
        </w:rPr>
        <w:t xml:space="preserve">gada </w:t>
      </w:r>
      <w:r w:rsidRPr="00292382">
        <w:rPr>
          <w:rFonts w:eastAsia="Times New Roman" w:cs="Times New Roman"/>
          <w:szCs w:val="24"/>
          <w:lang w:eastAsia="lv-LV"/>
        </w:rPr>
        <w:t>2. jūlij</w:t>
      </w:r>
      <w:r>
        <w:rPr>
          <w:rFonts w:eastAsia="Times New Roman" w:cs="Times New Roman"/>
          <w:szCs w:val="24"/>
          <w:lang w:eastAsia="lv-LV"/>
        </w:rPr>
        <w:t xml:space="preserve">am vides trokšņa regulējumā grozījumu veikšanu noteica nevis nepieciešamība pārņemt papildu prasības/grozījumus Direktīvā 2002/49/EK, bet gan nepieciešamība risināt jautājumus, kas saistīti ar sabiedrības veselības aizsardzību pret trokšņa kaitīgo ietekmi un apmierināt sabiedrības vajadzības attiecībā pret trokšņa pārvaldības instrumentu stiprināšanu. </w:t>
      </w:r>
      <w:r w:rsidRPr="00654CD0">
        <w:rPr>
          <w:rFonts w:cs="Times New Roman"/>
        </w:rPr>
        <w:t xml:space="preserve">Ņemot vērā minēto, </w:t>
      </w:r>
      <w:r>
        <w:rPr>
          <w:rFonts w:cs="Times New Roman"/>
          <w:b/>
          <w:u w:val="single"/>
        </w:rPr>
        <w:t xml:space="preserve">VARAM </w:t>
      </w:r>
      <w:r w:rsidRPr="00654CD0">
        <w:rPr>
          <w:rFonts w:cs="Times New Roman"/>
          <w:b/>
          <w:u w:val="single"/>
        </w:rPr>
        <w:t xml:space="preserve">rosina </w:t>
      </w:r>
      <w:r>
        <w:rPr>
          <w:rFonts w:cs="Times New Roman"/>
          <w:b/>
          <w:u w:val="single"/>
        </w:rPr>
        <w:t>precizēt izpratni par</w:t>
      </w:r>
      <w:r w:rsidR="002E66C5">
        <w:rPr>
          <w:rFonts w:cs="Times New Roman"/>
          <w:b/>
          <w:u w:val="single"/>
        </w:rPr>
        <w:t xml:space="preserve"> vides trokšņa pārvaldību un </w:t>
      </w:r>
      <w:r w:rsidR="003F76C8">
        <w:rPr>
          <w:rFonts w:cs="Times New Roman"/>
          <w:b/>
          <w:u w:val="single"/>
        </w:rPr>
        <w:t>pārskatīt šobrīd īstenoto praksi: cilvēka veselības aizsardzību pret troksni balstīt tikai uz vides nozares pasākumiem, bet respektēt esošo deleģējumu par sabiedrības veselības aizsardzības pasākumu kopumu īstenošanu, lai samazinātu vai novērstu vides faktoru (</w:t>
      </w:r>
      <w:r w:rsidR="00433F7C">
        <w:rPr>
          <w:rFonts w:cs="Times New Roman"/>
          <w:b/>
          <w:u w:val="single"/>
        </w:rPr>
        <w:t>fizikāl</w:t>
      </w:r>
      <w:r w:rsidR="008D22CA">
        <w:rPr>
          <w:rFonts w:cs="Times New Roman"/>
          <w:b/>
          <w:u w:val="single"/>
        </w:rPr>
        <w:t>u</w:t>
      </w:r>
      <w:r w:rsidR="00433F7C">
        <w:rPr>
          <w:rFonts w:cs="Times New Roman"/>
          <w:b/>
          <w:u w:val="single"/>
        </w:rPr>
        <w:t>, ķīmisk</w:t>
      </w:r>
      <w:r w:rsidR="008D22CA">
        <w:rPr>
          <w:rFonts w:cs="Times New Roman"/>
          <w:b/>
          <w:u w:val="single"/>
        </w:rPr>
        <w:t>u</w:t>
      </w:r>
      <w:r w:rsidR="00433F7C">
        <w:rPr>
          <w:rFonts w:cs="Times New Roman"/>
          <w:b/>
          <w:u w:val="single"/>
        </w:rPr>
        <w:t>, bioloģisku) iespējamo kaitīgo ietekmi.</w:t>
      </w:r>
    </w:p>
    <w:p w14:paraId="6F1EC379" w14:textId="3A662989" w:rsidR="00F8298E" w:rsidRPr="00EA6850" w:rsidRDefault="00F8298E" w:rsidP="00DB3D17">
      <w:pPr>
        <w:pStyle w:val="NormalWeb"/>
        <w:spacing w:before="120" w:beforeAutospacing="0" w:after="0" w:afterAutospacing="0"/>
        <w:ind w:firstLine="709"/>
        <w:jc w:val="both"/>
      </w:pPr>
      <w:r w:rsidRPr="00292382">
        <w:t xml:space="preserve">Jāuzsver, ka MK noteikumu Nr. 16 3. un 4. pielikumā izmantotajai terminoloģijai attiecībā uz apbūves teritoriju un telpu iedalījumu, vides trokšņa novērtēšanai attiecībā uz ēkām pilnībā būtu jāsakrīt ar </w:t>
      </w:r>
      <w:r w:rsidRPr="00292382">
        <w:rPr>
          <w:b/>
        </w:rPr>
        <w:t>būvniecības jomas regulējošajos normatīvajos aktos</w:t>
      </w:r>
      <w:r w:rsidRPr="00292382">
        <w:t xml:space="preserve"> noteikto. Tomēr </w:t>
      </w:r>
      <w:r w:rsidRPr="00292382">
        <w:lastRenderedPageBreak/>
        <w:t>šajā gadījumā tiešu atsauču no viena normatīvā akta citā normatīvajā aktā harmonizācija n</w:t>
      </w:r>
      <w:r w:rsidR="001D72C9">
        <w:t>av</w:t>
      </w:r>
      <w:r w:rsidRPr="00292382">
        <w:t xml:space="preserve"> nodrošināta. VARAM secina, ka jautājums ir noregulēts būvniecības nozares politikā un arī tiek attīstīts: 20</w:t>
      </w:r>
      <w:r w:rsidR="001D72C9">
        <w:t>20</w:t>
      </w:r>
      <w:r w:rsidRPr="00292382">
        <w:t xml:space="preserve">. gada </w:t>
      </w:r>
      <w:r w:rsidR="001D72C9">
        <w:t>3</w:t>
      </w:r>
      <w:r w:rsidRPr="00292382">
        <w:t xml:space="preserve">. martā </w:t>
      </w:r>
      <w:r w:rsidR="001D72C9">
        <w:t xml:space="preserve">tika pieņemti </w:t>
      </w:r>
      <w:r w:rsidRPr="00292382">
        <w:t>Ministru kabineta noteikum</w:t>
      </w:r>
      <w:r w:rsidR="001D72C9">
        <w:t>i Nr. 121</w:t>
      </w:r>
      <w:r w:rsidRPr="00292382">
        <w:t xml:space="preserve"> “Grozījumi Ministru kabineta 2015. gada 16. jūnija noteikumos Nr. 312 “Noteikumi par Latvijas būvnormatīvu LBN 016-15 “Būvakustika</w:t>
      </w:r>
      <w:r w:rsidR="001D72C9">
        <w:t>”</w:t>
      </w:r>
      <w:r w:rsidR="00400402">
        <w:t>”</w:t>
      </w:r>
      <w:r w:rsidRPr="00292382">
        <w:t>. Balstoties uz lietderības apsvērumiem un, lai novērstu vides trokšņa normatīvā regulējuma sadrumstalotību, būtu jāvērtē vides trokšņa prasīb</w:t>
      </w:r>
      <w:r w:rsidR="00D61614">
        <w:t>as</w:t>
      </w:r>
      <w:r w:rsidRPr="00292382">
        <w:t xml:space="preserve"> </w:t>
      </w:r>
      <w:r w:rsidRPr="00292382">
        <w:rPr>
          <w:bCs/>
        </w:rPr>
        <w:t>dzīvojamo un publisko ēku telpās un teritorijās</w:t>
      </w:r>
      <w:r w:rsidR="00C07D46">
        <w:rPr>
          <w:bCs/>
        </w:rPr>
        <w:t xml:space="preserve">, </w:t>
      </w:r>
      <w:r w:rsidR="00D61614">
        <w:rPr>
          <w:bCs/>
        </w:rPr>
        <w:t xml:space="preserve">kā arī </w:t>
      </w:r>
      <w:r w:rsidR="00C07D46" w:rsidRPr="00EA6850">
        <w:rPr>
          <w:bCs/>
        </w:rPr>
        <w:t xml:space="preserve">būvniecībā trokšņa regulējošo normatīvo aktu </w:t>
      </w:r>
      <w:r w:rsidRPr="00EA6850">
        <w:rPr>
          <w:bCs/>
        </w:rPr>
        <w:t>kodifikāciju</w:t>
      </w:r>
      <w:r w:rsidR="00433F7C" w:rsidRPr="00EA6850">
        <w:rPr>
          <w:bCs/>
        </w:rPr>
        <w:t xml:space="preserve"> ar mērķi izstrādāt skaidru un pārskatāmu tiesību aktu cilvēka veselības aizsardzības nodrošināšanai pret trokšņa iedarbību.</w:t>
      </w:r>
    </w:p>
    <w:p w14:paraId="1D4BF181" w14:textId="0AD6DF9F" w:rsidR="0029208B" w:rsidRDefault="00120308" w:rsidP="00DB3D17">
      <w:pPr>
        <w:pStyle w:val="NormalWeb"/>
        <w:shd w:val="clear" w:color="auto" w:fill="FFFFFF"/>
        <w:spacing w:before="120" w:beforeAutospacing="0" w:after="0" w:afterAutospacing="0"/>
        <w:ind w:firstLine="709"/>
        <w:jc w:val="both"/>
      </w:pPr>
      <w:r w:rsidRPr="00292382">
        <w:t>Jāuzsver, ka trokšņa regulējumā var izdalīt noteiktas tehniskās prasības trokšņa novēršanai, piemēram, regulējums par trokšņa emisiju novērtēšanu mehāniskajiem transportlīdzekļiem, riepu pieļaujamiem trokšņa līmeņiem</w:t>
      </w:r>
      <w:r w:rsidRPr="00292382">
        <w:rPr>
          <w:rStyle w:val="FootnoteReference"/>
        </w:rPr>
        <w:footnoteReference w:id="28"/>
      </w:r>
      <w:r w:rsidRPr="00292382">
        <w:t>, tehniskaj</w:t>
      </w:r>
      <w:r w:rsidR="00D61614">
        <w:t>ā</w:t>
      </w:r>
      <w:r w:rsidRPr="00292382">
        <w:t>m prasībām dzelzceļa transportam</w:t>
      </w:r>
      <w:r w:rsidRPr="00292382">
        <w:rPr>
          <w:rStyle w:val="FootnoteReference"/>
        </w:rPr>
        <w:footnoteReference w:id="29"/>
      </w:r>
      <w:r w:rsidRPr="00292382">
        <w:t xml:space="preserve"> un gaisa transportam</w:t>
      </w:r>
      <w:r w:rsidRPr="00292382">
        <w:rPr>
          <w:rStyle w:val="FootnoteReference"/>
        </w:rPr>
        <w:footnoteReference w:id="30"/>
      </w:r>
      <w:r w:rsidRPr="00292382">
        <w:t xml:space="preserve">. Tāpat arī trokšņa emisijas tiek vērtētas jautājumā par tirgus uzraudzību un patērētāju tiesību aizsardzību, piemēram, par </w:t>
      </w:r>
      <w:r w:rsidRPr="00292382">
        <w:rPr>
          <w:b/>
        </w:rPr>
        <w:t>trokšņa emisiju vidē no iekārtām, kas paredzētas</w:t>
      </w:r>
      <w:r w:rsidR="003C02F8" w:rsidRPr="00292382">
        <w:rPr>
          <w:b/>
        </w:rPr>
        <w:t xml:space="preserve"> izmantošanai </w:t>
      </w:r>
      <w:r w:rsidRPr="00292382">
        <w:rPr>
          <w:b/>
        </w:rPr>
        <w:t>ārpus telpām</w:t>
      </w:r>
      <w:r w:rsidR="00D01E75" w:rsidRPr="00292382">
        <w:rPr>
          <w:b/>
        </w:rPr>
        <w:t>.</w:t>
      </w:r>
      <w:r w:rsidRPr="00292382">
        <w:rPr>
          <w:rStyle w:val="FootnoteReference"/>
        </w:rPr>
        <w:footnoteReference w:id="31"/>
      </w:r>
      <w:r w:rsidR="003C02F8" w:rsidRPr="00292382">
        <w:t xml:space="preserve"> Šobrīd ir izveidojusies situācija, ka E</w:t>
      </w:r>
      <w:r w:rsidR="00AC714D" w:rsidRPr="00292382">
        <w:t>M</w:t>
      </w:r>
      <w:r w:rsidR="003C02F8" w:rsidRPr="00292382">
        <w:t xml:space="preserve"> p</w:t>
      </w:r>
      <w:r w:rsidR="00D21498" w:rsidRPr="00292382">
        <w:t xml:space="preserve">adotības </w:t>
      </w:r>
      <w:r w:rsidR="003C02F8" w:rsidRPr="00292382">
        <w:t>iestāde Patērētāju tiesību aizsardzības centrs nodrošina Latvijas pārstāvniecību Administratīvās sadarbības darba grupā starp E</w:t>
      </w:r>
      <w:r w:rsidR="00A82049" w:rsidRPr="00292382">
        <w:t>S</w:t>
      </w:r>
      <w:r w:rsidR="003C02F8" w:rsidRPr="00292382">
        <w:t xml:space="preserve"> dalībvalstu uzraudzības iestādē</w:t>
      </w:r>
      <w:r w:rsidR="008C2C4C" w:rsidRPr="00292382">
        <w:t>m</w:t>
      </w:r>
      <w:r w:rsidR="003C02F8" w:rsidRPr="00292382">
        <w:t xml:space="preserve"> (</w:t>
      </w:r>
      <w:proofErr w:type="spellStart"/>
      <w:r w:rsidR="003C02F8" w:rsidRPr="00292382">
        <w:t>AdCo</w:t>
      </w:r>
      <w:proofErr w:type="spellEnd"/>
      <w:r w:rsidR="003C02F8" w:rsidRPr="00292382">
        <w:t xml:space="preserve">) attiecībā </w:t>
      </w:r>
      <w:r w:rsidR="00400402">
        <w:t xml:space="preserve">uz </w:t>
      </w:r>
      <w:r w:rsidR="001A6753" w:rsidRPr="00292382">
        <w:t xml:space="preserve">Eiropas Parlamenta un Padomes 2000. gada 8. maija </w:t>
      </w:r>
      <w:r w:rsidR="009F2A29">
        <w:t>Direktīvas</w:t>
      </w:r>
      <w:r w:rsidR="001A6753" w:rsidRPr="00292382">
        <w:t xml:space="preserve"> Nr. 2000/14/EK par dalībvalstu tiesību aktu tuvināšanu attiecībā uz trokšņa emisiju vidē no iekārtām, kas paredzētas izmantošanai ārpus telpām (turpmāk – Direktīva Nr. 2000/14/EK) prasību īstenošanu. </w:t>
      </w:r>
      <w:r w:rsidR="008C2C4C" w:rsidRPr="00292382">
        <w:t>Lai gan</w:t>
      </w:r>
      <w:r w:rsidR="001A6753" w:rsidRPr="00292382">
        <w:t xml:space="preserve"> </w:t>
      </w:r>
      <w:r w:rsidR="008C2C4C" w:rsidRPr="00292382">
        <w:t>Direktīva Nr. 200</w:t>
      </w:r>
      <w:r w:rsidR="00474FE1" w:rsidRPr="00292382">
        <w:t>0</w:t>
      </w:r>
      <w:r w:rsidR="008C2C4C" w:rsidRPr="00292382">
        <w:t>/14/EK ir vērsta uz tirgus uzraudzību un patērētāju tiesību aizsardzību, vēsturiski kā atbildīgā nozares ministrija tika noteikta VARAM</w:t>
      </w:r>
      <w:r w:rsidR="008C2C4C" w:rsidRPr="00AD0F36">
        <w:t xml:space="preserve">. </w:t>
      </w:r>
      <w:r w:rsidR="006176E1" w:rsidRPr="00AD0F36">
        <w:t xml:space="preserve">Jāatzīmē, ka direktīvas Nr. 2000/14/EK pieņemšanas laikā 2000. gadā jautājums par trokšņa emisijām un trokšņa piesārņojumu no iekārtām, kas paredzētas izmantošanai ārpus telpām, balstījās uz uzstādījumu, ka troksnis jānovērš tā rašanās avotā. Līdz ar to direktīvas Nr. 2000/14/EK </w:t>
      </w:r>
      <w:r w:rsidR="00847B68" w:rsidRPr="00AD0F36">
        <w:t xml:space="preserve">viens no stūrakmeņiem ir tirgus uzraudzība un patērētāju tiesību aizsardzība, </w:t>
      </w:r>
      <w:proofErr w:type="spellStart"/>
      <w:r w:rsidR="00847B68" w:rsidRPr="00AD0F36">
        <w:t>t.i</w:t>
      </w:r>
      <w:proofErr w:type="spellEnd"/>
      <w:r w:rsidR="00847B68" w:rsidRPr="00AD0F36">
        <w:t>, harmonizētas prasības iekārtu laišana</w:t>
      </w:r>
      <w:r w:rsidR="00061732" w:rsidRPr="00AD0F36">
        <w:t>i</w:t>
      </w:r>
      <w:r w:rsidR="00847B68" w:rsidRPr="00AD0F36">
        <w:t xml:space="preserve"> tirgū, iekārtu brīvai apritei tirgū, iekārtu EK atbilstības </w:t>
      </w:r>
      <w:r w:rsidR="00061732" w:rsidRPr="00AD0F36">
        <w:t xml:space="preserve">deklarāciju un </w:t>
      </w:r>
      <w:r w:rsidR="00061732" w:rsidRPr="00AD0F36">
        <w:rPr>
          <w:i/>
        </w:rPr>
        <w:t>CE</w:t>
      </w:r>
      <w:r w:rsidR="00061732" w:rsidRPr="00AD0F36">
        <w:t xml:space="preserve"> marķējuma nodrošināšanai</w:t>
      </w:r>
      <w:r w:rsidR="00507D03" w:rsidRPr="00AD0F36">
        <w:t xml:space="preserve">, </w:t>
      </w:r>
      <w:r w:rsidR="00507D03" w:rsidRPr="00AD0F36">
        <w:rPr>
          <w:u w:val="single"/>
        </w:rPr>
        <w:t>bet tā tikai pastarpināti ir vērsta un vides aizsardzības jomu</w:t>
      </w:r>
      <w:r w:rsidR="00061732" w:rsidRPr="00AD0F36">
        <w:rPr>
          <w:u w:val="single"/>
        </w:rPr>
        <w:t>.</w:t>
      </w:r>
      <w:r w:rsidR="00061732" w:rsidRPr="00AD0F36">
        <w:t xml:space="preserve"> Piemēram,</w:t>
      </w:r>
      <w:r w:rsidR="00061732">
        <w:t xml:space="preserve"> </w:t>
      </w:r>
      <w:r w:rsidR="00AC1F4C" w:rsidRPr="00292382">
        <w:t>Eiropas Parlamenta un Padomes 2009. gada 25. novembra regula Nr.</w:t>
      </w:r>
      <w:r w:rsidR="009F2A29">
        <w:t> </w:t>
      </w:r>
      <w:r w:rsidR="00AC1F4C" w:rsidRPr="00292382">
        <w:t>1222/2009</w:t>
      </w:r>
      <w:r w:rsidR="009F2A29">
        <w:t>/EK</w:t>
      </w:r>
      <w:r w:rsidR="00AC1F4C" w:rsidRPr="00292382">
        <w:rPr>
          <w:rStyle w:val="FootnoteReference"/>
        </w:rPr>
        <w:footnoteReference w:id="32"/>
      </w:r>
      <w:r w:rsidR="00061732">
        <w:t xml:space="preserve"> par riepu marķēšanu, tai skaitā, lai </w:t>
      </w:r>
      <w:r w:rsidR="00AC1F4C" w:rsidRPr="00292382">
        <w:t>noteiktu prasības riepu ārējam rites troksnim, kā arī trokšņa mērījumu veikšanai ar mērķi nodrošināt atbilstīgu riepu marķējumu un citus tirgus uzraudzības un patērētāju tiesību aizsardzības pasākumus atbildīgā ministrija ir E</w:t>
      </w:r>
      <w:r w:rsidR="00AC714D" w:rsidRPr="00292382">
        <w:t>M</w:t>
      </w:r>
      <w:r w:rsidR="00AC1F4C" w:rsidRPr="00292382">
        <w:t xml:space="preserve">. </w:t>
      </w:r>
      <w:r w:rsidR="007C3AE3" w:rsidRPr="00AD0F36">
        <w:t>Jāuzsver, ka ES tiesību akt</w:t>
      </w:r>
      <w:r w:rsidR="00061732" w:rsidRPr="00AD0F36">
        <w:t>os</w:t>
      </w:r>
      <w:r w:rsidR="009C3F2F">
        <w:t>,</w:t>
      </w:r>
      <w:r w:rsidR="007C3AE3" w:rsidRPr="00AD0F36">
        <w:t xml:space="preserve"> cita starpā</w:t>
      </w:r>
      <w:r w:rsidR="009C3F2F">
        <w:t>,</w:t>
      </w:r>
      <w:r w:rsidR="007C3AE3" w:rsidRPr="00AD0F36">
        <w:t xml:space="preserve"> plaši tiek izmantotas atsauces uz cilvēka veselības un vides aizsardzību</w:t>
      </w:r>
      <w:r w:rsidR="00061732" w:rsidRPr="00AD0F36">
        <w:rPr>
          <w:vertAlign w:val="superscript"/>
        </w:rPr>
        <w:t>25,26,27,29</w:t>
      </w:r>
      <w:r w:rsidR="007C3AE3" w:rsidRPr="00AD0F36">
        <w:t xml:space="preserve">, bet izšķirīgs apsvērums lēmuma pieņemšanai par nozaru ministriju atbildības </w:t>
      </w:r>
      <w:r w:rsidR="0029208B" w:rsidRPr="00AD0F36">
        <w:t xml:space="preserve">jomu sadalījumu </w:t>
      </w:r>
      <w:r w:rsidR="007C3AE3" w:rsidRPr="00AD0F36">
        <w:t>attiecībā uz konkrētu ES tiesību aktu</w:t>
      </w:r>
      <w:r w:rsidR="00061732" w:rsidRPr="00AD0F36">
        <w:t xml:space="preserve"> ir jābalsta nozaru ministru kompetencēs ES tiesību aktu prasību ieviešanas nodrošināšan</w:t>
      </w:r>
      <w:r w:rsidR="00507D03" w:rsidRPr="00AD0F36">
        <w:t>ā</w:t>
      </w:r>
      <w:r w:rsidR="00695B2B" w:rsidRPr="00AD0F36">
        <w:t>.</w:t>
      </w:r>
      <w:r w:rsidR="00695B2B">
        <w:t xml:space="preserve"> </w:t>
      </w:r>
    </w:p>
    <w:p w14:paraId="4710FBB4" w14:textId="74DB194B" w:rsidR="00507D03" w:rsidRDefault="00474FE1" w:rsidP="00DB3D17">
      <w:pPr>
        <w:pStyle w:val="NormalWeb"/>
        <w:shd w:val="clear" w:color="auto" w:fill="FFFFFF"/>
        <w:spacing w:before="120" w:beforeAutospacing="0" w:after="0" w:afterAutospacing="0"/>
        <w:ind w:firstLine="709"/>
        <w:jc w:val="both"/>
      </w:pPr>
      <w:r w:rsidRPr="00292382">
        <w:lastRenderedPageBreak/>
        <w:t>Direktīvas Nr. 2000/14/EK īstenošanas dalībvalstu komiteja izskata tikai un vienīgi jautājumus par ārpus telp</w:t>
      </w:r>
      <w:r w:rsidR="001A6753" w:rsidRPr="00292382">
        <w:t>ām</w:t>
      </w:r>
      <w:r w:rsidRPr="00292382">
        <w:t xml:space="preserve"> izmantojamo iekārtu radītā trokšņa novērtēšanas harmonizāciju </w:t>
      </w:r>
      <w:r w:rsidR="00E33C6D">
        <w:t xml:space="preserve">saistībā </w:t>
      </w:r>
      <w:r w:rsidRPr="00292382">
        <w:t>ar Eiropas Parlamenta un Padomes 2006.</w:t>
      </w:r>
      <w:r w:rsidR="00E33C6D">
        <w:t> </w:t>
      </w:r>
      <w:r w:rsidRPr="00292382">
        <w:t xml:space="preserve">gada 17. maija </w:t>
      </w:r>
      <w:r w:rsidR="00E33C6D">
        <w:t>D</w:t>
      </w:r>
      <w:r w:rsidRPr="00292382">
        <w:t>irektīvu Nr.</w:t>
      </w:r>
      <w:r w:rsidR="00E33C6D">
        <w:t> </w:t>
      </w:r>
      <w:r w:rsidRPr="00292382">
        <w:t>2006/42/EK par mašīnām</w:t>
      </w:r>
      <w:r w:rsidR="00695B2B" w:rsidRPr="00695B2B">
        <w:rPr>
          <w:vertAlign w:val="superscript"/>
        </w:rPr>
        <w:t>20</w:t>
      </w:r>
      <w:r w:rsidR="00695B2B">
        <w:rPr>
          <w:vertAlign w:val="superscript"/>
        </w:rPr>
        <w:t xml:space="preserve"> </w:t>
      </w:r>
      <w:r w:rsidR="00695B2B" w:rsidRPr="00695B2B">
        <w:t xml:space="preserve">(turpmāk </w:t>
      </w:r>
      <w:r w:rsidR="00695B2B">
        <w:t>– direktīva Nr. 2006/42/EK)</w:t>
      </w:r>
      <w:r w:rsidRPr="00292382">
        <w:t>, dalībvalstu priekšlikumiem par iekārtu marķēšanu</w:t>
      </w:r>
      <w:r w:rsidR="001A6753" w:rsidRPr="00292382">
        <w:t xml:space="preserve"> u</w:t>
      </w:r>
      <w:r w:rsidR="00550F78">
        <w:t>.</w:t>
      </w:r>
      <w:r w:rsidR="001A6753" w:rsidRPr="00292382">
        <w:t>tml.</w:t>
      </w:r>
    </w:p>
    <w:p w14:paraId="1FD26CD5" w14:textId="704D8A16" w:rsidR="006C1A32" w:rsidRPr="00292382" w:rsidRDefault="006923A6" w:rsidP="00DB3D17">
      <w:pPr>
        <w:pStyle w:val="ListParagraph"/>
        <w:spacing w:before="120"/>
        <w:ind w:left="0" w:firstLine="709"/>
        <w:contextualSpacing w:val="0"/>
        <w:rPr>
          <w:rFonts w:eastAsia="Times New Roman" w:cs="Times New Roman"/>
          <w:szCs w:val="24"/>
          <w:lang w:eastAsia="lv-LV"/>
        </w:rPr>
      </w:pPr>
      <w:r w:rsidRPr="00292382">
        <w:rPr>
          <w:szCs w:val="24"/>
        </w:rPr>
        <w:t>Attiecībā uz vide</w:t>
      </w:r>
      <w:r w:rsidRPr="00292382">
        <w:t>s troksni sabiedrības veselības aizsardzības kontekstā V</w:t>
      </w:r>
      <w:r w:rsidR="00A82049" w:rsidRPr="00292382">
        <w:t>M</w:t>
      </w:r>
      <w:r w:rsidRPr="00292382">
        <w:t xml:space="preserve"> ir norādījusi, ka aktuāla problēma ir troksnis, kas rodas iekārtu (piem</w:t>
      </w:r>
      <w:r w:rsidR="009C3F2F">
        <w:t>ēram</w:t>
      </w:r>
      <w:r w:rsidRPr="00292382">
        <w:t xml:space="preserve">, ventilācijas, saldēšanas iekārtu, kompresoru, liftu) darbības rezultātā. Iekārtu radītais troksnis ir identificējams un parasti tehniski novēršams, bet </w:t>
      </w:r>
      <w:r w:rsidRPr="00292382">
        <w:rPr>
          <w:rFonts w:eastAsia="Times New Roman" w:cs="Times New Roman"/>
          <w:b/>
          <w:szCs w:val="24"/>
          <w:lang w:eastAsia="lv-LV"/>
        </w:rPr>
        <w:t>s</w:t>
      </w:r>
      <w:r w:rsidR="00564144" w:rsidRPr="00292382">
        <w:rPr>
          <w:rFonts w:eastAsia="Times New Roman" w:cs="Times New Roman"/>
          <w:b/>
          <w:szCs w:val="24"/>
          <w:lang w:eastAsia="lv-LV"/>
        </w:rPr>
        <w:t>atiksmes radīts troksnis</w:t>
      </w:r>
      <w:r w:rsidR="00564144" w:rsidRPr="00292382">
        <w:rPr>
          <w:rFonts w:eastAsia="Times New Roman" w:cs="Times New Roman"/>
          <w:szCs w:val="24"/>
          <w:lang w:eastAsia="lv-LV"/>
        </w:rPr>
        <w:t xml:space="preserve"> ir pastāvīgs un aktuāls jautājums</w:t>
      </w:r>
      <w:r w:rsidRPr="00292382">
        <w:rPr>
          <w:rFonts w:eastAsia="Times New Roman" w:cs="Times New Roman"/>
          <w:szCs w:val="24"/>
          <w:lang w:eastAsia="lv-LV"/>
        </w:rPr>
        <w:t xml:space="preserve">. Šādu situāciju </w:t>
      </w:r>
      <w:r w:rsidR="00E501AA" w:rsidRPr="00292382">
        <w:rPr>
          <w:rFonts w:eastAsia="Times New Roman" w:cs="Times New Roman"/>
          <w:szCs w:val="24"/>
          <w:lang w:eastAsia="lv-LV"/>
        </w:rPr>
        <w:t xml:space="preserve">nosaka, pirmkārt, </w:t>
      </w:r>
      <w:r w:rsidR="006C1A32" w:rsidRPr="00292382">
        <w:rPr>
          <w:rFonts w:eastAsia="Times New Roman" w:cs="Times New Roman"/>
          <w:szCs w:val="24"/>
          <w:lang w:eastAsia="lv-LV"/>
        </w:rPr>
        <w:t>vēsturiskais aspekts, t.i., blīvi apdzīvotas teritorijas vēsturiski izveidojušās un laika gaitā paplašinājušās autoceļu un dzelzceļu tuvumā, kā arī praktiski vienlaidu izkliedēta apbūve lauku teritorijās</w:t>
      </w:r>
      <w:r w:rsidRPr="00292382">
        <w:rPr>
          <w:rFonts w:eastAsia="Times New Roman" w:cs="Times New Roman"/>
          <w:szCs w:val="24"/>
          <w:lang w:eastAsia="lv-LV"/>
        </w:rPr>
        <w:t>. O</w:t>
      </w:r>
      <w:r w:rsidR="006C1A32" w:rsidRPr="00292382">
        <w:rPr>
          <w:rFonts w:eastAsia="Times New Roman" w:cs="Times New Roman"/>
          <w:szCs w:val="24"/>
          <w:lang w:eastAsia="lv-LV"/>
        </w:rPr>
        <w:t xml:space="preserve">trkārt, </w:t>
      </w:r>
      <w:r w:rsidR="00AD0F36">
        <w:rPr>
          <w:rFonts w:eastAsia="Times New Roman" w:cs="Times New Roman"/>
          <w:szCs w:val="24"/>
          <w:lang w:eastAsia="lv-LV"/>
        </w:rPr>
        <w:t>ne</w:t>
      </w:r>
      <w:r w:rsidR="006C1A32" w:rsidRPr="00292382">
        <w:rPr>
          <w:rFonts w:eastAsia="Times New Roman" w:cs="Times New Roman"/>
          <w:szCs w:val="24"/>
          <w:lang w:eastAsia="lv-LV"/>
        </w:rPr>
        <w:t xml:space="preserve">pārdomāta teritoriālās attīstības plānošana mūsdienās, </w:t>
      </w:r>
      <w:r w:rsidR="00AD0F36">
        <w:rPr>
          <w:rFonts w:eastAsia="Times New Roman" w:cs="Times New Roman"/>
          <w:szCs w:val="24"/>
          <w:lang w:eastAsia="lv-LV"/>
        </w:rPr>
        <w:t xml:space="preserve">neievērojot plānošanas principus </w:t>
      </w:r>
      <w:r w:rsidR="006C1A32" w:rsidRPr="00292382">
        <w:rPr>
          <w:rFonts w:eastAsia="Times New Roman" w:cs="Times New Roman"/>
          <w:szCs w:val="24"/>
          <w:lang w:eastAsia="lv-LV"/>
        </w:rPr>
        <w:t>un normatīvo aktu prasības</w:t>
      </w:r>
      <w:r w:rsidR="00AD0F36">
        <w:rPr>
          <w:rFonts w:eastAsia="Times New Roman" w:cs="Times New Roman"/>
          <w:szCs w:val="24"/>
          <w:lang w:eastAsia="lv-LV"/>
        </w:rPr>
        <w:t>,</w:t>
      </w:r>
      <w:r w:rsidR="006C1A32" w:rsidRPr="00292382">
        <w:rPr>
          <w:rFonts w:eastAsia="Times New Roman" w:cs="Times New Roman"/>
          <w:szCs w:val="24"/>
          <w:lang w:eastAsia="lv-LV"/>
        </w:rPr>
        <w:t xml:space="preserve"> un akceptējot jau paaugstināta trokšņa līmeņa teritorijās dzīvojamās </w:t>
      </w:r>
      <w:r w:rsidR="00AD0F36">
        <w:rPr>
          <w:rFonts w:eastAsia="Times New Roman" w:cs="Times New Roman"/>
          <w:szCs w:val="24"/>
          <w:lang w:eastAsia="lv-LV"/>
        </w:rPr>
        <w:t xml:space="preserve">vai publiskās </w:t>
      </w:r>
      <w:r w:rsidR="006C1A32" w:rsidRPr="00292382">
        <w:rPr>
          <w:rFonts w:eastAsia="Times New Roman" w:cs="Times New Roman"/>
          <w:szCs w:val="24"/>
          <w:lang w:eastAsia="lv-LV"/>
        </w:rPr>
        <w:t xml:space="preserve">apbūves attīstību, </w:t>
      </w:r>
      <w:r w:rsidR="00AD0F36">
        <w:rPr>
          <w:rFonts w:eastAsia="Times New Roman" w:cs="Times New Roman"/>
          <w:szCs w:val="24"/>
          <w:lang w:eastAsia="lv-LV"/>
        </w:rPr>
        <w:t xml:space="preserve">tiek radītas </w:t>
      </w:r>
      <w:r w:rsidR="006C1A32" w:rsidRPr="00292382">
        <w:rPr>
          <w:rFonts w:eastAsia="Times New Roman" w:cs="Times New Roman"/>
          <w:szCs w:val="24"/>
          <w:lang w:eastAsia="lv-LV"/>
        </w:rPr>
        <w:t xml:space="preserve">jaunas apdzīvotas zonas ar paaugstinātu vides troksni, treškārt, </w:t>
      </w:r>
      <w:proofErr w:type="spellStart"/>
      <w:r w:rsidR="006C1A32" w:rsidRPr="00292382">
        <w:rPr>
          <w:rFonts w:eastAsia="Times New Roman" w:cs="Times New Roman"/>
          <w:szCs w:val="24"/>
          <w:lang w:eastAsia="lv-LV"/>
        </w:rPr>
        <w:t>neelastība</w:t>
      </w:r>
      <w:proofErr w:type="spellEnd"/>
      <w:r w:rsidR="006C1A32" w:rsidRPr="00292382">
        <w:rPr>
          <w:rFonts w:eastAsia="Times New Roman" w:cs="Times New Roman"/>
          <w:szCs w:val="24"/>
          <w:lang w:eastAsia="lv-LV"/>
        </w:rPr>
        <w:t xml:space="preserve"> attiecībā uz paaugstinātu trokšņa robežlielumu piemērošanu atkarībā no apbūves </w:t>
      </w:r>
      <w:r w:rsidR="00AD0F36">
        <w:rPr>
          <w:rFonts w:eastAsia="Times New Roman" w:cs="Times New Roman"/>
          <w:szCs w:val="24"/>
          <w:lang w:eastAsia="lv-LV"/>
        </w:rPr>
        <w:t xml:space="preserve">veida un </w:t>
      </w:r>
      <w:r w:rsidR="006C1A32" w:rsidRPr="00292382">
        <w:rPr>
          <w:rFonts w:eastAsia="Times New Roman" w:cs="Times New Roman"/>
          <w:szCs w:val="24"/>
          <w:lang w:eastAsia="lv-LV"/>
        </w:rPr>
        <w:t>teritoriju izmantošanas funkcijām vēsturiskās apbūves (tiešā trokšņa avotu tuvumā) vietās.</w:t>
      </w:r>
      <w:r w:rsidR="007F5CB7" w:rsidRPr="00292382">
        <w:rPr>
          <w:rFonts w:eastAsia="Times New Roman" w:cs="Times New Roman"/>
          <w:szCs w:val="24"/>
          <w:lang w:eastAsia="lv-LV"/>
        </w:rPr>
        <w:t xml:space="preserve"> Veselības inspekcija saskaņā ar MK noteikumu Nr. 16 12. punktu, pamatojoties uz attiecīgu iesniegumu, kontrolē satiksmes radītā trokšņa robežlielumu ievērošanu. Bet V</w:t>
      </w:r>
      <w:r w:rsidR="00A82049" w:rsidRPr="00292382">
        <w:rPr>
          <w:rFonts w:eastAsia="Times New Roman" w:cs="Times New Roman"/>
          <w:szCs w:val="24"/>
          <w:lang w:eastAsia="lv-LV"/>
        </w:rPr>
        <w:t>M</w:t>
      </w:r>
      <w:r w:rsidR="007F5CB7" w:rsidRPr="00292382">
        <w:rPr>
          <w:rFonts w:eastAsia="Times New Roman" w:cs="Times New Roman"/>
          <w:szCs w:val="24"/>
          <w:lang w:eastAsia="lv-LV"/>
        </w:rPr>
        <w:t xml:space="preserve"> šādu iesniegumu izskatīšanu vērtē kā nelietderīgu, jo satiksmes radītā trokšņa mērījumi ir dārgi, un izmaksas satiksmes trokšņa pārsniegumu gadījumā nav iespējams piedzīt, kā arī veselības nozares rīcībā nav instrumentu šādu neatbilstību novēršanai.</w:t>
      </w:r>
    </w:p>
    <w:p w14:paraId="13A7CD7E" w14:textId="66B64A89" w:rsidR="00F02198" w:rsidRPr="00292382" w:rsidRDefault="006923A6" w:rsidP="00DB3D17">
      <w:pPr>
        <w:pStyle w:val="NormalWeb"/>
        <w:spacing w:before="150" w:beforeAutospacing="0" w:after="150" w:afterAutospacing="0"/>
        <w:ind w:firstLine="709"/>
        <w:jc w:val="both"/>
      </w:pPr>
      <w:r w:rsidRPr="00292382">
        <w:t>L</w:t>
      </w:r>
      <w:r w:rsidR="006C1A32" w:rsidRPr="00292382">
        <w:t>idostas, autoceļu un dzelzceļa infrastruktūras pārvaldītāji nevar tiešā veidā ietekmēt trokšņa radītājus – gaisa, autoceļu un dzelzceļa transportlīdzekļus. Normatīvie akti nosaka trokšņa avotu minimālos parametrus, savukārt skaļāko transportlīdzekļu ierobežošana nav infrastruktūras pārvaldītāju kompetencē</w:t>
      </w:r>
      <w:r w:rsidR="007F5CB7" w:rsidRPr="00292382">
        <w:t xml:space="preserve"> (</w:t>
      </w:r>
      <w:r w:rsidR="001A6753" w:rsidRPr="00292382">
        <w:t>skat. </w:t>
      </w:r>
      <w:r w:rsidR="007F5CB7" w:rsidRPr="00292382">
        <w:t>lidostu darbību reglamentējošie normatīvie akti</w:t>
      </w:r>
      <w:r w:rsidR="007F5CB7" w:rsidRPr="00292382">
        <w:rPr>
          <w:rStyle w:val="FootnoteReference"/>
        </w:rPr>
        <w:footnoteReference w:id="33"/>
      </w:r>
      <w:r w:rsidR="007F5CB7" w:rsidRPr="00292382">
        <w:t>)</w:t>
      </w:r>
      <w:r w:rsidR="006C1A32" w:rsidRPr="00292382">
        <w:t xml:space="preserve">. </w:t>
      </w:r>
      <w:r w:rsidR="001A6753" w:rsidRPr="00292382">
        <w:t>Piemēram, d</w:t>
      </w:r>
      <w:r w:rsidR="007F5CB7" w:rsidRPr="00292382">
        <w:t xml:space="preserve">zelzceļa satiksmes trokšņa galvenais avots ir rites troksnis jeb troksnis, kas rodas sliežu galviņas saskares punktā ar dzelzceļa </w:t>
      </w:r>
      <w:proofErr w:type="spellStart"/>
      <w:r w:rsidR="007F5CB7" w:rsidRPr="00292382">
        <w:t>ritekļa</w:t>
      </w:r>
      <w:proofErr w:type="spellEnd"/>
      <w:r w:rsidR="007F5CB7" w:rsidRPr="00292382">
        <w:t xml:space="preserve"> riteņa virsmu</w:t>
      </w:r>
      <w:r w:rsidR="001A6753" w:rsidRPr="00292382">
        <w:t>. T</w:t>
      </w:r>
      <w:r w:rsidR="007F5CB7" w:rsidRPr="00292382">
        <w:t>ādējādi dzelzceļa infrastruktūras pārvaldītājs dzelzceļa satiksmes radīto troksni var ietekmēt vien daļēji – uzturot sliežu ceļus labā tehniskā stāvoklī. P</w:t>
      </w:r>
      <w:r w:rsidR="001A6753" w:rsidRPr="00292382">
        <w:t xml:space="preserve">asīvie </w:t>
      </w:r>
      <w:r w:rsidR="007F5CB7" w:rsidRPr="00292382">
        <w:t>prettrokšņa pasākumi kā prettrokšņa ekrāni, prettrokšņa zemes vaļņi u.tml. ir dārgi, lielākajā daļā dzelzceļa posmu tos nav tehniski iespējams īstenot (jāievēro aizsargjoslu prasības, jānodrošina dzelzceļa tehniskās ekspluatācijas noteikumu</w:t>
      </w:r>
      <w:r w:rsidR="007F5CB7" w:rsidRPr="00292382">
        <w:rPr>
          <w:rStyle w:val="FootnoteReference"/>
        </w:rPr>
        <w:footnoteReference w:id="34"/>
      </w:r>
      <w:r w:rsidR="007F5CB7" w:rsidRPr="00292382">
        <w:t xml:space="preserve"> prasības, dzelzceļa nodalījuma jos</w:t>
      </w:r>
      <w:r w:rsidR="001A6753" w:rsidRPr="00292382">
        <w:t>la nav pietiekami plata utt.).</w:t>
      </w:r>
      <w:r w:rsidR="006C1A32" w:rsidRPr="00292382">
        <w:t xml:space="preserve"> </w:t>
      </w:r>
      <w:r w:rsidRPr="00292382">
        <w:t xml:space="preserve">Ņemot vērā, ka </w:t>
      </w:r>
      <w:r w:rsidR="006C1A32" w:rsidRPr="00292382">
        <w:t xml:space="preserve">transporta troksnis pēc savas būtības ir difūzs, pretstatā </w:t>
      </w:r>
      <w:proofErr w:type="spellStart"/>
      <w:r w:rsidR="006C1A32" w:rsidRPr="00292382">
        <w:t>punktveida</w:t>
      </w:r>
      <w:proofErr w:type="spellEnd"/>
      <w:r w:rsidR="006C1A32" w:rsidRPr="00292382">
        <w:t xml:space="preserve"> avotiem, kā arī Latvijā apdzīvotās vietas ir veidojušās tuvu maģistrāliem satiksmes infrastruktūras objektiem, bet lauku teritorijās ir raksturīga izklaidu apbūve, trokšņa </w:t>
      </w:r>
      <w:r w:rsidRPr="00292382">
        <w:t>sa</w:t>
      </w:r>
      <w:r w:rsidR="006C1A32" w:rsidRPr="00292382">
        <w:t>mazināšana</w:t>
      </w:r>
      <w:r w:rsidRPr="00292382">
        <w:t>s vai esošās situācijas saglabāšanas pasākumu izmaksas S</w:t>
      </w:r>
      <w:r w:rsidR="00A82049" w:rsidRPr="00292382">
        <w:t>M</w:t>
      </w:r>
      <w:r w:rsidRPr="00292382">
        <w:t xml:space="preserve"> vērtē kā </w:t>
      </w:r>
      <w:r w:rsidR="006C1A32" w:rsidRPr="00292382">
        <w:t>nesamērīgi augstas salīdzinājumā ar sabiedrības ieguvumu</w:t>
      </w:r>
      <w:r w:rsidRPr="00292382">
        <w:t xml:space="preserve">. </w:t>
      </w:r>
      <w:r w:rsidR="00F02198" w:rsidRPr="00292382">
        <w:t xml:space="preserve">Gadījumos, kad </w:t>
      </w:r>
      <w:r w:rsidR="00F02198" w:rsidRPr="00292382">
        <w:rPr>
          <w:bCs/>
        </w:rPr>
        <w:t xml:space="preserve">troksnis ietekmē atsevišķas ēkas, trokšņa samazināšanas pasākumu īstenošana ir tehniski sarežģīta vai pat neiespējama. </w:t>
      </w:r>
      <w:r w:rsidRPr="00292382">
        <w:t xml:space="preserve">Satiksmes ministrijas ieskatā </w:t>
      </w:r>
      <w:r w:rsidR="006C1A32" w:rsidRPr="00292382">
        <w:t>noteiktos</w:t>
      </w:r>
      <w:r w:rsidRPr="00292382">
        <w:t xml:space="preserve"> gadījumos, piemēram, vēsturiski attīst</w:t>
      </w:r>
      <w:r w:rsidR="009A7C19" w:rsidRPr="00292382">
        <w:t>īt</w:t>
      </w:r>
      <w:r w:rsidRPr="00292382">
        <w:t>ās apbūves teritorij</w:t>
      </w:r>
      <w:r w:rsidR="009A7C19" w:rsidRPr="00292382">
        <w:t>ā</w:t>
      </w:r>
      <w:r w:rsidRPr="00292382">
        <w:t xml:space="preserve">s tiešā satiksmes infrastruktūru tuvumā primāri jānodrošina </w:t>
      </w:r>
      <w:r w:rsidR="007F5CB7" w:rsidRPr="00292382">
        <w:t xml:space="preserve">trokšņa robežlielumi telpās. </w:t>
      </w:r>
      <w:r w:rsidR="009A7C19" w:rsidRPr="00292382">
        <w:t>Satiksmes ministrija norāda, ka š</w:t>
      </w:r>
      <w:r w:rsidR="007F5CB7" w:rsidRPr="00292382">
        <w:t>ādu pieeju īsteno E</w:t>
      </w:r>
      <w:r w:rsidR="00D01E75" w:rsidRPr="00292382">
        <w:t>S</w:t>
      </w:r>
      <w:r w:rsidR="007F5CB7" w:rsidRPr="00292382">
        <w:t xml:space="preserve"> dalībvalst</w:t>
      </w:r>
      <w:r w:rsidR="009A7C19" w:rsidRPr="00292382">
        <w:t>ī</w:t>
      </w:r>
      <w:r w:rsidR="007F5CB7" w:rsidRPr="00292382">
        <w:t>s, piemēram, lidostu tuvumā.</w:t>
      </w:r>
      <w:r w:rsidR="00F02198" w:rsidRPr="00292382">
        <w:t xml:space="preserve"> </w:t>
      </w:r>
    </w:p>
    <w:p w14:paraId="33B2A2F1" w14:textId="4A4264F8" w:rsidR="00FF0921" w:rsidRPr="00292382" w:rsidRDefault="00B87596" w:rsidP="00DB3D17">
      <w:pPr>
        <w:pStyle w:val="NormalWeb"/>
        <w:spacing w:before="150" w:beforeAutospacing="0" w:after="150" w:afterAutospacing="0"/>
        <w:ind w:firstLine="709"/>
        <w:jc w:val="both"/>
        <w:rPr>
          <w:bCs/>
        </w:rPr>
      </w:pPr>
      <w:r w:rsidRPr="00292382">
        <w:t xml:space="preserve">Latvijas Republikas Satversmes tiesa ir atzinusi, ka mūsdienās </w:t>
      </w:r>
      <w:r w:rsidRPr="00292382">
        <w:rPr>
          <w:b/>
        </w:rPr>
        <w:t>teritoriju plānošana</w:t>
      </w:r>
      <w:r w:rsidRPr="00292382">
        <w:t xml:space="preserve"> ir viens no valsts vides politikas mērķu sasniegšanas līdzekļiem un līdz ar to arī ar vidi saistīta joma</w:t>
      </w:r>
      <w:r w:rsidR="003D3962" w:rsidRPr="00292382">
        <w:t>.</w:t>
      </w:r>
      <w:r w:rsidRPr="00292382">
        <w:rPr>
          <w:rStyle w:val="FootnoteReference"/>
        </w:rPr>
        <w:footnoteReference w:id="35"/>
      </w:r>
      <w:r w:rsidR="003D3962" w:rsidRPr="00292382">
        <w:t xml:space="preserve"> </w:t>
      </w:r>
      <w:r w:rsidRPr="00292382">
        <w:t xml:space="preserve">Esošais trokšņa pārvaldības regulējums lielā mērā balstās uz atbilstīgu </w:t>
      </w:r>
      <w:r w:rsidRPr="00292382">
        <w:rPr>
          <w:b/>
        </w:rPr>
        <w:t xml:space="preserve">teritorijas </w:t>
      </w:r>
      <w:r w:rsidRPr="00292382">
        <w:rPr>
          <w:b/>
        </w:rPr>
        <w:lastRenderedPageBreak/>
        <w:t xml:space="preserve">attīstības plānošanu </w:t>
      </w:r>
      <w:r w:rsidRPr="00292382">
        <w:t xml:space="preserve">un tā īstenošanu praksē. Saskaņā ar Teritorijas attīstības plānošanas likuma 3. panta 1. punktā doto skaidrojumu ilgtspējības princips nozīmē to, ka teritorijas attīstību plāno, lai saglabātu un veidotu esošajām un nākamajām paaudzēm kvalitatīvu vidi, līdzsvarotu ekonomisko attīstību, racionālu dabas, cilvēku un materiālo resursu izmantošanu, dabas un kultūras mantojuma attīstību. Teritoriju attīstības plānošanu reglamentē virkne normatīvo aktu (piemēram, </w:t>
      </w:r>
      <w:r w:rsidR="00846183" w:rsidRPr="00292382">
        <w:rPr>
          <w:bCs/>
        </w:rPr>
        <w:t>Teritorijas attīstības plānošanas likum</w:t>
      </w:r>
      <w:r w:rsidRPr="00292382">
        <w:rPr>
          <w:bCs/>
        </w:rPr>
        <w:t>s</w:t>
      </w:r>
      <w:r w:rsidR="00846183" w:rsidRPr="00292382">
        <w:rPr>
          <w:bCs/>
        </w:rPr>
        <w:t>, Aizsargjoslu likumu u.c. uz šo likumu pamatu izdot</w:t>
      </w:r>
      <w:r w:rsidRPr="00292382">
        <w:rPr>
          <w:bCs/>
        </w:rPr>
        <w:t xml:space="preserve">ie </w:t>
      </w:r>
      <w:r w:rsidR="00846183" w:rsidRPr="00292382">
        <w:rPr>
          <w:bCs/>
        </w:rPr>
        <w:t>Ministru kabineta noteikum</w:t>
      </w:r>
      <w:r w:rsidRPr="00292382">
        <w:rPr>
          <w:bCs/>
        </w:rPr>
        <w:t xml:space="preserve">i). </w:t>
      </w:r>
      <w:r w:rsidR="00FF0921" w:rsidRPr="00292382">
        <w:t xml:space="preserve">Ministru kabineta 2015. gada 16. jūnija noteikumu Nr. 312 “Noteikumi par Latvijas būvnormatīvu LBN 016-15 “Būvakustika” (turpmāk – būvnormatīvs LBN 016-15) </w:t>
      </w:r>
      <w:r w:rsidR="00FF0921" w:rsidRPr="00292382">
        <w:rPr>
          <w:bCs/>
        </w:rPr>
        <w:t>50. punkts noteic un ņem vērā trokšņa avotu akustiskos parametrus un pieļaujamos skaņu līmeņus telpās un teritorijās</w:t>
      </w:r>
      <w:r w:rsidR="00AD0F36">
        <w:rPr>
          <w:bCs/>
        </w:rPr>
        <w:t xml:space="preserve">: </w:t>
      </w:r>
      <w:r w:rsidR="00AD0F36" w:rsidRPr="00AD0F36">
        <w:rPr>
          <w:bCs/>
          <w:i/>
        </w:rPr>
        <w:t>“50.</w:t>
      </w:r>
      <w:r w:rsidR="00AD0F36" w:rsidRPr="00AD0F36">
        <w:rPr>
          <w:i/>
          <w:shd w:val="clear" w:color="auto" w:fill="FFFFFF"/>
        </w:rPr>
        <w:t>Pašvaldības, kas teritorijas plānošanas procesā nosaka akustiskā diskomforta zonas vai ņem vērā to ietekmi, piemēro šajā būvnormatīvā un citos normatīvajos aktos noteiktās prasības apbūves aizsardzībai pret troksni.</w:t>
      </w:r>
      <w:r w:rsidR="00AD0F36">
        <w:rPr>
          <w:i/>
          <w:shd w:val="clear" w:color="auto" w:fill="FFFFFF"/>
        </w:rPr>
        <w:t>”</w:t>
      </w:r>
      <w:r w:rsidR="00FF0921" w:rsidRPr="00AD0F36">
        <w:rPr>
          <w:bCs/>
        </w:rPr>
        <w:t xml:space="preserve"> </w:t>
      </w:r>
      <w:r w:rsidR="00FF0921" w:rsidRPr="00292382">
        <w:rPr>
          <w:bCs/>
        </w:rPr>
        <w:t xml:space="preserve">Tādējādi </w:t>
      </w:r>
      <w:r w:rsidR="00AD0F36">
        <w:rPr>
          <w:bCs/>
        </w:rPr>
        <w:t>jau pašlaik ir instruments, kas dod pašvaldībai iespēju savlaicīgi ierobežot apbūvi teritorijās ar paaugstinātu trokšņa līmeni, taču teritorijas plānojumos tas tiek izmantots ļoti retos gadījumos.</w:t>
      </w:r>
    </w:p>
    <w:p w14:paraId="70286D5C" w14:textId="64505BD8" w:rsidR="00AD0F36" w:rsidRPr="00AD0F36" w:rsidRDefault="00FF0921" w:rsidP="00DB3D17">
      <w:pPr>
        <w:spacing w:before="120" w:after="120"/>
        <w:ind w:firstLine="709"/>
        <w:rPr>
          <w:rFonts w:eastAsia="Times New Roman"/>
          <w:bCs/>
          <w:szCs w:val="24"/>
          <w:u w:val="single"/>
        </w:rPr>
      </w:pPr>
      <w:r w:rsidRPr="00292382">
        <w:rPr>
          <w:rFonts w:eastAsia="Times New Roman"/>
          <w:bCs/>
          <w:szCs w:val="24"/>
        </w:rPr>
        <w:t>Saskaņā ar Valsts pārvaldes iekārtas likuma 8. panta ceturtajā daļā noteikto pašvaldība, pildot valsts pārvaldes funkcijas, kas saskaņā ar likumu nodotas tās autonomā kompetencē, atrodas Ministru kabineta pārraudzībā likumā “Par pašvaldībām” noteiktajā kārtībā un apjomā.</w:t>
      </w:r>
      <w:r w:rsidR="00AD0F36">
        <w:rPr>
          <w:rFonts w:eastAsia="Times New Roman"/>
          <w:bCs/>
          <w:szCs w:val="24"/>
        </w:rPr>
        <w:t xml:space="preserve"> Atbilstoši likuma “Par pašvaldībām” 14. panta otrās daļas 1. punktu, Teritorijas attīstības plānošanas likuma 12. panta pirmo daļu un Būvniecības likuma 7. panta pirmās daļas 1. punktu, </w:t>
      </w:r>
      <w:r w:rsidR="00AD0F36" w:rsidRPr="00AD0F36">
        <w:rPr>
          <w:rFonts w:eastAsia="Times New Roman"/>
          <w:bCs/>
          <w:szCs w:val="24"/>
          <w:u w:val="single"/>
        </w:rPr>
        <w:t>teritorijas plānojuma izstrāde ir pašvaldības ekskluzīvā kompetence.</w:t>
      </w:r>
    </w:p>
    <w:p w14:paraId="3D7F72E4" w14:textId="09621857" w:rsidR="00B87596" w:rsidRPr="00292382" w:rsidRDefault="00D0531C" w:rsidP="00DB3D17">
      <w:pPr>
        <w:spacing w:before="120" w:after="120"/>
        <w:ind w:firstLine="709"/>
        <w:rPr>
          <w:bCs/>
        </w:rPr>
      </w:pPr>
      <w:r>
        <w:rPr>
          <w:bCs/>
        </w:rPr>
        <w:t>A</w:t>
      </w:r>
      <w:r w:rsidR="00B87596" w:rsidRPr="00292382">
        <w:rPr>
          <w:bCs/>
        </w:rPr>
        <w:t xml:space="preserve">ttiecībā uz </w:t>
      </w:r>
      <w:r w:rsidR="0048383C">
        <w:rPr>
          <w:bCs/>
        </w:rPr>
        <w:t>trokšņa ietekmes ievērtēšanu teritorijas attīstības plānošanas dokumentos</w:t>
      </w:r>
      <w:r w:rsidR="00B87596" w:rsidRPr="00292382">
        <w:rPr>
          <w:bCs/>
        </w:rPr>
        <w:t xml:space="preserve"> S</w:t>
      </w:r>
      <w:r w:rsidR="00A82049" w:rsidRPr="00292382">
        <w:rPr>
          <w:bCs/>
        </w:rPr>
        <w:t>M</w:t>
      </w:r>
      <w:r w:rsidR="00B87596" w:rsidRPr="00292382">
        <w:rPr>
          <w:bCs/>
        </w:rPr>
        <w:t xml:space="preserve"> ir identificējusi šādus </w:t>
      </w:r>
      <w:proofErr w:type="spellStart"/>
      <w:r w:rsidR="00B87596" w:rsidRPr="00292382">
        <w:rPr>
          <w:bCs/>
        </w:rPr>
        <w:t>problēmjautājumus</w:t>
      </w:r>
      <w:proofErr w:type="spellEnd"/>
      <w:r w:rsidR="00B87596" w:rsidRPr="00292382">
        <w:rPr>
          <w:bCs/>
        </w:rPr>
        <w:t>:</w:t>
      </w:r>
    </w:p>
    <w:p w14:paraId="5DD215B0" w14:textId="0A2FA33C" w:rsidR="00FF0921" w:rsidRPr="00292382" w:rsidRDefault="00B87596" w:rsidP="0026560B">
      <w:pPr>
        <w:pStyle w:val="ListParagraph"/>
        <w:numPr>
          <w:ilvl w:val="0"/>
          <w:numId w:val="21"/>
        </w:numPr>
        <w:spacing w:before="120"/>
        <w:ind w:left="714" w:hanging="357"/>
        <w:contextualSpacing w:val="0"/>
        <w:rPr>
          <w:bCs/>
        </w:rPr>
      </w:pPr>
      <w:r w:rsidRPr="00292382">
        <w:rPr>
          <w:bCs/>
        </w:rPr>
        <w:t>p</w:t>
      </w:r>
      <w:r w:rsidR="00846183" w:rsidRPr="00292382">
        <w:rPr>
          <w:bCs/>
        </w:rPr>
        <w:t xml:space="preserve">ašvaldību izstrādātajos teritoriju plānojumos reti tiek ņemtas vērā Ministru kabineta </w:t>
      </w:r>
      <w:r w:rsidR="00537F27" w:rsidRPr="00292382">
        <w:rPr>
          <w:bCs/>
        </w:rPr>
        <w:t>2013. </w:t>
      </w:r>
      <w:r w:rsidR="00FF0921" w:rsidRPr="00292382">
        <w:rPr>
          <w:bCs/>
        </w:rPr>
        <w:t xml:space="preserve">gada 30. aprīļa </w:t>
      </w:r>
      <w:r w:rsidR="00846183" w:rsidRPr="00292382">
        <w:rPr>
          <w:bCs/>
        </w:rPr>
        <w:t>noteikumu Nr.</w:t>
      </w:r>
      <w:r w:rsidR="006E3646">
        <w:rPr>
          <w:bCs/>
        </w:rPr>
        <w:t> </w:t>
      </w:r>
      <w:r w:rsidR="00846183" w:rsidRPr="00292382">
        <w:rPr>
          <w:bCs/>
        </w:rPr>
        <w:t xml:space="preserve">240 “Vispārīgie teritorijas plānošanas, izmantošanas un apbūves noteikumi” </w:t>
      </w:r>
      <w:r w:rsidR="00FF0921" w:rsidRPr="00292382">
        <w:rPr>
          <w:bCs/>
        </w:rPr>
        <w:t>(turpmāk – MK noteikumi Nr.</w:t>
      </w:r>
      <w:r w:rsidR="006E3646">
        <w:rPr>
          <w:bCs/>
        </w:rPr>
        <w:t> </w:t>
      </w:r>
      <w:r w:rsidR="00FF0921" w:rsidRPr="00292382">
        <w:rPr>
          <w:bCs/>
        </w:rPr>
        <w:t xml:space="preserve">240) </w:t>
      </w:r>
      <w:r w:rsidR="00846183" w:rsidRPr="00292382">
        <w:rPr>
          <w:bCs/>
        </w:rPr>
        <w:t>147.</w:t>
      </w:r>
      <w:r w:rsidR="006E3646">
        <w:rPr>
          <w:bCs/>
        </w:rPr>
        <w:t> </w:t>
      </w:r>
      <w:r w:rsidR="00846183" w:rsidRPr="00292382">
        <w:rPr>
          <w:bCs/>
        </w:rPr>
        <w:t>punkta prasības par to, ka jaunas dzīvojamās un publiskās apbūves teritorijas drīkst plānot tikai vietās, kur netiek pārsniegti piesārņojuma (trokšņa) robežlielumi;</w:t>
      </w:r>
    </w:p>
    <w:p w14:paraId="3B02A3D6" w14:textId="6095F456" w:rsidR="00846183" w:rsidRPr="00292382" w:rsidRDefault="00FF0921" w:rsidP="0026560B">
      <w:pPr>
        <w:pStyle w:val="ListParagraph"/>
        <w:numPr>
          <w:ilvl w:val="0"/>
          <w:numId w:val="21"/>
        </w:numPr>
        <w:spacing w:before="120"/>
        <w:ind w:left="714" w:hanging="357"/>
        <w:contextualSpacing w:val="0"/>
        <w:rPr>
          <w:bCs/>
        </w:rPr>
      </w:pPr>
      <w:r w:rsidRPr="00292382">
        <w:rPr>
          <w:bCs/>
        </w:rPr>
        <w:t>p</w:t>
      </w:r>
      <w:r w:rsidR="00846183" w:rsidRPr="00292382">
        <w:rPr>
          <w:bCs/>
        </w:rPr>
        <w:t xml:space="preserve">ašvaldību teritoriju plānojumos netiek attēlotas akustiskā diskomforta zonas atbilstoši </w:t>
      </w:r>
      <w:r w:rsidR="00F02198" w:rsidRPr="00292382">
        <w:rPr>
          <w:rFonts w:eastAsia="Times New Roman" w:cs="Times New Roman"/>
          <w:szCs w:val="24"/>
          <w:lang w:eastAsia="lv-LV"/>
        </w:rPr>
        <w:t>būvnormatīva LBN 016-15</w:t>
      </w:r>
      <w:r w:rsidR="00846183" w:rsidRPr="00292382">
        <w:rPr>
          <w:bCs/>
        </w:rPr>
        <w:t xml:space="preserve"> prasībām, </w:t>
      </w:r>
      <w:r w:rsidR="0026560B">
        <w:rPr>
          <w:bCs/>
        </w:rPr>
        <w:t>lai gan MK noteikumi Nr. 240 dod iespēju attēlot šādas teritorijas kā teritorijas ar īpašiem noteikumiem (TIN1), atbilstoši MK noteikumu Nr. 240 1. </w:t>
      </w:r>
      <w:r w:rsidR="006E3646">
        <w:rPr>
          <w:bCs/>
        </w:rPr>
        <w:t>p</w:t>
      </w:r>
      <w:r w:rsidR="0026560B">
        <w:rPr>
          <w:bCs/>
        </w:rPr>
        <w:t>ielikumam. Tādējādi nereti sabiedrība un potenciālie teritorijas attīstītāji savlaicīgi nav informēti par iespējamo trokšņa negatīvo ietekmi;</w:t>
      </w:r>
    </w:p>
    <w:p w14:paraId="6F540C8D" w14:textId="54CAC59F" w:rsidR="00846183" w:rsidRPr="0026560B" w:rsidRDefault="0026560B" w:rsidP="0026560B">
      <w:pPr>
        <w:pStyle w:val="NormalWeb"/>
        <w:numPr>
          <w:ilvl w:val="0"/>
          <w:numId w:val="21"/>
        </w:numPr>
        <w:spacing w:before="120" w:beforeAutospacing="0" w:after="0" w:afterAutospacing="0"/>
        <w:ind w:left="714" w:hanging="357"/>
        <w:jc w:val="both"/>
        <w:rPr>
          <w:bCs/>
        </w:rPr>
      </w:pPr>
      <w:r w:rsidRPr="0026560B">
        <w:rPr>
          <w:bCs/>
        </w:rPr>
        <w:t xml:space="preserve">teritorijas plānojumos un </w:t>
      </w:r>
      <w:proofErr w:type="spellStart"/>
      <w:r w:rsidRPr="0026560B">
        <w:rPr>
          <w:bCs/>
        </w:rPr>
        <w:t>lokālplānojumos</w:t>
      </w:r>
      <w:proofErr w:type="spellEnd"/>
      <w:r w:rsidRPr="0026560B">
        <w:rPr>
          <w:bCs/>
        </w:rPr>
        <w:t xml:space="preserve"> pilsētu un ciemu teritorijās nosakot ielu sarkanās līnijas un </w:t>
      </w:r>
      <w:proofErr w:type="spellStart"/>
      <w:r w:rsidRPr="0026560B">
        <w:rPr>
          <w:bCs/>
        </w:rPr>
        <w:t>būvlaides</w:t>
      </w:r>
      <w:proofErr w:type="spellEnd"/>
      <w:r w:rsidRPr="0026560B">
        <w:rPr>
          <w:bCs/>
        </w:rPr>
        <w:t xml:space="preserve"> (pieļaujamo tuvāko būvju izvietojumu līdz autoceļam) gar valsts autoceļiem, netiek ņemta vērā trokšņa negatīvā ietekme, vai noteiktas konkrētas prasības aizsardzībai pret troksni</w:t>
      </w:r>
      <w:r w:rsidR="00846183" w:rsidRPr="0026560B">
        <w:rPr>
          <w:bCs/>
        </w:rPr>
        <w:t>;</w:t>
      </w:r>
    </w:p>
    <w:p w14:paraId="067265D4" w14:textId="77EC0592" w:rsidR="00846183" w:rsidRPr="00292382" w:rsidRDefault="00FF0921" w:rsidP="0026560B">
      <w:pPr>
        <w:pStyle w:val="NormalWeb"/>
        <w:numPr>
          <w:ilvl w:val="0"/>
          <w:numId w:val="21"/>
        </w:numPr>
        <w:spacing w:before="120" w:beforeAutospacing="0" w:after="0" w:afterAutospacing="0"/>
        <w:ind w:left="714" w:hanging="357"/>
        <w:jc w:val="both"/>
        <w:rPr>
          <w:bCs/>
        </w:rPr>
      </w:pPr>
      <w:r w:rsidRPr="00292382">
        <w:rPr>
          <w:bCs/>
        </w:rPr>
        <w:t>l</w:t>
      </w:r>
      <w:r w:rsidR="00846183" w:rsidRPr="00292382">
        <w:rPr>
          <w:bCs/>
        </w:rPr>
        <w:t>ai arī atbilstoši trokšņa kartēm</w:t>
      </w:r>
      <w:r w:rsidR="0026560B">
        <w:rPr>
          <w:bCs/>
        </w:rPr>
        <w:t xml:space="preserve"> atsevišķas teritorijas </w:t>
      </w:r>
      <w:r w:rsidR="00846183" w:rsidRPr="00292382">
        <w:rPr>
          <w:bCs/>
        </w:rPr>
        <w:t>valsts autoceļ</w:t>
      </w:r>
      <w:r w:rsidR="0026560B">
        <w:rPr>
          <w:bCs/>
        </w:rPr>
        <w:t>u, dzelzceļa un lidostas</w:t>
      </w:r>
      <w:r w:rsidR="00846183" w:rsidRPr="00292382">
        <w:rPr>
          <w:bCs/>
        </w:rPr>
        <w:t xml:space="preserve"> tuvumā atrodas trokšņa robežlielumu pārsniegumu zonā, izstrādājamajos teritorijas plānojumos, neraugoties uz to, ka teritorija vēl nav apbūvēta, tiek saglabāts spēkā esošajā teritorijas plānojumā noteiktais funkcionālais zonējums balstoties uz “pēctecības” principu</w:t>
      </w:r>
      <w:r w:rsidR="0026560B">
        <w:rPr>
          <w:bCs/>
        </w:rPr>
        <w:t>, taču nenorādot, ka šajās teritorijās būs nepieciešami īpaši pasākumi aizsardzībai pret troksni</w:t>
      </w:r>
      <w:r w:rsidR="00846183" w:rsidRPr="00292382">
        <w:rPr>
          <w:bCs/>
        </w:rPr>
        <w:t>;</w:t>
      </w:r>
    </w:p>
    <w:p w14:paraId="6DB91901" w14:textId="7C6F9B47" w:rsidR="00846183" w:rsidRPr="00292382" w:rsidRDefault="00FF0921" w:rsidP="0026560B">
      <w:pPr>
        <w:pStyle w:val="NormalWeb"/>
        <w:numPr>
          <w:ilvl w:val="0"/>
          <w:numId w:val="21"/>
        </w:numPr>
        <w:spacing w:before="120" w:beforeAutospacing="0" w:after="0" w:afterAutospacing="0"/>
        <w:ind w:left="714" w:hanging="357"/>
        <w:jc w:val="both"/>
        <w:rPr>
          <w:bCs/>
        </w:rPr>
      </w:pPr>
      <w:r w:rsidRPr="00292382">
        <w:rPr>
          <w:bCs/>
        </w:rPr>
        <w:t>g</w:t>
      </w:r>
      <w:r w:rsidR="00846183" w:rsidRPr="00292382">
        <w:rPr>
          <w:bCs/>
        </w:rPr>
        <w:t xml:space="preserve">adījumos, ja paredzētās ēkas atrodas trokšņa robežlielumu pārsniegumu zonās, pašvaldību izsniegtajās būvatļaujās ēku projektēšanai ļoti reti tiek </w:t>
      </w:r>
      <w:r w:rsidRPr="00292382">
        <w:rPr>
          <w:bCs/>
        </w:rPr>
        <w:t xml:space="preserve">izvirzītas </w:t>
      </w:r>
      <w:r w:rsidR="00F02198" w:rsidRPr="00292382">
        <w:t>būvnormatīva LBN 016-15</w:t>
      </w:r>
      <w:r w:rsidR="00F02198" w:rsidRPr="00292382">
        <w:rPr>
          <w:bCs/>
        </w:rPr>
        <w:t xml:space="preserve"> </w:t>
      </w:r>
      <w:r w:rsidR="00846183" w:rsidRPr="00292382">
        <w:rPr>
          <w:bCs/>
        </w:rPr>
        <w:t>prasī</w:t>
      </w:r>
      <w:r w:rsidRPr="00292382">
        <w:rPr>
          <w:bCs/>
        </w:rPr>
        <w:t>bas.</w:t>
      </w:r>
      <w:r w:rsidR="00846183" w:rsidRPr="00292382">
        <w:rPr>
          <w:bCs/>
        </w:rPr>
        <w:t xml:space="preserve"> </w:t>
      </w:r>
    </w:p>
    <w:p w14:paraId="59D9E63D" w14:textId="5C86323B" w:rsidR="007110D1" w:rsidRPr="00292382" w:rsidRDefault="00FF32C1" w:rsidP="00DB3D17">
      <w:pPr>
        <w:pStyle w:val="NormalWeb"/>
        <w:spacing w:before="150" w:beforeAutospacing="0" w:after="150" w:afterAutospacing="0"/>
        <w:ind w:firstLine="709"/>
        <w:jc w:val="both"/>
      </w:pPr>
      <w:r w:rsidRPr="00292382">
        <w:rPr>
          <w:bCs/>
        </w:rPr>
        <w:t xml:space="preserve">Tomēr jāapzinās, ka problēmas </w:t>
      </w:r>
      <w:r w:rsidRPr="00292382">
        <w:rPr>
          <w:b/>
          <w:bCs/>
        </w:rPr>
        <w:t>vēsturiskajā apbūvē un teritorijas plānojumos</w:t>
      </w:r>
      <w:r w:rsidRPr="00292382">
        <w:rPr>
          <w:bCs/>
        </w:rPr>
        <w:t xml:space="preserve">, kas pieļāvuši apbūvi pārāk tuvu trokšņa avotiem, nerisinās pašas par sevi. </w:t>
      </w:r>
      <w:r w:rsidR="003950FE" w:rsidRPr="00292382">
        <w:rPr>
          <w:bCs/>
        </w:rPr>
        <w:t>Piemēram, 1966. gada 30. jūlijā Biķerniekos atklāja jaunās sporta bāzes pirmo kārtu (sk.</w:t>
      </w:r>
      <w:r w:rsidR="003950FE" w:rsidRPr="00292382">
        <w:t xml:space="preserve"> </w:t>
      </w:r>
      <w:r w:rsidR="003950FE" w:rsidRPr="00292382">
        <w:rPr>
          <w:rStyle w:val="Hyperlink"/>
          <w:color w:val="auto"/>
        </w:rPr>
        <w:lastRenderedPageBreak/>
        <w:t>http://www.bksb.lv/index.php/features/par-trasi/trases-vesture</w:t>
      </w:r>
      <w:r w:rsidR="003950FE" w:rsidRPr="00292382">
        <w:rPr>
          <w:bCs/>
        </w:rPr>
        <w:t xml:space="preserve">), savukārt Kandavas kartinga trases celtniecība pabeigta 1972. gadā (sk. </w:t>
      </w:r>
      <w:hyperlink w:history="1">
        <w:r w:rsidR="003950FE" w:rsidRPr="00292382">
          <w:rPr>
            <w:rStyle w:val="Hyperlink"/>
            <w:bCs/>
            <w:color w:val="auto"/>
          </w:rPr>
          <w:t>http://visitkandava.lv /</w:t>
        </w:r>
        <w:proofErr w:type="spellStart"/>
        <w:r w:rsidR="003950FE" w:rsidRPr="00292382">
          <w:rPr>
            <w:rStyle w:val="Hyperlink"/>
            <w:bCs/>
            <w:color w:val="auto"/>
          </w:rPr>
          <w:t>aktiva_atputa</w:t>
        </w:r>
        <w:proofErr w:type="spellEnd"/>
        <w:r w:rsidR="003950FE" w:rsidRPr="00292382">
          <w:rPr>
            <w:rStyle w:val="Hyperlink"/>
            <w:bCs/>
            <w:color w:val="auto"/>
          </w:rPr>
          <w:t>/</w:t>
        </w:r>
        <w:proofErr w:type="spellStart"/>
        <w:r w:rsidR="003950FE" w:rsidRPr="00292382">
          <w:rPr>
            <w:rStyle w:val="Hyperlink"/>
            <w:bCs/>
            <w:color w:val="auto"/>
          </w:rPr>
          <w:t>kandavas_kartodroms</w:t>
        </w:r>
        <w:proofErr w:type="spellEnd"/>
      </w:hyperlink>
      <w:r w:rsidR="003950FE" w:rsidRPr="00292382">
        <w:rPr>
          <w:bCs/>
        </w:rPr>
        <w:t>). Diemžēl šādas situācijas joprojām tiek pieļautas un šobrīd nav rasts risinājums.</w:t>
      </w:r>
      <w:r w:rsidR="008A045A" w:rsidRPr="00292382">
        <w:rPr>
          <w:bCs/>
        </w:rPr>
        <w:t xml:space="preserve"> </w:t>
      </w:r>
      <w:r w:rsidR="007110D1" w:rsidRPr="00292382">
        <w:rPr>
          <w:bCs/>
        </w:rPr>
        <w:t xml:space="preserve">Teritorijās, kur vides trokšņa līmenis pārsniedz pieļaujamos robežlielumus ir pieļaujama tikai mājokļu būvniecība ar īpašu skaņas izolāciju saskaņā ar </w:t>
      </w:r>
      <w:r w:rsidR="007110D1" w:rsidRPr="00292382">
        <w:t xml:space="preserve">būvnormatīva LBN 016-15 prasībām. </w:t>
      </w:r>
      <w:r w:rsidR="008A045A" w:rsidRPr="00292382">
        <w:rPr>
          <w:bCs/>
        </w:rPr>
        <w:t>Piemēram, Stopiņu novad</w:t>
      </w:r>
      <w:r w:rsidR="00A1335C" w:rsidRPr="00292382">
        <w:rPr>
          <w:bCs/>
        </w:rPr>
        <w:t xml:space="preserve">ā pie valsts reģionālā autoceļa P4 Rīga-Ērgļi sākumposma teritorijas plānojums paredz daudzstāvu dzīvojamās apbūves teritoriju vides trokšņa robežlielumu pārsniegumu zonā. </w:t>
      </w:r>
      <w:r w:rsidR="00D45CE6" w:rsidRPr="00292382">
        <w:rPr>
          <w:bCs/>
        </w:rPr>
        <w:t>Nekustamā ī</w:t>
      </w:r>
      <w:r w:rsidR="007110D1" w:rsidRPr="00292382">
        <w:rPr>
          <w:bCs/>
        </w:rPr>
        <w:t>pašuma “</w:t>
      </w:r>
      <w:proofErr w:type="spellStart"/>
      <w:r w:rsidR="007110D1" w:rsidRPr="00292382">
        <w:rPr>
          <w:bCs/>
        </w:rPr>
        <w:t>Januki</w:t>
      </w:r>
      <w:proofErr w:type="spellEnd"/>
      <w:r w:rsidR="007110D1" w:rsidRPr="00292382">
        <w:rPr>
          <w:bCs/>
        </w:rPr>
        <w:t xml:space="preserve">”, </w:t>
      </w:r>
      <w:proofErr w:type="spellStart"/>
      <w:r w:rsidR="007110D1" w:rsidRPr="00292382">
        <w:rPr>
          <w:bCs/>
        </w:rPr>
        <w:t>Dreiliņ</w:t>
      </w:r>
      <w:r w:rsidR="006E3646">
        <w:rPr>
          <w:bCs/>
        </w:rPr>
        <w:t>i</w:t>
      </w:r>
      <w:proofErr w:type="spellEnd"/>
      <w:r w:rsidR="006E3646">
        <w:rPr>
          <w:bCs/>
        </w:rPr>
        <w:t>, Stopiņu novadā</w:t>
      </w:r>
      <w:r w:rsidR="007110D1" w:rsidRPr="00292382">
        <w:rPr>
          <w:bCs/>
        </w:rPr>
        <w:t xml:space="preserve"> teritorijas izmantošanas un apbūves nosacījumi paredz trokšņu ietekmes samazināšanas pasākumus: veidot iespējami platāku </w:t>
      </w:r>
      <w:proofErr w:type="spellStart"/>
      <w:r w:rsidR="007110D1" w:rsidRPr="00292382">
        <w:rPr>
          <w:bCs/>
        </w:rPr>
        <w:t>priekšpagalmu</w:t>
      </w:r>
      <w:proofErr w:type="spellEnd"/>
      <w:r w:rsidR="007110D1" w:rsidRPr="00292382">
        <w:rPr>
          <w:bCs/>
        </w:rPr>
        <w:t xml:space="preserve">, fasādēs iebūvēt pakešu logus ar paaugstinātu skaņas izolāciju, ēku būvkonstrukcijās pielietot skaņu absorbējošus būvmateriālus un iespējamā trokšņa diskomforta zonā pret esošo un plānoto valsts autoceļu P4 iesaka projektēt ēku fasādes bez logiem. </w:t>
      </w:r>
      <w:r w:rsidR="006C1A32" w:rsidRPr="00292382">
        <w:rPr>
          <w:bCs/>
        </w:rPr>
        <w:t>P</w:t>
      </w:r>
      <w:r w:rsidR="007110D1" w:rsidRPr="00292382">
        <w:rPr>
          <w:bCs/>
        </w:rPr>
        <w:t xml:space="preserve">at tad, ja </w:t>
      </w:r>
      <w:r w:rsidR="00F81947" w:rsidRPr="00292382">
        <w:rPr>
          <w:bCs/>
        </w:rPr>
        <w:t xml:space="preserve">projektējot un būvējot dzīvojamās mājas </w:t>
      </w:r>
      <w:r w:rsidR="007110D1" w:rsidRPr="00292382">
        <w:rPr>
          <w:bCs/>
        </w:rPr>
        <w:t>tiktu īstenoti trokšņa samazināšanas pasākumi atbilstoši būvnormatīvam LBN 016-15</w:t>
      </w:r>
      <w:r w:rsidR="00F81947" w:rsidRPr="00292382">
        <w:rPr>
          <w:bCs/>
        </w:rPr>
        <w:t xml:space="preserve"> un tiktu nodrošināti trokšņa robežlielumi telpās, vides trokšņa robežlielumi joprojām tiktu pārsniegti. VAS “Latvijas Valsts ceļi” 2017. gadā izstrādājot trokšņa kartes valsts autoceļiem aptuveni 300 km garumā, kuru radītais troksnis ietekmē 36 pašvaldību teritorijas, noskaidroja, ka tikai vienā pašvaldībā vides trokšņa robežlieluma pārsnieguma zonā ir uzbūvēta māja ar īpašu skaņas izolāciju.</w:t>
      </w:r>
      <w:r w:rsidR="006C1A32" w:rsidRPr="00292382">
        <w:rPr>
          <w:bCs/>
        </w:rPr>
        <w:t xml:space="preserve"> Tātad faktiski </w:t>
      </w:r>
      <w:r w:rsidR="00F02198" w:rsidRPr="00292382">
        <w:t>būvnormatīva LBN 016-15 prasības netiek piemērotas.</w:t>
      </w:r>
    </w:p>
    <w:p w14:paraId="7966E9B0" w14:textId="13159C63" w:rsidR="00F02198" w:rsidRPr="00292382" w:rsidRDefault="00F02198" w:rsidP="00DB3D17">
      <w:pPr>
        <w:pStyle w:val="ListParagraph"/>
        <w:spacing w:before="120"/>
        <w:ind w:left="0" w:firstLine="709"/>
        <w:contextualSpacing w:val="0"/>
        <w:rPr>
          <w:rFonts w:eastAsia="Times New Roman" w:cs="Times New Roman"/>
          <w:szCs w:val="24"/>
          <w:lang w:eastAsia="lv-LV"/>
        </w:rPr>
      </w:pPr>
      <w:r w:rsidRPr="00292382">
        <w:rPr>
          <w:rFonts w:eastAsia="Times New Roman" w:cs="Times New Roman"/>
          <w:szCs w:val="24"/>
          <w:lang w:eastAsia="lv-LV"/>
        </w:rPr>
        <w:t xml:space="preserve">Līdz ar to šobrīd satiksmes trokšņa pārvaldību raksturo, pirmkārt, augstas prettrokšņa infrastruktūras un pasākumu izmaksas, otrkārt, </w:t>
      </w:r>
      <w:proofErr w:type="spellStart"/>
      <w:r w:rsidRPr="00292382">
        <w:rPr>
          <w:rFonts w:eastAsia="Times New Roman" w:cs="Times New Roman"/>
          <w:szCs w:val="24"/>
          <w:lang w:eastAsia="lv-LV"/>
        </w:rPr>
        <w:t>neelastība</w:t>
      </w:r>
      <w:proofErr w:type="spellEnd"/>
      <w:r w:rsidRPr="00292382">
        <w:rPr>
          <w:rFonts w:eastAsia="Times New Roman" w:cs="Times New Roman"/>
          <w:szCs w:val="24"/>
          <w:lang w:eastAsia="lv-LV"/>
        </w:rPr>
        <w:t xml:space="preserve"> attiecībā uz paaugstinātu trokšņa robežlielumu piemērošanu teritoriju plānošanā vai atkarībā no apbūves teritoriju izmantošanas funkcijām vēsturiskās apbūves (tiešā trokšņa avotu tuvumā) vietās, treškārt, jau paaugstināta trokšņa līmeņa teritorijās akceptēta dzīvojamās apbūves attīstība un būvniecības normatīvu attiecībā uz būvakustiku nepietiekama kontrole.</w:t>
      </w:r>
    </w:p>
    <w:p w14:paraId="2D511716" w14:textId="7EE33D74" w:rsidR="004C5682" w:rsidRPr="00D24679" w:rsidRDefault="00B87596" w:rsidP="00DB3D17">
      <w:pPr>
        <w:pStyle w:val="ListParagraph"/>
        <w:spacing w:before="120"/>
        <w:ind w:left="0" w:firstLine="709"/>
        <w:contextualSpacing w:val="0"/>
        <w:rPr>
          <w:rFonts w:eastAsia="Times New Roman" w:cs="Times New Roman"/>
          <w:bCs/>
          <w:szCs w:val="24"/>
          <w:lang w:eastAsia="lv-LV"/>
        </w:rPr>
      </w:pPr>
      <w:r w:rsidRPr="00292382">
        <w:rPr>
          <w:rFonts w:eastAsia="Times New Roman"/>
          <w:szCs w:val="24"/>
          <w:lang w:eastAsia="lv-LV"/>
        </w:rPr>
        <w:t>VARAM ieskatā</w:t>
      </w:r>
      <w:r w:rsidR="006E3646">
        <w:rPr>
          <w:rFonts w:eastAsia="Times New Roman"/>
          <w:szCs w:val="24"/>
          <w:lang w:eastAsia="lv-LV"/>
        </w:rPr>
        <w:t>,</w:t>
      </w:r>
      <w:r w:rsidRPr="00292382">
        <w:rPr>
          <w:rFonts w:eastAsia="Times New Roman"/>
          <w:szCs w:val="24"/>
          <w:lang w:eastAsia="lv-LV"/>
        </w:rPr>
        <w:t xml:space="preserve"> jautājums par troksni telpās ir aktualizējams arī kontekstā ar sabiedriskās kārtības nodrošināšanu. </w:t>
      </w:r>
      <w:r w:rsidRPr="00292382">
        <w:rPr>
          <w:rFonts w:eastAsia="Times New Roman" w:cs="Times New Roman"/>
          <w:szCs w:val="24"/>
          <w:lang w:eastAsia="lv-LV"/>
        </w:rPr>
        <w:t xml:space="preserve">Normatīvajos aktos nav nostiprināts jēdziens </w:t>
      </w:r>
      <w:r w:rsidRPr="00292382">
        <w:rPr>
          <w:rFonts w:eastAsia="Times New Roman" w:cs="Times New Roman"/>
          <w:b/>
          <w:szCs w:val="24"/>
          <w:lang w:eastAsia="lv-LV"/>
        </w:rPr>
        <w:t>“sadzīves troksnis”</w:t>
      </w:r>
      <w:r w:rsidRPr="00292382">
        <w:rPr>
          <w:rFonts w:eastAsia="Times New Roman" w:cs="Times New Roman"/>
          <w:szCs w:val="24"/>
          <w:lang w:eastAsia="lv-LV"/>
        </w:rPr>
        <w:t>,</w:t>
      </w:r>
      <w:r w:rsidRPr="00292382">
        <w:rPr>
          <w:rFonts w:eastAsia="Times New Roman" w:cs="Times New Roman"/>
          <w:i/>
          <w:szCs w:val="24"/>
          <w:lang w:eastAsia="lv-LV"/>
        </w:rPr>
        <w:t xml:space="preserve"> </w:t>
      </w:r>
      <w:r w:rsidRPr="00292382">
        <w:rPr>
          <w:rFonts w:eastAsia="Times New Roman" w:cs="Times New Roman"/>
          <w:szCs w:val="24"/>
          <w:lang w:eastAsia="lv-LV"/>
        </w:rPr>
        <w:t xml:space="preserve">bet praksē tieši darbības, kuras apzīmē kā sadzīves troksnis: radītie trokšņi mājokļos (mūzikas atskaņošana, mājokļu remonts, kas nav būvniecība, mājsaimniecību iekārtu radītie trokšņi), svinības, strīdi, antisociāla uzvedība, mājdzīvnieku turēšanas rezultātā radīti trokšņi </w:t>
      </w:r>
      <w:r w:rsidRPr="00D24679">
        <w:rPr>
          <w:rFonts w:eastAsia="Times New Roman" w:cs="Times New Roman"/>
          <w:szCs w:val="24"/>
          <w:lang w:eastAsia="lv-LV"/>
        </w:rPr>
        <w:t>(suņu rejas u</w:t>
      </w:r>
      <w:r w:rsidR="008B02BD" w:rsidRPr="00D24679">
        <w:rPr>
          <w:rFonts w:eastAsia="Times New Roman" w:cs="Times New Roman"/>
          <w:szCs w:val="24"/>
          <w:lang w:eastAsia="lv-LV"/>
        </w:rPr>
        <w:t>.</w:t>
      </w:r>
      <w:r w:rsidRPr="00D24679">
        <w:rPr>
          <w:rFonts w:eastAsia="Times New Roman" w:cs="Times New Roman"/>
          <w:szCs w:val="24"/>
          <w:lang w:eastAsia="lv-LV"/>
        </w:rPr>
        <w:t xml:space="preserve">tml.) ir viens no biežākajiem iedzīvotāju sūdzību iemesliem. </w:t>
      </w:r>
      <w:r w:rsidR="00AC4827" w:rsidRPr="00D24679">
        <w:rPr>
          <w:rFonts w:eastAsia="Times New Roman" w:cs="Times New Roman"/>
          <w:szCs w:val="24"/>
          <w:lang w:eastAsia="lv-LV"/>
        </w:rPr>
        <w:t xml:space="preserve">Līdz 2020. gada </w:t>
      </w:r>
      <w:r w:rsidR="008D02E0" w:rsidRPr="00D24679">
        <w:rPr>
          <w:rFonts w:eastAsia="Times New Roman" w:cs="Times New Roman"/>
          <w:szCs w:val="24"/>
          <w:lang w:eastAsia="lv-LV"/>
        </w:rPr>
        <w:t xml:space="preserve">7. maijam </w:t>
      </w:r>
      <w:r w:rsidRPr="00D24679">
        <w:rPr>
          <w:rFonts w:eastAsia="Times New Roman" w:cs="Times New Roman"/>
          <w:bCs/>
          <w:szCs w:val="24"/>
          <w:lang w:eastAsia="lv-LV"/>
        </w:rPr>
        <w:t>spēkā esošais Latvijas Administratīvo pārkāpumu kodeksa (turpmāk – APK) 167.</w:t>
      </w:r>
      <w:r w:rsidRPr="00D24679">
        <w:rPr>
          <w:rFonts w:eastAsia="Times New Roman" w:cs="Times New Roman"/>
          <w:bCs/>
          <w:szCs w:val="24"/>
          <w:vertAlign w:val="superscript"/>
          <w:lang w:eastAsia="lv-LV"/>
        </w:rPr>
        <w:t>1</w:t>
      </w:r>
      <w:r w:rsidRPr="00D24679">
        <w:rPr>
          <w:rFonts w:eastAsia="Times New Roman" w:cs="Times New Roman"/>
          <w:bCs/>
          <w:szCs w:val="24"/>
          <w:lang w:eastAsia="lv-LV"/>
        </w:rPr>
        <w:t> pants paredz</w:t>
      </w:r>
      <w:r w:rsidR="008D02E0" w:rsidRPr="00D24679">
        <w:rPr>
          <w:rFonts w:eastAsia="Times New Roman" w:cs="Times New Roman"/>
          <w:bCs/>
          <w:szCs w:val="24"/>
          <w:lang w:eastAsia="lv-LV"/>
        </w:rPr>
        <w:t>ēja</w:t>
      </w:r>
      <w:r w:rsidRPr="00D24679">
        <w:rPr>
          <w:rFonts w:eastAsia="Times New Roman" w:cs="Times New Roman"/>
          <w:bCs/>
          <w:szCs w:val="24"/>
          <w:lang w:eastAsia="lv-LV"/>
        </w:rPr>
        <w:t xml:space="preserve"> saukt pie administratīvās atbildības personas, kas pārkāpj pieļaujamos vides trokšņa rādītājus un normatīvus atbilstoši MK noteikumu Nr. 16 piemērošanas kārtībai un novērtēšanas metodēm, bet neparedz</w:t>
      </w:r>
      <w:r w:rsidR="008D02E0" w:rsidRPr="00D24679">
        <w:rPr>
          <w:rFonts w:eastAsia="Times New Roman" w:cs="Times New Roman"/>
          <w:bCs/>
          <w:szCs w:val="24"/>
          <w:lang w:eastAsia="lv-LV"/>
        </w:rPr>
        <w:t>ēja</w:t>
      </w:r>
      <w:r w:rsidRPr="00D24679">
        <w:rPr>
          <w:rFonts w:eastAsia="Times New Roman" w:cs="Times New Roman"/>
          <w:bCs/>
          <w:szCs w:val="24"/>
          <w:lang w:eastAsia="lv-LV"/>
        </w:rPr>
        <w:t xml:space="preserve"> administratīvo atbildību par sadzīves trokšņošanu. </w:t>
      </w:r>
      <w:r w:rsidRPr="00D24679">
        <w:rPr>
          <w:color w:val="000000"/>
          <w:szCs w:val="24"/>
        </w:rPr>
        <w:t>MK noteikumos Nr. 16 noteiktie vides trokšņa robežlielumi (</w:t>
      </w:r>
      <w:proofErr w:type="spellStart"/>
      <w:r w:rsidRPr="00D24679">
        <w:rPr>
          <w:color w:val="000000"/>
          <w:szCs w:val="24"/>
        </w:rPr>
        <w:t>L</w:t>
      </w:r>
      <w:r w:rsidRPr="00D24679">
        <w:rPr>
          <w:color w:val="000000"/>
          <w:szCs w:val="24"/>
          <w:vertAlign w:val="subscript"/>
        </w:rPr>
        <w:t>diena</w:t>
      </w:r>
      <w:proofErr w:type="spellEnd"/>
      <w:r w:rsidRPr="00D24679">
        <w:rPr>
          <w:color w:val="000000"/>
          <w:szCs w:val="24"/>
        </w:rPr>
        <w:t xml:space="preserve">, </w:t>
      </w:r>
      <w:proofErr w:type="spellStart"/>
      <w:r w:rsidRPr="00D24679">
        <w:rPr>
          <w:color w:val="000000"/>
          <w:szCs w:val="24"/>
        </w:rPr>
        <w:t>L</w:t>
      </w:r>
      <w:r w:rsidRPr="00D24679">
        <w:rPr>
          <w:color w:val="000000"/>
          <w:szCs w:val="24"/>
          <w:vertAlign w:val="subscript"/>
        </w:rPr>
        <w:t>vakars</w:t>
      </w:r>
      <w:proofErr w:type="spellEnd"/>
      <w:r w:rsidRPr="00D24679">
        <w:rPr>
          <w:color w:val="000000"/>
          <w:szCs w:val="24"/>
        </w:rPr>
        <w:t xml:space="preserve">, </w:t>
      </w:r>
      <w:proofErr w:type="spellStart"/>
      <w:r w:rsidRPr="00D24679">
        <w:rPr>
          <w:color w:val="000000"/>
          <w:szCs w:val="24"/>
        </w:rPr>
        <w:t>Ln</w:t>
      </w:r>
      <w:r w:rsidRPr="00D24679">
        <w:rPr>
          <w:color w:val="000000"/>
          <w:szCs w:val="24"/>
          <w:vertAlign w:val="subscript"/>
        </w:rPr>
        <w:t>akts</w:t>
      </w:r>
      <w:proofErr w:type="spellEnd"/>
      <w:r w:rsidRPr="00D24679">
        <w:rPr>
          <w:color w:val="000000"/>
          <w:szCs w:val="24"/>
        </w:rPr>
        <w:t xml:space="preserve">) ir </w:t>
      </w:r>
      <w:proofErr w:type="spellStart"/>
      <w:r w:rsidRPr="00D24679">
        <w:rPr>
          <w:color w:val="000000"/>
          <w:szCs w:val="24"/>
        </w:rPr>
        <w:t>izsvarotie</w:t>
      </w:r>
      <w:proofErr w:type="spellEnd"/>
      <w:r w:rsidRPr="00D24679">
        <w:rPr>
          <w:color w:val="000000"/>
          <w:szCs w:val="24"/>
        </w:rPr>
        <w:t xml:space="preserve"> ilgtermiņa vidējie skaņas līmeņi, kas noteikti, ņemot vērā attiecīgās diennakts daļas skaņas līmenis gada laikā. Gadījumos par trokšņošanu, kas klasificējami kā sīkais huligānisms, var</w:t>
      </w:r>
      <w:r w:rsidR="00E61FDF" w:rsidRPr="00D24679">
        <w:rPr>
          <w:color w:val="000000"/>
          <w:szCs w:val="24"/>
        </w:rPr>
        <w:t>ēja</w:t>
      </w:r>
      <w:r w:rsidRPr="00D24679">
        <w:rPr>
          <w:color w:val="000000"/>
          <w:szCs w:val="24"/>
        </w:rPr>
        <w:t xml:space="preserve"> tikt piemērots </w:t>
      </w:r>
      <w:r w:rsidRPr="00D24679">
        <w:rPr>
          <w:rFonts w:eastAsia="Times New Roman" w:cs="Times New Roman"/>
          <w:bCs/>
          <w:szCs w:val="24"/>
          <w:lang w:eastAsia="lv-LV"/>
        </w:rPr>
        <w:t>LAPK 167. pants.</w:t>
      </w:r>
      <w:r w:rsidR="004C5682" w:rsidRPr="00D24679">
        <w:rPr>
          <w:rFonts w:eastAsia="Times New Roman" w:cs="Times New Roman"/>
          <w:bCs/>
          <w:szCs w:val="24"/>
          <w:lang w:eastAsia="lv-LV"/>
        </w:rPr>
        <w:t xml:space="preserve"> </w:t>
      </w:r>
    </w:p>
    <w:p w14:paraId="1587385F" w14:textId="578388D2" w:rsidR="00CF27E4" w:rsidRPr="000E6412" w:rsidRDefault="00CF27E4" w:rsidP="00DB3D17">
      <w:pPr>
        <w:pStyle w:val="ListParagraph"/>
        <w:spacing w:before="120"/>
        <w:ind w:left="0" w:firstLine="709"/>
        <w:contextualSpacing w:val="0"/>
        <w:rPr>
          <w:rFonts w:eastAsia="Times New Roman" w:cs="Times New Roman"/>
          <w:bCs/>
          <w:szCs w:val="24"/>
          <w:lang w:eastAsia="lv-LV"/>
        </w:rPr>
      </w:pPr>
      <w:r w:rsidRPr="00D24679">
        <w:rPr>
          <w:rFonts w:eastAsia="Times New Roman" w:cs="Times New Roman"/>
          <w:bCs/>
          <w:szCs w:val="24"/>
          <w:lang w:eastAsia="lv-LV"/>
        </w:rPr>
        <w:t xml:space="preserve">Vienlaikus vēršama uzmanība tam, ka saskaņā ar īstenojamo </w:t>
      </w:r>
      <w:r w:rsidR="00615469" w:rsidRPr="00D24679">
        <w:rPr>
          <w:rFonts w:eastAsia="Times New Roman" w:cs="Times New Roman"/>
          <w:bCs/>
          <w:szCs w:val="24"/>
          <w:lang w:eastAsia="lv-LV"/>
        </w:rPr>
        <w:t>n</w:t>
      </w:r>
      <w:r w:rsidRPr="00D24679">
        <w:rPr>
          <w:rFonts w:eastAsia="Times New Roman" w:cs="Times New Roman"/>
          <w:bCs/>
          <w:szCs w:val="24"/>
          <w:lang w:eastAsia="lv-LV"/>
        </w:rPr>
        <w:t>ozaru administratīvo</w:t>
      </w:r>
      <w:r w:rsidRPr="00811905">
        <w:rPr>
          <w:rFonts w:eastAsia="Times New Roman" w:cs="Times New Roman"/>
          <w:bCs/>
          <w:szCs w:val="24"/>
          <w:lang w:eastAsia="lv-LV"/>
        </w:rPr>
        <w:t xml:space="preserve"> pārkāpumu kodifikācijas ieviešanu</w:t>
      </w:r>
      <w:r w:rsidRPr="001D72C9">
        <w:rPr>
          <w:rFonts w:eastAsia="Times New Roman" w:cs="Times New Roman"/>
          <w:bCs/>
          <w:szCs w:val="24"/>
          <w:lang w:eastAsia="lv-LV"/>
        </w:rPr>
        <w:t xml:space="preserve">, </w:t>
      </w:r>
      <w:r w:rsidR="001D72C9" w:rsidRPr="001D72C9">
        <w:rPr>
          <w:rFonts w:cs="Times New Roman"/>
          <w:bCs/>
          <w:szCs w:val="24"/>
          <w:shd w:val="clear" w:color="auto" w:fill="FFFFFF"/>
        </w:rPr>
        <w:t>Administratīvo sodu likum</w:t>
      </w:r>
      <w:r w:rsidR="001D72C9">
        <w:rPr>
          <w:rFonts w:cs="Times New Roman"/>
          <w:bCs/>
          <w:szCs w:val="24"/>
          <w:shd w:val="clear" w:color="auto" w:fill="FFFFFF"/>
        </w:rPr>
        <w:t>a</w:t>
      </w:r>
      <w:r w:rsidR="001D72C9" w:rsidRPr="001D72C9">
        <w:rPr>
          <w:rFonts w:cs="Times New Roman"/>
          <w:bCs/>
          <w:szCs w:val="24"/>
          <w:shd w:val="clear" w:color="auto" w:fill="FFFFFF"/>
        </w:rPr>
        <w:t xml:space="preserve"> par pārkāpumiem pārvaldes, sabiedriskās kārtības un valsts valodas lietošanas jomā</w:t>
      </w:r>
      <w:r w:rsidR="001D72C9">
        <w:rPr>
          <w:rFonts w:cs="Times New Roman"/>
          <w:bCs/>
          <w:szCs w:val="24"/>
          <w:shd w:val="clear" w:color="auto" w:fill="FFFFFF"/>
        </w:rPr>
        <w:t xml:space="preserve"> </w:t>
      </w:r>
      <w:r w:rsidR="001D72C9">
        <w:rPr>
          <w:rFonts w:cs="Times New Roman"/>
          <w:szCs w:val="24"/>
        </w:rPr>
        <w:t>11</w:t>
      </w:r>
      <w:r w:rsidR="00216D66">
        <w:rPr>
          <w:rFonts w:cs="Times New Roman"/>
          <w:szCs w:val="24"/>
        </w:rPr>
        <w:t>. panta pirmā daļa pārņem LAPK 167. pantu</w:t>
      </w:r>
      <w:r w:rsidR="00615469">
        <w:rPr>
          <w:rFonts w:cs="Times New Roman"/>
          <w:szCs w:val="24"/>
        </w:rPr>
        <w:t xml:space="preserve"> (s</w:t>
      </w:r>
      <w:r w:rsidR="00615469">
        <w:rPr>
          <w:rFonts w:cs="Times New Roman"/>
          <w:bCs/>
          <w:szCs w:val="24"/>
        </w:rPr>
        <w:t>īkais huligānisms)</w:t>
      </w:r>
      <w:r w:rsidR="00615469">
        <w:rPr>
          <w:rFonts w:cs="Times New Roman"/>
          <w:szCs w:val="24"/>
        </w:rPr>
        <w:t>, precizējot sīkā huligānisma definīciju</w:t>
      </w:r>
      <w:r w:rsidR="00216D66">
        <w:rPr>
          <w:rFonts w:cs="Times New Roman"/>
          <w:szCs w:val="24"/>
        </w:rPr>
        <w:t xml:space="preserve"> un paredzot administratīvo atbildību </w:t>
      </w:r>
      <w:r w:rsidR="00615469">
        <w:rPr>
          <w:rFonts w:cs="Times New Roman"/>
          <w:szCs w:val="24"/>
          <w:u w:val="single"/>
        </w:rPr>
        <w:t xml:space="preserve">par sabiedriskās kārtības traucēšanu, pārkāpjot vispārpieņemtās uzvedības normas un traucējot personu mieru, iestāžu, komersantu vai citu institūciju darbu vai apdraudot savu vai citu personu </w:t>
      </w:r>
      <w:r w:rsidR="00216D66">
        <w:rPr>
          <w:rFonts w:cs="Times New Roman"/>
          <w:szCs w:val="24"/>
          <w:u w:val="single"/>
        </w:rPr>
        <w:t xml:space="preserve">drošību. </w:t>
      </w:r>
      <w:r w:rsidR="00216D66" w:rsidRPr="000E6412">
        <w:rPr>
          <w:rFonts w:cs="Times New Roman"/>
          <w:szCs w:val="24"/>
        </w:rPr>
        <w:t>Minētā norma attiecināma</w:t>
      </w:r>
      <w:r w:rsidR="00615469" w:rsidRPr="000E6412">
        <w:rPr>
          <w:rFonts w:cs="Times New Roman"/>
          <w:szCs w:val="24"/>
        </w:rPr>
        <w:t xml:space="preserve"> arī uz tādiem pārkāpumiem, kas saistīti ar sadzīves trokšņiem, proti, ja persona trokšņo un tādā veidā traucē citu personu mieru neatkarīgi no tā, kurā vietā (piemēram, daudzdzīvokļu mājas dzīvoklī, pie dzīvojamās mājas, pu</w:t>
      </w:r>
      <w:r w:rsidR="00216D66" w:rsidRPr="000E6412">
        <w:rPr>
          <w:rFonts w:cs="Times New Roman"/>
          <w:szCs w:val="24"/>
        </w:rPr>
        <w:t>bliskā vietā vai tamlīdzīgi</w:t>
      </w:r>
      <w:r w:rsidR="00615469" w:rsidRPr="000E6412">
        <w:rPr>
          <w:rFonts w:cs="Times New Roman"/>
          <w:szCs w:val="24"/>
        </w:rPr>
        <w:t>) tas tiek darīts, personai ir piemērojams ad</w:t>
      </w:r>
      <w:r w:rsidR="00216D66" w:rsidRPr="000E6412">
        <w:rPr>
          <w:rFonts w:cs="Times New Roman"/>
          <w:szCs w:val="24"/>
        </w:rPr>
        <w:t>ministratīvais sods par minētā likumprojekta</w:t>
      </w:r>
      <w:r w:rsidR="00615469" w:rsidRPr="000E6412">
        <w:rPr>
          <w:rFonts w:cs="Times New Roman"/>
          <w:szCs w:val="24"/>
        </w:rPr>
        <w:t xml:space="preserve"> 9. panta pirmajā daļā paredzēto administratīvo pārkāpumu</w:t>
      </w:r>
      <w:r w:rsidR="00216D66" w:rsidRPr="000E6412">
        <w:rPr>
          <w:rFonts w:cs="Times New Roman"/>
          <w:szCs w:val="24"/>
        </w:rPr>
        <w:t>.</w:t>
      </w:r>
    </w:p>
    <w:p w14:paraId="205FDD4C" w14:textId="69B75817" w:rsidR="00B87596" w:rsidRPr="00292382" w:rsidRDefault="00B87596" w:rsidP="00DB3D17">
      <w:pPr>
        <w:spacing w:before="120"/>
        <w:ind w:firstLine="709"/>
        <w:outlineLvl w:val="0"/>
        <w:rPr>
          <w:rFonts w:eastAsia="Times New Roman" w:cs="Times New Roman"/>
          <w:szCs w:val="24"/>
          <w:lang w:eastAsia="lv-LV"/>
        </w:rPr>
      </w:pPr>
      <w:r w:rsidRPr="00292382">
        <w:rPr>
          <w:rFonts w:eastAsia="Times New Roman" w:cs="Times New Roman"/>
          <w:bCs/>
          <w:szCs w:val="24"/>
          <w:lang w:eastAsia="lv-LV"/>
        </w:rPr>
        <w:lastRenderedPageBreak/>
        <w:t xml:space="preserve">Līdz </w:t>
      </w:r>
      <w:r w:rsidRPr="00292382">
        <w:rPr>
          <w:rFonts w:eastAsia="Times New Roman" w:cs="Times New Roman"/>
          <w:szCs w:val="24"/>
          <w:lang w:eastAsia="lv-LV"/>
        </w:rPr>
        <w:t>2014. gada 12. decembrim saskaņā ar likuma “Par pašvaldībām” 43. panta pirmās daļas 4. punktu pašvaldību saistošajos noteikumos tika paredzēts regulējums par</w:t>
      </w:r>
      <w:r w:rsidRPr="00292382">
        <w:t xml:space="preserve"> </w:t>
      </w:r>
      <w:r w:rsidRPr="00292382">
        <w:rPr>
          <w:rFonts w:eastAsia="Times New Roman" w:cs="Times New Roman"/>
          <w:szCs w:val="24"/>
          <w:lang w:eastAsia="lv-LV"/>
        </w:rPr>
        <w:t xml:space="preserve">tādu darbību, kas rada troksni un traucē sabiedrisko kārtību. Latvijas Republikas Satversmes tiesa 2014. gada 12. decembra sprieduma lietā Nr. 2013-21-03 “Par Rīgas domes 2007. gada 19. jūnija saistošo noteikumu Nr. 80 “Sabiedriskās kārtības noteikumi Rīgā” 4.1. un 15. punkta atbilstību Latvijas Republikas Satversmes 105. panta pirmajam un trešajam teikumam” (pieejams Latvijas Republikas Satversmes tiesas tīmekļvietnē </w:t>
      </w:r>
      <w:hyperlink r:id="rId10" w:history="1">
        <w:r w:rsidRPr="00292382">
          <w:rPr>
            <w:rStyle w:val="Hyperlink"/>
            <w:rFonts w:eastAsia="Times New Roman" w:cs="Times New Roman"/>
            <w:lang w:eastAsia="lv-LV"/>
          </w:rPr>
          <w:t>www.satv.tiesa.gov.lv/wp-content/uploads/2016/02/2013-21-03_Spriedums.pdf</w:t>
        </w:r>
      </w:hyperlink>
      <w:r w:rsidRPr="00292382">
        <w:rPr>
          <w:rFonts w:eastAsia="Times New Roman" w:cs="Times New Roman"/>
          <w:szCs w:val="24"/>
          <w:lang w:eastAsia="lv-LV"/>
        </w:rPr>
        <w:t xml:space="preserve">) konstatēja, ka “apstrīdētās normas ir izdotas, pārkāpjot likuma “Par pašvaldībām” 43. pantā noteikto pilnvarojumu, un Rīgas dome ir rīkojusies </w:t>
      </w:r>
      <w:proofErr w:type="spellStart"/>
      <w:r w:rsidRPr="00811905">
        <w:rPr>
          <w:rFonts w:eastAsia="Times New Roman" w:cs="Times New Roman"/>
          <w:i/>
          <w:szCs w:val="24"/>
          <w:lang w:eastAsia="lv-LV"/>
        </w:rPr>
        <w:t>ultra</w:t>
      </w:r>
      <w:proofErr w:type="spellEnd"/>
      <w:r w:rsidRPr="00811905">
        <w:rPr>
          <w:rFonts w:eastAsia="Times New Roman" w:cs="Times New Roman"/>
          <w:i/>
          <w:szCs w:val="24"/>
          <w:lang w:eastAsia="lv-LV"/>
        </w:rPr>
        <w:t xml:space="preserve"> </w:t>
      </w:r>
      <w:proofErr w:type="spellStart"/>
      <w:r w:rsidRPr="00811905">
        <w:rPr>
          <w:rFonts w:eastAsia="Times New Roman" w:cs="Times New Roman"/>
          <w:i/>
          <w:szCs w:val="24"/>
          <w:lang w:eastAsia="lv-LV"/>
        </w:rPr>
        <w:t>vires</w:t>
      </w:r>
      <w:proofErr w:type="spellEnd"/>
      <w:r w:rsidR="00AF4E68" w:rsidRPr="00811905">
        <w:rPr>
          <w:rFonts w:eastAsia="Times New Roman" w:cs="Times New Roman"/>
          <w:szCs w:val="24"/>
          <w:lang w:eastAsia="lv-LV"/>
        </w:rPr>
        <w:t xml:space="preserve"> </w:t>
      </w:r>
      <w:r w:rsidR="00AF4E68">
        <w:rPr>
          <w:rFonts w:eastAsia="Times New Roman" w:cs="Times New Roman"/>
          <w:szCs w:val="24"/>
          <w:lang w:eastAsia="lv-LV"/>
        </w:rPr>
        <w:t xml:space="preserve">jeb bez pilnvarojuma </w:t>
      </w:r>
      <w:r w:rsidR="00AF4E68" w:rsidRPr="00811905">
        <w:rPr>
          <w:rFonts w:eastAsia="Times New Roman" w:cs="Times New Roman"/>
          <w:szCs w:val="24"/>
          <w:lang w:eastAsia="lv-LV"/>
        </w:rPr>
        <w:t>izd</w:t>
      </w:r>
      <w:r w:rsidR="00811905">
        <w:rPr>
          <w:rFonts w:eastAsia="Times New Roman" w:cs="Times New Roman"/>
          <w:szCs w:val="24"/>
          <w:lang w:eastAsia="lv-LV"/>
        </w:rPr>
        <w:t>evusi</w:t>
      </w:r>
      <w:r w:rsidR="00AF4E68" w:rsidRPr="00811905">
        <w:rPr>
          <w:rFonts w:eastAsia="Times New Roman" w:cs="Times New Roman"/>
          <w:szCs w:val="24"/>
          <w:lang w:eastAsia="lv-LV"/>
        </w:rPr>
        <w:t xml:space="preserve"> ārēju, konkrētajā pašvaldībā dzīvojošajiem </w:t>
      </w:r>
      <w:proofErr w:type="spellStart"/>
      <w:r w:rsidR="00AF4E68" w:rsidRPr="00811905">
        <w:rPr>
          <w:rFonts w:eastAsia="Times New Roman" w:cs="Times New Roman"/>
          <w:szCs w:val="24"/>
          <w:lang w:eastAsia="lv-LV"/>
        </w:rPr>
        <w:t>vispārsaistošu</w:t>
      </w:r>
      <w:proofErr w:type="spellEnd"/>
      <w:r w:rsidR="00AF4E68" w:rsidRPr="00811905">
        <w:rPr>
          <w:rFonts w:eastAsia="Times New Roman" w:cs="Times New Roman"/>
          <w:szCs w:val="24"/>
          <w:lang w:eastAsia="lv-LV"/>
        </w:rPr>
        <w:t xml:space="preserve"> normu</w:t>
      </w:r>
      <w:r w:rsidRPr="00292382">
        <w:rPr>
          <w:rFonts w:eastAsia="Times New Roman" w:cs="Times New Roman"/>
          <w:szCs w:val="24"/>
          <w:lang w:eastAsia="lv-LV"/>
        </w:rPr>
        <w:t xml:space="preserve">. Tādējādi apstrīdētajās normās ietvertais </w:t>
      </w:r>
      <w:proofErr w:type="spellStart"/>
      <w:r w:rsidRPr="00292382">
        <w:rPr>
          <w:rFonts w:eastAsia="Times New Roman" w:cs="Times New Roman"/>
          <w:szCs w:val="24"/>
          <w:lang w:eastAsia="lv-LV"/>
        </w:rPr>
        <w:t>pamattiesību</w:t>
      </w:r>
      <w:proofErr w:type="spellEnd"/>
      <w:r w:rsidRPr="00292382">
        <w:rPr>
          <w:rFonts w:eastAsia="Times New Roman" w:cs="Times New Roman"/>
          <w:szCs w:val="24"/>
          <w:lang w:eastAsia="lv-LV"/>
        </w:rPr>
        <w:t xml:space="preserve"> ierobežojums nav noteikts ar likumu (</w:t>
      </w:r>
      <w:r w:rsidR="00AF4E68">
        <w:rPr>
          <w:rFonts w:eastAsia="Times New Roman" w:cs="Times New Roman"/>
          <w:szCs w:val="24"/>
          <w:lang w:eastAsia="lv-LV"/>
        </w:rPr>
        <w:t xml:space="preserve">minētā sprieduma </w:t>
      </w:r>
      <w:r w:rsidRPr="00292382">
        <w:rPr>
          <w:rFonts w:eastAsia="Times New Roman" w:cs="Times New Roman"/>
          <w:szCs w:val="24"/>
          <w:lang w:eastAsia="lv-LV"/>
        </w:rPr>
        <w:t>19. </w:t>
      </w:r>
      <w:proofErr w:type="spellStart"/>
      <w:r w:rsidRPr="00292382">
        <w:rPr>
          <w:rFonts w:eastAsia="Times New Roman" w:cs="Times New Roman"/>
          <w:szCs w:val="24"/>
          <w:lang w:eastAsia="lv-LV"/>
        </w:rPr>
        <w:t>lp</w:t>
      </w:r>
      <w:proofErr w:type="spellEnd"/>
      <w:r w:rsidRPr="00292382">
        <w:rPr>
          <w:rFonts w:eastAsia="Times New Roman" w:cs="Times New Roman"/>
          <w:szCs w:val="24"/>
          <w:lang w:eastAsia="lv-LV"/>
        </w:rPr>
        <w:t>., 12.6. apakšpunkta 3. rindkopa)</w:t>
      </w:r>
      <w:r w:rsidRPr="00292382">
        <w:rPr>
          <w:rFonts w:eastAsia="Times New Roman" w:cs="Times New Roman"/>
          <w:i/>
          <w:szCs w:val="24"/>
          <w:lang w:eastAsia="lv-LV"/>
        </w:rPr>
        <w:t xml:space="preserve">. </w:t>
      </w:r>
      <w:r w:rsidRPr="00292382">
        <w:rPr>
          <w:rFonts w:eastAsia="Times New Roman" w:cs="Times New Roman"/>
          <w:szCs w:val="24"/>
          <w:lang w:eastAsia="lv-LV"/>
        </w:rPr>
        <w:t xml:space="preserve">Līdz ar to apstrīdētās normas neatbilst Latvijas Republikas Satversmes 105. panta pirmajam un trešajam teikumam. Šobrīd praksē pašvaldības par sadzīves trokšņošanu, kas nav </w:t>
      </w:r>
      <w:r w:rsidR="00811905" w:rsidRPr="00292382">
        <w:rPr>
          <w:rFonts w:eastAsia="Times New Roman" w:cs="Times New Roman"/>
          <w:szCs w:val="24"/>
          <w:lang w:eastAsia="lv-LV"/>
        </w:rPr>
        <w:t>saistīt</w:t>
      </w:r>
      <w:r w:rsidR="00811905">
        <w:rPr>
          <w:rFonts w:eastAsia="Times New Roman" w:cs="Times New Roman"/>
          <w:szCs w:val="24"/>
          <w:lang w:eastAsia="lv-LV"/>
        </w:rPr>
        <w:t>a</w:t>
      </w:r>
      <w:r w:rsidR="00811905" w:rsidRPr="00292382">
        <w:rPr>
          <w:rFonts w:eastAsia="Times New Roman" w:cs="Times New Roman"/>
          <w:szCs w:val="24"/>
          <w:lang w:eastAsia="lv-LV"/>
        </w:rPr>
        <w:t xml:space="preserve"> </w:t>
      </w:r>
      <w:r w:rsidRPr="00292382">
        <w:rPr>
          <w:rFonts w:eastAsia="Times New Roman" w:cs="Times New Roman"/>
          <w:szCs w:val="24"/>
          <w:lang w:eastAsia="lv-LV"/>
        </w:rPr>
        <w:t>ar sīko huligānismu, nevar piemērot ne LAPK 167., ne LAPK 167.</w:t>
      </w:r>
      <w:r w:rsidRPr="00292382">
        <w:rPr>
          <w:rFonts w:eastAsia="Times New Roman" w:cs="Times New Roman"/>
          <w:szCs w:val="24"/>
          <w:vertAlign w:val="superscript"/>
          <w:lang w:eastAsia="lv-LV"/>
        </w:rPr>
        <w:t>1</w:t>
      </w:r>
      <w:r w:rsidRPr="00292382">
        <w:rPr>
          <w:rFonts w:eastAsia="Times New Roman" w:cs="Times New Roman"/>
          <w:szCs w:val="24"/>
          <w:lang w:eastAsia="lv-LV"/>
        </w:rPr>
        <w:t> pantos paredzētos administratīvos sodus.</w:t>
      </w:r>
    </w:p>
    <w:p w14:paraId="18B96EEC" w14:textId="5B30F834" w:rsidR="00B87596" w:rsidRPr="00292382" w:rsidRDefault="00B87596" w:rsidP="00DB3D17">
      <w:pPr>
        <w:spacing w:before="120"/>
        <w:ind w:firstLine="709"/>
      </w:pPr>
      <w:r w:rsidRPr="00292382">
        <w:rPr>
          <w:rFonts w:eastAsia="Times New Roman" w:cs="Times New Roman"/>
          <w:szCs w:val="24"/>
          <w:lang w:eastAsia="lv-LV"/>
        </w:rPr>
        <w:t xml:space="preserve">VARAM </w:t>
      </w:r>
      <w:r w:rsidR="00537F27" w:rsidRPr="00292382">
        <w:rPr>
          <w:rFonts w:eastAsia="Times New Roman" w:cs="Times New Roman"/>
          <w:szCs w:val="24"/>
          <w:lang w:eastAsia="lv-LV"/>
        </w:rPr>
        <w:t xml:space="preserve">2018. gada 4. aprīlī </w:t>
      </w:r>
      <w:r w:rsidRPr="00292382">
        <w:rPr>
          <w:rFonts w:eastAsia="Times New Roman" w:cs="Times New Roman"/>
          <w:szCs w:val="24"/>
          <w:lang w:eastAsia="lv-LV"/>
        </w:rPr>
        <w:t>Tieslietu ministrijas Latvijas Administratīvo pārkāpumu kodeksa pastāvīgajai darba grupai iesniedza likumprojektu “</w:t>
      </w:r>
      <w:r w:rsidRPr="00292382">
        <w:rPr>
          <w:bCs/>
        </w:rPr>
        <w:t>Grozījumi Latvijas Administratīvo pārkāpumu kodeksā</w:t>
      </w:r>
      <w:r w:rsidRPr="00292382">
        <w:t>” paredzot:</w:t>
      </w:r>
    </w:p>
    <w:p w14:paraId="1CE1240F" w14:textId="77777777" w:rsidR="00B87596" w:rsidRPr="00292382" w:rsidRDefault="00B87596" w:rsidP="00B87596">
      <w:pPr>
        <w:pStyle w:val="ListParagraph"/>
        <w:numPr>
          <w:ilvl w:val="0"/>
          <w:numId w:val="12"/>
        </w:numPr>
        <w:ind w:left="993" w:hanging="284"/>
        <w:rPr>
          <w:szCs w:val="24"/>
        </w:rPr>
      </w:pPr>
      <w:r w:rsidRPr="00292382">
        <w:rPr>
          <w:szCs w:val="24"/>
        </w:rPr>
        <w:t>nodalīt Veselības inspekcijas un pašvaldību institūciju kompetenci administratīvo pārkāpumu lietu izskatīšanā attiecībā uz troksni, proti, izslēdzot no LAPK Trīspadsmitās nodaļas “Administratīvie pārkāpumi, kas apdraud sabiedrisko kārtību” Veselības inspekcijas kompetencē esošo administratīvo pārkāpumu sastāvu un iekļaujot to LAPK Septītajā nodaļā “Administratīvie pārkāpumi vides, vēstures un kultūras pieminekļu aizsardzībā”;</w:t>
      </w:r>
    </w:p>
    <w:p w14:paraId="04312281" w14:textId="77777777" w:rsidR="00B87596" w:rsidRPr="00292382" w:rsidRDefault="00B87596" w:rsidP="00B87596">
      <w:pPr>
        <w:pStyle w:val="ListParagraph"/>
        <w:numPr>
          <w:ilvl w:val="0"/>
          <w:numId w:val="12"/>
        </w:numPr>
        <w:ind w:left="993" w:hanging="284"/>
        <w:rPr>
          <w:szCs w:val="24"/>
        </w:rPr>
      </w:pPr>
      <w:r w:rsidRPr="00292382">
        <w:rPr>
          <w:szCs w:val="24"/>
        </w:rPr>
        <w:t>nostiprināt normatīvajā līmenī cilvēka tiesības uz mieru savā mājoklī, kā arī nodrošināt iestāžu, uzņēmumu vai organizāciju netraucētu darbību, paredzot pašvaldībām tiesības operatīvi reaģēt uz sabiedriskās kārtības pārkāpumiem, kas ir saistītas ar trokšņošanu.</w:t>
      </w:r>
    </w:p>
    <w:p w14:paraId="6C05542D" w14:textId="77777777" w:rsidR="00B87596" w:rsidRPr="00292382" w:rsidRDefault="00B87596" w:rsidP="00DB3D17">
      <w:pPr>
        <w:spacing w:before="120"/>
        <w:ind w:firstLine="709"/>
        <w:rPr>
          <w:szCs w:val="24"/>
        </w:rPr>
      </w:pPr>
      <w:r w:rsidRPr="00292382">
        <w:rPr>
          <w:szCs w:val="24"/>
        </w:rPr>
        <w:t xml:space="preserve">Tieslietu ministrija VARAM 2018. gada 4. aprīļa priekšlikumu par </w:t>
      </w:r>
      <w:r w:rsidRPr="00292382">
        <w:rPr>
          <w:rFonts w:eastAsia="Times New Roman" w:cs="Times New Roman"/>
          <w:szCs w:val="24"/>
          <w:lang w:eastAsia="lv-LV"/>
        </w:rPr>
        <w:t>likumprojektu “</w:t>
      </w:r>
      <w:r w:rsidRPr="00292382">
        <w:rPr>
          <w:bCs/>
        </w:rPr>
        <w:t>Grozījumi Latvijas Administratīvo pārkāpumu kodeksā</w:t>
      </w:r>
      <w:r w:rsidRPr="00292382">
        <w:t>” noraidīja.</w:t>
      </w:r>
    </w:p>
    <w:p w14:paraId="57E30F65" w14:textId="384643C5" w:rsidR="00B87596" w:rsidRPr="00292382" w:rsidRDefault="000E6412" w:rsidP="00DB3D17">
      <w:pPr>
        <w:pStyle w:val="ListParagraph"/>
        <w:spacing w:before="120"/>
        <w:ind w:left="0" w:firstLine="709"/>
        <w:contextualSpacing w:val="0"/>
        <w:rPr>
          <w:szCs w:val="24"/>
        </w:rPr>
      </w:pPr>
      <w:r>
        <w:rPr>
          <w:rFonts w:eastAsia="Times New Roman" w:cs="Times New Roman"/>
          <w:szCs w:val="24"/>
          <w:lang w:eastAsia="lv-LV"/>
        </w:rPr>
        <w:t>Šobrīd ir vērtējama trokšņa</w:t>
      </w:r>
      <w:r w:rsidR="00B87596" w:rsidRPr="00292382">
        <w:rPr>
          <w:rFonts w:eastAsia="Times New Roman" w:cs="Times New Roman"/>
          <w:szCs w:val="24"/>
          <w:lang w:eastAsia="lv-LV"/>
        </w:rPr>
        <w:t xml:space="preserve"> pārvaldība attiecībā uz </w:t>
      </w:r>
      <w:r w:rsidR="00B87596" w:rsidRPr="00292382">
        <w:rPr>
          <w:rFonts w:cs="Times New Roman"/>
          <w:b/>
          <w:szCs w:val="24"/>
        </w:rPr>
        <w:t>publiskajiem pasākumiem</w:t>
      </w:r>
      <w:r w:rsidR="00B87596" w:rsidRPr="00292382">
        <w:rPr>
          <w:rFonts w:cs="Times New Roman"/>
          <w:szCs w:val="24"/>
        </w:rPr>
        <w:t xml:space="preserve">, kuriem Publisku izklaides un svētku pasākumu drošības likuma (turpmāk – Pasākumu likums) noteiktajā kārtībā ir izsniegta atļauja publisku pasākumu rīkošanai. </w:t>
      </w:r>
      <w:r w:rsidR="00B87596" w:rsidRPr="00292382">
        <w:t xml:space="preserve">MK noteikumu Nr. 16 2.4. apakšpunkta prasības netiek piemērotas attiecībā uz publiskiem pasākumiem, kuri ir saskaņoti ar vietējo pašvaldību atbilstoši Pasākumu likumam. </w:t>
      </w:r>
      <w:r w:rsidR="00B87596" w:rsidRPr="00292382">
        <w:rPr>
          <w:szCs w:val="24"/>
        </w:rPr>
        <w:t>Pasākuma likuma 4.</w:t>
      </w:r>
      <w:r w:rsidR="00B87596" w:rsidRPr="00292382">
        <w:rPr>
          <w:szCs w:val="24"/>
          <w:vertAlign w:val="superscript"/>
        </w:rPr>
        <w:t>1</w:t>
      </w:r>
      <w:r w:rsidR="00B87596" w:rsidRPr="00292382">
        <w:rPr>
          <w:szCs w:val="24"/>
        </w:rPr>
        <w:t xml:space="preserve"> panta pirmās daļas 5.</w:t>
      </w:r>
      <w:r w:rsidR="00AF4E68">
        <w:rPr>
          <w:szCs w:val="24"/>
        </w:rPr>
        <w:t> </w:t>
      </w:r>
      <w:r w:rsidR="00B87596" w:rsidRPr="00292382">
        <w:rPr>
          <w:szCs w:val="24"/>
        </w:rPr>
        <w:t>punktā noteikts aizliegums rīkoties tādā veidā, kas rada draudus pasākuma dalībnieku vai citu personu drošībai un veselībai. Attiecīgi pašvaldība, pamatojoties uz Pasākumu likuma 7.</w:t>
      </w:r>
      <w:r w:rsidR="00AF4E68">
        <w:rPr>
          <w:szCs w:val="24"/>
        </w:rPr>
        <w:t> </w:t>
      </w:r>
      <w:r w:rsidR="00B87596" w:rsidRPr="00292382">
        <w:rPr>
          <w:szCs w:val="24"/>
        </w:rPr>
        <w:t>panta trešo daļu, pārbauda, vai pasākuma organizators ir ievērojis visas šā likuma prasības, vai pieteiktais pasākums netraucēs citu attiecīgajai pašvaldībai agrāk pieteiktu publisku pasākumu norisi, vai tas neapdraudēs sabiedrisko kārtību un drošību, cilvēku dzīvību vai veselību, un pieņem attiecīgu motivētu lēmumu – izsniegt atļauju šā pasākuma rīkošanai, neizsniegt atļauju tā rīkošanai vai atlikt (ne ilgāk kā uz piecām darbdienām) iesnieguma izskatīšanu lēmumā norādīto trūkumu novēršanai. Līdz ar to pašvaldībai, neraugoties uz to, ka nav piemērojami MK noteikumi Nr. 16, jāveic adekvāts izvērtējums, vai konkrētais publiskais pasākums radīs negatīvu ietekmi uz cilvēku dzīvību vai veselību un citiem Pasākumu likuma 7. panta trešajā daļā minētajiem aspektiem.</w:t>
      </w:r>
    </w:p>
    <w:p w14:paraId="3CD28842" w14:textId="53CE2776" w:rsidR="00B87596" w:rsidRPr="00292382" w:rsidRDefault="00B87596" w:rsidP="00DB3D17">
      <w:pPr>
        <w:pStyle w:val="ListParagraph"/>
        <w:spacing w:before="120"/>
        <w:ind w:left="0" w:firstLine="709"/>
        <w:contextualSpacing w:val="0"/>
        <w:rPr>
          <w:szCs w:val="24"/>
        </w:rPr>
      </w:pPr>
      <w:r w:rsidRPr="00292382">
        <w:rPr>
          <w:szCs w:val="24"/>
        </w:rPr>
        <w:t>K</w:t>
      </w:r>
      <w:r w:rsidR="00A82049" w:rsidRPr="00292382">
        <w:rPr>
          <w:szCs w:val="24"/>
        </w:rPr>
        <w:t>M</w:t>
      </w:r>
      <w:r w:rsidRPr="00292382">
        <w:rPr>
          <w:szCs w:val="24"/>
        </w:rPr>
        <w:t xml:space="preserve"> līdz šim nav saņēmusi apkārtējo iedzīvotāju aizrādījumus vai sūdzības par tādu pasākumu kā, piemēram, Dziesmu un </w:t>
      </w:r>
      <w:r w:rsidR="00AF4E68">
        <w:rPr>
          <w:szCs w:val="24"/>
        </w:rPr>
        <w:t>D</w:t>
      </w:r>
      <w:r w:rsidRPr="00292382">
        <w:rPr>
          <w:szCs w:val="24"/>
        </w:rPr>
        <w:t xml:space="preserve">eju svētki. Piemēram, 2018. gada Vispārējo latviešu Dziesmu un </w:t>
      </w:r>
      <w:r w:rsidR="00F76362">
        <w:rPr>
          <w:szCs w:val="24"/>
        </w:rPr>
        <w:t>D</w:t>
      </w:r>
      <w:r w:rsidRPr="00292382">
        <w:rPr>
          <w:szCs w:val="24"/>
        </w:rPr>
        <w:t xml:space="preserve">eju svētki aptvēra 65 pasākumi norisi 25 vietās, piedalījās 43 219 dalībnieki un </w:t>
      </w:r>
      <w:r w:rsidRPr="00292382">
        <w:rPr>
          <w:szCs w:val="24"/>
        </w:rPr>
        <w:lastRenderedPageBreak/>
        <w:t xml:space="preserve">svētkus klātienē vēroja ap 500 000 apmeklētāju (Mežaparka Lielā estrāde – 30 000 sēdvietas (67 253 cilvēki), Daugavas stadions – 10 000 sēdvietas). </w:t>
      </w:r>
    </w:p>
    <w:p w14:paraId="6E56673F" w14:textId="39BB4BFD" w:rsidR="004C5682" w:rsidRPr="00292382" w:rsidRDefault="00B87596" w:rsidP="00DB3D17">
      <w:pPr>
        <w:pStyle w:val="ListParagraph"/>
        <w:spacing w:before="120"/>
        <w:ind w:left="0" w:firstLine="709"/>
        <w:contextualSpacing w:val="0"/>
        <w:rPr>
          <w:szCs w:val="24"/>
        </w:rPr>
      </w:pPr>
      <w:r w:rsidRPr="00292382">
        <w:t>Latvijas Republikas Satversmes tiesas 2017.</w:t>
      </w:r>
      <w:r w:rsidR="00AF4E68">
        <w:t> </w:t>
      </w:r>
      <w:r w:rsidRPr="00292382">
        <w:t>gada 19.</w:t>
      </w:r>
      <w:r w:rsidR="00AF4E68">
        <w:t> </w:t>
      </w:r>
      <w:r w:rsidRPr="00292382">
        <w:t>decembra sprieduma lietā Nr. 2017-02-03 ietvaros MK noteikumu Nr. 16 2.4. apakšpunkts, ciktāl tas attiecas uz publiskiem pasākumiem autosportā un motosportā, kas norisinās apdzīvotā vietā (pilsētā vai ciemā) izvietotā atklātā autosporta un motosporta bāzē un kuriem Publisku izklaides un svētku pasākumu drošības likumā noteiktajā kārtībā ir izsniegta atļauja publisku pasākumu rīkošanai, atzīts par spēkā neesošu.</w:t>
      </w:r>
      <w:r w:rsidRPr="00292382">
        <w:rPr>
          <w:szCs w:val="24"/>
        </w:rPr>
        <w:t xml:space="preserve"> VARAM secina, ka tādējādi tiek nodalīti </w:t>
      </w:r>
      <w:r w:rsidRPr="00292382">
        <w:rPr>
          <w:rFonts w:cs="Times New Roman"/>
          <w:iCs/>
          <w:szCs w:val="24"/>
          <w:shd w:val="clear" w:color="auto" w:fill="FFFFFF"/>
        </w:rPr>
        <w:t>publiski pasākumi autosportā un motosportā no citiem publiskiem pasākumiem, kur</w:t>
      </w:r>
      <w:r w:rsidR="00004F6D">
        <w:rPr>
          <w:rFonts w:cs="Times New Roman"/>
          <w:iCs/>
          <w:szCs w:val="24"/>
          <w:shd w:val="clear" w:color="auto" w:fill="FFFFFF"/>
        </w:rPr>
        <w:t>i</w:t>
      </w:r>
      <w:r w:rsidRPr="00292382">
        <w:rPr>
          <w:rFonts w:cs="Times New Roman"/>
          <w:iCs/>
          <w:szCs w:val="24"/>
          <w:shd w:val="clear" w:color="auto" w:fill="FFFFFF"/>
        </w:rPr>
        <w:t xml:space="preserve"> norisinās apdzīvotā vietā (pilsētā vai ciemā) izvietotā atklātā autosporta un motosporta bāzē. </w:t>
      </w:r>
      <w:r w:rsidRPr="00292382">
        <w:rPr>
          <w:szCs w:val="24"/>
        </w:rPr>
        <w:t>VARAM ieskatā</w:t>
      </w:r>
      <w:r w:rsidR="00AF4E68">
        <w:rPr>
          <w:szCs w:val="24"/>
        </w:rPr>
        <w:t>,</w:t>
      </w:r>
      <w:r w:rsidRPr="00292382">
        <w:rPr>
          <w:szCs w:val="24"/>
        </w:rPr>
        <w:t xml:space="preserve"> šādi apstākļi aktualizē jautājumu par vides trokšņa noregulējumu attiecībā uz publisko pasākumu norisi. </w:t>
      </w:r>
      <w:r w:rsidR="00A82049" w:rsidRPr="00292382">
        <w:rPr>
          <w:szCs w:val="24"/>
        </w:rPr>
        <w:t>IZM</w:t>
      </w:r>
      <w:r w:rsidRPr="00292382">
        <w:rPr>
          <w:szCs w:val="24"/>
        </w:rPr>
        <w:t xml:space="preserve"> uzsver, ka vides trokšņa novērtēšana un pārvaldība </w:t>
      </w:r>
      <w:r w:rsidRPr="00292382">
        <w:rPr>
          <w:b/>
          <w:szCs w:val="24"/>
        </w:rPr>
        <w:t>auto un moto sporta trasēs</w:t>
      </w:r>
      <w:r w:rsidRPr="00292382">
        <w:rPr>
          <w:szCs w:val="24"/>
        </w:rPr>
        <w:t xml:space="preserve"> jārisina ņemot vērā autosporta un motosporta pasākumu organizēšanas (kā publiski pasākumi) un norises (trašu darbība notiek tikai dienas un vakara stundās) specifiku. </w:t>
      </w:r>
      <w:r w:rsidR="00A82049" w:rsidRPr="00292382">
        <w:rPr>
          <w:szCs w:val="24"/>
        </w:rPr>
        <w:t>IZM</w:t>
      </w:r>
      <w:r w:rsidR="004C5682" w:rsidRPr="00292382">
        <w:rPr>
          <w:szCs w:val="24"/>
        </w:rPr>
        <w:t xml:space="preserve"> </w:t>
      </w:r>
      <w:r w:rsidRPr="00292382">
        <w:rPr>
          <w:szCs w:val="24"/>
        </w:rPr>
        <w:t>ieskatā</w:t>
      </w:r>
      <w:r w:rsidR="00AF4E68">
        <w:rPr>
          <w:szCs w:val="24"/>
        </w:rPr>
        <w:t>,</w:t>
      </w:r>
      <w:r w:rsidRPr="00292382">
        <w:rPr>
          <w:szCs w:val="24"/>
        </w:rPr>
        <w:t xml:space="preserve"> vides trokšņa regulējums auto un moto sporta trasēs jāvērtē kontekstā ar autosporta un motosporta attīstības iespējām.</w:t>
      </w:r>
      <w:r w:rsidR="004C5682" w:rsidRPr="00292382">
        <w:rPr>
          <w:szCs w:val="24"/>
        </w:rPr>
        <w:t xml:space="preserve"> </w:t>
      </w:r>
    </w:p>
    <w:p w14:paraId="77B5D6AD" w14:textId="131F06C4" w:rsidR="00F02198" w:rsidRPr="00292382" w:rsidRDefault="00F02198" w:rsidP="00DB3D17">
      <w:pPr>
        <w:shd w:val="clear" w:color="auto" w:fill="FFFFFF"/>
        <w:spacing w:before="120"/>
        <w:ind w:firstLine="709"/>
      </w:pPr>
      <w:r w:rsidRPr="00292382">
        <w:t xml:space="preserve">VARAM kopumā ir identificējusi sekmīgu trokšņa pārvaldības regulējumu tikai darba aizsardzības politikā. </w:t>
      </w:r>
      <w:r w:rsidRPr="00292382">
        <w:rPr>
          <w:szCs w:val="24"/>
        </w:rPr>
        <w:t xml:space="preserve">Troksnis, kā viens no darba vides riska faktoriem, ir iekļauts darba aizsardzības prasību </w:t>
      </w:r>
      <w:r w:rsidRPr="00292382">
        <w:t>regulējumā, un nodarbināto aizsardzību pret darba vides troksni nosaka Darba aizsardzības likums un uz tā pamata izdotie Ministru kabineta 2003. gada 4. februāra noteikumi Nr. 66 “Darba aizsardzības prasības nodarbināto aizsardzībai pret darba vides trokšņa radīto risku” (turpmāk – MK noteikumi Nr. 66).</w:t>
      </w:r>
      <w:r w:rsidRPr="00292382">
        <w:rPr>
          <w:rStyle w:val="FootnoteReference"/>
        </w:rPr>
        <w:footnoteReference w:id="36"/>
      </w:r>
      <w:r w:rsidRPr="00292382">
        <w:t xml:space="preserve"> MK noteikumu Nr. 66 2.punktā paskaidrots, ka ar darba vidi saprot visas nodarbinātības jomas, kurās nodarbinātie tiek vai var tikt pakļauti trokšņa radīt</w:t>
      </w:r>
      <w:r w:rsidR="00004F6D">
        <w:t>a</w:t>
      </w:r>
      <w:r w:rsidRPr="00292382">
        <w:t>jam riskam. Atkarībā no trokšņa avota, trokšņa ekspozīcijas laika darba aizsardzībā tiek noteikti pasākumi trokšņa novērtēšanai un pārvaldībai – organizatoriskie pasākumi, tehniskie risinājumi, individuālie aizsardzības līdzekļi. Darba aizsardzības jomā papildu trokšņa novēršanas pasākumiem trokšņa avotā tiek uzsvērta aizsardzība pret troksni (piemēram, izklaides industrijā trokšņa avota likvidēšana nav nedz iespēja, nedz vajadzīga). Izvērtējot darba vidi, piemēram, koncertzālēs, sporta zālēs, restorānos u</w:t>
      </w:r>
      <w:r w:rsidR="00550F78">
        <w:t>.</w:t>
      </w:r>
      <w:r w:rsidRPr="00292382">
        <w:t>tml., tiek izmantoti arī noteiktu telpu tipu akustiskie parametri.</w:t>
      </w:r>
      <w:r w:rsidRPr="00292382">
        <w:rPr>
          <w:rStyle w:val="FootnoteReference"/>
        </w:rPr>
        <w:footnoteReference w:id="37"/>
      </w:r>
      <w:r w:rsidRPr="00292382">
        <w:t xml:space="preserve"> Darba aizsardzības jomā valsts uzraudzību un kontroli nodrošina kompetentā iestāde – Valsts darba inspekcija.</w:t>
      </w:r>
      <w:r w:rsidR="00B82C23" w:rsidRPr="00292382">
        <w:t xml:space="preserve"> </w:t>
      </w:r>
    </w:p>
    <w:p w14:paraId="450972FD" w14:textId="7C50F76F" w:rsidR="009318FB" w:rsidRDefault="008F01EA" w:rsidP="0080277D">
      <w:pPr>
        <w:spacing w:before="120" w:after="120"/>
        <w:ind w:firstLine="0"/>
        <w:jc w:val="center"/>
        <w:rPr>
          <w:rFonts w:cs="Times New Roman"/>
          <w:b/>
          <w:szCs w:val="24"/>
        </w:rPr>
      </w:pPr>
      <w:r>
        <w:rPr>
          <w:rFonts w:cs="Times New Roman"/>
          <w:b/>
          <w:szCs w:val="24"/>
        </w:rPr>
        <w:t>4. Secinājumi</w:t>
      </w:r>
    </w:p>
    <w:p w14:paraId="7DE4D424" w14:textId="677A32D7" w:rsidR="00654CD0" w:rsidRPr="00EA6850" w:rsidRDefault="008F01EA" w:rsidP="00654CD0">
      <w:pPr>
        <w:spacing w:before="120"/>
        <w:rPr>
          <w:rFonts w:eastAsia="Times New Roman" w:cs="Times New Roman"/>
          <w:szCs w:val="24"/>
        </w:rPr>
      </w:pPr>
      <w:r w:rsidRPr="008F01EA">
        <w:rPr>
          <w:rFonts w:cs="Times New Roman"/>
          <w:szCs w:val="24"/>
        </w:rPr>
        <w:t>1.</w:t>
      </w:r>
      <w:r w:rsidR="00395C73">
        <w:rPr>
          <w:rFonts w:cs="Times New Roman"/>
          <w:szCs w:val="24"/>
        </w:rPr>
        <w:t> </w:t>
      </w:r>
      <w:r w:rsidR="003B07BB">
        <w:rPr>
          <w:rFonts w:cs="Times New Roman"/>
          <w:szCs w:val="24"/>
        </w:rPr>
        <w:t>Esošais vides trokšņa regulējum</w:t>
      </w:r>
      <w:r w:rsidR="00FA3D6D">
        <w:rPr>
          <w:rFonts w:cs="Times New Roman"/>
          <w:szCs w:val="24"/>
        </w:rPr>
        <w:t xml:space="preserve">s ir sadrumstalots un būtiski atšķiras no </w:t>
      </w:r>
      <w:r w:rsidR="00FA3D6D" w:rsidRPr="00292382">
        <w:rPr>
          <w:bCs/>
        </w:rPr>
        <w:t>Direktīva</w:t>
      </w:r>
      <w:r w:rsidR="00395C73">
        <w:rPr>
          <w:bCs/>
        </w:rPr>
        <w:t>s</w:t>
      </w:r>
      <w:r w:rsidR="00FA3D6D" w:rsidRPr="00292382">
        <w:rPr>
          <w:bCs/>
        </w:rPr>
        <w:t xml:space="preserve"> 2002/49/EK</w:t>
      </w:r>
      <w:r w:rsidR="00FA3D6D">
        <w:rPr>
          <w:rFonts w:cs="Times New Roman"/>
          <w:szCs w:val="24"/>
        </w:rPr>
        <w:t xml:space="preserve"> </w:t>
      </w:r>
      <w:r w:rsidR="00395C73">
        <w:rPr>
          <w:rFonts w:cs="Times New Roman"/>
          <w:szCs w:val="24"/>
        </w:rPr>
        <w:t xml:space="preserve">prasību </w:t>
      </w:r>
      <w:r w:rsidR="00BB67DC">
        <w:rPr>
          <w:rFonts w:cs="Times New Roman"/>
          <w:szCs w:val="24"/>
        </w:rPr>
        <w:t xml:space="preserve">pārņemšanas 2004. gadā izdotā </w:t>
      </w:r>
      <w:r w:rsidR="00FA3D6D">
        <w:rPr>
          <w:rFonts w:cs="Times New Roman"/>
          <w:szCs w:val="24"/>
        </w:rPr>
        <w:t xml:space="preserve">nacionālā normatīvā akta </w:t>
      </w:r>
      <w:r w:rsidR="00294DBE">
        <w:rPr>
          <w:rFonts w:cs="Times New Roman"/>
          <w:szCs w:val="24"/>
        </w:rPr>
        <w:t>–</w:t>
      </w:r>
      <w:r w:rsidR="00FA3D6D">
        <w:rPr>
          <w:rFonts w:cs="Times New Roman"/>
          <w:szCs w:val="24"/>
        </w:rPr>
        <w:t xml:space="preserve"> </w:t>
      </w:r>
      <w:r w:rsidR="00FA3D6D" w:rsidRPr="00FA3D6D">
        <w:rPr>
          <w:rFonts w:eastAsia="Times New Roman" w:cs="Times New Roman"/>
          <w:bCs/>
          <w:szCs w:val="24"/>
          <w:lang w:eastAsia="lv-LV"/>
        </w:rPr>
        <w:t>M</w:t>
      </w:r>
      <w:r w:rsidR="00294DBE">
        <w:rPr>
          <w:rFonts w:eastAsia="Times New Roman" w:cs="Times New Roman"/>
          <w:bCs/>
          <w:szCs w:val="24"/>
          <w:lang w:eastAsia="lv-LV"/>
        </w:rPr>
        <w:t>K noteikumu Nr. </w:t>
      </w:r>
      <w:r w:rsidR="00FA3D6D" w:rsidRPr="00FA3D6D">
        <w:rPr>
          <w:rFonts w:eastAsia="Times New Roman" w:cs="Times New Roman"/>
          <w:bCs/>
          <w:szCs w:val="24"/>
          <w:lang w:eastAsia="lv-LV"/>
        </w:rPr>
        <w:t>597</w:t>
      </w:r>
      <w:r w:rsidR="00294DBE">
        <w:rPr>
          <w:rFonts w:eastAsia="Times New Roman" w:cs="Times New Roman"/>
          <w:bCs/>
          <w:szCs w:val="24"/>
          <w:lang w:eastAsia="lv-LV"/>
        </w:rPr>
        <w:t xml:space="preserve"> ietvara. </w:t>
      </w:r>
      <w:r w:rsidR="00FA3D6D">
        <w:rPr>
          <w:rFonts w:eastAsia="Times New Roman" w:cs="Times New Roman"/>
          <w:bCs/>
          <w:szCs w:val="24"/>
          <w:lang w:eastAsia="lv-LV"/>
        </w:rPr>
        <w:t xml:space="preserve">Īpaši jāuzsver, ka </w:t>
      </w:r>
      <w:r w:rsidR="00294DBE">
        <w:rPr>
          <w:rFonts w:eastAsia="Times New Roman" w:cs="Times New Roman"/>
          <w:bCs/>
          <w:szCs w:val="24"/>
          <w:lang w:eastAsia="lv-LV"/>
        </w:rPr>
        <w:t xml:space="preserve">līdz </w:t>
      </w:r>
      <w:r w:rsidR="00294DBE" w:rsidRPr="00294DBE">
        <w:rPr>
          <w:rFonts w:eastAsia="Times New Roman" w:cs="Times New Roman"/>
          <w:bCs/>
          <w:szCs w:val="24"/>
          <w:lang w:eastAsia="lv-LV"/>
        </w:rPr>
        <w:t>2019</w:t>
      </w:r>
      <w:r w:rsidR="00294DBE">
        <w:rPr>
          <w:rFonts w:eastAsia="Times New Roman" w:cs="Times New Roman"/>
          <w:bCs/>
          <w:szCs w:val="24"/>
          <w:lang w:eastAsia="lv-LV"/>
        </w:rPr>
        <w:t>. </w:t>
      </w:r>
      <w:r w:rsidR="00294DBE" w:rsidRPr="00294DBE">
        <w:rPr>
          <w:rFonts w:eastAsia="Times New Roman" w:cs="Times New Roman"/>
          <w:bCs/>
          <w:szCs w:val="24"/>
          <w:lang w:eastAsia="lv-LV"/>
        </w:rPr>
        <w:t xml:space="preserve">gada </w:t>
      </w:r>
      <w:r w:rsidR="00294DBE" w:rsidRPr="00292382">
        <w:rPr>
          <w:rFonts w:eastAsia="Times New Roman" w:cs="Times New Roman"/>
          <w:szCs w:val="24"/>
          <w:lang w:eastAsia="lv-LV"/>
        </w:rPr>
        <w:t>2. jūlij</w:t>
      </w:r>
      <w:r w:rsidR="00294DBE">
        <w:rPr>
          <w:rFonts w:eastAsia="Times New Roman" w:cs="Times New Roman"/>
          <w:szCs w:val="24"/>
          <w:lang w:eastAsia="lv-LV"/>
        </w:rPr>
        <w:t>am vides trokšņa regulējumā grozījumu veikšan</w:t>
      </w:r>
      <w:r w:rsidR="00BB67DC">
        <w:rPr>
          <w:rFonts w:eastAsia="Times New Roman" w:cs="Times New Roman"/>
          <w:szCs w:val="24"/>
          <w:lang w:eastAsia="lv-LV"/>
        </w:rPr>
        <w:t xml:space="preserve">u noteica nevis nepieciešamība pārņemt </w:t>
      </w:r>
      <w:r w:rsidR="00757F77">
        <w:rPr>
          <w:rFonts w:eastAsia="Times New Roman" w:cs="Times New Roman"/>
          <w:szCs w:val="24"/>
          <w:lang w:eastAsia="lv-LV"/>
        </w:rPr>
        <w:t xml:space="preserve">saistībā ar </w:t>
      </w:r>
      <w:r w:rsidR="00395C73">
        <w:rPr>
          <w:rFonts w:eastAsia="Times New Roman" w:cs="Times New Roman"/>
          <w:szCs w:val="24"/>
          <w:lang w:eastAsia="lv-LV"/>
        </w:rPr>
        <w:t>grozījum</w:t>
      </w:r>
      <w:r w:rsidR="00757F77">
        <w:rPr>
          <w:rFonts w:eastAsia="Times New Roman" w:cs="Times New Roman"/>
          <w:szCs w:val="24"/>
          <w:lang w:eastAsia="lv-LV"/>
        </w:rPr>
        <w:t>iem</w:t>
      </w:r>
      <w:r w:rsidR="00BB67DC">
        <w:rPr>
          <w:rFonts w:eastAsia="Times New Roman" w:cs="Times New Roman"/>
          <w:szCs w:val="24"/>
          <w:lang w:eastAsia="lv-LV"/>
        </w:rPr>
        <w:t xml:space="preserve"> Direktīvā 2002/49/EK, bet gan nepieciešamība risināt jautājumus, kas saistīti ar sabiedrības veselības aizsardzību pret trokšņa kaitīgo ietekmi un apmierināt sabiedrības vajadzības attiecībā pret trokšņa pārvaldības instrumentu stiprināšanu. </w:t>
      </w:r>
      <w:r w:rsidR="00654CD0" w:rsidRPr="00654CD0">
        <w:rPr>
          <w:rFonts w:cs="Times New Roman"/>
        </w:rPr>
        <w:t xml:space="preserve">Ņemot vērā minēto, </w:t>
      </w:r>
      <w:r w:rsidR="00433F7C" w:rsidRPr="00EA6850">
        <w:rPr>
          <w:rFonts w:cs="Times New Roman"/>
          <w:u w:val="single"/>
        </w:rPr>
        <w:t xml:space="preserve">VARAM </w:t>
      </w:r>
      <w:r w:rsidR="00433F7C" w:rsidRPr="00EA6850">
        <w:rPr>
          <w:rFonts w:cs="Times New Roman"/>
        </w:rPr>
        <w:t>rosina precizēt izpratni par vides trokšņa pārvaldību un pārskatīt šobrīd īstenoto praksi: cilvēka veselības aizsardzību pret troksni balstīt tikai uz vides nozares pasākumiem, bet respektēt esošo deleģējumu par sabiedrības veselības aizsardzības pasākumu kopum</w:t>
      </w:r>
      <w:r w:rsidR="00757F77" w:rsidRPr="00EA6850">
        <w:rPr>
          <w:rFonts w:cs="Times New Roman"/>
        </w:rPr>
        <w:t>a</w:t>
      </w:r>
      <w:r w:rsidR="00433F7C" w:rsidRPr="00EA6850">
        <w:rPr>
          <w:rFonts w:cs="Times New Roman"/>
        </w:rPr>
        <w:t xml:space="preserve"> īstenošanu, lai samazinātu vai novērstu vides faktoru (fizikāl</w:t>
      </w:r>
      <w:r w:rsidR="00757F77" w:rsidRPr="00EA6850">
        <w:rPr>
          <w:rFonts w:cs="Times New Roman"/>
        </w:rPr>
        <w:t>u</w:t>
      </w:r>
      <w:r w:rsidR="00433F7C" w:rsidRPr="00EA6850">
        <w:rPr>
          <w:rFonts w:cs="Times New Roman"/>
        </w:rPr>
        <w:t>, ķīmisk</w:t>
      </w:r>
      <w:r w:rsidR="00757F77" w:rsidRPr="00EA6850">
        <w:rPr>
          <w:rFonts w:cs="Times New Roman"/>
        </w:rPr>
        <w:t>u</w:t>
      </w:r>
      <w:r w:rsidR="00433F7C" w:rsidRPr="00EA6850">
        <w:rPr>
          <w:rFonts w:cs="Times New Roman"/>
        </w:rPr>
        <w:t>, bioloģisku) iespējamo kaitīgo ietekmi.</w:t>
      </w:r>
      <w:r w:rsidR="00654CD0" w:rsidRPr="00EA6850">
        <w:rPr>
          <w:rFonts w:eastAsia="Times New Roman" w:cs="Times New Roman"/>
          <w:szCs w:val="24"/>
        </w:rPr>
        <w:t xml:space="preserve"> </w:t>
      </w:r>
    </w:p>
    <w:p w14:paraId="0C304C8A" w14:textId="6BF40217" w:rsidR="00A9776B" w:rsidRPr="00EA6850" w:rsidRDefault="00654CD0" w:rsidP="00A9776B">
      <w:pPr>
        <w:pStyle w:val="ListParagraph"/>
        <w:spacing w:before="120"/>
        <w:ind w:left="0" w:firstLine="709"/>
        <w:rPr>
          <w:rFonts w:eastAsia="Times New Roman" w:cs="Times New Roman"/>
          <w:szCs w:val="24"/>
        </w:rPr>
      </w:pPr>
      <w:r w:rsidRPr="00EA6850">
        <w:rPr>
          <w:rFonts w:eastAsia="Times New Roman" w:cs="Times New Roman"/>
          <w:szCs w:val="24"/>
          <w:lang w:eastAsia="lv-LV"/>
        </w:rPr>
        <w:t>2.</w:t>
      </w:r>
      <w:r w:rsidR="00395C73" w:rsidRPr="00EA6850">
        <w:rPr>
          <w:rFonts w:eastAsia="Times New Roman" w:cs="Times New Roman"/>
          <w:szCs w:val="24"/>
          <w:lang w:eastAsia="lv-LV"/>
        </w:rPr>
        <w:t> </w:t>
      </w:r>
      <w:r w:rsidRPr="00EA6850">
        <w:rPr>
          <w:rFonts w:eastAsia="Times New Roman" w:cs="Times New Roman"/>
          <w:szCs w:val="24"/>
          <w:lang w:eastAsia="lv-LV"/>
        </w:rPr>
        <w:t xml:space="preserve">VARAM, izvērtējot ar trokšņa (tai skaitā, ar vides trokšņa) pārvaldību saistītos vides aizsardzības, teritorijas attīstības plānošanas, </w:t>
      </w:r>
      <w:r w:rsidR="006D20EB" w:rsidRPr="00EA6850">
        <w:rPr>
          <w:rFonts w:eastAsia="Times New Roman" w:cs="Times New Roman"/>
          <w:szCs w:val="24"/>
          <w:lang w:eastAsia="lv-LV"/>
        </w:rPr>
        <w:t xml:space="preserve">sabiedriskās kārtības un drošības, veselības aizsardzības, tirgus uzraudzības un patērētāju tiesību aizsardzības, būvniecības, darba vides </w:t>
      </w:r>
      <w:r w:rsidR="006D20EB" w:rsidRPr="00EA6850">
        <w:rPr>
          <w:rFonts w:eastAsia="Times New Roman" w:cs="Times New Roman"/>
          <w:szCs w:val="24"/>
          <w:lang w:eastAsia="lv-LV"/>
        </w:rPr>
        <w:lastRenderedPageBreak/>
        <w:t>aizsardzības un sporta nozares normatīvo aktu normas, secina, ka normatīvie akti kopumā ir vērsti uz cilvēka veselības aizsardzības pret trokšņa kaitīgo ietekmi nodrošināšanu. Līdz ar to VARAM</w:t>
      </w:r>
      <w:r w:rsidRPr="00EA6850">
        <w:rPr>
          <w:rFonts w:eastAsia="Times New Roman" w:cs="Times New Roman"/>
          <w:szCs w:val="24"/>
        </w:rPr>
        <w:t xml:space="preserve"> ierosina </w:t>
      </w:r>
      <w:r w:rsidR="006D20EB" w:rsidRPr="00EA6850">
        <w:rPr>
          <w:rFonts w:eastAsia="Times New Roman" w:cs="Times New Roman"/>
          <w:szCs w:val="24"/>
        </w:rPr>
        <w:t>izstrādāt regulējumu sabiedrības veselības aizsardzības jomā</w:t>
      </w:r>
      <w:r w:rsidR="00BA6887" w:rsidRPr="00EA6850">
        <w:rPr>
          <w:rFonts w:eastAsia="Times New Roman" w:cs="Times New Roman"/>
          <w:szCs w:val="24"/>
        </w:rPr>
        <w:t xml:space="preserve"> par trokšņa novērtēšanu un pārvaldību, kas kalpotu par pamatu tiesību normu harmonizācijai iesaistīto nozaru normatīvajos aktos.</w:t>
      </w:r>
    </w:p>
    <w:p w14:paraId="5EABDA89" w14:textId="2ECBEC88" w:rsidR="002C0AC9" w:rsidRPr="00EA6850" w:rsidRDefault="00A9776B" w:rsidP="00A9776B">
      <w:pPr>
        <w:pStyle w:val="ListParagraph"/>
        <w:spacing w:before="120"/>
        <w:ind w:left="0" w:firstLine="709"/>
        <w:contextualSpacing w:val="0"/>
        <w:rPr>
          <w:szCs w:val="24"/>
        </w:rPr>
      </w:pPr>
      <w:r w:rsidRPr="00EA6850">
        <w:rPr>
          <w:rFonts w:eastAsia="Times New Roman" w:cs="Times New Roman"/>
          <w:szCs w:val="24"/>
        </w:rPr>
        <w:t>3.</w:t>
      </w:r>
      <w:r w:rsidR="00395C73" w:rsidRPr="00EA6850">
        <w:rPr>
          <w:rFonts w:eastAsia="Times New Roman" w:cs="Times New Roman"/>
          <w:szCs w:val="24"/>
        </w:rPr>
        <w:t> </w:t>
      </w:r>
      <w:r w:rsidR="00BA6887" w:rsidRPr="00EA6850">
        <w:rPr>
          <w:rFonts w:cs="Times New Roman"/>
          <w:szCs w:val="24"/>
        </w:rPr>
        <w:t>Ņemot vērā, ka šobrīd E</w:t>
      </w:r>
      <w:r w:rsidR="00395C73" w:rsidRPr="00EA6850">
        <w:rPr>
          <w:rFonts w:cs="Times New Roman"/>
          <w:szCs w:val="24"/>
        </w:rPr>
        <w:t>S</w:t>
      </w:r>
      <w:r w:rsidR="00BA6887" w:rsidRPr="00EA6850">
        <w:rPr>
          <w:rFonts w:cs="Times New Roman"/>
          <w:szCs w:val="24"/>
        </w:rPr>
        <w:t xml:space="preserve"> līmenī notiek aktīvs darbs pie </w:t>
      </w:r>
      <w:r w:rsidR="00BA6887" w:rsidRPr="00EA6850">
        <w:rPr>
          <w:bCs/>
        </w:rPr>
        <w:t>Direktīvas 2002/49/EK</w:t>
      </w:r>
      <w:r w:rsidR="00BA6887" w:rsidRPr="00EA6850">
        <w:rPr>
          <w:rFonts w:cs="Times New Roman"/>
          <w:szCs w:val="24"/>
        </w:rPr>
        <w:t xml:space="preserve"> aktualizācijas atbilstoši tehnikas un zinātnes attīstībai (tai skaitā, ziņošanai par vides troksni),</w:t>
      </w:r>
      <w:r w:rsidRPr="00EA6850">
        <w:rPr>
          <w:rFonts w:cs="Times New Roman"/>
          <w:szCs w:val="24"/>
        </w:rPr>
        <w:t xml:space="preserve"> un prognozējama nepieciešamība attiecīgi precizēt </w:t>
      </w:r>
      <w:r w:rsidRPr="00EA6850">
        <w:rPr>
          <w:bCs/>
        </w:rPr>
        <w:t>Direktīvas 2002/49/EK</w:t>
      </w:r>
      <w:r w:rsidRPr="00EA6850">
        <w:rPr>
          <w:rFonts w:cs="Times New Roman"/>
          <w:szCs w:val="24"/>
        </w:rPr>
        <w:t xml:space="preserve"> </w:t>
      </w:r>
      <w:r w:rsidR="00395C73" w:rsidRPr="00EA6850">
        <w:rPr>
          <w:rFonts w:cs="Times New Roman"/>
          <w:szCs w:val="24"/>
        </w:rPr>
        <w:t xml:space="preserve">prasību </w:t>
      </w:r>
      <w:r w:rsidRPr="00EA6850">
        <w:rPr>
          <w:rFonts w:cs="Times New Roman"/>
          <w:szCs w:val="24"/>
        </w:rPr>
        <w:t>pārņemšan</w:t>
      </w:r>
      <w:r w:rsidR="00395C73" w:rsidRPr="00EA6850">
        <w:rPr>
          <w:rFonts w:cs="Times New Roman"/>
          <w:szCs w:val="24"/>
        </w:rPr>
        <w:t>u</w:t>
      </w:r>
      <w:r w:rsidRPr="00EA6850">
        <w:rPr>
          <w:rFonts w:cs="Times New Roman"/>
          <w:szCs w:val="24"/>
        </w:rPr>
        <w:t xml:space="preserve"> nacionālos normatīvos aktos, </w:t>
      </w:r>
      <w:r w:rsidR="00BA6887" w:rsidRPr="00EA6850">
        <w:rPr>
          <w:rFonts w:cs="Times New Roman"/>
          <w:szCs w:val="24"/>
        </w:rPr>
        <w:t>VARAM rosina</w:t>
      </w:r>
      <w:r w:rsidRPr="00EA6850">
        <w:rPr>
          <w:rFonts w:cs="Times New Roman"/>
          <w:szCs w:val="24"/>
        </w:rPr>
        <w:t xml:space="preserve"> izstrādāt atsevišķu regulējumu par</w:t>
      </w:r>
      <w:r w:rsidRPr="00EA6850">
        <w:rPr>
          <w:szCs w:val="24"/>
        </w:rPr>
        <w:t xml:space="preserve"> trokšņa stratēģisko karšu un rīcības plānu izstrādi.</w:t>
      </w:r>
    </w:p>
    <w:p w14:paraId="461FE392" w14:textId="77777777" w:rsidR="0080277D" w:rsidRDefault="002C0AC9" w:rsidP="0080277D">
      <w:pPr>
        <w:pStyle w:val="ListParagraph"/>
        <w:spacing w:before="120" w:after="120"/>
        <w:ind w:left="0" w:firstLine="709"/>
        <w:contextualSpacing w:val="0"/>
        <w:rPr>
          <w:szCs w:val="24"/>
        </w:rPr>
      </w:pPr>
      <w:r w:rsidRPr="00EA6850">
        <w:rPr>
          <w:szCs w:val="24"/>
        </w:rPr>
        <w:t>4. VARAM rosina vērtēt vides trokšņa pārvaldību autosporta, motosporta un šaušanas sporta nozarē. Valdības rīcības plāna Deklarācijas par Artura Krišjāņa Kariņa vadītā Ministru kabineta iecerēto darbību īstenošanai (apstiprināts ar Ministru kabineta 2019. gada 7. maija rīkojumu Nr.</w:t>
      </w:r>
      <w:r w:rsidR="00395C73" w:rsidRPr="00EA6850">
        <w:rPr>
          <w:szCs w:val="24"/>
        </w:rPr>
        <w:t> </w:t>
      </w:r>
      <w:r w:rsidRPr="00EA6850">
        <w:rPr>
          <w:szCs w:val="24"/>
        </w:rPr>
        <w:t>210) 172.1.</w:t>
      </w:r>
      <w:r w:rsidR="00395C73" w:rsidRPr="00EA6850">
        <w:rPr>
          <w:szCs w:val="24"/>
        </w:rPr>
        <w:t> </w:t>
      </w:r>
      <w:r w:rsidRPr="00EA6850">
        <w:rPr>
          <w:szCs w:val="24"/>
        </w:rPr>
        <w:t>pasākums paredz uzdevumu izstrādāt un iesniegt izskatīšanai</w:t>
      </w:r>
      <w:r w:rsidRPr="002C0AC9">
        <w:rPr>
          <w:szCs w:val="24"/>
        </w:rPr>
        <w:t xml:space="preserve"> Ministru kabinetā vidēja termiņa politikas plānošanas dokumentu sporta nozarē, kura izpildes ietvaros tiks noteikti sporta politikas vidēja termiņa mērķi, pamatprincipi, virzieni, mērķgrupas un prioritātes, rīcības virzieni un uzdevumi sporta politikas mērķu sasniegšanai un problēmu risināšanai, kā arī noteikta sporta infrastruktūras attīstības stratēģija. Minētā uzdevuma izpildes ietvaros, analizējot esošo situāciju sporta infrastruktūras jomā un plānojot tās turpmāko attīstību, IZM kā vienu no aspektiem var izvērtēt vides trokšņu normatīvā regulējuma ietekmi uz autosporta, motosporta un šaušanas sporta veidiem.</w:t>
      </w:r>
    </w:p>
    <w:p w14:paraId="4757D7D8" w14:textId="3729F93E" w:rsidR="0080277D" w:rsidRPr="00EA6850" w:rsidRDefault="0080277D" w:rsidP="0080277D">
      <w:pPr>
        <w:pStyle w:val="ListParagraph"/>
        <w:spacing w:before="120" w:after="120"/>
        <w:ind w:left="0" w:firstLine="709"/>
        <w:contextualSpacing w:val="0"/>
      </w:pPr>
      <w:r w:rsidRPr="0080277D">
        <w:rPr>
          <w:bCs/>
        </w:rPr>
        <w:t>5</w:t>
      </w:r>
      <w:r w:rsidRPr="0080277D">
        <w:t xml:space="preserve">. VARAM secina, ka nepieciešams attīstīt skaidrojumu par trokšņa pārvaldības jautājumiem teritorijas attīstības plānošanā, sadzīves trokšņa pārvaldībā. </w:t>
      </w:r>
      <w:r w:rsidRPr="00EA6850">
        <w:rPr>
          <w:bCs/>
        </w:rPr>
        <w:t>VARAM ieskatā</w:t>
      </w:r>
      <w:r w:rsidRPr="0080277D">
        <w:rPr>
          <w:b/>
          <w:bCs/>
          <w:u w:val="single"/>
        </w:rPr>
        <w:t xml:space="preserve"> </w:t>
      </w:r>
      <w:r w:rsidRPr="00EA6850">
        <w:rPr>
          <w:bCs/>
        </w:rPr>
        <w:t>nepieciešams papildināt esošo normatīvo regulējumu ar prasību iekļaut atbilstošajos teritorijas attīstības plānošanas dokumentos informāciju par akustiskā diskomforta zonām, nosakot prasības aizsardzībai pret trok</w:t>
      </w:r>
      <w:r w:rsidR="00757F77" w:rsidRPr="00EA6850">
        <w:rPr>
          <w:bCs/>
        </w:rPr>
        <w:t>sni</w:t>
      </w:r>
      <w:r w:rsidRPr="00EA6850">
        <w:rPr>
          <w:bCs/>
        </w:rPr>
        <w:t>, kā arī izstrādāt vadlīnijas un metodiskos materiālus ar labās prakses piemēriem.</w:t>
      </w:r>
    </w:p>
    <w:p w14:paraId="5271AB3C" w14:textId="619D5104" w:rsidR="00DE187F" w:rsidRDefault="00DE187F" w:rsidP="0080277D">
      <w:pPr>
        <w:pStyle w:val="ListParagraph"/>
        <w:spacing w:before="120" w:after="120"/>
        <w:ind w:left="0" w:firstLine="709"/>
        <w:contextualSpacing w:val="0"/>
        <w:rPr>
          <w:b/>
          <w:u w:val="single"/>
        </w:rPr>
      </w:pPr>
      <w:r w:rsidRPr="00EA6850">
        <w:t>6. Trokšņa pārvaldībā normatīvo aktu priekšlikumu izstrādē jānodrošina sociālo partneru</w:t>
      </w:r>
      <w:r w:rsidR="00FA3B81" w:rsidRPr="00EA6850">
        <w:t xml:space="preserve">: </w:t>
      </w:r>
      <w:r w:rsidRPr="00EA6850">
        <w:t>Latvijas Darba devēju konfederācijas un Latvijas Brīvo arodbiedrību savienības</w:t>
      </w:r>
      <w:r w:rsidRPr="00712B56">
        <w:t xml:space="preserve"> </w:t>
      </w:r>
      <w:r w:rsidR="00FA3B81">
        <w:t>iesaiste.</w:t>
      </w:r>
    </w:p>
    <w:p w14:paraId="03DE41C4" w14:textId="77777777" w:rsidR="00DE187F" w:rsidRPr="0080277D" w:rsidRDefault="00DE187F" w:rsidP="0080277D">
      <w:pPr>
        <w:pStyle w:val="ListParagraph"/>
        <w:spacing w:before="120" w:after="120"/>
        <w:ind w:left="0" w:firstLine="709"/>
        <w:contextualSpacing w:val="0"/>
        <w:rPr>
          <w:b/>
          <w:szCs w:val="24"/>
          <w:u w:val="single"/>
        </w:rPr>
      </w:pPr>
    </w:p>
    <w:p w14:paraId="305DB560" w14:textId="61CADE20" w:rsidR="005E5018" w:rsidRPr="00292382" w:rsidRDefault="005D596F" w:rsidP="0080277D">
      <w:pPr>
        <w:spacing w:before="120"/>
        <w:jc w:val="center"/>
        <w:rPr>
          <w:rFonts w:cs="Times New Roman"/>
          <w:b/>
          <w:szCs w:val="24"/>
        </w:rPr>
      </w:pPr>
      <w:r>
        <w:rPr>
          <w:rFonts w:cs="Times New Roman"/>
          <w:b/>
          <w:szCs w:val="24"/>
        </w:rPr>
        <w:t>5</w:t>
      </w:r>
      <w:r w:rsidR="005E5018" w:rsidRPr="00292382">
        <w:rPr>
          <w:rFonts w:cs="Times New Roman"/>
          <w:b/>
          <w:szCs w:val="24"/>
        </w:rPr>
        <w:t>. </w:t>
      </w:r>
      <w:r w:rsidR="00D62831" w:rsidRPr="00292382">
        <w:rPr>
          <w:rFonts w:cs="Times New Roman"/>
          <w:b/>
          <w:szCs w:val="24"/>
        </w:rPr>
        <w:t>Priekšlikumi turpmākai rīcībai</w:t>
      </w:r>
    </w:p>
    <w:p w14:paraId="68052384" w14:textId="7F1A3EB8" w:rsidR="00437637" w:rsidRDefault="00437637" w:rsidP="00437637">
      <w:pPr>
        <w:pStyle w:val="NormalWeb"/>
        <w:spacing w:before="120" w:beforeAutospacing="0" w:after="0" w:afterAutospacing="0"/>
        <w:jc w:val="both"/>
      </w:pPr>
      <w:r w:rsidRPr="00292382">
        <w:t xml:space="preserve">Atbilstoši </w:t>
      </w:r>
      <w:r w:rsidR="00395C73">
        <w:t xml:space="preserve">šā informatīvā ziņojuma sniegtajai </w:t>
      </w:r>
      <w:r w:rsidRPr="00292382">
        <w:t>informācijai, kā arī ievērojot Ministru kabineta 2019. gada 20. augusta protokollēmumā Nr. 35 18. § “Informatīvais ziņojums “Par “nulles birokrātijas” pieejas ieviešanu tiesību aktu izstrādes procesā””</w:t>
      </w:r>
      <w:r w:rsidR="00395C73">
        <w:t xml:space="preserve"> noteikto</w:t>
      </w:r>
      <w:r w:rsidRPr="00292382">
        <w:t xml:space="preserve">, </w:t>
      </w:r>
      <w:r w:rsidR="00A82049" w:rsidRPr="00292382">
        <w:t>VARAM</w:t>
      </w:r>
      <w:r w:rsidR="009A7C19" w:rsidRPr="00292382">
        <w:t xml:space="preserve"> rosina izstrādāt šādus </w:t>
      </w:r>
      <w:proofErr w:type="spellStart"/>
      <w:r w:rsidR="009A7C19" w:rsidRPr="00292382">
        <w:t>rīcībpolitikas</w:t>
      </w:r>
      <w:proofErr w:type="spellEnd"/>
      <w:r w:rsidR="009A7C19" w:rsidRPr="00292382">
        <w:t xml:space="preserve"> virzienus</w:t>
      </w:r>
      <w:r w:rsidR="00E703EF">
        <w:t>:</w:t>
      </w:r>
    </w:p>
    <w:p w14:paraId="2AE0A4FB" w14:textId="77777777" w:rsidR="00E703EF" w:rsidRDefault="00C353E9" w:rsidP="00E703EF">
      <w:pPr>
        <w:pStyle w:val="ListParagraph"/>
        <w:numPr>
          <w:ilvl w:val="0"/>
          <w:numId w:val="23"/>
        </w:numPr>
        <w:spacing w:before="120"/>
        <w:contextualSpacing w:val="0"/>
        <w:rPr>
          <w:szCs w:val="24"/>
        </w:rPr>
      </w:pPr>
      <w:r w:rsidRPr="00F422CE">
        <w:rPr>
          <w:szCs w:val="24"/>
        </w:rPr>
        <w:t>Vides aizsardzības un reģionālās attīstības ministrijai sagatavot un vides aizsardzības un reģionālās attīstības ministram līdz 202</w:t>
      </w:r>
      <w:r>
        <w:rPr>
          <w:szCs w:val="24"/>
        </w:rPr>
        <w:t>1</w:t>
      </w:r>
      <w:r w:rsidRPr="00F422CE">
        <w:rPr>
          <w:szCs w:val="24"/>
        </w:rPr>
        <w:t>. gada 1. decembrim iesniegt</w:t>
      </w:r>
      <w:r w:rsidRPr="00F422CE">
        <w:rPr>
          <w:rFonts w:ascii="Arial" w:hAnsi="Arial" w:cs="Arial"/>
          <w:sz w:val="20"/>
          <w:szCs w:val="20"/>
          <w:shd w:val="clear" w:color="auto" w:fill="FFFFFF"/>
        </w:rPr>
        <w:t xml:space="preserve"> </w:t>
      </w:r>
      <w:r w:rsidRPr="00F422CE">
        <w:rPr>
          <w:szCs w:val="24"/>
        </w:rPr>
        <w:t>Ministru kabinetā noteikumu projektu par trokšņa stratēģisko karšu un rīcības plānu izstrādi</w:t>
      </w:r>
      <w:r w:rsidR="00D93BC5">
        <w:rPr>
          <w:szCs w:val="24"/>
        </w:rPr>
        <w:t xml:space="preserve">, </w:t>
      </w:r>
      <w:r w:rsidR="00D93BC5" w:rsidRPr="00BE3D5E">
        <w:t>nodrošinot spēkā esošo tehnisko prasību un termiņu pārņemšanu</w:t>
      </w:r>
      <w:r w:rsidRPr="00F422CE">
        <w:rPr>
          <w:szCs w:val="24"/>
        </w:rPr>
        <w:t>;</w:t>
      </w:r>
    </w:p>
    <w:p w14:paraId="213B7DC6" w14:textId="05E6110A" w:rsidR="00C353E9" w:rsidRPr="004E28E3" w:rsidRDefault="00E703EF" w:rsidP="004E28E3">
      <w:pPr>
        <w:pStyle w:val="ListParagraph"/>
        <w:numPr>
          <w:ilvl w:val="0"/>
          <w:numId w:val="23"/>
        </w:numPr>
        <w:spacing w:before="120"/>
        <w:contextualSpacing w:val="0"/>
      </w:pPr>
      <w:r w:rsidRPr="001B4384">
        <w:t>Vides aizsardzības un reģionālās attīstības ministrijai sadarbībā ar nozaru ministrijām izstrādāt un vides aizsardzības un reģionālās attīstības ministram līdz 2021. gada 1. decembrim iesniegt</w:t>
      </w:r>
      <w:r w:rsidRPr="00E703EF">
        <w:rPr>
          <w:shd w:val="clear" w:color="auto" w:fill="FFFFFF"/>
        </w:rPr>
        <w:t xml:space="preserve"> </w:t>
      </w:r>
      <w:r w:rsidRPr="001B4384">
        <w:t>Ministru kabinetā priekšlikumus par g</w:t>
      </w:r>
      <w:r w:rsidRPr="00E703EF">
        <w:rPr>
          <w:iCs/>
        </w:rPr>
        <w:t>rozījumiem normatīvajos aktos satiksmes un rūpniecisko avotu radītā trokšņa pārvaldībai</w:t>
      </w:r>
      <w:r w:rsidRPr="004E28E3">
        <w:rPr>
          <w:iCs/>
        </w:rPr>
        <w:t xml:space="preserve"> un vides trokšņa novērtēšanai telpās.</w:t>
      </w:r>
    </w:p>
    <w:p w14:paraId="7ABD8847" w14:textId="66286F2B" w:rsidR="004E28E3" w:rsidRDefault="004E28E3" w:rsidP="004E28E3">
      <w:pPr>
        <w:pStyle w:val="ListParagraph"/>
        <w:spacing w:before="120"/>
        <w:ind w:left="360" w:firstLine="0"/>
        <w:contextualSpacing w:val="0"/>
      </w:pPr>
    </w:p>
    <w:p w14:paraId="4A89DC2E" w14:textId="77777777" w:rsidR="00807E24" w:rsidRDefault="00807E24" w:rsidP="006672C5">
      <w:pPr>
        <w:tabs>
          <w:tab w:val="left" w:pos="720"/>
          <w:tab w:val="left" w:pos="1440"/>
          <w:tab w:val="left" w:pos="2160"/>
          <w:tab w:val="left" w:pos="2880"/>
          <w:tab w:val="left" w:pos="4320"/>
          <w:tab w:val="left" w:pos="7125"/>
          <w:tab w:val="left" w:pos="7513"/>
        </w:tabs>
        <w:ind w:firstLine="426"/>
        <w:rPr>
          <w:szCs w:val="24"/>
        </w:rPr>
      </w:pPr>
    </w:p>
    <w:p w14:paraId="4F8527E8" w14:textId="77777777" w:rsidR="00807E24" w:rsidRDefault="00807E24" w:rsidP="006672C5">
      <w:pPr>
        <w:tabs>
          <w:tab w:val="left" w:pos="720"/>
          <w:tab w:val="left" w:pos="1440"/>
          <w:tab w:val="left" w:pos="2160"/>
          <w:tab w:val="left" w:pos="2880"/>
          <w:tab w:val="left" w:pos="4320"/>
          <w:tab w:val="left" w:pos="7125"/>
          <w:tab w:val="left" w:pos="7513"/>
        </w:tabs>
        <w:ind w:firstLine="426"/>
        <w:rPr>
          <w:szCs w:val="24"/>
        </w:rPr>
      </w:pPr>
    </w:p>
    <w:p w14:paraId="61E3AA8C" w14:textId="77777777" w:rsidR="00807E24" w:rsidRDefault="00807E24" w:rsidP="006672C5">
      <w:pPr>
        <w:tabs>
          <w:tab w:val="left" w:pos="720"/>
          <w:tab w:val="left" w:pos="1440"/>
          <w:tab w:val="left" w:pos="2160"/>
          <w:tab w:val="left" w:pos="2880"/>
          <w:tab w:val="left" w:pos="4320"/>
          <w:tab w:val="left" w:pos="7125"/>
          <w:tab w:val="left" w:pos="7513"/>
        </w:tabs>
        <w:ind w:firstLine="426"/>
        <w:rPr>
          <w:szCs w:val="24"/>
        </w:rPr>
      </w:pPr>
    </w:p>
    <w:p w14:paraId="2E591A09" w14:textId="062EFFF8" w:rsidR="009E4EB9" w:rsidRPr="00292382" w:rsidRDefault="009E4EB9" w:rsidP="009E4EB9">
      <w:pPr>
        <w:tabs>
          <w:tab w:val="left" w:pos="6521"/>
          <w:tab w:val="left" w:pos="6804"/>
          <w:tab w:val="left" w:pos="6946"/>
          <w:tab w:val="left" w:pos="7371"/>
          <w:tab w:val="left" w:pos="8364"/>
          <w:tab w:val="center" w:pos="8647"/>
        </w:tabs>
        <w:ind w:right="-567" w:firstLine="426"/>
        <w:rPr>
          <w:szCs w:val="28"/>
        </w:rPr>
      </w:pPr>
      <w:r w:rsidRPr="00292382">
        <w:rPr>
          <w:szCs w:val="28"/>
        </w:rPr>
        <w:lastRenderedPageBreak/>
        <w:t xml:space="preserve">Vides aizsardzības un reģionālās attīstības ministrs </w:t>
      </w:r>
      <w:r w:rsidRPr="00292382">
        <w:rPr>
          <w:szCs w:val="28"/>
        </w:rPr>
        <w:tab/>
      </w:r>
      <w:r w:rsidR="005F501F">
        <w:rPr>
          <w:szCs w:val="28"/>
        </w:rPr>
        <w:t>A. T. Plešs</w:t>
      </w:r>
    </w:p>
    <w:p w14:paraId="06FC4B42" w14:textId="77777777" w:rsidR="006562E6" w:rsidRPr="00292382" w:rsidRDefault="006562E6" w:rsidP="00BE3785">
      <w:pPr>
        <w:tabs>
          <w:tab w:val="left" w:pos="6804"/>
          <w:tab w:val="center" w:pos="8647"/>
        </w:tabs>
        <w:ind w:right="-567" w:firstLine="0"/>
        <w:rPr>
          <w:szCs w:val="28"/>
        </w:rPr>
      </w:pPr>
    </w:p>
    <w:p w14:paraId="08742D45" w14:textId="77777777" w:rsidR="00483B4E" w:rsidRPr="00292382" w:rsidRDefault="00483B4E" w:rsidP="00483B4E">
      <w:pPr>
        <w:tabs>
          <w:tab w:val="left" w:pos="6804"/>
          <w:tab w:val="center" w:pos="8647"/>
        </w:tabs>
        <w:ind w:right="-567" w:firstLine="0"/>
        <w:rPr>
          <w:sz w:val="20"/>
          <w:szCs w:val="20"/>
        </w:rPr>
      </w:pPr>
    </w:p>
    <w:p w14:paraId="6636EA6B" w14:textId="77777777" w:rsidR="0080277D" w:rsidRDefault="0080277D" w:rsidP="00483B4E">
      <w:pPr>
        <w:tabs>
          <w:tab w:val="left" w:pos="6804"/>
          <w:tab w:val="center" w:pos="8647"/>
        </w:tabs>
        <w:ind w:right="-567" w:firstLine="0"/>
        <w:rPr>
          <w:sz w:val="20"/>
          <w:szCs w:val="20"/>
        </w:rPr>
      </w:pPr>
    </w:p>
    <w:p w14:paraId="63CBEE26" w14:textId="77777777" w:rsidR="0080277D" w:rsidRDefault="0080277D" w:rsidP="00483B4E">
      <w:pPr>
        <w:tabs>
          <w:tab w:val="left" w:pos="6804"/>
          <w:tab w:val="center" w:pos="8647"/>
        </w:tabs>
        <w:ind w:right="-567" w:firstLine="0"/>
        <w:rPr>
          <w:sz w:val="20"/>
          <w:szCs w:val="20"/>
        </w:rPr>
      </w:pPr>
    </w:p>
    <w:p w14:paraId="217C1B7F" w14:textId="77777777" w:rsidR="0080277D" w:rsidRDefault="0080277D" w:rsidP="00483B4E">
      <w:pPr>
        <w:tabs>
          <w:tab w:val="left" w:pos="6804"/>
          <w:tab w:val="center" w:pos="8647"/>
        </w:tabs>
        <w:ind w:right="-567" w:firstLine="0"/>
        <w:rPr>
          <w:sz w:val="20"/>
          <w:szCs w:val="20"/>
        </w:rPr>
      </w:pPr>
    </w:p>
    <w:p w14:paraId="17DFE165" w14:textId="2E9DD646" w:rsidR="009F619C" w:rsidRPr="00292382" w:rsidRDefault="00D66DF6" w:rsidP="00483B4E">
      <w:pPr>
        <w:tabs>
          <w:tab w:val="left" w:pos="6804"/>
          <w:tab w:val="center" w:pos="8647"/>
        </w:tabs>
        <w:ind w:right="-567" w:firstLine="0"/>
        <w:rPr>
          <w:sz w:val="20"/>
          <w:szCs w:val="20"/>
        </w:rPr>
      </w:pPr>
      <w:r w:rsidRPr="00292382">
        <w:rPr>
          <w:sz w:val="20"/>
          <w:szCs w:val="20"/>
        </w:rPr>
        <w:t>Dipāne</w:t>
      </w:r>
      <w:r w:rsidR="009F619C" w:rsidRPr="00292382">
        <w:rPr>
          <w:sz w:val="20"/>
          <w:szCs w:val="20"/>
        </w:rPr>
        <w:t xml:space="preserve"> </w:t>
      </w:r>
      <w:r w:rsidR="00280859" w:rsidRPr="00292382">
        <w:rPr>
          <w:sz w:val="20"/>
          <w:szCs w:val="20"/>
        </w:rPr>
        <w:t>67026415</w:t>
      </w:r>
    </w:p>
    <w:p w14:paraId="78321A36" w14:textId="77777777" w:rsidR="00E924AE" w:rsidRDefault="005F501F" w:rsidP="00483B4E">
      <w:pPr>
        <w:tabs>
          <w:tab w:val="left" w:pos="6804"/>
          <w:tab w:val="center" w:pos="8647"/>
        </w:tabs>
        <w:ind w:right="-567" w:firstLine="0"/>
        <w:rPr>
          <w:sz w:val="20"/>
          <w:szCs w:val="20"/>
        </w:rPr>
      </w:pPr>
      <w:hyperlink r:id="rId11" w:history="1">
        <w:r w:rsidR="00395C73" w:rsidRPr="00395C73">
          <w:rPr>
            <w:rStyle w:val="Hyperlink"/>
            <w:sz w:val="20"/>
            <w:szCs w:val="20"/>
          </w:rPr>
          <w:t>J</w:t>
        </w:r>
        <w:r w:rsidR="00395C73" w:rsidRPr="005D596F">
          <w:rPr>
            <w:rStyle w:val="Hyperlink"/>
            <w:sz w:val="20"/>
            <w:szCs w:val="20"/>
          </w:rPr>
          <w:t>udite.Dipane@varam.gov.lv</w:t>
        </w:r>
      </w:hyperlink>
    </w:p>
    <w:p w14:paraId="02D69EEF" w14:textId="547D7DD5" w:rsidR="00280859" w:rsidRPr="00341E29" w:rsidRDefault="00280859" w:rsidP="00483B4E">
      <w:pPr>
        <w:tabs>
          <w:tab w:val="left" w:pos="6804"/>
          <w:tab w:val="center" w:pos="8647"/>
        </w:tabs>
        <w:ind w:right="-567" w:firstLine="0"/>
        <w:rPr>
          <w:sz w:val="20"/>
          <w:szCs w:val="20"/>
        </w:rPr>
      </w:pPr>
    </w:p>
    <w:sectPr w:rsidR="00280859" w:rsidRPr="00341E29" w:rsidSect="007D4F44">
      <w:headerReference w:type="default" r:id="rId12"/>
      <w:footerReference w:type="default" r:id="rId13"/>
      <w:footerReference w:type="first" r:id="rId14"/>
      <w:pgSz w:w="11906" w:h="16838"/>
      <w:pgMar w:top="851" w:right="1134"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51D11" w14:textId="77777777" w:rsidR="000724BF" w:rsidRDefault="000724BF" w:rsidP="000F12E9">
      <w:r>
        <w:separator/>
      </w:r>
    </w:p>
  </w:endnote>
  <w:endnote w:type="continuationSeparator" w:id="0">
    <w:p w14:paraId="6335816E" w14:textId="77777777" w:rsidR="000724BF" w:rsidRDefault="000724BF" w:rsidP="000F12E9">
      <w:r>
        <w:continuationSeparator/>
      </w:r>
    </w:p>
  </w:endnote>
  <w:endnote w:type="continuationNotice" w:id="1">
    <w:p w14:paraId="75825F31" w14:textId="77777777" w:rsidR="000724BF" w:rsidRDefault="00072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84BF" w14:textId="60CC1663" w:rsidR="00395C73" w:rsidRPr="00B53D97" w:rsidRDefault="00395C73" w:rsidP="00DF5689">
    <w:pPr>
      <w:pStyle w:val="Footer"/>
      <w:ind w:hanging="142"/>
      <w:rPr>
        <w:sz w:val="20"/>
      </w:rPr>
    </w:pPr>
    <w:r w:rsidRPr="00B53D97">
      <w:rPr>
        <w:sz w:val="20"/>
      </w:rPr>
      <w:t>VARAM</w:t>
    </w:r>
    <w:r>
      <w:rPr>
        <w:sz w:val="20"/>
      </w:rPr>
      <w:t>_Inf_</w:t>
    </w:r>
    <w:r w:rsidRPr="00B53D97">
      <w:rPr>
        <w:sz w:val="20"/>
      </w:rPr>
      <w:t>zin_</w:t>
    </w:r>
    <w:r w:rsidR="00E25586">
      <w:rPr>
        <w:sz w:val="20"/>
      </w:rPr>
      <w:t>23</w:t>
    </w:r>
    <w:r w:rsidR="004E28E3">
      <w:rPr>
        <w:sz w:val="20"/>
      </w:rPr>
      <w:t>1120_</w:t>
    </w:r>
    <w:r>
      <w:rPr>
        <w:sz w:val="20"/>
      </w:rPr>
      <w:t>Troksnis_regulejums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762F" w14:textId="7E2872C4" w:rsidR="00395C73" w:rsidRPr="00B53D97" w:rsidRDefault="00395C73" w:rsidP="00887AFF">
    <w:pPr>
      <w:pStyle w:val="Footer"/>
      <w:ind w:firstLine="0"/>
      <w:rPr>
        <w:sz w:val="20"/>
      </w:rPr>
    </w:pPr>
    <w:r w:rsidRPr="00B53D97">
      <w:rPr>
        <w:sz w:val="20"/>
      </w:rPr>
      <w:t>VARAM</w:t>
    </w:r>
    <w:r>
      <w:rPr>
        <w:sz w:val="20"/>
      </w:rPr>
      <w:t>_Inf_</w:t>
    </w:r>
    <w:r w:rsidRPr="00B53D97">
      <w:rPr>
        <w:sz w:val="20"/>
      </w:rPr>
      <w:t>zin_</w:t>
    </w:r>
    <w:r w:rsidR="00E25586">
      <w:rPr>
        <w:sz w:val="20"/>
      </w:rPr>
      <w:t>23</w:t>
    </w:r>
    <w:r w:rsidR="004E28E3">
      <w:rPr>
        <w:sz w:val="20"/>
      </w:rPr>
      <w:t>11</w:t>
    </w:r>
    <w:r w:rsidR="007E7024">
      <w:rPr>
        <w:sz w:val="20"/>
      </w:rPr>
      <w:t>20</w:t>
    </w:r>
    <w:r>
      <w:rPr>
        <w:sz w:val="20"/>
      </w:rPr>
      <w:t>_Troksnis</w:t>
    </w:r>
    <w:r w:rsidRPr="00B53D97">
      <w:rPr>
        <w:sz w:val="20"/>
      </w:rPr>
      <w:t>_</w:t>
    </w:r>
    <w:r>
      <w:rPr>
        <w:sz w:val="20"/>
      </w:rPr>
      <w:t>regulejums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9A077" w14:textId="77777777" w:rsidR="000724BF" w:rsidRDefault="000724BF" w:rsidP="000F12E9">
      <w:r>
        <w:separator/>
      </w:r>
    </w:p>
  </w:footnote>
  <w:footnote w:type="continuationSeparator" w:id="0">
    <w:p w14:paraId="41A0AC09" w14:textId="77777777" w:rsidR="000724BF" w:rsidRDefault="000724BF" w:rsidP="000F12E9">
      <w:r>
        <w:continuationSeparator/>
      </w:r>
    </w:p>
  </w:footnote>
  <w:footnote w:type="continuationNotice" w:id="1">
    <w:p w14:paraId="07081EAA" w14:textId="77777777" w:rsidR="000724BF" w:rsidRDefault="000724BF"/>
  </w:footnote>
  <w:footnote w:id="2">
    <w:p w14:paraId="6C13025B" w14:textId="4B4A1E27" w:rsidR="00395C73" w:rsidRDefault="00395C73" w:rsidP="000E11B2">
      <w:pPr>
        <w:pStyle w:val="FootnoteText"/>
        <w:ind w:firstLine="0"/>
      </w:pPr>
      <w:r>
        <w:rPr>
          <w:rStyle w:val="FootnoteReference"/>
        </w:rPr>
        <w:footnoteRef/>
      </w:r>
      <w:r w:rsidR="009642D2">
        <w:t> </w:t>
      </w:r>
      <w:r>
        <w:t>Fizikas rokasgrāmata, Zvaigzne, 1988.</w:t>
      </w:r>
    </w:p>
  </w:footnote>
  <w:footnote w:id="3">
    <w:p w14:paraId="347EA529" w14:textId="77777777" w:rsidR="00395C73" w:rsidRPr="00446EF7" w:rsidRDefault="00395C73" w:rsidP="0084092C">
      <w:pPr>
        <w:pStyle w:val="FootnoteText"/>
        <w:tabs>
          <w:tab w:val="left" w:pos="284"/>
        </w:tabs>
        <w:ind w:firstLine="0"/>
      </w:pPr>
      <w:r>
        <w:rPr>
          <w:rStyle w:val="FootnoteReference"/>
        </w:rPr>
        <w:footnoteRef/>
      </w:r>
      <w:r>
        <w:t> </w:t>
      </w:r>
      <w:r w:rsidRPr="00446EF7">
        <w:t>Informat</w:t>
      </w:r>
      <w:r w:rsidRPr="00653626">
        <w:t xml:space="preserve">īvi skaidrojošs materiāls </w:t>
      </w:r>
      <w:r w:rsidRPr="00446EF7">
        <w:t>“Par darba aizsardzību pret troksni industrijā”</w:t>
      </w:r>
      <w:r>
        <w:t>, pieejams Valsts darba inspekcijas tīmekļvietnē</w:t>
      </w:r>
      <w:r w:rsidRPr="00446EF7">
        <w:t xml:space="preserve"> </w:t>
      </w:r>
      <w:hyperlink r:id="rId1" w:history="1">
        <w:r w:rsidRPr="002C7ED7">
          <w:rPr>
            <w:color w:val="0000FF"/>
            <w:u w:val="single"/>
          </w:rPr>
          <w:t>http://www.vdi.gov.lv/files/troksnis_izklaides_industrija.pdf</w:t>
        </w:r>
      </w:hyperlink>
    </w:p>
  </w:footnote>
  <w:footnote w:id="4">
    <w:p w14:paraId="7992ECA9" w14:textId="7573966E" w:rsidR="00395C73" w:rsidRPr="00886ED7" w:rsidRDefault="00395C73" w:rsidP="002C416E">
      <w:pPr>
        <w:pStyle w:val="FootnoteText"/>
        <w:ind w:firstLine="0"/>
      </w:pPr>
      <w:r>
        <w:rPr>
          <w:rStyle w:val="FootnoteReference"/>
        </w:rPr>
        <w:footnoteRef/>
      </w:r>
      <w:r w:rsidR="009642D2">
        <w:t> </w:t>
      </w:r>
      <w:r w:rsidRPr="00886ED7">
        <w:rPr>
          <w:rFonts w:eastAsia="Times New Roman"/>
          <w:bCs/>
        </w:rPr>
        <w:t>Administratīvās apgabaltiesas 2012. gada 11. jūnija sprieduma 16. punkt</w:t>
      </w:r>
      <w:r>
        <w:rPr>
          <w:rFonts w:eastAsia="Times New Roman"/>
          <w:bCs/>
        </w:rPr>
        <w:t>s</w:t>
      </w:r>
      <w:r w:rsidRPr="00886ED7">
        <w:rPr>
          <w:rFonts w:eastAsia="Times New Roman"/>
          <w:bCs/>
        </w:rPr>
        <w:t xml:space="preserve"> lietā Nr. A42436306, pieejams Latvijas Tiesu portāla tīmekļvietnē </w:t>
      </w:r>
      <w:r w:rsidRPr="00886ED7">
        <w:rPr>
          <w:rStyle w:val="Hyperlink"/>
        </w:rPr>
        <w:t xml:space="preserve">https://manas.tiesas.lv/ </w:t>
      </w:r>
      <w:proofErr w:type="spellStart"/>
      <w:r w:rsidRPr="00886ED7">
        <w:rPr>
          <w:rStyle w:val="Hyperlink"/>
        </w:rPr>
        <w:t>eTiesasMvc</w:t>
      </w:r>
      <w:proofErr w:type="spellEnd"/>
      <w:r w:rsidRPr="00886ED7">
        <w:rPr>
          <w:rStyle w:val="Hyperlink"/>
        </w:rPr>
        <w:t>/lv/</w:t>
      </w:r>
      <w:proofErr w:type="spellStart"/>
      <w:r w:rsidRPr="00886ED7">
        <w:rPr>
          <w:rStyle w:val="Hyperlink"/>
        </w:rPr>
        <w:t>nolemumi</w:t>
      </w:r>
      <w:proofErr w:type="spellEnd"/>
    </w:p>
  </w:footnote>
  <w:footnote w:id="5">
    <w:p w14:paraId="2D38BDAB" w14:textId="6E5EF91D" w:rsidR="00395C73" w:rsidRDefault="00395C73" w:rsidP="000E11B2">
      <w:pPr>
        <w:pStyle w:val="FootnoteText"/>
        <w:ind w:firstLine="0"/>
      </w:pPr>
      <w:r>
        <w:rPr>
          <w:rStyle w:val="FootnoteReference"/>
        </w:rPr>
        <w:footnoteRef/>
      </w:r>
      <w:r w:rsidR="009642D2">
        <w:t> </w:t>
      </w:r>
      <w:r>
        <w:t>Likums “Par piesārņojumu” 1. panta 12</w:t>
      </w:r>
      <w:r w:rsidRPr="000E11B2">
        <w:rPr>
          <w:vertAlign w:val="superscript"/>
        </w:rPr>
        <w:t>1</w:t>
      </w:r>
      <w:r w:rsidRPr="000E11B2">
        <w:t>.</w:t>
      </w:r>
      <w:r>
        <w:t> punkts</w:t>
      </w:r>
    </w:p>
  </w:footnote>
  <w:footnote w:id="6">
    <w:p w14:paraId="148DF646" w14:textId="5F8B19EE" w:rsidR="00395C73" w:rsidRDefault="00395C73" w:rsidP="007B35DF">
      <w:pPr>
        <w:pStyle w:val="FootnoteText"/>
        <w:ind w:firstLine="0"/>
      </w:pPr>
      <w:r>
        <w:rPr>
          <w:rStyle w:val="FootnoteReference"/>
        </w:rPr>
        <w:footnoteRef/>
      </w:r>
      <w:r>
        <w:t> “</w:t>
      </w:r>
      <w:proofErr w:type="spellStart"/>
      <w:r w:rsidRPr="006957CA">
        <w:t>Handbook</w:t>
      </w:r>
      <w:proofErr w:type="spellEnd"/>
      <w:r w:rsidRPr="006957CA">
        <w:t xml:space="preserve"> </w:t>
      </w:r>
      <w:proofErr w:type="spellStart"/>
      <w:r w:rsidRPr="006957CA">
        <w:t>on</w:t>
      </w:r>
      <w:proofErr w:type="spellEnd"/>
      <w:r w:rsidRPr="006957CA">
        <w:t xml:space="preserve"> </w:t>
      </w:r>
      <w:proofErr w:type="spellStart"/>
      <w:r w:rsidRPr="006957CA">
        <w:t>the</w:t>
      </w:r>
      <w:proofErr w:type="spellEnd"/>
      <w:r w:rsidRPr="006957CA">
        <w:t xml:space="preserve"> </w:t>
      </w:r>
      <w:proofErr w:type="spellStart"/>
      <w:r w:rsidRPr="006957CA">
        <w:t>Implementation</w:t>
      </w:r>
      <w:proofErr w:type="spellEnd"/>
      <w:r w:rsidRPr="006957CA">
        <w:t xml:space="preserve"> </w:t>
      </w:r>
      <w:proofErr w:type="spellStart"/>
      <w:r w:rsidRPr="006957CA">
        <w:t>of</w:t>
      </w:r>
      <w:proofErr w:type="spellEnd"/>
      <w:r w:rsidRPr="006957CA">
        <w:t xml:space="preserve"> EU </w:t>
      </w:r>
      <w:proofErr w:type="spellStart"/>
      <w:r w:rsidRPr="006957CA">
        <w:t>Environmental</w:t>
      </w:r>
      <w:proofErr w:type="spellEnd"/>
      <w:r w:rsidRPr="006957CA">
        <w:t xml:space="preserve"> </w:t>
      </w:r>
      <w:proofErr w:type="spellStart"/>
      <w:r w:rsidRPr="006957CA">
        <w:t>Legislation</w:t>
      </w:r>
      <w:proofErr w:type="spellEnd"/>
      <w:r w:rsidRPr="006957CA">
        <w:t xml:space="preserve">. </w:t>
      </w:r>
      <w:proofErr w:type="spellStart"/>
      <w:r w:rsidRPr="006957CA">
        <w:t>Section</w:t>
      </w:r>
      <w:proofErr w:type="spellEnd"/>
      <w:r w:rsidRPr="006957CA">
        <w:t xml:space="preserve"> 8 “</w:t>
      </w:r>
      <w:proofErr w:type="spellStart"/>
      <w:r w:rsidRPr="006957CA">
        <w:t>Noise</w:t>
      </w:r>
      <w:proofErr w:type="spellEnd"/>
      <w:r w:rsidRPr="006957CA">
        <w:t>””</w:t>
      </w:r>
      <w:r>
        <w:t xml:space="preserve"> </w:t>
      </w:r>
      <w:hyperlink r:id="rId2" w:history="1">
        <w:r>
          <w:rPr>
            <w:rStyle w:val="Hyperlink"/>
          </w:rPr>
          <w:t>http://www.ecranetwork.org/Files/Handbook_on_Implementation_of_Environmental_Legislation.pdf</w:t>
        </w:r>
      </w:hyperlink>
    </w:p>
  </w:footnote>
  <w:footnote w:id="7">
    <w:p w14:paraId="7ACE5A9D" w14:textId="4AC2EA42" w:rsidR="00395C73" w:rsidRDefault="00395C73" w:rsidP="008D681C">
      <w:pPr>
        <w:pStyle w:val="FootnoteText"/>
        <w:ind w:firstLine="0"/>
      </w:pPr>
      <w:r>
        <w:rPr>
          <w:rStyle w:val="FootnoteReference"/>
        </w:rPr>
        <w:footnoteRef/>
      </w:r>
      <w:r>
        <w:t> Latvijas Republikas Satversmes tiesas spriedums lietā Nr. 2017-02-03, pieejams tiešsaistē: </w:t>
      </w:r>
      <w:hyperlink r:id="rId3" w:anchor="search=" w:history="1">
        <w:r>
          <w:rPr>
            <w:rStyle w:val="Hyperlink"/>
          </w:rPr>
          <w:t>http://www.satv.tiesa.gov.lv/web/viewer.html?file=/wp-content/uploads/2017/01/2017-02-03_Spriedums.pdf#search=</w:t>
        </w:r>
      </w:hyperlink>
    </w:p>
  </w:footnote>
  <w:footnote w:id="8">
    <w:p w14:paraId="252D9E0B" w14:textId="77777777" w:rsidR="00395C73" w:rsidRDefault="00395C73" w:rsidP="006B1327">
      <w:pPr>
        <w:pStyle w:val="FootnoteText"/>
        <w:ind w:firstLine="0"/>
      </w:pPr>
      <w:r>
        <w:rPr>
          <w:rStyle w:val="FootnoteReference"/>
        </w:rPr>
        <w:footnoteRef/>
      </w:r>
      <w:r>
        <w:t xml:space="preserve"> Ministru kabineta 2015. gada 16. jūnija noteikumi Nr. 312 “Noteikumi par Latvijas Būvnormatīvu LBN 016-15 “Būvakustika”</w:t>
      </w:r>
    </w:p>
  </w:footnote>
  <w:footnote w:id="9">
    <w:p w14:paraId="6214D1D4" w14:textId="3CDA36E6" w:rsidR="00395C73" w:rsidRPr="003739F5" w:rsidRDefault="00395C73" w:rsidP="00491A3D">
      <w:pPr>
        <w:pStyle w:val="FootnoteText"/>
        <w:ind w:right="-1" w:firstLine="0"/>
        <w:rPr>
          <w:i/>
        </w:rPr>
      </w:pPr>
      <w:r w:rsidRPr="008B3681">
        <w:rPr>
          <w:rStyle w:val="FootnoteReference"/>
        </w:rPr>
        <w:footnoteRef/>
      </w:r>
      <w:r w:rsidR="009642D2">
        <w:rPr>
          <w:i/>
        </w:rPr>
        <w:t> </w:t>
      </w:r>
      <w:r>
        <w:rPr>
          <w:rFonts w:eastAsia="Times New Roman"/>
          <w:bCs/>
        </w:rPr>
        <w:t>C</w:t>
      </w:r>
      <w:r w:rsidRPr="008B3681">
        <w:rPr>
          <w:rFonts w:eastAsia="Times New Roman"/>
          <w:bCs/>
        </w:rPr>
        <w:t>eļu un dzelzceļu, lidostu satiksme, rūpnieciskās iekārtas, ārpus telpām izmantojamas iekārtas un pārvietojamie mehānismi.</w:t>
      </w:r>
    </w:p>
  </w:footnote>
  <w:footnote w:id="10">
    <w:p w14:paraId="53C296F1" w14:textId="1A78ECB3" w:rsidR="00395C73" w:rsidRPr="003739F5" w:rsidRDefault="00395C73" w:rsidP="009866EF">
      <w:pPr>
        <w:pStyle w:val="NormalWeb"/>
        <w:spacing w:before="0" w:beforeAutospacing="0" w:after="0" w:afterAutospacing="0"/>
        <w:jc w:val="both"/>
        <w:rPr>
          <w:i/>
        </w:rPr>
      </w:pPr>
      <w:r w:rsidRPr="008B3681">
        <w:rPr>
          <w:rStyle w:val="FootnoteReference"/>
          <w:sz w:val="20"/>
          <w:szCs w:val="20"/>
        </w:rPr>
        <w:footnoteRef/>
      </w:r>
      <w:r w:rsidR="009642D2">
        <w:rPr>
          <w:sz w:val="20"/>
          <w:szCs w:val="20"/>
        </w:rPr>
        <w:t> </w:t>
      </w:r>
      <w:r>
        <w:rPr>
          <w:color w:val="000000"/>
          <w:sz w:val="20"/>
          <w:szCs w:val="20"/>
        </w:rPr>
        <w:t>A</w:t>
      </w:r>
      <w:r w:rsidRPr="008B3681">
        <w:rPr>
          <w:color w:val="000000"/>
          <w:sz w:val="20"/>
          <w:szCs w:val="20"/>
        </w:rPr>
        <w:t>glomerācijām ar vairāk nekā 250000 iedzīvotāju un visiem galvenajiem autoceļiem, pa kuriem brauc vairāk nekā seši miljoni transportlīdzekļu gadā, galvenajām dzelzceļa līnijām, pa kurām brauc vairāk nekā 60000 vilcienu sastāvi gadā, un galvenajām lidostām šo dalībvalstu teritorijā.</w:t>
      </w:r>
    </w:p>
  </w:footnote>
  <w:footnote w:id="11">
    <w:p w14:paraId="6B258F17" w14:textId="2C1D4C05" w:rsidR="00395C73" w:rsidRPr="008B3681" w:rsidRDefault="00395C73" w:rsidP="009866EF">
      <w:pPr>
        <w:pStyle w:val="FootnoteText"/>
        <w:ind w:firstLine="0"/>
      </w:pPr>
      <w:r w:rsidRPr="008B3681">
        <w:rPr>
          <w:rStyle w:val="FootnoteReference"/>
        </w:rPr>
        <w:footnoteRef/>
      </w:r>
      <w:r w:rsidR="009642D2">
        <w:t> </w:t>
      </w:r>
      <w:r w:rsidRPr="008B3681">
        <w:t>Robežlielums ir saistošs jebkuram operatoram, kas veic vai ir paredzējis veikt piesārņojošu darbību, kuras izraisīta emisija var ietekmēt attiecīgo teritoriju</w:t>
      </w:r>
    </w:p>
  </w:footnote>
  <w:footnote w:id="12">
    <w:p w14:paraId="1AEF42A5" w14:textId="7AFA301C" w:rsidR="00395C73" w:rsidRPr="008B3681" w:rsidRDefault="00395C73" w:rsidP="009866EF">
      <w:pPr>
        <w:pStyle w:val="FootnoteText"/>
        <w:ind w:right="-567" w:firstLine="0"/>
      </w:pPr>
      <w:r w:rsidRPr="00CF14C0">
        <w:rPr>
          <w:vertAlign w:val="superscript"/>
        </w:rPr>
        <w:footnoteRef/>
      </w:r>
      <w:r w:rsidR="009642D2">
        <w:t> </w:t>
      </w:r>
      <w:r w:rsidRPr="008B3681">
        <w:t>Likuma “Par piesārņojumu” 13. panta trešā daļa.</w:t>
      </w:r>
    </w:p>
  </w:footnote>
  <w:footnote w:id="13">
    <w:p w14:paraId="67DC6CF6" w14:textId="5FF5698A" w:rsidR="00395C73" w:rsidRPr="002C416E" w:rsidRDefault="00395C73" w:rsidP="00670A8E">
      <w:pPr>
        <w:pStyle w:val="FootnoteText"/>
        <w:ind w:firstLine="0"/>
      </w:pPr>
      <w:r w:rsidRPr="00CF14C0">
        <w:rPr>
          <w:rStyle w:val="FootnoteReference"/>
        </w:rPr>
        <w:footnoteRef/>
      </w:r>
      <w:r>
        <w:rPr>
          <w:i/>
        </w:rPr>
        <w:t> </w:t>
      </w:r>
      <w:r>
        <w:rPr>
          <w:shd w:val="clear" w:color="auto" w:fill="FFFFFF"/>
        </w:rPr>
        <w:t>T</w:t>
      </w:r>
      <w:r w:rsidRPr="002C416E">
        <w:rPr>
          <w:shd w:val="clear" w:color="auto" w:fill="FFFFFF"/>
        </w:rPr>
        <w:t>roksnis, kas izplatās gaisā un ko rada transportlīdzekļi, ražošanas iekārtas, celtniecības mašīnas, ierīces un cits darba aprīkojums, dzīvojamo un publisko ēku uzturēšanas un apkopes iekārtas un sistēmas (piemēram, ventilācijas, apkures, liftu, atkritumu vadu sistēmas), mājsaimniecības ierīces, skaņu un mūzikas iekārtas un cita saimnieciskā (arī mājsaimniecības) darbība.</w:t>
      </w:r>
    </w:p>
  </w:footnote>
  <w:footnote w:id="14">
    <w:p w14:paraId="0E4CFBFA" w14:textId="4D51019F" w:rsidR="00395C73" w:rsidRPr="002C416E" w:rsidRDefault="00395C73" w:rsidP="008C48B2">
      <w:pPr>
        <w:pStyle w:val="FootnoteText"/>
        <w:ind w:firstLine="0"/>
        <w:rPr>
          <w:rFonts w:cs="Times New Roman"/>
        </w:rPr>
      </w:pPr>
      <w:r w:rsidRPr="002C416E">
        <w:rPr>
          <w:rStyle w:val="FootnoteReference"/>
          <w:rFonts w:cs="Times New Roman"/>
        </w:rPr>
        <w:footnoteRef/>
      </w:r>
      <w:r>
        <w:rPr>
          <w:rFonts w:cs="Times New Roman"/>
        </w:rPr>
        <w:t> </w:t>
      </w:r>
      <w:r w:rsidRPr="002C416E">
        <w:rPr>
          <w:rFonts w:cs="Times New Roman"/>
        </w:rPr>
        <w:t>Vides aizsardzības likuma 3. panta 1., 3.</w:t>
      </w:r>
      <w:r>
        <w:rPr>
          <w:rFonts w:cs="Times New Roman"/>
        </w:rPr>
        <w:t xml:space="preserve"> un </w:t>
      </w:r>
      <w:r w:rsidRPr="002C416E">
        <w:rPr>
          <w:rFonts w:cs="Times New Roman"/>
        </w:rPr>
        <w:t xml:space="preserve">4. punkts. </w:t>
      </w:r>
    </w:p>
  </w:footnote>
  <w:footnote w:id="15">
    <w:p w14:paraId="438707B2" w14:textId="0C3FD0C5" w:rsidR="00395C73" w:rsidRPr="00CE337F" w:rsidRDefault="00395C73" w:rsidP="00CE337F">
      <w:pPr>
        <w:pStyle w:val="FootnoteText"/>
        <w:spacing w:before="120"/>
        <w:ind w:firstLine="0"/>
        <w:contextualSpacing/>
        <w:rPr>
          <w:i/>
        </w:rPr>
      </w:pPr>
      <w:r w:rsidRPr="00CF14C0">
        <w:rPr>
          <w:rStyle w:val="FootnoteReference"/>
          <w:sz w:val="22"/>
          <w:szCs w:val="22"/>
        </w:rPr>
        <w:footnoteRef/>
      </w:r>
      <w:r>
        <w:rPr>
          <w:i/>
          <w:sz w:val="22"/>
          <w:szCs w:val="22"/>
        </w:rPr>
        <w:t> </w:t>
      </w:r>
      <w:r w:rsidRPr="00CE337F">
        <w:t>Likuma “Par ietekmes uz vidi novērtējumu” 1.panta 2.</w:t>
      </w:r>
      <w:r>
        <w:t> </w:t>
      </w:r>
      <w:r w:rsidRPr="00CE337F">
        <w:t>punkts.</w:t>
      </w:r>
    </w:p>
  </w:footnote>
  <w:footnote w:id="16">
    <w:p w14:paraId="2E3F0B5C" w14:textId="0738D99B" w:rsidR="00395C73" w:rsidRPr="00CE337F" w:rsidRDefault="00395C73" w:rsidP="00CE337F">
      <w:pPr>
        <w:pStyle w:val="FootnoteText"/>
        <w:spacing w:before="120"/>
        <w:ind w:firstLine="0"/>
        <w:contextualSpacing/>
        <w:rPr>
          <w:i/>
        </w:rPr>
      </w:pPr>
      <w:r w:rsidRPr="00CF14C0">
        <w:rPr>
          <w:rStyle w:val="FootnoteReference"/>
        </w:rPr>
        <w:footnoteRef/>
      </w:r>
      <w:r>
        <w:t> </w:t>
      </w:r>
      <w:r w:rsidRPr="00CE337F">
        <w:t>Ministru kabineta 2015. gada 13. janvāra noteikumu Nr.</w:t>
      </w:r>
      <w:r>
        <w:t> </w:t>
      </w:r>
      <w:r w:rsidRPr="00CE337F">
        <w:t>18 2. pielikuma 5.3. un 8.4. apakšpunkts.</w:t>
      </w:r>
    </w:p>
  </w:footnote>
  <w:footnote w:id="17">
    <w:p w14:paraId="50842AB0" w14:textId="56D5EF59" w:rsidR="00395C73" w:rsidRPr="000D37E2" w:rsidRDefault="00395C73" w:rsidP="00846183">
      <w:pPr>
        <w:ind w:firstLine="0"/>
        <w:rPr>
          <w:sz w:val="20"/>
          <w:szCs w:val="20"/>
        </w:rPr>
      </w:pPr>
      <w:r>
        <w:rPr>
          <w:rStyle w:val="FootnoteReference"/>
        </w:rPr>
        <w:footnoteRef/>
      </w:r>
      <w:r>
        <w:t> </w:t>
      </w:r>
      <w:r w:rsidRPr="000D37E2">
        <w:rPr>
          <w:sz w:val="20"/>
          <w:szCs w:val="20"/>
        </w:rPr>
        <w:t>Lietuvas Republikas Veselības ministrijas 2018. gada 14.</w:t>
      </w:r>
      <w:r>
        <w:rPr>
          <w:sz w:val="20"/>
          <w:szCs w:val="20"/>
        </w:rPr>
        <w:t> </w:t>
      </w:r>
      <w:r w:rsidRPr="000D37E2">
        <w:rPr>
          <w:sz w:val="20"/>
          <w:szCs w:val="20"/>
        </w:rPr>
        <w:t xml:space="preserve">februāra rīkojums par Lietuvas higiēnas standarta HN 33: 2011 “Trokšņa ierobežojumi dzīvojamo un sabiedrisko pakalpojumu ēkās un to vidē” apstiprināšanu publiski pieejams: </w:t>
      </w:r>
      <w:hyperlink r:id="rId4" w:history="1">
        <w:r w:rsidRPr="000D37E2">
          <w:rPr>
            <w:rStyle w:val="Hyperlink"/>
            <w:sz w:val="20"/>
            <w:szCs w:val="20"/>
          </w:rPr>
          <w:t>https://e-seimas.lrs.lt/portal/legalAct/lt/TAD/TAIS.402074/asr</w:t>
        </w:r>
      </w:hyperlink>
      <w:r w:rsidRPr="000D37E2">
        <w:rPr>
          <w:sz w:val="20"/>
          <w:szCs w:val="20"/>
        </w:rPr>
        <w:t>.</w:t>
      </w:r>
    </w:p>
  </w:footnote>
  <w:footnote w:id="18">
    <w:p w14:paraId="79667A6D" w14:textId="684BFDA0" w:rsidR="00395C73" w:rsidRDefault="00395C73" w:rsidP="00846183">
      <w:pPr>
        <w:pStyle w:val="FootnoteText"/>
        <w:ind w:firstLine="0"/>
      </w:pPr>
      <w:r>
        <w:rPr>
          <w:rStyle w:val="FootnoteReference"/>
        </w:rPr>
        <w:footnoteRef/>
      </w:r>
      <w:r>
        <w:t> Maksimāli pieļaujamais trokšņa līmenis dzīvojamo un publisko ēku teritorijā, kas pakļauta satiksmes troksnim, ir atšķirīgs no maksimāli pieļaujamā trokšņa līmeņa dzīvojamo un publisko ēku teritorijā, kas pakļauta rūpniecisko avotu radītam troksnim.</w:t>
      </w:r>
    </w:p>
  </w:footnote>
  <w:footnote w:id="19">
    <w:p w14:paraId="43A39E24" w14:textId="320BAA5D" w:rsidR="00395C73" w:rsidRPr="00CE337F" w:rsidRDefault="00395C73" w:rsidP="00CE337F">
      <w:pPr>
        <w:shd w:val="clear" w:color="auto" w:fill="FFFFFF"/>
        <w:spacing w:before="120"/>
        <w:ind w:firstLine="0"/>
        <w:contextualSpacing/>
        <w:rPr>
          <w:sz w:val="20"/>
          <w:szCs w:val="20"/>
        </w:rPr>
      </w:pPr>
      <w:r w:rsidRPr="00CE337F">
        <w:rPr>
          <w:rStyle w:val="FootnoteReference"/>
          <w:sz w:val="20"/>
          <w:szCs w:val="20"/>
        </w:rPr>
        <w:footnoteRef/>
      </w:r>
      <w:r>
        <w:rPr>
          <w:sz w:val="20"/>
          <w:szCs w:val="20"/>
        </w:rPr>
        <w:t> </w:t>
      </w:r>
      <w:r w:rsidRPr="00CE337F">
        <w:rPr>
          <w:sz w:val="20"/>
          <w:szCs w:val="20"/>
        </w:rPr>
        <w:t>Ministru kabineta 2010. gada 30. novembra noteikumi Nr. 1082 “Kārtība, kādā piesakāmas A, B un C kategorijas piesārņojošas darbības un izsniedzamas atļaujas A un B kategorijas piesārņojošo darbību veikšanai”</w:t>
      </w:r>
    </w:p>
  </w:footnote>
  <w:footnote w:id="20">
    <w:p w14:paraId="0E2B41D5" w14:textId="464DCA3A" w:rsidR="00395C73" w:rsidRPr="00B10FAE" w:rsidRDefault="00395C73" w:rsidP="00076D68">
      <w:pPr>
        <w:pStyle w:val="FootnoteText"/>
        <w:ind w:firstLine="0"/>
      </w:pPr>
      <w:r>
        <w:rPr>
          <w:rStyle w:val="FootnoteReference"/>
        </w:rPr>
        <w:footnoteRef/>
      </w:r>
      <w:r>
        <w:t> </w:t>
      </w:r>
      <w:r w:rsidRPr="00B10FAE">
        <w:t>Ministru kabineta 2003.</w:t>
      </w:r>
      <w:r>
        <w:t> </w:t>
      </w:r>
      <w:r w:rsidRPr="00B10FAE">
        <w:t>gada 4.</w:t>
      </w:r>
      <w:r>
        <w:t> </w:t>
      </w:r>
      <w:r w:rsidRPr="00B10FAE">
        <w:t>februāra noteikumos Nr.66</w:t>
      </w:r>
      <w:r>
        <w:t> </w:t>
      </w:r>
      <w:r w:rsidRPr="00B10FAE">
        <w:t>“Darba aizsardzības prasības nodarbināto aizsardzībai pret darba vides trokšņa radīto risku”</w:t>
      </w:r>
    </w:p>
  </w:footnote>
  <w:footnote w:id="21">
    <w:p w14:paraId="41056A4C" w14:textId="56218B63" w:rsidR="00395C73" w:rsidRPr="00B07DD5" w:rsidRDefault="00395C73" w:rsidP="00076D68">
      <w:pPr>
        <w:pStyle w:val="doc-ti"/>
        <w:spacing w:before="0" w:beforeAutospacing="0" w:after="0" w:afterAutospacing="0"/>
        <w:jc w:val="both"/>
      </w:pPr>
      <w:r>
        <w:rPr>
          <w:rStyle w:val="FootnoteReference"/>
        </w:rPr>
        <w:footnoteRef/>
      </w:r>
      <w:r>
        <w:t> </w:t>
      </w:r>
      <w:r w:rsidRPr="00AC714D">
        <w:rPr>
          <w:rFonts w:eastAsiaTheme="minorHAnsi" w:cstheme="minorBidi"/>
          <w:sz w:val="20"/>
          <w:szCs w:val="20"/>
          <w:lang w:eastAsia="en-US"/>
        </w:rPr>
        <w:t>Eiropas Parlamenta un Padomes 2006. gada 17.</w:t>
      </w:r>
      <w:r>
        <w:rPr>
          <w:rFonts w:eastAsiaTheme="minorHAnsi" w:cstheme="minorBidi"/>
          <w:sz w:val="20"/>
          <w:szCs w:val="20"/>
          <w:lang w:eastAsia="en-US"/>
        </w:rPr>
        <w:t> </w:t>
      </w:r>
      <w:r w:rsidRPr="00AC714D">
        <w:rPr>
          <w:rFonts w:eastAsiaTheme="minorHAnsi" w:cstheme="minorBidi"/>
          <w:sz w:val="20"/>
          <w:szCs w:val="20"/>
          <w:lang w:eastAsia="en-US"/>
        </w:rPr>
        <w:t xml:space="preserve">maija </w:t>
      </w:r>
      <w:r>
        <w:rPr>
          <w:rFonts w:eastAsiaTheme="minorHAnsi" w:cstheme="minorBidi"/>
          <w:sz w:val="20"/>
          <w:szCs w:val="20"/>
          <w:lang w:eastAsia="en-US"/>
        </w:rPr>
        <w:t>D</w:t>
      </w:r>
      <w:r w:rsidRPr="00AC714D">
        <w:rPr>
          <w:rFonts w:eastAsiaTheme="minorHAnsi" w:cstheme="minorBidi"/>
          <w:sz w:val="20"/>
          <w:szCs w:val="20"/>
          <w:lang w:eastAsia="en-US"/>
        </w:rPr>
        <w:t>irektīva 2006/42/E</w:t>
      </w:r>
      <w:r>
        <w:rPr>
          <w:rFonts w:eastAsiaTheme="minorHAnsi" w:cstheme="minorBidi"/>
          <w:sz w:val="20"/>
          <w:szCs w:val="20"/>
          <w:lang w:eastAsia="en-US"/>
        </w:rPr>
        <w:t>K</w:t>
      </w:r>
      <w:r w:rsidRPr="00AC714D">
        <w:rPr>
          <w:rFonts w:eastAsiaTheme="minorHAnsi" w:cstheme="minorBidi"/>
          <w:sz w:val="20"/>
          <w:szCs w:val="20"/>
          <w:lang w:eastAsia="en-US"/>
        </w:rPr>
        <w:t xml:space="preserve"> par mašīnām; citas t.s. produktu direktīvas, piem., par pieļaujamo trokšņa līmeni un marķējumu mehāniskajiem transportlīdzekļiem, lauksaimniecības un mežsaimniecības riteņtraktoriem, divriteņu un trīsriteņu mehāniskajiem transportlīdzekļiem, Eiropas Parlamenta un Padomes 2014. gada 16. aprīļa </w:t>
      </w:r>
      <w:r>
        <w:rPr>
          <w:rFonts w:eastAsiaTheme="minorHAnsi" w:cstheme="minorBidi"/>
          <w:sz w:val="20"/>
          <w:szCs w:val="20"/>
          <w:lang w:eastAsia="en-US"/>
        </w:rPr>
        <w:t>R</w:t>
      </w:r>
      <w:r w:rsidRPr="00AC714D">
        <w:rPr>
          <w:rFonts w:eastAsiaTheme="minorHAnsi" w:cstheme="minorBidi"/>
          <w:sz w:val="20"/>
          <w:szCs w:val="20"/>
          <w:lang w:eastAsia="en-US"/>
        </w:rPr>
        <w:t>egula 540/2014</w:t>
      </w:r>
      <w:r>
        <w:rPr>
          <w:rFonts w:eastAsiaTheme="minorHAnsi" w:cstheme="minorBidi"/>
          <w:sz w:val="20"/>
          <w:szCs w:val="20"/>
          <w:lang w:eastAsia="en-US"/>
        </w:rPr>
        <w:t>/ES</w:t>
      </w:r>
      <w:r w:rsidRPr="00AC714D">
        <w:rPr>
          <w:rFonts w:eastAsiaTheme="minorHAnsi" w:cstheme="minorBidi"/>
          <w:sz w:val="20"/>
          <w:szCs w:val="20"/>
          <w:lang w:eastAsia="en-US"/>
        </w:rPr>
        <w:t xml:space="preserve"> par mehānisko transportlīdzekļu skaņas līmeni un rezerves trokšņa slāpēšanas sistēmām, Komisijas 2013. gada 16. decembra </w:t>
      </w:r>
      <w:r>
        <w:rPr>
          <w:rFonts w:eastAsiaTheme="minorHAnsi" w:cstheme="minorBidi"/>
          <w:sz w:val="20"/>
          <w:szCs w:val="20"/>
          <w:lang w:eastAsia="en-US"/>
        </w:rPr>
        <w:t>R</w:t>
      </w:r>
      <w:r w:rsidRPr="00AC714D">
        <w:rPr>
          <w:rFonts w:eastAsiaTheme="minorHAnsi" w:cstheme="minorBidi"/>
          <w:sz w:val="20"/>
          <w:szCs w:val="20"/>
          <w:lang w:eastAsia="en-US"/>
        </w:rPr>
        <w:t>egula 134/2014</w:t>
      </w:r>
      <w:r>
        <w:rPr>
          <w:rFonts w:eastAsiaTheme="minorHAnsi" w:cstheme="minorBidi"/>
          <w:sz w:val="20"/>
          <w:szCs w:val="20"/>
          <w:lang w:eastAsia="en-US"/>
        </w:rPr>
        <w:t>/ES,</w:t>
      </w:r>
      <w:r w:rsidRPr="00AC714D">
        <w:rPr>
          <w:rFonts w:eastAsiaTheme="minorHAnsi" w:cstheme="minorBidi"/>
          <w:sz w:val="20"/>
          <w:szCs w:val="20"/>
          <w:lang w:eastAsia="en-US"/>
        </w:rPr>
        <w:t xml:space="preserve"> ar ko papildina Eiropas Parlamenta un Padomes Regulu Nr.</w:t>
      </w:r>
      <w:r>
        <w:rPr>
          <w:rFonts w:eastAsiaTheme="minorHAnsi" w:cstheme="minorBidi"/>
          <w:sz w:val="20"/>
          <w:szCs w:val="20"/>
          <w:lang w:eastAsia="en-US"/>
        </w:rPr>
        <w:t> </w:t>
      </w:r>
      <w:r w:rsidRPr="00AC714D">
        <w:rPr>
          <w:rFonts w:eastAsiaTheme="minorHAnsi" w:cstheme="minorBidi"/>
          <w:sz w:val="20"/>
          <w:szCs w:val="20"/>
          <w:lang w:eastAsia="en-US"/>
        </w:rPr>
        <w:t>168/2013</w:t>
      </w:r>
      <w:r>
        <w:rPr>
          <w:rFonts w:eastAsiaTheme="minorHAnsi" w:cstheme="minorBidi"/>
          <w:sz w:val="20"/>
          <w:szCs w:val="20"/>
          <w:lang w:eastAsia="en-US"/>
        </w:rPr>
        <w:t>/ES</w:t>
      </w:r>
      <w:r w:rsidRPr="00AC714D">
        <w:rPr>
          <w:rFonts w:eastAsiaTheme="minorHAnsi" w:cstheme="minorBidi"/>
          <w:sz w:val="20"/>
          <w:szCs w:val="20"/>
          <w:lang w:eastAsia="en-US"/>
        </w:rPr>
        <w:t xml:space="preserve"> attiecībā uz ekoloģiskajiem raksturlielumiem un </w:t>
      </w:r>
      <w:proofErr w:type="spellStart"/>
      <w:r w:rsidRPr="00AC714D">
        <w:rPr>
          <w:rFonts w:eastAsiaTheme="minorHAnsi" w:cstheme="minorBidi"/>
          <w:sz w:val="20"/>
          <w:szCs w:val="20"/>
          <w:lang w:eastAsia="en-US"/>
        </w:rPr>
        <w:t>spēkiekārtu</w:t>
      </w:r>
      <w:proofErr w:type="spellEnd"/>
      <w:r w:rsidRPr="00AC714D">
        <w:rPr>
          <w:rFonts w:eastAsiaTheme="minorHAnsi" w:cstheme="minorBidi"/>
          <w:sz w:val="20"/>
          <w:szCs w:val="20"/>
          <w:lang w:eastAsia="en-US"/>
        </w:rPr>
        <w:t xml:space="preserve"> veiktspēju un groza tās V pielikumu u.c.</w:t>
      </w:r>
      <w:r w:rsidRPr="00B07DD5">
        <w:rPr>
          <w:bCs/>
          <w:color w:val="000000"/>
          <w:sz w:val="22"/>
          <w:szCs w:val="22"/>
        </w:rPr>
        <w:t xml:space="preserve"> </w:t>
      </w:r>
    </w:p>
  </w:footnote>
  <w:footnote w:id="22">
    <w:p w14:paraId="43EA933B" w14:textId="15247568" w:rsidR="00395C73" w:rsidRPr="00EB4BA1" w:rsidRDefault="00395C73" w:rsidP="00076D68">
      <w:pPr>
        <w:pStyle w:val="FootnoteText"/>
        <w:ind w:firstLine="0"/>
      </w:pPr>
      <w:r>
        <w:rPr>
          <w:rStyle w:val="FootnoteReference"/>
        </w:rPr>
        <w:footnoteRef/>
      </w:r>
      <w:r>
        <w:t> Epidemioloģiskās drošības likuma 1. panta astotā un 37. daļa, Ministru kabineta 2002. gada 27. decembra noteikumu Nr. 610 “Higiēnas prasības izglītības iestādēm, kas īsteno vispārējās pamatizglītības, vispārējās vidējās izglītības, profesionālās pamatizglītības, arodizglītības vai profesionālās vidējās izglītības programmas”13. punkts.</w:t>
      </w:r>
    </w:p>
  </w:footnote>
  <w:footnote w:id="23">
    <w:p w14:paraId="03D2831F" w14:textId="32B8D798" w:rsidR="00395C73" w:rsidRPr="00877691" w:rsidRDefault="00395C73" w:rsidP="00F8298E">
      <w:pPr>
        <w:pStyle w:val="FootnoteText"/>
        <w:ind w:firstLine="0"/>
      </w:pPr>
      <w:r>
        <w:rPr>
          <w:rStyle w:val="FootnoteReference"/>
        </w:rPr>
        <w:footnoteRef/>
      </w:r>
      <w:r>
        <w:t> </w:t>
      </w:r>
      <w:r w:rsidRPr="00877691">
        <w:rPr>
          <w:rFonts w:cs="Times New Roman"/>
          <w:bCs/>
        </w:rPr>
        <w:t>Pasaules Veselības organizācijas</w:t>
      </w:r>
      <w:r>
        <w:rPr>
          <w:rFonts w:cs="Times New Roman"/>
          <w:bCs/>
        </w:rPr>
        <w:t xml:space="preserve"> </w:t>
      </w:r>
      <w:r w:rsidRPr="00877691">
        <w:rPr>
          <w:rFonts w:cs="Times New Roman"/>
          <w:bCs/>
        </w:rPr>
        <w:t>vadlīnijas par vides troksni Eiropas reģionam</w:t>
      </w:r>
      <w:r>
        <w:rPr>
          <w:rFonts w:cs="Times New Roman"/>
          <w:bCs/>
        </w:rPr>
        <w:t xml:space="preserve"> (2018) </w:t>
      </w:r>
      <w:hyperlink r:id="rId5" w:history="1">
        <w:r>
          <w:rPr>
            <w:rStyle w:val="Hyperlink"/>
          </w:rPr>
          <w:t>http://www.euro.who.int/en/health-topics/environment-and-health/noise/environmental-noise-guidelines-for-the-european-region</w:t>
        </w:r>
      </w:hyperlink>
    </w:p>
  </w:footnote>
  <w:footnote w:id="24">
    <w:p w14:paraId="5B67F44E" w14:textId="0E4E2657" w:rsidR="00EF52A9" w:rsidRDefault="00EF52A9" w:rsidP="00F4266A">
      <w:pPr>
        <w:pStyle w:val="FootnoteText"/>
        <w:ind w:firstLine="0"/>
      </w:pPr>
      <w:r>
        <w:rPr>
          <w:rStyle w:val="FootnoteReference"/>
        </w:rPr>
        <w:footnoteRef/>
      </w:r>
      <w:r>
        <w:t xml:space="preserve"> Veselības ministrijas </w:t>
      </w:r>
      <w:r w:rsidR="00CA5E7D">
        <w:t>20</w:t>
      </w:r>
      <w:r w:rsidR="00745C76">
        <w:t xml:space="preserve">16. gada 3. februāra vēstule Nr. 01-11/529 “Par grozījumiem Ministru kabineta </w:t>
      </w:r>
      <w:r w:rsidR="006F75D0">
        <w:t xml:space="preserve">2014. gada 7. janvāra noteikumos Nr. 16 “Trokšņa novērtēšanas un </w:t>
      </w:r>
      <w:r w:rsidR="00F4266A">
        <w:t>pārvaldības kārtība”</w:t>
      </w:r>
    </w:p>
  </w:footnote>
  <w:footnote w:id="25">
    <w:p w14:paraId="07CBC24D" w14:textId="77777777" w:rsidR="00395C73" w:rsidRDefault="00395C73" w:rsidP="00F8298E">
      <w:pPr>
        <w:pStyle w:val="FootnoteText"/>
        <w:spacing w:before="120"/>
        <w:ind w:firstLine="0"/>
        <w:contextualSpacing/>
      </w:pPr>
      <w:r>
        <w:rPr>
          <w:rStyle w:val="FootnoteReference"/>
        </w:rPr>
        <w:footnoteRef/>
      </w:r>
      <w:r>
        <w:t xml:space="preserve"> Latvijas Republikas Satversmes tiesas tīmekļvietne </w:t>
      </w:r>
      <w:hyperlink r:id="rId6" w:history="1">
        <w:r w:rsidRPr="00CF55F1">
          <w:rPr>
            <w:rStyle w:val="Hyperlink"/>
          </w:rPr>
          <w:t>https://www.satv.tiesa.gov.lv/cases/?case-filter-years=%5B2017%5D&amp;case-filter-status=&amp;case-filter-types=&amp;case-filter-result=&amp;searchtext=trok%C5%A1%C5%86u</w:t>
        </w:r>
      </w:hyperlink>
      <w:r>
        <w:t xml:space="preserve"> </w:t>
      </w:r>
    </w:p>
  </w:footnote>
  <w:footnote w:id="26">
    <w:p w14:paraId="64860D4E" w14:textId="7471B53B" w:rsidR="00395C73" w:rsidRDefault="00395C73" w:rsidP="00B82C23">
      <w:pPr>
        <w:pStyle w:val="FootnoteText"/>
        <w:ind w:firstLine="0"/>
      </w:pPr>
      <w:r>
        <w:rPr>
          <w:rStyle w:val="FootnoteReference"/>
        </w:rPr>
        <w:footnoteRef/>
      </w:r>
      <w:r>
        <w:t xml:space="preserve"> Rīgas Stradiņa Universitātes 2015. gada zinātniskās konferences tēzes, 176. lpp. </w:t>
      </w:r>
      <w:hyperlink r:id="rId7" w:history="1">
        <w:r>
          <w:rPr>
            <w:rStyle w:val="Hyperlink"/>
          </w:rPr>
          <w:t>https://www.rsu.lv/sites/default/files/imce/Zin%C4%81tnes%20departaments/rsu_zinatniska_konference_2015_tezes.pdf</w:t>
        </w:r>
      </w:hyperlink>
    </w:p>
  </w:footnote>
  <w:footnote w:id="27">
    <w:p w14:paraId="3F703A60" w14:textId="0773F5D4" w:rsidR="006957CA" w:rsidRPr="001D72C9" w:rsidRDefault="006957CA" w:rsidP="006957CA">
      <w:pPr>
        <w:pStyle w:val="FootnoteText"/>
        <w:ind w:firstLine="0"/>
      </w:pPr>
      <w:r>
        <w:rPr>
          <w:rStyle w:val="FootnoteReference"/>
        </w:rPr>
        <w:footnoteRef/>
      </w:r>
      <w:r>
        <w:t xml:space="preserve"> </w:t>
      </w:r>
      <w:r w:rsidRPr="001D72C9">
        <w:t xml:space="preserve">Veselības ministrijas </w:t>
      </w:r>
      <w:r w:rsidR="00082B6B" w:rsidRPr="001D72C9">
        <w:t>2020.gada 29.aprīļa vēstule Nr.01-09/2281</w:t>
      </w:r>
    </w:p>
  </w:footnote>
  <w:footnote w:id="28">
    <w:p w14:paraId="76F69D1F" w14:textId="51D121B4" w:rsidR="00395C73" w:rsidRPr="00585B03" w:rsidRDefault="00395C73" w:rsidP="00877691">
      <w:pPr>
        <w:pStyle w:val="title-doc-first"/>
        <w:spacing w:before="0" w:beforeAutospacing="0" w:after="0" w:afterAutospacing="0"/>
        <w:contextualSpacing/>
        <w:jc w:val="both"/>
      </w:pPr>
      <w:r w:rsidRPr="00585B03">
        <w:rPr>
          <w:rStyle w:val="FootnoteReference"/>
          <w:sz w:val="20"/>
          <w:szCs w:val="20"/>
        </w:rPr>
        <w:footnoteRef/>
      </w:r>
      <w:r>
        <w:rPr>
          <w:sz w:val="20"/>
          <w:szCs w:val="20"/>
        </w:rPr>
        <w:t xml:space="preserve"> Padomes 1970. gada 6. februāra Direktīva Nr. 70/157/EEK </w:t>
      </w:r>
      <w:r w:rsidRPr="00585B03">
        <w:rPr>
          <w:rFonts w:eastAsia="Arial Unicode MS"/>
          <w:bCs/>
          <w:color w:val="000000"/>
          <w:sz w:val="20"/>
          <w:szCs w:val="20"/>
        </w:rPr>
        <w:t>par dalībvalstu tiesību aktu tuvināšanu attiecībā uz mehānisko transportlīdzekļu pieļaujamo trokšņu līmeni un izplūdes gāzu sistēmu</w:t>
      </w:r>
      <w:r>
        <w:rPr>
          <w:rFonts w:eastAsia="Arial Unicode MS"/>
          <w:bCs/>
          <w:color w:val="000000"/>
          <w:sz w:val="20"/>
          <w:szCs w:val="20"/>
        </w:rPr>
        <w:t xml:space="preserve"> (2013. gada 1. jūlija jaunākā konsolidētā versija) un Eiropas Parlamenta un Padomes 2009. gada 13. jūlija Regula </w:t>
      </w:r>
      <w:r w:rsidRPr="00375C48">
        <w:rPr>
          <w:rFonts w:eastAsia="Arial Unicode MS"/>
          <w:bCs/>
          <w:color w:val="000000"/>
          <w:sz w:val="20"/>
          <w:szCs w:val="20"/>
        </w:rPr>
        <w:t>Nr.</w:t>
      </w:r>
      <w:r>
        <w:rPr>
          <w:rFonts w:eastAsia="Arial Unicode MS"/>
          <w:bCs/>
          <w:color w:val="000000"/>
          <w:sz w:val="20"/>
          <w:szCs w:val="20"/>
        </w:rPr>
        <w:t> </w:t>
      </w:r>
      <w:r w:rsidRPr="00375C48">
        <w:rPr>
          <w:rFonts w:eastAsia="Arial Unicode MS"/>
          <w:bCs/>
          <w:color w:val="000000"/>
          <w:sz w:val="20"/>
          <w:szCs w:val="20"/>
        </w:rPr>
        <w:t>661/2009</w:t>
      </w:r>
      <w:r>
        <w:rPr>
          <w:rFonts w:eastAsia="Arial Unicode MS"/>
          <w:bCs/>
          <w:color w:val="000000"/>
          <w:sz w:val="20"/>
          <w:szCs w:val="20"/>
        </w:rPr>
        <w:t xml:space="preserve">/EK </w:t>
      </w:r>
      <w:r w:rsidRPr="00375C48">
        <w:rPr>
          <w:rFonts w:eastAsia="Arial Unicode MS"/>
          <w:bCs/>
          <w:color w:val="000000"/>
          <w:sz w:val="20"/>
          <w:szCs w:val="20"/>
        </w:rPr>
        <w:t>par tipa apstiprināšanas prasībām attiecībā uz mehānisko transportlīdzekļu, to piekabju un tiem paredzēto sistēmu, sastāvdaļu un atsevišķu tehnisko vienību vispārējo drošību</w:t>
      </w:r>
      <w:r>
        <w:rPr>
          <w:rFonts w:eastAsia="Arial Unicode MS"/>
          <w:bCs/>
          <w:color w:val="000000"/>
          <w:sz w:val="20"/>
          <w:szCs w:val="20"/>
        </w:rPr>
        <w:t xml:space="preserve"> (2019. gada 15. maija jaunākā konsolidētā versija)</w:t>
      </w:r>
    </w:p>
  </w:footnote>
  <w:footnote w:id="29">
    <w:p w14:paraId="6DF6AA7E" w14:textId="04562560" w:rsidR="00395C73" w:rsidRPr="000D11CA" w:rsidRDefault="00395C73" w:rsidP="005D1FE9">
      <w:pPr>
        <w:pStyle w:val="doc-ti"/>
        <w:shd w:val="clear" w:color="auto" w:fill="FFFFFF"/>
        <w:spacing w:before="0" w:beforeAutospacing="0" w:after="0" w:afterAutospacing="0"/>
        <w:contextualSpacing/>
        <w:jc w:val="both"/>
        <w:rPr>
          <w:sz w:val="20"/>
          <w:szCs w:val="20"/>
        </w:rPr>
      </w:pPr>
      <w:r>
        <w:rPr>
          <w:rStyle w:val="FootnoteReference"/>
        </w:rPr>
        <w:footnoteRef/>
      </w:r>
      <w:r>
        <w:t> </w:t>
      </w:r>
      <w:r w:rsidRPr="000D11CA">
        <w:rPr>
          <w:sz w:val="20"/>
          <w:szCs w:val="20"/>
        </w:rPr>
        <w:t xml:space="preserve">Piemēram, </w:t>
      </w:r>
      <w:r>
        <w:rPr>
          <w:sz w:val="20"/>
          <w:szCs w:val="20"/>
        </w:rPr>
        <w:t>Eiropas Parlamenta un Padomes 2012. gada 21. novembra Direktīva Nr. </w:t>
      </w:r>
      <w:r w:rsidRPr="000D11CA">
        <w:rPr>
          <w:rFonts w:eastAsia="Arial Unicode MS"/>
          <w:bCs/>
          <w:sz w:val="20"/>
          <w:szCs w:val="20"/>
        </w:rPr>
        <w:t>2012/34/ES,</w:t>
      </w:r>
      <w:r>
        <w:rPr>
          <w:rFonts w:eastAsia="Arial Unicode MS"/>
          <w:bCs/>
          <w:sz w:val="20"/>
          <w:szCs w:val="20"/>
        </w:rPr>
        <w:t xml:space="preserve"> </w:t>
      </w:r>
      <w:r w:rsidRPr="000D11CA">
        <w:rPr>
          <w:rFonts w:eastAsia="Arial Unicode MS"/>
          <w:bCs/>
          <w:sz w:val="20"/>
          <w:szCs w:val="20"/>
        </w:rPr>
        <w:t>ar ko izveido vienotu Eiropas dzelzceļa telpu</w:t>
      </w:r>
      <w:r>
        <w:rPr>
          <w:rFonts w:eastAsia="Arial Unicode MS"/>
          <w:bCs/>
          <w:sz w:val="20"/>
          <w:szCs w:val="20"/>
        </w:rPr>
        <w:t xml:space="preserve"> (2019. gada 1.</w:t>
      </w:r>
      <w:r w:rsidR="005D596F">
        <w:rPr>
          <w:rFonts w:eastAsia="Arial Unicode MS"/>
          <w:bCs/>
          <w:sz w:val="20"/>
          <w:szCs w:val="20"/>
        </w:rPr>
        <w:t> </w:t>
      </w:r>
      <w:r>
        <w:rPr>
          <w:rFonts w:eastAsia="Arial Unicode MS"/>
          <w:bCs/>
          <w:sz w:val="20"/>
          <w:szCs w:val="20"/>
        </w:rPr>
        <w:t>janvāra jaunākā konsolidētā versija), Komisijas 2015. gada 13. marta īstenošanas Regula Nr. </w:t>
      </w:r>
      <w:r w:rsidRPr="000D11CA">
        <w:rPr>
          <w:bCs/>
          <w:sz w:val="20"/>
          <w:szCs w:val="20"/>
        </w:rPr>
        <w:t xml:space="preserve"> 2015/429,</w:t>
      </w:r>
      <w:r>
        <w:rPr>
          <w:bCs/>
          <w:sz w:val="20"/>
          <w:szCs w:val="20"/>
        </w:rPr>
        <w:t xml:space="preserve"> </w:t>
      </w:r>
      <w:r w:rsidRPr="000D11CA">
        <w:rPr>
          <w:bCs/>
          <w:sz w:val="20"/>
          <w:szCs w:val="20"/>
        </w:rPr>
        <w:t>ar ko nosaka kārtību, kas jāievēro, piemērojot maksu par trokšņa ietekmes radītajām izmaksām</w:t>
      </w:r>
    </w:p>
  </w:footnote>
  <w:footnote w:id="30">
    <w:p w14:paraId="2AF783E8" w14:textId="77E495E2" w:rsidR="00395C73" w:rsidRDefault="00395C73" w:rsidP="005D1FE9">
      <w:pPr>
        <w:pStyle w:val="doc-ti"/>
        <w:shd w:val="clear" w:color="auto" w:fill="FFFFFF"/>
        <w:spacing w:before="0" w:beforeAutospacing="0" w:after="0" w:afterAutospacing="0"/>
        <w:contextualSpacing/>
        <w:jc w:val="both"/>
      </w:pPr>
      <w:r w:rsidRPr="00C05B83">
        <w:rPr>
          <w:rStyle w:val="FootnoteReference"/>
          <w:sz w:val="20"/>
          <w:szCs w:val="20"/>
        </w:rPr>
        <w:footnoteRef/>
      </w:r>
      <w:r>
        <w:rPr>
          <w:sz w:val="20"/>
          <w:szCs w:val="20"/>
        </w:rPr>
        <w:t> </w:t>
      </w:r>
      <w:r w:rsidRPr="00C05B83">
        <w:rPr>
          <w:sz w:val="20"/>
          <w:szCs w:val="20"/>
        </w:rPr>
        <w:t xml:space="preserve">Piemēram, </w:t>
      </w:r>
      <w:r w:rsidRPr="00C05B83">
        <w:rPr>
          <w:bCs/>
          <w:sz w:val="20"/>
          <w:szCs w:val="20"/>
        </w:rPr>
        <w:t>E</w:t>
      </w:r>
      <w:r>
        <w:rPr>
          <w:bCs/>
          <w:sz w:val="20"/>
          <w:szCs w:val="20"/>
        </w:rPr>
        <w:t xml:space="preserve">iropas Parlamenta un Padomes 2014. gada 16. aprīļa Regula Nr. 598/2014/ES </w:t>
      </w:r>
      <w:r w:rsidRPr="00C05B83">
        <w:rPr>
          <w:bCs/>
          <w:sz w:val="20"/>
          <w:szCs w:val="20"/>
        </w:rPr>
        <w:t>par noteikumu un procedūru noteikšanu attiecībā uz tādu ekspluatācijas ierobežojumu, kas saistīti ar troksni, ieviešanu Savienības lidostās, izmantojot līdzsvarotu pieeju, un par Direktīvas 2002/30/EK atcelšanu</w:t>
      </w:r>
    </w:p>
  </w:footnote>
  <w:footnote w:id="31">
    <w:p w14:paraId="748C36EA" w14:textId="7E64F7B1" w:rsidR="00395C73" w:rsidRPr="005D1FE9" w:rsidRDefault="00395C73" w:rsidP="005D1FE9">
      <w:pPr>
        <w:pStyle w:val="NormalWeb"/>
        <w:shd w:val="clear" w:color="auto" w:fill="FFFFFF"/>
        <w:spacing w:before="0" w:beforeAutospacing="0" w:after="0" w:afterAutospacing="0"/>
        <w:contextualSpacing/>
        <w:jc w:val="both"/>
        <w:rPr>
          <w:sz w:val="20"/>
          <w:szCs w:val="20"/>
        </w:rPr>
      </w:pPr>
      <w:r w:rsidRPr="00120308">
        <w:rPr>
          <w:rStyle w:val="FootnoteReference"/>
          <w:sz w:val="20"/>
          <w:szCs w:val="20"/>
        </w:rPr>
        <w:footnoteRef/>
      </w:r>
      <w:r>
        <w:rPr>
          <w:sz w:val="20"/>
          <w:szCs w:val="20"/>
        </w:rPr>
        <w:t> </w:t>
      </w:r>
      <w:r w:rsidRPr="00120308">
        <w:rPr>
          <w:sz w:val="20"/>
          <w:szCs w:val="20"/>
        </w:rPr>
        <w:t xml:space="preserve">Eiropas Parlamenta un Padomes </w:t>
      </w:r>
      <w:r>
        <w:rPr>
          <w:sz w:val="20"/>
          <w:szCs w:val="20"/>
        </w:rPr>
        <w:t>2000. gada 8. maija D</w:t>
      </w:r>
      <w:r w:rsidRPr="00120308">
        <w:rPr>
          <w:sz w:val="20"/>
          <w:szCs w:val="20"/>
        </w:rPr>
        <w:t xml:space="preserve">irektīva </w:t>
      </w:r>
      <w:r>
        <w:rPr>
          <w:sz w:val="20"/>
          <w:szCs w:val="20"/>
        </w:rPr>
        <w:t>Nr. </w:t>
      </w:r>
      <w:r w:rsidRPr="00120308">
        <w:rPr>
          <w:sz w:val="20"/>
          <w:szCs w:val="20"/>
        </w:rPr>
        <w:t>2000/14/EK</w:t>
      </w:r>
      <w:r>
        <w:rPr>
          <w:sz w:val="20"/>
          <w:szCs w:val="20"/>
        </w:rPr>
        <w:t xml:space="preserve"> </w:t>
      </w:r>
      <w:r w:rsidRPr="00120308">
        <w:rPr>
          <w:sz w:val="20"/>
          <w:szCs w:val="20"/>
        </w:rPr>
        <w:t>par dalībvalstu tiesību aktu tuvināšanu attiecībā uz trokšņa emisiju vidē no iekārtām, kas paredzētas izmantošanai ārpus telpām</w:t>
      </w:r>
    </w:p>
  </w:footnote>
  <w:footnote w:id="32">
    <w:p w14:paraId="5E537CEC" w14:textId="6603CEFD" w:rsidR="00395C73" w:rsidRDefault="00395C73" w:rsidP="00AC1F4C">
      <w:pPr>
        <w:pStyle w:val="title-doc-first"/>
        <w:shd w:val="clear" w:color="auto" w:fill="FFFFFF"/>
        <w:spacing w:before="0" w:beforeAutospacing="0" w:after="0" w:afterAutospacing="0"/>
        <w:jc w:val="both"/>
      </w:pPr>
      <w:r>
        <w:rPr>
          <w:rStyle w:val="FootnoteReference"/>
        </w:rPr>
        <w:footnoteRef/>
      </w:r>
      <w:r>
        <w:t> </w:t>
      </w:r>
      <w:r w:rsidRPr="00AC1F4C">
        <w:rPr>
          <w:rFonts w:eastAsia="Arial Unicode MS"/>
          <w:bCs/>
          <w:sz w:val="20"/>
          <w:szCs w:val="20"/>
        </w:rPr>
        <w:t>E</w:t>
      </w:r>
      <w:r>
        <w:rPr>
          <w:rFonts w:eastAsia="Arial Unicode MS"/>
          <w:bCs/>
          <w:sz w:val="20"/>
          <w:szCs w:val="20"/>
        </w:rPr>
        <w:t xml:space="preserve">iropas Parlamenta un Padomes 2009. gada 25. novembra Regula </w:t>
      </w:r>
      <w:r w:rsidRPr="00AC1F4C">
        <w:rPr>
          <w:rFonts w:eastAsia="Arial Unicode MS"/>
          <w:bCs/>
          <w:sz w:val="20"/>
          <w:szCs w:val="20"/>
        </w:rPr>
        <w:t>Nr.</w:t>
      </w:r>
      <w:r>
        <w:rPr>
          <w:rFonts w:eastAsia="Arial Unicode MS"/>
          <w:bCs/>
          <w:sz w:val="20"/>
          <w:szCs w:val="20"/>
        </w:rPr>
        <w:t> </w:t>
      </w:r>
      <w:r w:rsidRPr="00AC1F4C">
        <w:rPr>
          <w:rFonts w:eastAsia="Arial Unicode MS"/>
          <w:bCs/>
          <w:sz w:val="20"/>
          <w:szCs w:val="20"/>
        </w:rPr>
        <w:t>1222/2009</w:t>
      </w:r>
      <w:r>
        <w:rPr>
          <w:rFonts w:eastAsia="Arial Unicode MS"/>
          <w:bCs/>
          <w:sz w:val="20"/>
          <w:szCs w:val="20"/>
        </w:rPr>
        <w:t xml:space="preserve">/EK </w:t>
      </w:r>
      <w:r w:rsidRPr="00AC1F4C">
        <w:rPr>
          <w:rFonts w:eastAsia="Arial Unicode MS"/>
          <w:bCs/>
          <w:sz w:val="20"/>
          <w:szCs w:val="20"/>
        </w:rPr>
        <w:t>par riepu marķēšanu attiecībā uz degvielas patēriņa efektivitāti</w:t>
      </w:r>
      <w:r>
        <w:rPr>
          <w:rFonts w:eastAsia="Arial Unicode MS"/>
          <w:bCs/>
          <w:sz w:val="20"/>
          <w:szCs w:val="20"/>
        </w:rPr>
        <w:t xml:space="preserve"> </w:t>
      </w:r>
      <w:r w:rsidRPr="00AC1F4C">
        <w:rPr>
          <w:rFonts w:eastAsia="Arial Unicode MS"/>
          <w:bCs/>
          <w:sz w:val="20"/>
          <w:szCs w:val="20"/>
        </w:rPr>
        <w:t>un citiem būtiskiem parametriem</w:t>
      </w:r>
    </w:p>
  </w:footnote>
  <w:footnote w:id="33">
    <w:p w14:paraId="4EE7F822" w14:textId="23343A2C" w:rsidR="00395C73" w:rsidRPr="00054DD1" w:rsidRDefault="00395C73" w:rsidP="00B87596">
      <w:pPr>
        <w:pStyle w:val="doc-ti"/>
        <w:shd w:val="clear" w:color="auto" w:fill="FFFFFF"/>
        <w:spacing w:before="0" w:beforeAutospacing="0" w:after="0" w:afterAutospacing="0"/>
        <w:jc w:val="both"/>
      </w:pPr>
      <w:r w:rsidRPr="007F5CB7">
        <w:rPr>
          <w:rStyle w:val="FootnoteReference"/>
          <w:sz w:val="20"/>
          <w:szCs w:val="20"/>
        </w:rPr>
        <w:footnoteRef/>
      </w:r>
      <w:r>
        <w:rPr>
          <w:sz w:val="20"/>
          <w:szCs w:val="20"/>
        </w:rPr>
        <w:t> </w:t>
      </w:r>
      <w:r w:rsidRPr="007F5CB7">
        <w:rPr>
          <w:sz w:val="20"/>
          <w:szCs w:val="20"/>
        </w:rPr>
        <w:t xml:space="preserve">Eiropas Parlamenta un Padomes 2014. gada 16. aprīļa </w:t>
      </w:r>
      <w:r>
        <w:rPr>
          <w:sz w:val="20"/>
          <w:szCs w:val="20"/>
        </w:rPr>
        <w:t>R</w:t>
      </w:r>
      <w:r w:rsidRPr="007F5CB7">
        <w:rPr>
          <w:sz w:val="20"/>
          <w:szCs w:val="20"/>
        </w:rPr>
        <w:t>egula Nr. 598/2014</w:t>
      </w:r>
      <w:r>
        <w:rPr>
          <w:sz w:val="20"/>
          <w:szCs w:val="20"/>
        </w:rPr>
        <w:t>/ES</w:t>
      </w:r>
      <w:r w:rsidRPr="007F5CB7">
        <w:rPr>
          <w:sz w:val="20"/>
          <w:szCs w:val="20"/>
        </w:rPr>
        <w:t xml:space="preserve"> </w:t>
      </w:r>
      <w:r w:rsidRPr="007F5CB7">
        <w:rPr>
          <w:bCs/>
          <w:sz w:val="20"/>
          <w:szCs w:val="20"/>
        </w:rPr>
        <w:t>par noteikumu un procedūru noteikšanu attiecībā uz tādu ekspluatācijas ierobežojumu, kas saistīti ar troksni, ieviešanu Savienības lidostās, izmantojot līdzsvarotu pieeju, un par Direktīvas 2002/30/EK atcelšanu</w:t>
      </w:r>
    </w:p>
  </w:footnote>
  <w:footnote w:id="34">
    <w:p w14:paraId="55439476" w14:textId="49DF2977" w:rsidR="00395C73" w:rsidRPr="00102043" w:rsidRDefault="00395C73" w:rsidP="007F5CB7">
      <w:pPr>
        <w:pStyle w:val="FootnoteText"/>
        <w:ind w:firstLine="0"/>
        <w:rPr>
          <w:rFonts w:cs="Times New Roman"/>
        </w:rPr>
      </w:pPr>
      <w:r w:rsidRPr="00AE5ADF">
        <w:rPr>
          <w:rStyle w:val="FootnoteReference"/>
          <w:rFonts w:cs="Times New Roman"/>
        </w:rPr>
        <w:footnoteRef/>
      </w:r>
      <w:r>
        <w:rPr>
          <w:rFonts w:cs="Times New Roman"/>
        </w:rPr>
        <w:t> Ministru kabineta 2010. gada 3. augusta noteikumi Nr. </w:t>
      </w:r>
      <w:r w:rsidRPr="00054DD1">
        <w:rPr>
          <w:rFonts w:cs="Times New Roman"/>
        </w:rPr>
        <w:t>724 “</w:t>
      </w:r>
      <w:r w:rsidRPr="00102043">
        <w:rPr>
          <w:rFonts w:eastAsia="Times New Roman" w:cs="Times New Roman"/>
          <w:szCs w:val="24"/>
          <w:lang w:eastAsia="lv-LV"/>
        </w:rPr>
        <w:t>Dzelzceļa</w:t>
      </w:r>
      <w:r w:rsidRPr="00102043">
        <w:rPr>
          <w:rFonts w:cs="Times New Roman"/>
        </w:rPr>
        <w:t xml:space="preserve"> tehniskās ekspluatācijas noteikumi”</w:t>
      </w:r>
    </w:p>
  </w:footnote>
  <w:footnote w:id="35">
    <w:p w14:paraId="1985DB6E" w14:textId="1146A169" w:rsidR="00395C73" w:rsidRPr="00FF32C1" w:rsidRDefault="00395C73" w:rsidP="00B87596">
      <w:pPr>
        <w:pStyle w:val="FootnoteText"/>
        <w:ind w:firstLine="0"/>
        <w:rPr>
          <w:i/>
        </w:rPr>
      </w:pPr>
      <w:r w:rsidRPr="00FF32C1">
        <w:rPr>
          <w:rStyle w:val="FootnoteReference"/>
          <w:i/>
        </w:rPr>
        <w:footnoteRef/>
      </w:r>
      <w:r>
        <w:rPr>
          <w:i/>
        </w:rPr>
        <w:t> </w:t>
      </w:r>
      <w:r>
        <w:t xml:space="preserve">Latvijas Republikas </w:t>
      </w:r>
      <w:r w:rsidRPr="00FF32C1">
        <w:t>Satversmes tiesas 2007. gada 8. februāra spriedums lietā Nr. 2006-09-03</w:t>
      </w:r>
      <w:r>
        <w:t>,</w:t>
      </w:r>
      <w:r w:rsidRPr="00FF32C1">
        <w:t xml:space="preserve"> 11. punkts</w:t>
      </w:r>
      <w:r>
        <w:t xml:space="preserve"> (pieejams tiešsaistē: </w:t>
      </w:r>
      <w:hyperlink r:id="rId8" w:history="1">
        <w:r>
          <w:rPr>
            <w:rStyle w:val="Hyperlink"/>
          </w:rPr>
          <w:t>http://www.satv.tiesa.gov.lv/wp-content/uploads/2016/02/2006-09-03_Spriedums.pdf</w:t>
        </w:r>
      </w:hyperlink>
      <w:r>
        <w:t>)</w:t>
      </w:r>
    </w:p>
  </w:footnote>
  <w:footnote w:id="36">
    <w:p w14:paraId="15F99BD8" w14:textId="400FEDED" w:rsidR="00395C73" w:rsidRPr="009B7892" w:rsidRDefault="00395C73" w:rsidP="00F02198">
      <w:pPr>
        <w:pStyle w:val="FootnoteText"/>
        <w:ind w:firstLine="0"/>
        <w:contextualSpacing/>
      </w:pPr>
      <w:r>
        <w:rPr>
          <w:rStyle w:val="FootnoteReference"/>
        </w:rPr>
        <w:footnoteRef/>
      </w:r>
      <w:r>
        <w:rPr>
          <w:rFonts w:eastAsia="Times New Roman"/>
          <w:bCs/>
        </w:rPr>
        <w:t> </w:t>
      </w:r>
      <w:r w:rsidRPr="009B7892">
        <w:rPr>
          <w:rFonts w:eastAsia="Times New Roman"/>
          <w:bCs/>
        </w:rPr>
        <w:t xml:space="preserve">Eiropas Parlamenta un Padomes 2002. gada 25. jūnija </w:t>
      </w:r>
      <w:r>
        <w:rPr>
          <w:rFonts w:eastAsia="Times New Roman"/>
          <w:bCs/>
        </w:rPr>
        <w:t>D</w:t>
      </w:r>
      <w:r w:rsidRPr="009B7892">
        <w:rPr>
          <w:rFonts w:eastAsia="Times New Roman"/>
          <w:bCs/>
        </w:rPr>
        <w:t xml:space="preserve">irektīvas </w:t>
      </w:r>
      <w:hyperlink r:id="rId9" w:tgtFrame="_blank" w:history="1">
        <w:r w:rsidRPr="009B7892">
          <w:rPr>
            <w:rFonts w:cs="Times New Roman"/>
            <w:shd w:val="clear" w:color="auto" w:fill="FFFFFF"/>
          </w:rPr>
          <w:t>2003/10/EK</w:t>
        </w:r>
      </w:hyperlink>
      <w:r w:rsidRPr="009B7892">
        <w:rPr>
          <w:rFonts w:cs="Times New Roman"/>
          <w:shd w:val="clear" w:color="auto" w:fill="FFFFFF"/>
        </w:rPr>
        <w:t xml:space="preserve"> par veselības un drošības minimālajām prasībām attiecībā uz darba ņēmēju pakļaušanu darba vides riskiem, ko rada fizikāli faktori (troksnis) prasību pārņemšanas nacionālajā regulējumā</w:t>
      </w:r>
    </w:p>
  </w:footnote>
  <w:footnote w:id="37">
    <w:p w14:paraId="23DC5DA6" w14:textId="0BFC1C00" w:rsidR="00395C73" w:rsidRPr="009B7892" w:rsidRDefault="00395C73" w:rsidP="00F02198">
      <w:pPr>
        <w:pStyle w:val="FootnoteText"/>
        <w:spacing w:before="120"/>
        <w:ind w:firstLine="0"/>
        <w:contextualSpacing/>
      </w:pPr>
      <w:r w:rsidRPr="009B7892">
        <w:rPr>
          <w:rStyle w:val="FootnoteReference"/>
        </w:rPr>
        <w:footnoteRef/>
      </w:r>
      <w:r>
        <w:t> </w:t>
      </w:r>
      <w:r w:rsidRPr="009B7892">
        <w:t>Ministru kabineta 2015. gada 16. jūnija noteikumi Nr.</w:t>
      </w:r>
      <w:r>
        <w:t> </w:t>
      </w:r>
      <w:r w:rsidRPr="009B7892">
        <w:t>312 “Noteikumi par Latvijas būvnormatīvu LBN 016-15 “Būvakustika” un Ministru kabineta 2014. ga</w:t>
      </w:r>
      <w:r>
        <w:t>da 7. janvāra noteikumi Nr. 16 “</w:t>
      </w:r>
      <w:r w:rsidRPr="009B7892">
        <w:t>Trokšņa novērtēšanas un pārvaldības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039829"/>
      <w:docPartObj>
        <w:docPartGallery w:val="Page Numbers (Top of Page)"/>
        <w:docPartUnique/>
      </w:docPartObj>
    </w:sdtPr>
    <w:sdtEndPr>
      <w:rPr>
        <w:noProof/>
      </w:rPr>
    </w:sdtEndPr>
    <w:sdtContent>
      <w:p w14:paraId="15692EA6" w14:textId="38565192" w:rsidR="00395C73" w:rsidRDefault="00395C73">
        <w:pPr>
          <w:pStyle w:val="Header"/>
          <w:jc w:val="center"/>
        </w:pPr>
        <w:r>
          <w:rPr>
            <w:noProof/>
          </w:rPr>
          <w:fldChar w:fldCharType="begin"/>
        </w:r>
        <w:r>
          <w:rPr>
            <w:noProof/>
          </w:rPr>
          <w:instrText xml:space="preserve"> PAGE   \* MERGEFORMAT </w:instrText>
        </w:r>
        <w:r>
          <w:rPr>
            <w:noProof/>
          </w:rPr>
          <w:fldChar w:fldCharType="separate"/>
        </w:r>
        <w:r w:rsidR="00BD6966">
          <w:rPr>
            <w:noProof/>
          </w:rPr>
          <w:t>18</w:t>
        </w:r>
        <w:r>
          <w:rPr>
            <w:noProof/>
          </w:rPr>
          <w:fldChar w:fldCharType="end"/>
        </w:r>
      </w:p>
    </w:sdtContent>
  </w:sdt>
  <w:p w14:paraId="7F2F5910" w14:textId="77777777" w:rsidR="00395C73" w:rsidRDefault="00395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4D2"/>
    <w:multiLevelType w:val="hybridMultilevel"/>
    <w:tmpl w:val="20F23CB4"/>
    <w:lvl w:ilvl="0" w:tplc="7756A32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D7903"/>
    <w:multiLevelType w:val="hybridMultilevel"/>
    <w:tmpl w:val="75B86D7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5E96FFC"/>
    <w:multiLevelType w:val="hybridMultilevel"/>
    <w:tmpl w:val="DE4CA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D229FF"/>
    <w:multiLevelType w:val="hybridMultilevel"/>
    <w:tmpl w:val="C0145F6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09C904AA"/>
    <w:multiLevelType w:val="hybridMultilevel"/>
    <w:tmpl w:val="4BAA0F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0B6395A"/>
    <w:multiLevelType w:val="hybridMultilevel"/>
    <w:tmpl w:val="E146E680"/>
    <w:lvl w:ilvl="0" w:tplc="04260001">
      <w:start w:val="1"/>
      <w:numFmt w:val="bullet"/>
      <w:lvlText w:val=""/>
      <w:lvlJc w:val="left"/>
      <w:pPr>
        <w:ind w:left="1361" w:hanging="360"/>
      </w:pPr>
      <w:rPr>
        <w:rFonts w:ascii="Symbol" w:hAnsi="Symbol" w:hint="default"/>
      </w:rPr>
    </w:lvl>
    <w:lvl w:ilvl="1" w:tplc="04260003" w:tentative="1">
      <w:start w:val="1"/>
      <w:numFmt w:val="bullet"/>
      <w:lvlText w:val="o"/>
      <w:lvlJc w:val="left"/>
      <w:pPr>
        <w:ind w:left="2081" w:hanging="360"/>
      </w:pPr>
      <w:rPr>
        <w:rFonts w:ascii="Courier New" w:hAnsi="Courier New" w:cs="Courier New" w:hint="default"/>
      </w:rPr>
    </w:lvl>
    <w:lvl w:ilvl="2" w:tplc="04260005" w:tentative="1">
      <w:start w:val="1"/>
      <w:numFmt w:val="bullet"/>
      <w:lvlText w:val=""/>
      <w:lvlJc w:val="left"/>
      <w:pPr>
        <w:ind w:left="2801" w:hanging="360"/>
      </w:pPr>
      <w:rPr>
        <w:rFonts w:ascii="Wingdings" w:hAnsi="Wingdings" w:hint="default"/>
      </w:rPr>
    </w:lvl>
    <w:lvl w:ilvl="3" w:tplc="04260001" w:tentative="1">
      <w:start w:val="1"/>
      <w:numFmt w:val="bullet"/>
      <w:lvlText w:val=""/>
      <w:lvlJc w:val="left"/>
      <w:pPr>
        <w:ind w:left="3521" w:hanging="360"/>
      </w:pPr>
      <w:rPr>
        <w:rFonts w:ascii="Symbol" w:hAnsi="Symbol" w:hint="default"/>
      </w:rPr>
    </w:lvl>
    <w:lvl w:ilvl="4" w:tplc="04260003" w:tentative="1">
      <w:start w:val="1"/>
      <w:numFmt w:val="bullet"/>
      <w:lvlText w:val="o"/>
      <w:lvlJc w:val="left"/>
      <w:pPr>
        <w:ind w:left="4241" w:hanging="360"/>
      </w:pPr>
      <w:rPr>
        <w:rFonts w:ascii="Courier New" w:hAnsi="Courier New" w:cs="Courier New" w:hint="default"/>
      </w:rPr>
    </w:lvl>
    <w:lvl w:ilvl="5" w:tplc="04260005" w:tentative="1">
      <w:start w:val="1"/>
      <w:numFmt w:val="bullet"/>
      <w:lvlText w:val=""/>
      <w:lvlJc w:val="left"/>
      <w:pPr>
        <w:ind w:left="4961" w:hanging="360"/>
      </w:pPr>
      <w:rPr>
        <w:rFonts w:ascii="Wingdings" w:hAnsi="Wingdings" w:hint="default"/>
      </w:rPr>
    </w:lvl>
    <w:lvl w:ilvl="6" w:tplc="04260001" w:tentative="1">
      <w:start w:val="1"/>
      <w:numFmt w:val="bullet"/>
      <w:lvlText w:val=""/>
      <w:lvlJc w:val="left"/>
      <w:pPr>
        <w:ind w:left="5681" w:hanging="360"/>
      </w:pPr>
      <w:rPr>
        <w:rFonts w:ascii="Symbol" w:hAnsi="Symbol" w:hint="default"/>
      </w:rPr>
    </w:lvl>
    <w:lvl w:ilvl="7" w:tplc="04260003" w:tentative="1">
      <w:start w:val="1"/>
      <w:numFmt w:val="bullet"/>
      <w:lvlText w:val="o"/>
      <w:lvlJc w:val="left"/>
      <w:pPr>
        <w:ind w:left="6401" w:hanging="360"/>
      </w:pPr>
      <w:rPr>
        <w:rFonts w:ascii="Courier New" w:hAnsi="Courier New" w:cs="Courier New" w:hint="default"/>
      </w:rPr>
    </w:lvl>
    <w:lvl w:ilvl="8" w:tplc="04260005" w:tentative="1">
      <w:start w:val="1"/>
      <w:numFmt w:val="bullet"/>
      <w:lvlText w:val=""/>
      <w:lvlJc w:val="left"/>
      <w:pPr>
        <w:ind w:left="7121" w:hanging="360"/>
      </w:pPr>
      <w:rPr>
        <w:rFonts w:ascii="Wingdings" w:hAnsi="Wingdings" w:hint="default"/>
      </w:rPr>
    </w:lvl>
  </w:abstractNum>
  <w:abstractNum w:abstractNumId="6" w15:restartNumberingAfterBreak="0">
    <w:nsid w:val="127F4BDC"/>
    <w:multiLevelType w:val="hybridMultilevel"/>
    <w:tmpl w:val="CE8C87B0"/>
    <w:lvl w:ilvl="0" w:tplc="FE048C30">
      <w:start w:val="1"/>
      <w:numFmt w:val="decimal"/>
      <w:lvlText w:val="%1."/>
      <w:lvlJc w:val="left"/>
      <w:pPr>
        <w:ind w:left="1070" w:hanging="360"/>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12C65AA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13398"/>
    <w:multiLevelType w:val="hybridMultilevel"/>
    <w:tmpl w:val="7B0C1964"/>
    <w:lvl w:ilvl="0" w:tplc="621653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1113A7"/>
    <w:multiLevelType w:val="multilevel"/>
    <w:tmpl w:val="D07A6E4C"/>
    <w:numStyleLink w:val="Normallist"/>
  </w:abstractNum>
  <w:abstractNum w:abstractNumId="10" w15:restartNumberingAfterBreak="0">
    <w:nsid w:val="181049E8"/>
    <w:multiLevelType w:val="hybridMultilevel"/>
    <w:tmpl w:val="37983976"/>
    <w:lvl w:ilvl="0" w:tplc="90B4ED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7B6FE8"/>
    <w:multiLevelType w:val="hybridMultilevel"/>
    <w:tmpl w:val="B87A8FD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3693C35"/>
    <w:multiLevelType w:val="multilevel"/>
    <w:tmpl w:val="1A6AC24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2A2602"/>
    <w:multiLevelType w:val="hybridMultilevel"/>
    <w:tmpl w:val="5FE2D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DE52ED"/>
    <w:multiLevelType w:val="hybridMultilevel"/>
    <w:tmpl w:val="24ECFECE"/>
    <w:lvl w:ilvl="0" w:tplc="E19EF14C">
      <w:start w:val="1"/>
      <w:numFmt w:val="upperRoman"/>
      <w:pStyle w:val="Heading2"/>
      <w:lvlText w:val="%1."/>
      <w:lvlJc w:val="righ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657DBD"/>
    <w:multiLevelType w:val="hybridMultilevel"/>
    <w:tmpl w:val="32DEC576"/>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7" w15:restartNumberingAfterBreak="0">
    <w:nsid w:val="40AF488C"/>
    <w:multiLevelType w:val="multilevel"/>
    <w:tmpl w:val="C2CC826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0F66871"/>
    <w:multiLevelType w:val="hybridMultilevel"/>
    <w:tmpl w:val="F7B69220"/>
    <w:lvl w:ilvl="0" w:tplc="743CA130">
      <w:start w:val="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52A66A9D"/>
    <w:multiLevelType w:val="multilevel"/>
    <w:tmpl w:val="D07A6E4C"/>
    <w:styleLink w:val="Normallist"/>
    <w:lvl w:ilvl="0">
      <w:start w:val="1"/>
      <w:numFmt w:val="decimal"/>
      <w:pStyle w:val="Normalnumber"/>
      <w:lvlText w:val="%1."/>
      <w:lvlJc w:val="left"/>
      <w:pPr>
        <w:tabs>
          <w:tab w:val="num" w:pos="1021"/>
        </w:tabs>
        <w:ind w:left="1134"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58A501F2"/>
    <w:multiLevelType w:val="hybridMultilevel"/>
    <w:tmpl w:val="94FE39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8FA3679"/>
    <w:multiLevelType w:val="hybridMultilevel"/>
    <w:tmpl w:val="36F247D6"/>
    <w:lvl w:ilvl="0" w:tplc="62D4CE5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CA6CAA"/>
    <w:multiLevelType w:val="hybridMultilevel"/>
    <w:tmpl w:val="1222EA6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67B560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B8170D"/>
    <w:multiLevelType w:val="multilevel"/>
    <w:tmpl w:val="08E0B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93455F"/>
    <w:multiLevelType w:val="hybridMultilevel"/>
    <w:tmpl w:val="0B8088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15:restartNumberingAfterBreak="0">
    <w:nsid w:val="7CEC503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F738B5"/>
    <w:multiLevelType w:val="hybridMultilevel"/>
    <w:tmpl w:val="47F29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9"/>
    <w:lvlOverride w:ilvl="0">
      <w:lvl w:ilvl="0">
        <w:start w:val="1"/>
        <w:numFmt w:val="decimal"/>
        <w:pStyle w:val="Normalnumber"/>
        <w:lvlText w:val="%1."/>
        <w:lvlJc w:val="left"/>
        <w:pPr>
          <w:tabs>
            <w:tab w:val="num" w:pos="1021"/>
          </w:tabs>
          <w:ind w:left="113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
    <w:abstractNumId w:val="1"/>
  </w:num>
  <w:num w:numId="5">
    <w:abstractNumId w:val="25"/>
  </w:num>
  <w:num w:numId="6">
    <w:abstractNumId w:val="20"/>
  </w:num>
  <w:num w:numId="7">
    <w:abstractNumId w:val="5"/>
  </w:num>
  <w:num w:numId="8">
    <w:abstractNumId w:val="3"/>
  </w:num>
  <w:num w:numId="9">
    <w:abstractNumId w:val="7"/>
  </w:num>
  <w:num w:numId="10">
    <w:abstractNumId w:val="22"/>
  </w:num>
  <w:num w:numId="11">
    <w:abstractNumId w:val="16"/>
  </w:num>
  <w:num w:numId="12">
    <w:abstractNumId w:val="4"/>
  </w:num>
  <w:num w:numId="13">
    <w:abstractNumId w:val="21"/>
  </w:num>
  <w:num w:numId="14">
    <w:abstractNumId w:val="10"/>
  </w:num>
  <w:num w:numId="15">
    <w:abstractNumId w:val="0"/>
  </w:num>
  <w:num w:numId="16">
    <w:abstractNumId w:val="8"/>
  </w:num>
  <w:num w:numId="17">
    <w:abstractNumId w:val="2"/>
  </w:num>
  <w:num w:numId="18">
    <w:abstractNumId w:val="6"/>
  </w:num>
  <w:num w:numId="19">
    <w:abstractNumId w:val="24"/>
  </w:num>
  <w:num w:numId="20">
    <w:abstractNumId w:val="11"/>
  </w:num>
  <w:num w:numId="21">
    <w:abstractNumId w:val="14"/>
  </w:num>
  <w:num w:numId="22">
    <w:abstractNumId w:val="27"/>
  </w:num>
  <w:num w:numId="23">
    <w:abstractNumId w:val="23"/>
  </w:num>
  <w:num w:numId="24">
    <w:abstractNumId w:val="13"/>
  </w:num>
  <w:num w:numId="25">
    <w:abstractNumId w:val="18"/>
  </w:num>
  <w:num w:numId="26">
    <w:abstractNumId w:val="17"/>
  </w:num>
  <w:num w:numId="27">
    <w:abstractNumId w:val="12"/>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2E"/>
    <w:rsid w:val="000024C8"/>
    <w:rsid w:val="00004F6D"/>
    <w:rsid w:val="0000561B"/>
    <w:rsid w:val="000061EA"/>
    <w:rsid w:val="00006A76"/>
    <w:rsid w:val="00011294"/>
    <w:rsid w:val="00013A8E"/>
    <w:rsid w:val="00014348"/>
    <w:rsid w:val="000158D2"/>
    <w:rsid w:val="00017AB4"/>
    <w:rsid w:val="00022C18"/>
    <w:rsid w:val="0002398B"/>
    <w:rsid w:val="00024A90"/>
    <w:rsid w:val="00024E3C"/>
    <w:rsid w:val="000303B0"/>
    <w:rsid w:val="00030A04"/>
    <w:rsid w:val="00031518"/>
    <w:rsid w:val="00033B82"/>
    <w:rsid w:val="00042EA5"/>
    <w:rsid w:val="00043350"/>
    <w:rsid w:val="00045B35"/>
    <w:rsid w:val="000504EA"/>
    <w:rsid w:val="000515D1"/>
    <w:rsid w:val="0005363D"/>
    <w:rsid w:val="00061732"/>
    <w:rsid w:val="000623DD"/>
    <w:rsid w:val="00065C31"/>
    <w:rsid w:val="00065E57"/>
    <w:rsid w:val="00067A29"/>
    <w:rsid w:val="000724BF"/>
    <w:rsid w:val="00072574"/>
    <w:rsid w:val="000754BF"/>
    <w:rsid w:val="00076D68"/>
    <w:rsid w:val="00077D84"/>
    <w:rsid w:val="000817B9"/>
    <w:rsid w:val="00082B6B"/>
    <w:rsid w:val="00083466"/>
    <w:rsid w:val="0008357D"/>
    <w:rsid w:val="000840A7"/>
    <w:rsid w:val="000865CF"/>
    <w:rsid w:val="00090F55"/>
    <w:rsid w:val="00091B2F"/>
    <w:rsid w:val="00092C4B"/>
    <w:rsid w:val="000965B4"/>
    <w:rsid w:val="000A0516"/>
    <w:rsid w:val="000A15E3"/>
    <w:rsid w:val="000A2CA7"/>
    <w:rsid w:val="000A4DBA"/>
    <w:rsid w:val="000A66E8"/>
    <w:rsid w:val="000B2E71"/>
    <w:rsid w:val="000B6ED4"/>
    <w:rsid w:val="000C4A49"/>
    <w:rsid w:val="000C78DB"/>
    <w:rsid w:val="000D11CA"/>
    <w:rsid w:val="000D18B2"/>
    <w:rsid w:val="000D3714"/>
    <w:rsid w:val="000D37E2"/>
    <w:rsid w:val="000D3A4A"/>
    <w:rsid w:val="000D433E"/>
    <w:rsid w:val="000D4AA0"/>
    <w:rsid w:val="000D6122"/>
    <w:rsid w:val="000D6BDC"/>
    <w:rsid w:val="000E05FE"/>
    <w:rsid w:val="000E11B2"/>
    <w:rsid w:val="000E4F3B"/>
    <w:rsid w:val="000E5651"/>
    <w:rsid w:val="000E5881"/>
    <w:rsid w:val="000E6412"/>
    <w:rsid w:val="000E7ABA"/>
    <w:rsid w:val="000F12E9"/>
    <w:rsid w:val="000F6B4B"/>
    <w:rsid w:val="000F6CB6"/>
    <w:rsid w:val="000F6E77"/>
    <w:rsid w:val="00100841"/>
    <w:rsid w:val="00104170"/>
    <w:rsid w:val="00110FDB"/>
    <w:rsid w:val="00111AF4"/>
    <w:rsid w:val="00115440"/>
    <w:rsid w:val="0011604A"/>
    <w:rsid w:val="00120308"/>
    <w:rsid w:val="001210DA"/>
    <w:rsid w:val="0012186E"/>
    <w:rsid w:val="00130864"/>
    <w:rsid w:val="00133683"/>
    <w:rsid w:val="00133E15"/>
    <w:rsid w:val="00135512"/>
    <w:rsid w:val="00135773"/>
    <w:rsid w:val="00137315"/>
    <w:rsid w:val="00145D1F"/>
    <w:rsid w:val="001502A7"/>
    <w:rsid w:val="00150B85"/>
    <w:rsid w:val="00150D9D"/>
    <w:rsid w:val="00151B9F"/>
    <w:rsid w:val="00160071"/>
    <w:rsid w:val="00164D93"/>
    <w:rsid w:val="0016558D"/>
    <w:rsid w:val="00171E57"/>
    <w:rsid w:val="00173CFA"/>
    <w:rsid w:val="001756A4"/>
    <w:rsid w:val="001759DF"/>
    <w:rsid w:val="00180689"/>
    <w:rsid w:val="00183A13"/>
    <w:rsid w:val="00186E08"/>
    <w:rsid w:val="0019164A"/>
    <w:rsid w:val="00192B9B"/>
    <w:rsid w:val="001937DA"/>
    <w:rsid w:val="001947F1"/>
    <w:rsid w:val="0019506C"/>
    <w:rsid w:val="00197133"/>
    <w:rsid w:val="00197AA8"/>
    <w:rsid w:val="001A26EF"/>
    <w:rsid w:val="001A28DE"/>
    <w:rsid w:val="001A6753"/>
    <w:rsid w:val="001B27BF"/>
    <w:rsid w:val="001B6A6C"/>
    <w:rsid w:val="001B779C"/>
    <w:rsid w:val="001C7594"/>
    <w:rsid w:val="001D21DE"/>
    <w:rsid w:val="001D2EA3"/>
    <w:rsid w:val="001D330C"/>
    <w:rsid w:val="001D659A"/>
    <w:rsid w:val="001D6DF7"/>
    <w:rsid w:val="001D72C9"/>
    <w:rsid w:val="001D7A40"/>
    <w:rsid w:val="001E2915"/>
    <w:rsid w:val="001E4E4B"/>
    <w:rsid w:val="001E5D11"/>
    <w:rsid w:val="001E7540"/>
    <w:rsid w:val="001F030B"/>
    <w:rsid w:val="001F0E75"/>
    <w:rsid w:val="001F25D1"/>
    <w:rsid w:val="001F5D50"/>
    <w:rsid w:val="0020133A"/>
    <w:rsid w:val="0020265F"/>
    <w:rsid w:val="0020423C"/>
    <w:rsid w:val="00206154"/>
    <w:rsid w:val="00210248"/>
    <w:rsid w:val="00213BC3"/>
    <w:rsid w:val="002152D8"/>
    <w:rsid w:val="00216D66"/>
    <w:rsid w:val="00217578"/>
    <w:rsid w:val="002253CE"/>
    <w:rsid w:val="00231EDC"/>
    <w:rsid w:val="0023621C"/>
    <w:rsid w:val="00236E07"/>
    <w:rsid w:val="002417E3"/>
    <w:rsid w:val="00242A50"/>
    <w:rsid w:val="002511E3"/>
    <w:rsid w:val="00251964"/>
    <w:rsid w:val="002545D3"/>
    <w:rsid w:val="0026406F"/>
    <w:rsid w:val="0026560B"/>
    <w:rsid w:val="0027152A"/>
    <w:rsid w:val="00280859"/>
    <w:rsid w:val="00280F20"/>
    <w:rsid w:val="00282907"/>
    <w:rsid w:val="002857D0"/>
    <w:rsid w:val="0028593E"/>
    <w:rsid w:val="0028719F"/>
    <w:rsid w:val="00291C05"/>
    <w:rsid w:val="0029208B"/>
    <w:rsid w:val="00292382"/>
    <w:rsid w:val="00292A61"/>
    <w:rsid w:val="00294DBE"/>
    <w:rsid w:val="00295827"/>
    <w:rsid w:val="002A06E5"/>
    <w:rsid w:val="002A1DB0"/>
    <w:rsid w:val="002A4384"/>
    <w:rsid w:val="002A53F5"/>
    <w:rsid w:val="002B0540"/>
    <w:rsid w:val="002B1195"/>
    <w:rsid w:val="002B16CB"/>
    <w:rsid w:val="002B3159"/>
    <w:rsid w:val="002B50AC"/>
    <w:rsid w:val="002B56EA"/>
    <w:rsid w:val="002B67EB"/>
    <w:rsid w:val="002B7603"/>
    <w:rsid w:val="002C0AC9"/>
    <w:rsid w:val="002C2BA1"/>
    <w:rsid w:val="002C2FDA"/>
    <w:rsid w:val="002C416E"/>
    <w:rsid w:val="002C42C5"/>
    <w:rsid w:val="002C46E1"/>
    <w:rsid w:val="002C4EF6"/>
    <w:rsid w:val="002C7ED7"/>
    <w:rsid w:val="002D1ABF"/>
    <w:rsid w:val="002D505B"/>
    <w:rsid w:val="002D74D1"/>
    <w:rsid w:val="002E66C5"/>
    <w:rsid w:val="002E7FB1"/>
    <w:rsid w:val="002F012C"/>
    <w:rsid w:val="002F1E6A"/>
    <w:rsid w:val="002F1EA5"/>
    <w:rsid w:val="002F361A"/>
    <w:rsid w:val="002F568B"/>
    <w:rsid w:val="002F668C"/>
    <w:rsid w:val="002F6CC5"/>
    <w:rsid w:val="00303374"/>
    <w:rsid w:val="003039C4"/>
    <w:rsid w:val="00304546"/>
    <w:rsid w:val="003075B9"/>
    <w:rsid w:val="00312785"/>
    <w:rsid w:val="00314E14"/>
    <w:rsid w:val="00321323"/>
    <w:rsid w:val="00321EF4"/>
    <w:rsid w:val="0032330A"/>
    <w:rsid w:val="00323E33"/>
    <w:rsid w:val="00341A9C"/>
    <w:rsid w:val="00341CC1"/>
    <w:rsid w:val="00341E29"/>
    <w:rsid w:val="003474CA"/>
    <w:rsid w:val="003525F4"/>
    <w:rsid w:val="00352BAE"/>
    <w:rsid w:val="003543A8"/>
    <w:rsid w:val="00354811"/>
    <w:rsid w:val="00354F44"/>
    <w:rsid w:val="0035503C"/>
    <w:rsid w:val="00356890"/>
    <w:rsid w:val="00356C31"/>
    <w:rsid w:val="00360424"/>
    <w:rsid w:val="00363498"/>
    <w:rsid w:val="003643CD"/>
    <w:rsid w:val="00365A50"/>
    <w:rsid w:val="003737B2"/>
    <w:rsid w:val="003739F5"/>
    <w:rsid w:val="00375614"/>
    <w:rsid w:val="00375C48"/>
    <w:rsid w:val="0037616D"/>
    <w:rsid w:val="0037619B"/>
    <w:rsid w:val="00383B11"/>
    <w:rsid w:val="00384ED5"/>
    <w:rsid w:val="00385853"/>
    <w:rsid w:val="0039239C"/>
    <w:rsid w:val="00392E91"/>
    <w:rsid w:val="003950FE"/>
    <w:rsid w:val="003958CF"/>
    <w:rsid w:val="00395AB4"/>
    <w:rsid w:val="00395C73"/>
    <w:rsid w:val="00396E44"/>
    <w:rsid w:val="00397CCA"/>
    <w:rsid w:val="003A4C7E"/>
    <w:rsid w:val="003A78BE"/>
    <w:rsid w:val="003B07BB"/>
    <w:rsid w:val="003B0D22"/>
    <w:rsid w:val="003B144A"/>
    <w:rsid w:val="003B18C0"/>
    <w:rsid w:val="003B7EFE"/>
    <w:rsid w:val="003C02F8"/>
    <w:rsid w:val="003C4154"/>
    <w:rsid w:val="003C479E"/>
    <w:rsid w:val="003C6255"/>
    <w:rsid w:val="003C636F"/>
    <w:rsid w:val="003C68FD"/>
    <w:rsid w:val="003C79A0"/>
    <w:rsid w:val="003D23AF"/>
    <w:rsid w:val="003D3962"/>
    <w:rsid w:val="003D6238"/>
    <w:rsid w:val="003E2833"/>
    <w:rsid w:val="003E315F"/>
    <w:rsid w:val="003E3802"/>
    <w:rsid w:val="003E47F3"/>
    <w:rsid w:val="003E672B"/>
    <w:rsid w:val="003F0937"/>
    <w:rsid w:val="003F3AB8"/>
    <w:rsid w:val="003F7688"/>
    <w:rsid w:val="003F76C8"/>
    <w:rsid w:val="003F7936"/>
    <w:rsid w:val="00400402"/>
    <w:rsid w:val="00400D34"/>
    <w:rsid w:val="0040498D"/>
    <w:rsid w:val="004077FE"/>
    <w:rsid w:val="00415731"/>
    <w:rsid w:val="0042019E"/>
    <w:rsid w:val="00420921"/>
    <w:rsid w:val="0042456A"/>
    <w:rsid w:val="00433F7C"/>
    <w:rsid w:val="004372CE"/>
    <w:rsid w:val="00437637"/>
    <w:rsid w:val="00440AB4"/>
    <w:rsid w:val="004419DC"/>
    <w:rsid w:val="00445FED"/>
    <w:rsid w:val="00446B0D"/>
    <w:rsid w:val="00446EF7"/>
    <w:rsid w:val="0044750F"/>
    <w:rsid w:val="00447935"/>
    <w:rsid w:val="004525AF"/>
    <w:rsid w:val="00454705"/>
    <w:rsid w:val="00462E74"/>
    <w:rsid w:val="0046454A"/>
    <w:rsid w:val="00474FE1"/>
    <w:rsid w:val="004814F6"/>
    <w:rsid w:val="00482986"/>
    <w:rsid w:val="0048383C"/>
    <w:rsid w:val="00483B4E"/>
    <w:rsid w:val="00483CD9"/>
    <w:rsid w:val="00483FE7"/>
    <w:rsid w:val="00485698"/>
    <w:rsid w:val="00491A3D"/>
    <w:rsid w:val="00492A28"/>
    <w:rsid w:val="004A005C"/>
    <w:rsid w:val="004A0369"/>
    <w:rsid w:val="004A2743"/>
    <w:rsid w:val="004A2856"/>
    <w:rsid w:val="004A2C7C"/>
    <w:rsid w:val="004A5CE0"/>
    <w:rsid w:val="004A7C03"/>
    <w:rsid w:val="004B5920"/>
    <w:rsid w:val="004B5CBC"/>
    <w:rsid w:val="004B6FB3"/>
    <w:rsid w:val="004C03AD"/>
    <w:rsid w:val="004C2DE8"/>
    <w:rsid w:val="004C5682"/>
    <w:rsid w:val="004C70BA"/>
    <w:rsid w:val="004C7152"/>
    <w:rsid w:val="004D5399"/>
    <w:rsid w:val="004D76FE"/>
    <w:rsid w:val="004E0A6D"/>
    <w:rsid w:val="004E28E3"/>
    <w:rsid w:val="004E3C47"/>
    <w:rsid w:val="004E3FD1"/>
    <w:rsid w:val="004E5299"/>
    <w:rsid w:val="004E73DC"/>
    <w:rsid w:val="004F3017"/>
    <w:rsid w:val="004F6CCF"/>
    <w:rsid w:val="00503FFA"/>
    <w:rsid w:val="00504844"/>
    <w:rsid w:val="0050639A"/>
    <w:rsid w:val="00507D03"/>
    <w:rsid w:val="00511799"/>
    <w:rsid w:val="00511C32"/>
    <w:rsid w:val="00512C5E"/>
    <w:rsid w:val="00514702"/>
    <w:rsid w:val="00514B0A"/>
    <w:rsid w:val="00514CB2"/>
    <w:rsid w:val="00514FB5"/>
    <w:rsid w:val="005173FD"/>
    <w:rsid w:val="00522E04"/>
    <w:rsid w:val="00534863"/>
    <w:rsid w:val="00537F27"/>
    <w:rsid w:val="00542610"/>
    <w:rsid w:val="00542D86"/>
    <w:rsid w:val="00543CB3"/>
    <w:rsid w:val="00547FEA"/>
    <w:rsid w:val="00550355"/>
    <w:rsid w:val="00550F78"/>
    <w:rsid w:val="005547FE"/>
    <w:rsid w:val="005548DC"/>
    <w:rsid w:val="00555139"/>
    <w:rsid w:val="0056077F"/>
    <w:rsid w:val="00560EAC"/>
    <w:rsid w:val="0056112E"/>
    <w:rsid w:val="00564144"/>
    <w:rsid w:val="00566E30"/>
    <w:rsid w:val="0057300E"/>
    <w:rsid w:val="00573D9A"/>
    <w:rsid w:val="00575854"/>
    <w:rsid w:val="00576A29"/>
    <w:rsid w:val="00576D4F"/>
    <w:rsid w:val="005807A0"/>
    <w:rsid w:val="00585455"/>
    <w:rsid w:val="00585B03"/>
    <w:rsid w:val="0058692B"/>
    <w:rsid w:val="00590355"/>
    <w:rsid w:val="005905C6"/>
    <w:rsid w:val="00590CA6"/>
    <w:rsid w:val="00593227"/>
    <w:rsid w:val="00593AD2"/>
    <w:rsid w:val="00594AC3"/>
    <w:rsid w:val="00595B38"/>
    <w:rsid w:val="0059684C"/>
    <w:rsid w:val="0059735B"/>
    <w:rsid w:val="005A4258"/>
    <w:rsid w:val="005B12F1"/>
    <w:rsid w:val="005B26FB"/>
    <w:rsid w:val="005B6586"/>
    <w:rsid w:val="005B6614"/>
    <w:rsid w:val="005C0999"/>
    <w:rsid w:val="005C4AB4"/>
    <w:rsid w:val="005C76AA"/>
    <w:rsid w:val="005D1FE9"/>
    <w:rsid w:val="005D4C3A"/>
    <w:rsid w:val="005D596F"/>
    <w:rsid w:val="005D5F74"/>
    <w:rsid w:val="005E402F"/>
    <w:rsid w:val="005E5018"/>
    <w:rsid w:val="005E5941"/>
    <w:rsid w:val="005E7364"/>
    <w:rsid w:val="005F070A"/>
    <w:rsid w:val="005F1F38"/>
    <w:rsid w:val="005F20A6"/>
    <w:rsid w:val="005F28EA"/>
    <w:rsid w:val="005F501F"/>
    <w:rsid w:val="005F64F9"/>
    <w:rsid w:val="005F6EF9"/>
    <w:rsid w:val="00601179"/>
    <w:rsid w:val="0060158F"/>
    <w:rsid w:val="006028B2"/>
    <w:rsid w:val="0060335D"/>
    <w:rsid w:val="00603EA1"/>
    <w:rsid w:val="00605A66"/>
    <w:rsid w:val="0061394D"/>
    <w:rsid w:val="00615469"/>
    <w:rsid w:val="006176E1"/>
    <w:rsid w:val="00617DCE"/>
    <w:rsid w:val="00617FDF"/>
    <w:rsid w:val="00621244"/>
    <w:rsid w:val="00621474"/>
    <w:rsid w:val="00623960"/>
    <w:rsid w:val="0062450D"/>
    <w:rsid w:val="00625686"/>
    <w:rsid w:val="006313F9"/>
    <w:rsid w:val="006337BD"/>
    <w:rsid w:val="00633A3F"/>
    <w:rsid w:val="0063760B"/>
    <w:rsid w:val="00640EFC"/>
    <w:rsid w:val="00641F0C"/>
    <w:rsid w:val="00642D9A"/>
    <w:rsid w:val="0064608A"/>
    <w:rsid w:val="00646AF4"/>
    <w:rsid w:val="006509CD"/>
    <w:rsid w:val="0065145F"/>
    <w:rsid w:val="00651FDB"/>
    <w:rsid w:val="00653626"/>
    <w:rsid w:val="00653C26"/>
    <w:rsid w:val="00654CD0"/>
    <w:rsid w:val="006562E6"/>
    <w:rsid w:val="00660CB9"/>
    <w:rsid w:val="006611BC"/>
    <w:rsid w:val="006672C5"/>
    <w:rsid w:val="00670A8E"/>
    <w:rsid w:val="006730C2"/>
    <w:rsid w:val="0067590A"/>
    <w:rsid w:val="00676816"/>
    <w:rsid w:val="006809DA"/>
    <w:rsid w:val="006823AF"/>
    <w:rsid w:val="006923A6"/>
    <w:rsid w:val="00693956"/>
    <w:rsid w:val="006957CA"/>
    <w:rsid w:val="00695B2B"/>
    <w:rsid w:val="006960CE"/>
    <w:rsid w:val="006A4117"/>
    <w:rsid w:val="006B1327"/>
    <w:rsid w:val="006B37BE"/>
    <w:rsid w:val="006B3C1D"/>
    <w:rsid w:val="006B4F17"/>
    <w:rsid w:val="006B56BA"/>
    <w:rsid w:val="006C1A32"/>
    <w:rsid w:val="006C2E23"/>
    <w:rsid w:val="006C52B8"/>
    <w:rsid w:val="006C6F42"/>
    <w:rsid w:val="006D20EB"/>
    <w:rsid w:val="006D30C6"/>
    <w:rsid w:val="006D30FC"/>
    <w:rsid w:val="006D7401"/>
    <w:rsid w:val="006E2D54"/>
    <w:rsid w:val="006E3646"/>
    <w:rsid w:val="006F3789"/>
    <w:rsid w:val="006F571E"/>
    <w:rsid w:val="006F75D0"/>
    <w:rsid w:val="006F7FFD"/>
    <w:rsid w:val="0070176F"/>
    <w:rsid w:val="00703DCC"/>
    <w:rsid w:val="0071024F"/>
    <w:rsid w:val="007107B0"/>
    <w:rsid w:val="00710E4F"/>
    <w:rsid w:val="007110D1"/>
    <w:rsid w:val="00715DE5"/>
    <w:rsid w:val="00716C33"/>
    <w:rsid w:val="00732285"/>
    <w:rsid w:val="0073372B"/>
    <w:rsid w:val="00733852"/>
    <w:rsid w:val="00741381"/>
    <w:rsid w:val="00742298"/>
    <w:rsid w:val="00745C76"/>
    <w:rsid w:val="007515B8"/>
    <w:rsid w:val="00752F56"/>
    <w:rsid w:val="007542B1"/>
    <w:rsid w:val="0075522D"/>
    <w:rsid w:val="00757F77"/>
    <w:rsid w:val="00761F3F"/>
    <w:rsid w:val="0076213C"/>
    <w:rsid w:val="00762DFC"/>
    <w:rsid w:val="007641AB"/>
    <w:rsid w:val="0076529A"/>
    <w:rsid w:val="007667C4"/>
    <w:rsid w:val="007728DC"/>
    <w:rsid w:val="00773063"/>
    <w:rsid w:val="007735C4"/>
    <w:rsid w:val="00774776"/>
    <w:rsid w:val="0077514A"/>
    <w:rsid w:val="00777B97"/>
    <w:rsid w:val="00781EF0"/>
    <w:rsid w:val="007822EC"/>
    <w:rsid w:val="00785DDC"/>
    <w:rsid w:val="007874F2"/>
    <w:rsid w:val="0079000A"/>
    <w:rsid w:val="007913F5"/>
    <w:rsid w:val="00791677"/>
    <w:rsid w:val="007966B3"/>
    <w:rsid w:val="007967CA"/>
    <w:rsid w:val="00797D94"/>
    <w:rsid w:val="007A050F"/>
    <w:rsid w:val="007A2C59"/>
    <w:rsid w:val="007A61B7"/>
    <w:rsid w:val="007A6A10"/>
    <w:rsid w:val="007A6C80"/>
    <w:rsid w:val="007A7475"/>
    <w:rsid w:val="007B35DF"/>
    <w:rsid w:val="007B4508"/>
    <w:rsid w:val="007B46DD"/>
    <w:rsid w:val="007B50B4"/>
    <w:rsid w:val="007B6EF4"/>
    <w:rsid w:val="007C3AE3"/>
    <w:rsid w:val="007D3FB2"/>
    <w:rsid w:val="007D4F44"/>
    <w:rsid w:val="007D64BB"/>
    <w:rsid w:val="007E18BF"/>
    <w:rsid w:val="007E25CF"/>
    <w:rsid w:val="007E50A8"/>
    <w:rsid w:val="007E7024"/>
    <w:rsid w:val="007E7843"/>
    <w:rsid w:val="007F16DA"/>
    <w:rsid w:val="007F440C"/>
    <w:rsid w:val="007F5CB7"/>
    <w:rsid w:val="007F682E"/>
    <w:rsid w:val="00800A5B"/>
    <w:rsid w:val="00802620"/>
    <w:rsid w:val="0080277D"/>
    <w:rsid w:val="00807723"/>
    <w:rsid w:val="00807787"/>
    <w:rsid w:val="00807E24"/>
    <w:rsid w:val="0081189D"/>
    <w:rsid w:val="00811905"/>
    <w:rsid w:val="00811CAD"/>
    <w:rsid w:val="00817FEB"/>
    <w:rsid w:val="0082062D"/>
    <w:rsid w:val="00827FAC"/>
    <w:rsid w:val="00832672"/>
    <w:rsid w:val="00833969"/>
    <w:rsid w:val="00834D79"/>
    <w:rsid w:val="008359DC"/>
    <w:rsid w:val="0083751C"/>
    <w:rsid w:val="0084092C"/>
    <w:rsid w:val="00846183"/>
    <w:rsid w:val="00847B68"/>
    <w:rsid w:val="00854059"/>
    <w:rsid w:val="00854467"/>
    <w:rsid w:val="00854FD8"/>
    <w:rsid w:val="00856150"/>
    <w:rsid w:val="00872DBE"/>
    <w:rsid w:val="008731CC"/>
    <w:rsid w:val="008746D2"/>
    <w:rsid w:val="00874F3A"/>
    <w:rsid w:val="00875DCC"/>
    <w:rsid w:val="00876FAC"/>
    <w:rsid w:val="0087758F"/>
    <w:rsid w:val="00877691"/>
    <w:rsid w:val="008822AE"/>
    <w:rsid w:val="008824DF"/>
    <w:rsid w:val="00883849"/>
    <w:rsid w:val="00886ED7"/>
    <w:rsid w:val="00887AFF"/>
    <w:rsid w:val="00891379"/>
    <w:rsid w:val="008923AE"/>
    <w:rsid w:val="00892F59"/>
    <w:rsid w:val="00897E44"/>
    <w:rsid w:val="008A045A"/>
    <w:rsid w:val="008A20D8"/>
    <w:rsid w:val="008A328F"/>
    <w:rsid w:val="008A6068"/>
    <w:rsid w:val="008A6715"/>
    <w:rsid w:val="008B0080"/>
    <w:rsid w:val="008B02BD"/>
    <w:rsid w:val="008B21FF"/>
    <w:rsid w:val="008B3681"/>
    <w:rsid w:val="008B4CED"/>
    <w:rsid w:val="008C10A7"/>
    <w:rsid w:val="008C2307"/>
    <w:rsid w:val="008C2C4C"/>
    <w:rsid w:val="008C48B2"/>
    <w:rsid w:val="008C4D89"/>
    <w:rsid w:val="008C678D"/>
    <w:rsid w:val="008C7B13"/>
    <w:rsid w:val="008C7B1C"/>
    <w:rsid w:val="008D02E0"/>
    <w:rsid w:val="008D22CA"/>
    <w:rsid w:val="008D4553"/>
    <w:rsid w:val="008D49AE"/>
    <w:rsid w:val="008D681C"/>
    <w:rsid w:val="008D6C6E"/>
    <w:rsid w:val="008D6D5D"/>
    <w:rsid w:val="008D717C"/>
    <w:rsid w:val="008E08B2"/>
    <w:rsid w:val="008E201E"/>
    <w:rsid w:val="008E3868"/>
    <w:rsid w:val="008E3B11"/>
    <w:rsid w:val="008E784B"/>
    <w:rsid w:val="008F01EA"/>
    <w:rsid w:val="008F179C"/>
    <w:rsid w:val="008F3772"/>
    <w:rsid w:val="008F7191"/>
    <w:rsid w:val="008F71CD"/>
    <w:rsid w:val="00900EE6"/>
    <w:rsid w:val="00903084"/>
    <w:rsid w:val="00903F6E"/>
    <w:rsid w:val="00904B60"/>
    <w:rsid w:val="0090608A"/>
    <w:rsid w:val="00906D55"/>
    <w:rsid w:val="00913EE5"/>
    <w:rsid w:val="00915413"/>
    <w:rsid w:val="00916212"/>
    <w:rsid w:val="009166B9"/>
    <w:rsid w:val="009222DB"/>
    <w:rsid w:val="00925885"/>
    <w:rsid w:val="00931214"/>
    <w:rsid w:val="009318FB"/>
    <w:rsid w:val="00932932"/>
    <w:rsid w:val="00934198"/>
    <w:rsid w:val="0093601D"/>
    <w:rsid w:val="0094115B"/>
    <w:rsid w:val="00941C61"/>
    <w:rsid w:val="00950852"/>
    <w:rsid w:val="009520E1"/>
    <w:rsid w:val="00954DA7"/>
    <w:rsid w:val="009620DF"/>
    <w:rsid w:val="009642D2"/>
    <w:rsid w:val="00966894"/>
    <w:rsid w:val="0097506D"/>
    <w:rsid w:val="0097538B"/>
    <w:rsid w:val="00976A8E"/>
    <w:rsid w:val="0098514E"/>
    <w:rsid w:val="0098555A"/>
    <w:rsid w:val="009866EF"/>
    <w:rsid w:val="00986F20"/>
    <w:rsid w:val="00991157"/>
    <w:rsid w:val="009A4F98"/>
    <w:rsid w:val="009A783D"/>
    <w:rsid w:val="009A7C19"/>
    <w:rsid w:val="009B2876"/>
    <w:rsid w:val="009B43E2"/>
    <w:rsid w:val="009B7892"/>
    <w:rsid w:val="009C0AB0"/>
    <w:rsid w:val="009C13AF"/>
    <w:rsid w:val="009C1FEA"/>
    <w:rsid w:val="009C3F2F"/>
    <w:rsid w:val="009C4BB1"/>
    <w:rsid w:val="009C5D7E"/>
    <w:rsid w:val="009C5ECB"/>
    <w:rsid w:val="009C6274"/>
    <w:rsid w:val="009C7499"/>
    <w:rsid w:val="009D0D91"/>
    <w:rsid w:val="009D1733"/>
    <w:rsid w:val="009D2AED"/>
    <w:rsid w:val="009D4D76"/>
    <w:rsid w:val="009D66AF"/>
    <w:rsid w:val="009D7619"/>
    <w:rsid w:val="009E12BF"/>
    <w:rsid w:val="009E251B"/>
    <w:rsid w:val="009E29CC"/>
    <w:rsid w:val="009E4EB9"/>
    <w:rsid w:val="009E67FF"/>
    <w:rsid w:val="009F2A29"/>
    <w:rsid w:val="009F619C"/>
    <w:rsid w:val="009F762E"/>
    <w:rsid w:val="00A11F20"/>
    <w:rsid w:val="00A1335C"/>
    <w:rsid w:val="00A13C77"/>
    <w:rsid w:val="00A14318"/>
    <w:rsid w:val="00A152F4"/>
    <w:rsid w:val="00A16190"/>
    <w:rsid w:val="00A16FE2"/>
    <w:rsid w:val="00A21043"/>
    <w:rsid w:val="00A22275"/>
    <w:rsid w:val="00A22F40"/>
    <w:rsid w:val="00A236B9"/>
    <w:rsid w:val="00A24694"/>
    <w:rsid w:val="00A300AB"/>
    <w:rsid w:val="00A30DBA"/>
    <w:rsid w:val="00A314F2"/>
    <w:rsid w:val="00A35F88"/>
    <w:rsid w:val="00A35FFD"/>
    <w:rsid w:val="00A3719A"/>
    <w:rsid w:val="00A47968"/>
    <w:rsid w:val="00A51A12"/>
    <w:rsid w:val="00A54343"/>
    <w:rsid w:val="00A62E8B"/>
    <w:rsid w:val="00A6708F"/>
    <w:rsid w:val="00A71463"/>
    <w:rsid w:val="00A720C2"/>
    <w:rsid w:val="00A7443B"/>
    <w:rsid w:val="00A769B5"/>
    <w:rsid w:val="00A80ACD"/>
    <w:rsid w:val="00A815B1"/>
    <w:rsid w:val="00A82049"/>
    <w:rsid w:val="00A86204"/>
    <w:rsid w:val="00A9022E"/>
    <w:rsid w:val="00A92E4F"/>
    <w:rsid w:val="00A9668E"/>
    <w:rsid w:val="00A96FA0"/>
    <w:rsid w:val="00A9748A"/>
    <w:rsid w:val="00A9776B"/>
    <w:rsid w:val="00AA0A56"/>
    <w:rsid w:val="00AA6404"/>
    <w:rsid w:val="00AB062B"/>
    <w:rsid w:val="00AB0D30"/>
    <w:rsid w:val="00AB20BA"/>
    <w:rsid w:val="00AB4D25"/>
    <w:rsid w:val="00AB4FFC"/>
    <w:rsid w:val="00AB7D27"/>
    <w:rsid w:val="00AC1F4C"/>
    <w:rsid w:val="00AC2562"/>
    <w:rsid w:val="00AC3C45"/>
    <w:rsid w:val="00AC4827"/>
    <w:rsid w:val="00AC5549"/>
    <w:rsid w:val="00AC5B00"/>
    <w:rsid w:val="00AC627A"/>
    <w:rsid w:val="00AC714D"/>
    <w:rsid w:val="00AD0F36"/>
    <w:rsid w:val="00AD2220"/>
    <w:rsid w:val="00AD2C93"/>
    <w:rsid w:val="00AD5067"/>
    <w:rsid w:val="00AE6816"/>
    <w:rsid w:val="00AF1543"/>
    <w:rsid w:val="00AF1F3D"/>
    <w:rsid w:val="00AF2ABD"/>
    <w:rsid w:val="00AF2ECC"/>
    <w:rsid w:val="00AF41B5"/>
    <w:rsid w:val="00AF4E68"/>
    <w:rsid w:val="00AF5846"/>
    <w:rsid w:val="00AF6BC6"/>
    <w:rsid w:val="00AF7477"/>
    <w:rsid w:val="00AF764D"/>
    <w:rsid w:val="00B00460"/>
    <w:rsid w:val="00B04259"/>
    <w:rsid w:val="00B05674"/>
    <w:rsid w:val="00B07DD5"/>
    <w:rsid w:val="00B10D2E"/>
    <w:rsid w:val="00B10FAE"/>
    <w:rsid w:val="00B12A37"/>
    <w:rsid w:val="00B12FDF"/>
    <w:rsid w:val="00B13ECD"/>
    <w:rsid w:val="00B13FEA"/>
    <w:rsid w:val="00B145AD"/>
    <w:rsid w:val="00B15933"/>
    <w:rsid w:val="00B24201"/>
    <w:rsid w:val="00B25A04"/>
    <w:rsid w:val="00B2679B"/>
    <w:rsid w:val="00B30135"/>
    <w:rsid w:val="00B32D12"/>
    <w:rsid w:val="00B33924"/>
    <w:rsid w:val="00B42277"/>
    <w:rsid w:val="00B4601A"/>
    <w:rsid w:val="00B46F16"/>
    <w:rsid w:val="00B4743A"/>
    <w:rsid w:val="00B5025B"/>
    <w:rsid w:val="00B503BE"/>
    <w:rsid w:val="00B50768"/>
    <w:rsid w:val="00B5106D"/>
    <w:rsid w:val="00B52D4B"/>
    <w:rsid w:val="00B53D97"/>
    <w:rsid w:val="00B5560C"/>
    <w:rsid w:val="00B56FD0"/>
    <w:rsid w:val="00B614CC"/>
    <w:rsid w:val="00B61DE0"/>
    <w:rsid w:val="00B62E52"/>
    <w:rsid w:val="00B63776"/>
    <w:rsid w:val="00B63AE0"/>
    <w:rsid w:val="00B643CC"/>
    <w:rsid w:val="00B6457C"/>
    <w:rsid w:val="00B64815"/>
    <w:rsid w:val="00B65F74"/>
    <w:rsid w:val="00B70F95"/>
    <w:rsid w:val="00B732AA"/>
    <w:rsid w:val="00B76C63"/>
    <w:rsid w:val="00B773AD"/>
    <w:rsid w:val="00B77CA6"/>
    <w:rsid w:val="00B8243F"/>
    <w:rsid w:val="00B82C23"/>
    <w:rsid w:val="00B87596"/>
    <w:rsid w:val="00B936BE"/>
    <w:rsid w:val="00B94E03"/>
    <w:rsid w:val="00BA3341"/>
    <w:rsid w:val="00BA4D6E"/>
    <w:rsid w:val="00BA6887"/>
    <w:rsid w:val="00BB12FB"/>
    <w:rsid w:val="00BB1980"/>
    <w:rsid w:val="00BB2A9F"/>
    <w:rsid w:val="00BB67DC"/>
    <w:rsid w:val="00BC032E"/>
    <w:rsid w:val="00BC4D3F"/>
    <w:rsid w:val="00BD1EC0"/>
    <w:rsid w:val="00BD2D2C"/>
    <w:rsid w:val="00BD3B6A"/>
    <w:rsid w:val="00BD487B"/>
    <w:rsid w:val="00BD6966"/>
    <w:rsid w:val="00BD723B"/>
    <w:rsid w:val="00BE0C00"/>
    <w:rsid w:val="00BE3785"/>
    <w:rsid w:val="00BE6AE3"/>
    <w:rsid w:val="00BE7BE7"/>
    <w:rsid w:val="00BF065F"/>
    <w:rsid w:val="00BF47B3"/>
    <w:rsid w:val="00BF552A"/>
    <w:rsid w:val="00BF5BBD"/>
    <w:rsid w:val="00BF647F"/>
    <w:rsid w:val="00C00275"/>
    <w:rsid w:val="00C03341"/>
    <w:rsid w:val="00C034FE"/>
    <w:rsid w:val="00C05B83"/>
    <w:rsid w:val="00C06F57"/>
    <w:rsid w:val="00C07D46"/>
    <w:rsid w:val="00C07F33"/>
    <w:rsid w:val="00C10E21"/>
    <w:rsid w:val="00C133E4"/>
    <w:rsid w:val="00C14886"/>
    <w:rsid w:val="00C22C8A"/>
    <w:rsid w:val="00C2304D"/>
    <w:rsid w:val="00C25F30"/>
    <w:rsid w:val="00C2717B"/>
    <w:rsid w:val="00C30571"/>
    <w:rsid w:val="00C353E9"/>
    <w:rsid w:val="00C37096"/>
    <w:rsid w:val="00C3760B"/>
    <w:rsid w:val="00C4002C"/>
    <w:rsid w:val="00C412BD"/>
    <w:rsid w:val="00C50B37"/>
    <w:rsid w:val="00C52A1B"/>
    <w:rsid w:val="00C543EB"/>
    <w:rsid w:val="00C553BD"/>
    <w:rsid w:val="00C56565"/>
    <w:rsid w:val="00C600E2"/>
    <w:rsid w:val="00C60225"/>
    <w:rsid w:val="00C625DD"/>
    <w:rsid w:val="00C70CE9"/>
    <w:rsid w:val="00C757CC"/>
    <w:rsid w:val="00C90123"/>
    <w:rsid w:val="00C908F2"/>
    <w:rsid w:val="00C926C3"/>
    <w:rsid w:val="00C94841"/>
    <w:rsid w:val="00C94F92"/>
    <w:rsid w:val="00CA2E15"/>
    <w:rsid w:val="00CA443C"/>
    <w:rsid w:val="00CA5E7D"/>
    <w:rsid w:val="00CB09A9"/>
    <w:rsid w:val="00CB10B8"/>
    <w:rsid w:val="00CB191F"/>
    <w:rsid w:val="00CB594F"/>
    <w:rsid w:val="00CC1E36"/>
    <w:rsid w:val="00CD11DE"/>
    <w:rsid w:val="00CD2460"/>
    <w:rsid w:val="00CD622B"/>
    <w:rsid w:val="00CD7A9B"/>
    <w:rsid w:val="00CE1E02"/>
    <w:rsid w:val="00CE22FF"/>
    <w:rsid w:val="00CE2CA8"/>
    <w:rsid w:val="00CE337F"/>
    <w:rsid w:val="00CE4F1A"/>
    <w:rsid w:val="00CF053A"/>
    <w:rsid w:val="00CF0793"/>
    <w:rsid w:val="00CF0E1B"/>
    <w:rsid w:val="00CF14C0"/>
    <w:rsid w:val="00CF27E4"/>
    <w:rsid w:val="00CF5A51"/>
    <w:rsid w:val="00CF6533"/>
    <w:rsid w:val="00D01D9D"/>
    <w:rsid w:val="00D01E75"/>
    <w:rsid w:val="00D03A08"/>
    <w:rsid w:val="00D04CC2"/>
    <w:rsid w:val="00D0531C"/>
    <w:rsid w:val="00D11337"/>
    <w:rsid w:val="00D12DB9"/>
    <w:rsid w:val="00D158C3"/>
    <w:rsid w:val="00D16FCA"/>
    <w:rsid w:val="00D21498"/>
    <w:rsid w:val="00D24679"/>
    <w:rsid w:val="00D2610E"/>
    <w:rsid w:val="00D26428"/>
    <w:rsid w:val="00D26BD2"/>
    <w:rsid w:val="00D315AD"/>
    <w:rsid w:val="00D3350B"/>
    <w:rsid w:val="00D33546"/>
    <w:rsid w:val="00D41309"/>
    <w:rsid w:val="00D42B62"/>
    <w:rsid w:val="00D43B70"/>
    <w:rsid w:val="00D44B6A"/>
    <w:rsid w:val="00D4590F"/>
    <w:rsid w:val="00D45CE6"/>
    <w:rsid w:val="00D46D14"/>
    <w:rsid w:val="00D611A0"/>
    <w:rsid w:val="00D61614"/>
    <w:rsid w:val="00D62831"/>
    <w:rsid w:val="00D66DF6"/>
    <w:rsid w:val="00D7223B"/>
    <w:rsid w:val="00D76F94"/>
    <w:rsid w:val="00D854BF"/>
    <w:rsid w:val="00D90AAE"/>
    <w:rsid w:val="00D92B80"/>
    <w:rsid w:val="00D93BC5"/>
    <w:rsid w:val="00DA2546"/>
    <w:rsid w:val="00DA28AF"/>
    <w:rsid w:val="00DA3162"/>
    <w:rsid w:val="00DA3695"/>
    <w:rsid w:val="00DA5228"/>
    <w:rsid w:val="00DA6970"/>
    <w:rsid w:val="00DA7C2D"/>
    <w:rsid w:val="00DA7EA4"/>
    <w:rsid w:val="00DB3D17"/>
    <w:rsid w:val="00DC28A6"/>
    <w:rsid w:val="00DC5238"/>
    <w:rsid w:val="00DC5787"/>
    <w:rsid w:val="00DD7007"/>
    <w:rsid w:val="00DE187F"/>
    <w:rsid w:val="00DE3808"/>
    <w:rsid w:val="00DE6D76"/>
    <w:rsid w:val="00DF20B3"/>
    <w:rsid w:val="00DF5689"/>
    <w:rsid w:val="00DF73B8"/>
    <w:rsid w:val="00DF752A"/>
    <w:rsid w:val="00DF78F1"/>
    <w:rsid w:val="00E02A2A"/>
    <w:rsid w:val="00E02BFA"/>
    <w:rsid w:val="00E05B5A"/>
    <w:rsid w:val="00E06647"/>
    <w:rsid w:val="00E12292"/>
    <w:rsid w:val="00E15A44"/>
    <w:rsid w:val="00E1618C"/>
    <w:rsid w:val="00E163F5"/>
    <w:rsid w:val="00E16850"/>
    <w:rsid w:val="00E24281"/>
    <w:rsid w:val="00E24FFF"/>
    <w:rsid w:val="00E250A3"/>
    <w:rsid w:val="00E25586"/>
    <w:rsid w:val="00E3038E"/>
    <w:rsid w:val="00E31C14"/>
    <w:rsid w:val="00E33C6D"/>
    <w:rsid w:val="00E35FFE"/>
    <w:rsid w:val="00E3654E"/>
    <w:rsid w:val="00E36635"/>
    <w:rsid w:val="00E36C65"/>
    <w:rsid w:val="00E37699"/>
    <w:rsid w:val="00E4189F"/>
    <w:rsid w:val="00E43985"/>
    <w:rsid w:val="00E4521D"/>
    <w:rsid w:val="00E46066"/>
    <w:rsid w:val="00E472DC"/>
    <w:rsid w:val="00E501AA"/>
    <w:rsid w:val="00E516F1"/>
    <w:rsid w:val="00E55E67"/>
    <w:rsid w:val="00E6193B"/>
    <w:rsid w:val="00E61FDF"/>
    <w:rsid w:val="00E703EF"/>
    <w:rsid w:val="00E72C00"/>
    <w:rsid w:val="00E7330D"/>
    <w:rsid w:val="00E74E1F"/>
    <w:rsid w:val="00E75B33"/>
    <w:rsid w:val="00E86342"/>
    <w:rsid w:val="00E866F7"/>
    <w:rsid w:val="00E924AE"/>
    <w:rsid w:val="00E9591A"/>
    <w:rsid w:val="00EA2683"/>
    <w:rsid w:val="00EA6850"/>
    <w:rsid w:val="00EB2B45"/>
    <w:rsid w:val="00EB418C"/>
    <w:rsid w:val="00EB4BA1"/>
    <w:rsid w:val="00EB798D"/>
    <w:rsid w:val="00EB7F24"/>
    <w:rsid w:val="00EC1751"/>
    <w:rsid w:val="00EC4B1D"/>
    <w:rsid w:val="00EC66E0"/>
    <w:rsid w:val="00ED36B3"/>
    <w:rsid w:val="00EE2E1A"/>
    <w:rsid w:val="00EE3094"/>
    <w:rsid w:val="00EF0424"/>
    <w:rsid w:val="00EF065B"/>
    <w:rsid w:val="00EF52A9"/>
    <w:rsid w:val="00EF7FE4"/>
    <w:rsid w:val="00F02198"/>
    <w:rsid w:val="00F03932"/>
    <w:rsid w:val="00F0635B"/>
    <w:rsid w:val="00F06636"/>
    <w:rsid w:val="00F1175A"/>
    <w:rsid w:val="00F15ED0"/>
    <w:rsid w:val="00F2260D"/>
    <w:rsid w:val="00F2609E"/>
    <w:rsid w:val="00F30004"/>
    <w:rsid w:val="00F31118"/>
    <w:rsid w:val="00F31307"/>
    <w:rsid w:val="00F31CE9"/>
    <w:rsid w:val="00F32738"/>
    <w:rsid w:val="00F41F0B"/>
    <w:rsid w:val="00F425F8"/>
    <w:rsid w:val="00F4266A"/>
    <w:rsid w:val="00F43B4C"/>
    <w:rsid w:val="00F445AC"/>
    <w:rsid w:val="00F45C4B"/>
    <w:rsid w:val="00F55E97"/>
    <w:rsid w:val="00F5617A"/>
    <w:rsid w:val="00F5704C"/>
    <w:rsid w:val="00F6024E"/>
    <w:rsid w:val="00F60F9A"/>
    <w:rsid w:val="00F61072"/>
    <w:rsid w:val="00F61FF0"/>
    <w:rsid w:val="00F64B1B"/>
    <w:rsid w:val="00F668E8"/>
    <w:rsid w:val="00F73AA2"/>
    <w:rsid w:val="00F760AE"/>
    <w:rsid w:val="00F76362"/>
    <w:rsid w:val="00F81186"/>
    <w:rsid w:val="00F81947"/>
    <w:rsid w:val="00F8298E"/>
    <w:rsid w:val="00F8419F"/>
    <w:rsid w:val="00F85A87"/>
    <w:rsid w:val="00F8748E"/>
    <w:rsid w:val="00F90A25"/>
    <w:rsid w:val="00F91154"/>
    <w:rsid w:val="00F918FD"/>
    <w:rsid w:val="00F95AF8"/>
    <w:rsid w:val="00F9659A"/>
    <w:rsid w:val="00FA1470"/>
    <w:rsid w:val="00FA16C9"/>
    <w:rsid w:val="00FA3B81"/>
    <w:rsid w:val="00FA3D6D"/>
    <w:rsid w:val="00FB0D88"/>
    <w:rsid w:val="00FB102D"/>
    <w:rsid w:val="00FB16AB"/>
    <w:rsid w:val="00FB20AB"/>
    <w:rsid w:val="00FB2765"/>
    <w:rsid w:val="00FB719E"/>
    <w:rsid w:val="00FC288F"/>
    <w:rsid w:val="00FC38B4"/>
    <w:rsid w:val="00FC4177"/>
    <w:rsid w:val="00FD255A"/>
    <w:rsid w:val="00FD3C10"/>
    <w:rsid w:val="00FD3DCA"/>
    <w:rsid w:val="00FD433B"/>
    <w:rsid w:val="00FE16C3"/>
    <w:rsid w:val="00FE361C"/>
    <w:rsid w:val="00FE48D1"/>
    <w:rsid w:val="00FE5BC1"/>
    <w:rsid w:val="00FE6ED6"/>
    <w:rsid w:val="00FF0921"/>
    <w:rsid w:val="00FF10E3"/>
    <w:rsid w:val="00FF24C3"/>
    <w:rsid w:val="00FF32C1"/>
    <w:rsid w:val="00FF4E93"/>
    <w:rsid w:val="00FF55E8"/>
    <w:rsid w:val="00FF7E2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327652"/>
  <w15:docId w15:val="{ADF71AB8-A8E5-48A9-977D-0F958E6F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69"/>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33969"/>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33969"/>
    <w:pPr>
      <w:keepNext/>
      <w:keepLines/>
      <w:numPr>
        <w:numId w:val="1"/>
      </w:numPr>
      <w:spacing w:before="240" w:after="240"/>
      <w:ind w:left="283" w:hanging="215"/>
      <w:outlineLvl w:val="1"/>
    </w:pPr>
    <w:rPr>
      <w:rFonts w:eastAsiaTheme="majorEastAsia" w:cstheme="majorBidi"/>
      <w:b/>
      <w:bCs/>
      <w:szCs w:val="26"/>
    </w:rPr>
  </w:style>
  <w:style w:type="paragraph" w:styleId="Heading3">
    <w:name w:val="heading 3"/>
    <w:basedOn w:val="Normal"/>
    <w:next w:val="Normal"/>
    <w:link w:val="Heading3Char"/>
    <w:unhideWhenUsed/>
    <w:qFormat/>
    <w:rsid w:val="00AF1F3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6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339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AF1F3D"/>
    <w:rPr>
      <w:rFonts w:asciiTheme="majorHAnsi" w:eastAsiaTheme="majorEastAsia" w:hAnsiTheme="majorHAnsi" w:cstheme="majorBidi"/>
      <w:color w:val="243F60" w:themeColor="accent1" w:themeShade="7F"/>
      <w:sz w:val="24"/>
      <w:szCs w:val="24"/>
    </w:rPr>
  </w:style>
  <w:style w:type="paragraph" w:customStyle="1" w:styleId="tv213">
    <w:name w:val="tv213"/>
    <w:basedOn w:val="Normal"/>
    <w:rsid w:val="00FB0D88"/>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unhideWhenUsed/>
    <w:rsid w:val="000F12E9"/>
    <w:rPr>
      <w:sz w:val="16"/>
      <w:szCs w:val="16"/>
    </w:rPr>
  </w:style>
  <w:style w:type="paragraph" w:styleId="CommentText">
    <w:name w:val="annotation text"/>
    <w:basedOn w:val="Normal"/>
    <w:link w:val="CommentTextChar"/>
    <w:uiPriority w:val="99"/>
    <w:unhideWhenUsed/>
    <w:rsid w:val="000F12E9"/>
    <w:rPr>
      <w:sz w:val="20"/>
      <w:szCs w:val="20"/>
    </w:rPr>
  </w:style>
  <w:style w:type="character" w:customStyle="1" w:styleId="CommentTextChar">
    <w:name w:val="Comment Text Char"/>
    <w:basedOn w:val="DefaultParagraphFont"/>
    <w:link w:val="CommentText"/>
    <w:uiPriority w:val="99"/>
    <w:rsid w:val="000F12E9"/>
    <w:rPr>
      <w:sz w:val="20"/>
      <w:szCs w:val="20"/>
    </w:rPr>
  </w:style>
  <w:style w:type="paragraph" w:styleId="CommentSubject">
    <w:name w:val="annotation subject"/>
    <w:basedOn w:val="CommentText"/>
    <w:next w:val="CommentText"/>
    <w:link w:val="CommentSubjectChar"/>
    <w:unhideWhenUsed/>
    <w:rsid w:val="000F12E9"/>
    <w:rPr>
      <w:b/>
      <w:bCs/>
    </w:rPr>
  </w:style>
  <w:style w:type="character" w:customStyle="1" w:styleId="CommentSubjectChar">
    <w:name w:val="Comment Subject Char"/>
    <w:basedOn w:val="CommentTextChar"/>
    <w:link w:val="CommentSubject"/>
    <w:rsid w:val="000F12E9"/>
    <w:rPr>
      <w:b/>
      <w:bCs/>
      <w:sz w:val="20"/>
      <w:szCs w:val="20"/>
    </w:rPr>
  </w:style>
  <w:style w:type="paragraph" w:styleId="BalloonText">
    <w:name w:val="Balloon Text"/>
    <w:basedOn w:val="Normal"/>
    <w:link w:val="BalloonTextChar"/>
    <w:unhideWhenUsed/>
    <w:rsid w:val="000F12E9"/>
    <w:rPr>
      <w:rFonts w:ascii="Tahoma" w:hAnsi="Tahoma" w:cs="Tahoma"/>
      <w:sz w:val="16"/>
      <w:szCs w:val="16"/>
    </w:rPr>
  </w:style>
  <w:style w:type="character" w:customStyle="1" w:styleId="BalloonTextChar">
    <w:name w:val="Balloon Text Char"/>
    <w:basedOn w:val="DefaultParagraphFont"/>
    <w:link w:val="BalloonText"/>
    <w:rsid w:val="000F12E9"/>
    <w:rPr>
      <w:rFonts w:ascii="Tahoma" w:hAnsi="Tahoma" w:cs="Tahoma"/>
      <w:sz w:val="16"/>
      <w:szCs w:val="16"/>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
    <w:link w:val="FootnoteTextChar"/>
    <w:uiPriority w:val="99"/>
    <w:unhideWhenUsed/>
    <w:qFormat/>
    <w:rsid w:val="000F12E9"/>
    <w:rPr>
      <w:sz w:val="20"/>
      <w:szCs w:val="20"/>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uiPriority w:val="99"/>
    <w:rsid w:val="000F12E9"/>
    <w:rPr>
      <w:sz w:val="20"/>
      <w:szCs w:val="20"/>
    </w:rPr>
  </w:style>
  <w:style w:type="character" w:styleId="FootnoteReference">
    <w:name w:val="footnote reference"/>
    <w:aliases w:val="16 Point,Superscript 6 Point,number,SUPERS,Footnote Reference Superscript,ftref,(Ref. de nota al pie)"/>
    <w:basedOn w:val="DefaultParagraphFont"/>
    <w:uiPriority w:val="99"/>
    <w:unhideWhenUsed/>
    <w:rsid w:val="000F12E9"/>
    <w:rPr>
      <w:vertAlign w:val="superscript"/>
    </w:rPr>
  </w:style>
  <w:style w:type="paragraph" w:customStyle="1" w:styleId="Default">
    <w:name w:val="Default"/>
    <w:rsid w:val="00FE48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Strip"/>
    <w:basedOn w:val="Normal"/>
    <w:link w:val="ListParagraphChar"/>
    <w:uiPriority w:val="34"/>
    <w:qFormat/>
    <w:rsid w:val="0064608A"/>
    <w:pPr>
      <w:ind w:left="720"/>
      <w:contextualSpacing/>
    </w:pPr>
  </w:style>
  <w:style w:type="character" w:customStyle="1" w:styleId="ListParagraphChar">
    <w:name w:val="List Paragraph Char"/>
    <w:aliases w:val="2 Char,Strip Char"/>
    <w:link w:val="ListParagraph"/>
    <w:uiPriority w:val="34"/>
    <w:locked/>
    <w:rsid w:val="00AF1F3D"/>
    <w:rPr>
      <w:rFonts w:ascii="Times New Roman" w:hAnsi="Times New Roman"/>
      <w:sz w:val="24"/>
    </w:rPr>
  </w:style>
  <w:style w:type="character" w:styleId="Strong">
    <w:name w:val="Strong"/>
    <w:basedOn w:val="DefaultParagraphFont"/>
    <w:uiPriority w:val="22"/>
    <w:qFormat/>
    <w:rsid w:val="00833969"/>
    <w:rPr>
      <w:b/>
      <w:bCs/>
    </w:rPr>
  </w:style>
  <w:style w:type="character" w:styleId="IntenseEmphasis">
    <w:name w:val="Intense Emphasis"/>
    <w:basedOn w:val="DefaultParagraphFont"/>
    <w:uiPriority w:val="21"/>
    <w:qFormat/>
    <w:rsid w:val="00833969"/>
    <w:rPr>
      <w:rFonts w:ascii="Times New Roman" w:hAnsi="Times New Roman"/>
      <w:b/>
      <w:bCs/>
      <w:i/>
      <w:iCs/>
      <w:color w:val="auto"/>
      <w:sz w:val="24"/>
    </w:rPr>
  </w:style>
  <w:style w:type="paragraph" w:styleId="Header">
    <w:name w:val="header"/>
    <w:basedOn w:val="Normal"/>
    <w:link w:val="HeaderChar"/>
    <w:unhideWhenUsed/>
    <w:rsid w:val="00E250A3"/>
    <w:pPr>
      <w:tabs>
        <w:tab w:val="center" w:pos="4153"/>
        <w:tab w:val="right" w:pos="8306"/>
      </w:tabs>
    </w:pPr>
  </w:style>
  <w:style w:type="character" w:customStyle="1" w:styleId="HeaderChar">
    <w:name w:val="Header Char"/>
    <w:basedOn w:val="DefaultParagraphFont"/>
    <w:link w:val="Header"/>
    <w:rsid w:val="00E250A3"/>
    <w:rPr>
      <w:rFonts w:ascii="Times New Roman" w:hAnsi="Times New Roman"/>
      <w:sz w:val="24"/>
    </w:rPr>
  </w:style>
  <w:style w:type="paragraph" w:styleId="Footer">
    <w:name w:val="footer"/>
    <w:basedOn w:val="Normal"/>
    <w:link w:val="FooterChar"/>
    <w:unhideWhenUsed/>
    <w:rsid w:val="00E250A3"/>
    <w:pPr>
      <w:tabs>
        <w:tab w:val="center" w:pos="4153"/>
        <w:tab w:val="right" w:pos="8306"/>
      </w:tabs>
    </w:pPr>
  </w:style>
  <w:style w:type="character" w:customStyle="1" w:styleId="FooterChar">
    <w:name w:val="Footer Char"/>
    <w:basedOn w:val="DefaultParagraphFont"/>
    <w:link w:val="Footer"/>
    <w:rsid w:val="00E250A3"/>
    <w:rPr>
      <w:rFonts w:ascii="Times New Roman" w:hAnsi="Times New Roman"/>
      <w:sz w:val="24"/>
    </w:rPr>
  </w:style>
  <w:style w:type="character" w:styleId="Hyperlink">
    <w:name w:val="Hyperlink"/>
    <w:basedOn w:val="DefaultParagraphFont"/>
    <w:uiPriority w:val="99"/>
    <w:unhideWhenUsed/>
    <w:rsid w:val="001937DA"/>
    <w:rPr>
      <w:color w:val="0000FF" w:themeColor="hyperlink"/>
      <w:u w:val="single"/>
    </w:rPr>
  </w:style>
  <w:style w:type="character" w:customStyle="1" w:styleId="FontStyle60">
    <w:name w:val="Font Style60"/>
    <w:basedOn w:val="DefaultParagraphFont"/>
    <w:uiPriority w:val="99"/>
    <w:rsid w:val="00303374"/>
    <w:rPr>
      <w:rFonts w:ascii="Times New Roman" w:hAnsi="Times New Roman" w:cs="Times New Roman" w:hint="default"/>
      <w:sz w:val="22"/>
      <w:szCs w:val="22"/>
    </w:rPr>
  </w:style>
  <w:style w:type="paragraph" w:styleId="NormalWeb">
    <w:name w:val="Normal (Web)"/>
    <w:basedOn w:val="Normal"/>
    <w:uiPriority w:val="99"/>
    <w:unhideWhenUsed/>
    <w:rsid w:val="00AF1F3D"/>
    <w:pPr>
      <w:spacing w:before="100" w:beforeAutospacing="1" w:after="100" w:afterAutospacing="1"/>
      <w:ind w:firstLine="0"/>
      <w:jc w:val="left"/>
    </w:pPr>
    <w:rPr>
      <w:rFonts w:eastAsia="Times New Roman" w:cs="Times New Roman"/>
      <w:szCs w:val="24"/>
      <w:lang w:eastAsia="lv-LV"/>
    </w:rPr>
  </w:style>
  <w:style w:type="paragraph" w:styleId="NoSpacing">
    <w:name w:val="No Spacing"/>
    <w:uiPriority w:val="1"/>
    <w:qFormat/>
    <w:rsid w:val="000D3A4A"/>
    <w:pPr>
      <w:spacing w:before="100" w:after="0" w:line="240" w:lineRule="auto"/>
    </w:pPr>
    <w:rPr>
      <w:sz w:val="20"/>
      <w:szCs w:val="20"/>
    </w:rPr>
  </w:style>
  <w:style w:type="paragraph" w:styleId="BodyText">
    <w:name w:val="Body Text"/>
    <w:basedOn w:val="Normal"/>
    <w:link w:val="BodyTextChar"/>
    <w:rsid w:val="008D4553"/>
    <w:pPr>
      <w:ind w:firstLine="0"/>
      <w:jc w:val="center"/>
    </w:pPr>
    <w:rPr>
      <w:rFonts w:eastAsia="Times New Roman" w:cs="Times New Roman"/>
      <w:sz w:val="28"/>
      <w:szCs w:val="24"/>
    </w:rPr>
  </w:style>
  <w:style w:type="character" w:customStyle="1" w:styleId="BodyTextChar">
    <w:name w:val="Body Text Char"/>
    <w:basedOn w:val="DefaultParagraphFont"/>
    <w:link w:val="BodyText"/>
    <w:rsid w:val="008D4553"/>
    <w:rPr>
      <w:rFonts w:ascii="Times New Roman" w:eastAsia="Times New Roman" w:hAnsi="Times New Roman" w:cs="Times New Roman"/>
      <w:sz w:val="28"/>
      <w:szCs w:val="24"/>
    </w:rPr>
  </w:style>
  <w:style w:type="paragraph" w:customStyle="1" w:styleId="suggested-citation">
    <w:name w:val="suggested-citation"/>
    <w:basedOn w:val="Normal"/>
    <w:rsid w:val="008D4553"/>
    <w:pPr>
      <w:spacing w:before="100" w:beforeAutospacing="1" w:after="100" w:afterAutospacing="1"/>
      <w:ind w:firstLine="0"/>
      <w:jc w:val="left"/>
    </w:pPr>
    <w:rPr>
      <w:rFonts w:eastAsia="Times New Roman" w:cs="Times New Roman"/>
      <w:szCs w:val="24"/>
      <w:lang w:eastAsia="lv-LV"/>
    </w:rPr>
  </w:style>
  <w:style w:type="character" w:styleId="HTMLCite">
    <w:name w:val="HTML Cite"/>
    <w:basedOn w:val="DefaultParagraphFont"/>
    <w:uiPriority w:val="99"/>
    <w:semiHidden/>
    <w:unhideWhenUsed/>
    <w:rsid w:val="008D4553"/>
    <w:rPr>
      <w:i/>
      <w:iCs/>
    </w:rPr>
  </w:style>
  <w:style w:type="character" w:customStyle="1" w:styleId="Neatrisintapieminana1">
    <w:name w:val="Neatrisināta pieminēšana1"/>
    <w:basedOn w:val="DefaultParagraphFont"/>
    <w:uiPriority w:val="99"/>
    <w:semiHidden/>
    <w:unhideWhenUsed/>
    <w:rsid w:val="008D4553"/>
    <w:rPr>
      <w:color w:val="808080"/>
      <w:shd w:val="clear" w:color="auto" w:fill="E6E6E6"/>
    </w:rPr>
  </w:style>
  <w:style w:type="character" w:styleId="Emphasis">
    <w:name w:val="Emphasis"/>
    <w:basedOn w:val="DefaultParagraphFont"/>
    <w:uiPriority w:val="20"/>
    <w:qFormat/>
    <w:rsid w:val="008D4553"/>
    <w:rPr>
      <w:b/>
      <w:bCs/>
      <w:i w:val="0"/>
      <w:iCs w:val="0"/>
    </w:rPr>
  </w:style>
  <w:style w:type="character" w:customStyle="1" w:styleId="st1">
    <w:name w:val="st1"/>
    <w:basedOn w:val="DefaultParagraphFont"/>
    <w:rsid w:val="008D4553"/>
  </w:style>
  <w:style w:type="paragraph" w:customStyle="1" w:styleId="tv2132">
    <w:name w:val="tv2132"/>
    <w:basedOn w:val="Normal"/>
    <w:rsid w:val="008D4553"/>
    <w:pPr>
      <w:spacing w:line="360" w:lineRule="auto"/>
      <w:ind w:firstLine="300"/>
      <w:jc w:val="left"/>
    </w:pPr>
    <w:rPr>
      <w:rFonts w:eastAsia="Times New Roman" w:cs="Times New Roman"/>
      <w:color w:val="414142"/>
      <w:sz w:val="20"/>
      <w:szCs w:val="20"/>
      <w:lang w:eastAsia="lv-LV"/>
    </w:rPr>
  </w:style>
  <w:style w:type="character" w:styleId="FollowedHyperlink">
    <w:name w:val="FollowedHyperlink"/>
    <w:basedOn w:val="DefaultParagraphFont"/>
    <w:uiPriority w:val="99"/>
    <w:semiHidden/>
    <w:unhideWhenUsed/>
    <w:rsid w:val="008D4553"/>
    <w:rPr>
      <w:color w:val="800080" w:themeColor="followedHyperlink"/>
      <w:u w:val="single"/>
    </w:rPr>
  </w:style>
  <w:style w:type="paragraph" w:styleId="EndnoteText">
    <w:name w:val="endnote text"/>
    <w:basedOn w:val="Normal"/>
    <w:link w:val="EndnoteTextChar"/>
    <w:uiPriority w:val="99"/>
    <w:semiHidden/>
    <w:unhideWhenUsed/>
    <w:rsid w:val="008D4553"/>
    <w:pPr>
      <w:ind w:firstLine="0"/>
      <w:jc w:val="left"/>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8D4553"/>
    <w:rPr>
      <w:sz w:val="20"/>
      <w:szCs w:val="20"/>
    </w:rPr>
  </w:style>
  <w:style w:type="character" w:styleId="EndnoteReference">
    <w:name w:val="endnote reference"/>
    <w:basedOn w:val="DefaultParagraphFont"/>
    <w:uiPriority w:val="99"/>
    <w:semiHidden/>
    <w:unhideWhenUsed/>
    <w:rsid w:val="008D4553"/>
    <w:rPr>
      <w:vertAlign w:val="superscript"/>
    </w:rPr>
  </w:style>
  <w:style w:type="paragraph" w:styleId="Revision">
    <w:name w:val="Revision"/>
    <w:hidden/>
    <w:uiPriority w:val="99"/>
    <w:semiHidden/>
    <w:rsid w:val="008D4553"/>
    <w:pPr>
      <w:spacing w:after="0" w:line="240" w:lineRule="auto"/>
    </w:pPr>
  </w:style>
  <w:style w:type="character" w:customStyle="1" w:styleId="UnresolvedMention1">
    <w:name w:val="Unresolved Mention1"/>
    <w:basedOn w:val="DefaultParagraphFont"/>
    <w:uiPriority w:val="99"/>
    <w:semiHidden/>
    <w:unhideWhenUsed/>
    <w:rsid w:val="008D4553"/>
    <w:rPr>
      <w:color w:val="808080"/>
      <w:shd w:val="clear" w:color="auto" w:fill="E6E6E6"/>
    </w:rPr>
  </w:style>
  <w:style w:type="paragraph" w:customStyle="1" w:styleId="Standard">
    <w:name w:val="Standard"/>
    <w:rsid w:val="006960CE"/>
    <w:pPr>
      <w:autoSpaceDN w:val="0"/>
      <w:spacing w:after="160" w:line="240" w:lineRule="auto"/>
      <w:textAlignment w:val="baseline"/>
    </w:pPr>
    <w:rPr>
      <w:rFonts w:ascii="Calibri" w:eastAsia="Calibri" w:hAnsi="Calibri" w:cs="Times New Roman"/>
    </w:rPr>
  </w:style>
  <w:style w:type="paragraph" w:customStyle="1" w:styleId="Heading">
    <w:name w:val="Heading"/>
    <w:basedOn w:val="Standard"/>
    <w:next w:val="Textbody"/>
    <w:rsid w:val="006960CE"/>
    <w:pPr>
      <w:keepNext/>
      <w:spacing w:before="240" w:after="120"/>
    </w:pPr>
    <w:rPr>
      <w:rFonts w:ascii="Arial" w:eastAsia="MS Mincho" w:hAnsi="Arial" w:cs="Tahoma"/>
      <w:sz w:val="28"/>
      <w:szCs w:val="28"/>
    </w:rPr>
  </w:style>
  <w:style w:type="paragraph" w:customStyle="1" w:styleId="Textbody">
    <w:name w:val="Text body"/>
    <w:basedOn w:val="Standard"/>
    <w:rsid w:val="006960CE"/>
    <w:pPr>
      <w:spacing w:after="120"/>
    </w:pPr>
  </w:style>
  <w:style w:type="paragraph" w:customStyle="1" w:styleId="Footnote">
    <w:name w:val="Footnote"/>
    <w:basedOn w:val="Standard"/>
    <w:rsid w:val="006960CE"/>
    <w:pPr>
      <w:suppressLineNumbers/>
      <w:ind w:left="283" w:hanging="283"/>
    </w:pPr>
    <w:rPr>
      <w:sz w:val="20"/>
      <w:szCs w:val="20"/>
    </w:rPr>
  </w:style>
  <w:style w:type="character" w:customStyle="1" w:styleId="FootnoteSymbol">
    <w:name w:val="Footnote Symbol"/>
    <w:rsid w:val="006960CE"/>
  </w:style>
  <w:style w:type="character" w:customStyle="1" w:styleId="Internetlink">
    <w:name w:val="Internet link"/>
    <w:rsid w:val="006960CE"/>
    <w:rPr>
      <w:color w:val="000080"/>
      <w:u w:val="single"/>
    </w:rPr>
  </w:style>
  <w:style w:type="paragraph" w:customStyle="1" w:styleId="naiskr">
    <w:name w:val="naiskr"/>
    <w:basedOn w:val="Normal"/>
    <w:rsid w:val="000D18B2"/>
    <w:pPr>
      <w:spacing w:before="75" w:after="75"/>
      <w:ind w:firstLine="0"/>
      <w:jc w:val="left"/>
    </w:pPr>
    <w:rPr>
      <w:rFonts w:eastAsia="Times New Roman" w:cs="Times New Roman"/>
      <w:szCs w:val="24"/>
      <w:lang w:eastAsia="lv-LV"/>
    </w:rPr>
  </w:style>
  <w:style w:type="character" w:customStyle="1" w:styleId="sourcevalue">
    <w:name w:val="source_value"/>
    <w:rsid w:val="000D18B2"/>
    <w:rPr>
      <w:rFonts w:ascii="Verdana" w:hAnsi="Verdana" w:hint="default"/>
      <w:vanish w:val="0"/>
      <w:webHidden w:val="0"/>
      <w:sz w:val="22"/>
      <w:szCs w:val="22"/>
      <w:specVanish w:val="0"/>
    </w:rPr>
  </w:style>
  <w:style w:type="character" w:customStyle="1" w:styleId="NormalnumberChar">
    <w:name w:val="Normal_number Char"/>
    <w:link w:val="Normalnumber"/>
    <w:rsid w:val="00E516F1"/>
    <w:rPr>
      <w:rFonts w:ascii="Times New Roman" w:eastAsia="Times New Roman" w:hAnsi="Times New Roman" w:cs="Times New Roman"/>
      <w:sz w:val="20"/>
      <w:szCs w:val="20"/>
      <w:lang w:val="ru-RU"/>
    </w:rPr>
  </w:style>
  <w:style w:type="numbering" w:customStyle="1" w:styleId="Normallist">
    <w:name w:val="Normal_list"/>
    <w:basedOn w:val="NoList"/>
    <w:rsid w:val="00E516F1"/>
    <w:pPr>
      <w:numPr>
        <w:numId w:val="2"/>
      </w:numPr>
    </w:pPr>
  </w:style>
  <w:style w:type="paragraph" w:customStyle="1" w:styleId="Normalnumber">
    <w:name w:val="Normal_number"/>
    <w:basedOn w:val="Normal"/>
    <w:link w:val="NormalnumberChar"/>
    <w:rsid w:val="00E516F1"/>
    <w:pPr>
      <w:numPr>
        <w:numId w:val="3"/>
      </w:numPr>
      <w:tabs>
        <w:tab w:val="clear" w:pos="1021"/>
        <w:tab w:val="left" w:pos="1247"/>
        <w:tab w:val="left" w:pos="1814"/>
        <w:tab w:val="left" w:pos="2381"/>
        <w:tab w:val="left" w:pos="2948"/>
        <w:tab w:val="left" w:pos="3515"/>
        <w:tab w:val="num" w:pos="3573"/>
        <w:tab w:val="left" w:pos="4082"/>
      </w:tabs>
      <w:spacing w:after="120"/>
      <w:ind w:left="4253"/>
      <w:jc w:val="left"/>
    </w:pPr>
    <w:rPr>
      <w:rFonts w:eastAsia="Times New Roman" w:cs="Times New Roman"/>
      <w:sz w:val="20"/>
      <w:szCs w:val="20"/>
      <w:lang w:val="ru-RU"/>
    </w:rPr>
  </w:style>
  <w:style w:type="character" w:customStyle="1" w:styleId="UnresolvedMention10">
    <w:name w:val="Unresolved Mention1"/>
    <w:basedOn w:val="DefaultParagraphFont"/>
    <w:uiPriority w:val="99"/>
    <w:semiHidden/>
    <w:unhideWhenUsed/>
    <w:rsid w:val="00F5704C"/>
    <w:rPr>
      <w:color w:val="808080"/>
      <w:shd w:val="clear" w:color="auto" w:fill="E6E6E6"/>
    </w:rPr>
  </w:style>
  <w:style w:type="paragraph" w:customStyle="1" w:styleId="doc-ti">
    <w:name w:val="doc-ti"/>
    <w:basedOn w:val="Normal"/>
    <w:rsid w:val="00F1175A"/>
    <w:pPr>
      <w:spacing w:before="100" w:beforeAutospacing="1" w:after="100" w:afterAutospacing="1"/>
      <w:ind w:firstLine="0"/>
      <w:jc w:val="left"/>
    </w:pPr>
    <w:rPr>
      <w:rFonts w:eastAsia="Times New Roman" w:cs="Times New Roman"/>
      <w:szCs w:val="24"/>
      <w:lang w:eastAsia="lv-LV"/>
    </w:rPr>
  </w:style>
  <w:style w:type="character" w:customStyle="1" w:styleId="a">
    <w:name w:val="_"/>
    <w:basedOn w:val="DefaultParagraphFont"/>
    <w:rsid w:val="003D23AF"/>
  </w:style>
  <w:style w:type="character" w:customStyle="1" w:styleId="ls1">
    <w:name w:val="ls1"/>
    <w:basedOn w:val="DefaultParagraphFont"/>
    <w:rsid w:val="003D23AF"/>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AB20BA"/>
    <w:rPr>
      <w:rFonts w:ascii="Calibri" w:hAnsi="Calibri" w:cs="Times New Roman"/>
      <w:sz w:val="20"/>
      <w:szCs w:val="20"/>
      <w:lang w:val="lv-LV"/>
    </w:rPr>
  </w:style>
  <w:style w:type="paragraph" w:customStyle="1" w:styleId="title-doc-first">
    <w:name w:val="title-doc-first"/>
    <w:basedOn w:val="Normal"/>
    <w:rsid w:val="00585B03"/>
    <w:pPr>
      <w:spacing w:before="100" w:beforeAutospacing="1" w:after="100" w:afterAutospacing="1"/>
      <w:ind w:firstLine="0"/>
      <w:jc w:val="left"/>
    </w:pPr>
    <w:rPr>
      <w:rFonts w:eastAsia="Times New Roman" w:cs="Times New Roman"/>
      <w:szCs w:val="24"/>
      <w:lang w:eastAsia="lv-LV"/>
    </w:rPr>
  </w:style>
  <w:style w:type="paragraph" w:customStyle="1" w:styleId="title-doc-last">
    <w:name w:val="title-doc-last"/>
    <w:basedOn w:val="Normal"/>
    <w:rsid w:val="00585B03"/>
    <w:pPr>
      <w:spacing w:before="100" w:beforeAutospacing="1" w:after="100" w:afterAutospacing="1"/>
      <w:ind w:firstLine="0"/>
      <w:jc w:val="left"/>
    </w:pPr>
    <w:rPr>
      <w:rFonts w:eastAsia="Times New Roman" w:cs="Times New Roman"/>
      <w:szCs w:val="24"/>
      <w:lang w:eastAsia="lv-LV"/>
    </w:rPr>
  </w:style>
  <w:style w:type="paragraph" w:styleId="PlainText">
    <w:name w:val="Plain Text"/>
    <w:basedOn w:val="Normal"/>
    <w:link w:val="PlainTextChar"/>
    <w:uiPriority w:val="99"/>
    <w:semiHidden/>
    <w:unhideWhenUsed/>
    <w:rsid w:val="00AC2562"/>
    <w:pPr>
      <w:ind w:firstLine="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C2562"/>
    <w:rPr>
      <w:rFonts w:ascii="Consolas" w:hAnsi="Consolas"/>
      <w:sz w:val="21"/>
      <w:szCs w:val="21"/>
    </w:rPr>
  </w:style>
  <w:style w:type="table" w:styleId="TableGrid">
    <w:name w:val="Table Grid"/>
    <w:basedOn w:val="TableNormal"/>
    <w:uiPriority w:val="59"/>
    <w:rsid w:val="00D6283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4372CE"/>
    <w:pPr>
      <w:spacing w:before="100" w:beforeAutospacing="1" w:after="100" w:afterAutospacing="1"/>
      <w:ind w:firstLine="0"/>
      <w:jc w:val="left"/>
    </w:pPr>
    <w:rPr>
      <w:rFonts w:eastAsia="Times New Roman" w:cs="Times New Roman"/>
      <w:szCs w:val="24"/>
      <w:lang w:eastAsia="lv-LV"/>
    </w:rPr>
  </w:style>
  <w:style w:type="character" w:customStyle="1" w:styleId="bold">
    <w:name w:val="bold"/>
    <w:basedOn w:val="DefaultParagraphFont"/>
    <w:rsid w:val="0043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7788">
      <w:bodyDiv w:val="1"/>
      <w:marLeft w:val="0"/>
      <w:marRight w:val="0"/>
      <w:marTop w:val="0"/>
      <w:marBottom w:val="0"/>
      <w:divBdr>
        <w:top w:val="none" w:sz="0" w:space="0" w:color="auto"/>
        <w:left w:val="none" w:sz="0" w:space="0" w:color="auto"/>
        <w:bottom w:val="none" w:sz="0" w:space="0" w:color="auto"/>
        <w:right w:val="none" w:sz="0" w:space="0" w:color="auto"/>
      </w:divBdr>
    </w:div>
    <w:div w:id="70935565">
      <w:bodyDiv w:val="1"/>
      <w:marLeft w:val="0"/>
      <w:marRight w:val="0"/>
      <w:marTop w:val="0"/>
      <w:marBottom w:val="0"/>
      <w:divBdr>
        <w:top w:val="none" w:sz="0" w:space="0" w:color="auto"/>
        <w:left w:val="none" w:sz="0" w:space="0" w:color="auto"/>
        <w:bottom w:val="none" w:sz="0" w:space="0" w:color="auto"/>
        <w:right w:val="none" w:sz="0" w:space="0" w:color="auto"/>
      </w:divBdr>
    </w:div>
    <w:div w:id="100880716">
      <w:bodyDiv w:val="1"/>
      <w:marLeft w:val="0"/>
      <w:marRight w:val="0"/>
      <w:marTop w:val="0"/>
      <w:marBottom w:val="0"/>
      <w:divBdr>
        <w:top w:val="none" w:sz="0" w:space="0" w:color="auto"/>
        <w:left w:val="none" w:sz="0" w:space="0" w:color="auto"/>
        <w:bottom w:val="none" w:sz="0" w:space="0" w:color="auto"/>
        <w:right w:val="none" w:sz="0" w:space="0" w:color="auto"/>
      </w:divBdr>
    </w:div>
    <w:div w:id="105278544">
      <w:bodyDiv w:val="1"/>
      <w:marLeft w:val="0"/>
      <w:marRight w:val="0"/>
      <w:marTop w:val="0"/>
      <w:marBottom w:val="0"/>
      <w:divBdr>
        <w:top w:val="none" w:sz="0" w:space="0" w:color="auto"/>
        <w:left w:val="none" w:sz="0" w:space="0" w:color="auto"/>
        <w:bottom w:val="none" w:sz="0" w:space="0" w:color="auto"/>
        <w:right w:val="none" w:sz="0" w:space="0" w:color="auto"/>
      </w:divBdr>
      <w:divsChild>
        <w:div w:id="1771853896">
          <w:marLeft w:val="0"/>
          <w:marRight w:val="0"/>
          <w:marTop w:val="480"/>
          <w:marBottom w:val="240"/>
          <w:divBdr>
            <w:top w:val="none" w:sz="0" w:space="0" w:color="auto"/>
            <w:left w:val="none" w:sz="0" w:space="0" w:color="auto"/>
            <w:bottom w:val="none" w:sz="0" w:space="0" w:color="auto"/>
            <w:right w:val="none" w:sz="0" w:space="0" w:color="auto"/>
          </w:divBdr>
        </w:div>
        <w:div w:id="1604535964">
          <w:marLeft w:val="0"/>
          <w:marRight w:val="0"/>
          <w:marTop w:val="0"/>
          <w:marBottom w:val="567"/>
          <w:divBdr>
            <w:top w:val="none" w:sz="0" w:space="0" w:color="auto"/>
            <w:left w:val="none" w:sz="0" w:space="0" w:color="auto"/>
            <w:bottom w:val="none" w:sz="0" w:space="0" w:color="auto"/>
            <w:right w:val="none" w:sz="0" w:space="0" w:color="auto"/>
          </w:divBdr>
        </w:div>
        <w:div w:id="2014257995">
          <w:marLeft w:val="0"/>
          <w:marRight w:val="0"/>
          <w:marTop w:val="0"/>
          <w:marBottom w:val="567"/>
          <w:divBdr>
            <w:top w:val="none" w:sz="0" w:space="0" w:color="auto"/>
            <w:left w:val="none" w:sz="0" w:space="0" w:color="auto"/>
            <w:bottom w:val="none" w:sz="0" w:space="0" w:color="auto"/>
            <w:right w:val="none" w:sz="0" w:space="0" w:color="auto"/>
          </w:divBdr>
        </w:div>
      </w:divsChild>
    </w:div>
    <w:div w:id="109471777">
      <w:bodyDiv w:val="1"/>
      <w:marLeft w:val="0"/>
      <w:marRight w:val="0"/>
      <w:marTop w:val="0"/>
      <w:marBottom w:val="0"/>
      <w:divBdr>
        <w:top w:val="none" w:sz="0" w:space="0" w:color="auto"/>
        <w:left w:val="none" w:sz="0" w:space="0" w:color="auto"/>
        <w:bottom w:val="none" w:sz="0" w:space="0" w:color="auto"/>
        <w:right w:val="none" w:sz="0" w:space="0" w:color="auto"/>
      </w:divBdr>
    </w:div>
    <w:div w:id="144973622">
      <w:bodyDiv w:val="1"/>
      <w:marLeft w:val="0"/>
      <w:marRight w:val="0"/>
      <w:marTop w:val="0"/>
      <w:marBottom w:val="0"/>
      <w:divBdr>
        <w:top w:val="none" w:sz="0" w:space="0" w:color="auto"/>
        <w:left w:val="none" w:sz="0" w:space="0" w:color="auto"/>
        <w:bottom w:val="none" w:sz="0" w:space="0" w:color="auto"/>
        <w:right w:val="none" w:sz="0" w:space="0" w:color="auto"/>
      </w:divBdr>
    </w:div>
    <w:div w:id="145123825">
      <w:bodyDiv w:val="1"/>
      <w:marLeft w:val="0"/>
      <w:marRight w:val="0"/>
      <w:marTop w:val="0"/>
      <w:marBottom w:val="0"/>
      <w:divBdr>
        <w:top w:val="none" w:sz="0" w:space="0" w:color="auto"/>
        <w:left w:val="none" w:sz="0" w:space="0" w:color="auto"/>
        <w:bottom w:val="none" w:sz="0" w:space="0" w:color="auto"/>
        <w:right w:val="none" w:sz="0" w:space="0" w:color="auto"/>
      </w:divBdr>
    </w:div>
    <w:div w:id="247080328">
      <w:bodyDiv w:val="1"/>
      <w:marLeft w:val="0"/>
      <w:marRight w:val="0"/>
      <w:marTop w:val="0"/>
      <w:marBottom w:val="0"/>
      <w:divBdr>
        <w:top w:val="none" w:sz="0" w:space="0" w:color="auto"/>
        <w:left w:val="none" w:sz="0" w:space="0" w:color="auto"/>
        <w:bottom w:val="none" w:sz="0" w:space="0" w:color="auto"/>
        <w:right w:val="none" w:sz="0" w:space="0" w:color="auto"/>
      </w:divBdr>
      <w:divsChild>
        <w:div w:id="470366900">
          <w:marLeft w:val="0"/>
          <w:marRight w:val="0"/>
          <w:marTop w:val="480"/>
          <w:marBottom w:val="240"/>
          <w:divBdr>
            <w:top w:val="none" w:sz="0" w:space="0" w:color="auto"/>
            <w:left w:val="none" w:sz="0" w:space="0" w:color="auto"/>
            <w:bottom w:val="none" w:sz="0" w:space="0" w:color="auto"/>
            <w:right w:val="none" w:sz="0" w:space="0" w:color="auto"/>
          </w:divBdr>
        </w:div>
        <w:div w:id="402066843">
          <w:marLeft w:val="0"/>
          <w:marRight w:val="0"/>
          <w:marTop w:val="0"/>
          <w:marBottom w:val="567"/>
          <w:divBdr>
            <w:top w:val="none" w:sz="0" w:space="0" w:color="auto"/>
            <w:left w:val="none" w:sz="0" w:space="0" w:color="auto"/>
            <w:bottom w:val="none" w:sz="0" w:space="0" w:color="auto"/>
            <w:right w:val="none" w:sz="0" w:space="0" w:color="auto"/>
          </w:divBdr>
        </w:div>
      </w:divsChild>
    </w:div>
    <w:div w:id="251401443">
      <w:bodyDiv w:val="1"/>
      <w:marLeft w:val="0"/>
      <w:marRight w:val="0"/>
      <w:marTop w:val="0"/>
      <w:marBottom w:val="0"/>
      <w:divBdr>
        <w:top w:val="none" w:sz="0" w:space="0" w:color="auto"/>
        <w:left w:val="none" w:sz="0" w:space="0" w:color="auto"/>
        <w:bottom w:val="none" w:sz="0" w:space="0" w:color="auto"/>
        <w:right w:val="none" w:sz="0" w:space="0" w:color="auto"/>
      </w:divBdr>
    </w:div>
    <w:div w:id="301542525">
      <w:bodyDiv w:val="1"/>
      <w:marLeft w:val="0"/>
      <w:marRight w:val="0"/>
      <w:marTop w:val="0"/>
      <w:marBottom w:val="0"/>
      <w:divBdr>
        <w:top w:val="none" w:sz="0" w:space="0" w:color="auto"/>
        <w:left w:val="none" w:sz="0" w:space="0" w:color="auto"/>
        <w:bottom w:val="none" w:sz="0" w:space="0" w:color="auto"/>
        <w:right w:val="none" w:sz="0" w:space="0" w:color="auto"/>
      </w:divBdr>
    </w:div>
    <w:div w:id="325791849">
      <w:bodyDiv w:val="1"/>
      <w:marLeft w:val="0"/>
      <w:marRight w:val="0"/>
      <w:marTop w:val="0"/>
      <w:marBottom w:val="0"/>
      <w:divBdr>
        <w:top w:val="none" w:sz="0" w:space="0" w:color="auto"/>
        <w:left w:val="none" w:sz="0" w:space="0" w:color="auto"/>
        <w:bottom w:val="none" w:sz="0" w:space="0" w:color="auto"/>
        <w:right w:val="none" w:sz="0" w:space="0" w:color="auto"/>
      </w:divBdr>
    </w:div>
    <w:div w:id="334461803">
      <w:bodyDiv w:val="1"/>
      <w:marLeft w:val="0"/>
      <w:marRight w:val="0"/>
      <w:marTop w:val="0"/>
      <w:marBottom w:val="0"/>
      <w:divBdr>
        <w:top w:val="none" w:sz="0" w:space="0" w:color="auto"/>
        <w:left w:val="none" w:sz="0" w:space="0" w:color="auto"/>
        <w:bottom w:val="none" w:sz="0" w:space="0" w:color="auto"/>
        <w:right w:val="none" w:sz="0" w:space="0" w:color="auto"/>
      </w:divBdr>
    </w:div>
    <w:div w:id="385296054">
      <w:bodyDiv w:val="1"/>
      <w:marLeft w:val="0"/>
      <w:marRight w:val="0"/>
      <w:marTop w:val="0"/>
      <w:marBottom w:val="0"/>
      <w:divBdr>
        <w:top w:val="none" w:sz="0" w:space="0" w:color="auto"/>
        <w:left w:val="none" w:sz="0" w:space="0" w:color="auto"/>
        <w:bottom w:val="none" w:sz="0" w:space="0" w:color="auto"/>
        <w:right w:val="none" w:sz="0" w:space="0" w:color="auto"/>
      </w:divBdr>
    </w:div>
    <w:div w:id="449469929">
      <w:bodyDiv w:val="1"/>
      <w:marLeft w:val="0"/>
      <w:marRight w:val="0"/>
      <w:marTop w:val="0"/>
      <w:marBottom w:val="0"/>
      <w:divBdr>
        <w:top w:val="none" w:sz="0" w:space="0" w:color="auto"/>
        <w:left w:val="none" w:sz="0" w:space="0" w:color="auto"/>
        <w:bottom w:val="none" w:sz="0" w:space="0" w:color="auto"/>
        <w:right w:val="none" w:sz="0" w:space="0" w:color="auto"/>
      </w:divBdr>
    </w:div>
    <w:div w:id="511651508">
      <w:bodyDiv w:val="1"/>
      <w:marLeft w:val="0"/>
      <w:marRight w:val="0"/>
      <w:marTop w:val="0"/>
      <w:marBottom w:val="0"/>
      <w:divBdr>
        <w:top w:val="none" w:sz="0" w:space="0" w:color="auto"/>
        <w:left w:val="none" w:sz="0" w:space="0" w:color="auto"/>
        <w:bottom w:val="none" w:sz="0" w:space="0" w:color="auto"/>
        <w:right w:val="none" w:sz="0" w:space="0" w:color="auto"/>
      </w:divBdr>
    </w:div>
    <w:div w:id="512689912">
      <w:bodyDiv w:val="1"/>
      <w:marLeft w:val="0"/>
      <w:marRight w:val="0"/>
      <w:marTop w:val="0"/>
      <w:marBottom w:val="0"/>
      <w:divBdr>
        <w:top w:val="none" w:sz="0" w:space="0" w:color="auto"/>
        <w:left w:val="none" w:sz="0" w:space="0" w:color="auto"/>
        <w:bottom w:val="none" w:sz="0" w:space="0" w:color="auto"/>
        <w:right w:val="none" w:sz="0" w:space="0" w:color="auto"/>
      </w:divBdr>
    </w:div>
    <w:div w:id="627591796">
      <w:bodyDiv w:val="1"/>
      <w:marLeft w:val="0"/>
      <w:marRight w:val="0"/>
      <w:marTop w:val="0"/>
      <w:marBottom w:val="0"/>
      <w:divBdr>
        <w:top w:val="none" w:sz="0" w:space="0" w:color="auto"/>
        <w:left w:val="none" w:sz="0" w:space="0" w:color="auto"/>
        <w:bottom w:val="none" w:sz="0" w:space="0" w:color="auto"/>
        <w:right w:val="none" w:sz="0" w:space="0" w:color="auto"/>
      </w:divBdr>
      <w:divsChild>
        <w:div w:id="695497735">
          <w:marLeft w:val="0"/>
          <w:marRight w:val="0"/>
          <w:marTop w:val="240"/>
          <w:marBottom w:val="240"/>
          <w:divBdr>
            <w:top w:val="none" w:sz="0" w:space="0" w:color="auto"/>
            <w:left w:val="none" w:sz="0" w:space="0" w:color="auto"/>
            <w:bottom w:val="none" w:sz="0" w:space="0" w:color="auto"/>
            <w:right w:val="none" w:sz="0" w:space="0" w:color="auto"/>
          </w:divBdr>
        </w:div>
        <w:div w:id="1688213967">
          <w:marLeft w:val="0"/>
          <w:marRight w:val="0"/>
          <w:marTop w:val="240"/>
          <w:marBottom w:val="240"/>
          <w:divBdr>
            <w:top w:val="none" w:sz="0" w:space="0" w:color="auto"/>
            <w:left w:val="none" w:sz="0" w:space="0" w:color="auto"/>
            <w:bottom w:val="none" w:sz="0" w:space="0" w:color="auto"/>
            <w:right w:val="none" w:sz="0" w:space="0" w:color="auto"/>
          </w:divBdr>
        </w:div>
      </w:divsChild>
    </w:div>
    <w:div w:id="662321840">
      <w:bodyDiv w:val="1"/>
      <w:marLeft w:val="0"/>
      <w:marRight w:val="0"/>
      <w:marTop w:val="0"/>
      <w:marBottom w:val="0"/>
      <w:divBdr>
        <w:top w:val="none" w:sz="0" w:space="0" w:color="auto"/>
        <w:left w:val="none" w:sz="0" w:space="0" w:color="auto"/>
        <w:bottom w:val="none" w:sz="0" w:space="0" w:color="auto"/>
        <w:right w:val="none" w:sz="0" w:space="0" w:color="auto"/>
      </w:divBdr>
    </w:div>
    <w:div w:id="764614957">
      <w:bodyDiv w:val="1"/>
      <w:marLeft w:val="0"/>
      <w:marRight w:val="0"/>
      <w:marTop w:val="0"/>
      <w:marBottom w:val="0"/>
      <w:divBdr>
        <w:top w:val="none" w:sz="0" w:space="0" w:color="auto"/>
        <w:left w:val="none" w:sz="0" w:space="0" w:color="auto"/>
        <w:bottom w:val="none" w:sz="0" w:space="0" w:color="auto"/>
        <w:right w:val="none" w:sz="0" w:space="0" w:color="auto"/>
      </w:divBdr>
    </w:div>
    <w:div w:id="772474657">
      <w:bodyDiv w:val="1"/>
      <w:marLeft w:val="0"/>
      <w:marRight w:val="0"/>
      <w:marTop w:val="0"/>
      <w:marBottom w:val="0"/>
      <w:divBdr>
        <w:top w:val="none" w:sz="0" w:space="0" w:color="auto"/>
        <w:left w:val="none" w:sz="0" w:space="0" w:color="auto"/>
        <w:bottom w:val="none" w:sz="0" w:space="0" w:color="auto"/>
        <w:right w:val="none" w:sz="0" w:space="0" w:color="auto"/>
      </w:divBdr>
    </w:div>
    <w:div w:id="812328067">
      <w:bodyDiv w:val="1"/>
      <w:marLeft w:val="0"/>
      <w:marRight w:val="0"/>
      <w:marTop w:val="0"/>
      <w:marBottom w:val="0"/>
      <w:divBdr>
        <w:top w:val="none" w:sz="0" w:space="0" w:color="auto"/>
        <w:left w:val="none" w:sz="0" w:space="0" w:color="auto"/>
        <w:bottom w:val="none" w:sz="0" w:space="0" w:color="auto"/>
        <w:right w:val="none" w:sz="0" w:space="0" w:color="auto"/>
      </w:divBdr>
    </w:div>
    <w:div w:id="817963815">
      <w:bodyDiv w:val="1"/>
      <w:marLeft w:val="0"/>
      <w:marRight w:val="0"/>
      <w:marTop w:val="0"/>
      <w:marBottom w:val="0"/>
      <w:divBdr>
        <w:top w:val="none" w:sz="0" w:space="0" w:color="auto"/>
        <w:left w:val="none" w:sz="0" w:space="0" w:color="auto"/>
        <w:bottom w:val="none" w:sz="0" w:space="0" w:color="auto"/>
        <w:right w:val="none" w:sz="0" w:space="0" w:color="auto"/>
      </w:divBdr>
    </w:div>
    <w:div w:id="852259679">
      <w:bodyDiv w:val="1"/>
      <w:marLeft w:val="0"/>
      <w:marRight w:val="0"/>
      <w:marTop w:val="0"/>
      <w:marBottom w:val="0"/>
      <w:divBdr>
        <w:top w:val="none" w:sz="0" w:space="0" w:color="auto"/>
        <w:left w:val="none" w:sz="0" w:space="0" w:color="auto"/>
        <w:bottom w:val="none" w:sz="0" w:space="0" w:color="auto"/>
        <w:right w:val="none" w:sz="0" w:space="0" w:color="auto"/>
      </w:divBdr>
    </w:div>
    <w:div w:id="933627857">
      <w:bodyDiv w:val="1"/>
      <w:marLeft w:val="0"/>
      <w:marRight w:val="0"/>
      <w:marTop w:val="0"/>
      <w:marBottom w:val="0"/>
      <w:divBdr>
        <w:top w:val="none" w:sz="0" w:space="0" w:color="auto"/>
        <w:left w:val="none" w:sz="0" w:space="0" w:color="auto"/>
        <w:bottom w:val="none" w:sz="0" w:space="0" w:color="auto"/>
        <w:right w:val="none" w:sz="0" w:space="0" w:color="auto"/>
      </w:divBdr>
    </w:div>
    <w:div w:id="973175314">
      <w:bodyDiv w:val="1"/>
      <w:marLeft w:val="0"/>
      <w:marRight w:val="0"/>
      <w:marTop w:val="0"/>
      <w:marBottom w:val="0"/>
      <w:divBdr>
        <w:top w:val="none" w:sz="0" w:space="0" w:color="auto"/>
        <w:left w:val="none" w:sz="0" w:space="0" w:color="auto"/>
        <w:bottom w:val="none" w:sz="0" w:space="0" w:color="auto"/>
        <w:right w:val="none" w:sz="0" w:space="0" w:color="auto"/>
      </w:divBdr>
    </w:div>
    <w:div w:id="998119077">
      <w:bodyDiv w:val="1"/>
      <w:marLeft w:val="0"/>
      <w:marRight w:val="0"/>
      <w:marTop w:val="0"/>
      <w:marBottom w:val="0"/>
      <w:divBdr>
        <w:top w:val="none" w:sz="0" w:space="0" w:color="auto"/>
        <w:left w:val="none" w:sz="0" w:space="0" w:color="auto"/>
        <w:bottom w:val="none" w:sz="0" w:space="0" w:color="auto"/>
        <w:right w:val="none" w:sz="0" w:space="0" w:color="auto"/>
      </w:divBdr>
      <w:divsChild>
        <w:div w:id="300501218">
          <w:marLeft w:val="0"/>
          <w:marRight w:val="0"/>
          <w:marTop w:val="240"/>
          <w:marBottom w:val="240"/>
          <w:divBdr>
            <w:top w:val="none" w:sz="0" w:space="0" w:color="auto"/>
            <w:left w:val="none" w:sz="0" w:space="0" w:color="auto"/>
            <w:bottom w:val="none" w:sz="0" w:space="0" w:color="auto"/>
            <w:right w:val="none" w:sz="0" w:space="0" w:color="auto"/>
          </w:divBdr>
        </w:div>
        <w:div w:id="1704135358">
          <w:marLeft w:val="0"/>
          <w:marRight w:val="0"/>
          <w:marTop w:val="240"/>
          <w:marBottom w:val="240"/>
          <w:divBdr>
            <w:top w:val="none" w:sz="0" w:space="0" w:color="auto"/>
            <w:left w:val="none" w:sz="0" w:space="0" w:color="auto"/>
            <w:bottom w:val="none" w:sz="0" w:space="0" w:color="auto"/>
            <w:right w:val="none" w:sz="0" w:space="0" w:color="auto"/>
          </w:divBdr>
        </w:div>
        <w:div w:id="1567690499">
          <w:marLeft w:val="0"/>
          <w:marRight w:val="0"/>
          <w:marTop w:val="240"/>
          <w:marBottom w:val="240"/>
          <w:divBdr>
            <w:top w:val="none" w:sz="0" w:space="0" w:color="auto"/>
            <w:left w:val="none" w:sz="0" w:space="0" w:color="auto"/>
            <w:bottom w:val="none" w:sz="0" w:space="0" w:color="auto"/>
            <w:right w:val="none" w:sz="0" w:space="0" w:color="auto"/>
          </w:divBdr>
        </w:div>
        <w:div w:id="641884471">
          <w:marLeft w:val="0"/>
          <w:marRight w:val="0"/>
          <w:marTop w:val="62"/>
          <w:marBottom w:val="240"/>
          <w:divBdr>
            <w:top w:val="none" w:sz="0" w:space="0" w:color="auto"/>
            <w:left w:val="none" w:sz="0" w:space="0" w:color="auto"/>
            <w:bottom w:val="none" w:sz="0" w:space="0" w:color="auto"/>
            <w:right w:val="none" w:sz="0" w:space="0" w:color="auto"/>
          </w:divBdr>
        </w:div>
        <w:div w:id="1148089874">
          <w:marLeft w:val="0"/>
          <w:marRight w:val="0"/>
          <w:marTop w:val="240"/>
          <w:marBottom w:val="240"/>
          <w:divBdr>
            <w:top w:val="none" w:sz="0" w:space="0" w:color="auto"/>
            <w:left w:val="none" w:sz="0" w:space="0" w:color="auto"/>
            <w:bottom w:val="none" w:sz="0" w:space="0" w:color="auto"/>
            <w:right w:val="none" w:sz="0" w:space="0" w:color="auto"/>
          </w:divBdr>
        </w:div>
        <w:div w:id="1899705733">
          <w:marLeft w:val="0"/>
          <w:marRight w:val="0"/>
          <w:marTop w:val="240"/>
          <w:marBottom w:val="240"/>
          <w:divBdr>
            <w:top w:val="none" w:sz="0" w:space="0" w:color="auto"/>
            <w:left w:val="none" w:sz="0" w:space="0" w:color="auto"/>
            <w:bottom w:val="none" w:sz="0" w:space="0" w:color="auto"/>
            <w:right w:val="none" w:sz="0" w:space="0" w:color="auto"/>
          </w:divBdr>
        </w:div>
        <w:div w:id="1844395519">
          <w:marLeft w:val="0"/>
          <w:marRight w:val="0"/>
          <w:marTop w:val="240"/>
          <w:marBottom w:val="240"/>
          <w:divBdr>
            <w:top w:val="none" w:sz="0" w:space="0" w:color="auto"/>
            <w:left w:val="none" w:sz="0" w:space="0" w:color="auto"/>
            <w:bottom w:val="none" w:sz="0" w:space="0" w:color="auto"/>
            <w:right w:val="none" w:sz="0" w:space="0" w:color="auto"/>
          </w:divBdr>
        </w:div>
        <w:div w:id="1725061629">
          <w:marLeft w:val="0"/>
          <w:marRight w:val="0"/>
          <w:marTop w:val="62"/>
          <w:marBottom w:val="240"/>
          <w:divBdr>
            <w:top w:val="none" w:sz="0" w:space="0" w:color="auto"/>
            <w:left w:val="none" w:sz="0" w:space="0" w:color="auto"/>
            <w:bottom w:val="none" w:sz="0" w:space="0" w:color="auto"/>
            <w:right w:val="none" w:sz="0" w:space="0" w:color="auto"/>
          </w:divBdr>
        </w:div>
        <w:div w:id="1492913281">
          <w:marLeft w:val="0"/>
          <w:marRight w:val="0"/>
          <w:marTop w:val="62"/>
          <w:marBottom w:val="0"/>
          <w:divBdr>
            <w:top w:val="none" w:sz="0" w:space="0" w:color="auto"/>
            <w:left w:val="none" w:sz="0" w:space="0" w:color="auto"/>
            <w:bottom w:val="none" w:sz="0" w:space="0" w:color="auto"/>
            <w:right w:val="none" w:sz="0" w:space="0" w:color="auto"/>
          </w:divBdr>
        </w:div>
      </w:divsChild>
    </w:div>
    <w:div w:id="1022321413">
      <w:bodyDiv w:val="1"/>
      <w:marLeft w:val="0"/>
      <w:marRight w:val="0"/>
      <w:marTop w:val="0"/>
      <w:marBottom w:val="0"/>
      <w:divBdr>
        <w:top w:val="none" w:sz="0" w:space="0" w:color="auto"/>
        <w:left w:val="none" w:sz="0" w:space="0" w:color="auto"/>
        <w:bottom w:val="none" w:sz="0" w:space="0" w:color="auto"/>
        <w:right w:val="none" w:sz="0" w:space="0" w:color="auto"/>
      </w:divBdr>
    </w:div>
    <w:div w:id="1057051855">
      <w:bodyDiv w:val="1"/>
      <w:marLeft w:val="0"/>
      <w:marRight w:val="0"/>
      <w:marTop w:val="0"/>
      <w:marBottom w:val="0"/>
      <w:divBdr>
        <w:top w:val="none" w:sz="0" w:space="0" w:color="auto"/>
        <w:left w:val="none" w:sz="0" w:space="0" w:color="auto"/>
        <w:bottom w:val="none" w:sz="0" w:space="0" w:color="auto"/>
        <w:right w:val="none" w:sz="0" w:space="0" w:color="auto"/>
      </w:divBdr>
    </w:div>
    <w:div w:id="1059790968">
      <w:bodyDiv w:val="1"/>
      <w:marLeft w:val="0"/>
      <w:marRight w:val="0"/>
      <w:marTop w:val="0"/>
      <w:marBottom w:val="0"/>
      <w:divBdr>
        <w:top w:val="none" w:sz="0" w:space="0" w:color="auto"/>
        <w:left w:val="none" w:sz="0" w:space="0" w:color="auto"/>
        <w:bottom w:val="none" w:sz="0" w:space="0" w:color="auto"/>
        <w:right w:val="none" w:sz="0" w:space="0" w:color="auto"/>
      </w:divBdr>
    </w:div>
    <w:div w:id="1110971796">
      <w:bodyDiv w:val="1"/>
      <w:marLeft w:val="0"/>
      <w:marRight w:val="0"/>
      <w:marTop w:val="0"/>
      <w:marBottom w:val="0"/>
      <w:divBdr>
        <w:top w:val="none" w:sz="0" w:space="0" w:color="auto"/>
        <w:left w:val="none" w:sz="0" w:space="0" w:color="auto"/>
        <w:bottom w:val="none" w:sz="0" w:space="0" w:color="auto"/>
        <w:right w:val="none" w:sz="0" w:space="0" w:color="auto"/>
      </w:divBdr>
    </w:div>
    <w:div w:id="1170868770">
      <w:bodyDiv w:val="1"/>
      <w:marLeft w:val="0"/>
      <w:marRight w:val="0"/>
      <w:marTop w:val="0"/>
      <w:marBottom w:val="0"/>
      <w:divBdr>
        <w:top w:val="none" w:sz="0" w:space="0" w:color="auto"/>
        <w:left w:val="none" w:sz="0" w:space="0" w:color="auto"/>
        <w:bottom w:val="none" w:sz="0" w:space="0" w:color="auto"/>
        <w:right w:val="none" w:sz="0" w:space="0" w:color="auto"/>
      </w:divBdr>
    </w:div>
    <w:div w:id="1175878516">
      <w:bodyDiv w:val="1"/>
      <w:marLeft w:val="0"/>
      <w:marRight w:val="0"/>
      <w:marTop w:val="0"/>
      <w:marBottom w:val="0"/>
      <w:divBdr>
        <w:top w:val="none" w:sz="0" w:space="0" w:color="auto"/>
        <w:left w:val="none" w:sz="0" w:space="0" w:color="auto"/>
        <w:bottom w:val="none" w:sz="0" w:space="0" w:color="auto"/>
        <w:right w:val="none" w:sz="0" w:space="0" w:color="auto"/>
      </w:divBdr>
    </w:div>
    <w:div w:id="1196043056">
      <w:bodyDiv w:val="1"/>
      <w:marLeft w:val="0"/>
      <w:marRight w:val="0"/>
      <w:marTop w:val="0"/>
      <w:marBottom w:val="0"/>
      <w:divBdr>
        <w:top w:val="none" w:sz="0" w:space="0" w:color="auto"/>
        <w:left w:val="none" w:sz="0" w:space="0" w:color="auto"/>
        <w:bottom w:val="none" w:sz="0" w:space="0" w:color="auto"/>
        <w:right w:val="none" w:sz="0" w:space="0" w:color="auto"/>
      </w:divBdr>
    </w:div>
    <w:div w:id="1399672289">
      <w:bodyDiv w:val="1"/>
      <w:marLeft w:val="0"/>
      <w:marRight w:val="0"/>
      <w:marTop w:val="0"/>
      <w:marBottom w:val="0"/>
      <w:divBdr>
        <w:top w:val="none" w:sz="0" w:space="0" w:color="auto"/>
        <w:left w:val="none" w:sz="0" w:space="0" w:color="auto"/>
        <w:bottom w:val="none" w:sz="0" w:space="0" w:color="auto"/>
        <w:right w:val="none" w:sz="0" w:space="0" w:color="auto"/>
      </w:divBdr>
    </w:div>
    <w:div w:id="1449272442">
      <w:bodyDiv w:val="1"/>
      <w:marLeft w:val="0"/>
      <w:marRight w:val="0"/>
      <w:marTop w:val="0"/>
      <w:marBottom w:val="0"/>
      <w:divBdr>
        <w:top w:val="none" w:sz="0" w:space="0" w:color="auto"/>
        <w:left w:val="none" w:sz="0" w:space="0" w:color="auto"/>
        <w:bottom w:val="none" w:sz="0" w:space="0" w:color="auto"/>
        <w:right w:val="none" w:sz="0" w:space="0" w:color="auto"/>
      </w:divBdr>
    </w:div>
    <w:div w:id="1503622153">
      <w:bodyDiv w:val="1"/>
      <w:marLeft w:val="0"/>
      <w:marRight w:val="0"/>
      <w:marTop w:val="0"/>
      <w:marBottom w:val="0"/>
      <w:divBdr>
        <w:top w:val="none" w:sz="0" w:space="0" w:color="auto"/>
        <w:left w:val="none" w:sz="0" w:space="0" w:color="auto"/>
        <w:bottom w:val="none" w:sz="0" w:space="0" w:color="auto"/>
        <w:right w:val="none" w:sz="0" w:space="0" w:color="auto"/>
      </w:divBdr>
    </w:div>
    <w:div w:id="1542279475">
      <w:bodyDiv w:val="1"/>
      <w:marLeft w:val="0"/>
      <w:marRight w:val="0"/>
      <w:marTop w:val="0"/>
      <w:marBottom w:val="0"/>
      <w:divBdr>
        <w:top w:val="none" w:sz="0" w:space="0" w:color="auto"/>
        <w:left w:val="none" w:sz="0" w:space="0" w:color="auto"/>
        <w:bottom w:val="none" w:sz="0" w:space="0" w:color="auto"/>
        <w:right w:val="none" w:sz="0" w:space="0" w:color="auto"/>
      </w:divBdr>
    </w:div>
    <w:div w:id="1577587744">
      <w:bodyDiv w:val="1"/>
      <w:marLeft w:val="0"/>
      <w:marRight w:val="0"/>
      <w:marTop w:val="0"/>
      <w:marBottom w:val="0"/>
      <w:divBdr>
        <w:top w:val="none" w:sz="0" w:space="0" w:color="auto"/>
        <w:left w:val="none" w:sz="0" w:space="0" w:color="auto"/>
        <w:bottom w:val="none" w:sz="0" w:space="0" w:color="auto"/>
        <w:right w:val="none" w:sz="0" w:space="0" w:color="auto"/>
      </w:divBdr>
    </w:div>
    <w:div w:id="1673993383">
      <w:bodyDiv w:val="1"/>
      <w:marLeft w:val="0"/>
      <w:marRight w:val="0"/>
      <w:marTop w:val="0"/>
      <w:marBottom w:val="0"/>
      <w:divBdr>
        <w:top w:val="none" w:sz="0" w:space="0" w:color="auto"/>
        <w:left w:val="none" w:sz="0" w:space="0" w:color="auto"/>
        <w:bottom w:val="none" w:sz="0" w:space="0" w:color="auto"/>
        <w:right w:val="none" w:sz="0" w:space="0" w:color="auto"/>
      </w:divBdr>
    </w:div>
    <w:div w:id="1772817258">
      <w:bodyDiv w:val="1"/>
      <w:marLeft w:val="0"/>
      <w:marRight w:val="0"/>
      <w:marTop w:val="0"/>
      <w:marBottom w:val="0"/>
      <w:divBdr>
        <w:top w:val="none" w:sz="0" w:space="0" w:color="auto"/>
        <w:left w:val="none" w:sz="0" w:space="0" w:color="auto"/>
        <w:bottom w:val="none" w:sz="0" w:space="0" w:color="auto"/>
        <w:right w:val="none" w:sz="0" w:space="0" w:color="auto"/>
      </w:divBdr>
    </w:div>
    <w:div w:id="1773941158">
      <w:bodyDiv w:val="1"/>
      <w:marLeft w:val="0"/>
      <w:marRight w:val="0"/>
      <w:marTop w:val="0"/>
      <w:marBottom w:val="0"/>
      <w:divBdr>
        <w:top w:val="none" w:sz="0" w:space="0" w:color="auto"/>
        <w:left w:val="none" w:sz="0" w:space="0" w:color="auto"/>
        <w:bottom w:val="none" w:sz="0" w:space="0" w:color="auto"/>
        <w:right w:val="none" w:sz="0" w:space="0" w:color="auto"/>
      </w:divBdr>
      <w:divsChild>
        <w:div w:id="524174403">
          <w:marLeft w:val="0"/>
          <w:marRight w:val="0"/>
          <w:marTop w:val="240"/>
          <w:marBottom w:val="240"/>
          <w:divBdr>
            <w:top w:val="none" w:sz="0" w:space="0" w:color="auto"/>
            <w:left w:val="none" w:sz="0" w:space="0" w:color="auto"/>
            <w:bottom w:val="none" w:sz="0" w:space="0" w:color="auto"/>
            <w:right w:val="none" w:sz="0" w:space="0" w:color="auto"/>
          </w:divBdr>
        </w:div>
        <w:div w:id="1899243830">
          <w:marLeft w:val="0"/>
          <w:marRight w:val="0"/>
          <w:marTop w:val="240"/>
          <w:marBottom w:val="240"/>
          <w:divBdr>
            <w:top w:val="none" w:sz="0" w:space="0" w:color="auto"/>
            <w:left w:val="none" w:sz="0" w:space="0" w:color="auto"/>
            <w:bottom w:val="none" w:sz="0" w:space="0" w:color="auto"/>
            <w:right w:val="none" w:sz="0" w:space="0" w:color="auto"/>
          </w:divBdr>
        </w:div>
        <w:div w:id="856386263">
          <w:marLeft w:val="0"/>
          <w:marRight w:val="0"/>
          <w:marTop w:val="240"/>
          <w:marBottom w:val="240"/>
          <w:divBdr>
            <w:top w:val="none" w:sz="0" w:space="0" w:color="auto"/>
            <w:left w:val="none" w:sz="0" w:space="0" w:color="auto"/>
            <w:bottom w:val="none" w:sz="0" w:space="0" w:color="auto"/>
            <w:right w:val="none" w:sz="0" w:space="0" w:color="auto"/>
          </w:divBdr>
        </w:div>
        <w:div w:id="78261948">
          <w:marLeft w:val="0"/>
          <w:marRight w:val="0"/>
          <w:marTop w:val="240"/>
          <w:marBottom w:val="240"/>
          <w:divBdr>
            <w:top w:val="none" w:sz="0" w:space="0" w:color="auto"/>
            <w:left w:val="none" w:sz="0" w:space="0" w:color="auto"/>
            <w:bottom w:val="none" w:sz="0" w:space="0" w:color="auto"/>
            <w:right w:val="none" w:sz="0" w:space="0" w:color="auto"/>
          </w:divBdr>
        </w:div>
      </w:divsChild>
    </w:div>
    <w:div w:id="1807162132">
      <w:bodyDiv w:val="1"/>
      <w:marLeft w:val="0"/>
      <w:marRight w:val="0"/>
      <w:marTop w:val="0"/>
      <w:marBottom w:val="0"/>
      <w:divBdr>
        <w:top w:val="none" w:sz="0" w:space="0" w:color="auto"/>
        <w:left w:val="none" w:sz="0" w:space="0" w:color="auto"/>
        <w:bottom w:val="none" w:sz="0" w:space="0" w:color="auto"/>
        <w:right w:val="none" w:sz="0" w:space="0" w:color="auto"/>
      </w:divBdr>
    </w:div>
    <w:div w:id="1881085784">
      <w:bodyDiv w:val="1"/>
      <w:marLeft w:val="0"/>
      <w:marRight w:val="0"/>
      <w:marTop w:val="0"/>
      <w:marBottom w:val="0"/>
      <w:divBdr>
        <w:top w:val="none" w:sz="0" w:space="0" w:color="auto"/>
        <w:left w:val="none" w:sz="0" w:space="0" w:color="auto"/>
        <w:bottom w:val="none" w:sz="0" w:space="0" w:color="auto"/>
        <w:right w:val="none" w:sz="0" w:space="0" w:color="auto"/>
      </w:divBdr>
      <w:divsChild>
        <w:div w:id="1475215959">
          <w:marLeft w:val="0"/>
          <w:marRight w:val="0"/>
          <w:marTop w:val="480"/>
          <w:marBottom w:val="240"/>
          <w:divBdr>
            <w:top w:val="none" w:sz="0" w:space="0" w:color="auto"/>
            <w:left w:val="none" w:sz="0" w:space="0" w:color="auto"/>
            <w:bottom w:val="none" w:sz="0" w:space="0" w:color="auto"/>
            <w:right w:val="none" w:sz="0" w:space="0" w:color="auto"/>
          </w:divBdr>
        </w:div>
        <w:div w:id="1132282911">
          <w:marLeft w:val="0"/>
          <w:marRight w:val="0"/>
          <w:marTop w:val="0"/>
          <w:marBottom w:val="567"/>
          <w:divBdr>
            <w:top w:val="none" w:sz="0" w:space="0" w:color="auto"/>
            <w:left w:val="none" w:sz="0" w:space="0" w:color="auto"/>
            <w:bottom w:val="none" w:sz="0" w:space="0" w:color="auto"/>
            <w:right w:val="none" w:sz="0" w:space="0" w:color="auto"/>
          </w:divBdr>
        </w:div>
      </w:divsChild>
    </w:div>
    <w:div w:id="1924365940">
      <w:bodyDiv w:val="1"/>
      <w:marLeft w:val="0"/>
      <w:marRight w:val="0"/>
      <w:marTop w:val="0"/>
      <w:marBottom w:val="0"/>
      <w:divBdr>
        <w:top w:val="none" w:sz="0" w:space="0" w:color="auto"/>
        <w:left w:val="none" w:sz="0" w:space="0" w:color="auto"/>
        <w:bottom w:val="none" w:sz="0" w:space="0" w:color="auto"/>
        <w:right w:val="none" w:sz="0" w:space="0" w:color="auto"/>
      </w:divBdr>
    </w:div>
    <w:div w:id="1931968299">
      <w:bodyDiv w:val="1"/>
      <w:marLeft w:val="0"/>
      <w:marRight w:val="0"/>
      <w:marTop w:val="0"/>
      <w:marBottom w:val="0"/>
      <w:divBdr>
        <w:top w:val="none" w:sz="0" w:space="0" w:color="auto"/>
        <w:left w:val="none" w:sz="0" w:space="0" w:color="auto"/>
        <w:bottom w:val="none" w:sz="0" w:space="0" w:color="auto"/>
        <w:right w:val="none" w:sz="0" w:space="0" w:color="auto"/>
      </w:divBdr>
    </w:div>
    <w:div w:id="1982077965">
      <w:bodyDiv w:val="1"/>
      <w:marLeft w:val="0"/>
      <w:marRight w:val="0"/>
      <w:marTop w:val="0"/>
      <w:marBottom w:val="0"/>
      <w:divBdr>
        <w:top w:val="none" w:sz="0" w:space="0" w:color="auto"/>
        <w:left w:val="none" w:sz="0" w:space="0" w:color="auto"/>
        <w:bottom w:val="none" w:sz="0" w:space="0" w:color="auto"/>
        <w:right w:val="none" w:sz="0" w:space="0" w:color="auto"/>
      </w:divBdr>
    </w:div>
    <w:div w:id="2034261759">
      <w:bodyDiv w:val="1"/>
      <w:marLeft w:val="0"/>
      <w:marRight w:val="0"/>
      <w:marTop w:val="0"/>
      <w:marBottom w:val="0"/>
      <w:divBdr>
        <w:top w:val="none" w:sz="0" w:space="0" w:color="auto"/>
        <w:left w:val="none" w:sz="0" w:space="0" w:color="auto"/>
        <w:bottom w:val="none" w:sz="0" w:space="0" w:color="auto"/>
        <w:right w:val="none" w:sz="0" w:space="0" w:color="auto"/>
      </w:divBdr>
    </w:div>
    <w:div w:id="2125422332">
      <w:bodyDiv w:val="1"/>
      <w:marLeft w:val="0"/>
      <w:marRight w:val="0"/>
      <w:marTop w:val="0"/>
      <w:marBottom w:val="0"/>
      <w:divBdr>
        <w:top w:val="none" w:sz="0" w:space="0" w:color="auto"/>
        <w:left w:val="none" w:sz="0" w:space="0" w:color="auto"/>
        <w:bottom w:val="none" w:sz="0" w:space="0" w:color="auto"/>
        <w:right w:val="none" w:sz="0" w:space="0" w:color="auto"/>
      </w:divBdr>
    </w:div>
    <w:div w:id="21427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mksedes/saraksts/protokols/?protokols=2019-07-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e.Dipan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tv.tiesa.gov.lv/wp-content/uploads/2016/02/2013-21-03_Spriedums.pdf" TargetMode="External"/><Relationship Id="rId4" Type="http://schemas.openxmlformats.org/officeDocument/2006/relationships/settings" Target="settings.xml"/><Relationship Id="rId9" Type="http://schemas.openxmlformats.org/officeDocument/2006/relationships/hyperlink" Target="https://likumi.lv/ta/id/26388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atv.tiesa.gov.lv/wp-content/uploads/2016/02/2006-09-03_Spriedums.pdf" TargetMode="External"/><Relationship Id="rId3" Type="http://schemas.openxmlformats.org/officeDocument/2006/relationships/hyperlink" Target="http://www.satv.tiesa.gov.lv/web/viewer.html?file=/wp-content/uploads/2017/01/2017-02-03_Spriedums.pdf" TargetMode="External"/><Relationship Id="rId7" Type="http://schemas.openxmlformats.org/officeDocument/2006/relationships/hyperlink" Target="https://www.rsu.lv/sites/default/files/imce/Zin%C4%81tnes%20departaments/rsu_zinatniska_konference_2015_tezes.pdf" TargetMode="External"/><Relationship Id="rId2" Type="http://schemas.openxmlformats.org/officeDocument/2006/relationships/hyperlink" Target="http://www.ecranetwork.org/Files/Handbook_on_Implementation_of_Environmental_Legislation.pdf" TargetMode="External"/><Relationship Id="rId1" Type="http://schemas.openxmlformats.org/officeDocument/2006/relationships/hyperlink" Target="http://www.vdi.gov.lv/files/troksnis_izklaides_industrija.pdf" TargetMode="External"/><Relationship Id="rId6" Type="http://schemas.openxmlformats.org/officeDocument/2006/relationships/hyperlink" Target="https://www.satv.tiesa.gov.lv/cases/?case-filter-years=%5B2017%5D&amp;case-filter-status=&amp;case-filter-types=&amp;case-filter-result=&amp;searchtext=trok%C5%A1%C5%86u" TargetMode="External"/><Relationship Id="rId5" Type="http://schemas.openxmlformats.org/officeDocument/2006/relationships/hyperlink" Target="http://www.euro.who.int/en/health-topics/environment-and-health/noise/environmental-noise-guidelines-for-the-european-region" TargetMode="External"/><Relationship Id="rId4" Type="http://schemas.openxmlformats.org/officeDocument/2006/relationships/hyperlink" Target="https://e-seimas.lrs.lt/portal/legalAct/lt/TAD/TAIS.402074/asr" TargetMode="External"/><Relationship Id="rId9" Type="http://schemas.openxmlformats.org/officeDocument/2006/relationships/hyperlink" Target="http://eur-lex.europa.eu/eli/dir/2003/10/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8FA5-06A9-45ED-A1CB-68A37A10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40910</Words>
  <Characters>23319</Characters>
  <Application>Microsoft Office Word</Application>
  <DocSecurity>0</DocSecurity>
  <Lines>194</Lines>
  <Paragraphs>128</Paragraphs>
  <ScaleCrop>false</ScaleCrop>
  <HeadingPairs>
    <vt:vector size="2" baseType="variant">
      <vt:variant>
        <vt:lpstr>Title</vt:lpstr>
      </vt:variant>
      <vt:variant>
        <vt:i4>1</vt:i4>
      </vt:variant>
    </vt:vector>
  </HeadingPairs>
  <TitlesOfParts>
    <vt:vector size="1" baseType="lpstr">
      <vt:lpstr>Par vides trokšņa regulējumu</vt:lpstr>
    </vt:vector>
  </TitlesOfParts>
  <Company>VARAM</Company>
  <LinksUpToDate>false</LinksUpToDate>
  <CharactersWithSpaces>64101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vides trokšņa regulējumu</dc:title>
  <dc:subject>Informatīvais ziņojums</dc:subject>
  <dc:creator>Judīte Dipāne</dc:creator>
  <dc:description>67026415, judite.dipane@varam.gov.lv</dc:description>
  <cp:lastModifiedBy>Judīte Dipāne</cp:lastModifiedBy>
  <cp:revision>4</cp:revision>
  <cp:lastPrinted>2020-01-31T11:06:00Z</cp:lastPrinted>
  <dcterms:created xsi:type="dcterms:W3CDTF">2021-01-25T09:51:00Z</dcterms:created>
  <dcterms:modified xsi:type="dcterms:W3CDTF">2021-01-26T09:03:00Z</dcterms:modified>
</cp:coreProperties>
</file>