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7DD38" w14:textId="717A0147" w:rsidR="00861CCA" w:rsidRPr="00893808" w:rsidRDefault="00861CCA" w:rsidP="00B2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2"/>
      <w:r w:rsidRPr="00893808">
        <w:rPr>
          <w:rFonts w:ascii="Times New Roman" w:hAnsi="Times New Roman" w:cs="Times New Roman"/>
          <w:b/>
          <w:sz w:val="24"/>
          <w:szCs w:val="24"/>
        </w:rPr>
        <w:t xml:space="preserve">Ministru kabineta rīkojuma projekta </w:t>
      </w:r>
      <w:r w:rsidR="00893808">
        <w:rPr>
          <w:rFonts w:ascii="Times New Roman" w:hAnsi="Times New Roman" w:cs="Times New Roman"/>
          <w:b/>
          <w:sz w:val="24"/>
          <w:szCs w:val="24"/>
        </w:rPr>
        <w:t>“</w:t>
      </w:r>
      <w:r w:rsidR="00B21C01" w:rsidRPr="00B21C01">
        <w:rPr>
          <w:rFonts w:ascii="Times New Roman" w:hAnsi="Times New Roman" w:cs="Times New Roman"/>
          <w:b/>
          <w:sz w:val="24"/>
          <w:szCs w:val="24"/>
        </w:rPr>
        <w:t>Par finanšu līdzekļu piešķiršanu no valsts budžeta programmas</w:t>
      </w:r>
      <w:r w:rsidR="00B21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60">
        <w:rPr>
          <w:rFonts w:ascii="Times New Roman" w:hAnsi="Times New Roman" w:cs="Times New Roman"/>
          <w:b/>
          <w:sz w:val="24"/>
          <w:szCs w:val="24"/>
        </w:rPr>
        <w:t>“</w:t>
      </w:r>
      <w:r w:rsidR="00B21C01" w:rsidRPr="00B21C01">
        <w:rPr>
          <w:rFonts w:ascii="Times New Roman" w:hAnsi="Times New Roman" w:cs="Times New Roman"/>
          <w:b/>
          <w:sz w:val="24"/>
          <w:szCs w:val="24"/>
        </w:rPr>
        <w:t>Līdzekļi neparedzētiem gadījumiem</w:t>
      </w:r>
      <w:r w:rsidR="00716260">
        <w:rPr>
          <w:rFonts w:ascii="Times New Roman" w:hAnsi="Times New Roman" w:cs="Times New Roman"/>
          <w:b/>
          <w:sz w:val="24"/>
          <w:szCs w:val="24"/>
        </w:rPr>
        <w:t>”</w:t>
      </w:r>
      <w:r w:rsidRPr="00893808">
        <w:rPr>
          <w:rFonts w:ascii="Times New Roman" w:hAnsi="Times New Roman" w:cs="Times New Roman"/>
          <w:b/>
          <w:sz w:val="24"/>
          <w:szCs w:val="24"/>
        </w:rPr>
        <w:t>”</w:t>
      </w:r>
      <w:r w:rsidR="002B2F2F" w:rsidRPr="0089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808">
        <w:rPr>
          <w:rFonts w:ascii="Times New Roman" w:hAnsi="Times New Roman" w:cs="Times New Roman"/>
          <w:b/>
          <w:bCs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s"/>
        </w:smartTagPr>
        <w:r w:rsidRPr="00893808">
          <w:rPr>
            <w:rFonts w:ascii="Times New Roman" w:hAnsi="Times New Roman" w:cs="Times New Roman"/>
            <w:b/>
            <w:bCs/>
            <w:sz w:val="24"/>
            <w:szCs w:val="24"/>
          </w:rPr>
          <w:t>ziņojums</w:t>
        </w:r>
      </w:smartTag>
      <w:r w:rsidRPr="00893808">
        <w:rPr>
          <w:rFonts w:ascii="Times New Roman" w:hAnsi="Times New Roman" w:cs="Times New Roman"/>
          <w:b/>
          <w:bCs/>
          <w:sz w:val="24"/>
          <w:szCs w:val="24"/>
        </w:rPr>
        <w:t xml:space="preserve"> (anotācija)</w:t>
      </w:r>
    </w:p>
    <w:bookmarkEnd w:id="0"/>
    <w:bookmarkEnd w:id="1"/>
    <w:p w14:paraId="444E72F4" w14:textId="77777777" w:rsidR="00861CCA" w:rsidRPr="00893808" w:rsidRDefault="00861CCA" w:rsidP="00861CCA">
      <w:pPr>
        <w:pStyle w:val="NormalWeb"/>
        <w:spacing w:before="0" w:beforeAutospacing="0" w:after="0" w:afterAutospacing="0"/>
        <w:rPr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086"/>
      </w:tblGrid>
      <w:tr w:rsidR="00861CCA" w:rsidRPr="00893808" w14:paraId="6A17B54B" w14:textId="77777777" w:rsidTr="002B2F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CAAB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61CCA" w:rsidRPr="00893808" w14:paraId="3A6D0EC7" w14:textId="77777777" w:rsidTr="002968FB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00C6" w14:textId="05777391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16F70" w14:textId="4ADB96A4" w:rsidR="0000204B" w:rsidRPr="00893808" w:rsidRDefault="00716260" w:rsidP="00893808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 atbilstoši Ministru kabineta 2009.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 “Tiesību akta projekta sākotnējās ietekmes izvērtēšanas kārtība” 5.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7162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punktam</w:t>
            </w:r>
          </w:p>
        </w:tc>
      </w:tr>
    </w:tbl>
    <w:p w14:paraId="04DCC223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387"/>
        <w:gridCol w:w="6087"/>
      </w:tblGrid>
      <w:tr w:rsidR="00861CCA" w:rsidRPr="00893808" w14:paraId="23DA1392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6407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61CCA" w:rsidRPr="00893808" w14:paraId="76C7ABF3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9645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7A74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BC3B" w14:textId="2BCE567F" w:rsidR="0003367A" w:rsidRDefault="007C3968" w:rsidP="00893808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C39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infekcijas izplatības seku pārvarēšanas likum</w:t>
            </w:r>
            <w:r w:rsidR="007E22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32094A"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24</w:t>
            </w:r>
            <w:r w:rsidR="0032094A"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2094A">
              <w:t xml:space="preserve"> </w:t>
            </w:r>
            <w:r w:rsidR="0032094A"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pants.</w:t>
            </w:r>
          </w:p>
          <w:p w14:paraId="1168A67C" w14:textId="68A42E3E" w:rsidR="0032094A" w:rsidRPr="00893808" w:rsidRDefault="0032094A" w:rsidP="00893808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17.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jūlija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421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veic gadskārtējā valsts budžeta likumā noteiktās apropriācijas izmaiņas” 43.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20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punkts.</w:t>
            </w:r>
          </w:p>
        </w:tc>
      </w:tr>
      <w:tr w:rsidR="00762F57" w:rsidRPr="00893808" w14:paraId="4F49BC83" w14:textId="77777777" w:rsidTr="00325B01">
        <w:trPr>
          <w:trHeight w:val="1210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55F3" w14:textId="77777777" w:rsidR="00762F57" w:rsidRPr="00893808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3A5F6034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553980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68761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67212D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EA7D32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A8DE47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8D087C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F8E680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8BC93E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2BAFC72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FC6FF4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646964F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197E3B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5D82BF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BB0728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1B4FCB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F2B3D3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7849B4" w14:textId="263D81A4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0A34207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1BBD64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38138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B39A72" w14:textId="77777777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89AB66" w14:textId="77777777" w:rsidR="00762F57" w:rsidRPr="00893808" w:rsidRDefault="00762F57" w:rsidP="005B6F6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51C7F5D" w14:textId="4CB03FBA" w:rsidR="00762F57" w:rsidRPr="00893808" w:rsidRDefault="00762F57" w:rsidP="00BF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6238" w14:textId="77777777" w:rsidR="00762F57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051F6B91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A94ACA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327B13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F66286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911877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227226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A97DF5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1DE049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F5269C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635E4F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39B714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C486D8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8281E6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6E7CBB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0D8EC7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6BF7DF" w14:textId="77777777" w:rsidR="00762F57" w:rsidRPr="0026183A" w:rsidRDefault="00762F57" w:rsidP="00261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EFA581" w14:textId="77777777" w:rsidR="00762F57" w:rsidRDefault="00762F57" w:rsidP="00E0017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14EF6D1" w14:textId="5C10EA0C" w:rsidR="00762F57" w:rsidRPr="0026183A" w:rsidRDefault="00762F57" w:rsidP="00E00173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70D13" w14:textId="77777777" w:rsidR="00762F57" w:rsidRDefault="00205E2B" w:rsidP="00205E2B">
            <w:pPr>
              <w:spacing w:after="0" w:line="240" w:lineRule="auto"/>
              <w:ind w:firstLine="395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Lai operatīvi varētu sniegt atbildes uz iedzīvotāju jautājumiem saistībā ar Covid-19 un nepārslogotu veselības nozares iestādes ar iedzīvotāju zvaniem par dažādiem arī ar veselības nozari nesaistītiem jautājumiem, Ministru kabineta 2020. gada 19. marta sēdē (</w:t>
            </w:r>
            <w:proofErr w:type="spellStart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protokollēmums</w:t>
            </w:r>
            <w:proofErr w:type="spellEnd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Nr.16, 5§, TA-442) tika atbalstīta sabiedrības ar ierobežotu atbildību “</w:t>
            </w:r>
            <w:proofErr w:type="spellStart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Tet</w:t>
            </w:r>
            <w:proofErr w:type="spellEnd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(SIA </w:t>
            </w:r>
            <w:proofErr w:type="spellStart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Tet</w:t>
            </w:r>
            <w:proofErr w:type="spellEnd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piesaiste vienotas telefoniskas personu saziņas nodrošināšanai par valsts apdraudējuma un tā seku novēršanas un pārvarēšanas pasākumiem ārkārtējās situācijas laikā. Valsts kancelejai tika uzdots noslēgt līgumu ar minēto pretendentu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43047703" w14:textId="79497832" w:rsidR="00205E2B" w:rsidRDefault="00205E2B" w:rsidP="00205E2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2020.gada 20.martā starp SIA </w:t>
            </w:r>
            <w:proofErr w:type="spellStart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Tet</w:t>
            </w:r>
            <w:proofErr w:type="spellEnd"/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Valsts kanceleju  tika noslēgts Līgums par informatīvā tālruņa pakalpojumu ar mērķi nodrošināt risinājumu atbilžu sniegšanai uz iedzīvotāju telefoniski uzdotajiem jautājumiem saistībā ar Covid-19. Vienotā Covid-19 informatīvā tālruņa līnija “8345” uzsāka darbu 24. martā.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Pašlaik vienotais tālrunis nodrošina iedzīvotājiem atbildes uz jautājumiem par dažādām Covid-19 tēmām un novirza iedzīvotāju zvanus atbilstoši kompetencei uz kādu no valsts iestādēm gadījumos, kad nepieciešama padziļināta jautājuma skaidrošana.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īdz ar atkārtotas ārkārtējās situācijas izsludināšanu,  epidemioloģiskās situācijas pasliktināšanos un jaunu drošības pasākumu ieviešanu (piemēram, covidpass.lv ieviešanu) zvanu skaits uz vienoto informatīvo tālruni “8345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ievērojami pieaudzis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23BD88A" w14:textId="16F6D8B4" w:rsidR="00205E2B" w:rsidRPr="00205E2B" w:rsidRDefault="00205E2B" w:rsidP="0020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2020.gada 29.decembra sēdē (prot.Nr.88 5</w:t>
            </w:r>
            <w:r w:rsidRPr="005439CE">
              <w:rPr>
                <w:rFonts w:ascii="Times New Roman" w:eastAsia="Times New Roman" w:hAnsi="Times New Roman" w:cs="Times New Roman"/>
                <w:sz w:val="28"/>
                <w:szCs w:val="28"/>
              </w:rPr>
              <w:t>.§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“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Informatīvais ziņojums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“Par vienotā informatīvā tālruņa 8345 darbības turpināšanu personu informēšanai par Latvijā noteiktajiem Covid-19 epidemioloģiskās drošības pasākumiem”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tika atbalstīts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kanceleja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turpina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vienotā tālruņa 8345 darbību līdz 2021. gada 31. decembrim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izdevumi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darbībai tiek segti no valsts budžeta </w:t>
            </w:r>
            <w:r w:rsidRPr="00205E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programmas 02.00.00 „Līdzekļi neparedzētiem gadījumiem”, 2021. gadā nepārsniedzot 85 000 </w:t>
            </w:r>
            <w:proofErr w:type="spellStart"/>
            <w:r w:rsidR="00B9349D" w:rsidRPr="00B93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5281F68" w14:textId="4A96CE58" w:rsidR="00205E2B" w:rsidRPr="00BB080C" w:rsidRDefault="00205E2B" w:rsidP="00C828A0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62F57" w:rsidRPr="00893808" w14:paraId="78AC2836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1BE5C" w14:textId="34C39FD5" w:rsidR="00762F57" w:rsidRPr="00893808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C848" w14:textId="77777777" w:rsidR="00762F57" w:rsidRPr="00893808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04B78" w14:textId="06963A8E" w:rsidR="00762F57" w:rsidRPr="00893808" w:rsidRDefault="00762F57" w:rsidP="002B2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kancele</w:t>
            </w:r>
            <w:r w:rsidR="00A04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</w:t>
            </w:r>
          </w:p>
        </w:tc>
      </w:tr>
      <w:tr w:rsidR="00762F57" w:rsidRPr="00893808" w14:paraId="40D77363" w14:textId="77777777" w:rsidTr="00762F5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F95DA" w14:textId="77777777" w:rsidR="00762F57" w:rsidRPr="00893808" w:rsidRDefault="00762F57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BE50" w14:textId="77777777" w:rsidR="00762F57" w:rsidRPr="00893808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5CF1E" w14:textId="77777777" w:rsidR="00762F57" w:rsidRPr="00893808" w:rsidRDefault="00762F57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726D5D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5873CC64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5ECD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1CCA" w:rsidRPr="00893808" w14:paraId="3D2A2E62" w14:textId="77777777" w:rsidTr="00B535D7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0413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6424B95" w14:textId="09B85465" w:rsidR="00861CCA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2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1070"/>
        <w:gridCol w:w="1069"/>
        <w:gridCol w:w="942"/>
        <w:gridCol w:w="941"/>
        <w:gridCol w:w="941"/>
        <w:gridCol w:w="941"/>
        <w:gridCol w:w="1014"/>
      </w:tblGrid>
      <w:tr w:rsidR="00803482" w:rsidRPr="00803482" w14:paraId="6C16CC40" w14:textId="77777777" w:rsidTr="00803482">
        <w:trPr>
          <w:cantSplit/>
          <w:tblCellSpacing w:w="20" w:type="dxa"/>
        </w:trPr>
        <w:tc>
          <w:tcPr>
            <w:tcW w:w="8365" w:type="dxa"/>
            <w:gridSpan w:val="8"/>
            <w:vAlign w:val="center"/>
            <w:hideMark/>
          </w:tcPr>
          <w:p w14:paraId="7CE4AEE7" w14:textId="77777777" w:rsidR="00803482" w:rsidRPr="00803482" w:rsidRDefault="00803482" w:rsidP="0080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03482" w:rsidRPr="00803482" w14:paraId="4696A98F" w14:textId="77777777" w:rsidTr="00803482">
        <w:trPr>
          <w:cantSplit/>
          <w:tblCellSpacing w:w="20" w:type="dxa"/>
        </w:trPr>
        <w:tc>
          <w:tcPr>
            <w:tcW w:w="1997" w:type="dxa"/>
            <w:vMerge w:val="restart"/>
            <w:shd w:val="clear" w:color="auto" w:fill="FFFFFF"/>
            <w:vAlign w:val="center"/>
            <w:hideMark/>
          </w:tcPr>
          <w:p w14:paraId="41A6A8AA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81" w:type="dxa"/>
            <w:gridSpan w:val="2"/>
            <w:vMerge w:val="restart"/>
            <w:shd w:val="clear" w:color="auto" w:fill="FFFFFF"/>
            <w:vAlign w:val="center"/>
            <w:hideMark/>
          </w:tcPr>
          <w:p w14:paraId="31A14D83" w14:textId="5DA282A5" w:rsidR="00803482" w:rsidRPr="00803482" w:rsidRDefault="00803482" w:rsidP="00A04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</w:t>
            </w:r>
            <w:r w:rsidR="00A04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P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387" w:type="dxa"/>
            <w:gridSpan w:val="5"/>
            <w:shd w:val="clear" w:color="auto" w:fill="FFFFFF"/>
            <w:vAlign w:val="center"/>
            <w:hideMark/>
          </w:tcPr>
          <w:p w14:paraId="1427669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803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803482" w:rsidRPr="00803482" w14:paraId="44C6B5A8" w14:textId="77777777" w:rsidTr="00803482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CF3A77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358" w:type="dxa"/>
            <w:gridSpan w:val="2"/>
            <w:vMerge/>
            <w:vAlign w:val="center"/>
            <w:hideMark/>
          </w:tcPr>
          <w:p w14:paraId="4A6C7C3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735" w:type="dxa"/>
            <w:gridSpan w:val="2"/>
            <w:shd w:val="clear" w:color="auto" w:fill="FFFFFF"/>
            <w:vAlign w:val="center"/>
            <w:hideMark/>
          </w:tcPr>
          <w:p w14:paraId="3EE6FB3D" w14:textId="0B0C829D" w:rsidR="00803482" w:rsidRPr="00803482" w:rsidRDefault="00A04E5F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2022</w:t>
            </w:r>
            <w:r w:rsid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34" w:type="dxa"/>
            <w:gridSpan w:val="2"/>
            <w:shd w:val="clear" w:color="auto" w:fill="FFFFFF"/>
            <w:vAlign w:val="center"/>
            <w:hideMark/>
          </w:tcPr>
          <w:p w14:paraId="3E412D26" w14:textId="3D9AC3CF" w:rsidR="00803482" w:rsidRPr="00803482" w:rsidRDefault="00A04E5F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2023</w:t>
            </w:r>
            <w:r w:rsidR="00803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656DEA69" w14:textId="172E565D" w:rsidR="00803482" w:rsidRPr="00803482" w:rsidRDefault="00803482" w:rsidP="00A04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202</w:t>
            </w:r>
            <w:r w:rsidR="00A04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803482" w:rsidRPr="00803482" w14:paraId="462876FC" w14:textId="77777777" w:rsidTr="00803482">
        <w:trPr>
          <w:cantSplit/>
          <w:tblCellSpacing w:w="20" w:type="dxa"/>
        </w:trPr>
        <w:tc>
          <w:tcPr>
            <w:tcW w:w="8365" w:type="dxa"/>
            <w:vMerge/>
            <w:vAlign w:val="center"/>
            <w:hideMark/>
          </w:tcPr>
          <w:p w14:paraId="1633BD0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59E6BA6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38B23D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0BE9ED8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284B3841" w14:textId="1D4D6A0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2021. gadam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8B9DD0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3D60E6A1" w14:textId="78A64261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2022. gadam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7C71D9" w14:textId="5E8D9552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izmaiņas, salīdzinot ar vidēja termiņa budžeta ietvaru </w:t>
            </w:r>
            <w:r w:rsidRPr="008034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br/>
              <w:t>2022. gadam</w:t>
            </w:r>
          </w:p>
        </w:tc>
      </w:tr>
      <w:tr w:rsidR="00803482" w:rsidRPr="00803482" w14:paraId="12D186C3" w14:textId="77777777" w:rsidTr="00803482">
        <w:trPr>
          <w:cantSplit/>
          <w:tblCellSpacing w:w="20" w:type="dxa"/>
        </w:trPr>
        <w:tc>
          <w:tcPr>
            <w:tcW w:w="1997" w:type="dxa"/>
            <w:shd w:val="clear" w:color="auto" w:fill="FFFFFF"/>
            <w:vAlign w:val="center"/>
            <w:hideMark/>
          </w:tcPr>
          <w:p w14:paraId="196983A1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7FEB886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9DD049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7F0572E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0F1649FC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65210D67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00C25D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2D14D23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803482" w:rsidRPr="00803482" w14:paraId="123E8E98" w14:textId="77777777" w:rsidTr="00803482">
        <w:trPr>
          <w:cantSplit/>
          <w:tblCellSpacing w:w="20" w:type="dxa"/>
        </w:trPr>
        <w:tc>
          <w:tcPr>
            <w:tcW w:w="1997" w:type="dxa"/>
            <w:shd w:val="clear" w:color="auto" w:fill="FFFFFF"/>
            <w:hideMark/>
          </w:tcPr>
          <w:p w14:paraId="0B2BA73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14:paraId="24BA50DB" w14:textId="60F6790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ABCA8AB" w14:textId="6A8DD5A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14:paraId="529F6A0F" w14:textId="5E4B9A1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48B4954B" w14:textId="1563B722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52D041E6" w14:textId="2D75451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shd w:val="clear" w:color="auto" w:fill="FFFFFF"/>
            <w:vAlign w:val="center"/>
            <w:hideMark/>
          </w:tcPr>
          <w:p w14:paraId="1A7D04BA" w14:textId="06E8E7A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shd w:val="clear" w:color="auto" w:fill="FFFFFF"/>
            <w:vAlign w:val="center"/>
            <w:hideMark/>
          </w:tcPr>
          <w:p w14:paraId="492B03D3" w14:textId="300C29D8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4799F7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4F1280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1" w:type="dxa"/>
            <w:vAlign w:val="center"/>
            <w:hideMark/>
          </w:tcPr>
          <w:p w14:paraId="3298461E" w14:textId="5DAE0913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6C6B6A1" w14:textId="789F144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60590E23" w14:textId="09DA346D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38031C6" w14:textId="1319EF7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0269B2" w14:textId="6504BF6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F9DB9AB" w14:textId="0230F44C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E88D18" w14:textId="2B18BB7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17F3ABD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8E8937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7D6D3AC0" w14:textId="6EDC6C04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6273DCBF" w14:textId="1928D79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11E8751D" w14:textId="4EE41C6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DE19854" w14:textId="2022F6C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29D8A3B" w14:textId="7863370A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0CCF0B9" w14:textId="114384A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13BA346" w14:textId="6644C49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2542903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A152BC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1" w:type="dxa"/>
            <w:vAlign w:val="center"/>
            <w:hideMark/>
          </w:tcPr>
          <w:p w14:paraId="193E549B" w14:textId="7737EC50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7407EFA" w14:textId="3771B020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5053E6EE" w14:textId="1F7E873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DCF1573" w14:textId="5416A079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C76A036" w14:textId="03172B1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DED23BC" w14:textId="2ADC9866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0E7A0" w14:textId="6BCF5DBE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0632D2A1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5A32C1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91" w:type="dxa"/>
            <w:vAlign w:val="center"/>
            <w:hideMark/>
          </w:tcPr>
          <w:p w14:paraId="5FDFBC08" w14:textId="551BAA98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253D6FE6" w14:textId="7D4DFC8E" w:rsidR="00803482" w:rsidRPr="00184F2E" w:rsidRDefault="00A04E5F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85 000</w:t>
            </w:r>
          </w:p>
        </w:tc>
        <w:tc>
          <w:tcPr>
            <w:tcW w:w="868" w:type="dxa"/>
            <w:vAlign w:val="center"/>
            <w:hideMark/>
          </w:tcPr>
          <w:p w14:paraId="40FAA119" w14:textId="6071EB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A030E0D" w14:textId="0D631EDB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23EFDFD" w14:textId="2EA37D3E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5A290A7" w14:textId="51088A84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189423EC" w14:textId="4FB6BF5F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091D8E4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6C71F5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</w:t>
            </w:r>
            <w:bookmarkStart w:id="2" w:name="_GoBack"/>
            <w:bookmarkEnd w:id="2"/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džets</w:t>
            </w:r>
          </w:p>
        </w:tc>
        <w:tc>
          <w:tcPr>
            <w:tcW w:w="991" w:type="dxa"/>
            <w:vAlign w:val="center"/>
            <w:hideMark/>
          </w:tcPr>
          <w:p w14:paraId="00091C14" w14:textId="7B97A94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886E0D6" w14:textId="087AE699" w:rsidR="00803482" w:rsidRPr="00184F2E" w:rsidRDefault="00A04E5F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85 000</w:t>
            </w:r>
          </w:p>
        </w:tc>
        <w:tc>
          <w:tcPr>
            <w:tcW w:w="868" w:type="dxa"/>
            <w:vAlign w:val="center"/>
            <w:hideMark/>
          </w:tcPr>
          <w:p w14:paraId="696C6D13" w14:textId="7A3B41F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FA158C6" w14:textId="4E5EB5B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BD7B331" w14:textId="226CFEA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D024407" w14:textId="4A72EF3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6AF8A9AA" w14:textId="3650E06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046AC15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63A7FAA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991" w:type="dxa"/>
            <w:vAlign w:val="center"/>
            <w:hideMark/>
          </w:tcPr>
          <w:p w14:paraId="1D40789F" w14:textId="57BEE40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D6039C3" w14:textId="513EDB5A" w:rsidR="00803482" w:rsidRPr="00184F2E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F94CB0C" w14:textId="7371DA5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A3E8A11" w14:textId="71D33DB5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C4367A6" w14:textId="4FF348C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0EC0AFE" w14:textId="433CF10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5A6E9B3F" w14:textId="13F6C25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102D52D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244868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1" w:type="dxa"/>
            <w:vAlign w:val="center"/>
            <w:hideMark/>
          </w:tcPr>
          <w:p w14:paraId="69EAE920" w14:textId="7C89D9D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73FE4DE8" w14:textId="4F78132E" w:rsidR="00803482" w:rsidRPr="00184F2E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DFFC2F3" w14:textId="4C84BD8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E6E647" w14:textId="1B67BA8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01D1153" w14:textId="756AFE9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62E8DB3" w14:textId="24B5E03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2FEB8C2" w14:textId="706867E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DC40F2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B8EC0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91" w:type="dxa"/>
            <w:vAlign w:val="center"/>
            <w:hideMark/>
          </w:tcPr>
          <w:p w14:paraId="65428EDE" w14:textId="7066669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56FD6CE" w14:textId="3D029D57" w:rsidR="00803482" w:rsidRPr="00184F2E" w:rsidRDefault="007C3CC4" w:rsidP="003C4C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A04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85 000</w:t>
            </w:r>
          </w:p>
        </w:tc>
        <w:tc>
          <w:tcPr>
            <w:tcW w:w="868" w:type="dxa"/>
            <w:vAlign w:val="center"/>
            <w:hideMark/>
          </w:tcPr>
          <w:p w14:paraId="6E9075D9" w14:textId="11900D8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3705FDF1" w14:textId="5E6418E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BEBE6FB" w14:textId="411B875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409229F" w14:textId="582319D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D81F5EC" w14:textId="55A46BFB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A4989B3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5859897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1" w:type="dxa"/>
            <w:vAlign w:val="center"/>
            <w:hideMark/>
          </w:tcPr>
          <w:p w14:paraId="213BC1C2" w14:textId="1FCF729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0C84EE58" w14:textId="42D1A739" w:rsidR="00803482" w:rsidRPr="00184F2E" w:rsidRDefault="007C3CC4" w:rsidP="003C4C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A04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85 000</w:t>
            </w:r>
          </w:p>
        </w:tc>
        <w:tc>
          <w:tcPr>
            <w:tcW w:w="868" w:type="dxa"/>
            <w:vAlign w:val="center"/>
            <w:hideMark/>
          </w:tcPr>
          <w:p w14:paraId="62B868A7" w14:textId="3279B70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793C1D5" w14:textId="0270167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5A7FE92F" w14:textId="211B65B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7821A3FC" w14:textId="33191E8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D9CFAAD" w14:textId="65B6039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3930DFD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0234837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1" w:type="dxa"/>
            <w:vAlign w:val="center"/>
            <w:hideMark/>
          </w:tcPr>
          <w:p w14:paraId="33A4A4EE" w14:textId="12B518DE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4E580E7C" w14:textId="4887C208" w:rsidR="00803482" w:rsidRPr="00184F2E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23309B97" w14:textId="1B2B8E6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1ACDC2F4" w14:textId="710251D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62BCCEF9" w14:textId="010B8CB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005D197A" w14:textId="33210A1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0EA709D5" w14:textId="158CD925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7938D81A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06EF9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1" w:type="dxa"/>
            <w:vAlign w:val="center"/>
            <w:hideMark/>
          </w:tcPr>
          <w:p w14:paraId="5C21FBF2" w14:textId="577315A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0" w:type="dxa"/>
            <w:vAlign w:val="center"/>
            <w:hideMark/>
          </w:tcPr>
          <w:p w14:paraId="1ECB646F" w14:textId="75137D0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Align w:val="center"/>
            <w:hideMark/>
          </w:tcPr>
          <w:p w14:paraId="7BD8B0EA" w14:textId="07AF67C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30802DC" w14:textId="6F2D240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25628385" w14:textId="31CBAEC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5C57BD" w14:textId="6DFCF5E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49EC002" w14:textId="1C72E1E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7987D2B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14C7534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91" w:type="dxa"/>
            <w:vAlign w:val="center"/>
            <w:hideMark/>
          </w:tcPr>
          <w:p w14:paraId="3DD3CCE6" w14:textId="115BCF64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01686D2C" w14:textId="584C43B2" w:rsidR="00803482" w:rsidRPr="00803482" w:rsidRDefault="00EC0F10" w:rsidP="00A04E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</w:t>
            </w:r>
            <w:r w:rsidR="00A04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85 000</w:t>
            </w:r>
          </w:p>
        </w:tc>
        <w:tc>
          <w:tcPr>
            <w:tcW w:w="868" w:type="dxa"/>
            <w:vAlign w:val="center"/>
            <w:hideMark/>
          </w:tcPr>
          <w:p w14:paraId="1E30EDC1" w14:textId="0EFEE1AB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561DC481" w14:textId="4DFD25B6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Align w:val="center"/>
            <w:hideMark/>
          </w:tcPr>
          <w:p w14:paraId="4F086177" w14:textId="796411D6" w:rsidR="00803482" w:rsidRPr="00803482" w:rsidRDefault="00EC0F10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0F8FF73D" w14:textId="2B96B47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210C8CF2" w14:textId="4F960F9F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17956927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6AAB9629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91" w:type="dxa"/>
            <w:vMerge w:val="restart"/>
            <w:vAlign w:val="center"/>
            <w:hideMark/>
          </w:tcPr>
          <w:p w14:paraId="53ACA173" w14:textId="4AE2312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90" w:type="dxa"/>
            <w:vAlign w:val="center"/>
            <w:hideMark/>
          </w:tcPr>
          <w:p w14:paraId="20BA8A9A" w14:textId="65DF6B6B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8" w:type="dxa"/>
            <w:vMerge w:val="restart"/>
            <w:vAlign w:val="center"/>
            <w:hideMark/>
          </w:tcPr>
          <w:p w14:paraId="2F63F6E9" w14:textId="6284C90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29040EA1" w14:textId="2D36C733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67" w:type="dxa"/>
            <w:vMerge w:val="restart"/>
            <w:vAlign w:val="center"/>
            <w:hideMark/>
          </w:tcPr>
          <w:p w14:paraId="1BB202FE" w14:textId="1B2141A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67" w:type="dxa"/>
            <w:vAlign w:val="center"/>
            <w:hideMark/>
          </w:tcPr>
          <w:p w14:paraId="17298F36" w14:textId="3066F121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3067C24A" w14:textId="2600DE7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3BAF3D1E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59EFAF9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5B303D6C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64B144F4" w14:textId="4728CEF9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7FAF33F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F6A213C" w14:textId="2984CBD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258A0125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3A5AB625" w14:textId="783D499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450A6AC7" w14:textId="0A62C1C4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00B9CA70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4CC8862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3CF99B4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0E485AD2" w14:textId="0398FDE7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08D0E842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516AE7C5" w14:textId="668CC88D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D4A4876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75CA8CD0" w14:textId="623E08F0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688FF5F" w14:textId="09B02EF8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65D3DF99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297E5F4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368" w:type="dxa"/>
            <w:vMerge/>
            <w:vAlign w:val="center"/>
            <w:hideMark/>
          </w:tcPr>
          <w:p w14:paraId="485DB57B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0" w:type="dxa"/>
            <w:vAlign w:val="center"/>
            <w:hideMark/>
          </w:tcPr>
          <w:p w14:paraId="4E080E05" w14:textId="1F51396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387" w:type="dxa"/>
            <w:vMerge/>
            <w:vAlign w:val="center"/>
            <w:hideMark/>
          </w:tcPr>
          <w:p w14:paraId="260EA398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1AA6C687" w14:textId="41F6B412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34" w:type="dxa"/>
            <w:vMerge/>
            <w:vAlign w:val="center"/>
            <w:hideMark/>
          </w:tcPr>
          <w:p w14:paraId="0B1AE763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67" w:type="dxa"/>
            <w:vAlign w:val="center"/>
            <w:hideMark/>
          </w:tcPr>
          <w:p w14:paraId="222B793D" w14:textId="00E9D79A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8" w:type="dxa"/>
            <w:vAlign w:val="center"/>
            <w:hideMark/>
          </w:tcPr>
          <w:p w14:paraId="78D6DC71" w14:textId="4706A91C" w:rsidR="00803482" w:rsidRPr="00803482" w:rsidRDefault="007C3CC4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03482" w:rsidRPr="00803482" w14:paraId="46BEE185" w14:textId="77777777" w:rsidTr="007C3CC4">
        <w:trPr>
          <w:cantSplit/>
          <w:tblCellSpacing w:w="20" w:type="dxa"/>
        </w:trPr>
        <w:tc>
          <w:tcPr>
            <w:tcW w:w="1997" w:type="dxa"/>
            <w:hideMark/>
          </w:tcPr>
          <w:p w14:paraId="0C35D6DD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4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368" w:type="dxa"/>
            <w:gridSpan w:val="7"/>
            <w:vMerge w:val="restart"/>
            <w:hideMark/>
          </w:tcPr>
          <w:p w14:paraId="4F87BD25" w14:textId="52FB20D6" w:rsidR="00C32F7C" w:rsidRPr="00C32F7C" w:rsidRDefault="00C32F7C" w:rsidP="00B9349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32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segtu vienotā informatīvā tālruņa “8345” izmaksas 2021. gadā, Valsts kancelejai nepieciešams finansējums, kas nepārsniedz 85</w:t>
            </w:r>
            <w:r w:rsidR="00B93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C32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000</w:t>
            </w:r>
            <w:r w:rsidR="00B93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9349D" w:rsidRPr="00B93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32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pieņemot, ka vidējais zvanu un ilguma skaits 2021. gadā nepalielinās. Aprēķins balstīts uz vienotā informatīvā tālruņa numura saņemto rēķinu analīzi no SIA </w:t>
            </w:r>
            <w:proofErr w:type="spellStart"/>
            <w:r w:rsidRPr="00C32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Tet</w:t>
            </w:r>
            <w:proofErr w:type="spellEnd"/>
            <w:r w:rsidRPr="00C32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pēdējiem pieciem mēnešiem kas ietver gan zemāko, gan augstāko rēķina summu un vidēji sastāda 6981,55 </w:t>
            </w:r>
            <w:proofErr w:type="spellStart"/>
            <w:r w:rsidR="00B9349D" w:rsidRPr="00B93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32F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mēnesī.</w:t>
            </w:r>
          </w:p>
          <w:p w14:paraId="25700E22" w14:textId="77777777" w:rsidR="00C32F7C" w:rsidRPr="00C32F7C" w:rsidRDefault="00C32F7C" w:rsidP="00C32F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808D71" w14:textId="457BE72D" w:rsidR="00C828A0" w:rsidRPr="00803482" w:rsidRDefault="00C828A0" w:rsidP="00C8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1F870D76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3DE915F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C7BAC20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3E7334C9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7B26A509" w14:textId="77777777" w:rsid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6.2. detalizēts izdevumu aprēķins</w:t>
            </w:r>
          </w:p>
          <w:p w14:paraId="63C8204F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DAF13B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4D2C10" w14:textId="77777777" w:rsidR="007C3968" w:rsidRPr="007C3968" w:rsidRDefault="007C3968" w:rsidP="007C39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CEFCCA" w14:textId="77777777" w:rsidR="007C3968" w:rsidRDefault="007C3968" w:rsidP="007C396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B1C266F" w14:textId="43A0544E" w:rsidR="007C3968" w:rsidRPr="007C3968" w:rsidRDefault="007C3968" w:rsidP="007C396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131" w:type="dxa"/>
            <w:gridSpan w:val="7"/>
            <w:vMerge/>
            <w:vAlign w:val="center"/>
            <w:hideMark/>
          </w:tcPr>
          <w:p w14:paraId="21FB3D81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803482" w:rsidRPr="00803482" w14:paraId="636493A0" w14:textId="77777777" w:rsidTr="00BD2370">
        <w:trPr>
          <w:cantSplit/>
          <w:trHeight w:val="605"/>
          <w:tblCellSpacing w:w="20" w:type="dxa"/>
        </w:trPr>
        <w:tc>
          <w:tcPr>
            <w:tcW w:w="1997" w:type="dxa"/>
            <w:hideMark/>
          </w:tcPr>
          <w:p w14:paraId="64BCE254" w14:textId="325A2752" w:rsidR="007C3968" w:rsidRPr="00BD2370" w:rsidRDefault="00803482" w:rsidP="00BD23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6368" w:type="dxa"/>
            <w:gridSpan w:val="7"/>
            <w:hideMark/>
          </w:tcPr>
          <w:p w14:paraId="520910FD" w14:textId="5B49F86C" w:rsidR="00803482" w:rsidRPr="00BD2370" w:rsidRDefault="00803482" w:rsidP="00BD23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03482" w:rsidRPr="00803482" w14:paraId="711710D8" w14:textId="77777777" w:rsidTr="00803482">
        <w:trPr>
          <w:cantSplit/>
          <w:tblCellSpacing w:w="20" w:type="dxa"/>
        </w:trPr>
        <w:tc>
          <w:tcPr>
            <w:tcW w:w="1997" w:type="dxa"/>
            <w:hideMark/>
          </w:tcPr>
          <w:p w14:paraId="24804AB3" w14:textId="77777777" w:rsidR="00803482" w:rsidRPr="00803482" w:rsidRDefault="00803482" w:rsidP="00803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34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6368" w:type="dxa"/>
            <w:gridSpan w:val="7"/>
            <w:hideMark/>
          </w:tcPr>
          <w:p w14:paraId="68BE8C3E" w14:textId="067077BA" w:rsidR="00AB0463" w:rsidRPr="00377F53" w:rsidRDefault="00377F53" w:rsidP="00EC0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F53">
              <w:rPr>
                <w:rFonts w:ascii="Times New Roman" w:hAnsi="Times New Roman"/>
                <w:sz w:val="24"/>
                <w:szCs w:val="24"/>
              </w:rPr>
              <w:t>Izdevumus sedz no valsts budžeta programmas 02.00.00 „Līdzekļi neparedzētiem gadījumiem”.</w:t>
            </w:r>
            <w:r w:rsidR="006C1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9AC312C" w14:textId="77777777" w:rsidR="00803482" w:rsidRPr="00893808" w:rsidRDefault="00803482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25AE9B87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D614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61CCA" w:rsidRPr="00893808" w14:paraId="7FD7879E" w14:textId="77777777" w:rsidTr="002B2F2F">
        <w:trPr>
          <w:trHeight w:val="268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150DA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7AC318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35E3F85A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2B97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61CCA" w:rsidRPr="00893808" w14:paraId="024D124A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B6CE4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1C361D8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61CCA" w:rsidRPr="00893808" w14:paraId="13A0406F" w14:textId="77777777" w:rsidTr="002B2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87D2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61CCA" w:rsidRPr="00893808" w14:paraId="48C59CA9" w14:textId="77777777" w:rsidTr="002B2F2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9E32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017D795" w14:textId="77777777" w:rsidR="00861CCA" w:rsidRPr="00893808" w:rsidRDefault="00861CCA" w:rsidP="00861C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61CCA" w:rsidRPr="00893808" w14:paraId="29A64F64" w14:textId="77777777" w:rsidTr="002B2F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6751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61CCA" w:rsidRPr="00893808" w14:paraId="070E5BA8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754F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4A90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61B0" w14:textId="74982078" w:rsidR="00861CCA" w:rsidRPr="00893808" w:rsidRDefault="00184F2E" w:rsidP="003B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="00A04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kanceleja</w:t>
            </w:r>
          </w:p>
        </w:tc>
      </w:tr>
      <w:tr w:rsidR="00861CCA" w:rsidRPr="00893808" w14:paraId="5806BF2C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F0C8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80934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815D845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6BABD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61CCA" w:rsidRPr="00893808" w14:paraId="0022E799" w14:textId="77777777" w:rsidTr="002B2F2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0E503" w14:textId="77777777" w:rsidR="00861CCA" w:rsidRPr="00893808" w:rsidRDefault="00861CCA" w:rsidP="002B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5863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1C5EC" w14:textId="77777777" w:rsidR="00861CCA" w:rsidRPr="00893808" w:rsidRDefault="00861CCA" w:rsidP="002B2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938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61B8B9B" w14:textId="754F54CD" w:rsidR="00861CCA" w:rsidRPr="00893808" w:rsidRDefault="00861CCA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52E96" w14:textId="4D8922E8" w:rsidR="00B52D4D" w:rsidRPr="00893808" w:rsidRDefault="00B52D4D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D0636" w14:textId="77777777" w:rsidR="00B52D4D" w:rsidRPr="00893808" w:rsidRDefault="00B52D4D" w:rsidP="0086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A9584" w14:textId="075F6A3E" w:rsidR="00B17AF9" w:rsidRPr="00893808" w:rsidRDefault="003C4CAC" w:rsidP="00B52D4D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prezidents</w:t>
      </w:r>
      <w:r w:rsidR="00B52D4D" w:rsidRPr="008938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A.K.Kariņš</w:t>
      </w:r>
    </w:p>
    <w:p w14:paraId="1FCDFEA4" w14:textId="77777777" w:rsidR="00B52D4D" w:rsidRPr="00893808" w:rsidRDefault="00B52D4D" w:rsidP="00B1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C8FA4" w14:textId="77777777" w:rsidR="00B52D4D" w:rsidRPr="00893808" w:rsidRDefault="00B52D4D" w:rsidP="00B1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A8C2B" w14:textId="3CAEAB40" w:rsidR="00927B1D" w:rsidRPr="00893808" w:rsidRDefault="00B17AF9" w:rsidP="00B1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808">
        <w:rPr>
          <w:rFonts w:ascii="Times New Roman" w:hAnsi="Times New Roman" w:cs="Times New Roman"/>
          <w:sz w:val="24"/>
          <w:szCs w:val="24"/>
        </w:rPr>
        <w:t>Vīza:</w:t>
      </w:r>
    </w:p>
    <w:p w14:paraId="24C384CC" w14:textId="13AAC4BA" w:rsidR="00B17AF9" w:rsidRPr="00893808" w:rsidRDefault="00716260" w:rsidP="00B52D4D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1A7DF4" w:rsidRPr="008938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alsts </w:t>
      </w:r>
      <w:r w:rsidR="003C4CAC">
        <w:rPr>
          <w:rFonts w:ascii="Times New Roman" w:eastAsia="Calibri" w:hAnsi="Times New Roman" w:cs="Times New Roman"/>
          <w:color w:val="000000"/>
          <w:sz w:val="24"/>
          <w:szCs w:val="24"/>
        </w:rPr>
        <w:t>kancelejas direktors</w:t>
      </w:r>
      <w:r w:rsidR="001A7DF4" w:rsidRPr="008938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C4CAC">
        <w:rPr>
          <w:rFonts w:ascii="Times New Roman" w:eastAsia="Calibri" w:hAnsi="Times New Roman" w:cs="Times New Roman"/>
          <w:color w:val="000000"/>
          <w:sz w:val="24"/>
          <w:szCs w:val="24"/>
        </w:rPr>
        <w:t>J.Citskovskis</w:t>
      </w:r>
    </w:p>
    <w:sectPr w:rsidR="00B17AF9" w:rsidRPr="00893808" w:rsidSect="006E39A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6581A" w14:textId="77777777" w:rsidR="00CB7DBA" w:rsidRDefault="00CB7DBA" w:rsidP="00581E17">
      <w:pPr>
        <w:spacing w:after="0" w:line="240" w:lineRule="auto"/>
      </w:pPr>
      <w:r>
        <w:separator/>
      </w:r>
    </w:p>
  </w:endnote>
  <w:endnote w:type="continuationSeparator" w:id="0">
    <w:p w14:paraId="20667F86" w14:textId="77777777" w:rsidR="00CB7DBA" w:rsidRDefault="00CB7DBA" w:rsidP="0058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3DA6" w14:textId="6C827FFF" w:rsidR="002B2F2F" w:rsidRPr="001901D8" w:rsidRDefault="0026183A" w:rsidP="006E39A3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B9349D">
      <w:rPr>
        <w:rFonts w:ascii="Times New Roman" w:hAnsi="Times New Roman" w:cs="Times New Roman"/>
        <w:noProof/>
        <w:sz w:val="20"/>
        <w:szCs w:val="20"/>
      </w:rPr>
      <w:t>VKAnot_14</w:t>
    </w:r>
    <w:r w:rsidR="003C4CAC">
      <w:rPr>
        <w:rFonts w:ascii="Times New Roman" w:hAnsi="Times New Roman" w:cs="Times New Roman"/>
        <w:noProof/>
        <w:sz w:val="20"/>
        <w:szCs w:val="20"/>
      </w:rPr>
      <w:t>0</w:t>
    </w:r>
    <w:r w:rsidR="00B9349D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noProof/>
        <w:sz w:val="20"/>
        <w:szCs w:val="20"/>
      </w:rPr>
      <w:t>202</w:t>
    </w:r>
    <w:r w:rsidR="00B9349D">
      <w:rPr>
        <w:rFonts w:ascii="Times New Roman" w:hAnsi="Times New Roman" w:cs="Times New Roman"/>
        <w:noProof/>
        <w:sz w:val="20"/>
        <w:szCs w:val="20"/>
      </w:rPr>
      <w:t>1_8345</w:t>
    </w:r>
    <w:r>
      <w:rPr>
        <w:rFonts w:ascii="Times New Roman" w:hAnsi="Times New Roman" w:cs="Times New Roman"/>
        <w:noProof/>
        <w:sz w:val="20"/>
        <w:szCs w:val="20"/>
      </w:rPr>
      <w:t>_LNG.docx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A029" w14:textId="2894DFDD" w:rsidR="002B2F2F" w:rsidRPr="007C3968" w:rsidRDefault="002E717A" w:rsidP="007C396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C4CAC">
      <w:rPr>
        <w:noProof/>
      </w:rPr>
      <w:t>VKAnot</w:t>
    </w:r>
    <w:r w:rsidR="00E00173">
      <w:rPr>
        <w:noProof/>
      </w:rPr>
      <w:t>_</w:t>
    </w:r>
    <w:r w:rsidR="00B9349D">
      <w:rPr>
        <w:noProof/>
      </w:rPr>
      <w:t>14</w:t>
    </w:r>
    <w:r w:rsidR="003C4CAC">
      <w:rPr>
        <w:noProof/>
      </w:rPr>
      <w:t>0</w:t>
    </w:r>
    <w:r w:rsidR="00B9349D">
      <w:rPr>
        <w:noProof/>
      </w:rPr>
      <w:t>12021</w:t>
    </w:r>
    <w:r w:rsidR="00E00173">
      <w:rPr>
        <w:noProof/>
      </w:rPr>
      <w:t>_</w:t>
    </w:r>
    <w:r w:rsidR="00B9349D">
      <w:rPr>
        <w:noProof/>
      </w:rPr>
      <w:t>8345_</w:t>
    </w:r>
    <w:r w:rsidR="00E00173">
      <w:rPr>
        <w:noProof/>
      </w:rPr>
      <w:t>LNG.docx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F8B3" w14:textId="77777777" w:rsidR="00CB7DBA" w:rsidRDefault="00CB7DBA" w:rsidP="00581E17">
      <w:pPr>
        <w:spacing w:after="0" w:line="240" w:lineRule="auto"/>
      </w:pPr>
      <w:r>
        <w:separator/>
      </w:r>
    </w:p>
  </w:footnote>
  <w:footnote w:type="continuationSeparator" w:id="0">
    <w:p w14:paraId="1E2D3AB1" w14:textId="77777777" w:rsidR="00CB7DBA" w:rsidRDefault="00CB7DBA" w:rsidP="0058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7F4323" w14:textId="6E589141" w:rsidR="002B2F2F" w:rsidRPr="00652978" w:rsidRDefault="00900E56">
        <w:pPr>
          <w:pStyle w:val="Header"/>
          <w:jc w:val="center"/>
          <w:rPr>
            <w:rFonts w:ascii="Times New Roman" w:hAnsi="Times New Roman" w:cs="Times New Roman"/>
          </w:rPr>
        </w:pPr>
        <w:r w:rsidRPr="00652978">
          <w:rPr>
            <w:rFonts w:ascii="Times New Roman" w:hAnsi="Times New Roman" w:cs="Times New Roman"/>
          </w:rPr>
          <w:fldChar w:fldCharType="begin"/>
        </w:r>
        <w:r w:rsidR="002B2F2F" w:rsidRPr="00652978">
          <w:rPr>
            <w:rFonts w:ascii="Times New Roman" w:hAnsi="Times New Roman" w:cs="Times New Roman"/>
          </w:rPr>
          <w:instrText xml:space="preserve"> PAGE   \* MERGEFORMAT </w:instrText>
        </w:r>
        <w:r w:rsidRPr="00652978">
          <w:rPr>
            <w:rFonts w:ascii="Times New Roman" w:hAnsi="Times New Roman" w:cs="Times New Roman"/>
          </w:rPr>
          <w:fldChar w:fldCharType="separate"/>
        </w:r>
        <w:r w:rsidR="00B9349D">
          <w:rPr>
            <w:rFonts w:ascii="Times New Roman" w:hAnsi="Times New Roman" w:cs="Times New Roman"/>
            <w:noProof/>
          </w:rPr>
          <w:t>2</w:t>
        </w:r>
        <w:r w:rsidRPr="0065297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4903"/>
    <w:multiLevelType w:val="hybridMultilevel"/>
    <w:tmpl w:val="AF8C3BF6"/>
    <w:lvl w:ilvl="0" w:tplc="4A262AE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AE8"/>
    <w:multiLevelType w:val="hybridMultilevel"/>
    <w:tmpl w:val="FA68F2E6"/>
    <w:lvl w:ilvl="0" w:tplc="D4F08EF6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9" w:hanging="360"/>
      </w:pPr>
    </w:lvl>
    <w:lvl w:ilvl="2" w:tplc="0426001B" w:tentative="1">
      <w:start w:val="1"/>
      <w:numFmt w:val="lowerRoman"/>
      <w:lvlText w:val="%3."/>
      <w:lvlJc w:val="right"/>
      <w:pPr>
        <w:ind w:left="2299" w:hanging="180"/>
      </w:pPr>
    </w:lvl>
    <w:lvl w:ilvl="3" w:tplc="0426000F" w:tentative="1">
      <w:start w:val="1"/>
      <w:numFmt w:val="decimal"/>
      <w:lvlText w:val="%4."/>
      <w:lvlJc w:val="left"/>
      <w:pPr>
        <w:ind w:left="3019" w:hanging="360"/>
      </w:pPr>
    </w:lvl>
    <w:lvl w:ilvl="4" w:tplc="04260019" w:tentative="1">
      <w:start w:val="1"/>
      <w:numFmt w:val="lowerLetter"/>
      <w:lvlText w:val="%5."/>
      <w:lvlJc w:val="left"/>
      <w:pPr>
        <w:ind w:left="3739" w:hanging="360"/>
      </w:pPr>
    </w:lvl>
    <w:lvl w:ilvl="5" w:tplc="0426001B" w:tentative="1">
      <w:start w:val="1"/>
      <w:numFmt w:val="lowerRoman"/>
      <w:lvlText w:val="%6."/>
      <w:lvlJc w:val="right"/>
      <w:pPr>
        <w:ind w:left="4459" w:hanging="180"/>
      </w:pPr>
    </w:lvl>
    <w:lvl w:ilvl="6" w:tplc="0426000F" w:tentative="1">
      <w:start w:val="1"/>
      <w:numFmt w:val="decimal"/>
      <w:lvlText w:val="%7."/>
      <w:lvlJc w:val="left"/>
      <w:pPr>
        <w:ind w:left="5179" w:hanging="360"/>
      </w:pPr>
    </w:lvl>
    <w:lvl w:ilvl="7" w:tplc="04260019" w:tentative="1">
      <w:start w:val="1"/>
      <w:numFmt w:val="lowerLetter"/>
      <w:lvlText w:val="%8."/>
      <w:lvlJc w:val="left"/>
      <w:pPr>
        <w:ind w:left="5899" w:hanging="360"/>
      </w:pPr>
    </w:lvl>
    <w:lvl w:ilvl="8" w:tplc="042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3"/>
    <w:rsid w:val="0000204B"/>
    <w:rsid w:val="00006452"/>
    <w:rsid w:val="00024A24"/>
    <w:rsid w:val="0003367A"/>
    <w:rsid w:val="0003795D"/>
    <w:rsid w:val="000536A7"/>
    <w:rsid w:val="000A55B9"/>
    <w:rsid w:val="000B5BF9"/>
    <w:rsid w:val="000C7667"/>
    <w:rsid w:val="00124D48"/>
    <w:rsid w:val="00127E0C"/>
    <w:rsid w:val="00145FC4"/>
    <w:rsid w:val="001730EF"/>
    <w:rsid w:val="00184F2E"/>
    <w:rsid w:val="001A7DF4"/>
    <w:rsid w:val="00205E2B"/>
    <w:rsid w:val="00261335"/>
    <w:rsid w:val="0026183A"/>
    <w:rsid w:val="00264DF4"/>
    <w:rsid w:val="002905D1"/>
    <w:rsid w:val="002968FB"/>
    <w:rsid w:val="002B2F2F"/>
    <w:rsid w:val="002C386C"/>
    <w:rsid w:val="002C4230"/>
    <w:rsid w:val="002E2D32"/>
    <w:rsid w:val="002E717A"/>
    <w:rsid w:val="002F0587"/>
    <w:rsid w:val="00301E61"/>
    <w:rsid w:val="0032094A"/>
    <w:rsid w:val="00324046"/>
    <w:rsid w:val="00325B01"/>
    <w:rsid w:val="00366CB5"/>
    <w:rsid w:val="0036767F"/>
    <w:rsid w:val="00377F53"/>
    <w:rsid w:val="00391459"/>
    <w:rsid w:val="003A2FA3"/>
    <w:rsid w:val="003B4691"/>
    <w:rsid w:val="003C4CAC"/>
    <w:rsid w:val="003C5048"/>
    <w:rsid w:val="003F2EAB"/>
    <w:rsid w:val="0040623C"/>
    <w:rsid w:val="00406904"/>
    <w:rsid w:val="00424FD7"/>
    <w:rsid w:val="00473EA9"/>
    <w:rsid w:val="00482370"/>
    <w:rsid w:val="00485AE9"/>
    <w:rsid w:val="004A487A"/>
    <w:rsid w:val="00511941"/>
    <w:rsid w:val="00524DEE"/>
    <w:rsid w:val="00532EE7"/>
    <w:rsid w:val="00576A8F"/>
    <w:rsid w:val="00581E17"/>
    <w:rsid w:val="00585DAB"/>
    <w:rsid w:val="005955C8"/>
    <w:rsid w:val="005B6F6E"/>
    <w:rsid w:val="005C125B"/>
    <w:rsid w:val="005D1A71"/>
    <w:rsid w:val="005E63AF"/>
    <w:rsid w:val="005E7CD3"/>
    <w:rsid w:val="0060553E"/>
    <w:rsid w:val="00610A41"/>
    <w:rsid w:val="00647DFF"/>
    <w:rsid w:val="00676E7A"/>
    <w:rsid w:val="006A75ED"/>
    <w:rsid w:val="006C1A7A"/>
    <w:rsid w:val="006C3F71"/>
    <w:rsid w:val="006C6FD6"/>
    <w:rsid w:val="006E39A3"/>
    <w:rsid w:val="006F7701"/>
    <w:rsid w:val="00707E22"/>
    <w:rsid w:val="00716260"/>
    <w:rsid w:val="00741571"/>
    <w:rsid w:val="00743063"/>
    <w:rsid w:val="00752C1F"/>
    <w:rsid w:val="00753669"/>
    <w:rsid w:val="0076015A"/>
    <w:rsid w:val="00762F57"/>
    <w:rsid w:val="00770064"/>
    <w:rsid w:val="007C3968"/>
    <w:rsid w:val="007C3CC4"/>
    <w:rsid w:val="007D06B6"/>
    <w:rsid w:val="007D0958"/>
    <w:rsid w:val="007E2231"/>
    <w:rsid w:val="007F2CBF"/>
    <w:rsid w:val="007F3447"/>
    <w:rsid w:val="007F5C79"/>
    <w:rsid w:val="00803482"/>
    <w:rsid w:val="00803DFC"/>
    <w:rsid w:val="008274CE"/>
    <w:rsid w:val="00837A9D"/>
    <w:rsid w:val="00837DFA"/>
    <w:rsid w:val="008442EA"/>
    <w:rsid w:val="00860079"/>
    <w:rsid w:val="00861CCA"/>
    <w:rsid w:val="00867639"/>
    <w:rsid w:val="00870564"/>
    <w:rsid w:val="00872D9E"/>
    <w:rsid w:val="00881697"/>
    <w:rsid w:val="00893808"/>
    <w:rsid w:val="008B26F0"/>
    <w:rsid w:val="008D30E3"/>
    <w:rsid w:val="008D7C94"/>
    <w:rsid w:val="008E4593"/>
    <w:rsid w:val="008F5E5F"/>
    <w:rsid w:val="00900E56"/>
    <w:rsid w:val="00903326"/>
    <w:rsid w:val="009069C2"/>
    <w:rsid w:val="009159A9"/>
    <w:rsid w:val="00916BC6"/>
    <w:rsid w:val="00927B1D"/>
    <w:rsid w:val="00945A80"/>
    <w:rsid w:val="00967A33"/>
    <w:rsid w:val="00970C5C"/>
    <w:rsid w:val="00974812"/>
    <w:rsid w:val="009821D6"/>
    <w:rsid w:val="009B181A"/>
    <w:rsid w:val="009B4A47"/>
    <w:rsid w:val="009C063F"/>
    <w:rsid w:val="009D18DD"/>
    <w:rsid w:val="009F035A"/>
    <w:rsid w:val="00A0103A"/>
    <w:rsid w:val="00A013CB"/>
    <w:rsid w:val="00A04E5F"/>
    <w:rsid w:val="00A22F20"/>
    <w:rsid w:val="00A344C7"/>
    <w:rsid w:val="00A4239B"/>
    <w:rsid w:val="00A520BD"/>
    <w:rsid w:val="00AB0463"/>
    <w:rsid w:val="00AB3F13"/>
    <w:rsid w:val="00AC36A8"/>
    <w:rsid w:val="00AC5334"/>
    <w:rsid w:val="00B17AF9"/>
    <w:rsid w:val="00B21C01"/>
    <w:rsid w:val="00B27609"/>
    <w:rsid w:val="00B508CF"/>
    <w:rsid w:val="00B52D4D"/>
    <w:rsid w:val="00B535D7"/>
    <w:rsid w:val="00B76809"/>
    <w:rsid w:val="00B9349D"/>
    <w:rsid w:val="00BB080C"/>
    <w:rsid w:val="00BB4C3A"/>
    <w:rsid w:val="00BD1ED0"/>
    <w:rsid w:val="00BD2370"/>
    <w:rsid w:val="00BE0A6A"/>
    <w:rsid w:val="00BE3AFD"/>
    <w:rsid w:val="00BF0CEA"/>
    <w:rsid w:val="00BF69A3"/>
    <w:rsid w:val="00C0501E"/>
    <w:rsid w:val="00C32F7C"/>
    <w:rsid w:val="00C400AF"/>
    <w:rsid w:val="00C57F4A"/>
    <w:rsid w:val="00C7405E"/>
    <w:rsid w:val="00C746F3"/>
    <w:rsid w:val="00C74FD9"/>
    <w:rsid w:val="00C828A0"/>
    <w:rsid w:val="00C97F2D"/>
    <w:rsid w:val="00CA4100"/>
    <w:rsid w:val="00CB50E0"/>
    <w:rsid w:val="00CB7DBA"/>
    <w:rsid w:val="00CC5C89"/>
    <w:rsid w:val="00CC616B"/>
    <w:rsid w:val="00CD5822"/>
    <w:rsid w:val="00D32879"/>
    <w:rsid w:val="00D50171"/>
    <w:rsid w:val="00D506EE"/>
    <w:rsid w:val="00D5650F"/>
    <w:rsid w:val="00D72260"/>
    <w:rsid w:val="00D94B14"/>
    <w:rsid w:val="00DE1F96"/>
    <w:rsid w:val="00DE4EF5"/>
    <w:rsid w:val="00DF5C85"/>
    <w:rsid w:val="00E00173"/>
    <w:rsid w:val="00E2228E"/>
    <w:rsid w:val="00E34728"/>
    <w:rsid w:val="00E724C6"/>
    <w:rsid w:val="00E753CF"/>
    <w:rsid w:val="00E8756B"/>
    <w:rsid w:val="00EA2E5A"/>
    <w:rsid w:val="00EA5983"/>
    <w:rsid w:val="00EB3918"/>
    <w:rsid w:val="00EC0F10"/>
    <w:rsid w:val="00EC7474"/>
    <w:rsid w:val="00EC79CB"/>
    <w:rsid w:val="00ED5B4F"/>
    <w:rsid w:val="00EE3C3A"/>
    <w:rsid w:val="00EF6FA9"/>
    <w:rsid w:val="00F0134D"/>
    <w:rsid w:val="00F06932"/>
    <w:rsid w:val="00F124E2"/>
    <w:rsid w:val="00F216E4"/>
    <w:rsid w:val="00F217AC"/>
    <w:rsid w:val="00FC0343"/>
    <w:rsid w:val="00FC3B78"/>
    <w:rsid w:val="00FC3D34"/>
    <w:rsid w:val="00FC51A9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,"/>
  <w:listSeparator w:val=";"/>
  <w14:docId w14:val="67E2BD45"/>
  <w15:docId w15:val="{248733FE-5F4B-47AB-B797-6F4E8F4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9A3"/>
  </w:style>
  <w:style w:type="paragraph" w:styleId="Footer">
    <w:name w:val="footer"/>
    <w:basedOn w:val="Normal"/>
    <w:link w:val="FooterChar"/>
    <w:uiPriority w:val="99"/>
    <w:unhideWhenUsed/>
    <w:rsid w:val="006E39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9A3"/>
  </w:style>
  <w:style w:type="paragraph" w:styleId="NormalWeb">
    <w:name w:val="Normal (Web)"/>
    <w:basedOn w:val="Normal"/>
    <w:uiPriority w:val="99"/>
    <w:unhideWhenUsed/>
    <w:rsid w:val="006E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1"/>
    <w:rsid w:val="006E39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39A3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iskr">
    <w:name w:val="naiskr"/>
    <w:basedOn w:val="Normal"/>
    <w:uiPriority w:val="99"/>
    <w:rsid w:val="006E39A3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99"/>
    <w:qFormat/>
    <w:rsid w:val="009069C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"/>
    <w:link w:val="ListParagraph"/>
    <w:uiPriority w:val="99"/>
    <w:locked/>
    <w:rsid w:val="009069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5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5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5D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D7"/>
    <w:rPr>
      <w:color w:val="605E5C"/>
      <w:shd w:val="clear" w:color="auto" w:fill="E1DFDD"/>
    </w:rPr>
  </w:style>
  <w:style w:type="character" w:customStyle="1" w:styleId="FontStyle14">
    <w:name w:val="Font Style14"/>
    <w:rsid w:val="00762F57"/>
    <w:rPr>
      <w:rFonts w:ascii="Times New Roman" w:hAnsi="Times New Roman" w:cs="Times New Roman"/>
      <w:sz w:val="22"/>
      <w:szCs w:val="22"/>
    </w:rPr>
  </w:style>
  <w:style w:type="paragraph" w:customStyle="1" w:styleId="Parasts1">
    <w:name w:val="Parasts1"/>
    <w:rsid w:val="0076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762F5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Normal"/>
    <w:rsid w:val="00762F57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B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481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6610-89F3-478F-916D-E7648DE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3857</Words>
  <Characters>2200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juriss</dc:creator>
  <cp:lastModifiedBy>Ilze Sedliņa</cp:lastModifiedBy>
  <cp:revision>6</cp:revision>
  <cp:lastPrinted>2019-10-31T07:11:00Z</cp:lastPrinted>
  <dcterms:created xsi:type="dcterms:W3CDTF">2021-01-14T09:03:00Z</dcterms:created>
  <dcterms:modified xsi:type="dcterms:W3CDTF">2021-01-14T09:30:00Z</dcterms:modified>
</cp:coreProperties>
</file>