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112E" w14:textId="77777777" w:rsidR="001416FE" w:rsidRPr="007B47C5" w:rsidRDefault="001416FE" w:rsidP="00156771">
      <w:pPr>
        <w:pStyle w:val="NoSpacing"/>
        <w:spacing w:before="240"/>
        <w:jc w:val="center"/>
        <w:rPr>
          <w:rFonts w:ascii="Times New Roman" w:hAnsi="Times New Roman" w:cs="Times New Roman"/>
          <w:b/>
          <w:sz w:val="28"/>
          <w:szCs w:val="24"/>
          <w:lang w:eastAsia="lv-LV"/>
        </w:rPr>
      </w:pPr>
    </w:p>
    <w:p w14:paraId="0012FFEF" w14:textId="77777777" w:rsidR="00894C55" w:rsidRPr="007B47C5" w:rsidRDefault="00EC6E12" w:rsidP="00EC6E12">
      <w:pPr>
        <w:pStyle w:val="NoSpacing"/>
        <w:jc w:val="center"/>
        <w:rPr>
          <w:rFonts w:ascii="Times New Roman" w:hAnsi="Times New Roman" w:cs="Times New Roman"/>
          <w:b/>
          <w:sz w:val="28"/>
          <w:szCs w:val="24"/>
          <w:lang w:eastAsia="lv-LV"/>
        </w:rPr>
      </w:pPr>
      <w:r w:rsidRPr="007B47C5">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7B47C5">
        <w:rPr>
          <w:rFonts w:ascii="Times New Roman" w:hAnsi="Times New Roman" w:cs="Times New Roman"/>
          <w:b/>
          <w:sz w:val="28"/>
          <w:szCs w:val="24"/>
          <w:lang w:eastAsia="lv-LV"/>
        </w:rPr>
        <w:t>sākotnējās ietekmes novērtējuma ziņojums (anotācija)</w:t>
      </w:r>
    </w:p>
    <w:p w14:paraId="73F12ECA" w14:textId="77777777" w:rsidR="00EC6E12" w:rsidRPr="007B47C5"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7B47C5" w:rsidRPr="007B47C5" w14:paraId="4F24AC2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69CF9B8" w14:textId="77777777" w:rsidR="006F193F" w:rsidRPr="007B47C5" w:rsidRDefault="006F193F" w:rsidP="006F193F">
            <w:pPr>
              <w:spacing w:before="100" w:beforeAutospacing="1" w:after="100" w:afterAutospacing="1" w:line="293" w:lineRule="atLeast"/>
              <w:jc w:val="center"/>
              <w:rPr>
                <w:b/>
                <w:bCs/>
              </w:rPr>
            </w:pPr>
            <w:r w:rsidRPr="007B47C5">
              <w:rPr>
                <w:b/>
                <w:bCs/>
              </w:rPr>
              <w:t>Tiesību akta projekta anotācijas kopsavilkums</w:t>
            </w:r>
          </w:p>
        </w:tc>
      </w:tr>
      <w:tr w:rsidR="007B47C5" w:rsidRPr="007B47C5" w14:paraId="369BAB3E"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CEE6496" w14:textId="77777777" w:rsidR="006F193F" w:rsidRPr="007B47C5" w:rsidRDefault="006F193F" w:rsidP="006F193F">
            <w:pPr>
              <w:spacing w:before="100" w:beforeAutospacing="1" w:after="100" w:afterAutospacing="1" w:line="293" w:lineRule="atLeast"/>
            </w:pPr>
            <w:r w:rsidRPr="007B47C5">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0959C57" w14:textId="77777777" w:rsidR="006F193F" w:rsidRPr="007B47C5" w:rsidRDefault="003E19F5" w:rsidP="006F193F">
            <w:pPr>
              <w:ind w:left="107" w:right="109"/>
              <w:jc w:val="both"/>
            </w:pPr>
            <w:r w:rsidRPr="007B47C5">
              <w:rPr>
                <w:rFonts w:eastAsiaTheme="minorHAnsi"/>
              </w:rPr>
              <w:t>Projekts šo jomu neskar.</w:t>
            </w:r>
          </w:p>
        </w:tc>
      </w:tr>
    </w:tbl>
    <w:p w14:paraId="0D054A42" w14:textId="77777777" w:rsidR="00EC6E12" w:rsidRPr="007B47C5"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B47C5" w:rsidRPr="007B47C5" w14:paraId="266327D6" w14:textId="77777777" w:rsidTr="0079260F">
        <w:tc>
          <w:tcPr>
            <w:tcW w:w="9356" w:type="dxa"/>
            <w:gridSpan w:val="3"/>
          </w:tcPr>
          <w:p w14:paraId="1EFE8C90" w14:textId="77777777" w:rsidR="00EC6E12" w:rsidRPr="007B47C5" w:rsidRDefault="00EC6E12" w:rsidP="00EC6E12">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I. Tiesību akta projekta izstrādes nepieciešamība</w:t>
            </w:r>
          </w:p>
        </w:tc>
      </w:tr>
      <w:tr w:rsidR="00644E96" w:rsidRPr="00644E96" w14:paraId="184A8BF7" w14:textId="77777777" w:rsidTr="0079260F">
        <w:tc>
          <w:tcPr>
            <w:tcW w:w="568" w:type="dxa"/>
          </w:tcPr>
          <w:p w14:paraId="44FC0712" w14:textId="77777777" w:rsidR="00130487" w:rsidRPr="00644E96" w:rsidRDefault="00130487" w:rsidP="00130487">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1.</w:t>
            </w:r>
          </w:p>
        </w:tc>
        <w:tc>
          <w:tcPr>
            <w:tcW w:w="1559" w:type="dxa"/>
          </w:tcPr>
          <w:p w14:paraId="13A81E93" w14:textId="77777777" w:rsidR="00130487" w:rsidRPr="00644E96" w:rsidRDefault="00130487" w:rsidP="00130487">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Pamatojums</w:t>
            </w:r>
          </w:p>
        </w:tc>
        <w:tc>
          <w:tcPr>
            <w:tcW w:w="7229" w:type="dxa"/>
          </w:tcPr>
          <w:p w14:paraId="33A9A97F" w14:textId="77777777" w:rsidR="003E19F5" w:rsidRPr="00644E96" w:rsidRDefault="003E19F5" w:rsidP="003E19F5">
            <w:pPr>
              <w:pStyle w:val="NoSpacing"/>
              <w:ind w:firstLine="311"/>
              <w:jc w:val="both"/>
              <w:rPr>
                <w:rFonts w:ascii="Times New Roman" w:hAnsi="Times New Roman" w:cs="Times New Roman"/>
                <w:color w:val="000000" w:themeColor="text1"/>
                <w:sz w:val="24"/>
              </w:rPr>
            </w:pPr>
            <w:r w:rsidRPr="00644E96">
              <w:rPr>
                <w:rFonts w:ascii="Times New Roman" w:hAnsi="Times New Roman" w:cs="Times New Roman"/>
                <w:color w:val="000000" w:themeColor="text1"/>
                <w:sz w:val="24"/>
              </w:rPr>
              <w:t xml:space="preserve">Ministru kabineta rīkojuma projekts “Par finanšu līdzekļu piešķiršanu no valsts budžeta programmas “Līdzekļi neparedzētiem gadījumiem”” (turpmāk – rīkojuma projekts) izstrādāts, pamatojoties uz: </w:t>
            </w:r>
          </w:p>
          <w:p w14:paraId="6D76B096" w14:textId="77777777" w:rsidR="00377546" w:rsidRPr="00644E96" w:rsidRDefault="003E19F5" w:rsidP="00DD1F9B">
            <w:pPr>
              <w:pStyle w:val="NoSpacing"/>
              <w:numPr>
                <w:ilvl w:val="0"/>
                <w:numId w:val="10"/>
              </w:numPr>
              <w:jc w:val="both"/>
              <w:rPr>
                <w:rFonts w:ascii="Times New Roman" w:hAnsi="Times New Roman" w:cs="Times New Roman"/>
                <w:color w:val="000000" w:themeColor="text1"/>
                <w:sz w:val="24"/>
              </w:rPr>
            </w:pPr>
            <w:r w:rsidRPr="00644E96">
              <w:rPr>
                <w:rFonts w:ascii="Times New Roman" w:hAnsi="Times New Roman" w:cs="Times New Roman"/>
                <w:color w:val="000000" w:themeColor="text1"/>
                <w:sz w:val="24"/>
              </w:rPr>
              <w:t>COVID-19 infekcijas izplatības seku pārvarēšanas likuma (turpmāk – likums) 24. un 25.pants</w:t>
            </w:r>
            <w:r w:rsidR="00DD1F9B" w:rsidRPr="00644E96">
              <w:rPr>
                <w:rFonts w:ascii="Times New Roman" w:hAnsi="Times New Roman" w:cs="Times New Roman"/>
                <w:color w:val="000000" w:themeColor="text1"/>
                <w:sz w:val="24"/>
              </w:rPr>
              <w:t>;</w:t>
            </w:r>
          </w:p>
          <w:p w14:paraId="0ED83A8A" w14:textId="64C2423F" w:rsidR="005752BA" w:rsidRPr="00644E96" w:rsidRDefault="00DD1F9B" w:rsidP="005752BA">
            <w:pPr>
              <w:pStyle w:val="NoSpacing"/>
              <w:numPr>
                <w:ilvl w:val="0"/>
                <w:numId w:val="10"/>
              </w:numPr>
              <w:jc w:val="both"/>
              <w:rPr>
                <w:rFonts w:ascii="Times New Roman" w:hAnsi="Times New Roman" w:cs="Times New Roman"/>
                <w:color w:val="000000" w:themeColor="text1"/>
                <w:sz w:val="24"/>
              </w:rPr>
            </w:pPr>
            <w:r w:rsidRPr="00644E96">
              <w:rPr>
                <w:rFonts w:ascii="Times New Roman" w:hAnsi="Times New Roman" w:cs="Times New Roman"/>
                <w:color w:val="000000" w:themeColor="text1"/>
                <w:sz w:val="24"/>
              </w:rPr>
              <w:t>informatīvais ziņojums “</w:t>
            </w:r>
            <w:r w:rsidR="005752BA" w:rsidRPr="00644E96">
              <w:rPr>
                <w:rFonts w:ascii="Times New Roman" w:hAnsi="Times New Roman" w:cs="Times New Roman"/>
                <w:color w:val="000000" w:themeColor="text1"/>
                <w:sz w:val="24"/>
              </w:rPr>
              <w:t>Par Covid-19 vakcinācijas plānu</w:t>
            </w:r>
            <w:r w:rsidRPr="00644E96">
              <w:rPr>
                <w:rFonts w:ascii="Times New Roman" w:hAnsi="Times New Roman" w:cs="Times New Roman"/>
                <w:color w:val="000000" w:themeColor="text1"/>
                <w:sz w:val="24"/>
              </w:rPr>
              <w:t>” (Ministru kabineta 202</w:t>
            </w:r>
            <w:r w:rsidR="005752BA" w:rsidRPr="00644E96">
              <w:rPr>
                <w:rFonts w:ascii="Times New Roman" w:hAnsi="Times New Roman" w:cs="Times New Roman"/>
                <w:color w:val="000000" w:themeColor="text1"/>
                <w:sz w:val="24"/>
              </w:rPr>
              <w:t>1</w:t>
            </w:r>
            <w:r w:rsidRPr="00644E96">
              <w:rPr>
                <w:rFonts w:ascii="Times New Roman" w:hAnsi="Times New Roman" w:cs="Times New Roman"/>
                <w:color w:val="000000" w:themeColor="text1"/>
                <w:sz w:val="24"/>
              </w:rPr>
              <w:t xml:space="preserve">.gada </w:t>
            </w:r>
            <w:r w:rsidR="005752BA" w:rsidRPr="00644E96">
              <w:rPr>
                <w:rFonts w:ascii="Times New Roman" w:hAnsi="Times New Roman" w:cs="Times New Roman"/>
                <w:color w:val="000000" w:themeColor="text1"/>
                <w:sz w:val="24"/>
              </w:rPr>
              <w:t xml:space="preserve">28.janvāra </w:t>
            </w:r>
            <w:r w:rsidRPr="00644E96">
              <w:rPr>
                <w:rFonts w:ascii="Times New Roman" w:hAnsi="Times New Roman" w:cs="Times New Roman"/>
                <w:color w:val="000000" w:themeColor="text1"/>
                <w:sz w:val="24"/>
              </w:rPr>
              <w:t>sēdes protokols Nr.</w:t>
            </w:r>
            <w:r w:rsidR="005752BA" w:rsidRPr="00644E96">
              <w:rPr>
                <w:rFonts w:ascii="Times New Roman" w:hAnsi="Times New Roman" w:cs="Times New Roman"/>
                <w:color w:val="000000" w:themeColor="text1"/>
                <w:sz w:val="24"/>
              </w:rPr>
              <w:t>10</w:t>
            </w:r>
            <w:r w:rsidRPr="00644E96">
              <w:rPr>
                <w:rFonts w:ascii="Times New Roman" w:hAnsi="Times New Roman" w:cs="Times New Roman"/>
                <w:color w:val="000000" w:themeColor="text1"/>
                <w:sz w:val="24"/>
              </w:rPr>
              <w:t xml:space="preserve"> </w:t>
            </w:r>
            <w:r w:rsidR="005752BA" w:rsidRPr="00644E96">
              <w:rPr>
                <w:rFonts w:ascii="Times New Roman" w:hAnsi="Times New Roman" w:cs="Times New Roman"/>
                <w:color w:val="000000" w:themeColor="text1"/>
                <w:sz w:val="24"/>
              </w:rPr>
              <w:t>53</w:t>
            </w:r>
            <w:r w:rsidRPr="00644E96">
              <w:rPr>
                <w:rFonts w:ascii="Times New Roman" w:hAnsi="Times New Roman" w:cs="Times New Roman"/>
                <w:color w:val="000000" w:themeColor="text1"/>
                <w:sz w:val="24"/>
              </w:rPr>
              <w:t>.paragrāfs).</w:t>
            </w:r>
          </w:p>
        </w:tc>
      </w:tr>
      <w:tr w:rsidR="00644E96" w:rsidRPr="00644E96" w14:paraId="6E0E0E29" w14:textId="77777777" w:rsidTr="00935EB3">
        <w:tc>
          <w:tcPr>
            <w:tcW w:w="568" w:type="dxa"/>
          </w:tcPr>
          <w:p w14:paraId="7EE82F4F" w14:textId="77777777" w:rsidR="0079260F" w:rsidRPr="00644E96" w:rsidRDefault="0079260F" w:rsidP="0079260F">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2.</w:t>
            </w:r>
          </w:p>
        </w:tc>
        <w:tc>
          <w:tcPr>
            <w:tcW w:w="1559" w:type="dxa"/>
          </w:tcPr>
          <w:p w14:paraId="2C6BECD3" w14:textId="77777777" w:rsidR="00485E78" w:rsidRPr="00644E96" w:rsidRDefault="0079260F" w:rsidP="00935EB3">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43692FB2" w14:textId="77777777" w:rsidR="00981569" w:rsidRPr="00644E96" w:rsidRDefault="00981569" w:rsidP="00981569">
            <w:pPr>
              <w:rPr>
                <w:color w:val="000000" w:themeColor="text1"/>
                <w:lang w:eastAsia="en-US"/>
              </w:rPr>
            </w:pPr>
          </w:p>
          <w:p w14:paraId="35579FB9" w14:textId="77777777" w:rsidR="00981569" w:rsidRPr="00644E96" w:rsidRDefault="00981569" w:rsidP="00981569">
            <w:pPr>
              <w:rPr>
                <w:color w:val="000000" w:themeColor="text1"/>
                <w:lang w:eastAsia="en-US"/>
              </w:rPr>
            </w:pPr>
          </w:p>
          <w:p w14:paraId="7D9750CC" w14:textId="77777777" w:rsidR="00981569" w:rsidRPr="00644E96" w:rsidRDefault="00981569" w:rsidP="00981569">
            <w:pPr>
              <w:rPr>
                <w:color w:val="000000" w:themeColor="text1"/>
                <w:lang w:eastAsia="en-US"/>
              </w:rPr>
            </w:pPr>
          </w:p>
          <w:p w14:paraId="3103A516" w14:textId="77777777" w:rsidR="00981569" w:rsidRPr="00644E96" w:rsidRDefault="00981569" w:rsidP="00981569">
            <w:pPr>
              <w:rPr>
                <w:color w:val="000000" w:themeColor="text1"/>
                <w:lang w:eastAsia="en-US"/>
              </w:rPr>
            </w:pPr>
          </w:p>
          <w:p w14:paraId="73E103F2" w14:textId="77777777" w:rsidR="00981569" w:rsidRPr="00644E96" w:rsidRDefault="00981569" w:rsidP="00981569">
            <w:pPr>
              <w:rPr>
                <w:color w:val="000000" w:themeColor="text1"/>
                <w:lang w:eastAsia="en-US"/>
              </w:rPr>
            </w:pPr>
          </w:p>
          <w:p w14:paraId="1A615BA5" w14:textId="77777777" w:rsidR="00981569" w:rsidRPr="00644E96" w:rsidRDefault="00981569" w:rsidP="00981569">
            <w:pPr>
              <w:rPr>
                <w:color w:val="000000" w:themeColor="text1"/>
                <w:lang w:eastAsia="en-US"/>
              </w:rPr>
            </w:pPr>
          </w:p>
          <w:p w14:paraId="24057ED1" w14:textId="77777777" w:rsidR="00981569" w:rsidRPr="00644E96" w:rsidRDefault="00981569" w:rsidP="00981569">
            <w:pPr>
              <w:rPr>
                <w:color w:val="000000" w:themeColor="text1"/>
                <w:lang w:eastAsia="en-US"/>
              </w:rPr>
            </w:pPr>
          </w:p>
          <w:p w14:paraId="01DEE269" w14:textId="77777777" w:rsidR="00981569" w:rsidRPr="00644E96" w:rsidRDefault="00981569" w:rsidP="00981569">
            <w:pPr>
              <w:rPr>
                <w:color w:val="000000" w:themeColor="text1"/>
                <w:lang w:eastAsia="en-US"/>
              </w:rPr>
            </w:pPr>
          </w:p>
          <w:p w14:paraId="5EA07863" w14:textId="77777777" w:rsidR="00981569" w:rsidRPr="00644E96" w:rsidRDefault="00981569" w:rsidP="00981569">
            <w:pPr>
              <w:rPr>
                <w:color w:val="000000" w:themeColor="text1"/>
                <w:lang w:eastAsia="en-US"/>
              </w:rPr>
            </w:pPr>
          </w:p>
          <w:p w14:paraId="4D37482E" w14:textId="77777777" w:rsidR="00981569" w:rsidRPr="00644E96" w:rsidRDefault="00981569" w:rsidP="00981569">
            <w:pPr>
              <w:rPr>
                <w:color w:val="000000" w:themeColor="text1"/>
                <w:lang w:eastAsia="en-US"/>
              </w:rPr>
            </w:pPr>
          </w:p>
          <w:p w14:paraId="5CD8F1DD" w14:textId="77777777" w:rsidR="00981569" w:rsidRPr="00644E96" w:rsidRDefault="00981569" w:rsidP="00981569">
            <w:pPr>
              <w:rPr>
                <w:color w:val="000000" w:themeColor="text1"/>
                <w:lang w:eastAsia="en-US"/>
              </w:rPr>
            </w:pPr>
          </w:p>
          <w:p w14:paraId="09C38D5F" w14:textId="77777777" w:rsidR="00981569" w:rsidRPr="00644E96" w:rsidRDefault="00981569" w:rsidP="00981569">
            <w:pPr>
              <w:rPr>
                <w:color w:val="000000" w:themeColor="text1"/>
                <w:lang w:eastAsia="en-US"/>
              </w:rPr>
            </w:pPr>
          </w:p>
          <w:p w14:paraId="2E132013" w14:textId="77777777" w:rsidR="00981569" w:rsidRPr="00644E96" w:rsidRDefault="00981569" w:rsidP="00981569">
            <w:pPr>
              <w:rPr>
                <w:color w:val="000000" w:themeColor="text1"/>
                <w:lang w:eastAsia="en-US"/>
              </w:rPr>
            </w:pPr>
          </w:p>
          <w:p w14:paraId="2EC232F9" w14:textId="77777777" w:rsidR="00981569" w:rsidRPr="00644E96" w:rsidRDefault="00981569" w:rsidP="00981569">
            <w:pPr>
              <w:rPr>
                <w:color w:val="000000" w:themeColor="text1"/>
                <w:lang w:eastAsia="en-US"/>
              </w:rPr>
            </w:pPr>
          </w:p>
          <w:p w14:paraId="6B2A4B87" w14:textId="77777777" w:rsidR="00981569" w:rsidRPr="00644E96" w:rsidRDefault="00981569" w:rsidP="00981569">
            <w:pPr>
              <w:rPr>
                <w:color w:val="000000" w:themeColor="text1"/>
                <w:lang w:eastAsia="en-US"/>
              </w:rPr>
            </w:pPr>
          </w:p>
          <w:p w14:paraId="50A06869" w14:textId="77777777" w:rsidR="00981569" w:rsidRPr="00644E96" w:rsidRDefault="00981569" w:rsidP="00981569">
            <w:pPr>
              <w:rPr>
                <w:color w:val="000000" w:themeColor="text1"/>
                <w:lang w:eastAsia="en-US"/>
              </w:rPr>
            </w:pPr>
          </w:p>
          <w:p w14:paraId="34D2736A" w14:textId="77777777" w:rsidR="00981569" w:rsidRPr="00644E96" w:rsidRDefault="00981569" w:rsidP="00981569">
            <w:pPr>
              <w:rPr>
                <w:color w:val="000000" w:themeColor="text1"/>
                <w:lang w:eastAsia="en-US"/>
              </w:rPr>
            </w:pPr>
          </w:p>
          <w:p w14:paraId="08A2793C" w14:textId="77777777" w:rsidR="00981569" w:rsidRPr="00644E96" w:rsidRDefault="00981569" w:rsidP="00981569">
            <w:pPr>
              <w:rPr>
                <w:color w:val="000000" w:themeColor="text1"/>
                <w:lang w:eastAsia="en-US"/>
              </w:rPr>
            </w:pPr>
          </w:p>
          <w:p w14:paraId="5C11B076" w14:textId="77777777" w:rsidR="00981569" w:rsidRPr="00644E96" w:rsidRDefault="00981569" w:rsidP="00981569">
            <w:pPr>
              <w:rPr>
                <w:color w:val="000000" w:themeColor="text1"/>
                <w:lang w:eastAsia="en-US"/>
              </w:rPr>
            </w:pPr>
          </w:p>
          <w:p w14:paraId="2DAB8B84" w14:textId="77777777" w:rsidR="00981569" w:rsidRPr="00644E96" w:rsidRDefault="00981569" w:rsidP="00981569">
            <w:pPr>
              <w:rPr>
                <w:color w:val="000000" w:themeColor="text1"/>
                <w:lang w:eastAsia="en-US"/>
              </w:rPr>
            </w:pPr>
          </w:p>
          <w:p w14:paraId="291408F7" w14:textId="77777777" w:rsidR="00981569" w:rsidRPr="00644E96" w:rsidRDefault="00981569" w:rsidP="00981569">
            <w:pPr>
              <w:jc w:val="center"/>
              <w:rPr>
                <w:color w:val="000000" w:themeColor="text1"/>
                <w:lang w:eastAsia="en-US"/>
              </w:rPr>
            </w:pPr>
          </w:p>
        </w:tc>
        <w:tc>
          <w:tcPr>
            <w:tcW w:w="7229" w:type="dxa"/>
          </w:tcPr>
          <w:p w14:paraId="170AD47A" w14:textId="4662B1E7" w:rsidR="00AB341B" w:rsidRPr="00644E96" w:rsidRDefault="00B57A54" w:rsidP="009501BC">
            <w:pPr>
              <w:pStyle w:val="tv213"/>
              <w:tabs>
                <w:tab w:val="left" w:pos="709"/>
              </w:tabs>
              <w:spacing w:before="0" w:beforeAutospacing="0" w:after="0" w:afterAutospacing="0"/>
              <w:ind w:firstLine="709"/>
              <w:jc w:val="both"/>
              <w:rPr>
                <w:color w:val="000000" w:themeColor="text1"/>
              </w:rPr>
            </w:pPr>
            <w:r w:rsidRPr="00644E96">
              <w:rPr>
                <w:color w:val="000000" w:themeColor="text1"/>
              </w:rPr>
              <w:lastRenderedPageBreak/>
              <w:t xml:space="preserve">2020.gada 30.janvārī Pasaules Veselības organizācijas ģenerāldirektors sniedza paziņojumu, ka Covid-19 uzliesmojums ir uzskatāms par starptautiskas nozīmes ārkārtas sabiedrības veselības apdraudējumu un Eiropas Slimību profilakses centrs izdeva ieteikumus par Covid-19 izraisīto saslimšanas gadījumu uzraudzību, savukārt Pasaules veselības organizācija 2020.gada 11.martā paziņoja, ka Covid-19 ir sasniegusi pandēmijas apmērus. </w:t>
            </w:r>
            <w:r w:rsidR="004F4C92" w:rsidRPr="00644E96">
              <w:rPr>
                <w:color w:val="000000" w:themeColor="text1"/>
              </w:rPr>
              <w:t>Ņemot vērā epidemioloģiskās situācijas attīstības negatīvo tendenci Covid-19 pandēmijas laikā</w:t>
            </w:r>
            <w:r w:rsidR="009501BC" w:rsidRPr="00644E96">
              <w:rPr>
                <w:color w:val="000000" w:themeColor="text1"/>
              </w:rPr>
              <w:t xml:space="preserve"> svarīgi ir nodrošināt vakcinācijas sistēmas efektīvu darbību, kā arī ērtu un elastīgu vakcinācijas procesu, to nodrošinot ar izveidotu speciālu IT risinājumu vakcinācijas procesa pārvaldībai.</w:t>
            </w:r>
          </w:p>
          <w:p w14:paraId="0F3E4E51" w14:textId="3683E742" w:rsidR="00D14916" w:rsidRPr="00644E96" w:rsidRDefault="00B57A54" w:rsidP="00D14916">
            <w:pPr>
              <w:ind w:firstLine="720"/>
              <w:jc w:val="both"/>
              <w:rPr>
                <w:color w:val="000000" w:themeColor="text1"/>
              </w:rPr>
            </w:pPr>
            <w:r w:rsidRPr="00644E96">
              <w:rPr>
                <w:color w:val="000000" w:themeColor="text1"/>
              </w:rPr>
              <w:t>Ministru kabineta 2021.gada 28.janvāra sēdē (protokols Nr.10 53.paragrāfs) tika pieņemt zināšanai Veselības min</w:t>
            </w:r>
            <w:r w:rsidR="00D14916" w:rsidRPr="00644E96">
              <w:rPr>
                <w:color w:val="000000" w:themeColor="text1"/>
              </w:rPr>
              <w:t>istrijas</w:t>
            </w:r>
            <w:r w:rsidRPr="00644E96">
              <w:rPr>
                <w:color w:val="000000" w:themeColor="text1"/>
              </w:rPr>
              <w:t xml:space="preserve"> sagatavotais informatīvais ziņojums “</w:t>
            </w:r>
            <w:r w:rsidR="00D14916" w:rsidRPr="00644E96">
              <w:rPr>
                <w:color w:val="000000" w:themeColor="text1"/>
              </w:rPr>
              <w:t>Par Covid-19 vakcinācijas plānu</w:t>
            </w:r>
            <w:r w:rsidRPr="00644E96">
              <w:rPr>
                <w:color w:val="000000" w:themeColor="text1"/>
              </w:rPr>
              <w:t xml:space="preserve">” (turpmāk </w:t>
            </w:r>
            <w:r w:rsidR="00D14916" w:rsidRPr="00644E96">
              <w:rPr>
                <w:color w:val="000000" w:themeColor="text1"/>
              </w:rPr>
              <w:t xml:space="preserve">vakcinācijas plāns). </w:t>
            </w:r>
          </w:p>
          <w:p w14:paraId="140B9C6B" w14:textId="77777777" w:rsidR="009501BC" w:rsidRPr="009501BC" w:rsidRDefault="009501BC" w:rsidP="009501BC">
            <w:pPr>
              <w:shd w:val="clear" w:color="auto" w:fill="FFFFFF"/>
              <w:rPr>
                <w:color w:val="000000" w:themeColor="text1"/>
              </w:rPr>
            </w:pPr>
            <w:r w:rsidRPr="009501BC">
              <w:rPr>
                <w:color w:val="000000" w:themeColor="text1"/>
              </w:rPr>
              <w:t>Vakcinācijas plāna mērķis:</w:t>
            </w:r>
          </w:p>
          <w:p w14:paraId="1C7C82CD" w14:textId="77777777" w:rsidR="009501BC" w:rsidRPr="009501BC" w:rsidRDefault="009501BC" w:rsidP="009501BC">
            <w:pPr>
              <w:numPr>
                <w:ilvl w:val="0"/>
                <w:numId w:val="13"/>
              </w:numPr>
              <w:shd w:val="clear" w:color="auto" w:fill="FFFFFF"/>
              <w:rPr>
                <w:color w:val="000000" w:themeColor="text1"/>
              </w:rPr>
            </w:pPr>
            <w:r w:rsidRPr="009501BC">
              <w:rPr>
                <w:color w:val="000000" w:themeColor="text1"/>
              </w:rPr>
              <w:t>Pēc iespējas ātrāk vakcinēt vismaz 70% visu Latvijas pieaugušo iedzīvotāju, tādējādi padarot iespējamu kolektīvo imunitāti pret Covid-19.</w:t>
            </w:r>
          </w:p>
          <w:p w14:paraId="6FB2A259" w14:textId="77777777" w:rsidR="009501BC" w:rsidRPr="009501BC" w:rsidRDefault="009501BC" w:rsidP="009501BC">
            <w:pPr>
              <w:numPr>
                <w:ilvl w:val="0"/>
                <w:numId w:val="13"/>
              </w:numPr>
              <w:shd w:val="clear" w:color="auto" w:fill="FFFFFF"/>
              <w:rPr>
                <w:color w:val="000000" w:themeColor="text1"/>
              </w:rPr>
            </w:pPr>
            <w:r w:rsidRPr="009501BC">
              <w:rPr>
                <w:color w:val="000000" w:themeColor="text1"/>
              </w:rPr>
              <w:t>Saņemot pietiekamu vakcīnu daudzumu,  kopā ar citām Eiropas valstīm tiekties šo mērķi sasniegt līdz 2021.gada vasaras beigām.</w:t>
            </w:r>
          </w:p>
          <w:p w14:paraId="330B3328" w14:textId="77777777" w:rsidR="009501BC" w:rsidRPr="009501BC" w:rsidRDefault="009501BC" w:rsidP="009501BC">
            <w:pPr>
              <w:numPr>
                <w:ilvl w:val="0"/>
                <w:numId w:val="13"/>
              </w:numPr>
              <w:shd w:val="clear" w:color="auto" w:fill="FFFFFF"/>
              <w:rPr>
                <w:color w:val="000000" w:themeColor="text1"/>
              </w:rPr>
            </w:pPr>
            <w:r w:rsidRPr="009501BC">
              <w:rPr>
                <w:color w:val="000000" w:themeColor="text1"/>
              </w:rPr>
              <w:t>Lai to izdarītu, izveidot vakcinācijas sistēmu ar kapacitāti 100 000 vakcinācijas epizodes nedēļā, kas atbilst prognozētajam vakcīnu piegāžu ātrumam, un ļauj ātri izvakcinēt visu piegādāto apjomu.</w:t>
            </w:r>
          </w:p>
          <w:p w14:paraId="4FB66510" w14:textId="77777777" w:rsidR="009501BC" w:rsidRPr="009501BC" w:rsidRDefault="009501BC" w:rsidP="009501BC">
            <w:pPr>
              <w:numPr>
                <w:ilvl w:val="0"/>
                <w:numId w:val="13"/>
              </w:numPr>
              <w:shd w:val="clear" w:color="auto" w:fill="FFFFFF"/>
              <w:rPr>
                <w:color w:val="000000" w:themeColor="text1"/>
              </w:rPr>
            </w:pPr>
            <w:r w:rsidRPr="009501BC">
              <w:rPr>
                <w:color w:val="000000" w:themeColor="text1"/>
              </w:rPr>
              <w:t>Paredzēt iespēju īslaicīgi mobilizēt arī lielāku vakcinācijas jaudu (līdz 150 000 vakcīnām nedēļā), lai iespējamo piegādes “pīķu” gadījumā novērstu vakcīnu uzkrāšanos.</w:t>
            </w:r>
          </w:p>
          <w:p w14:paraId="0404A638" w14:textId="77777777" w:rsidR="009501BC" w:rsidRPr="00644E96" w:rsidRDefault="009501BC" w:rsidP="009501BC">
            <w:pPr>
              <w:jc w:val="both"/>
              <w:rPr>
                <w:color w:val="000000" w:themeColor="text1"/>
                <w:highlight w:val="green"/>
              </w:rPr>
            </w:pPr>
          </w:p>
          <w:p w14:paraId="24BEDA4D" w14:textId="77777777" w:rsidR="009501BC" w:rsidRPr="009501BC" w:rsidRDefault="009501BC" w:rsidP="009501BC">
            <w:pPr>
              <w:shd w:val="clear" w:color="auto" w:fill="FFFFFF"/>
              <w:ind w:firstLine="360"/>
              <w:rPr>
                <w:rFonts w:ascii="Calibri" w:hAnsi="Calibri" w:cs="Calibri"/>
                <w:color w:val="000000" w:themeColor="text1"/>
              </w:rPr>
            </w:pPr>
            <w:r w:rsidRPr="009501BC">
              <w:rPr>
                <w:color w:val="000000" w:themeColor="text1"/>
                <w:bdr w:val="none" w:sz="0" w:space="0" w:color="auto" w:frame="1"/>
              </w:rPr>
              <w:lastRenderedPageBreak/>
              <w:t>Lai nodrošinātu vakcinācijas sistēmas efektīvu darbību, kā arī ērtu un elastīgu vakcinācijas procesu, tiks izveidots speciāls IT risinājums vakcinācijas procesa pārvaldībai.</w:t>
            </w:r>
          </w:p>
          <w:p w14:paraId="48C97644"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bdr w:val="none" w:sz="0" w:space="0" w:color="auto" w:frame="1"/>
              </w:rPr>
              <w:t>Šāda risinājuma veidošana ir kritiski nepieciešama, jo patlaban vakcinācijas procesā būtisku laiku aizņem informācijas ievade dažādās sistēmās, dokumentu gatavošana, kā arī daļēji manuāla lēmumu apstrāde (piemēram, vakcīnu pasūtījumos). Neizveidojot IT risinājumu, pastāv riski, ka vakcinācijas ātrums vakcinācijas vietās būtu nepietiekams, rindu vadība neefektīva un lēna, un vakcīnu loģistikas plānošana lēna un neoptimāla.</w:t>
            </w:r>
          </w:p>
          <w:p w14:paraId="73CAF4AD"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bdr w:val="none" w:sz="0" w:space="0" w:color="auto" w:frame="1"/>
              </w:rPr>
              <w:t>IT risinājums vakcinācijas procesa pārvaldībai ietvers agrīno pieteikšanos vakcinācijai, iepriekšējo vakcinējamo sarakstu, vakcinācijas kabinetu kapacitātes un darba laiku pārvaldību, vienoto rindu veidošanu, saziņu ar vakcinējamiem, vakcīnu piegādes plānošanu, loģistikas organizāciju  un krājumu vadību, ievērojami atvieglojot SPKC darbu.</w:t>
            </w:r>
          </w:p>
          <w:p w14:paraId="4C199937" w14:textId="77777777" w:rsidR="009501BC" w:rsidRPr="009501BC" w:rsidRDefault="009501BC" w:rsidP="009501BC">
            <w:pPr>
              <w:shd w:val="clear" w:color="auto" w:fill="FFFFFF"/>
              <w:jc w:val="both"/>
              <w:rPr>
                <w:rFonts w:ascii="Calibri" w:hAnsi="Calibri" w:cs="Calibri"/>
                <w:color w:val="000000" w:themeColor="text1"/>
              </w:rPr>
            </w:pPr>
            <w:r w:rsidRPr="009501BC">
              <w:rPr>
                <w:color w:val="000000" w:themeColor="text1"/>
                <w:bdr w:val="none" w:sz="0" w:space="0" w:color="auto" w:frame="1"/>
              </w:rPr>
              <w:t>          IT risinājums optimizēs procesus arī pašā vakcinācijas epizodē. Tas nodrošinās administratorus ar iepriekš sagatavotiem datiem un samazinās ievades operāciju skaitu līdz minimumam, kas nepieciešams, lai reģistrētu vakcinēšanas faktu.</w:t>
            </w:r>
          </w:p>
          <w:p w14:paraId="0D17C34D"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bdr w:val="none" w:sz="0" w:space="0" w:color="auto" w:frame="1"/>
              </w:rPr>
              <w:t>Sistēma sagatavos nepieciešamās atskaites, kā arī paredzēta datu apmaiņu ar ārstniecības iestāžu informācijas sistēmām (piemēram, vienotās rindas divvirzienu veidošanai, uzskaites dokumentu veidošanai u.c.) un e-veselības sistēmu, kā arī tiks nodrošināta masu apjoma datu ievade un izgūšana.</w:t>
            </w:r>
          </w:p>
          <w:p w14:paraId="63AC1F29"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bdr w:val="none" w:sz="0" w:space="0" w:color="auto" w:frame="1"/>
              </w:rPr>
              <w:t> </w:t>
            </w:r>
          </w:p>
          <w:p w14:paraId="5D345EF4"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u w:val="single"/>
                <w:bdr w:val="none" w:sz="0" w:space="0" w:color="auto" w:frame="1"/>
              </w:rPr>
              <w:t>IT risinājumu veido vakcinācijas procesa optimizēšanai</w:t>
            </w:r>
            <w:r w:rsidRPr="009501BC">
              <w:rPr>
                <w:color w:val="000000" w:themeColor="text1"/>
                <w:bdr w:val="none" w:sz="0" w:space="0" w:color="auto" w:frame="1"/>
              </w:rPr>
              <w:t>, nodrošinot vakcīnu pasūtīšanu atbilstoši plānotajam vakcinācijas apjomam katrā vakcinācijas vietā, ņemot vērā faktorus kā aktuālā rinda, paredzētais apjoms izbraukuma vakcinācijai un prognozējamais izlietojums ģimenes ārstu praksēs; t.sk. tiks optimizēts SPKC darbs, veicot vakcīnu pasūtījumu pārbaudes.</w:t>
            </w:r>
          </w:p>
          <w:p w14:paraId="3D2BA888"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u w:val="single"/>
                <w:bdr w:val="none" w:sz="0" w:space="0" w:color="auto" w:frame="1"/>
              </w:rPr>
              <w:t>Organizē iepriekšējo pieteikšanos, vakcinējamo sarakstu veidošanu un centralizēto vakcinējamo personu rindu vadību</w:t>
            </w:r>
            <w:r w:rsidRPr="009501BC">
              <w:rPr>
                <w:color w:val="000000" w:themeColor="text1"/>
                <w:bdr w:val="none" w:sz="0" w:space="0" w:color="auto" w:frame="1"/>
              </w:rPr>
              <w:t> minētā IT risinājuma ietvaros. Šī informācija ļaus savlaicīgi un precīzāk aplēst vakcinējamo skaitu katrā vakcinēšanas vietā katru dienu. Tādējādi būs iespējams savlaicīgi plānot piegādes (optimāli vakcīnu piegāžu plānošana jāuzsāk 5 dienas pirms piegādes vakcinācijas kabinetam).</w:t>
            </w:r>
          </w:p>
          <w:p w14:paraId="4EED46D7" w14:textId="77777777" w:rsidR="009501BC" w:rsidRPr="009501BC" w:rsidRDefault="009501BC" w:rsidP="009501BC">
            <w:pPr>
              <w:shd w:val="clear" w:color="auto" w:fill="FFFFFF"/>
              <w:ind w:firstLine="720"/>
              <w:jc w:val="both"/>
              <w:rPr>
                <w:rFonts w:ascii="Calibri" w:hAnsi="Calibri" w:cs="Calibri"/>
                <w:color w:val="000000" w:themeColor="text1"/>
              </w:rPr>
            </w:pPr>
            <w:r w:rsidRPr="009501BC">
              <w:rPr>
                <w:color w:val="000000" w:themeColor="text1"/>
                <w:u w:val="single"/>
                <w:bdr w:val="none" w:sz="0" w:space="0" w:color="auto" w:frame="1"/>
              </w:rPr>
              <w:t>Nosaka minimālo piegādes apjomu</w:t>
            </w:r>
            <w:r w:rsidRPr="009501BC">
              <w:rPr>
                <w:color w:val="000000" w:themeColor="text1"/>
                <w:bdr w:val="none" w:sz="0" w:space="0" w:color="auto" w:frame="1"/>
              </w:rPr>
              <w:t> katra veida vakcīnai atbilstoši vakcinācijas vietas tipam un kapacitātei.</w:t>
            </w:r>
          </w:p>
          <w:p w14:paraId="1F757AE9" w14:textId="77777777" w:rsidR="003F33C0" w:rsidRPr="00644E96" w:rsidRDefault="003F33C0" w:rsidP="003F33C0">
            <w:pPr>
              <w:jc w:val="both"/>
              <w:rPr>
                <w:color w:val="000000" w:themeColor="text1"/>
                <w:highlight w:val="green"/>
              </w:rPr>
            </w:pPr>
          </w:p>
          <w:p w14:paraId="2E067C7A" w14:textId="77777777" w:rsidR="009501BC" w:rsidRPr="009501BC" w:rsidRDefault="009501BC" w:rsidP="009501BC">
            <w:pPr>
              <w:shd w:val="clear" w:color="auto" w:fill="FFFFFF"/>
              <w:jc w:val="center"/>
              <w:rPr>
                <w:color w:val="000000" w:themeColor="text1"/>
                <w:bdr w:val="none" w:sz="0" w:space="0" w:color="auto" w:frame="1"/>
              </w:rPr>
            </w:pPr>
            <w:r w:rsidRPr="009501BC">
              <w:rPr>
                <w:color w:val="000000" w:themeColor="text1"/>
                <w:bdr w:val="none" w:sz="0" w:space="0" w:color="auto" w:frame="1"/>
              </w:rPr>
              <w:t>IT risinājuma atbalstītie vakcinācijas procesi</w:t>
            </w:r>
          </w:p>
          <w:p w14:paraId="062525DA" w14:textId="77777777" w:rsidR="009501BC" w:rsidRPr="00644E96" w:rsidRDefault="009501BC" w:rsidP="00D14916">
            <w:pPr>
              <w:ind w:firstLine="720"/>
              <w:jc w:val="both"/>
              <w:rPr>
                <w:color w:val="000000" w:themeColor="text1"/>
                <w:highlight w:val="green"/>
              </w:rPr>
            </w:pPr>
          </w:p>
          <w:p w14:paraId="0FBD3E70" w14:textId="27C294B3" w:rsidR="009501BC" w:rsidRPr="00644E96" w:rsidRDefault="00A51A55" w:rsidP="00A51A55">
            <w:pPr>
              <w:jc w:val="both"/>
              <w:rPr>
                <w:color w:val="000000" w:themeColor="text1"/>
                <w:highlight w:val="green"/>
              </w:rPr>
            </w:pPr>
            <w:r w:rsidRPr="00644E96">
              <w:rPr>
                <w:noProof/>
                <w:color w:val="000000" w:themeColor="text1"/>
              </w:rPr>
              <w:lastRenderedPageBreak/>
              <w:drawing>
                <wp:inline distT="0" distB="0" distL="0" distR="0" wp14:anchorId="6ECF4C99" wp14:editId="21BA84EB">
                  <wp:extent cx="4453255" cy="248793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3255" cy="2487930"/>
                          </a:xfrm>
                          <a:prstGeom prst="rect">
                            <a:avLst/>
                          </a:prstGeom>
                        </pic:spPr>
                      </pic:pic>
                    </a:graphicData>
                  </a:graphic>
                </wp:inline>
              </w:drawing>
            </w:r>
          </w:p>
          <w:p w14:paraId="792BF30B" w14:textId="77777777" w:rsidR="00075493" w:rsidRPr="00644E96" w:rsidRDefault="00075493" w:rsidP="00A51A55">
            <w:pPr>
              <w:keepLines/>
              <w:widowControl w:val="0"/>
              <w:ind w:right="140"/>
              <w:jc w:val="both"/>
              <w:rPr>
                <w:color w:val="000000" w:themeColor="text1"/>
              </w:rPr>
            </w:pPr>
          </w:p>
          <w:p w14:paraId="07057422" w14:textId="77777777" w:rsidR="00F009E8" w:rsidRDefault="00F009E8" w:rsidP="00F009E8">
            <w:pPr>
              <w:keepLines/>
              <w:widowControl w:val="0"/>
              <w:ind w:right="140"/>
              <w:jc w:val="both"/>
              <w:rPr>
                <w:color w:val="000000" w:themeColor="text1"/>
              </w:rPr>
            </w:pPr>
          </w:p>
          <w:p w14:paraId="456C7D41" w14:textId="1257B892" w:rsidR="00F009E8" w:rsidRPr="00F009E8" w:rsidRDefault="00F009E8" w:rsidP="00F009E8">
            <w:pPr>
              <w:keepLines/>
              <w:widowControl w:val="0"/>
              <w:ind w:right="140" w:firstLine="720"/>
              <w:jc w:val="both"/>
              <w:rPr>
                <w:color w:val="000000" w:themeColor="text1"/>
              </w:rPr>
            </w:pPr>
            <w:r w:rsidRPr="00F009E8">
              <w:rPr>
                <w:color w:val="000000" w:themeColor="text1"/>
              </w:rPr>
              <w:t>Ņemot vērā iepriekš minēto tika izveidota brīvprātīgo IT nozares ekspertu darba grupa, kura izstrādāja IT sistēmas prasības vakcinācijas procesa efektīvai pārvaldībai, savukārt VRAA sniedza atbalstu iestrādājot šīs prasības detalizētākās tehniskās specifikācijās. Balstoties uz šīm prasībām, tika veikta tirgus izpēte un sarunas ar potenciālajiem piegādātājiem.</w:t>
            </w:r>
          </w:p>
        </w:tc>
      </w:tr>
      <w:tr w:rsidR="00644E96" w:rsidRPr="00644E96" w14:paraId="6FB1B7D1" w14:textId="77777777" w:rsidTr="00935EB3">
        <w:tc>
          <w:tcPr>
            <w:tcW w:w="568" w:type="dxa"/>
          </w:tcPr>
          <w:p w14:paraId="2C423C26" w14:textId="77777777" w:rsidR="00130487" w:rsidRPr="00644E96" w:rsidRDefault="00130487" w:rsidP="00130487">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lastRenderedPageBreak/>
              <w:t>3.</w:t>
            </w:r>
          </w:p>
        </w:tc>
        <w:tc>
          <w:tcPr>
            <w:tcW w:w="1559" w:type="dxa"/>
          </w:tcPr>
          <w:p w14:paraId="040A3E06" w14:textId="77777777" w:rsidR="00130487" w:rsidRPr="00644E96" w:rsidRDefault="00130487" w:rsidP="00130487">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Projekta izstrādē iesaistītās institūcijas un publiskas personas kapitālsabiedrības</w:t>
            </w:r>
          </w:p>
        </w:tc>
        <w:tc>
          <w:tcPr>
            <w:tcW w:w="7229" w:type="dxa"/>
          </w:tcPr>
          <w:p w14:paraId="17FA12D8" w14:textId="0CFC0C36" w:rsidR="00130487" w:rsidRPr="00644E96" w:rsidRDefault="00FC7F88" w:rsidP="006335C0">
            <w:pPr>
              <w:pStyle w:val="NoSpacing"/>
              <w:jc w:val="both"/>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rPr>
              <w:t>Veselības ministrija</w:t>
            </w:r>
            <w:r w:rsidR="003E19F5" w:rsidRPr="00644E96">
              <w:rPr>
                <w:rFonts w:ascii="Times New Roman" w:hAnsi="Times New Roman" w:cs="Times New Roman"/>
                <w:color w:val="000000" w:themeColor="text1"/>
                <w:sz w:val="24"/>
                <w:szCs w:val="24"/>
              </w:rPr>
              <w:t xml:space="preserve"> un </w:t>
            </w:r>
            <w:r w:rsidR="007017AB" w:rsidRPr="00644E96">
              <w:rPr>
                <w:rFonts w:ascii="Times New Roman" w:hAnsi="Times New Roman" w:cs="Times New Roman"/>
                <w:color w:val="000000" w:themeColor="text1"/>
                <w:sz w:val="24"/>
                <w:szCs w:val="24"/>
              </w:rPr>
              <w:t>Nacionālajam veselības dienests</w:t>
            </w:r>
          </w:p>
        </w:tc>
      </w:tr>
      <w:tr w:rsidR="00644E96" w:rsidRPr="00644E96" w14:paraId="6B98C677" w14:textId="77777777" w:rsidTr="00935EB3">
        <w:tc>
          <w:tcPr>
            <w:tcW w:w="568" w:type="dxa"/>
          </w:tcPr>
          <w:p w14:paraId="0FE5B47B" w14:textId="77777777" w:rsidR="00130487" w:rsidRPr="00644E96" w:rsidRDefault="00130487" w:rsidP="00130487">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4.</w:t>
            </w:r>
          </w:p>
        </w:tc>
        <w:tc>
          <w:tcPr>
            <w:tcW w:w="1559" w:type="dxa"/>
          </w:tcPr>
          <w:p w14:paraId="7A49875B" w14:textId="77777777" w:rsidR="00130487" w:rsidRPr="00644E96" w:rsidRDefault="00130487" w:rsidP="00130487">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Cita informācija</w:t>
            </w:r>
          </w:p>
        </w:tc>
        <w:tc>
          <w:tcPr>
            <w:tcW w:w="7229" w:type="dxa"/>
          </w:tcPr>
          <w:p w14:paraId="71DAA27F" w14:textId="77777777" w:rsidR="00130487" w:rsidRPr="00644E96" w:rsidRDefault="006335C0" w:rsidP="006335C0">
            <w:pPr>
              <w:pStyle w:val="NoSpacing"/>
              <w:jc w:val="both"/>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Nav</w:t>
            </w:r>
          </w:p>
        </w:tc>
      </w:tr>
    </w:tbl>
    <w:p w14:paraId="5F02A576" w14:textId="77777777" w:rsidR="00EC6E12" w:rsidRPr="00644E96" w:rsidRDefault="00EC6E12" w:rsidP="00EC6E12">
      <w:pPr>
        <w:pStyle w:val="NoSpacing"/>
        <w:jc w:val="center"/>
        <w:rPr>
          <w:rFonts w:ascii="Times New Roman" w:hAnsi="Times New Roman" w:cs="Times New Roman"/>
          <w:color w:val="000000" w:themeColor="text1"/>
          <w:sz w:val="24"/>
          <w:szCs w:val="24"/>
          <w:lang w:eastAsia="lv-LV"/>
        </w:rPr>
      </w:pPr>
    </w:p>
    <w:tbl>
      <w:tblPr>
        <w:tblStyle w:val="TableGrid"/>
        <w:tblW w:w="9356" w:type="dxa"/>
        <w:tblInd w:w="-147" w:type="dxa"/>
        <w:tblLook w:val="04A0" w:firstRow="1" w:lastRow="0" w:firstColumn="1" w:lastColumn="0" w:noHBand="0" w:noVBand="1"/>
      </w:tblPr>
      <w:tblGrid>
        <w:gridCol w:w="9356"/>
      </w:tblGrid>
      <w:tr w:rsidR="00644E96" w:rsidRPr="00644E96" w14:paraId="26175DA2" w14:textId="77777777" w:rsidTr="006936E5">
        <w:tc>
          <w:tcPr>
            <w:tcW w:w="9356" w:type="dxa"/>
          </w:tcPr>
          <w:p w14:paraId="03927ECE" w14:textId="77777777" w:rsidR="00EC6E12" w:rsidRPr="00644E96" w:rsidRDefault="00842AD1" w:rsidP="003903BF">
            <w:pPr>
              <w:pStyle w:val="NoSpacing"/>
              <w:jc w:val="center"/>
              <w:rPr>
                <w:rFonts w:ascii="Times New Roman" w:hAnsi="Times New Roman" w:cs="Times New Roman"/>
                <w:b/>
                <w:color w:val="000000" w:themeColor="text1"/>
                <w:sz w:val="24"/>
                <w:szCs w:val="24"/>
                <w:lang w:eastAsia="lv-LV"/>
              </w:rPr>
            </w:pPr>
            <w:r w:rsidRPr="00644E96">
              <w:rPr>
                <w:rFonts w:ascii="Times New Roman" w:hAnsi="Times New Roman" w:cs="Times New Roman"/>
                <w:b/>
                <w:iCs/>
                <w:color w:val="000000" w:themeColor="text1"/>
                <w:sz w:val="24"/>
                <w:szCs w:val="24"/>
                <w:lang w:eastAsia="lv-LV"/>
              </w:rPr>
              <w:t>II. Tiesību akta projekta ietekme uz sabiedrību, tautsaimniecības attīstību un administratīvo slogu</w:t>
            </w:r>
          </w:p>
        </w:tc>
      </w:tr>
      <w:tr w:rsidR="00644E96" w:rsidRPr="00644E96" w14:paraId="039351ED" w14:textId="77777777" w:rsidTr="006936E5">
        <w:tc>
          <w:tcPr>
            <w:tcW w:w="9356" w:type="dxa"/>
          </w:tcPr>
          <w:p w14:paraId="696FDD8D" w14:textId="77777777" w:rsidR="00155578" w:rsidRPr="00644E96" w:rsidRDefault="00155578" w:rsidP="003903BF">
            <w:pPr>
              <w:pStyle w:val="NoSpacing"/>
              <w:jc w:val="center"/>
              <w:rPr>
                <w:rFonts w:ascii="Times New Roman" w:hAnsi="Times New Roman" w:cs="Times New Roman"/>
                <w:b/>
                <w:iCs/>
                <w:color w:val="000000" w:themeColor="text1"/>
                <w:sz w:val="24"/>
                <w:szCs w:val="24"/>
                <w:lang w:eastAsia="lv-LV"/>
              </w:rPr>
            </w:pPr>
            <w:r w:rsidRPr="00644E96">
              <w:rPr>
                <w:rFonts w:ascii="Times New Roman" w:hAnsi="Times New Roman" w:cs="Times New Roman"/>
                <w:color w:val="000000" w:themeColor="text1"/>
                <w:sz w:val="24"/>
                <w:szCs w:val="24"/>
              </w:rPr>
              <w:t>Projekts šo jomu neskar</w:t>
            </w:r>
          </w:p>
        </w:tc>
      </w:tr>
    </w:tbl>
    <w:p w14:paraId="45BAB38F" w14:textId="77777777" w:rsidR="00842AD1" w:rsidRPr="00644E96" w:rsidRDefault="00E5323B" w:rsidP="00EC6E12">
      <w:pPr>
        <w:pStyle w:val="NoSpacing"/>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142"/>
        <w:gridCol w:w="992"/>
        <w:gridCol w:w="1134"/>
        <w:gridCol w:w="992"/>
        <w:gridCol w:w="1134"/>
      </w:tblGrid>
      <w:tr w:rsidR="00644E96" w:rsidRPr="00644E96" w14:paraId="3090056D" w14:textId="77777777" w:rsidTr="006936E5">
        <w:tc>
          <w:tcPr>
            <w:tcW w:w="9356" w:type="dxa"/>
            <w:gridSpan w:val="8"/>
          </w:tcPr>
          <w:p w14:paraId="26875336" w14:textId="77777777" w:rsidR="00842AD1" w:rsidRPr="00644E96" w:rsidRDefault="00842AD1" w:rsidP="00842AD1">
            <w:pPr>
              <w:pStyle w:val="NoSpacing"/>
              <w:jc w:val="center"/>
              <w:rPr>
                <w:rFonts w:ascii="Times New Roman" w:hAnsi="Times New Roman" w:cs="Times New Roman"/>
                <w:b/>
                <w:iCs/>
                <w:color w:val="000000" w:themeColor="text1"/>
                <w:sz w:val="24"/>
                <w:szCs w:val="24"/>
                <w:lang w:eastAsia="lv-LV"/>
              </w:rPr>
            </w:pPr>
            <w:r w:rsidRPr="00644E96">
              <w:rPr>
                <w:rFonts w:ascii="Times New Roman" w:hAnsi="Times New Roman" w:cs="Times New Roman"/>
                <w:b/>
                <w:iCs/>
                <w:color w:val="000000" w:themeColor="text1"/>
                <w:sz w:val="24"/>
                <w:szCs w:val="24"/>
                <w:lang w:eastAsia="lv-LV"/>
              </w:rPr>
              <w:t>III. Tiesību akta projekta ietekme uz valsts budžetu un pašvaldību budžetiem</w:t>
            </w:r>
          </w:p>
        </w:tc>
      </w:tr>
      <w:tr w:rsidR="00644E96" w:rsidRPr="00644E96" w14:paraId="6D59A9A4" w14:textId="77777777" w:rsidTr="00AD2450">
        <w:tc>
          <w:tcPr>
            <w:tcW w:w="1560" w:type="dxa"/>
            <w:vMerge w:val="restart"/>
          </w:tcPr>
          <w:p w14:paraId="202CF307" w14:textId="77777777" w:rsidR="00842AD1" w:rsidRPr="00644E96" w:rsidRDefault="00842AD1" w:rsidP="00EC6E12">
            <w:pPr>
              <w:pStyle w:val="NoSpacing"/>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Rādītāji</w:t>
            </w:r>
          </w:p>
        </w:tc>
        <w:tc>
          <w:tcPr>
            <w:tcW w:w="2402" w:type="dxa"/>
            <w:gridSpan w:val="2"/>
            <w:vMerge w:val="restart"/>
          </w:tcPr>
          <w:p w14:paraId="77741181" w14:textId="77777777" w:rsidR="00842AD1" w:rsidRPr="00644E96" w:rsidRDefault="00037CA6" w:rsidP="00F009E8">
            <w:pPr>
              <w:pStyle w:val="NoSpacing"/>
              <w:jc w:val="center"/>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20</w:t>
            </w:r>
            <w:r w:rsidR="00335899" w:rsidRPr="00644E96">
              <w:rPr>
                <w:rFonts w:ascii="Times New Roman" w:hAnsi="Times New Roman" w:cs="Times New Roman"/>
                <w:iCs/>
                <w:color w:val="000000" w:themeColor="text1"/>
                <w:sz w:val="24"/>
                <w:szCs w:val="24"/>
                <w:lang w:eastAsia="lv-LV"/>
              </w:rPr>
              <w:t>2</w:t>
            </w:r>
            <w:r w:rsidR="00AF69C9" w:rsidRPr="00644E96">
              <w:rPr>
                <w:rFonts w:ascii="Times New Roman" w:hAnsi="Times New Roman" w:cs="Times New Roman"/>
                <w:iCs/>
                <w:color w:val="000000" w:themeColor="text1"/>
                <w:sz w:val="24"/>
                <w:szCs w:val="24"/>
                <w:lang w:eastAsia="lv-LV"/>
              </w:rPr>
              <w:t>1</w:t>
            </w:r>
            <w:r w:rsidRPr="00644E96">
              <w:rPr>
                <w:rFonts w:ascii="Times New Roman" w:hAnsi="Times New Roman" w:cs="Times New Roman"/>
                <w:iCs/>
                <w:color w:val="000000" w:themeColor="text1"/>
                <w:sz w:val="24"/>
                <w:szCs w:val="24"/>
                <w:lang w:eastAsia="lv-LV"/>
              </w:rPr>
              <w:t>. gads</w:t>
            </w:r>
          </w:p>
        </w:tc>
        <w:tc>
          <w:tcPr>
            <w:tcW w:w="5394" w:type="dxa"/>
            <w:gridSpan w:val="5"/>
          </w:tcPr>
          <w:p w14:paraId="3AD08A62" w14:textId="77777777" w:rsidR="00842AD1" w:rsidRPr="00644E96" w:rsidRDefault="00842AD1" w:rsidP="00F009E8">
            <w:pPr>
              <w:pStyle w:val="NoSpacing"/>
              <w:jc w:val="center"/>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Turpmākie trīs gadi (</w:t>
            </w:r>
            <w:r w:rsidRPr="00644E96">
              <w:rPr>
                <w:rFonts w:ascii="Times New Roman" w:hAnsi="Times New Roman" w:cs="Times New Roman"/>
                <w:i/>
                <w:iCs/>
                <w:color w:val="000000" w:themeColor="text1"/>
                <w:sz w:val="24"/>
                <w:szCs w:val="24"/>
                <w:lang w:eastAsia="lv-LV"/>
              </w:rPr>
              <w:t>euro</w:t>
            </w:r>
            <w:r w:rsidRPr="00644E96">
              <w:rPr>
                <w:rFonts w:ascii="Times New Roman" w:hAnsi="Times New Roman" w:cs="Times New Roman"/>
                <w:iCs/>
                <w:color w:val="000000" w:themeColor="text1"/>
                <w:sz w:val="24"/>
                <w:szCs w:val="24"/>
                <w:lang w:eastAsia="lv-LV"/>
              </w:rPr>
              <w:t>)</w:t>
            </w:r>
          </w:p>
        </w:tc>
      </w:tr>
      <w:tr w:rsidR="00644E96" w:rsidRPr="00644E96" w14:paraId="55E54150" w14:textId="77777777" w:rsidTr="0018061C">
        <w:tc>
          <w:tcPr>
            <w:tcW w:w="1560" w:type="dxa"/>
            <w:vMerge/>
          </w:tcPr>
          <w:p w14:paraId="23CDE2D4" w14:textId="77777777" w:rsidR="00842AD1" w:rsidRPr="00644E96" w:rsidRDefault="00842AD1" w:rsidP="00EC6E12">
            <w:pPr>
              <w:pStyle w:val="NoSpacing"/>
              <w:rPr>
                <w:rFonts w:ascii="Times New Roman" w:hAnsi="Times New Roman" w:cs="Times New Roman"/>
                <w:iCs/>
                <w:color w:val="000000" w:themeColor="text1"/>
                <w:sz w:val="24"/>
                <w:szCs w:val="24"/>
                <w:lang w:eastAsia="lv-LV"/>
              </w:rPr>
            </w:pPr>
          </w:p>
        </w:tc>
        <w:tc>
          <w:tcPr>
            <w:tcW w:w="2402" w:type="dxa"/>
            <w:gridSpan w:val="2"/>
            <w:vMerge/>
          </w:tcPr>
          <w:p w14:paraId="2C83A85F" w14:textId="77777777" w:rsidR="00842AD1" w:rsidRPr="00644E96" w:rsidRDefault="00842AD1" w:rsidP="00F009E8">
            <w:pPr>
              <w:pStyle w:val="NoSpacing"/>
              <w:jc w:val="center"/>
              <w:rPr>
                <w:rFonts w:ascii="Times New Roman" w:hAnsi="Times New Roman" w:cs="Times New Roman"/>
                <w:iCs/>
                <w:color w:val="000000" w:themeColor="text1"/>
                <w:sz w:val="24"/>
                <w:szCs w:val="24"/>
                <w:lang w:eastAsia="lv-LV"/>
              </w:rPr>
            </w:pPr>
          </w:p>
        </w:tc>
        <w:tc>
          <w:tcPr>
            <w:tcW w:w="2134" w:type="dxa"/>
            <w:gridSpan w:val="2"/>
          </w:tcPr>
          <w:p w14:paraId="51DF17AE" w14:textId="77777777" w:rsidR="00842AD1" w:rsidRPr="00644E96" w:rsidRDefault="00037CA6" w:rsidP="00F009E8">
            <w:pPr>
              <w:pStyle w:val="NoSpacing"/>
              <w:jc w:val="center"/>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20</w:t>
            </w:r>
            <w:r w:rsidR="006C12A6" w:rsidRPr="00644E96">
              <w:rPr>
                <w:rFonts w:ascii="Times New Roman" w:hAnsi="Times New Roman" w:cs="Times New Roman"/>
                <w:iCs/>
                <w:color w:val="000000" w:themeColor="text1"/>
                <w:sz w:val="24"/>
                <w:szCs w:val="24"/>
                <w:lang w:eastAsia="lv-LV"/>
              </w:rPr>
              <w:t>2</w:t>
            </w:r>
            <w:r w:rsidR="00AF69C9" w:rsidRPr="00644E96">
              <w:rPr>
                <w:rFonts w:ascii="Times New Roman" w:hAnsi="Times New Roman" w:cs="Times New Roman"/>
                <w:iCs/>
                <w:color w:val="000000" w:themeColor="text1"/>
                <w:sz w:val="24"/>
                <w:szCs w:val="24"/>
                <w:lang w:eastAsia="lv-LV"/>
              </w:rPr>
              <w:t>2</w:t>
            </w:r>
            <w:r w:rsidRPr="00644E96">
              <w:rPr>
                <w:rFonts w:ascii="Times New Roman" w:hAnsi="Times New Roman" w:cs="Times New Roman"/>
                <w:iCs/>
                <w:color w:val="000000" w:themeColor="text1"/>
                <w:sz w:val="24"/>
                <w:szCs w:val="24"/>
                <w:lang w:eastAsia="lv-LV"/>
              </w:rPr>
              <w:t>. gads</w:t>
            </w:r>
          </w:p>
        </w:tc>
        <w:tc>
          <w:tcPr>
            <w:tcW w:w="2126" w:type="dxa"/>
            <w:gridSpan w:val="2"/>
          </w:tcPr>
          <w:p w14:paraId="769C5FE0" w14:textId="77777777" w:rsidR="00842AD1" w:rsidRPr="00644E96" w:rsidRDefault="00037CA6" w:rsidP="00F009E8">
            <w:pPr>
              <w:pStyle w:val="NoSpacing"/>
              <w:jc w:val="center"/>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202</w:t>
            </w:r>
            <w:r w:rsidR="00AF69C9" w:rsidRPr="00644E96">
              <w:rPr>
                <w:rFonts w:ascii="Times New Roman" w:hAnsi="Times New Roman" w:cs="Times New Roman"/>
                <w:iCs/>
                <w:color w:val="000000" w:themeColor="text1"/>
                <w:sz w:val="24"/>
                <w:szCs w:val="24"/>
                <w:lang w:eastAsia="lv-LV"/>
              </w:rPr>
              <w:t>3</w:t>
            </w:r>
            <w:r w:rsidRPr="00644E96">
              <w:rPr>
                <w:rFonts w:ascii="Times New Roman" w:hAnsi="Times New Roman" w:cs="Times New Roman"/>
                <w:iCs/>
                <w:color w:val="000000" w:themeColor="text1"/>
                <w:sz w:val="24"/>
                <w:szCs w:val="24"/>
                <w:lang w:eastAsia="lv-LV"/>
              </w:rPr>
              <w:t>. gads</w:t>
            </w:r>
          </w:p>
        </w:tc>
        <w:tc>
          <w:tcPr>
            <w:tcW w:w="1134" w:type="dxa"/>
          </w:tcPr>
          <w:p w14:paraId="68170344" w14:textId="77777777" w:rsidR="00842AD1" w:rsidRPr="00644E96" w:rsidRDefault="00037CA6" w:rsidP="00F009E8">
            <w:pPr>
              <w:pStyle w:val="NoSpacing"/>
              <w:jc w:val="center"/>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202</w:t>
            </w:r>
            <w:r w:rsidR="00AF69C9" w:rsidRPr="00644E96">
              <w:rPr>
                <w:rFonts w:ascii="Times New Roman" w:hAnsi="Times New Roman" w:cs="Times New Roman"/>
                <w:iCs/>
                <w:color w:val="000000" w:themeColor="text1"/>
                <w:sz w:val="24"/>
                <w:szCs w:val="24"/>
                <w:lang w:eastAsia="lv-LV"/>
              </w:rPr>
              <w:t>4</w:t>
            </w:r>
            <w:r w:rsidRPr="00644E96">
              <w:rPr>
                <w:rFonts w:ascii="Times New Roman" w:hAnsi="Times New Roman" w:cs="Times New Roman"/>
                <w:iCs/>
                <w:color w:val="000000" w:themeColor="text1"/>
                <w:sz w:val="24"/>
                <w:szCs w:val="24"/>
                <w:lang w:eastAsia="lv-LV"/>
              </w:rPr>
              <w:t>. gads</w:t>
            </w:r>
          </w:p>
        </w:tc>
      </w:tr>
      <w:tr w:rsidR="00644E96" w:rsidRPr="00644E96" w14:paraId="49BB9104" w14:textId="77777777" w:rsidTr="0018061C">
        <w:tc>
          <w:tcPr>
            <w:tcW w:w="1560" w:type="dxa"/>
            <w:vMerge/>
          </w:tcPr>
          <w:p w14:paraId="57076C55" w14:textId="77777777" w:rsidR="00842AD1" w:rsidRPr="00644E96" w:rsidRDefault="00842AD1" w:rsidP="00EC6E12">
            <w:pPr>
              <w:pStyle w:val="NoSpacing"/>
              <w:rPr>
                <w:rFonts w:ascii="Times New Roman" w:hAnsi="Times New Roman" w:cs="Times New Roman"/>
                <w:iCs/>
                <w:color w:val="000000" w:themeColor="text1"/>
                <w:sz w:val="24"/>
                <w:szCs w:val="24"/>
                <w:lang w:eastAsia="lv-LV"/>
              </w:rPr>
            </w:pPr>
          </w:p>
        </w:tc>
        <w:tc>
          <w:tcPr>
            <w:tcW w:w="1134" w:type="dxa"/>
          </w:tcPr>
          <w:p w14:paraId="52D3E3A7" w14:textId="77777777" w:rsidR="00842AD1"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saskaņā ar valsts budžetu kārtējam gadam</w:t>
            </w:r>
          </w:p>
        </w:tc>
        <w:tc>
          <w:tcPr>
            <w:tcW w:w="1268" w:type="dxa"/>
          </w:tcPr>
          <w:p w14:paraId="25D1514A" w14:textId="77777777" w:rsidR="00842AD1"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izmaiņas kārtējā gadā, salīdzinot ar valsts budžetu kārtējam gadam</w:t>
            </w:r>
          </w:p>
        </w:tc>
        <w:tc>
          <w:tcPr>
            <w:tcW w:w="1142" w:type="dxa"/>
          </w:tcPr>
          <w:p w14:paraId="6A2852A1" w14:textId="77777777" w:rsidR="00842AD1"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saskaņā ar vidēja termiņa budžeta ietvaru</w:t>
            </w:r>
          </w:p>
        </w:tc>
        <w:tc>
          <w:tcPr>
            <w:tcW w:w="992" w:type="dxa"/>
          </w:tcPr>
          <w:p w14:paraId="27F6E705" w14:textId="77777777" w:rsidR="006E71F7"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izmaiņas, salīdzi</w:t>
            </w:r>
            <w:r w:rsidR="006E71F7" w:rsidRPr="00644E96">
              <w:rPr>
                <w:rFonts w:ascii="Times New Roman" w:hAnsi="Times New Roman" w:cs="Times New Roman"/>
                <w:iCs/>
                <w:color w:val="000000" w:themeColor="text1"/>
                <w:sz w:val="24"/>
                <w:szCs w:val="24"/>
                <w:lang w:eastAsia="lv-LV"/>
              </w:rPr>
              <w:t>-</w:t>
            </w:r>
          </w:p>
          <w:p w14:paraId="4609804F" w14:textId="77777777" w:rsidR="00842AD1" w:rsidRPr="00644E96" w:rsidRDefault="00842AD1" w:rsidP="00037CA6">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 xml:space="preserve">not ar vidēja termiņa budžeta ietvaru </w:t>
            </w:r>
            <w:r w:rsidR="00037CA6" w:rsidRPr="00644E96">
              <w:rPr>
                <w:rFonts w:ascii="Times New Roman" w:hAnsi="Times New Roman" w:cs="Times New Roman"/>
                <w:iCs/>
                <w:color w:val="000000" w:themeColor="text1"/>
                <w:sz w:val="24"/>
                <w:szCs w:val="24"/>
                <w:lang w:eastAsia="lv-LV"/>
              </w:rPr>
              <w:t>20</w:t>
            </w:r>
            <w:r w:rsidR="00335899" w:rsidRPr="00644E96">
              <w:rPr>
                <w:rFonts w:ascii="Times New Roman" w:hAnsi="Times New Roman" w:cs="Times New Roman"/>
                <w:iCs/>
                <w:color w:val="000000" w:themeColor="text1"/>
                <w:sz w:val="24"/>
                <w:szCs w:val="24"/>
                <w:lang w:eastAsia="lv-LV"/>
              </w:rPr>
              <w:t>2</w:t>
            </w:r>
            <w:r w:rsidR="00AF69C9" w:rsidRPr="00644E96">
              <w:rPr>
                <w:rFonts w:ascii="Times New Roman" w:hAnsi="Times New Roman" w:cs="Times New Roman"/>
                <w:iCs/>
                <w:color w:val="000000" w:themeColor="text1"/>
                <w:sz w:val="24"/>
                <w:szCs w:val="24"/>
                <w:lang w:eastAsia="lv-LV"/>
              </w:rPr>
              <w:t>2</w:t>
            </w:r>
            <w:r w:rsidR="00037CA6" w:rsidRPr="00644E96">
              <w:rPr>
                <w:rFonts w:ascii="Times New Roman" w:hAnsi="Times New Roman" w:cs="Times New Roman"/>
                <w:iCs/>
                <w:color w:val="000000" w:themeColor="text1"/>
                <w:sz w:val="24"/>
                <w:szCs w:val="24"/>
                <w:lang w:eastAsia="lv-LV"/>
              </w:rPr>
              <w:t>.</w:t>
            </w:r>
            <w:r w:rsidRPr="00644E96">
              <w:rPr>
                <w:rFonts w:ascii="Times New Roman" w:hAnsi="Times New Roman" w:cs="Times New Roman"/>
                <w:iCs/>
                <w:color w:val="000000" w:themeColor="text1"/>
                <w:sz w:val="24"/>
                <w:szCs w:val="24"/>
                <w:lang w:eastAsia="lv-LV"/>
              </w:rPr>
              <w:t xml:space="preserve"> gadam</w:t>
            </w:r>
          </w:p>
        </w:tc>
        <w:tc>
          <w:tcPr>
            <w:tcW w:w="1134" w:type="dxa"/>
          </w:tcPr>
          <w:p w14:paraId="758C3A33" w14:textId="77777777" w:rsidR="00842AD1"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saskaņā ar vidēja termiņa budžeta ietvaru</w:t>
            </w:r>
          </w:p>
        </w:tc>
        <w:tc>
          <w:tcPr>
            <w:tcW w:w="992" w:type="dxa"/>
          </w:tcPr>
          <w:p w14:paraId="1FA1BF20" w14:textId="77777777" w:rsidR="00037CA6" w:rsidRPr="00644E96" w:rsidRDefault="0004685C"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i</w:t>
            </w:r>
            <w:r w:rsidR="00842AD1" w:rsidRPr="00644E96">
              <w:rPr>
                <w:rFonts w:ascii="Times New Roman" w:hAnsi="Times New Roman" w:cs="Times New Roman"/>
                <w:iCs/>
                <w:color w:val="000000" w:themeColor="text1"/>
                <w:sz w:val="24"/>
                <w:szCs w:val="24"/>
                <w:lang w:eastAsia="lv-LV"/>
              </w:rPr>
              <w:t>zmai</w:t>
            </w:r>
            <w:r w:rsidR="00037CA6" w:rsidRPr="00644E96">
              <w:rPr>
                <w:rFonts w:ascii="Times New Roman" w:hAnsi="Times New Roman" w:cs="Times New Roman"/>
                <w:iCs/>
                <w:color w:val="000000" w:themeColor="text1"/>
                <w:sz w:val="24"/>
                <w:szCs w:val="24"/>
                <w:lang w:eastAsia="lv-LV"/>
              </w:rPr>
              <w:t>-</w:t>
            </w:r>
          </w:p>
          <w:p w14:paraId="1B2DE733" w14:textId="77777777" w:rsidR="006E71F7"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ņas, salīdzi</w:t>
            </w:r>
            <w:r w:rsidR="006E71F7" w:rsidRPr="00644E96">
              <w:rPr>
                <w:rFonts w:ascii="Times New Roman" w:hAnsi="Times New Roman" w:cs="Times New Roman"/>
                <w:iCs/>
                <w:color w:val="000000" w:themeColor="text1"/>
                <w:sz w:val="24"/>
                <w:szCs w:val="24"/>
                <w:lang w:eastAsia="lv-LV"/>
              </w:rPr>
              <w:t>-</w:t>
            </w:r>
          </w:p>
          <w:p w14:paraId="4B0B4853" w14:textId="77777777" w:rsidR="00842AD1" w:rsidRPr="00644E96" w:rsidRDefault="00842AD1" w:rsidP="00037CA6">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 xml:space="preserve">not ar vidēja termiņa budžeta ietvaru </w:t>
            </w:r>
            <w:r w:rsidR="00037CA6" w:rsidRPr="00644E96">
              <w:rPr>
                <w:rFonts w:ascii="Times New Roman" w:hAnsi="Times New Roman" w:cs="Times New Roman"/>
                <w:iCs/>
                <w:color w:val="000000" w:themeColor="text1"/>
                <w:sz w:val="24"/>
                <w:szCs w:val="24"/>
                <w:lang w:eastAsia="lv-LV"/>
              </w:rPr>
              <w:t>202</w:t>
            </w:r>
            <w:r w:rsidR="00AF69C9" w:rsidRPr="00644E96">
              <w:rPr>
                <w:rFonts w:ascii="Times New Roman" w:hAnsi="Times New Roman" w:cs="Times New Roman"/>
                <w:iCs/>
                <w:color w:val="000000" w:themeColor="text1"/>
                <w:sz w:val="24"/>
                <w:szCs w:val="24"/>
                <w:lang w:eastAsia="lv-LV"/>
              </w:rPr>
              <w:t>3</w:t>
            </w:r>
            <w:r w:rsidR="00037CA6" w:rsidRPr="00644E96">
              <w:rPr>
                <w:rFonts w:ascii="Times New Roman" w:hAnsi="Times New Roman" w:cs="Times New Roman"/>
                <w:iCs/>
                <w:color w:val="000000" w:themeColor="text1"/>
                <w:sz w:val="24"/>
                <w:szCs w:val="24"/>
                <w:lang w:eastAsia="lv-LV"/>
              </w:rPr>
              <w:t>.</w:t>
            </w:r>
            <w:r w:rsidRPr="00644E96">
              <w:rPr>
                <w:rFonts w:ascii="Times New Roman" w:hAnsi="Times New Roman" w:cs="Times New Roman"/>
                <w:iCs/>
                <w:color w:val="000000" w:themeColor="text1"/>
                <w:sz w:val="24"/>
                <w:szCs w:val="24"/>
                <w:lang w:eastAsia="lv-LV"/>
              </w:rPr>
              <w:t xml:space="preserve"> gadam</w:t>
            </w:r>
          </w:p>
        </w:tc>
        <w:tc>
          <w:tcPr>
            <w:tcW w:w="1134" w:type="dxa"/>
          </w:tcPr>
          <w:p w14:paraId="0AE265DB" w14:textId="77777777" w:rsidR="006E71F7" w:rsidRPr="00644E96" w:rsidRDefault="00842AD1" w:rsidP="00842AD1">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izmaiņas, salīdzi</w:t>
            </w:r>
            <w:r w:rsidR="006E71F7" w:rsidRPr="00644E96">
              <w:rPr>
                <w:rFonts w:ascii="Times New Roman" w:hAnsi="Times New Roman" w:cs="Times New Roman"/>
                <w:iCs/>
                <w:color w:val="000000" w:themeColor="text1"/>
                <w:sz w:val="24"/>
                <w:szCs w:val="24"/>
                <w:lang w:eastAsia="lv-LV"/>
              </w:rPr>
              <w:t>-</w:t>
            </w:r>
          </w:p>
          <w:p w14:paraId="2A6A43E6" w14:textId="77777777" w:rsidR="00842AD1" w:rsidRPr="00644E96" w:rsidRDefault="00842AD1" w:rsidP="00037CA6">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 xml:space="preserve">not ar vidēja termiņa budžeta ietvaru </w:t>
            </w:r>
            <w:r w:rsidR="00037CA6" w:rsidRPr="00644E96">
              <w:rPr>
                <w:rFonts w:ascii="Times New Roman" w:hAnsi="Times New Roman" w:cs="Times New Roman"/>
                <w:iCs/>
                <w:color w:val="000000" w:themeColor="text1"/>
                <w:sz w:val="24"/>
                <w:szCs w:val="24"/>
                <w:lang w:eastAsia="lv-LV"/>
              </w:rPr>
              <w:t>202</w:t>
            </w:r>
            <w:r w:rsidR="00AF69C9" w:rsidRPr="00644E96">
              <w:rPr>
                <w:rFonts w:ascii="Times New Roman" w:hAnsi="Times New Roman" w:cs="Times New Roman"/>
                <w:iCs/>
                <w:color w:val="000000" w:themeColor="text1"/>
                <w:sz w:val="24"/>
                <w:szCs w:val="24"/>
                <w:lang w:eastAsia="lv-LV"/>
              </w:rPr>
              <w:t>3</w:t>
            </w:r>
            <w:r w:rsidR="00037CA6" w:rsidRPr="00644E96">
              <w:rPr>
                <w:rFonts w:ascii="Times New Roman" w:hAnsi="Times New Roman" w:cs="Times New Roman"/>
                <w:iCs/>
                <w:color w:val="000000" w:themeColor="text1"/>
                <w:sz w:val="24"/>
                <w:szCs w:val="24"/>
                <w:lang w:eastAsia="lv-LV"/>
              </w:rPr>
              <w:t>.</w:t>
            </w:r>
            <w:r w:rsidRPr="00644E96">
              <w:rPr>
                <w:rFonts w:ascii="Times New Roman" w:hAnsi="Times New Roman" w:cs="Times New Roman"/>
                <w:iCs/>
                <w:color w:val="000000" w:themeColor="text1"/>
                <w:sz w:val="24"/>
                <w:szCs w:val="24"/>
                <w:lang w:eastAsia="lv-LV"/>
              </w:rPr>
              <w:t xml:space="preserve"> gadam</w:t>
            </w:r>
          </w:p>
        </w:tc>
      </w:tr>
      <w:tr w:rsidR="00644E96" w:rsidRPr="00644E96" w14:paraId="7289F211" w14:textId="77777777" w:rsidTr="0018061C">
        <w:tc>
          <w:tcPr>
            <w:tcW w:w="1560" w:type="dxa"/>
            <w:vAlign w:val="center"/>
          </w:tcPr>
          <w:p w14:paraId="3BB724B7"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lastRenderedPageBreak/>
              <w:t>1</w:t>
            </w:r>
          </w:p>
        </w:tc>
        <w:tc>
          <w:tcPr>
            <w:tcW w:w="1134" w:type="dxa"/>
            <w:vAlign w:val="center"/>
          </w:tcPr>
          <w:p w14:paraId="7C084749"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2</w:t>
            </w:r>
          </w:p>
        </w:tc>
        <w:tc>
          <w:tcPr>
            <w:tcW w:w="1268" w:type="dxa"/>
            <w:vAlign w:val="center"/>
          </w:tcPr>
          <w:p w14:paraId="64A3AE4F"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3</w:t>
            </w:r>
          </w:p>
        </w:tc>
        <w:tc>
          <w:tcPr>
            <w:tcW w:w="1142" w:type="dxa"/>
            <w:vAlign w:val="center"/>
          </w:tcPr>
          <w:p w14:paraId="7662F106"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4</w:t>
            </w:r>
          </w:p>
        </w:tc>
        <w:tc>
          <w:tcPr>
            <w:tcW w:w="992" w:type="dxa"/>
            <w:vAlign w:val="center"/>
          </w:tcPr>
          <w:p w14:paraId="4CC57BB3"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5</w:t>
            </w:r>
          </w:p>
        </w:tc>
        <w:tc>
          <w:tcPr>
            <w:tcW w:w="1134" w:type="dxa"/>
            <w:vAlign w:val="center"/>
          </w:tcPr>
          <w:p w14:paraId="4F275A11"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6</w:t>
            </w:r>
          </w:p>
        </w:tc>
        <w:tc>
          <w:tcPr>
            <w:tcW w:w="992" w:type="dxa"/>
            <w:vAlign w:val="center"/>
          </w:tcPr>
          <w:p w14:paraId="33B7286D"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7</w:t>
            </w:r>
          </w:p>
        </w:tc>
        <w:tc>
          <w:tcPr>
            <w:tcW w:w="1134" w:type="dxa"/>
            <w:vAlign w:val="center"/>
          </w:tcPr>
          <w:p w14:paraId="1496A6CE" w14:textId="77777777" w:rsidR="00842AD1" w:rsidRPr="00644E96" w:rsidRDefault="00842AD1" w:rsidP="003E19F5">
            <w:pPr>
              <w:pStyle w:val="NoSpacing"/>
              <w:jc w:val="center"/>
              <w:rPr>
                <w:rFonts w:ascii="Times New Roman" w:hAnsi="Times New Roman" w:cs="Times New Roman"/>
                <w:iCs/>
                <w:color w:val="000000" w:themeColor="text1"/>
                <w:sz w:val="20"/>
                <w:szCs w:val="20"/>
                <w:lang w:eastAsia="lv-LV"/>
              </w:rPr>
            </w:pPr>
            <w:r w:rsidRPr="00644E96">
              <w:rPr>
                <w:rFonts w:ascii="Times New Roman" w:hAnsi="Times New Roman" w:cs="Times New Roman"/>
                <w:iCs/>
                <w:color w:val="000000" w:themeColor="text1"/>
                <w:sz w:val="20"/>
                <w:szCs w:val="20"/>
                <w:lang w:eastAsia="lv-LV"/>
              </w:rPr>
              <w:t>8</w:t>
            </w:r>
          </w:p>
        </w:tc>
      </w:tr>
      <w:tr w:rsidR="00644E96" w:rsidRPr="00644E96" w14:paraId="2C3D2CDB" w14:textId="77777777" w:rsidTr="0018061C">
        <w:tc>
          <w:tcPr>
            <w:tcW w:w="1560" w:type="dxa"/>
            <w:vAlign w:val="center"/>
          </w:tcPr>
          <w:p w14:paraId="3118701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1. Budžeta ieņēmumi</w:t>
            </w:r>
          </w:p>
        </w:tc>
        <w:tc>
          <w:tcPr>
            <w:tcW w:w="1134" w:type="dxa"/>
            <w:vAlign w:val="center"/>
          </w:tcPr>
          <w:p w14:paraId="1190C3DA" w14:textId="22FAB69D"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vAlign w:val="center"/>
          </w:tcPr>
          <w:p w14:paraId="79B63D16"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5F526C5A" w14:textId="073C5E36"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7813A02B"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23F48BE8" w14:textId="31F6E16F" w:rsidR="00D7334F" w:rsidRPr="00644E96" w:rsidRDefault="00D7334F" w:rsidP="00D7334F">
            <w:pPr>
              <w:pStyle w:val="NoSpacing"/>
              <w:rPr>
                <w:rFonts w:ascii="Times New Roman" w:hAnsi="Times New Roman" w:cs="Times New Roman"/>
                <w:color w:val="000000" w:themeColor="text1"/>
                <w:sz w:val="20"/>
                <w:szCs w:val="20"/>
              </w:rPr>
            </w:pPr>
          </w:p>
        </w:tc>
        <w:tc>
          <w:tcPr>
            <w:tcW w:w="992" w:type="dxa"/>
            <w:vAlign w:val="center"/>
          </w:tcPr>
          <w:p w14:paraId="77A8078A"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0436252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345DF674" w14:textId="77777777" w:rsidTr="0018061C">
        <w:tc>
          <w:tcPr>
            <w:tcW w:w="1560" w:type="dxa"/>
            <w:vAlign w:val="center"/>
          </w:tcPr>
          <w:p w14:paraId="41EE8A8D"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1.1. valsts pamatbudžets, tai skaitā ieņēmumi no maksas pakalpojumiem un citi pašu ieņēmumi</w:t>
            </w:r>
          </w:p>
        </w:tc>
        <w:tc>
          <w:tcPr>
            <w:tcW w:w="1134" w:type="dxa"/>
            <w:vAlign w:val="center"/>
          </w:tcPr>
          <w:p w14:paraId="5DEB9287" w14:textId="61D536B0" w:rsidR="0018061C" w:rsidRPr="00644E96" w:rsidRDefault="0018061C" w:rsidP="00D7334F">
            <w:pPr>
              <w:pStyle w:val="NoSpacing"/>
              <w:rPr>
                <w:rFonts w:ascii="Times New Roman" w:hAnsi="Times New Roman" w:cs="Times New Roman"/>
                <w:iCs/>
                <w:color w:val="000000" w:themeColor="text1"/>
                <w:sz w:val="20"/>
                <w:szCs w:val="20"/>
                <w:lang w:eastAsia="lv-LV"/>
              </w:rPr>
            </w:pPr>
          </w:p>
        </w:tc>
        <w:tc>
          <w:tcPr>
            <w:tcW w:w="1268" w:type="dxa"/>
            <w:vAlign w:val="center"/>
          </w:tcPr>
          <w:p w14:paraId="31611DE9"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0E995362" w14:textId="32221D92" w:rsidR="0018061C" w:rsidRPr="00644E96" w:rsidRDefault="0018061C"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2B208369"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32A3ABF2" w14:textId="6733326B" w:rsidR="0018061C" w:rsidRPr="00644E96" w:rsidRDefault="0018061C" w:rsidP="00D7334F">
            <w:pPr>
              <w:pStyle w:val="NoSpacing"/>
              <w:rPr>
                <w:rFonts w:ascii="Times New Roman" w:hAnsi="Times New Roman" w:cs="Times New Roman"/>
                <w:color w:val="000000" w:themeColor="text1"/>
                <w:sz w:val="20"/>
                <w:szCs w:val="20"/>
              </w:rPr>
            </w:pPr>
          </w:p>
        </w:tc>
        <w:tc>
          <w:tcPr>
            <w:tcW w:w="992" w:type="dxa"/>
            <w:vAlign w:val="center"/>
          </w:tcPr>
          <w:p w14:paraId="4C08352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71ED36D8"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73260273" w14:textId="77777777" w:rsidTr="0018061C">
        <w:tc>
          <w:tcPr>
            <w:tcW w:w="1560" w:type="dxa"/>
            <w:vAlign w:val="center"/>
          </w:tcPr>
          <w:p w14:paraId="51088E6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1.2. valsts speciālais budžets</w:t>
            </w:r>
          </w:p>
        </w:tc>
        <w:tc>
          <w:tcPr>
            <w:tcW w:w="1134" w:type="dxa"/>
            <w:vAlign w:val="center"/>
          </w:tcPr>
          <w:p w14:paraId="504BC81A"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vAlign w:val="center"/>
          </w:tcPr>
          <w:p w14:paraId="0648809D"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267AC17B"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4E5D593C"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6E352C8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08FB5B05"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2DDF860A"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42A1BB92" w14:textId="77777777" w:rsidTr="0018061C">
        <w:tc>
          <w:tcPr>
            <w:tcW w:w="1560" w:type="dxa"/>
            <w:vAlign w:val="center"/>
          </w:tcPr>
          <w:p w14:paraId="1438E74C"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1.3. pašvaldību budžets</w:t>
            </w:r>
          </w:p>
        </w:tc>
        <w:tc>
          <w:tcPr>
            <w:tcW w:w="1134" w:type="dxa"/>
            <w:vAlign w:val="center"/>
          </w:tcPr>
          <w:p w14:paraId="660E0947"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vAlign w:val="center"/>
          </w:tcPr>
          <w:p w14:paraId="4386CB40"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253023A7"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42D4897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6EABA014"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49292264"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4A192B5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1D4647AA" w14:textId="77777777" w:rsidTr="000A630B">
        <w:trPr>
          <w:trHeight w:val="846"/>
        </w:trPr>
        <w:tc>
          <w:tcPr>
            <w:tcW w:w="1560" w:type="dxa"/>
            <w:vAlign w:val="center"/>
          </w:tcPr>
          <w:p w14:paraId="51A5A4A2" w14:textId="77777777" w:rsidR="004C3EBD" w:rsidRPr="00644E96" w:rsidRDefault="004C3EBD" w:rsidP="004C3EBD">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 Budžeta izdevumi</w:t>
            </w:r>
          </w:p>
        </w:tc>
        <w:tc>
          <w:tcPr>
            <w:tcW w:w="1134" w:type="dxa"/>
          </w:tcPr>
          <w:p w14:paraId="04B666CE" w14:textId="77777777" w:rsidR="004C3EBD" w:rsidRPr="00644E96" w:rsidRDefault="004C3EBD" w:rsidP="004C3EBD">
            <w:pPr>
              <w:rPr>
                <w:color w:val="000000" w:themeColor="text1"/>
                <w:sz w:val="20"/>
                <w:szCs w:val="20"/>
              </w:rPr>
            </w:pPr>
          </w:p>
        </w:tc>
        <w:tc>
          <w:tcPr>
            <w:tcW w:w="1268" w:type="dxa"/>
            <w:shd w:val="clear" w:color="auto" w:fill="auto"/>
          </w:tcPr>
          <w:p w14:paraId="68732ADA" w14:textId="5A2FB5DB" w:rsidR="004C3EBD" w:rsidRPr="00644E96" w:rsidRDefault="00F009E8" w:rsidP="004C3EBD">
            <w:pPr>
              <w:pStyle w:val="NoSpacing"/>
              <w:jc w:val="center"/>
              <w:rPr>
                <w:rFonts w:ascii="Times New Roman" w:hAnsi="Times New Roman" w:cs="Times New Roman"/>
                <w:iCs/>
                <w:color w:val="000000" w:themeColor="text1"/>
                <w:sz w:val="20"/>
                <w:szCs w:val="20"/>
                <w:lang w:eastAsia="lv-LV"/>
              </w:rPr>
            </w:pPr>
            <w:r>
              <w:rPr>
                <w:rFonts w:ascii="Times New Roman" w:hAnsi="Times New Roman" w:cs="Times New Roman"/>
                <w:iCs/>
                <w:color w:val="000000" w:themeColor="text1"/>
                <w:sz w:val="20"/>
                <w:szCs w:val="20"/>
                <w:lang w:eastAsia="lv-LV"/>
              </w:rPr>
              <w:t>1 450 330</w:t>
            </w:r>
          </w:p>
        </w:tc>
        <w:tc>
          <w:tcPr>
            <w:tcW w:w="1142" w:type="dxa"/>
          </w:tcPr>
          <w:p w14:paraId="253FE468" w14:textId="726E5E08"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992" w:type="dxa"/>
            <w:vAlign w:val="center"/>
          </w:tcPr>
          <w:p w14:paraId="1F2A433F"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1134" w:type="dxa"/>
          </w:tcPr>
          <w:p w14:paraId="33629D15" w14:textId="58DC7DDE"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992" w:type="dxa"/>
            <w:vAlign w:val="center"/>
          </w:tcPr>
          <w:p w14:paraId="6930F642"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1134" w:type="dxa"/>
            <w:vAlign w:val="center"/>
          </w:tcPr>
          <w:p w14:paraId="166434B2"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r>
      <w:tr w:rsidR="00644E96" w:rsidRPr="00644E96" w14:paraId="22C867EA" w14:textId="77777777" w:rsidTr="000A630B">
        <w:tc>
          <w:tcPr>
            <w:tcW w:w="1560" w:type="dxa"/>
            <w:vAlign w:val="center"/>
          </w:tcPr>
          <w:p w14:paraId="2C3804AC" w14:textId="77777777" w:rsidR="004C3EBD" w:rsidRPr="00644E96" w:rsidRDefault="004C3EBD" w:rsidP="004C3EBD">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2.1. valsts pamatbudžets</w:t>
            </w:r>
          </w:p>
        </w:tc>
        <w:tc>
          <w:tcPr>
            <w:tcW w:w="1134" w:type="dxa"/>
          </w:tcPr>
          <w:p w14:paraId="7C1811FF" w14:textId="0B4508C6" w:rsidR="004C3EBD" w:rsidRPr="00644E96" w:rsidRDefault="004C3EBD" w:rsidP="004C3EBD">
            <w:pPr>
              <w:pStyle w:val="NoSpacing"/>
              <w:rPr>
                <w:rFonts w:ascii="Times New Roman" w:hAnsi="Times New Roman" w:cs="Times New Roman"/>
                <w:color w:val="000000" w:themeColor="text1"/>
                <w:sz w:val="20"/>
                <w:szCs w:val="20"/>
              </w:rPr>
            </w:pPr>
          </w:p>
        </w:tc>
        <w:tc>
          <w:tcPr>
            <w:tcW w:w="1268" w:type="dxa"/>
            <w:shd w:val="clear" w:color="auto" w:fill="auto"/>
          </w:tcPr>
          <w:p w14:paraId="427769D5" w14:textId="71C54291" w:rsidR="004C3EBD" w:rsidRPr="00644E96" w:rsidRDefault="00F009E8" w:rsidP="004C3EBD">
            <w:pPr>
              <w:pStyle w:val="NoSpacing"/>
              <w:jc w:val="center"/>
              <w:rPr>
                <w:rFonts w:ascii="Times New Roman" w:hAnsi="Times New Roman" w:cs="Times New Roman"/>
                <w:iCs/>
                <w:color w:val="000000" w:themeColor="text1"/>
                <w:sz w:val="20"/>
                <w:szCs w:val="20"/>
                <w:lang w:eastAsia="lv-LV"/>
              </w:rPr>
            </w:pPr>
            <w:r>
              <w:rPr>
                <w:rFonts w:ascii="Times New Roman" w:hAnsi="Times New Roman" w:cs="Times New Roman"/>
                <w:iCs/>
                <w:color w:val="000000" w:themeColor="text1"/>
                <w:sz w:val="20"/>
                <w:szCs w:val="20"/>
                <w:lang w:eastAsia="lv-LV"/>
              </w:rPr>
              <w:t>1 450 330</w:t>
            </w:r>
          </w:p>
        </w:tc>
        <w:tc>
          <w:tcPr>
            <w:tcW w:w="1142" w:type="dxa"/>
          </w:tcPr>
          <w:p w14:paraId="7A23F681" w14:textId="0F1A4B66"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992" w:type="dxa"/>
            <w:vAlign w:val="center"/>
          </w:tcPr>
          <w:p w14:paraId="50B4A2CE"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1134" w:type="dxa"/>
          </w:tcPr>
          <w:p w14:paraId="3CD6A110" w14:textId="7ECB5082"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992" w:type="dxa"/>
            <w:vAlign w:val="center"/>
          </w:tcPr>
          <w:p w14:paraId="10EDAFB1"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c>
          <w:tcPr>
            <w:tcW w:w="1134" w:type="dxa"/>
            <w:vAlign w:val="center"/>
          </w:tcPr>
          <w:p w14:paraId="0979DAB8" w14:textId="77777777" w:rsidR="004C3EBD" w:rsidRPr="00644E96" w:rsidRDefault="004C3EBD" w:rsidP="004C3EBD">
            <w:pPr>
              <w:pStyle w:val="NoSpacing"/>
              <w:rPr>
                <w:rFonts w:ascii="Times New Roman" w:hAnsi="Times New Roman" w:cs="Times New Roman"/>
                <w:iCs/>
                <w:color w:val="000000" w:themeColor="text1"/>
                <w:sz w:val="20"/>
                <w:szCs w:val="20"/>
                <w:lang w:eastAsia="lv-LV"/>
              </w:rPr>
            </w:pPr>
          </w:p>
        </w:tc>
      </w:tr>
      <w:tr w:rsidR="00644E96" w:rsidRPr="00644E96" w14:paraId="13BC28C6" w14:textId="77777777" w:rsidTr="0018061C">
        <w:tc>
          <w:tcPr>
            <w:tcW w:w="1560" w:type="dxa"/>
            <w:vAlign w:val="center"/>
          </w:tcPr>
          <w:p w14:paraId="306A267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2.2. valsts speciālais budžets</w:t>
            </w:r>
          </w:p>
        </w:tc>
        <w:tc>
          <w:tcPr>
            <w:tcW w:w="1134" w:type="dxa"/>
            <w:vAlign w:val="center"/>
          </w:tcPr>
          <w:p w14:paraId="73524399"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shd w:val="clear" w:color="auto" w:fill="auto"/>
            <w:vAlign w:val="center"/>
          </w:tcPr>
          <w:p w14:paraId="35F83068"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0D65C7F2"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14B4514E"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649FCE43"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61B8D1A1"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0A4EFFE8"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0F213897" w14:textId="77777777" w:rsidTr="0018061C">
        <w:tc>
          <w:tcPr>
            <w:tcW w:w="1560" w:type="dxa"/>
            <w:vAlign w:val="center"/>
          </w:tcPr>
          <w:p w14:paraId="3474DDF7"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2.3. pašvaldību budžets</w:t>
            </w:r>
          </w:p>
        </w:tc>
        <w:tc>
          <w:tcPr>
            <w:tcW w:w="1134" w:type="dxa"/>
            <w:vAlign w:val="center"/>
          </w:tcPr>
          <w:p w14:paraId="027422C1"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shd w:val="clear" w:color="auto" w:fill="auto"/>
            <w:vAlign w:val="center"/>
          </w:tcPr>
          <w:p w14:paraId="3C65E74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2C678716"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1AB6291E"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59541A5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0A848A61"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19BD52E1"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F009E8" w:rsidRPr="00644E96" w14:paraId="0B7A3A35" w14:textId="77777777" w:rsidTr="0018061C">
        <w:tc>
          <w:tcPr>
            <w:tcW w:w="1560" w:type="dxa"/>
            <w:vAlign w:val="center"/>
          </w:tcPr>
          <w:p w14:paraId="0884AAD6" w14:textId="77777777" w:rsidR="00F009E8" w:rsidRPr="00644E96" w:rsidRDefault="00F009E8" w:rsidP="00F009E8">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3. Finansiālā ietekme</w:t>
            </w:r>
          </w:p>
        </w:tc>
        <w:tc>
          <w:tcPr>
            <w:tcW w:w="1134" w:type="dxa"/>
            <w:vAlign w:val="center"/>
          </w:tcPr>
          <w:p w14:paraId="649A8D23"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268" w:type="dxa"/>
            <w:shd w:val="clear" w:color="auto" w:fill="auto"/>
          </w:tcPr>
          <w:p w14:paraId="182556CD" w14:textId="4B98A7EE" w:rsidR="00F009E8" w:rsidRPr="00644E96" w:rsidRDefault="00F009E8" w:rsidP="00F009E8">
            <w:pPr>
              <w:jc w:val="center"/>
              <w:rPr>
                <w:rFonts w:eastAsiaTheme="minorHAnsi"/>
                <w:iCs/>
                <w:color w:val="000000" w:themeColor="text1"/>
                <w:sz w:val="20"/>
                <w:szCs w:val="20"/>
              </w:rPr>
            </w:pPr>
            <w:r>
              <w:rPr>
                <w:iCs/>
                <w:color w:val="000000" w:themeColor="text1"/>
                <w:sz w:val="20"/>
                <w:szCs w:val="20"/>
              </w:rPr>
              <w:t>-1 450 330</w:t>
            </w:r>
          </w:p>
        </w:tc>
        <w:tc>
          <w:tcPr>
            <w:tcW w:w="1142" w:type="dxa"/>
            <w:vAlign w:val="center"/>
          </w:tcPr>
          <w:p w14:paraId="6B7FBD34"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992" w:type="dxa"/>
            <w:vAlign w:val="center"/>
          </w:tcPr>
          <w:p w14:paraId="1E8A5FB7"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134" w:type="dxa"/>
            <w:vAlign w:val="center"/>
          </w:tcPr>
          <w:p w14:paraId="3D86B1A5"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992" w:type="dxa"/>
            <w:vAlign w:val="center"/>
          </w:tcPr>
          <w:p w14:paraId="7359C953"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134" w:type="dxa"/>
            <w:vAlign w:val="center"/>
          </w:tcPr>
          <w:p w14:paraId="568D72CE"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r>
      <w:tr w:rsidR="00F009E8" w:rsidRPr="00644E96" w14:paraId="48348895" w14:textId="77777777" w:rsidTr="0018061C">
        <w:tc>
          <w:tcPr>
            <w:tcW w:w="1560" w:type="dxa"/>
            <w:vAlign w:val="center"/>
          </w:tcPr>
          <w:p w14:paraId="6B17AFE9" w14:textId="77777777" w:rsidR="00F009E8" w:rsidRPr="00644E96" w:rsidRDefault="00F009E8" w:rsidP="00F009E8">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3.1. valsts pamatbudžets</w:t>
            </w:r>
          </w:p>
        </w:tc>
        <w:tc>
          <w:tcPr>
            <w:tcW w:w="1134" w:type="dxa"/>
            <w:vAlign w:val="center"/>
          </w:tcPr>
          <w:p w14:paraId="06C46161"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268" w:type="dxa"/>
            <w:shd w:val="clear" w:color="auto" w:fill="auto"/>
          </w:tcPr>
          <w:p w14:paraId="36D870B9" w14:textId="3A6F2975" w:rsidR="00F009E8" w:rsidRPr="00644E96" w:rsidRDefault="00F009E8" w:rsidP="00F009E8">
            <w:pPr>
              <w:jc w:val="center"/>
              <w:rPr>
                <w:rFonts w:eastAsiaTheme="minorHAnsi"/>
                <w:iCs/>
                <w:color w:val="000000" w:themeColor="text1"/>
                <w:sz w:val="20"/>
                <w:szCs w:val="20"/>
              </w:rPr>
            </w:pPr>
            <w:r>
              <w:rPr>
                <w:iCs/>
                <w:color w:val="000000" w:themeColor="text1"/>
                <w:sz w:val="20"/>
                <w:szCs w:val="20"/>
              </w:rPr>
              <w:t>-1 450 330</w:t>
            </w:r>
          </w:p>
        </w:tc>
        <w:tc>
          <w:tcPr>
            <w:tcW w:w="1142" w:type="dxa"/>
            <w:vAlign w:val="center"/>
          </w:tcPr>
          <w:p w14:paraId="286942AC"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992" w:type="dxa"/>
            <w:vAlign w:val="center"/>
          </w:tcPr>
          <w:p w14:paraId="692F95AD"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134" w:type="dxa"/>
            <w:vAlign w:val="center"/>
          </w:tcPr>
          <w:p w14:paraId="618DFBD7"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992" w:type="dxa"/>
            <w:vAlign w:val="center"/>
          </w:tcPr>
          <w:p w14:paraId="1F0359D3"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c>
          <w:tcPr>
            <w:tcW w:w="1134" w:type="dxa"/>
            <w:vAlign w:val="center"/>
          </w:tcPr>
          <w:p w14:paraId="5E99AAA6" w14:textId="77777777" w:rsidR="00F009E8" w:rsidRPr="00644E96" w:rsidRDefault="00F009E8" w:rsidP="00F009E8">
            <w:pPr>
              <w:pStyle w:val="NoSpacing"/>
              <w:rPr>
                <w:rFonts w:ascii="Times New Roman" w:hAnsi="Times New Roman" w:cs="Times New Roman"/>
                <w:iCs/>
                <w:color w:val="000000" w:themeColor="text1"/>
                <w:sz w:val="20"/>
                <w:szCs w:val="20"/>
                <w:lang w:eastAsia="lv-LV"/>
              </w:rPr>
            </w:pPr>
          </w:p>
        </w:tc>
      </w:tr>
      <w:tr w:rsidR="00644E96" w:rsidRPr="00644E96" w14:paraId="0EF35908" w14:textId="77777777" w:rsidTr="0018061C">
        <w:tc>
          <w:tcPr>
            <w:tcW w:w="1560" w:type="dxa"/>
            <w:vAlign w:val="center"/>
          </w:tcPr>
          <w:p w14:paraId="226893A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3.2. speciālais budžets</w:t>
            </w:r>
          </w:p>
        </w:tc>
        <w:tc>
          <w:tcPr>
            <w:tcW w:w="1134" w:type="dxa"/>
            <w:vAlign w:val="center"/>
          </w:tcPr>
          <w:p w14:paraId="20F500C7"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shd w:val="clear" w:color="auto" w:fill="auto"/>
            <w:vAlign w:val="center"/>
          </w:tcPr>
          <w:p w14:paraId="722B91FB"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42" w:type="dxa"/>
            <w:vAlign w:val="center"/>
          </w:tcPr>
          <w:p w14:paraId="0C8C3329"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799371CD"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2881B15F"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992" w:type="dxa"/>
            <w:vAlign w:val="center"/>
          </w:tcPr>
          <w:p w14:paraId="127E5292"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134" w:type="dxa"/>
            <w:vAlign w:val="center"/>
          </w:tcPr>
          <w:p w14:paraId="13326257"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r>
      <w:tr w:rsidR="00644E96" w:rsidRPr="00644E96" w14:paraId="559E164A" w14:textId="77777777" w:rsidTr="0018061C">
        <w:tc>
          <w:tcPr>
            <w:tcW w:w="1560" w:type="dxa"/>
            <w:vAlign w:val="center"/>
          </w:tcPr>
          <w:p w14:paraId="28AB4EF1"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3.3. pašvaldību budžets</w:t>
            </w:r>
          </w:p>
        </w:tc>
        <w:tc>
          <w:tcPr>
            <w:tcW w:w="1134" w:type="dxa"/>
            <w:vAlign w:val="center"/>
          </w:tcPr>
          <w:p w14:paraId="4F002E85"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268" w:type="dxa"/>
            <w:shd w:val="clear" w:color="auto" w:fill="auto"/>
            <w:vAlign w:val="center"/>
          </w:tcPr>
          <w:p w14:paraId="55057C48"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42" w:type="dxa"/>
            <w:vAlign w:val="center"/>
          </w:tcPr>
          <w:p w14:paraId="4E7DB970"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483FCB03"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525C1D50"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32DD5D21"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714A975F"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1AC117A7" w14:textId="77777777" w:rsidTr="0018061C">
        <w:tc>
          <w:tcPr>
            <w:tcW w:w="1560" w:type="dxa"/>
            <w:vAlign w:val="center"/>
          </w:tcPr>
          <w:p w14:paraId="2CC9FB9C"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134" w:type="dxa"/>
            <w:vAlign w:val="center"/>
          </w:tcPr>
          <w:p w14:paraId="5BC66AA2" w14:textId="77777777" w:rsidR="00D7334F" w:rsidRPr="00644E96" w:rsidRDefault="00D7334F" w:rsidP="00D7334F">
            <w:pPr>
              <w:pStyle w:val="NoSpacing"/>
              <w:rPr>
                <w:rFonts w:ascii="Times New Roman" w:hAnsi="Times New Roman" w:cs="Times New Roman"/>
                <w:iCs/>
                <w:color w:val="000000" w:themeColor="text1"/>
                <w:sz w:val="20"/>
                <w:szCs w:val="20"/>
                <w:lang w:eastAsia="lv-LV"/>
              </w:rPr>
            </w:pPr>
          </w:p>
        </w:tc>
        <w:tc>
          <w:tcPr>
            <w:tcW w:w="1268" w:type="dxa"/>
            <w:shd w:val="clear" w:color="auto" w:fill="auto"/>
            <w:vAlign w:val="center"/>
          </w:tcPr>
          <w:p w14:paraId="65F5B652" w14:textId="31A2E50A" w:rsidR="00D7334F" w:rsidRPr="00644E96" w:rsidRDefault="00F009E8" w:rsidP="004C3EBD">
            <w:pPr>
              <w:pStyle w:val="NoSpacing"/>
              <w:jc w:val="center"/>
              <w:rPr>
                <w:rFonts w:ascii="Times New Roman" w:hAnsi="Times New Roman" w:cs="Times New Roman"/>
                <w:iCs/>
                <w:color w:val="000000" w:themeColor="text1"/>
                <w:sz w:val="20"/>
                <w:szCs w:val="20"/>
                <w:lang w:eastAsia="lv-LV"/>
              </w:rPr>
            </w:pPr>
            <w:r>
              <w:rPr>
                <w:rFonts w:ascii="Times New Roman" w:hAnsi="Times New Roman" w:cs="Times New Roman"/>
                <w:iCs/>
                <w:color w:val="000000" w:themeColor="text1"/>
                <w:sz w:val="20"/>
                <w:szCs w:val="20"/>
                <w:lang w:eastAsia="lv-LV"/>
              </w:rPr>
              <w:t>1 450 330</w:t>
            </w:r>
          </w:p>
        </w:tc>
        <w:tc>
          <w:tcPr>
            <w:tcW w:w="1142" w:type="dxa"/>
            <w:vAlign w:val="center"/>
          </w:tcPr>
          <w:p w14:paraId="1E605017"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6FED5633"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7F10C62E"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418FC307"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4339C82C"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4B280EEA" w14:textId="77777777" w:rsidTr="0018061C">
        <w:tc>
          <w:tcPr>
            <w:tcW w:w="1560" w:type="dxa"/>
            <w:vAlign w:val="center"/>
          </w:tcPr>
          <w:p w14:paraId="7CB52912"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5. Precizēta finansiālā ietekme</w:t>
            </w:r>
          </w:p>
        </w:tc>
        <w:tc>
          <w:tcPr>
            <w:tcW w:w="1134" w:type="dxa"/>
            <w:vMerge w:val="restart"/>
            <w:vAlign w:val="center"/>
          </w:tcPr>
          <w:p w14:paraId="4CF59BB6" w14:textId="77777777" w:rsidR="00D7334F" w:rsidRPr="00644E96" w:rsidRDefault="00D7334F" w:rsidP="00D7334F">
            <w:pPr>
              <w:pStyle w:val="NoSpacing"/>
              <w:rPr>
                <w:rFonts w:ascii="Times New Roman" w:hAnsi="Times New Roman" w:cs="Times New Roman"/>
                <w:iCs/>
                <w:color w:val="000000" w:themeColor="text1"/>
                <w:lang w:eastAsia="lv-LV"/>
              </w:rPr>
            </w:pPr>
            <w:r w:rsidRPr="00644E96">
              <w:rPr>
                <w:rFonts w:ascii="Times New Roman" w:hAnsi="Times New Roman" w:cs="Times New Roman"/>
                <w:iCs/>
                <w:color w:val="000000" w:themeColor="text1"/>
                <w:lang w:eastAsia="lv-LV"/>
              </w:rPr>
              <w:t>X</w:t>
            </w:r>
          </w:p>
        </w:tc>
        <w:tc>
          <w:tcPr>
            <w:tcW w:w="1268" w:type="dxa"/>
            <w:vAlign w:val="center"/>
          </w:tcPr>
          <w:p w14:paraId="05637ED8"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42" w:type="dxa"/>
            <w:vMerge w:val="restart"/>
            <w:vAlign w:val="center"/>
          </w:tcPr>
          <w:p w14:paraId="5505E342"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5DEC3D0E"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Merge w:val="restart"/>
            <w:vAlign w:val="center"/>
          </w:tcPr>
          <w:p w14:paraId="4AEF395F"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5678D1F2"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741B01FC"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22F70D12" w14:textId="77777777" w:rsidTr="0018061C">
        <w:tc>
          <w:tcPr>
            <w:tcW w:w="1560" w:type="dxa"/>
            <w:vAlign w:val="center"/>
          </w:tcPr>
          <w:p w14:paraId="5AD1164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lastRenderedPageBreak/>
              <w:t>5.1. valsts pamatbudžets</w:t>
            </w:r>
          </w:p>
        </w:tc>
        <w:tc>
          <w:tcPr>
            <w:tcW w:w="1134" w:type="dxa"/>
            <w:vMerge/>
            <w:vAlign w:val="center"/>
          </w:tcPr>
          <w:p w14:paraId="22507185"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268" w:type="dxa"/>
            <w:vAlign w:val="center"/>
          </w:tcPr>
          <w:p w14:paraId="031FB8FD"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42" w:type="dxa"/>
            <w:vMerge/>
            <w:vAlign w:val="center"/>
          </w:tcPr>
          <w:p w14:paraId="730861D4"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239DEA65"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Merge/>
            <w:vAlign w:val="center"/>
          </w:tcPr>
          <w:p w14:paraId="7C35F024"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3C4A91E9"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13CC62CD"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0D86657F" w14:textId="77777777" w:rsidTr="0018061C">
        <w:tc>
          <w:tcPr>
            <w:tcW w:w="1560" w:type="dxa"/>
            <w:vAlign w:val="center"/>
          </w:tcPr>
          <w:p w14:paraId="7ABD20A9"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5.2. speciālais budžets</w:t>
            </w:r>
          </w:p>
        </w:tc>
        <w:tc>
          <w:tcPr>
            <w:tcW w:w="1134" w:type="dxa"/>
            <w:vMerge/>
            <w:vAlign w:val="center"/>
          </w:tcPr>
          <w:p w14:paraId="449AEB48"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268" w:type="dxa"/>
            <w:vAlign w:val="center"/>
          </w:tcPr>
          <w:p w14:paraId="0640F49D"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42" w:type="dxa"/>
            <w:vMerge/>
            <w:vAlign w:val="center"/>
          </w:tcPr>
          <w:p w14:paraId="04F4DB25"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4087BF15"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Merge/>
            <w:vAlign w:val="center"/>
          </w:tcPr>
          <w:p w14:paraId="32BA5BA7"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325AD309"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615ED10A"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4E0302E2" w14:textId="77777777" w:rsidTr="0018061C">
        <w:tc>
          <w:tcPr>
            <w:tcW w:w="1560" w:type="dxa"/>
            <w:vAlign w:val="center"/>
          </w:tcPr>
          <w:p w14:paraId="77F06C16"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5.3. pašvaldību budžets</w:t>
            </w:r>
          </w:p>
        </w:tc>
        <w:tc>
          <w:tcPr>
            <w:tcW w:w="1134" w:type="dxa"/>
            <w:vMerge/>
            <w:vAlign w:val="center"/>
          </w:tcPr>
          <w:p w14:paraId="5D6F759C"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268" w:type="dxa"/>
            <w:vAlign w:val="center"/>
          </w:tcPr>
          <w:p w14:paraId="17FFD7FD"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42" w:type="dxa"/>
            <w:vMerge/>
            <w:vAlign w:val="center"/>
          </w:tcPr>
          <w:p w14:paraId="4D0DB11E"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2150AC2F"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Merge/>
            <w:vAlign w:val="center"/>
          </w:tcPr>
          <w:p w14:paraId="2EEA4A36"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992" w:type="dxa"/>
            <w:vAlign w:val="center"/>
          </w:tcPr>
          <w:p w14:paraId="6D2DC9DD" w14:textId="77777777" w:rsidR="00D7334F" w:rsidRPr="00644E96" w:rsidRDefault="00D7334F" w:rsidP="00D7334F">
            <w:pPr>
              <w:pStyle w:val="NoSpacing"/>
              <w:rPr>
                <w:rFonts w:ascii="Times New Roman" w:hAnsi="Times New Roman" w:cs="Times New Roman"/>
                <w:iCs/>
                <w:color w:val="000000" w:themeColor="text1"/>
                <w:lang w:eastAsia="lv-LV"/>
              </w:rPr>
            </w:pPr>
          </w:p>
        </w:tc>
        <w:tc>
          <w:tcPr>
            <w:tcW w:w="1134" w:type="dxa"/>
            <w:vAlign w:val="center"/>
          </w:tcPr>
          <w:p w14:paraId="10A611BC" w14:textId="77777777" w:rsidR="00D7334F" w:rsidRPr="00644E96" w:rsidRDefault="00D7334F" w:rsidP="00D7334F">
            <w:pPr>
              <w:pStyle w:val="NoSpacing"/>
              <w:rPr>
                <w:rFonts w:ascii="Times New Roman" w:hAnsi="Times New Roman" w:cs="Times New Roman"/>
                <w:iCs/>
                <w:color w:val="000000" w:themeColor="text1"/>
                <w:lang w:eastAsia="lv-LV"/>
              </w:rPr>
            </w:pPr>
          </w:p>
        </w:tc>
      </w:tr>
      <w:tr w:rsidR="00644E96" w:rsidRPr="00644E96" w14:paraId="024D0622" w14:textId="77777777" w:rsidTr="00AD2450">
        <w:tc>
          <w:tcPr>
            <w:tcW w:w="1560" w:type="dxa"/>
            <w:vAlign w:val="center"/>
          </w:tcPr>
          <w:p w14:paraId="64926AAC"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08986FF3" w14:textId="77777777" w:rsidR="0018061C" w:rsidRPr="00644E96" w:rsidRDefault="0018061C" w:rsidP="00D7334F">
            <w:pPr>
              <w:pStyle w:val="tv213"/>
              <w:tabs>
                <w:tab w:val="left" w:pos="709"/>
              </w:tabs>
              <w:spacing w:before="0" w:beforeAutospacing="0" w:after="0" w:afterAutospacing="0"/>
              <w:jc w:val="both"/>
              <w:rPr>
                <w:color w:val="000000" w:themeColor="text1"/>
                <w:shd w:val="clear" w:color="auto" w:fill="FFFFFF"/>
              </w:rPr>
            </w:pPr>
          </w:p>
          <w:p w14:paraId="723B3DC3" w14:textId="3DFFDF06" w:rsidR="007B15A9" w:rsidRPr="00644E96" w:rsidRDefault="005932A4" w:rsidP="007B15A9">
            <w:pPr>
              <w:pStyle w:val="tv213"/>
              <w:tabs>
                <w:tab w:val="left" w:pos="709"/>
              </w:tabs>
              <w:spacing w:before="0" w:beforeAutospacing="0" w:after="0" w:afterAutospacing="0"/>
              <w:jc w:val="both"/>
              <w:rPr>
                <w:iCs/>
                <w:color w:val="000000" w:themeColor="text1"/>
                <w:sz w:val="28"/>
                <w:szCs w:val="28"/>
              </w:rPr>
            </w:pPr>
            <w:r w:rsidRPr="00644E96">
              <w:rPr>
                <w:color w:val="000000" w:themeColor="text1"/>
                <w:shd w:val="clear" w:color="auto" w:fill="FFFFFF"/>
              </w:rPr>
              <w:t xml:space="preserve">        </w:t>
            </w:r>
            <w:r w:rsidR="00D7334F" w:rsidRPr="00644E96">
              <w:rPr>
                <w:color w:val="000000" w:themeColor="text1"/>
                <w:shd w:val="clear" w:color="auto" w:fill="FFFFFF"/>
              </w:rPr>
              <w:t xml:space="preserve">Rīkojuma projekts paredz Finanšu ministrijai no valsts budžeta programmas 02.00.00 “Līdzekļi neparedzētiem gadījumiem” piešķirt </w:t>
            </w:r>
            <w:bookmarkStart w:id="0" w:name="_Hlk62027548"/>
            <w:r w:rsidR="007B15A9" w:rsidRPr="00644E96">
              <w:rPr>
                <w:color w:val="000000" w:themeColor="text1"/>
                <w:shd w:val="clear" w:color="auto" w:fill="FFFFFF"/>
              </w:rPr>
              <w:t>Veselības ministrijai (Nacionālajam veselības dienestam) finansējumu ne vairāk kā 1</w:t>
            </w:r>
            <w:r w:rsidR="00F009E8">
              <w:rPr>
                <w:color w:val="000000" w:themeColor="text1"/>
                <w:shd w:val="clear" w:color="auto" w:fill="FFFFFF"/>
              </w:rPr>
              <w:t> 450 330</w:t>
            </w:r>
            <w:r w:rsidR="007B15A9" w:rsidRPr="00644E96">
              <w:rPr>
                <w:color w:val="000000" w:themeColor="text1"/>
                <w:shd w:val="clear" w:color="auto" w:fill="FFFFFF"/>
              </w:rPr>
              <w:t> </w:t>
            </w:r>
            <w:r w:rsidR="007B15A9" w:rsidRPr="00644E96">
              <w:rPr>
                <w:i/>
                <w:iCs/>
                <w:color w:val="000000" w:themeColor="text1"/>
                <w:shd w:val="clear" w:color="auto" w:fill="FFFFFF"/>
              </w:rPr>
              <w:t xml:space="preserve">euro </w:t>
            </w:r>
            <w:r w:rsidR="007B15A9" w:rsidRPr="00644E96">
              <w:rPr>
                <w:color w:val="000000" w:themeColor="text1"/>
                <w:shd w:val="clear" w:color="auto" w:fill="FFFFFF"/>
              </w:rPr>
              <w:t>apmērā, lai nodrošinātu vakcinācijas sistēmas efektīvu darbību, kā arī ērtu un elastīgu vakcinācijas procesu, izveidojot speciālu IT risinājumu vakcinācijas procesa pārvaldībai.</w:t>
            </w:r>
          </w:p>
          <w:bookmarkEnd w:id="0"/>
          <w:p w14:paraId="5FAF7C45" w14:textId="77777777" w:rsidR="00D7334F" w:rsidRPr="00644E96" w:rsidRDefault="00D7334F" w:rsidP="007B15A9">
            <w:pPr>
              <w:pStyle w:val="tv213"/>
              <w:tabs>
                <w:tab w:val="left" w:pos="709"/>
              </w:tabs>
              <w:spacing w:before="0" w:beforeAutospacing="0" w:after="0" w:afterAutospacing="0"/>
              <w:jc w:val="both"/>
              <w:rPr>
                <w:color w:val="000000" w:themeColor="text1"/>
                <w:shd w:val="clear" w:color="auto" w:fill="FFFFFF"/>
              </w:rPr>
            </w:pPr>
            <w:r w:rsidRPr="00644E96">
              <w:rPr>
                <w:color w:val="000000" w:themeColor="text1"/>
                <w:shd w:val="clear" w:color="auto" w:fill="FFFFFF"/>
              </w:rPr>
              <w:t xml:space="preserve">       Veselības ministrija normatīvajos aktos noteiktajā kārtībā sagatavos un iesniegs Finanšu ministrijā pieprasījumu par šā rīkojuma 1.punktā minēto līdzekļu piešķiršanu no valsts budžeta programmas 02.00.00 “Līdzekļi neparedzētiem gadījumiem”</w:t>
            </w:r>
            <w:r w:rsidR="00476D3E" w:rsidRPr="00644E96">
              <w:rPr>
                <w:color w:val="000000" w:themeColor="text1"/>
                <w:shd w:val="clear" w:color="auto" w:fill="FFFFFF"/>
              </w:rPr>
              <w:t xml:space="preserve"> atbilstoši faktiski nepieciešamajam apmēram</w:t>
            </w:r>
            <w:r w:rsidRPr="00644E96">
              <w:rPr>
                <w:color w:val="000000" w:themeColor="text1"/>
                <w:shd w:val="clear" w:color="auto" w:fill="FFFFFF"/>
              </w:rPr>
              <w:t>.</w:t>
            </w:r>
          </w:p>
          <w:p w14:paraId="6A3F3DA7" w14:textId="606082CF" w:rsidR="00D7334F" w:rsidRPr="00644E96" w:rsidRDefault="00D7334F" w:rsidP="007B15A9">
            <w:pPr>
              <w:pStyle w:val="tv213"/>
              <w:tabs>
                <w:tab w:val="left" w:pos="709"/>
              </w:tabs>
              <w:spacing w:before="0" w:beforeAutospacing="0" w:after="0" w:afterAutospacing="0"/>
              <w:jc w:val="both"/>
              <w:rPr>
                <w:color w:val="000000" w:themeColor="text1"/>
              </w:rPr>
            </w:pPr>
            <w:r w:rsidRPr="00644E96">
              <w:rPr>
                <w:color w:val="000000" w:themeColor="text1"/>
                <w:shd w:val="clear" w:color="auto" w:fill="FFFFFF"/>
              </w:rPr>
              <w:t xml:space="preserve">       </w:t>
            </w:r>
            <w:r w:rsidRPr="00644E96">
              <w:rPr>
                <w:color w:val="000000" w:themeColor="text1"/>
              </w:rPr>
              <w:t>Finanšu ministr</w:t>
            </w:r>
            <w:r w:rsidR="00476D3E" w:rsidRPr="00644E96">
              <w:rPr>
                <w:color w:val="000000" w:themeColor="text1"/>
              </w:rPr>
              <w:t>s</w:t>
            </w:r>
            <w:r w:rsidRPr="00644E96">
              <w:rPr>
                <w:color w:val="000000" w:themeColor="text1"/>
              </w:rPr>
              <w:t xml:space="preserve"> normatīvajos aktos noteiktajā kārtībā informē</w:t>
            </w:r>
            <w:r w:rsidR="00476D3E" w:rsidRPr="00644E96">
              <w:rPr>
                <w:color w:val="000000" w:themeColor="text1"/>
              </w:rPr>
              <w:t>s</w:t>
            </w:r>
            <w:r w:rsidRPr="00644E96">
              <w:rPr>
                <w:color w:val="000000" w:themeColor="text1"/>
              </w:rPr>
              <w:t xml:space="preserve"> Saeimas Budžeta un finanšu (nodokļu) komisiju par šā rīkojuma 1.punktā minētajām apropriācijas izmaiņām un, ja Saeimas Budžeta un finanšu (nodokļu) komisija piecu darbdienu laikā no attiecīgās informācijas saņemšanas dienas </w:t>
            </w:r>
            <w:r w:rsidR="00217B7C" w:rsidRPr="00644E96">
              <w:rPr>
                <w:color w:val="000000" w:themeColor="text1"/>
              </w:rPr>
              <w:t xml:space="preserve">nebūs </w:t>
            </w:r>
            <w:r w:rsidRPr="00644E96">
              <w:rPr>
                <w:color w:val="000000" w:themeColor="text1"/>
              </w:rPr>
              <w:t>iebild</w:t>
            </w:r>
            <w:r w:rsidR="00217B7C" w:rsidRPr="00644E96">
              <w:rPr>
                <w:color w:val="000000" w:themeColor="text1"/>
              </w:rPr>
              <w:t>usi</w:t>
            </w:r>
            <w:r w:rsidRPr="00644E96">
              <w:rPr>
                <w:color w:val="000000" w:themeColor="text1"/>
              </w:rPr>
              <w:t xml:space="preserve"> pret apropriācijas izmaiņām, veik</w:t>
            </w:r>
            <w:r w:rsidR="00476D3E" w:rsidRPr="00644E96">
              <w:rPr>
                <w:color w:val="000000" w:themeColor="text1"/>
              </w:rPr>
              <w:t>s</w:t>
            </w:r>
            <w:r w:rsidRPr="00644E96">
              <w:rPr>
                <w:color w:val="000000" w:themeColor="text1"/>
              </w:rPr>
              <w:t xml:space="preserve"> apropriācijas izmaiņas.</w:t>
            </w:r>
          </w:p>
          <w:p w14:paraId="172D20AA" w14:textId="034294E0" w:rsidR="00D7334F" w:rsidRPr="00644E96" w:rsidRDefault="00D7334F" w:rsidP="00D7334F">
            <w:pPr>
              <w:pStyle w:val="tv213"/>
              <w:tabs>
                <w:tab w:val="left" w:pos="709"/>
              </w:tabs>
              <w:spacing w:before="0" w:beforeAutospacing="0" w:after="0" w:afterAutospacing="0"/>
              <w:jc w:val="both"/>
              <w:rPr>
                <w:color w:val="000000" w:themeColor="text1"/>
              </w:rPr>
            </w:pPr>
          </w:p>
          <w:p w14:paraId="6D013537" w14:textId="77777777" w:rsidR="007B15A9" w:rsidRPr="00644E96" w:rsidRDefault="007B15A9" w:rsidP="007B15A9">
            <w:pPr>
              <w:ind w:firstLine="459"/>
              <w:jc w:val="both"/>
              <w:rPr>
                <w:color w:val="000000" w:themeColor="text1"/>
              </w:rPr>
            </w:pPr>
            <w:r w:rsidRPr="00644E96">
              <w:rPr>
                <w:color w:val="000000" w:themeColor="text1"/>
              </w:rPr>
              <w:t>Detalizēti aprēķini ir pievienoti anotācijas pielikumā.</w:t>
            </w:r>
          </w:p>
          <w:p w14:paraId="274EDFF1" w14:textId="77777777" w:rsidR="007B15A9" w:rsidRPr="00644E96" w:rsidRDefault="007B15A9" w:rsidP="007B15A9">
            <w:pPr>
              <w:pStyle w:val="tv213"/>
              <w:tabs>
                <w:tab w:val="left" w:pos="426"/>
              </w:tabs>
              <w:spacing w:before="0" w:beforeAutospacing="0" w:after="0" w:afterAutospacing="0"/>
              <w:jc w:val="both"/>
              <w:rPr>
                <w:color w:val="000000" w:themeColor="text1"/>
              </w:rPr>
            </w:pPr>
          </w:p>
          <w:p w14:paraId="0124F80F" w14:textId="6230F560" w:rsidR="00D7334F" w:rsidRPr="00644E96" w:rsidRDefault="007B15A9" w:rsidP="007B15A9">
            <w:pPr>
              <w:pStyle w:val="tv213"/>
              <w:tabs>
                <w:tab w:val="left" w:pos="426"/>
              </w:tabs>
              <w:spacing w:before="0" w:beforeAutospacing="0" w:after="0" w:afterAutospacing="0"/>
              <w:ind w:firstLine="455"/>
              <w:jc w:val="both"/>
              <w:rPr>
                <w:color w:val="000000" w:themeColor="text1"/>
              </w:rPr>
            </w:pPr>
            <w:r w:rsidRPr="00644E96">
              <w:rPr>
                <w:color w:val="000000" w:themeColor="text1"/>
              </w:rPr>
              <w:t xml:space="preserve">Aprēķini ir indikatīvi, Veselības ministrija normatīvajos aktos noteiktajā kārtībā sagatavos un iesniegs Finanšu ministrijā pieprasījumus par līdzekļu piešķiršanu no valsts budžeta programmas 02.00.00 “Līdzekļi neparedzētiem gadījumiem”, ņemot vērā </w:t>
            </w:r>
            <w:r w:rsidRPr="00644E96">
              <w:rPr>
                <w:color w:val="000000" w:themeColor="text1"/>
                <w:shd w:val="clear" w:color="auto" w:fill="FFFFFF"/>
              </w:rPr>
              <w:t>speciālā IT risinājuma vakcinācijas procesa pārvaldībai</w:t>
            </w:r>
            <w:r w:rsidRPr="00644E96">
              <w:rPr>
                <w:color w:val="000000" w:themeColor="text1"/>
              </w:rPr>
              <w:t xml:space="preserve"> faktiskos izdevumus.</w:t>
            </w:r>
            <w:r w:rsidRPr="00644E96">
              <w:rPr>
                <w:color w:val="000000" w:themeColor="text1"/>
                <w:shd w:val="clear" w:color="auto" w:fill="FFFFFF"/>
              </w:rPr>
              <w:t xml:space="preserve"> </w:t>
            </w:r>
          </w:p>
        </w:tc>
      </w:tr>
      <w:tr w:rsidR="00644E96" w:rsidRPr="00644E96" w14:paraId="5E33B26F" w14:textId="77777777" w:rsidTr="00AD2450">
        <w:tc>
          <w:tcPr>
            <w:tcW w:w="1560" w:type="dxa"/>
            <w:vAlign w:val="center"/>
          </w:tcPr>
          <w:p w14:paraId="5FF1000C"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6.1. detalizēts ieņēmumu aprēķins</w:t>
            </w:r>
          </w:p>
        </w:tc>
        <w:tc>
          <w:tcPr>
            <w:tcW w:w="7796" w:type="dxa"/>
            <w:gridSpan w:val="7"/>
            <w:vMerge/>
            <w:shd w:val="clear" w:color="auto" w:fill="auto"/>
            <w:vAlign w:val="center"/>
          </w:tcPr>
          <w:p w14:paraId="3B9BAC74" w14:textId="77777777" w:rsidR="00D7334F" w:rsidRPr="00644E96" w:rsidRDefault="00D7334F" w:rsidP="00D7334F">
            <w:pPr>
              <w:pStyle w:val="NoSpacing"/>
              <w:rPr>
                <w:rFonts w:ascii="Times New Roman" w:hAnsi="Times New Roman" w:cs="Times New Roman"/>
                <w:iCs/>
                <w:color w:val="000000" w:themeColor="text1"/>
                <w:sz w:val="24"/>
                <w:szCs w:val="24"/>
                <w:lang w:eastAsia="lv-LV"/>
              </w:rPr>
            </w:pPr>
          </w:p>
        </w:tc>
      </w:tr>
      <w:tr w:rsidR="00644E96" w:rsidRPr="00644E96" w14:paraId="08BDBC81" w14:textId="77777777" w:rsidTr="00AD2450">
        <w:tc>
          <w:tcPr>
            <w:tcW w:w="1560" w:type="dxa"/>
            <w:vAlign w:val="center"/>
          </w:tcPr>
          <w:p w14:paraId="0051336E"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6.2. detalizēts izdevumu aprēķins</w:t>
            </w:r>
          </w:p>
        </w:tc>
        <w:tc>
          <w:tcPr>
            <w:tcW w:w="7796" w:type="dxa"/>
            <w:gridSpan w:val="7"/>
            <w:vMerge/>
            <w:shd w:val="clear" w:color="auto" w:fill="auto"/>
            <w:vAlign w:val="center"/>
          </w:tcPr>
          <w:p w14:paraId="462EB40A" w14:textId="77777777" w:rsidR="00D7334F" w:rsidRPr="00644E96" w:rsidRDefault="00D7334F" w:rsidP="00D7334F">
            <w:pPr>
              <w:pStyle w:val="NoSpacing"/>
              <w:rPr>
                <w:rFonts w:ascii="Times New Roman" w:hAnsi="Times New Roman" w:cs="Times New Roman"/>
                <w:iCs/>
                <w:color w:val="000000" w:themeColor="text1"/>
                <w:sz w:val="24"/>
                <w:szCs w:val="24"/>
                <w:lang w:eastAsia="lv-LV"/>
              </w:rPr>
            </w:pPr>
          </w:p>
        </w:tc>
      </w:tr>
      <w:tr w:rsidR="00644E96" w:rsidRPr="00644E96" w14:paraId="1E92CF56" w14:textId="77777777" w:rsidTr="00AD2450">
        <w:tc>
          <w:tcPr>
            <w:tcW w:w="1560" w:type="dxa"/>
            <w:vAlign w:val="center"/>
          </w:tcPr>
          <w:p w14:paraId="71F54CB2"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7. Amata vietu skaita izmaiņas</w:t>
            </w:r>
          </w:p>
        </w:tc>
        <w:tc>
          <w:tcPr>
            <w:tcW w:w="7796" w:type="dxa"/>
            <w:gridSpan w:val="7"/>
            <w:vAlign w:val="center"/>
          </w:tcPr>
          <w:p w14:paraId="6A8C2C77" w14:textId="77777777" w:rsidR="00D7334F" w:rsidRPr="00644E96" w:rsidRDefault="00D7334F" w:rsidP="00D7334F">
            <w:pPr>
              <w:pStyle w:val="NoSpacing"/>
              <w:rPr>
                <w:rFonts w:ascii="Times New Roman" w:hAnsi="Times New Roman" w:cs="Times New Roman"/>
                <w:iCs/>
                <w:color w:val="000000" w:themeColor="text1"/>
                <w:sz w:val="24"/>
                <w:szCs w:val="24"/>
                <w:lang w:eastAsia="lv-LV"/>
              </w:rPr>
            </w:pPr>
            <w:r w:rsidRPr="00644E96">
              <w:rPr>
                <w:rFonts w:ascii="Times New Roman" w:hAnsi="Times New Roman" w:cs="Times New Roman"/>
                <w:color w:val="000000" w:themeColor="text1"/>
                <w:sz w:val="24"/>
              </w:rPr>
              <w:t>Projekts šo jomu neskar.</w:t>
            </w:r>
          </w:p>
        </w:tc>
      </w:tr>
      <w:tr w:rsidR="00644E96" w:rsidRPr="00644E96" w14:paraId="18CE4518" w14:textId="77777777" w:rsidTr="00AD2450">
        <w:tc>
          <w:tcPr>
            <w:tcW w:w="1560" w:type="dxa"/>
            <w:vAlign w:val="center"/>
          </w:tcPr>
          <w:p w14:paraId="0128E49F" w14:textId="77777777" w:rsidR="00D7334F" w:rsidRPr="00644E96" w:rsidRDefault="00D7334F" w:rsidP="00D7334F">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8. Cita informācija</w:t>
            </w:r>
          </w:p>
        </w:tc>
        <w:tc>
          <w:tcPr>
            <w:tcW w:w="7796" w:type="dxa"/>
            <w:gridSpan w:val="7"/>
            <w:vAlign w:val="center"/>
          </w:tcPr>
          <w:p w14:paraId="18D75B17" w14:textId="7A3F73EF" w:rsidR="009501BC" w:rsidRPr="00644E96" w:rsidRDefault="009501BC" w:rsidP="004C3EBD">
            <w:pPr>
              <w:ind w:firstLine="455"/>
              <w:jc w:val="both"/>
              <w:rPr>
                <w:color w:val="000000" w:themeColor="text1"/>
              </w:rPr>
            </w:pPr>
            <w:r w:rsidRPr="00644E96">
              <w:rPr>
                <w:color w:val="000000" w:themeColor="text1"/>
              </w:rPr>
              <w:t xml:space="preserve">Ministru kabineta 2021.gada 26.janvāra ārkārtas sēdē tika izskatīts Veselības ministrijas sagatavotais informatīvais ziņojums “Par vakcinācijas procesa pārvaldības vajadzībām atbilstoša </w:t>
            </w:r>
            <w:bookmarkStart w:id="1" w:name="_Hlk62473359"/>
            <w:r w:rsidRPr="00644E96">
              <w:rPr>
                <w:color w:val="000000" w:themeColor="text1"/>
              </w:rPr>
              <w:t>informācijas tehnoloģiju</w:t>
            </w:r>
            <w:bookmarkEnd w:id="1"/>
            <w:r w:rsidRPr="00644E96">
              <w:rPr>
                <w:color w:val="000000" w:themeColor="text1"/>
              </w:rPr>
              <w:t xml:space="preserve"> (IT) risinājuma izveidi”, protokollēmumā paredzot </w:t>
            </w:r>
            <w:r w:rsidRPr="00644E96">
              <w:rPr>
                <w:color w:val="000000" w:themeColor="text1"/>
                <w:szCs w:val="28"/>
              </w:rPr>
              <w:t>atbalstīt, ka iepriekš minētājā informatīvajā ziņojumā minētā informācijas tehnoloģiju risinājuma vakcinācijas procesa pārvaldības vajadzībām iegādei piemērojams Publisko iepirkumu likuma 3.panta astotajā daļā noteiktais izņēmums. </w:t>
            </w:r>
          </w:p>
        </w:tc>
      </w:tr>
    </w:tbl>
    <w:p w14:paraId="3C3D707D" w14:textId="77777777" w:rsidR="00E5323B" w:rsidRPr="00644E96" w:rsidRDefault="00E5323B" w:rsidP="00EC6E12">
      <w:pPr>
        <w:pStyle w:val="NoSpacing"/>
        <w:rPr>
          <w:rFonts w:ascii="Times New Roman" w:hAnsi="Times New Roman" w:cs="Times New Roman"/>
          <w:iCs/>
          <w:color w:val="000000" w:themeColor="text1"/>
          <w:sz w:val="24"/>
          <w:szCs w:val="24"/>
          <w:lang w:eastAsia="lv-LV"/>
        </w:rPr>
      </w:pPr>
    </w:p>
    <w:tbl>
      <w:tblPr>
        <w:tblStyle w:val="TableGrid"/>
        <w:tblW w:w="9356" w:type="dxa"/>
        <w:tblInd w:w="-147" w:type="dxa"/>
        <w:tblLook w:val="04A0" w:firstRow="1" w:lastRow="0" w:firstColumn="1" w:lastColumn="0" w:noHBand="0" w:noVBand="1"/>
      </w:tblPr>
      <w:tblGrid>
        <w:gridCol w:w="9356"/>
      </w:tblGrid>
      <w:tr w:rsidR="00644E96" w:rsidRPr="00644E96" w14:paraId="5DF225F0" w14:textId="77777777" w:rsidTr="006936E5">
        <w:tc>
          <w:tcPr>
            <w:tcW w:w="9356" w:type="dxa"/>
          </w:tcPr>
          <w:p w14:paraId="1C114789" w14:textId="77777777" w:rsidR="007F6F87" w:rsidRPr="00644E96" w:rsidRDefault="007F6F87" w:rsidP="003903BF">
            <w:pPr>
              <w:pStyle w:val="NoSpacing"/>
              <w:jc w:val="center"/>
              <w:rPr>
                <w:rFonts w:ascii="Times New Roman" w:hAnsi="Times New Roman" w:cs="Times New Roman"/>
                <w:b/>
                <w:color w:val="000000" w:themeColor="text1"/>
                <w:sz w:val="24"/>
                <w:szCs w:val="24"/>
                <w:lang w:eastAsia="lv-LV"/>
              </w:rPr>
            </w:pPr>
            <w:r w:rsidRPr="00644E96">
              <w:rPr>
                <w:rFonts w:ascii="Times New Roman" w:hAnsi="Times New Roman" w:cs="Times New Roman"/>
                <w:b/>
                <w:iCs/>
                <w:color w:val="000000" w:themeColor="text1"/>
                <w:sz w:val="24"/>
                <w:szCs w:val="24"/>
                <w:lang w:eastAsia="lv-LV"/>
              </w:rPr>
              <w:t>IV. Tiesību akta projekta ietekme uz spēkā esošo tiesību normu sistēmu</w:t>
            </w:r>
          </w:p>
        </w:tc>
      </w:tr>
      <w:tr w:rsidR="00644E96" w:rsidRPr="00644E96" w14:paraId="61D1EF16" w14:textId="77777777" w:rsidTr="006936E5">
        <w:tc>
          <w:tcPr>
            <w:tcW w:w="9356" w:type="dxa"/>
          </w:tcPr>
          <w:p w14:paraId="2DA659DB" w14:textId="77777777" w:rsidR="007F6F87" w:rsidRPr="00644E96" w:rsidRDefault="007F6F87" w:rsidP="003903BF">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Projekts šo jomu neskar</w:t>
            </w:r>
            <w:r w:rsidR="007272A8" w:rsidRPr="00644E96">
              <w:rPr>
                <w:rFonts w:ascii="Times New Roman" w:hAnsi="Times New Roman" w:cs="Times New Roman"/>
                <w:color w:val="000000" w:themeColor="text1"/>
                <w:sz w:val="24"/>
                <w:szCs w:val="24"/>
                <w:lang w:eastAsia="lv-LV"/>
              </w:rPr>
              <w:t>.</w:t>
            </w:r>
          </w:p>
        </w:tc>
      </w:tr>
    </w:tbl>
    <w:p w14:paraId="4DCE189A" w14:textId="77777777" w:rsidR="007F6F87" w:rsidRPr="00644E96" w:rsidRDefault="007F6F87" w:rsidP="00EC6E12">
      <w:pPr>
        <w:pStyle w:val="NoSpacing"/>
        <w:rPr>
          <w:rFonts w:ascii="Times New Roman" w:hAnsi="Times New Roman" w:cs="Times New Roman"/>
          <w:iCs/>
          <w:color w:val="000000" w:themeColor="text1"/>
          <w:sz w:val="24"/>
          <w:szCs w:val="24"/>
          <w:lang w:eastAsia="lv-LV"/>
        </w:rPr>
      </w:pPr>
    </w:p>
    <w:tbl>
      <w:tblPr>
        <w:tblStyle w:val="TableGrid"/>
        <w:tblW w:w="9356" w:type="dxa"/>
        <w:tblInd w:w="-147" w:type="dxa"/>
        <w:tblLook w:val="04A0" w:firstRow="1" w:lastRow="0" w:firstColumn="1" w:lastColumn="0" w:noHBand="0" w:noVBand="1"/>
      </w:tblPr>
      <w:tblGrid>
        <w:gridCol w:w="9356"/>
      </w:tblGrid>
      <w:tr w:rsidR="00644E96" w:rsidRPr="00644E96" w14:paraId="71CC8EC0" w14:textId="77777777" w:rsidTr="006936E5">
        <w:tc>
          <w:tcPr>
            <w:tcW w:w="9356" w:type="dxa"/>
          </w:tcPr>
          <w:p w14:paraId="76929E37" w14:textId="77777777" w:rsidR="007F6F87" w:rsidRPr="00644E96" w:rsidRDefault="007F6F87" w:rsidP="003903BF">
            <w:pPr>
              <w:pStyle w:val="NoSpacing"/>
              <w:jc w:val="center"/>
              <w:rPr>
                <w:rFonts w:ascii="Times New Roman" w:hAnsi="Times New Roman" w:cs="Times New Roman"/>
                <w:b/>
                <w:color w:val="000000" w:themeColor="text1"/>
                <w:sz w:val="24"/>
                <w:szCs w:val="24"/>
                <w:lang w:eastAsia="lv-LV"/>
              </w:rPr>
            </w:pPr>
            <w:r w:rsidRPr="00644E96">
              <w:rPr>
                <w:rFonts w:ascii="Times New Roman" w:hAnsi="Times New Roman" w:cs="Times New Roman"/>
                <w:b/>
                <w:iCs/>
                <w:color w:val="000000" w:themeColor="text1"/>
                <w:sz w:val="24"/>
                <w:szCs w:val="24"/>
                <w:lang w:eastAsia="lv-LV"/>
              </w:rPr>
              <w:t>V. Tiesību akta projekta atbilstība Latvijas Republikas starptautiskajām saistībām</w:t>
            </w:r>
          </w:p>
        </w:tc>
      </w:tr>
      <w:tr w:rsidR="00644E96" w:rsidRPr="00644E96" w14:paraId="7C21BBFD" w14:textId="77777777" w:rsidTr="006936E5">
        <w:tc>
          <w:tcPr>
            <w:tcW w:w="9356" w:type="dxa"/>
          </w:tcPr>
          <w:p w14:paraId="4F8D55CF" w14:textId="77777777" w:rsidR="007F6F87" w:rsidRPr="00644E96" w:rsidRDefault="007F6F87" w:rsidP="003903BF">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Projekts šo jomu neskar</w:t>
            </w:r>
            <w:r w:rsidR="007272A8" w:rsidRPr="00644E96">
              <w:rPr>
                <w:rFonts w:ascii="Times New Roman" w:hAnsi="Times New Roman" w:cs="Times New Roman"/>
                <w:color w:val="000000" w:themeColor="text1"/>
                <w:sz w:val="24"/>
                <w:szCs w:val="24"/>
                <w:lang w:eastAsia="lv-LV"/>
              </w:rPr>
              <w:t>.</w:t>
            </w:r>
          </w:p>
        </w:tc>
      </w:tr>
    </w:tbl>
    <w:p w14:paraId="3535D84A" w14:textId="77777777" w:rsidR="007F6F87" w:rsidRPr="00644E96" w:rsidRDefault="007F6F87" w:rsidP="00EC6E12">
      <w:pPr>
        <w:pStyle w:val="NoSpacing"/>
        <w:rPr>
          <w:rFonts w:ascii="Times New Roman" w:hAnsi="Times New Roman" w:cs="Times New Roman"/>
          <w:iCs/>
          <w:color w:val="000000" w:themeColor="text1"/>
          <w:sz w:val="24"/>
          <w:szCs w:val="24"/>
          <w:lang w:eastAsia="lv-LV"/>
        </w:rPr>
      </w:pPr>
    </w:p>
    <w:tbl>
      <w:tblPr>
        <w:tblStyle w:val="TableGrid"/>
        <w:tblW w:w="9356" w:type="dxa"/>
        <w:tblInd w:w="-147" w:type="dxa"/>
        <w:tblLook w:val="04A0" w:firstRow="1" w:lastRow="0" w:firstColumn="1" w:lastColumn="0" w:noHBand="0" w:noVBand="1"/>
      </w:tblPr>
      <w:tblGrid>
        <w:gridCol w:w="9356"/>
      </w:tblGrid>
      <w:tr w:rsidR="00644E96" w:rsidRPr="00644E96" w14:paraId="2F02E0D9" w14:textId="77777777" w:rsidTr="006936E5">
        <w:tc>
          <w:tcPr>
            <w:tcW w:w="9356" w:type="dxa"/>
          </w:tcPr>
          <w:p w14:paraId="6DB760A1" w14:textId="77777777" w:rsidR="007F6F87" w:rsidRPr="00644E96" w:rsidRDefault="007F6F87" w:rsidP="003903BF">
            <w:pPr>
              <w:pStyle w:val="NoSpacing"/>
              <w:jc w:val="center"/>
              <w:rPr>
                <w:rFonts w:ascii="Times New Roman" w:hAnsi="Times New Roman" w:cs="Times New Roman"/>
                <w:b/>
                <w:color w:val="000000" w:themeColor="text1"/>
                <w:sz w:val="24"/>
                <w:szCs w:val="24"/>
                <w:lang w:eastAsia="lv-LV"/>
              </w:rPr>
            </w:pPr>
            <w:r w:rsidRPr="00644E96">
              <w:rPr>
                <w:rFonts w:ascii="Times New Roman" w:hAnsi="Times New Roman" w:cs="Times New Roman"/>
                <w:b/>
                <w:iCs/>
                <w:color w:val="000000" w:themeColor="text1"/>
                <w:sz w:val="24"/>
                <w:szCs w:val="24"/>
                <w:lang w:eastAsia="lv-LV"/>
              </w:rPr>
              <w:t>VI. Sabiedrības līdzdalība un komunikācijas aktivitātes</w:t>
            </w:r>
          </w:p>
        </w:tc>
      </w:tr>
      <w:tr w:rsidR="00644E96" w:rsidRPr="00644E96" w14:paraId="5CE1B90E" w14:textId="77777777" w:rsidTr="006936E5">
        <w:tc>
          <w:tcPr>
            <w:tcW w:w="9356" w:type="dxa"/>
          </w:tcPr>
          <w:p w14:paraId="1C78AF17" w14:textId="77777777" w:rsidR="007F6F87" w:rsidRPr="00644E96" w:rsidRDefault="007F6F87" w:rsidP="003903BF">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Projekts šo jomu neskar</w:t>
            </w:r>
            <w:r w:rsidR="007272A8" w:rsidRPr="00644E96">
              <w:rPr>
                <w:rFonts w:ascii="Times New Roman" w:hAnsi="Times New Roman" w:cs="Times New Roman"/>
                <w:color w:val="000000" w:themeColor="text1"/>
                <w:sz w:val="24"/>
                <w:szCs w:val="24"/>
                <w:lang w:eastAsia="lv-LV"/>
              </w:rPr>
              <w:t>.</w:t>
            </w:r>
          </w:p>
        </w:tc>
      </w:tr>
    </w:tbl>
    <w:p w14:paraId="5A8534A9" w14:textId="77777777" w:rsidR="007F6F87" w:rsidRPr="00644E96" w:rsidRDefault="00E5323B" w:rsidP="00EC6E12">
      <w:pPr>
        <w:pStyle w:val="NoSpacing"/>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644E96" w:rsidRPr="00644E96" w14:paraId="5C70305E" w14:textId="77777777" w:rsidTr="006936E5">
        <w:tc>
          <w:tcPr>
            <w:tcW w:w="9356" w:type="dxa"/>
            <w:gridSpan w:val="3"/>
          </w:tcPr>
          <w:p w14:paraId="43422AC9" w14:textId="77777777" w:rsidR="007F6F87" w:rsidRPr="00644E96" w:rsidRDefault="007F6F87" w:rsidP="003903BF">
            <w:pPr>
              <w:pStyle w:val="NoSpacing"/>
              <w:jc w:val="center"/>
              <w:rPr>
                <w:rFonts w:ascii="Times New Roman" w:hAnsi="Times New Roman" w:cs="Times New Roman"/>
                <w:b/>
                <w:color w:val="000000" w:themeColor="text1"/>
                <w:sz w:val="24"/>
                <w:szCs w:val="24"/>
                <w:lang w:eastAsia="lv-LV"/>
              </w:rPr>
            </w:pPr>
            <w:r w:rsidRPr="00644E96">
              <w:rPr>
                <w:rFonts w:ascii="Times New Roman" w:hAnsi="Times New Roman" w:cs="Times New Roman"/>
                <w:b/>
                <w:iCs/>
                <w:color w:val="000000" w:themeColor="text1"/>
                <w:sz w:val="24"/>
                <w:szCs w:val="24"/>
                <w:lang w:eastAsia="lv-LV"/>
              </w:rPr>
              <w:lastRenderedPageBreak/>
              <w:t>VII. Tiesību akta projekta izpildes nodrošināšana un tās ietekme uz institūcijām</w:t>
            </w:r>
          </w:p>
        </w:tc>
      </w:tr>
      <w:tr w:rsidR="00644E96" w:rsidRPr="00644E96" w14:paraId="092D18A7" w14:textId="77777777" w:rsidTr="006936E5">
        <w:tc>
          <w:tcPr>
            <w:tcW w:w="568" w:type="dxa"/>
          </w:tcPr>
          <w:p w14:paraId="56FC6DB3" w14:textId="77777777" w:rsidR="007F7D5A" w:rsidRPr="00644E96" w:rsidRDefault="007F7D5A" w:rsidP="007F7D5A">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1.</w:t>
            </w:r>
          </w:p>
        </w:tc>
        <w:tc>
          <w:tcPr>
            <w:tcW w:w="3260" w:type="dxa"/>
          </w:tcPr>
          <w:p w14:paraId="2D0946EB" w14:textId="77777777" w:rsidR="007F7D5A" w:rsidRPr="00644E96" w:rsidRDefault="007F7D5A" w:rsidP="007F7D5A">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Projekta izpildē iesaistītās institūcijas</w:t>
            </w:r>
          </w:p>
        </w:tc>
        <w:tc>
          <w:tcPr>
            <w:tcW w:w="5528" w:type="dxa"/>
          </w:tcPr>
          <w:p w14:paraId="57F26582" w14:textId="543B0FA6" w:rsidR="007F7D5A" w:rsidRPr="00644E96" w:rsidRDefault="004C3EBD" w:rsidP="007F7D5A">
            <w:pPr>
              <w:jc w:val="both"/>
              <w:rPr>
                <w:color w:val="000000" w:themeColor="text1"/>
              </w:rPr>
            </w:pPr>
            <w:r w:rsidRPr="00644E96">
              <w:rPr>
                <w:color w:val="000000" w:themeColor="text1"/>
              </w:rPr>
              <w:t>Nacionālais veselības dienests</w:t>
            </w:r>
          </w:p>
        </w:tc>
      </w:tr>
      <w:tr w:rsidR="00644E96" w:rsidRPr="00644E96" w14:paraId="09F7BD17" w14:textId="77777777" w:rsidTr="006936E5">
        <w:tc>
          <w:tcPr>
            <w:tcW w:w="568" w:type="dxa"/>
          </w:tcPr>
          <w:p w14:paraId="22176BC7" w14:textId="77777777" w:rsidR="0049601C" w:rsidRPr="00644E96" w:rsidRDefault="0049601C" w:rsidP="0049601C">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2.</w:t>
            </w:r>
          </w:p>
        </w:tc>
        <w:tc>
          <w:tcPr>
            <w:tcW w:w="3260" w:type="dxa"/>
          </w:tcPr>
          <w:p w14:paraId="778E721A" w14:textId="77777777" w:rsidR="0049601C" w:rsidRPr="00644E96" w:rsidRDefault="0049601C" w:rsidP="0049601C">
            <w:pPr>
              <w:pStyle w:val="NoSpacing"/>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Projekta izpildes ietekme uz pārvaldes funkcijām un institucionālo struktūru.</w:t>
            </w:r>
            <w:r w:rsidRPr="00644E96">
              <w:rPr>
                <w:rFonts w:ascii="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5528" w:type="dxa"/>
          </w:tcPr>
          <w:p w14:paraId="2EBC5438" w14:textId="77777777" w:rsidR="0049601C" w:rsidRPr="00644E96" w:rsidRDefault="0049601C" w:rsidP="0049601C">
            <w:pPr>
              <w:rPr>
                <w:color w:val="000000" w:themeColor="text1"/>
              </w:rPr>
            </w:pPr>
            <w:r w:rsidRPr="00644E96">
              <w:rPr>
                <w:color w:val="000000" w:themeColor="text1"/>
              </w:rPr>
              <w:t>Projekts šo jomu neskar.</w:t>
            </w:r>
          </w:p>
        </w:tc>
      </w:tr>
      <w:tr w:rsidR="00644E96" w:rsidRPr="00644E96" w14:paraId="75619957" w14:textId="77777777" w:rsidTr="006936E5">
        <w:tc>
          <w:tcPr>
            <w:tcW w:w="568" w:type="dxa"/>
          </w:tcPr>
          <w:p w14:paraId="001DDF8B" w14:textId="77777777" w:rsidR="0049601C" w:rsidRPr="00644E96" w:rsidRDefault="0049601C" w:rsidP="0049601C">
            <w:pPr>
              <w:pStyle w:val="NoSpacing"/>
              <w:jc w:val="center"/>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3.</w:t>
            </w:r>
          </w:p>
        </w:tc>
        <w:tc>
          <w:tcPr>
            <w:tcW w:w="3260" w:type="dxa"/>
          </w:tcPr>
          <w:p w14:paraId="15159637" w14:textId="77777777" w:rsidR="0049601C" w:rsidRPr="00644E96" w:rsidRDefault="0049601C" w:rsidP="0049601C">
            <w:pPr>
              <w:pStyle w:val="NoSpacing"/>
              <w:jc w:val="both"/>
              <w:rPr>
                <w:rFonts w:ascii="Times New Roman" w:hAnsi="Times New Roman" w:cs="Times New Roman"/>
                <w:iCs/>
                <w:color w:val="000000" w:themeColor="text1"/>
                <w:sz w:val="24"/>
                <w:szCs w:val="24"/>
                <w:lang w:eastAsia="lv-LV"/>
              </w:rPr>
            </w:pPr>
            <w:r w:rsidRPr="00644E96">
              <w:rPr>
                <w:rFonts w:ascii="Times New Roman" w:hAnsi="Times New Roman" w:cs="Times New Roman"/>
                <w:iCs/>
                <w:color w:val="000000" w:themeColor="text1"/>
                <w:sz w:val="24"/>
                <w:szCs w:val="24"/>
                <w:lang w:eastAsia="lv-LV"/>
              </w:rPr>
              <w:t>Cita informācija</w:t>
            </w:r>
          </w:p>
        </w:tc>
        <w:tc>
          <w:tcPr>
            <w:tcW w:w="5528" w:type="dxa"/>
          </w:tcPr>
          <w:p w14:paraId="783070BA" w14:textId="77777777" w:rsidR="0049601C" w:rsidRPr="00644E96" w:rsidRDefault="0049601C" w:rsidP="0049601C">
            <w:pPr>
              <w:pStyle w:val="NoSpacing"/>
              <w:rPr>
                <w:rFonts w:ascii="Times New Roman" w:hAnsi="Times New Roman" w:cs="Times New Roman"/>
                <w:color w:val="000000" w:themeColor="text1"/>
                <w:sz w:val="24"/>
                <w:szCs w:val="24"/>
                <w:lang w:eastAsia="lv-LV"/>
              </w:rPr>
            </w:pPr>
            <w:r w:rsidRPr="00644E96">
              <w:rPr>
                <w:rFonts w:ascii="Times New Roman" w:hAnsi="Times New Roman" w:cs="Times New Roman"/>
                <w:color w:val="000000" w:themeColor="text1"/>
                <w:sz w:val="24"/>
                <w:szCs w:val="24"/>
                <w:lang w:eastAsia="lv-LV"/>
              </w:rPr>
              <w:t>Nav</w:t>
            </w:r>
          </w:p>
        </w:tc>
      </w:tr>
    </w:tbl>
    <w:p w14:paraId="3C44A819" w14:textId="77777777" w:rsidR="008B37B7" w:rsidRPr="007B47C5" w:rsidRDefault="00E5323B"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 </w:t>
      </w:r>
    </w:p>
    <w:p w14:paraId="30F1ACE9" w14:textId="77777777" w:rsidR="003E19F5" w:rsidRPr="007B47C5" w:rsidRDefault="003E19F5" w:rsidP="003E19F5">
      <w:pPr>
        <w:ind w:right="-765"/>
        <w:rPr>
          <w:sz w:val="28"/>
          <w:szCs w:val="28"/>
        </w:rPr>
      </w:pPr>
      <w:bookmarkStart w:id="2" w:name="_Hlk60918739"/>
    </w:p>
    <w:p w14:paraId="42833AB7" w14:textId="77777777" w:rsidR="003E19F5" w:rsidRPr="007B47C5" w:rsidRDefault="003E19F5" w:rsidP="003E19F5">
      <w:pPr>
        <w:ind w:right="-765"/>
        <w:rPr>
          <w:sz w:val="28"/>
          <w:szCs w:val="28"/>
        </w:rPr>
      </w:pPr>
      <w:r w:rsidRPr="007B47C5">
        <w:rPr>
          <w:sz w:val="28"/>
          <w:szCs w:val="28"/>
        </w:rPr>
        <w:t>Veselības ministrs</w:t>
      </w:r>
      <w:r w:rsidRPr="007B47C5">
        <w:rPr>
          <w:sz w:val="28"/>
          <w:szCs w:val="28"/>
        </w:rPr>
        <w:tab/>
      </w:r>
      <w:r w:rsidRPr="007B47C5">
        <w:rPr>
          <w:sz w:val="28"/>
          <w:szCs w:val="28"/>
        </w:rPr>
        <w:tab/>
      </w:r>
      <w:r w:rsidRPr="007B47C5">
        <w:rPr>
          <w:sz w:val="28"/>
          <w:szCs w:val="28"/>
        </w:rPr>
        <w:tab/>
      </w:r>
      <w:r w:rsidRPr="007B47C5">
        <w:rPr>
          <w:sz w:val="28"/>
          <w:szCs w:val="28"/>
        </w:rPr>
        <w:tab/>
      </w:r>
      <w:r w:rsidRPr="007B47C5">
        <w:rPr>
          <w:sz w:val="28"/>
          <w:szCs w:val="28"/>
        </w:rPr>
        <w:tab/>
      </w:r>
      <w:r w:rsidRPr="007B47C5">
        <w:rPr>
          <w:sz w:val="28"/>
          <w:szCs w:val="28"/>
        </w:rPr>
        <w:tab/>
        <w:t>D.Pavļuts</w:t>
      </w:r>
    </w:p>
    <w:bookmarkEnd w:id="2"/>
    <w:p w14:paraId="3F7050AD" w14:textId="77777777" w:rsidR="003E19F5" w:rsidRPr="007B47C5" w:rsidRDefault="003E19F5" w:rsidP="003E19F5">
      <w:pPr>
        <w:tabs>
          <w:tab w:val="left" w:pos="6237"/>
        </w:tabs>
        <w:ind w:firstLine="720"/>
        <w:rPr>
          <w:rFonts w:eastAsiaTheme="minorHAnsi"/>
          <w:sz w:val="28"/>
          <w:szCs w:val="28"/>
        </w:rPr>
      </w:pPr>
      <w:r w:rsidRPr="007B47C5">
        <w:rPr>
          <w:sz w:val="28"/>
          <w:szCs w:val="28"/>
        </w:rPr>
        <w:tab/>
      </w:r>
    </w:p>
    <w:p w14:paraId="52D3E0A7" w14:textId="77777777" w:rsidR="003E19F5" w:rsidRPr="007B47C5" w:rsidRDefault="003E19F5" w:rsidP="003E19F5">
      <w:pPr>
        <w:pStyle w:val="NormalWeb"/>
        <w:spacing w:before="0" w:beforeAutospacing="0" w:after="0" w:afterAutospacing="0"/>
        <w:rPr>
          <w:sz w:val="20"/>
          <w:szCs w:val="20"/>
        </w:rPr>
      </w:pPr>
      <w:r w:rsidRPr="007B47C5">
        <w:rPr>
          <w:rFonts w:eastAsia="Calibri"/>
          <w:sz w:val="28"/>
          <w:szCs w:val="28"/>
        </w:rPr>
        <w:t>Vīza: Valsts sekretāre</w:t>
      </w:r>
      <w:r w:rsidRPr="007B47C5">
        <w:rPr>
          <w:rFonts w:eastAsia="Calibri"/>
          <w:sz w:val="28"/>
          <w:szCs w:val="28"/>
        </w:rPr>
        <w:tab/>
      </w:r>
      <w:r w:rsidRPr="007B47C5">
        <w:rPr>
          <w:rFonts w:eastAsia="Calibri"/>
          <w:sz w:val="28"/>
          <w:szCs w:val="28"/>
        </w:rPr>
        <w:tab/>
      </w:r>
      <w:r w:rsidRPr="007B47C5">
        <w:rPr>
          <w:rFonts w:eastAsia="Calibri"/>
          <w:sz w:val="28"/>
          <w:szCs w:val="28"/>
        </w:rPr>
        <w:tab/>
      </w:r>
      <w:r w:rsidRPr="007B47C5">
        <w:rPr>
          <w:rFonts w:eastAsia="Calibri"/>
          <w:sz w:val="28"/>
          <w:szCs w:val="28"/>
        </w:rPr>
        <w:tab/>
      </w:r>
      <w:r w:rsidRPr="007B47C5">
        <w:rPr>
          <w:rFonts w:eastAsia="Calibri"/>
          <w:sz w:val="28"/>
          <w:szCs w:val="28"/>
        </w:rPr>
        <w:tab/>
        <w:t>D. Mūrmane-Umbraško</w:t>
      </w:r>
    </w:p>
    <w:p w14:paraId="255E3E69" w14:textId="77777777" w:rsidR="003E19F5" w:rsidRPr="007B47C5" w:rsidRDefault="003E19F5" w:rsidP="003E19F5">
      <w:pPr>
        <w:pStyle w:val="NormalWeb"/>
        <w:spacing w:before="0" w:beforeAutospacing="0" w:after="0" w:afterAutospacing="0"/>
      </w:pPr>
    </w:p>
    <w:p w14:paraId="2B8D1085" w14:textId="77777777" w:rsidR="003E19F5" w:rsidRPr="007B47C5" w:rsidRDefault="003E19F5" w:rsidP="003E19F5">
      <w:pPr>
        <w:pStyle w:val="NormalWeb"/>
        <w:spacing w:before="0" w:beforeAutospacing="0" w:after="0" w:afterAutospacing="0"/>
      </w:pPr>
    </w:p>
    <w:p w14:paraId="5DBF9801" w14:textId="77777777" w:rsidR="003E19F5" w:rsidRPr="007B47C5" w:rsidRDefault="003E19F5" w:rsidP="003E19F5">
      <w:pPr>
        <w:pStyle w:val="NormalWeb"/>
        <w:spacing w:before="0" w:beforeAutospacing="0" w:after="0" w:afterAutospacing="0"/>
      </w:pPr>
    </w:p>
    <w:p w14:paraId="1A374877" w14:textId="77777777" w:rsidR="003E19F5" w:rsidRPr="007B47C5" w:rsidRDefault="003E19F5" w:rsidP="003E19F5">
      <w:pPr>
        <w:pStyle w:val="NormalWeb"/>
        <w:spacing w:before="0" w:beforeAutospacing="0" w:after="0" w:afterAutospacing="0"/>
      </w:pPr>
    </w:p>
    <w:p w14:paraId="55E3B87F" w14:textId="77777777" w:rsidR="003E19F5" w:rsidRPr="007B47C5" w:rsidRDefault="003E19F5" w:rsidP="003E19F5">
      <w:pPr>
        <w:pStyle w:val="NormalWeb"/>
        <w:spacing w:before="0" w:beforeAutospacing="0" w:after="0" w:afterAutospacing="0"/>
      </w:pPr>
    </w:p>
    <w:p w14:paraId="1C29D3FA" w14:textId="77777777" w:rsidR="003E19F5" w:rsidRPr="007B47C5" w:rsidRDefault="003E19F5" w:rsidP="003E19F5">
      <w:pPr>
        <w:pStyle w:val="NormalWeb"/>
        <w:spacing w:before="0" w:beforeAutospacing="0" w:after="0" w:afterAutospacing="0"/>
      </w:pPr>
    </w:p>
    <w:p w14:paraId="0BB5F09F" w14:textId="77777777" w:rsidR="003E19F5" w:rsidRPr="007B47C5" w:rsidRDefault="003E19F5" w:rsidP="003E19F5">
      <w:pPr>
        <w:pStyle w:val="NormalWeb"/>
        <w:spacing w:before="0" w:beforeAutospacing="0" w:after="0" w:afterAutospacing="0"/>
      </w:pPr>
      <w:r w:rsidRPr="007B47C5">
        <w:t>Kasparenko 67876147</w:t>
      </w:r>
    </w:p>
    <w:p w14:paraId="5DDCAC39" w14:textId="77777777" w:rsidR="003E19F5" w:rsidRPr="007B47C5" w:rsidRDefault="00D23388" w:rsidP="003E19F5">
      <w:pPr>
        <w:pStyle w:val="NormalWeb"/>
        <w:spacing w:before="0" w:beforeAutospacing="0" w:after="0" w:afterAutospacing="0"/>
      </w:pPr>
      <w:hyperlink r:id="rId9" w:history="1">
        <w:r w:rsidR="003E19F5" w:rsidRPr="007B47C5">
          <w:rPr>
            <w:rStyle w:val="Hyperlink"/>
            <w:color w:val="auto"/>
          </w:rPr>
          <w:t>sandra.kasparenko@vm.gov.lv</w:t>
        </w:r>
      </w:hyperlink>
    </w:p>
    <w:p w14:paraId="75C7E3D7" w14:textId="77777777" w:rsidR="008B37B7" w:rsidRPr="007B47C5" w:rsidRDefault="008B37B7" w:rsidP="00EC6E12">
      <w:pPr>
        <w:pStyle w:val="NoSpacing"/>
        <w:rPr>
          <w:rFonts w:ascii="Times New Roman" w:hAnsi="Times New Roman" w:cs="Times New Roman"/>
          <w:iCs/>
          <w:sz w:val="24"/>
          <w:szCs w:val="24"/>
          <w:lang w:eastAsia="lv-LV"/>
        </w:rPr>
      </w:pPr>
    </w:p>
    <w:sectPr w:rsidR="008B37B7" w:rsidRPr="007B47C5"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7D8E" w14:textId="77777777" w:rsidR="00BD3B35" w:rsidRDefault="00BD3B35" w:rsidP="00894C55">
      <w:r>
        <w:separator/>
      </w:r>
    </w:p>
  </w:endnote>
  <w:endnote w:type="continuationSeparator" w:id="0">
    <w:p w14:paraId="3408A9A9" w14:textId="77777777" w:rsidR="00BD3B35" w:rsidRDefault="00BD3B3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5F36" w14:textId="77777777" w:rsidR="00D23388" w:rsidRDefault="00D2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5F32" w14:textId="49C3EED2" w:rsidR="002074A4" w:rsidRPr="00997502" w:rsidRDefault="00B276B8" w:rsidP="00B276B8">
    <w:pPr>
      <w:pStyle w:val="Footer"/>
      <w:rPr>
        <w:color w:val="FF0000"/>
      </w:rPr>
    </w:pPr>
    <w:r>
      <w:rPr>
        <w:rFonts w:ascii="Times New Roman" w:hAnsi="Times New Roman" w:cs="Times New Roman"/>
        <w:sz w:val="20"/>
        <w:szCs w:val="20"/>
      </w:rPr>
      <w:t>VManot_</w:t>
    </w:r>
    <w:r w:rsidR="00D23388">
      <w:rPr>
        <w:rFonts w:ascii="Times New Roman" w:hAnsi="Times New Roman" w:cs="Times New Roman"/>
        <w:sz w:val="20"/>
        <w:szCs w:val="20"/>
      </w:rPr>
      <w:t>030221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2495" w14:textId="2AA6F72D" w:rsidR="002074A4" w:rsidRPr="00AF69C9" w:rsidRDefault="00B276B8" w:rsidP="00AF69C9">
    <w:pPr>
      <w:pStyle w:val="Footer"/>
    </w:pPr>
    <w:r>
      <w:rPr>
        <w:rFonts w:ascii="Times New Roman" w:hAnsi="Times New Roman" w:cs="Times New Roman"/>
        <w:sz w:val="20"/>
        <w:szCs w:val="20"/>
      </w:rPr>
      <w:t>VManot_</w:t>
    </w:r>
    <w:r w:rsidR="00D23388">
      <w:rPr>
        <w:rFonts w:ascii="Times New Roman" w:hAnsi="Times New Roman" w:cs="Times New Roman"/>
        <w:sz w:val="20"/>
        <w:szCs w:val="20"/>
      </w:rPr>
      <w:t>030221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C6FA" w14:textId="77777777" w:rsidR="00BD3B35" w:rsidRDefault="00BD3B35" w:rsidP="00894C55">
      <w:r>
        <w:separator/>
      </w:r>
    </w:p>
  </w:footnote>
  <w:footnote w:type="continuationSeparator" w:id="0">
    <w:p w14:paraId="49657536" w14:textId="77777777" w:rsidR="00BD3B35" w:rsidRDefault="00BD3B3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230A" w14:textId="77777777" w:rsidR="00D23388" w:rsidRDefault="00D23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3D271E"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470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D160" w14:textId="77777777" w:rsidR="00D23388" w:rsidRDefault="00D2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2DD4EA0"/>
    <w:multiLevelType w:val="multilevel"/>
    <w:tmpl w:val="341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A04C5"/>
    <w:multiLevelType w:val="hybridMultilevel"/>
    <w:tmpl w:val="3E84AF42"/>
    <w:lvl w:ilvl="0" w:tplc="81FC45E8">
      <w:start w:val="4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C2F60"/>
    <w:multiLevelType w:val="hybridMultilevel"/>
    <w:tmpl w:val="875441DA"/>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4"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32F76"/>
    <w:multiLevelType w:val="hybridMultilevel"/>
    <w:tmpl w:val="1FE26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7" w15:restartNumberingAfterBreak="0">
    <w:nsid w:val="3FA55304"/>
    <w:multiLevelType w:val="hybridMultilevel"/>
    <w:tmpl w:val="E8D6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8D74BB"/>
    <w:multiLevelType w:val="hybridMultilevel"/>
    <w:tmpl w:val="E26025E6"/>
    <w:lvl w:ilvl="0" w:tplc="308A870C">
      <w:start w:val="1"/>
      <w:numFmt w:val="bullet"/>
      <w:lvlText w:val="-"/>
      <w:lvlJc w:val="left"/>
      <w:pPr>
        <w:ind w:left="1031" w:hanging="360"/>
      </w:pPr>
      <w:rPr>
        <w:rFonts w:ascii="Times New Roman" w:eastAsiaTheme="minorHAnsi" w:hAnsi="Times New Roman" w:cs="Times New Roman" w:hint="default"/>
      </w:rPr>
    </w:lvl>
    <w:lvl w:ilvl="1" w:tplc="04260003">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9"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96532A"/>
    <w:multiLevelType w:val="hybridMultilevel"/>
    <w:tmpl w:val="8EC6CE96"/>
    <w:lvl w:ilvl="0" w:tplc="16482EE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29003C"/>
    <w:multiLevelType w:val="hybridMultilevel"/>
    <w:tmpl w:val="EA7052C6"/>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2" w15:restartNumberingAfterBreak="0">
    <w:nsid w:val="78854A8A"/>
    <w:multiLevelType w:val="hybridMultilevel"/>
    <w:tmpl w:val="59F6C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8"/>
  </w:num>
  <w:num w:numId="7">
    <w:abstractNumId w:val="11"/>
  </w:num>
  <w:num w:numId="8">
    <w:abstractNumId w:val="3"/>
  </w:num>
  <w:num w:numId="9">
    <w:abstractNumId w:val="12"/>
  </w:num>
  <w:num w:numId="10">
    <w:abstractNumId w:val="2"/>
  </w:num>
  <w:num w:numId="11">
    <w:abstractNumId w:val="10"/>
  </w:num>
  <w:num w:numId="12">
    <w:abstractNumId w:val="5"/>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38C4"/>
    <w:rsid w:val="000140B8"/>
    <w:rsid w:val="00015508"/>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4CD1"/>
    <w:rsid w:val="00066B47"/>
    <w:rsid w:val="00067B40"/>
    <w:rsid w:val="0007255D"/>
    <w:rsid w:val="000746B1"/>
    <w:rsid w:val="00075493"/>
    <w:rsid w:val="00076EDC"/>
    <w:rsid w:val="00080BB1"/>
    <w:rsid w:val="0008249D"/>
    <w:rsid w:val="00087E40"/>
    <w:rsid w:val="000927E1"/>
    <w:rsid w:val="000946D7"/>
    <w:rsid w:val="00095F9A"/>
    <w:rsid w:val="000A1461"/>
    <w:rsid w:val="000A21B9"/>
    <w:rsid w:val="000A4002"/>
    <w:rsid w:val="000A4A1E"/>
    <w:rsid w:val="000A7A72"/>
    <w:rsid w:val="000A7DB5"/>
    <w:rsid w:val="000B0F4A"/>
    <w:rsid w:val="000B32B9"/>
    <w:rsid w:val="000B54FA"/>
    <w:rsid w:val="000C08C0"/>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79C"/>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57E"/>
    <w:rsid w:val="00154A6D"/>
    <w:rsid w:val="00155578"/>
    <w:rsid w:val="0015591C"/>
    <w:rsid w:val="00156771"/>
    <w:rsid w:val="00157405"/>
    <w:rsid w:val="00162996"/>
    <w:rsid w:val="001650D3"/>
    <w:rsid w:val="001663ED"/>
    <w:rsid w:val="0017373E"/>
    <w:rsid w:val="0017597C"/>
    <w:rsid w:val="00177A29"/>
    <w:rsid w:val="0018021B"/>
    <w:rsid w:val="0018061C"/>
    <w:rsid w:val="00182B20"/>
    <w:rsid w:val="001834A1"/>
    <w:rsid w:val="0018516A"/>
    <w:rsid w:val="0019349E"/>
    <w:rsid w:val="00197370"/>
    <w:rsid w:val="001A2778"/>
    <w:rsid w:val="001A3AF0"/>
    <w:rsid w:val="001A559D"/>
    <w:rsid w:val="001A5818"/>
    <w:rsid w:val="001A7F37"/>
    <w:rsid w:val="001B0030"/>
    <w:rsid w:val="001B6C59"/>
    <w:rsid w:val="001C2F68"/>
    <w:rsid w:val="001C40F7"/>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54FE"/>
    <w:rsid w:val="002074A4"/>
    <w:rsid w:val="002119C3"/>
    <w:rsid w:val="00216305"/>
    <w:rsid w:val="00217B7C"/>
    <w:rsid w:val="00220B1B"/>
    <w:rsid w:val="00223CED"/>
    <w:rsid w:val="0022453A"/>
    <w:rsid w:val="00230841"/>
    <w:rsid w:val="0023168A"/>
    <w:rsid w:val="002355FE"/>
    <w:rsid w:val="00243426"/>
    <w:rsid w:val="002473FB"/>
    <w:rsid w:val="002549F5"/>
    <w:rsid w:val="00255D92"/>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95B"/>
    <w:rsid w:val="002E6CE7"/>
    <w:rsid w:val="002F2DDA"/>
    <w:rsid w:val="002F32CD"/>
    <w:rsid w:val="002F3919"/>
    <w:rsid w:val="002F7B64"/>
    <w:rsid w:val="00300E78"/>
    <w:rsid w:val="00303246"/>
    <w:rsid w:val="003102E6"/>
    <w:rsid w:val="00312097"/>
    <w:rsid w:val="00312466"/>
    <w:rsid w:val="00313AD3"/>
    <w:rsid w:val="003142B7"/>
    <w:rsid w:val="0031532F"/>
    <w:rsid w:val="00317A20"/>
    <w:rsid w:val="00320014"/>
    <w:rsid w:val="003205CD"/>
    <w:rsid w:val="003243B6"/>
    <w:rsid w:val="0033371C"/>
    <w:rsid w:val="00334745"/>
    <w:rsid w:val="00335899"/>
    <w:rsid w:val="00340618"/>
    <w:rsid w:val="00340F13"/>
    <w:rsid w:val="00341D70"/>
    <w:rsid w:val="00350806"/>
    <w:rsid w:val="00354B28"/>
    <w:rsid w:val="003605E4"/>
    <w:rsid w:val="00360972"/>
    <w:rsid w:val="00361916"/>
    <w:rsid w:val="00362642"/>
    <w:rsid w:val="00362E82"/>
    <w:rsid w:val="003671CE"/>
    <w:rsid w:val="00367478"/>
    <w:rsid w:val="00367AB5"/>
    <w:rsid w:val="00367E06"/>
    <w:rsid w:val="00372641"/>
    <w:rsid w:val="00372ACB"/>
    <w:rsid w:val="00375ED6"/>
    <w:rsid w:val="00377546"/>
    <w:rsid w:val="00380C6D"/>
    <w:rsid w:val="003874BB"/>
    <w:rsid w:val="003903BF"/>
    <w:rsid w:val="0039374D"/>
    <w:rsid w:val="00394A4C"/>
    <w:rsid w:val="003A2F4D"/>
    <w:rsid w:val="003B0BF9"/>
    <w:rsid w:val="003B1E03"/>
    <w:rsid w:val="003B76AB"/>
    <w:rsid w:val="003C0235"/>
    <w:rsid w:val="003C2624"/>
    <w:rsid w:val="003C44BC"/>
    <w:rsid w:val="003C7AEA"/>
    <w:rsid w:val="003D0CE2"/>
    <w:rsid w:val="003D23E3"/>
    <w:rsid w:val="003D3453"/>
    <w:rsid w:val="003D346D"/>
    <w:rsid w:val="003D3A36"/>
    <w:rsid w:val="003D4330"/>
    <w:rsid w:val="003D6DD6"/>
    <w:rsid w:val="003E0791"/>
    <w:rsid w:val="003E0FF4"/>
    <w:rsid w:val="003E19F5"/>
    <w:rsid w:val="003E4147"/>
    <w:rsid w:val="003F1F2D"/>
    <w:rsid w:val="003F28AC"/>
    <w:rsid w:val="003F33C0"/>
    <w:rsid w:val="003F66CA"/>
    <w:rsid w:val="00401F30"/>
    <w:rsid w:val="00403A2F"/>
    <w:rsid w:val="00411519"/>
    <w:rsid w:val="004150E1"/>
    <w:rsid w:val="00416490"/>
    <w:rsid w:val="0041654D"/>
    <w:rsid w:val="00417A7A"/>
    <w:rsid w:val="00420133"/>
    <w:rsid w:val="00421EB1"/>
    <w:rsid w:val="0042241F"/>
    <w:rsid w:val="00431C39"/>
    <w:rsid w:val="0043377F"/>
    <w:rsid w:val="00435568"/>
    <w:rsid w:val="00436770"/>
    <w:rsid w:val="0043765E"/>
    <w:rsid w:val="00444DEC"/>
    <w:rsid w:val="004454FE"/>
    <w:rsid w:val="00451F79"/>
    <w:rsid w:val="00452463"/>
    <w:rsid w:val="00456E40"/>
    <w:rsid w:val="004622AB"/>
    <w:rsid w:val="00462B3C"/>
    <w:rsid w:val="00463B4E"/>
    <w:rsid w:val="00467DE3"/>
    <w:rsid w:val="00470506"/>
    <w:rsid w:val="00470591"/>
    <w:rsid w:val="00470ECD"/>
    <w:rsid w:val="00471230"/>
    <w:rsid w:val="00471F27"/>
    <w:rsid w:val="00475F37"/>
    <w:rsid w:val="004760A5"/>
    <w:rsid w:val="00476D3E"/>
    <w:rsid w:val="00481DDB"/>
    <w:rsid w:val="004853EE"/>
    <w:rsid w:val="00485E78"/>
    <w:rsid w:val="0048753C"/>
    <w:rsid w:val="004875DD"/>
    <w:rsid w:val="00493BF2"/>
    <w:rsid w:val="00494F80"/>
    <w:rsid w:val="00495760"/>
    <w:rsid w:val="0049601C"/>
    <w:rsid w:val="004963DB"/>
    <w:rsid w:val="004B5A63"/>
    <w:rsid w:val="004B7D07"/>
    <w:rsid w:val="004C09A5"/>
    <w:rsid w:val="004C1FE7"/>
    <w:rsid w:val="004C3EBD"/>
    <w:rsid w:val="004C44A1"/>
    <w:rsid w:val="004D2294"/>
    <w:rsid w:val="004D6991"/>
    <w:rsid w:val="004D7640"/>
    <w:rsid w:val="004E0175"/>
    <w:rsid w:val="004E1BA2"/>
    <w:rsid w:val="004E282B"/>
    <w:rsid w:val="004E29AE"/>
    <w:rsid w:val="004F0343"/>
    <w:rsid w:val="004F082D"/>
    <w:rsid w:val="004F2F15"/>
    <w:rsid w:val="004F4C92"/>
    <w:rsid w:val="004F53FC"/>
    <w:rsid w:val="004F7DEC"/>
    <w:rsid w:val="0050178F"/>
    <w:rsid w:val="00502D97"/>
    <w:rsid w:val="00503281"/>
    <w:rsid w:val="005109D3"/>
    <w:rsid w:val="005169EA"/>
    <w:rsid w:val="00520FE1"/>
    <w:rsid w:val="005242EC"/>
    <w:rsid w:val="00526ADC"/>
    <w:rsid w:val="00526E2C"/>
    <w:rsid w:val="00527D8B"/>
    <w:rsid w:val="00527F00"/>
    <w:rsid w:val="0053151F"/>
    <w:rsid w:val="00533206"/>
    <w:rsid w:val="005349F0"/>
    <w:rsid w:val="00534E5E"/>
    <w:rsid w:val="00535C88"/>
    <w:rsid w:val="00541159"/>
    <w:rsid w:val="00541371"/>
    <w:rsid w:val="00544023"/>
    <w:rsid w:val="005534E6"/>
    <w:rsid w:val="00553E16"/>
    <w:rsid w:val="00564793"/>
    <w:rsid w:val="00564C6B"/>
    <w:rsid w:val="0056696D"/>
    <w:rsid w:val="00566AD6"/>
    <w:rsid w:val="005728A3"/>
    <w:rsid w:val="005752BA"/>
    <w:rsid w:val="00577052"/>
    <w:rsid w:val="00577E5A"/>
    <w:rsid w:val="005805C4"/>
    <w:rsid w:val="00580732"/>
    <w:rsid w:val="005812BB"/>
    <w:rsid w:val="005826B6"/>
    <w:rsid w:val="0058292B"/>
    <w:rsid w:val="005856D9"/>
    <w:rsid w:val="00591DDA"/>
    <w:rsid w:val="00591F27"/>
    <w:rsid w:val="00592966"/>
    <w:rsid w:val="005932A4"/>
    <w:rsid w:val="00594B91"/>
    <w:rsid w:val="005A4C76"/>
    <w:rsid w:val="005B1343"/>
    <w:rsid w:val="005B1660"/>
    <w:rsid w:val="005C26DA"/>
    <w:rsid w:val="005C5A84"/>
    <w:rsid w:val="005D34DD"/>
    <w:rsid w:val="005D54F2"/>
    <w:rsid w:val="005D68A5"/>
    <w:rsid w:val="005D74E1"/>
    <w:rsid w:val="005E25B2"/>
    <w:rsid w:val="005E2675"/>
    <w:rsid w:val="005E5FFC"/>
    <w:rsid w:val="005E70D1"/>
    <w:rsid w:val="005F0566"/>
    <w:rsid w:val="005F4FE2"/>
    <w:rsid w:val="005F6227"/>
    <w:rsid w:val="005F7BA4"/>
    <w:rsid w:val="006043EA"/>
    <w:rsid w:val="00605F4A"/>
    <w:rsid w:val="0061155F"/>
    <w:rsid w:val="006232F5"/>
    <w:rsid w:val="006256DE"/>
    <w:rsid w:val="00626AC5"/>
    <w:rsid w:val="00627016"/>
    <w:rsid w:val="00627631"/>
    <w:rsid w:val="006335C0"/>
    <w:rsid w:val="00635B83"/>
    <w:rsid w:val="0064126F"/>
    <w:rsid w:val="0064127B"/>
    <w:rsid w:val="006445A6"/>
    <w:rsid w:val="0064498B"/>
    <w:rsid w:val="00644B15"/>
    <w:rsid w:val="00644E96"/>
    <w:rsid w:val="00646244"/>
    <w:rsid w:val="0064653C"/>
    <w:rsid w:val="00647B3D"/>
    <w:rsid w:val="006538AC"/>
    <w:rsid w:val="006546DE"/>
    <w:rsid w:val="00655F2C"/>
    <w:rsid w:val="0065758B"/>
    <w:rsid w:val="0066387E"/>
    <w:rsid w:val="00663AF4"/>
    <w:rsid w:val="0066441B"/>
    <w:rsid w:val="00665761"/>
    <w:rsid w:val="0066594E"/>
    <w:rsid w:val="0066749E"/>
    <w:rsid w:val="00672155"/>
    <w:rsid w:val="0067341D"/>
    <w:rsid w:val="0067466F"/>
    <w:rsid w:val="00680A3B"/>
    <w:rsid w:val="00681F74"/>
    <w:rsid w:val="006831FA"/>
    <w:rsid w:val="006842C0"/>
    <w:rsid w:val="00685E0B"/>
    <w:rsid w:val="00692078"/>
    <w:rsid w:val="006936E5"/>
    <w:rsid w:val="006A31D0"/>
    <w:rsid w:val="006A3331"/>
    <w:rsid w:val="006A3B84"/>
    <w:rsid w:val="006A479C"/>
    <w:rsid w:val="006A4B9B"/>
    <w:rsid w:val="006A4BF8"/>
    <w:rsid w:val="006A5A0E"/>
    <w:rsid w:val="006A5A9B"/>
    <w:rsid w:val="006A5AFA"/>
    <w:rsid w:val="006A5DEF"/>
    <w:rsid w:val="006B0D08"/>
    <w:rsid w:val="006B221B"/>
    <w:rsid w:val="006B490A"/>
    <w:rsid w:val="006C0EB5"/>
    <w:rsid w:val="006C12A6"/>
    <w:rsid w:val="006C219D"/>
    <w:rsid w:val="006C2DFF"/>
    <w:rsid w:val="006C7AE7"/>
    <w:rsid w:val="006D2DEB"/>
    <w:rsid w:val="006D4250"/>
    <w:rsid w:val="006E02F3"/>
    <w:rsid w:val="006E0366"/>
    <w:rsid w:val="006E1081"/>
    <w:rsid w:val="006E587D"/>
    <w:rsid w:val="006E71F7"/>
    <w:rsid w:val="006F09C2"/>
    <w:rsid w:val="006F0FC6"/>
    <w:rsid w:val="006F193F"/>
    <w:rsid w:val="006F265C"/>
    <w:rsid w:val="006F3C24"/>
    <w:rsid w:val="006F4690"/>
    <w:rsid w:val="006F56B9"/>
    <w:rsid w:val="006F579F"/>
    <w:rsid w:val="00700907"/>
    <w:rsid w:val="007017AB"/>
    <w:rsid w:val="00701AC4"/>
    <w:rsid w:val="00702CFD"/>
    <w:rsid w:val="00706417"/>
    <w:rsid w:val="00707161"/>
    <w:rsid w:val="00714300"/>
    <w:rsid w:val="00717F01"/>
    <w:rsid w:val="00717FAF"/>
    <w:rsid w:val="00720585"/>
    <w:rsid w:val="00720987"/>
    <w:rsid w:val="00726660"/>
    <w:rsid w:val="00726B1E"/>
    <w:rsid w:val="007272A8"/>
    <w:rsid w:val="00727895"/>
    <w:rsid w:val="0073369E"/>
    <w:rsid w:val="00740D0B"/>
    <w:rsid w:val="00740EEA"/>
    <w:rsid w:val="00741EF0"/>
    <w:rsid w:val="00742254"/>
    <w:rsid w:val="00742F60"/>
    <w:rsid w:val="007441D5"/>
    <w:rsid w:val="00746399"/>
    <w:rsid w:val="0074680C"/>
    <w:rsid w:val="00750D89"/>
    <w:rsid w:val="00751927"/>
    <w:rsid w:val="007606BC"/>
    <w:rsid w:val="007606BD"/>
    <w:rsid w:val="007614B1"/>
    <w:rsid w:val="007644AC"/>
    <w:rsid w:val="00765B2E"/>
    <w:rsid w:val="00766BFA"/>
    <w:rsid w:val="00766C52"/>
    <w:rsid w:val="00773AF6"/>
    <w:rsid w:val="00773EC6"/>
    <w:rsid w:val="00776EE7"/>
    <w:rsid w:val="00780184"/>
    <w:rsid w:val="00781317"/>
    <w:rsid w:val="00781438"/>
    <w:rsid w:val="00782C47"/>
    <w:rsid w:val="00783617"/>
    <w:rsid w:val="0078647F"/>
    <w:rsid w:val="007864E5"/>
    <w:rsid w:val="0079260F"/>
    <w:rsid w:val="00793180"/>
    <w:rsid w:val="00795DD0"/>
    <w:rsid w:val="00795F71"/>
    <w:rsid w:val="00796FA2"/>
    <w:rsid w:val="00797311"/>
    <w:rsid w:val="007A0DA7"/>
    <w:rsid w:val="007A3F62"/>
    <w:rsid w:val="007A7695"/>
    <w:rsid w:val="007A7826"/>
    <w:rsid w:val="007A78B0"/>
    <w:rsid w:val="007B15A9"/>
    <w:rsid w:val="007B1C39"/>
    <w:rsid w:val="007B1D31"/>
    <w:rsid w:val="007B3917"/>
    <w:rsid w:val="007B3A0F"/>
    <w:rsid w:val="007B47C5"/>
    <w:rsid w:val="007B4E09"/>
    <w:rsid w:val="007B7A0E"/>
    <w:rsid w:val="007C3D1F"/>
    <w:rsid w:val="007C46C4"/>
    <w:rsid w:val="007D632A"/>
    <w:rsid w:val="007D695F"/>
    <w:rsid w:val="007D6D57"/>
    <w:rsid w:val="007E06B4"/>
    <w:rsid w:val="007E3BCE"/>
    <w:rsid w:val="007E4DF3"/>
    <w:rsid w:val="007E5F7A"/>
    <w:rsid w:val="007E6AAA"/>
    <w:rsid w:val="007E73AB"/>
    <w:rsid w:val="007F2EF9"/>
    <w:rsid w:val="007F6F87"/>
    <w:rsid w:val="007F7D5A"/>
    <w:rsid w:val="008019AE"/>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427B"/>
    <w:rsid w:val="0084470C"/>
    <w:rsid w:val="00845591"/>
    <w:rsid w:val="008470F2"/>
    <w:rsid w:val="00851D8B"/>
    <w:rsid w:val="00852D34"/>
    <w:rsid w:val="00852F24"/>
    <w:rsid w:val="0085714D"/>
    <w:rsid w:val="0085754F"/>
    <w:rsid w:val="00860032"/>
    <w:rsid w:val="00861998"/>
    <w:rsid w:val="00863DCA"/>
    <w:rsid w:val="00867737"/>
    <w:rsid w:val="00870F6D"/>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3DEC"/>
    <w:rsid w:val="008B6A13"/>
    <w:rsid w:val="008B7B38"/>
    <w:rsid w:val="008C1794"/>
    <w:rsid w:val="008C2003"/>
    <w:rsid w:val="008C468E"/>
    <w:rsid w:val="008C563B"/>
    <w:rsid w:val="008C7E5C"/>
    <w:rsid w:val="008D145E"/>
    <w:rsid w:val="008D16B8"/>
    <w:rsid w:val="008D372B"/>
    <w:rsid w:val="008E09D7"/>
    <w:rsid w:val="008E1CEA"/>
    <w:rsid w:val="008E4FC1"/>
    <w:rsid w:val="008E61BF"/>
    <w:rsid w:val="008F39A3"/>
    <w:rsid w:val="008F504A"/>
    <w:rsid w:val="008F5220"/>
    <w:rsid w:val="008F746D"/>
    <w:rsid w:val="0090017B"/>
    <w:rsid w:val="00900815"/>
    <w:rsid w:val="00903694"/>
    <w:rsid w:val="00903C22"/>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35EB3"/>
    <w:rsid w:val="0094176A"/>
    <w:rsid w:val="00945340"/>
    <w:rsid w:val="00945CE6"/>
    <w:rsid w:val="00947033"/>
    <w:rsid w:val="009501BC"/>
    <w:rsid w:val="009505DA"/>
    <w:rsid w:val="00950BF1"/>
    <w:rsid w:val="00950DF4"/>
    <w:rsid w:val="00952108"/>
    <w:rsid w:val="00952FE1"/>
    <w:rsid w:val="009547D2"/>
    <w:rsid w:val="0096085E"/>
    <w:rsid w:val="00960937"/>
    <w:rsid w:val="009644BB"/>
    <w:rsid w:val="00966B5F"/>
    <w:rsid w:val="00972E35"/>
    <w:rsid w:val="009740EA"/>
    <w:rsid w:val="009741D2"/>
    <w:rsid w:val="00977724"/>
    <w:rsid w:val="00981569"/>
    <w:rsid w:val="00983A2D"/>
    <w:rsid w:val="00985FA7"/>
    <w:rsid w:val="00986BC6"/>
    <w:rsid w:val="009870A7"/>
    <w:rsid w:val="009907E2"/>
    <w:rsid w:val="009936B8"/>
    <w:rsid w:val="00997502"/>
    <w:rsid w:val="009A0037"/>
    <w:rsid w:val="009A0228"/>
    <w:rsid w:val="009A2654"/>
    <w:rsid w:val="009A2C67"/>
    <w:rsid w:val="009A3221"/>
    <w:rsid w:val="009A38DD"/>
    <w:rsid w:val="009A60F2"/>
    <w:rsid w:val="009A6794"/>
    <w:rsid w:val="009B0CA2"/>
    <w:rsid w:val="009B37C5"/>
    <w:rsid w:val="009B5163"/>
    <w:rsid w:val="009B5212"/>
    <w:rsid w:val="009B61EE"/>
    <w:rsid w:val="009B7770"/>
    <w:rsid w:val="009C09D8"/>
    <w:rsid w:val="009C15CF"/>
    <w:rsid w:val="009D3A69"/>
    <w:rsid w:val="009E1A8B"/>
    <w:rsid w:val="009E38B2"/>
    <w:rsid w:val="009E4547"/>
    <w:rsid w:val="009E53FF"/>
    <w:rsid w:val="009E5E3E"/>
    <w:rsid w:val="009F0F42"/>
    <w:rsid w:val="009F11B0"/>
    <w:rsid w:val="009F25E7"/>
    <w:rsid w:val="009F2D30"/>
    <w:rsid w:val="00A01B73"/>
    <w:rsid w:val="00A01DD8"/>
    <w:rsid w:val="00A0244D"/>
    <w:rsid w:val="00A03A77"/>
    <w:rsid w:val="00A07BD4"/>
    <w:rsid w:val="00A10644"/>
    <w:rsid w:val="00A10FC3"/>
    <w:rsid w:val="00A16170"/>
    <w:rsid w:val="00A16531"/>
    <w:rsid w:val="00A16B22"/>
    <w:rsid w:val="00A20D85"/>
    <w:rsid w:val="00A21B30"/>
    <w:rsid w:val="00A2399C"/>
    <w:rsid w:val="00A25C20"/>
    <w:rsid w:val="00A25EBA"/>
    <w:rsid w:val="00A27564"/>
    <w:rsid w:val="00A35E02"/>
    <w:rsid w:val="00A364B7"/>
    <w:rsid w:val="00A40144"/>
    <w:rsid w:val="00A406EF"/>
    <w:rsid w:val="00A42CB1"/>
    <w:rsid w:val="00A50080"/>
    <w:rsid w:val="00A51A55"/>
    <w:rsid w:val="00A53F16"/>
    <w:rsid w:val="00A57B21"/>
    <w:rsid w:val="00A6073E"/>
    <w:rsid w:val="00A60D70"/>
    <w:rsid w:val="00A61146"/>
    <w:rsid w:val="00A671B8"/>
    <w:rsid w:val="00A772AD"/>
    <w:rsid w:val="00A77376"/>
    <w:rsid w:val="00A80382"/>
    <w:rsid w:val="00A80FDB"/>
    <w:rsid w:val="00A85518"/>
    <w:rsid w:val="00A92096"/>
    <w:rsid w:val="00A935DA"/>
    <w:rsid w:val="00A93640"/>
    <w:rsid w:val="00AA4209"/>
    <w:rsid w:val="00AA4648"/>
    <w:rsid w:val="00AA4A7B"/>
    <w:rsid w:val="00AA55ED"/>
    <w:rsid w:val="00AB18B5"/>
    <w:rsid w:val="00AB341B"/>
    <w:rsid w:val="00AB35AD"/>
    <w:rsid w:val="00AB6561"/>
    <w:rsid w:val="00AC50B8"/>
    <w:rsid w:val="00AC50CF"/>
    <w:rsid w:val="00AC5884"/>
    <w:rsid w:val="00AC58B1"/>
    <w:rsid w:val="00AC7A5E"/>
    <w:rsid w:val="00AD0171"/>
    <w:rsid w:val="00AD2450"/>
    <w:rsid w:val="00AD7F06"/>
    <w:rsid w:val="00AE1295"/>
    <w:rsid w:val="00AE1D45"/>
    <w:rsid w:val="00AE3398"/>
    <w:rsid w:val="00AE3F78"/>
    <w:rsid w:val="00AE4324"/>
    <w:rsid w:val="00AE5567"/>
    <w:rsid w:val="00AE73AA"/>
    <w:rsid w:val="00AF03C7"/>
    <w:rsid w:val="00AF1239"/>
    <w:rsid w:val="00AF3AB8"/>
    <w:rsid w:val="00AF3E26"/>
    <w:rsid w:val="00AF69C9"/>
    <w:rsid w:val="00AF7C42"/>
    <w:rsid w:val="00B04418"/>
    <w:rsid w:val="00B045DA"/>
    <w:rsid w:val="00B06F4B"/>
    <w:rsid w:val="00B07343"/>
    <w:rsid w:val="00B10E9F"/>
    <w:rsid w:val="00B1213A"/>
    <w:rsid w:val="00B130ED"/>
    <w:rsid w:val="00B15FDD"/>
    <w:rsid w:val="00B16480"/>
    <w:rsid w:val="00B2165C"/>
    <w:rsid w:val="00B22B77"/>
    <w:rsid w:val="00B24C87"/>
    <w:rsid w:val="00B2576B"/>
    <w:rsid w:val="00B25BAC"/>
    <w:rsid w:val="00B276B8"/>
    <w:rsid w:val="00B31BDD"/>
    <w:rsid w:val="00B31D9C"/>
    <w:rsid w:val="00B34AB7"/>
    <w:rsid w:val="00B40D44"/>
    <w:rsid w:val="00B47986"/>
    <w:rsid w:val="00B543AB"/>
    <w:rsid w:val="00B5648E"/>
    <w:rsid w:val="00B5649F"/>
    <w:rsid w:val="00B5695B"/>
    <w:rsid w:val="00B57A54"/>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220C"/>
    <w:rsid w:val="00BA33EF"/>
    <w:rsid w:val="00BA4D7E"/>
    <w:rsid w:val="00BA7BA7"/>
    <w:rsid w:val="00BB15E3"/>
    <w:rsid w:val="00BB6937"/>
    <w:rsid w:val="00BD3A14"/>
    <w:rsid w:val="00BD3B35"/>
    <w:rsid w:val="00BD3CD6"/>
    <w:rsid w:val="00BD4425"/>
    <w:rsid w:val="00BD7F5E"/>
    <w:rsid w:val="00BE0598"/>
    <w:rsid w:val="00BE7C51"/>
    <w:rsid w:val="00BE7DC1"/>
    <w:rsid w:val="00BF02AF"/>
    <w:rsid w:val="00BF1BF5"/>
    <w:rsid w:val="00BF2A90"/>
    <w:rsid w:val="00C0175F"/>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0D74"/>
    <w:rsid w:val="00C42475"/>
    <w:rsid w:val="00C43873"/>
    <w:rsid w:val="00C4614E"/>
    <w:rsid w:val="00C468ED"/>
    <w:rsid w:val="00C47037"/>
    <w:rsid w:val="00C53849"/>
    <w:rsid w:val="00C55F33"/>
    <w:rsid w:val="00C56F75"/>
    <w:rsid w:val="00C5721B"/>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334E"/>
    <w:rsid w:val="00CD44BF"/>
    <w:rsid w:val="00CE1BA9"/>
    <w:rsid w:val="00CE5657"/>
    <w:rsid w:val="00CE60C3"/>
    <w:rsid w:val="00CF104E"/>
    <w:rsid w:val="00CF262B"/>
    <w:rsid w:val="00CF3D9F"/>
    <w:rsid w:val="00CF495E"/>
    <w:rsid w:val="00CF6439"/>
    <w:rsid w:val="00CF7143"/>
    <w:rsid w:val="00D01A6E"/>
    <w:rsid w:val="00D01B9A"/>
    <w:rsid w:val="00D02DDA"/>
    <w:rsid w:val="00D03237"/>
    <w:rsid w:val="00D03ADD"/>
    <w:rsid w:val="00D12358"/>
    <w:rsid w:val="00D133F8"/>
    <w:rsid w:val="00D138E7"/>
    <w:rsid w:val="00D14916"/>
    <w:rsid w:val="00D14A3E"/>
    <w:rsid w:val="00D21D7F"/>
    <w:rsid w:val="00D22281"/>
    <w:rsid w:val="00D23388"/>
    <w:rsid w:val="00D24501"/>
    <w:rsid w:val="00D24640"/>
    <w:rsid w:val="00D27FDA"/>
    <w:rsid w:val="00D37AAD"/>
    <w:rsid w:val="00D4052F"/>
    <w:rsid w:val="00D4751F"/>
    <w:rsid w:val="00D47819"/>
    <w:rsid w:val="00D501F8"/>
    <w:rsid w:val="00D50278"/>
    <w:rsid w:val="00D507E2"/>
    <w:rsid w:val="00D548C7"/>
    <w:rsid w:val="00D56A82"/>
    <w:rsid w:val="00D56F78"/>
    <w:rsid w:val="00D647AC"/>
    <w:rsid w:val="00D668B3"/>
    <w:rsid w:val="00D7334F"/>
    <w:rsid w:val="00D817B9"/>
    <w:rsid w:val="00D857CF"/>
    <w:rsid w:val="00D87A6B"/>
    <w:rsid w:val="00D900BB"/>
    <w:rsid w:val="00D903DA"/>
    <w:rsid w:val="00D92E60"/>
    <w:rsid w:val="00D9624A"/>
    <w:rsid w:val="00D97D3B"/>
    <w:rsid w:val="00DA6650"/>
    <w:rsid w:val="00DB079D"/>
    <w:rsid w:val="00DB1AB8"/>
    <w:rsid w:val="00DB423E"/>
    <w:rsid w:val="00DB50C9"/>
    <w:rsid w:val="00DB6C09"/>
    <w:rsid w:val="00DC09E9"/>
    <w:rsid w:val="00DC2DAF"/>
    <w:rsid w:val="00DC4012"/>
    <w:rsid w:val="00DC5AA3"/>
    <w:rsid w:val="00DC5EDB"/>
    <w:rsid w:val="00DC6B64"/>
    <w:rsid w:val="00DC7938"/>
    <w:rsid w:val="00DD1F9B"/>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0AE1"/>
    <w:rsid w:val="00E11919"/>
    <w:rsid w:val="00E21304"/>
    <w:rsid w:val="00E22191"/>
    <w:rsid w:val="00E23EC4"/>
    <w:rsid w:val="00E25FFF"/>
    <w:rsid w:val="00E31F13"/>
    <w:rsid w:val="00E32710"/>
    <w:rsid w:val="00E3716B"/>
    <w:rsid w:val="00E374E1"/>
    <w:rsid w:val="00E4149D"/>
    <w:rsid w:val="00E465CE"/>
    <w:rsid w:val="00E47665"/>
    <w:rsid w:val="00E51795"/>
    <w:rsid w:val="00E5323B"/>
    <w:rsid w:val="00E53D86"/>
    <w:rsid w:val="00E560D2"/>
    <w:rsid w:val="00E5771A"/>
    <w:rsid w:val="00E62C26"/>
    <w:rsid w:val="00E64E8F"/>
    <w:rsid w:val="00E67EAF"/>
    <w:rsid w:val="00E71E92"/>
    <w:rsid w:val="00E742DF"/>
    <w:rsid w:val="00E74961"/>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63AD"/>
    <w:rsid w:val="00EB7949"/>
    <w:rsid w:val="00EC1502"/>
    <w:rsid w:val="00EC3B28"/>
    <w:rsid w:val="00EC6E12"/>
    <w:rsid w:val="00EC766A"/>
    <w:rsid w:val="00ED25EE"/>
    <w:rsid w:val="00ED2D59"/>
    <w:rsid w:val="00ED5BD1"/>
    <w:rsid w:val="00ED5F8C"/>
    <w:rsid w:val="00EE03AF"/>
    <w:rsid w:val="00EE0AC0"/>
    <w:rsid w:val="00EE2F62"/>
    <w:rsid w:val="00EE3722"/>
    <w:rsid w:val="00EE3BBB"/>
    <w:rsid w:val="00EE6183"/>
    <w:rsid w:val="00EF19E7"/>
    <w:rsid w:val="00F0065B"/>
    <w:rsid w:val="00F009E8"/>
    <w:rsid w:val="00F00B5E"/>
    <w:rsid w:val="00F01AE4"/>
    <w:rsid w:val="00F01E73"/>
    <w:rsid w:val="00F02E84"/>
    <w:rsid w:val="00F04C70"/>
    <w:rsid w:val="00F05142"/>
    <w:rsid w:val="00F12351"/>
    <w:rsid w:val="00F12E92"/>
    <w:rsid w:val="00F145E9"/>
    <w:rsid w:val="00F14A00"/>
    <w:rsid w:val="00F160EC"/>
    <w:rsid w:val="00F17FDC"/>
    <w:rsid w:val="00F26232"/>
    <w:rsid w:val="00F26A91"/>
    <w:rsid w:val="00F277CC"/>
    <w:rsid w:val="00F32A96"/>
    <w:rsid w:val="00F33321"/>
    <w:rsid w:val="00F345AE"/>
    <w:rsid w:val="00F3460D"/>
    <w:rsid w:val="00F464CE"/>
    <w:rsid w:val="00F467DA"/>
    <w:rsid w:val="00F530FE"/>
    <w:rsid w:val="00F55305"/>
    <w:rsid w:val="00F56B56"/>
    <w:rsid w:val="00F572C5"/>
    <w:rsid w:val="00F57AC1"/>
    <w:rsid w:val="00F57B0C"/>
    <w:rsid w:val="00F57EC2"/>
    <w:rsid w:val="00F679E9"/>
    <w:rsid w:val="00F67B4B"/>
    <w:rsid w:val="00F7156B"/>
    <w:rsid w:val="00F72D88"/>
    <w:rsid w:val="00F77376"/>
    <w:rsid w:val="00F774C6"/>
    <w:rsid w:val="00F77F67"/>
    <w:rsid w:val="00F8145B"/>
    <w:rsid w:val="00F82318"/>
    <w:rsid w:val="00F85BFB"/>
    <w:rsid w:val="00F85DC5"/>
    <w:rsid w:val="00F87284"/>
    <w:rsid w:val="00F87CAE"/>
    <w:rsid w:val="00F95701"/>
    <w:rsid w:val="00F96ED0"/>
    <w:rsid w:val="00FA2114"/>
    <w:rsid w:val="00FA5D3C"/>
    <w:rsid w:val="00FB4965"/>
    <w:rsid w:val="00FC243F"/>
    <w:rsid w:val="00FC3FDB"/>
    <w:rsid w:val="00FC4396"/>
    <w:rsid w:val="00FC7F88"/>
    <w:rsid w:val="00FD3303"/>
    <w:rsid w:val="00FD48F3"/>
    <w:rsid w:val="00FE01C3"/>
    <w:rsid w:val="00FE042C"/>
    <w:rsid w:val="00FE5BDE"/>
    <w:rsid w:val="00FE71B1"/>
    <w:rsid w:val="00FF3A1B"/>
    <w:rsid w:val="00FF4712"/>
    <w:rsid w:val="00FF60B2"/>
    <w:rsid w:val="00FF6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56827"/>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AB341B"/>
    <w:pPr>
      <w:keepNext/>
      <w:keepLines/>
      <w:spacing w:after="120"/>
      <w:ind w:firstLine="709"/>
      <w:jc w:val="both"/>
      <w:outlineLvl w:val="2"/>
    </w:pPr>
    <w:rPr>
      <w:rFonts w:eastAsiaTheme="majorEastAsia"/>
      <w:b/>
      <w:bCs/>
      <w:sz w:val="28"/>
      <w:szCs w:val="28"/>
      <w:lang w:eastAsia="en-US"/>
    </w:rPr>
  </w:style>
  <w:style w:type="paragraph" w:styleId="Heading4">
    <w:name w:val="heading 4"/>
    <w:basedOn w:val="Normal"/>
    <w:next w:val="Normal"/>
    <w:link w:val="Heading4Char"/>
    <w:uiPriority w:val="9"/>
    <w:unhideWhenUsed/>
    <w:qFormat/>
    <w:rsid w:val="00AB341B"/>
    <w:pPr>
      <w:keepNext/>
      <w:keepLines/>
      <w:spacing w:before="40" w:line="25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H&amp;P List Paragraph,Strip,Colorful List - Accent 12,List Paragraph1,List1,Saraksta rindkopa1,Normal bullet 2,Bullet list,Bullet 1,Bullet Points,Dot pt,F5 List Paragraph,IFCL - List Paragraph,Indicator Text,MAIN CONTENT"/>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customStyle="1" w:styleId="UnresolvedMention3">
    <w:name w:val="Unresolved Mention3"/>
    <w:basedOn w:val="DefaultParagraphFont"/>
    <w:uiPriority w:val="99"/>
    <w:semiHidden/>
    <w:unhideWhenUsed/>
    <w:rsid w:val="00AF69C9"/>
    <w:rPr>
      <w:color w:val="605E5C"/>
      <w:shd w:val="clear" w:color="auto" w:fill="E1DFDD"/>
    </w:rPr>
  </w:style>
  <w:style w:type="character" w:customStyle="1" w:styleId="UnresolvedMention4">
    <w:name w:val="Unresolved Mention4"/>
    <w:basedOn w:val="DefaultParagraphFont"/>
    <w:uiPriority w:val="99"/>
    <w:semiHidden/>
    <w:unhideWhenUsed/>
    <w:rsid w:val="003E19F5"/>
    <w:rPr>
      <w:color w:val="605E5C"/>
      <w:shd w:val="clear" w:color="auto" w:fill="E1DFDD"/>
    </w:rPr>
  </w:style>
  <w:style w:type="character" w:customStyle="1" w:styleId="Heading3Char">
    <w:name w:val="Heading 3 Char"/>
    <w:basedOn w:val="DefaultParagraphFont"/>
    <w:link w:val="Heading3"/>
    <w:uiPriority w:val="9"/>
    <w:rsid w:val="00AB341B"/>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B341B"/>
    <w:rPr>
      <w:rFonts w:asciiTheme="majorHAnsi" w:eastAsiaTheme="majorEastAsia" w:hAnsiTheme="majorHAnsi" w:cstheme="majorBidi"/>
      <w:i/>
      <w:iCs/>
      <w:color w:val="2E74B5" w:themeColor="accent1" w:themeShade="BF"/>
    </w:r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unhideWhenUsed/>
    <w:qFormat/>
    <w:rsid w:val="00AB341B"/>
    <w:rPr>
      <w:rFonts w:asciiTheme="minorHAnsi" w:eastAsiaTheme="minorHAnsi" w:hAnsiTheme="minorHAnsi" w:cstheme="minorBidi"/>
      <w:sz w:val="20"/>
      <w:szCs w:val="20"/>
      <w:lang w:eastAsia="en-US"/>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sid w:val="00AB341B"/>
    <w:rPr>
      <w:sz w:val="20"/>
      <w:szCs w:val="20"/>
    </w:rPr>
  </w:style>
  <w:style w:type="character" w:customStyle="1" w:styleId="ListParagraphChar">
    <w:name w:val="List Paragraph Char"/>
    <w:aliases w:val="2 Char,Akapit z listą BS Char,H&amp;P List Paragraph Char,Strip Char,Colorful List - Accent 12 Char,List Paragraph1 Char,List1 Char,Saraksta rindkopa1 Char,Normal bullet 2 Char,Bullet list Char,Bullet 1 Char,Bullet Points Char"/>
    <w:link w:val="ListParagraph"/>
    <w:uiPriority w:val="34"/>
    <w:qFormat/>
    <w:locked/>
    <w:rsid w:val="00AB341B"/>
    <w:rPr>
      <w:rFonts w:ascii="Times New Roman" w:eastAsia="Times New Roman" w:hAnsi="Times New Roman" w:cs="Times New Roman"/>
      <w:sz w:val="24"/>
      <w:szCs w:val="24"/>
      <w:lang w:eastAsia="lv-LV"/>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ftref"/>
    <w:basedOn w:val="DefaultParagraphFont"/>
    <w:link w:val="FootnotesymbolCarZchn"/>
    <w:uiPriority w:val="99"/>
    <w:unhideWhenUsed/>
    <w:qFormat/>
    <w:rsid w:val="00AB341B"/>
    <w:rPr>
      <w:vertAlign w:val="superscript"/>
    </w:rPr>
  </w:style>
  <w:style w:type="paragraph" w:customStyle="1" w:styleId="Body">
    <w:name w:val="Body"/>
    <w:rsid w:val="00AB341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lv-LV"/>
      <w14:textOutline w14:w="0" w14:cap="flat" w14:cmpd="sng" w14:algn="ctr">
        <w14:noFill/>
        <w14:prstDash w14:val="solid"/>
        <w14:bevel/>
      </w14:textOutlin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B341B"/>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BodyText2">
    <w:name w:val="Body Text 2"/>
    <w:basedOn w:val="Normal"/>
    <w:link w:val="BodyText2Char"/>
    <w:rsid w:val="00D14916"/>
    <w:pPr>
      <w:jc w:val="both"/>
    </w:pPr>
    <w:rPr>
      <w:sz w:val="28"/>
      <w:szCs w:val="20"/>
      <w:lang w:eastAsia="en-US"/>
    </w:rPr>
  </w:style>
  <w:style w:type="character" w:customStyle="1" w:styleId="BodyText2Char">
    <w:name w:val="Body Text 2 Char"/>
    <w:basedOn w:val="DefaultParagraphFont"/>
    <w:link w:val="BodyText2"/>
    <w:rsid w:val="00D149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196">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367537379">
      <w:bodyDiv w:val="1"/>
      <w:marLeft w:val="0"/>
      <w:marRight w:val="0"/>
      <w:marTop w:val="0"/>
      <w:marBottom w:val="0"/>
      <w:divBdr>
        <w:top w:val="none" w:sz="0" w:space="0" w:color="auto"/>
        <w:left w:val="none" w:sz="0" w:space="0" w:color="auto"/>
        <w:bottom w:val="none" w:sz="0" w:space="0" w:color="auto"/>
        <w:right w:val="none" w:sz="0" w:space="0" w:color="auto"/>
      </w:divBdr>
    </w:div>
    <w:div w:id="513804049">
      <w:bodyDiv w:val="1"/>
      <w:marLeft w:val="0"/>
      <w:marRight w:val="0"/>
      <w:marTop w:val="0"/>
      <w:marBottom w:val="0"/>
      <w:divBdr>
        <w:top w:val="none" w:sz="0" w:space="0" w:color="auto"/>
        <w:left w:val="none" w:sz="0" w:space="0" w:color="auto"/>
        <w:bottom w:val="none" w:sz="0" w:space="0" w:color="auto"/>
        <w:right w:val="none" w:sz="0" w:space="0" w:color="auto"/>
      </w:divBdr>
    </w:div>
    <w:div w:id="533347187">
      <w:bodyDiv w:val="1"/>
      <w:marLeft w:val="0"/>
      <w:marRight w:val="0"/>
      <w:marTop w:val="0"/>
      <w:marBottom w:val="0"/>
      <w:divBdr>
        <w:top w:val="none" w:sz="0" w:space="0" w:color="auto"/>
        <w:left w:val="none" w:sz="0" w:space="0" w:color="auto"/>
        <w:bottom w:val="none" w:sz="0" w:space="0" w:color="auto"/>
        <w:right w:val="none" w:sz="0" w:space="0" w:color="auto"/>
      </w:divBdr>
    </w:div>
    <w:div w:id="548496616">
      <w:bodyDiv w:val="1"/>
      <w:marLeft w:val="0"/>
      <w:marRight w:val="0"/>
      <w:marTop w:val="0"/>
      <w:marBottom w:val="0"/>
      <w:divBdr>
        <w:top w:val="none" w:sz="0" w:space="0" w:color="auto"/>
        <w:left w:val="none" w:sz="0" w:space="0" w:color="auto"/>
        <w:bottom w:val="none" w:sz="0" w:space="0" w:color="auto"/>
        <w:right w:val="none" w:sz="0" w:space="0" w:color="auto"/>
      </w:divBdr>
    </w:div>
    <w:div w:id="558328365">
      <w:bodyDiv w:val="1"/>
      <w:marLeft w:val="0"/>
      <w:marRight w:val="0"/>
      <w:marTop w:val="0"/>
      <w:marBottom w:val="0"/>
      <w:divBdr>
        <w:top w:val="none" w:sz="0" w:space="0" w:color="auto"/>
        <w:left w:val="none" w:sz="0" w:space="0" w:color="auto"/>
        <w:bottom w:val="none" w:sz="0" w:space="0" w:color="auto"/>
        <w:right w:val="none" w:sz="0" w:space="0" w:color="auto"/>
      </w:divBdr>
    </w:div>
    <w:div w:id="583297632">
      <w:bodyDiv w:val="1"/>
      <w:marLeft w:val="0"/>
      <w:marRight w:val="0"/>
      <w:marTop w:val="0"/>
      <w:marBottom w:val="0"/>
      <w:divBdr>
        <w:top w:val="none" w:sz="0" w:space="0" w:color="auto"/>
        <w:left w:val="none" w:sz="0" w:space="0" w:color="auto"/>
        <w:bottom w:val="none" w:sz="0" w:space="0" w:color="auto"/>
        <w:right w:val="none" w:sz="0" w:space="0" w:color="auto"/>
      </w:divBdr>
    </w:div>
    <w:div w:id="59054869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22895058">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34841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466248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850645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kasparenko@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42AE-5668-482D-9F0C-C1BE39A5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6436</Words>
  <Characters>3670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Sandra Kasparenko</cp:lastModifiedBy>
  <cp:revision>29</cp:revision>
  <cp:lastPrinted>2021-01-19T08:59:00Z</cp:lastPrinted>
  <dcterms:created xsi:type="dcterms:W3CDTF">2021-01-26T10:00:00Z</dcterms:created>
  <dcterms:modified xsi:type="dcterms:W3CDTF">2021-02-03T15:04:00Z</dcterms:modified>
</cp:coreProperties>
</file>