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14" w:rsidRPr="00452C14" w:rsidRDefault="00452C14" w:rsidP="002A46DE">
      <w:pPr>
        <w:widowControl w:val="0"/>
        <w:suppressAutoHyphens/>
        <w:spacing w:after="120"/>
        <w:ind w:left="357"/>
        <w:jc w:val="center"/>
        <w:rPr>
          <w:b/>
          <w:kern w:val="1"/>
          <w:lang w:eastAsia="ar-SA"/>
        </w:rPr>
      </w:pPr>
      <w:r w:rsidRPr="00452C14">
        <w:rPr>
          <w:b/>
          <w:kern w:val="1"/>
          <w:lang w:eastAsia="ar-SA"/>
        </w:rPr>
        <w:t>Informatīvais ziņojums</w:t>
      </w:r>
    </w:p>
    <w:p w:rsidR="00074FEA" w:rsidRDefault="00452C14" w:rsidP="00B534FB">
      <w:pPr>
        <w:keepNext/>
        <w:keepLines/>
        <w:shd w:val="clear" w:color="auto" w:fill="FFFFFF"/>
        <w:spacing w:after="120"/>
        <w:ind w:right="-284"/>
        <w:jc w:val="center"/>
        <w:outlineLvl w:val="2"/>
        <w:rPr>
          <w:b/>
          <w:bCs/>
        </w:rPr>
      </w:pPr>
      <w:r w:rsidRPr="00452C14">
        <w:rPr>
          <w:b/>
          <w:bCs/>
          <w:szCs w:val="28"/>
        </w:rPr>
        <w:t xml:space="preserve">“Par </w:t>
      </w:r>
      <w:r w:rsidR="00B534FB">
        <w:rPr>
          <w:b/>
          <w:bCs/>
          <w:szCs w:val="28"/>
        </w:rPr>
        <w:t>2021</w:t>
      </w:r>
      <w:r w:rsidRPr="00452C14">
        <w:rPr>
          <w:b/>
          <w:bCs/>
          <w:szCs w:val="28"/>
        </w:rPr>
        <w:t xml:space="preserve">. gada </w:t>
      </w:r>
      <w:r w:rsidR="00B534FB">
        <w:rPr>
          <w:b/>
          <w:bCs/>
          <w:szCs w:val="28"/>
        </w:rPr>
        <w:t>25. – 26. februāra ārkārtas</w:t>
      </w:r>
      <w:r w:rsidR="00A3363C">
        <w:rPr>
          <w:b/>
          <w:bCs/>
          <w:szCs w:val="28"/>
        </w:rPr>
        <w:t xml:space="preserve"> </w:t>
      </w:r>
      <w:r w:rsidRPr="00452C14">
        <w:rPr>
          <w:b/>
          <w:bCs/>
          <w:szCs w:val="28"/>
        </w:rPr>
        <w:t>Eiropadomē izskatāmajiem jautājumiem</w:t>
      </w:r>
      <w:r w:rsidRPr="00452C14">
        <w:rPr>
          <w:b/>
          <w:bCs/>
        </w:rPr>
        <w:t>”</w:t>
      </w:r>
    </w:p>
    <w:p w:rsidR="00B534FB" w:rsidRPr="00160121" w:rsidRDefault="00B534FB" w:rsidP="00B534FB">
      <w:pPr>
        <w:keepNext/>
        <w:keepLines/>
        <w:shd w:val="clear" w:color="auto" w:fill="FFFFFF"/>
        <w:spacing w:after="120"/>
        <w:ind w:right="-284"/>
        <w:jc w:val="center"/>
        <w:outlineLvl w:val="2"/>
        <w:rPr>
          <w:b/>
          <w:bCs/>
          <w:szCs w:val="28"/>
        </w:rPr>
      </w:pPr>
    </w:p>
    <w:p w:rsidR="00B534FB" w:rsidRPr="00B534FB" w:rsidRDefault="00B534FB" w:rsidP="00B534FB">
      <w:pPr>
        <w:spacing w:before="120" w:after="120"/>
        <w:ind w:right="-284"/>
        <w:jc w:val="both"/>
      </w:pPr>
      <w:r w:rsidRPr="00B534FB">
        <w:t xml:space="preserve">25. - 26. februāra ES valstu un valdību vadītāju ārkārtas sanāksmes (Eiropadomes) darba kārtībā ir 4 jautājumu bloki: </w:t>
      </w:r>
    </w:p>
    <w:p w:rsidR="00B534FB" w:rsidRPr="00B534FB" w:rsidRDefault="00B534FB" w:rsidP="00B534FB">
      <w:pPr>
        <w:spacing w:before="120" w:after="120"/>
        <w:ind w:right="-284"/>
        <w:jc w:val="both"/>
      </w:pPr>
      <w:r w:rsidRPr="00B534FB">
        <w:t xml:space="preserve">(1) ar </w:t>
      </w:r>
      <w:proofErr w:type="spellStart"/>
      <w:r w:rsidRPr="00B534FB">
        <w:t>Covid-19</w:t>
      </w:r>
      <w:proofErr w:type="spellEnd"/>
      <w:r w:rsidRPr="00B534FB">
        <w:t xml:space="preserve"> saistīto pasākumu koordinācija; </w:t>
      </w:r>
    </w:p>
    <w:p w:rsidR="00B534FB" w:rsidRPr="00B534FB" w:rsidRDefault="00B534FB" w:rsidP="00B534FB">
      <w:pPr>
        <w:spacing w:before="120" w:after="120"/>
        <w:ind w:right="-284"/>
        <w:jc w:val="both"/>
      </w:pPr>
      <w:r w:rsidRPr="00B534FB">
        <w:t xml:space="preserve">(2) veselība; </w:t>
      </w:r>
    </w:p>
    <w:p w:rsidR="00B534FB" w:rsidRPr="00B534FB" w:rsidRDefault="00B534FB" w:rsidP="00B534FB">
      <w:pPr>
        <w:spacing w:before="120" w:after="120"/>
        <w:ind w:right="-284"/>
        <w:jc w:val="both"/>
      </w:pPr>
      <w:r w:rsidRPr="00B534FB">
        <w:t>(3) drošība un aizsardzība;</w:t>
      </w:r>
    </w:p>
    <w:p w:rsidR="00B534FB" w:rsidRPr="00B534FB" w:rsidRDefault="00B534FB" w:rsidP="00B534FB">
      <w:pPr>
        <w:spacing w:before="120" w:after="120"/>
        <w:ind w:right="-284"/>
        <w:jc w:val="both"/>
      </w:pPr>
      <w:r w:rsidRPr="00B534FB">
        <w:t>(4) ārējās attiecības – ES dienvidu kaimiņi.</w:t>
      </w:r>
    </w:p>
    <w:p w:rsidR="00B534FB" w:rsidRPr="00B534FB" w:rsidRDefault="00B534FB" w:rsidP="00B534FB">
      <w:pPr>
        <w:spacing w:before="120" w:after="120"/>
        <w:ind w:right="-284"/>
        <w:jc w:val="both"/>
        <w:rPr>
          <w:rFonts w:eastAsia="Calibri"/>
          <w:i/>
        </w:rPr>
      </w:pPr>
      <w:proofErr w:type="spellStart"/>
      <w:r w:rsidRPr="00B534FB">
        <w:rPr>
          <w:rFonts w:eastAsia="Calibri"/>
          <w:i/>
        </w:rPr>
        <w:t>Covid-19</w:t>
      </w:r>
      <w:proofErr w:type="spellEnd"/>
    </w:p>
    <w:p w:rsidR="00B534FB" w:rsidRPr="00B534FB" w:rsidRDefault="00B534FB" w:rsidP="00B534FB">
      <w:pPr>
        <w:spacing w:before="120" w:after="120"/>
        <w:ind w:right="-284"/>
        <w:jc w:val="both"/>
      </w:pPr>
      <w:r w:rsidRPr="00B534FB">
        <w:t xml:space="preserve">Eiropadomes diskusija par </w:t>
      </w:r>
      <w:proofErr w:type="spellStart"/>
      <w:r w:rsidRPr="00B534FB">
        <w:t>Covid-19</w:t>
      </w:r>
      <w:proofErr w:type="spellEnd"/>
      <w:r w:rsidRPr="00B534FB">
        <w:t xml:space="preserve"> koordinācijas jautājumiem notiks par dalībvalstīs spēkā esošajiem ierobežojošajiem pasākumiem, tostarp, reaģējot uz jaunajiem </w:t>
      </w:r>
      <w:proofErr w:type="spellStart"/>
      <w:r w:rsidRPr="00B534FB">
        <w:t>Covid-19</w:t>
      </w:r>
      <w:proofErr w:type="spellEnd"/>
      <w:r w:rsidRPr="00B534FB">
        <w:t xml:space="preserve"> celmiem ES un ārpus tās. Saskaņā ar Eiropas Slimību un profilakses centra (ECDC) vērtējumu, jaunie celmi ir lipīgāki par līdz šim konstatētajiem. Attiecīgi, lai ierobežotu šo jauno celmu izplatību, balstoties uz Eiropas Komisijas (EK) priekšlikumu, Padome vienojās par grozījumiem divās rekomendācijās, nosakot stingrākas epidemioloģiskās prasības ieceļošanai un aicinot izvairīties no nesvarīgiem ceļojumiem kopumā. Vienlaikus sagaidāms, ka diskusijas fokuss balstīsies uz vakcīnām, to ražošanas kapacitāšu celšanu un vakcināciju, kā arī vakcīnu pieejamību trešajām valstīm.</w:t>
      </w:r>
    </w:p>
    <w:p w:rsidR="00B534FB" w:rsidRPr="00B534FB" w:rsidRDefault="00B534FB" w:rsidP="00B534FB">
      <w:pPr>
        <w:spacing w:before="120" w:after="120"/>
        <w:ind w:right="-284"/>
        <w:jc w:val="both"/>
        <w:rPr>
          <w:rFonts w:eastAsia="Calibri"/>
          <w:i/>
        </w:rPr>
      </w:pPr>
      <w:r w:rsidRPr="00B534FB">
        <w:rPr>
          <w:rFonts w:eastAsia="Calibri"/>
          <w:i/>
        </w:rPr>
        <w:t>Veselība</w:t>
      </w:r>
    </w:p>
    <w:p w:rsidR="00B534FB" w:rsidRPr="00B534FB" w:rsidRDefault="00B534FB" w:rsidP="00B534FB">
      <w:pPr>
        <w:spacing w:before="120" w:after="120"/>
        <w:ind w:right="-284"/>
        <w:jc w:val="both"/>
      </w:pPr>
      <w:r w:rsidRPr="00B534FB">
        <w:t xml:space="preserve">Lai stiprinātu ES noturību pret veselības apdraudējumiem, Eiropadomē plānota viedokļu apmaiņa par pandēmijā gūtajām mācībām, Eiropas veselības savienības pakotni un iespējamiem soļiem nākotnē (piemēram, gatavības un krīzes pārvaldības rīku uzlabošanu, veselības datu un modelēšanas pilnveidi, pētniecības un vakcīnu/zāļu ražošanas atbalstīšanu un savstarpēju saskaņošanu, kā arī medicīnas preču piegāžu ķēžu dažādošanu un noturības veicināšanu). Jāizvērtē arī iespēja veicināt starptautisko solidaritāti un sadarbību veselības jomā, it īpaši stiprinot Pasaules Veselības organizāciju (PVO) un izvērtējot nepieciešamību izstrādāt globālu līgumu cīņai pret pandēmijām. </w:t>
      </w:r>
    </w:p>
    <w:p w:rsidR="00B534FB" w:rsidRPr="00B534FB" w:rsidRDefault="00B534FB" w:rsidP="00B534FB">
      <w:pPr>
        <w:spacing w:before="120" w:after="120"/>
        <w:ind w:right="-284"/>
        <w:jc w:val="both"/>
        <w:rPr>
          <w:rFonts w:eastAsia="Calibri"/>
          <w:i/>
        </w:rPr>
      </w:pPr>
      <w:r w:rsidRPr="00B534FB">
        <w:rPr>
          <w:rFonts w:eastAsia="Calibri"/>
          <w:i/>
        </w:rPr>
        <w:t>Drošība un aizsardzība</w:t>
      </w:r>
    </w:p>
    <w:p w:rsidR="00B534FB" w:rsidRPr="00B534FB" w:rsidRDefault="00B534FB" w:rsidP="00B534FB">
      <w:pPr>
        <w:spacing w:before="120" w:after="120"/>
        <w:ind w:right="-284"/>
        <w:jc w:val="both"/>
      </w:pPr>
      <w:r w:rsidRPr="00B534FB">
        <w:t xml:space="preserve">Mūsdienu drošības draudi kļūst arvien kompleksāki, skarot teju visas jomas un sasaistot kā iekšējo, tā ārējo drošību, kā civilos, tā militāros instrumentus. ES līmenī pēdējo gadu laikā ir ievērojami padziļinājusies sadarbība drošībā un aizsardzībā, kas pamatā balstās uz 2016. gada ES Globālās stratēģijas drošībā un aizsardzībā noteiktajiem prioritārajiem virzieniem un uzdevumiem. Ir izveidotas un tiek attīstītas vairākas jaunas ES iniciatīvas - t.sk. militārās mobilitātes sekmēšana, sadarbība Pastāvīgās strukturētās sadarbības (PESCO) ietvaros, Eiropas Aizsardzības fonda veidošana, civilo un militāro misiju un operāciju īstenošana, cīņa ar hibrīdo apdraudējumu un dezinformāciju, jaunās ES kiberdrošības stratēģijas izstrāde un darbs pie civilo spēju stiprināšanas. </w:t>
      </w:r>
      <w:r w:rsidRPr="00B534FB">
        <w:rPr>
          <w:bCs/>
        </w:rPr>
        <w:t>ES daudzgadu budžetā 2021. - 2027. gadam pirmo reizi ir paredzēts līdzfinansējums aizsardzības iniciatīvām</w:t>
      </w:r>
      <w:r w:rsidRPr="00B534FB">
        <w:t xml:space="preserve">. </w:t>
      </w:r>
    </w:p>
    <w:p w:rsidR="00B534FB" w:rsidRDefault="00B534FB" w:rsidP="00B534FB">
      <w:pPr>
        <w:spacing w:before="120" w:after="120"/>
        <w:ind w:right="-284"/>
        <w:jc w:val="both"/>
        <w:rPr>
          <w:i/>
          <w:color w:val="000000" w:themeColor="text1"/>
        </w:rPr>
      </w:pPr>
    </w:p>
    <w:p w:rsidR="00B534FB" w:rsidRPr="00B534FB" w:rsidRDefault="00B534FB" w:rsidP="00B534FB">
      <w:pPr>
        <w:spacing w:before="120" w:after="120"/>
        <w:ind w:right="-284"/>
        <w:jc w:val="both"/>
        <w:rPr>
          <w:i/>
          <w:color w:val="000000" w:themeColor="text1"/>
        </w:rPr>
      </w:pPr>
      <w:r w:rsidRPr="00B534FB">
        <w:rPr>
          <w:i/>
          <w:color w:val="000000" w:themeColor="text1"/>
        </w:rPr>
        <w:lastRenderedPageBreak/>
        <w:t>ES dienvidu kaimiņi</w:t>
      </w:r>
    </w:p>
    <w:p w:rsidR="00B534FB" w:rsidRPr="00B534FB" w:rsidRDefault="00B534FB" w:rsidP="00B534FB">
      <w:pPr>
        <w:spacing w:before="120" w:after="120"/>
        <w:ind w:right="-284"/>
        <w:jc w:val="both"/>
      </w:pPr>
      <w:r w:rsidRPr="00B534FB">
        <w:rPr>
          <w:iCs/>
          <w:color w:val="000000" w:themeColor="text1"/>
        </w:rPr>
        <w:t xml:space="preserve">Barselonas deklarācijas 25. gadadiena 2020. gada novembrī ir devusi impulsu pārdomām par ES stratēģiskajiem mērķiem un iesaistīšanos reģionā. To pastiprināja </w:t>
      </w:r>
      <w:proofErr w:type="spellStart"/>
      <w:r w:rsidRPr="00B534FB">
        <w:rPr>
          <w:color w:val="000000" w:themeColor="text1"/>
        </w:rPr>
        <w:t>Covid-19</w:t>
      </w:r>
      <w:proofErr w:type="spellEnd"/>
      <w:r w:rsidRPr="00B534FB">
        <w:rPr>
          <w:color w:val="000000" w:themeColor="text1"/>
        </w:rPr>
        <w:t xml:space="preserve"> pandēmijas radītie sociālekonomiskie satricinājumi Dienvidu kaimiņu reģionā. Tajā pašā laikā ES institūciju un dalībvalstu vidū ir izpratne, ka pandēmija pavēra jaunas iespējas abpusēji izdevīgai sadarbībai. Šajā kontekstā ES un tās dalībvalstis uzsāka darbu pie jaunu prioritāšu un mērķu formulēšanas, kas ir virzīti uz ES politiskās un ekonomiskās lomas spēcināšanu Dienvidu kaimiņu reģionā, ilgtspējīgu izaugsmi un stabilitāti, tostarp reģionālās </w:t>
      </w:r>
      <w:r w:rsidRPr="00B534FB">
        <w:rPr>
          <w:iCs/>
          <w:color w:val="000000" w:themeColor="text1"/>
        </w:rPr>
        <w:t xml:space="preserve">integrācijas un drošības situācijas uzlabošanu, darbavietu radīšanu, sociālās aizsardzības sistēmu stiprināšanu, labas pārvaldības principu ieviešanu, klimata pārmaiņu seku novēršanu un neregulārās migrācijas pamatcēloņu risināšanu. </w:t>
      </w:r>
    </w:p>
    <w:p w:rsidR="00B534FB" w:rsidRDefault="00B534FB" w:rsidP="00B534FB">
      <w:pPr>
        <w:spacing w:before="120" w:after="120"/>
        <w:ind w:right="-284"/>
        <w:jc w:val="both"/>
        <w:rPr>
          <w:rFonts w:eastAsia="Calibri"/>
          <w:szCs w:val="22"/>
          <w:u w:val="single"/>
        </w:rPr>
      </w:pPr>
    </w:p>
    <w:p w:rsidR="00B534FB" w:rsidRPr="00B534FB" w:rsidRDefault="00B534FB" w:rsidP="00B534FB">
      <w:pPr>
        <w:spacing w:before="120" w:after="120"/>
        <w:ind w:right="-284"/>
        <w:jc w:val="both"/>
        <w:rPr>
          <w:rFonts w:eastAsia="Calibri"/>
          <w:szCs w:val="22"/>
          <w:u w:val="single"/>
        </w:rPr>
      </w:pPr>
      <w:r w:rsidRPr="00B534FB">
        <w:rPr>
          <w:rFonts w:eastAsia="Calibri"/>
          <w:szCs w:val="22"/>
          <w:u w:val="single"/>
        </w:rPr>
        <w:t>Latvijas nostāja:</w:t>
      </w:r>
    </w:p>
    <w:p w:rsidR="00B534FB" w:rsidRPr="00B534FB" w:rsidRDefault="00B534FB" w:rsidP="00B534FB">
      <w:pPr>
        <w:spacing w:before="120" w:after="120"/>
        <w:ind w:right="-284"/>
        <w:jc w:val="both"/>
        <w:rPr>
          <w:rFonts w:eastAsia="Calibri"/>
          <w:i/>
        </w:rPr>
      </w:pPr>
      <w:proofErr w:type="spellStart"/>
      <w:r w:rsidRPr="00B534FB">
        <w:rPr>
          <w:rFonts w:eastAsia="Calibri"/>
          <w:i/>
        </w:rPr>
        <w:t>Covid-19</w:t>
      </w:r>
      <w:proofErr w:type="spellEnd"/>
    </w:p>
    <w:p w:rsidR="00B534FB" w:rsidRPr="00B534FB" w:rsidRDefault="00B534FB" w:rsidP="00B534FB">
      <w:pPr>
        <w:spacing w:before="120" w:after="120"/>
        <w:ind w:right="-284"/>
        <w:jc w:val="both"/>
        <w:rPr>
          <w:i/>
        </w:rPr>
      </w:pPr>
      <w:r w:rsidRPr="00B534FB">
        <w:rPr>
          <w:i/>
        </w:rPr>
        <w:t>Vakcīnas un vakcinācija</w:t>
      </w:r>
    </w:p>
    <w:p w:rsidR="00B534FB" w:rsidRPr="00B534FB" w:rsidRDefault="00B534FB" w:rsidP="00B534FB">
      <w:pPr>
        <w:numPr>
          <w:ilvl w:val="0"/>
          <w:numId w:val="22"/>
        </w:numPr>
        <w:spacing w:before="120" w:after="120"/>
        <w:ind w:left="499" w:right="-284" w:hanging="357"/>
        <w:jc w:val="both"/>
        <w:rPr>
          <w:bCs/>
          <w:iCs/>
        </w:rPr>
      </w:pPr>
      <w:r w:rsidRPr="00B534FB">
        <w:rPr>
          <w:bCs/>
          <w:iCs/>
        </w:rPr>
        <w:t xml:space="preserve">Atbalstām ciešāku ES līmeņa sadarbību, lai nodrošinātu vakcīnu pieejamību un laicīgas piegādes dalībvalstīs, kā arī koordināciju attiecībā uz ierobežojošo mēru ieviešanu. </w:t>
      </w:r>
    </w:p>
    <w:p w:rsidR="00B534FB" w:rsidRPr="00B534FB" w:rsidRDefault="00B534FB" w:rsidP="00B534FB">
      <w:pPr>
        <w:numPr>
          <w:ilvl w:val="0"/>
          <w:numId w:val="22"/>
        </w:numPr>
        <w:spacing w:before="120" w:after="120"/>
        <w:ind w:left="499" w:right="-284" w:hanging="357"/>
        <w:jc w:val="both"/>
        <w:rPr>
          <w:bCs/>
          <w:iCs/>
        </w:rPr>
      </w:pPr>
      <w:r w:rsidRPr="00B534FB">
        <w:rPr>
          <w:bCs/>
          <w:iCs/>
        </w:rPr>
        <w:t xml:space="preserve">Svarīgi nodrošināt efektīvu komunikāciju, palielināt vakcīnu ražošanas kapacitāti un risināt jautājumu par vakcīnu piemērotību jaunajiem </w:t>
      </w:r>
      <w:proofErr w:type="spellStart"/>
      <w:r w:rsidRPr="00B534FB">
        <w:rPr>
          <w:bCs/>
          <w:iCs/>
        </w:rPr>
        <w:t>Covid-19</w:t>
      </w:r>
      <w:proofErr w:type="spellEnd"/>
      <w:r w:rsidRPr="00B534FB">
        <w:rPr>
          <w:bCs/>
          <w:iCs/>
        </w:rPr>
        <w:t xml:space="preserve"> celmiem. </w:t>
      </w:r>
    </w:p>
    <w:p w:rsidR="00B534FB" w:rsidRPr="00B534FB" w:rsidRDefault="00B534FB" w:rsidP="00B534FB">
      <w:pPr>
        <w:numPr>
          <w:ilvl w:val="0"/>
          <w:numId w:val="22"/>
        </w:numPr>
        <w:spacing w:before="120" w:after="120"/>
        <w:ind w:left="499" w:right="-284" w:hanging="357"/>
        <w:jc w:val="both"/>
        <w:rPr>
          <w:bCs/>
          <w:iCs/>
        </w:rPr>
      </w:pPr>
      <w:r w:rsidRPr="00B534FB">
        <w:rPr>
          <w:bCs/>
          <w:iCs/>
        </w:rPr>
        <w:t>Jānodrošina vienlīdzīgu un visaptverošu ES pieeju, atbalstot vakcīnu pieejamību ES kaimiņvalstīm.</w:t>
      </w:r>
    </w:p>
    <w:p w:rsidR="00B534FB" w:rsidRPr="00B534FB" w:rsidRDefault="00B534FB" w:rsidP="00B534FB">
      <w:pPr>
        <w:spacing w:before="120" w:after="120"/>
        <w:ind w:left="357" w:right="-284" w:hanging="357"/>
        <w:jc w:val="both"/>
        <w:rPr>
          <w:rFonts w:eastAsia="Calibri"/>
          <w:i/>
        </w:rPr>
      </w:pPr>
      <w:r w:rsidRPr="00B534FB">
        <w:rPr>
          <w:rFonts w:eastAsia="Calibri"/>
          <w:i/>
        </w:rPr>
        <w:t>Veselība</w:t>
      </w:r>
    </w:p>
    <w:p w:rsidR="00B534FB" w:rsidRPr="00B534FB" w:rsidRDefault="00B534FB" w:rsidP="00B534FB">
      <w:pPr>
        <w:numPr>
          <w:ilvl w:val="0"/>
          <w:numId w:val="21"/>
        </w:numPr>
        <w:spacing w:before="120" w:after="120"/>
        <w:ind w:left="499" w:right="-284" w:hanging="357"/>
        <w:jc w:val="both"/>
        <w:rPr>
          <w:i/>
        </w:rPr>
      </w:pPr>
      <w:r w:rsidRPr="00B534FB">
        <w:t>Attiecībā uz pandēmijā gūtajām mācībām, secinām, ka, pirms jaunu ierobežojošo pasākumu ieviešanas, ir nepieciešama savstarpēja koordinācija, it īpaši, lai nepieļautu kritiski nepieciešamo preču, medikamentu un personāla nepieejamību.</w:t>
      </w:r>
    </w:p>
    <w:p w:rsidR="00B534FB" w:rsidRPr="00B534FB" w:rsidRDefault="00B534FB" w:rsidP="00B534FB">
      <w:pPr>
        <w:numPr>
          <w:ilvl w:val="0"/>
          <w:numId w:val="21"/>
        </w:numPr>
        <w:spacing w:before="120" w:after="120"/>
        <w:ind w:left="499" w:right="-284" w:hanging="357"/>
        <w:jc w:val="both"/>
        <w:rPr>
          <w:i/>
        </w:rPr>
      </w:pPr>
      <w:r w:rsidRPr="00B534FB">
        <w:t>Lai to nepieļautu, atbalstām nepieciešamību strādāt pie visām dalībvalstīm pieejamu kritiski nepieciešamo zāļu, aizsarglīdzekļu un medicīnisko ierīču stratēģisko krājumu veidošanas un izejvielu avotu un ražotāju dažādošanas.</w:t>
      </w:r>
    </w:p>
    <w:p w:rsidR="00B534FB" w:rsidRPr="00B534FB" w:rsidRDefault="00B534FB" w:rsidP="00B534FB">
      <w:pPr>
        <w:numPr>
          <w:ilvl w:val="0"/>
          <w:numId w:val="20"/>
        </w:numPr>
        <w:spacing w:before="120" w:after="120"/>
        <w:ind w:left="499" w:right="-284" w:hanging="357"/>
        <w:jc w:val="both"/>
      </w:pPr>
      <w:r w:rsidRPr="00B534FB">
        <w:t>Pozitīvi vērtējam ieceri stiprināt Eiropas Slimību un profilakses centru un Eiropas Zāļu aģentūru, kā arī ciešāku koordināciju visos līmeņos.</w:t>
      </w:r>
    </w:p>
    <w:p w:rsidR="00B534FB" w:rsidRPr="00B534FB" w:rsidRDefault="00B534FB" w:rsidP="00B534FB">
      <w:pPr>
        <w:spacing w:before="120" w:after="120"/>
        <w:ind w:left="357" w:right="-284" w:hanging="357"/>
        <w:jc w:val="both"/>
        <w:rPr>
          <w:rFonts w:eastAsia="Calibri"/>
          <w:i/>
        </w:rPr>
      </w:pPr>
      <w:r w:rsidRPr="00B534FB">
        <w:rPr>
          <w:rFonts w:eastAsia="Calibri"/>
          <w:i/>
        </w:rPr>
        <w:t>Drošība un aizsardzība</w:t>
      </w:r>
    </w:p>
    <w:p w:rsidR="00B534FB" w:rsidRPr="00B534FB" w:rsidRDefault="00B534FB" w:rsidP="00B534FB">
      <w:pPr>
        <w:numPr>
          <w:ilvl w:val="0"/>
          <w:numId w:val="19"/>
        </w:numPr>
        <w:spacing w:after="120"/>
        <w:ind w:left="499" w:right="-284" w:hanging="357"/>
        <w:jc w:val="both"/>
        <w:rPr>
          <w:bCs/>
        </w:rPr>
      </w:pPr>
      <w:r w:rsidRPr="00B534FB">
        <w:rPr>
          <w:bCs/>
        </w:rPr>
        <w:t xml:space="preserve">Piekrītam, ka ES ir jāspēj pielāgoties un reaģēt uz globālajiem izaicinājumiem, lai stiprinātu gan savu noturību un rīcībspēju krīzes situācijās, gan arī sniegtu ieguldījumu miera un stabilitātes sekmēšanā ārpus tās robežām (jo īpaši ES </w:t>
      </w:r>
      <w:proofErr w:type="spellStart"/>
      <w:r w:rsidRPr="00B534FB">
        <w:rPr>
          <w:bCs/>
        </w:rPr>
        <w:t>kaimiņreģionos</w:t>
      </w:r>
      <w:proofErr w:type="spellEnd"/>
      <w:r w:rsidRPr="00B534FB">
        <w:rPr>
          <w:bCs/>
        </w:rPr>
        <w:t xml:space="preserve">). </w:t>
      </w:r>
    </w:p>
    <w:p w:rsidR="00B534FB" w:rsidRPr="00B534FB" w:rsidRDefault="00B534FB" w:rsidP="00B534FB">
      <w:pPr>
        <w:numPr>
          <w:ilvl w:val="0"/>
          <w:numId w:val="19"/>
        </w:numPr>
        <w:spacing w:after="120"/>
        <w:ind w:left="499" w:right="-284" w:hanging="357"/>
        <w:jc w:val="both"/>
        <w:rPr>
          <w:bCs/>
        </w:rPr>
      </w:pPr>
      <w:r w:rsidRPr="00B534FB">
        <w:rPr>
          <w:bCs/>
        </w:rPr>
        <w:t xml:space="preserve">Uzskatām, ka mūsdienu pārnacionālo drošības izaicinājumu risināšanā visefektīvākā ir </w:t>
      </w:r>
      <w:proofErr w:type="spellStart"/>
      <w:r w:rsidRPr="00B534FB">
        <w:rPr>
          <w:bCs/>
        </w:rPr>
        <w:t>multilaterālā</w:t>
      </w:r>
      <w:proofErr w:type="spellEnd"/>
      <w:r w:rsidRPr="00B534FB">
        <w:rPr>
          <w:bCs/>
        </w:rPr>
        <w:t xml:space="preserve"> pieeja, tāpēc ES primāri ir jāfokusējas uz ciešas sadarbības stiprināšanu ar partnerorganizācijām un līdzīgi domājošām valstīm.</w:t>
      </w:r>
    </w:p>
    <w:p w:rsidR="00B534FB" w:rsidRDefault="00B534FB" w:rsidP="00B534FB">
      <w:pPr>
        <w:spacing w:after="160" w:line="259" w:lineRule="auto"/>
        <w:ind w:left="357" w:right="-284" w:hanging="357"/>
        <w:jc w:val="both"/>
        <w:rPr>
          <w:i/>
          <w:color w:val="000000" w:themeColor="text1"/>
        </w:rPr>
      </w:pPr>
    </w:p>
    <w:p w:rsidR="00B534FB" w:rsidRPr="00B534FB" w:rsidRDefault="00B534FB" w:rsidP="00B534FB">
      <w:pPr>
        <w:spacing w:after="160" w:line="259" w:lineRule="auto"/>
        <w:ind w:left="357" w:right="-284" w:hanging="357"/>
        <w:jc w:val="both"/>
        <w:rPr>
          <w:i/>
          <w:color w:val="000000" w:themeColor="text1"/>
        </w:rPr>
      </w:pPr>
      <w:r w:rsidRPr="00B534FB">
        <w:rPr>
          <w:i/>
          <w:color w:val="000000" w:themeColor="text1"/>
        </w:rPr>
        <w:lastRenderedPageBreak/>
        <w:t>ES dienvidu kaimiņi</w:t>
      </w:r>
    </w:p>
    <w:p w:rsidR="00B534FB" w:rsidRPr="00B534FB" w:rsidRDefault="00B534FB" w:rsidP="00B534FB">
      <w:pPr>
        <w:numPr>
          <w:ilvl w:val="0"/>
          <w:numId w:val="18"/>
        </w:numPr>
        <w:spacing w:before="120" w:after="120"/>
        <w:ind w:left="499" w:right="-284" w:hanging="357"/>
        <w:jc w:val="both"/>
        <w:rPr>
          <w:color w:val="000000" w:themeColor="text1"/>
        </w:rPr>
      </w:pPr>
      <w:r w:rsidRPr="00B534FB">
        <w:rPr>
          <w:bCs/>
          <w:color w:val="000000" w:themeColor="text1"/>
        </w:rPr>
        <w:t xml:space="preserve">Atbalstām ES </w:t>
      </w:r>
      <w:r w:rsidR="00833FEC" w:rsidRPr="00BE3CA4">
        <w:rPr>
          <w:bCs/>
          <w:color w:val="000000" w:themeColor="text1"/>
        </w:rPr>
        <w:t xml:space="preserve">iniciatīvas, kas ir vērstas uz ES Dienvidu kaimiņu attīstības, </w:t>
      </w:r>
      <w:proofErr w:type="spellStart"/>
      <w:r w:rsidR="00833FEC" w:rsidRPr="00BE3CA4">
        <w:rPr>
          <w:bCs/>
          <w:color w:val="000000" w:themeColor="text1"/>
        </w:rPr>
        <w:t>izturētspējas</w:t>
      </w:r>
      <w:proofErr w:type="spellEnd"/>
      <w:r w:rsidR="00833FEC" w:rsidRPr="00BE3CA4">
        <w:rPr>
          <w:bCs/>
          <w:color w:val="000000" w:themeColor="text1"/>
        </w:rPr>
        <w:t xml:space="preserve"> un stabilitātes veicināšanu, </w:t>
      </w:r>
      <w:r w:rsidR="00833FEC">
        <w:rPr>
          <w:bCs/>
          <w:color w:val="000000" w:themeColor="text1"/>
        </w:rPr>
        <w:t xml:space="preserve">labas pārvaldības principu un pilsoniskās sabiedrības stiprināšanu, </w:t>
      </w:r>
      <w:r w:rsidR="00833FEC" w:rsidRPr="00BE3CA4">
        <w:rPr>
          <w:bCs/>
          <w:color w:val="000000" w:themeColor="text1"/>
        </w:rPr>
        <w:t xml:space="preserve">lai risinātu humānos, </w:t>
      </w:r>
      <w:r w:rsidR="00833FEC">
        <w:rPr>
          <w:bCs/>
          <w:color w:val="000000" w:themeColor="text1"/>
        </w:rPr>
        <w:t xml:space="preserve">pilsonisko tiesību, </w:t>
      </w:r>
      <w:r w:rsidR="00833FEC" w:rsidRPr="00BE3CA4">
        <w:rPr>
          <w:bCs/>
          <w:color w:val="000000" w:themeColor="text1"/>
        </w:rPr>
        <w:t xml:space="preserve">sociālās nevienlīdzības, ūdens pieejamības, migrācijas, konfliktu izplatības un </w:t>
      </w:r>
      <w:proofErr w:type="spellStart"/>
      <w:r w:rsidR="00833FEC" w:rsidRPr="00BE3CA4">
        <w:rPr>
          <w:bCs/>
          <w:color w:val="000000" w:themeColor="text1"/>
        </w:rPr>
        <w:t>radikalizācijas</w:t>
      </w:r>
      <w:proofErr w:type="spellEnd"/>
      <w:r w:rsidR="00833FEC" w:rsidRPr="00BE3CA4">
        <w:rPr>
          <w:bCs/>
          <w:color w:val="000000" w:themeColor="text1"/>
        </w:rPr>
        <w:t xml:space="preserve"> izaicinājumus.</w:t>
      </w:r>
    </w:p>
    <w:p w:rsidR="00B534FB" w:rsidRPr="00B534FB" w:rsidRDefault="00B534FB" w:rsidP="00B534FB">
      <w:pPr>
        <w:numPr>
          <w:ilvl w:val="0"/>
          <w:numId w:val="18"/>
        </w:numPr>
        <w:spacing w:before="120" w:after="120"/>
        <w:ind w:left="499" w:right="-284" w:hanging="357"/>
        <w:jc w:val="both"/>
        <w:rPr>
          <w:color w:val="000000" w:themeColor="text1"/>
        </w:rPr>
      </w:pPr>
      <w:r w:rsidRPr="00B534FB">
        <w:rPr>
          <w:iCs/>
          <w:color w:val="000000" w:themeColor="text1"/>
        </w:rPr>
        <w:t>Eiropas kaimiņattiecību politikā ir  jābūt balansētai sadarbībai starp Austrumu un Dienvidu kaimiņiem, kam ir jāatspoguļojas arī finansējuma sadalījumā</w:t>
      </w:r>
      <w:r w:rsidRPr="00B534FB">
        <w:rPr>
          <w:color w:val="000000" w:themeColor="text1"/>
        </w:rPr>
        <w:t>.</w:t>
      </w:r>
      <w:bookmarkStart w:id="0" w:name="_GoBack"/>
      <w:bookmarkEnd w:id="0"/>
    </w:p>
    <w:p w:rsidR="008C0B97" w:rsidRDefault="008C0B97" w:rsidP="008C0B97">
      <w:pPr>
        <w:spacing w:before="120" w:after="120"/>
        <w:ind w:left="360"/>
        <w:jc w:val="both"/>
        <w:rPr>
          <w:rFonts w:eastAsia="Calibri"/>
          <w:i/>
          <w:iCs/>
        </w:rPr>
      </w:pPr>
    </w:p>
    <w:p w:rsidR="00B534FB" w:rsidRDefault="00B534FB" w:rsidP="008C0B97">
      <w:pPr>
        <w:spacing w:before="120" w:after="120"/>
        <w:ind w:left="360"/>
        <w:jc w:val="both"/>
        <w:rPr>
          <w:rFonts w:eastAsia="Calibri"/>
          <w:i/>
          <w:iCs/>
        </w:rPr>
      </w:pPr>
    </w:p>
    <w:p w:rsidR="00B534FB" w:rsidRPr="008C0B97" w:rsidRDefault="00B534FB" w:rsidP="008C0B97">
      <w:pPr>
        <w:spacing w:before="120" w:after="120"/>
        <w:ind w:left="360"/>
        <w:jc w:val="both"/>
        <w:rPr>
          <w:rFonts w:eastAsia="Calibri"/>
          <w:i/>
          <w:iCs/>
        </w:rPr>
      </w:pP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B00DC6" w:rsidRPr="00B00DC6" w:rsidTr="006655D6">
        <w:trPr>
          <w:trHeight w:val="284"/>
        </w:trPr>
        <w:tc>
          <w:tcPr>
            <w:tcW w:w="4321" w:type="dxa"/>
          </w:tcPr>
          <w:p w:rsidR="00B00DC6" w:rsidRPr="00B00DC6" w:rsidRDefault="00670CCE" w:rsidP="00445EE9">
            <w:pPr>
              <w:tabs>
                <w:tab w:val="left" w:pos="6840"/>
              </w:tabs>
              <w:suppressAutoHyphens/>
              <w:jc w:val="both"/>
            </w:pPr>
            <w:r w:rsidRPr="00670CCE">
              <w:t>Ārlietu ministrs</w:t>
            </w:r>
          </w:p>
        </w:tc>
        <w:tc>
          <w:tcPr>
            <w:tcW w:w="4454" w:type="dxa"/>
            <w:vAlign w:val="bottom"/>
          </w:tcPr>
          <w:p w:rsidR="00B00DC6" w:rsidRPr="00B00DC6" w:rsidRDefault="00670CCE" w:rsidP="00B00DC6">
            <w:pPr>
              <w:tabs>
                <w:tab w:val="left" w:pos="6840"/>
              </w:tabs>
              <w:suppressAutoHyphens/>
              <w:jc w:val="right"/>
            </w:pPr>
            <w:r w:rsidRPr="00670CCE">
              <w:t>E.Rinkēvičs</w:t>
            </w:r>
          </w:p>
        </w:tc>
      </w:tr>
    </w:tbl>
    <w:p w:rsidR="00DA2DFB" w:rsidRDefault="00DA2DFB" w:rsidP="00B00DC6">
      <w:pPr>
        <w:spacing w:after="120"/>
        <w:jc w:val="both"/>
        <w:rPr>
          <w:bCs/>
          <w:kern w:val="1"/>
          <w:lang w:eastAsia="ar-SA"/>
        </w:rPr>
      </w:pPr>
    </w:p>
    <w:p w:rsidR="00DA2DFB" w:rsidRPr="006B0600" w:rsidRDefault="00DA2DFB" w:rsidP="00B00DC6">
      <w:pPr>
        <w:spacing w:after="120"/>
        <w:jc w:val="both"/>
        <w:rPr>
          <w:bCs/>
          <w:kern w:val="1"/>
          <w:lang w:eastAsia="ar-SA"/>
        </w:rPr>
      </w:pPr>
    </w:p>
    <w:p w:rsidR="006B0600" w:rsidRPr="006B0600" w:rsidRDefault="007B299A" w:rsidP="00B00DC6">
      <w:pPr>
        <w:spacing w:after="120"/>
        <w:ind w:right="-113"/>
        <w:jc w:val="both"/>
        <w:rPr>
          <w:bCs/>
          <w:kern w:val="1"/>
          <w:lang w:eastAsia="ar-SA"/>
        </w:rPr>
      </w:pPr>
      <w:r>
        <w:rPr>
          <w:bCs/>
          <w:kern w:val="1"/>
          <w:lang w:eastAsia="ar-SA"/>
        </w:rPr>
        <w:t>Vīza: valsts sekretārs</w:t>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t xml:space="preserve">     </w:t>
      </w:r>
      <w:r>
        <w:rPr>
          <w:bCs/>
          <w:kern w:val="1"/>
          <w:lang w:eastAsia="ar-SA"/>
        </w:rPr>
        <w:tab/>
        <w:t xml:space="preserve">     A. Pelšs</w:t>
      </w:r>
    </w:p>
    <w:p w:rsidR="00F20BE7" w:rsidRDefault="00F20BE7" w:rsidP="006B0600">
      <w:pPr>
        <w:rPr>
          <w:sz w:val="20"/>
          <w:szCs w:val="20"/>
        </w:rPr>
      </w:pPr>
    </w:p>
    <w:p w:rsidR="00DA2DFB" w:rsidRDefault="00DA2DFB" w:rsidP="006B0600">
      <w:pPr>
        <w:rPr>
          <w:sz w:val="20"/>
          <w:szCs w:val="20"/>
        </w:rPr>
      </w:pPr>
    </w:p>
    <w:p w:rsidR="00A3363C" w:rsidRDefault="00A3363C" w:rsidP="006B0600">
      <w:pPr>
        <w:rPr>
          <w:sz w:val="20"/>
          <w:szCs w:val="20"/>
        </w:rPr>
      </w:pPr>
    </w:p>
    <w:p w:rsidR="00A455CF" w:rsidRPr="006B0600" w:rsidRDefault="00A455CF" w:rsidP="006B0600">
      <w:pPr>
        <w:rPr>
          <w:sz w:val="20"/>
          <w:szCs w:val="20"/>
        </w:rPr>
      </w:pPr>
    </w:p>
    <w:p w:rsidR="00F23BD2" w:rsidRPr="00200148" w:rsidRDefault="00F23BD2" w:rsidP="00F23BD2">
      <w:pPr>
        <w:rPr>
          <w:sz w:val="20"/>
          <w:szCs w:val="20"/>
        </w:rPr>
      </w:pPr>
      <w:proofErr w:type="spellStart"/>
      <w:r>
        <w:rPr>
          <w:sz w:val="20"/>
          <w:szCs w:val="20"/>
        </w:rPr>
        <w:t>A.Butāne</w:t>
      </w:r>
      <w:proofErr w:type="spellEnd"/>
      <w:r w:rsidRPr="00200148">
        <w:rPr>
          <w:sz w:val="20"/>
          <w:szCs w:val="20"/>
        </w:rPr>
        <w:t xml:space="preserve">, </w:t>
      </w:r>
      <w:r>
        <w:rPr>
          <w:sz w:val="20"/>
          <w:szCs w:val="20"/>
        </w:rPr>
        <w:t>67015929</w:t>
      </w:r>
    </w:p>
    <w:p w:rsidR="006B0600" w:rsidRPr="00860D95" w:rsidRDefault="00833FEC" w:rsidP="00F23BD2">
      <w:pPr>
        <w:rPr>
          <w:sz w:val="20"/>
          <w:szCs w:val="20"/>
        </w:rPr>
      </w:pPr>
      <w:hyperlink r:id="rId8" w:history="1">
        <w:r w:rsidR="00F23BD2" w:rsidRPr="000D774D">
          <w:rPr>
            <w:rStyle w:val="Hyperlink"/>
            <w:sz w:val="20"/>
            <w:szCs w:val="20"/>
          </w:rPr>
          <w:t>Aija.Butane@mfa.gov.lv</w:t>
        </w:r>
      </w:hyperlink>
    </w:p>
    <w:sectPr w:rsidR="006B0600" w:rsidRPr="00860D95" w:rsidSect="00160121">
      <w:footerReference w:type="default" r:id="rId9"/>
      <w:pgSz w:w="12240" w:h="15840"/>
      <w:pgMar w:top="1021"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21" w:rsidRDefault="00160121" w:rsidP="00160121">
      <w:r>
        <w:separator/>
      </w:r>
    </w:p>
  </w:endnote>
  <w:endnote w:type="continuationSeparator" w:id="0">
    <w:p w:rsidR="00160121" w:rsidRDefault="00160121" w:rsidP="001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599851"/>
      <w:docPartObj>
        <w:docPartGallery w:val="Page Numbers (Bottom of Page)"/>
        <w:docPartUnique/>
      </w:docPartObj>
    </w:sdtPr>
    <w:sdtEndPr>
      <w:rPr>
        <w:noProof/>
      </w:rPr>
    </w:sdtEndPr>
    <w:sdtContent>
      <w:p w:rsidR="00B534FB" w:rsidRPr="00392F41" w:rsidRDefault="00B534FB" w:rsidP="00B534FB">
        <w:pPr>
          <w:keepNext/>
          <w:keepLines/>
          <w:suppressAutoHyphens/>
          <w:spacing w:before="200"/>
          <w:jc w:val="both"/>
          <w:outlineLvl w:val="2"/>
          <w:rPr>
            <w:bCs/>
            <w:sz w:val="20"/>
            <w:szCs w:val="20"/>
            <w:lang w:eastAsia="lv-LV"/>
          </w:rPr>
        </w:pPr>
        <w:r w:rsidRPr="001024AC">
          <w:rPr>
            <w:bCs/>
            <w:sz w:val="20"/>
            <w:szCs w:val="20"/>
          </w:rPr>
          <w:t>A</w:t>
        </w:r>
        <w:r>
          <w:rPr>
            <w:bCs/>
            <w:sz w:val="20"/>
            <w:szCs w:val="20"/>
          </w:rPr>
          <w:t>Mzino_160221</w:t>
        </w:r>
        <w:r w:rsidRPr="001024AC">
          <w:rPr>
            <w:bCs/>
            <w:sz w:val="20"/>
            <w:szCs w:val="20"/>
          </w:rPr>
          <w:t>; Latvijas Republikas na</w:t>
        </w:r>
        <w:r>
          <w:rPr>
            <w:bCs/>
            <w:sz w:val="20"/>
            <w:szCs w:val="20"/>
          </w:rPr>
          <w:t>cionālā pozīcija Nr. 1 “Par 2021</w:t>
        </w:r>
        <w:r w:rsidRPr="001024AC">
          <w:rPr>
            <w:bCs/>
            <w:sz w:val="20"/>
            <w:szCs w:val="20"/>
          </w:rPr>
          <w:t xml:space="preserve">. gada </w:t>
        </w:r>
        <w:r>
          <w:rPr>
            <w:bCs/>
            <w:sz w:val="20"/>
            <w:szCs w:val="20"/>
          </w:rPr>
          <w:t>25. – 26. februāra ārkārtas</w:t>
        </w:r>
        <w:r w:rsidRPr="001024AC">
          <w:rPr>
            <w:bCs/>
            <w:sz w:val="20"/>
            <w:szCs w:val="20"/>
          </w:rPr>
          <w:t xml:space="preserve"> Eiropadomē izskatāmajiem jautājumiem”</w:t>
        </w:r>
      </w:p>
      <w:p w:rsidR="00160121" w:rsidRDefault="00A3363C" w:rsidP="00B534FB">
        <w:pPr>
          <w:keepNext/>
          <w:keepLines/>
          <w:suppressAutoHyphens/>
          <w:spacing w:before="200"/>
          <w:jc w:val="center"/>
          <w:outlineLvl w:val="2"/>
        </w:pPr>
        <w:r>
          <w:fldChar w:fldCharType="begin"/>
        </w:r>
        <w:r>
          <w:instrText xml:space="preserve"> PAGE   \* MERGEFORMAT </w:instrText>
        </w:r>
        <w:r>
          <w:fldChar w:fldCharType="separate"/>
        </w:r>
        <w:r w:rsidR="00833FE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21" w:rsidRDefault="00160121" w:rsidP="00160121">
      <w:r>
        <w:separator/>
      </w:r>
    </w:p>
  </w:footnote>
  <w:footnote w:type="continuationSeparator" w:id="0">
    <w:p w:rsidR="00160121" w:rsidRDefault="00160121" w:rsidP="0016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D6C"/>
    <w:multiLevelType w:val="hybridMultilevel"/>
    <w:tmpl w:val="FBFC8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6148F"/>
    <w:multiLevelType w:val="hybridMultilevel"/>
    <w:tmpl w:val="E7125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B46B4B"/>
    <w:multiLevelType w:val="hybridMultilevel"/>
    <w:tmpl w:val="27100B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C9E7D80"/>
    <w:multiLevelType w:val="hybridMultilevel"/>
    <w:tmpl w:val="CE02C3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EE1E93"/>
    <w:multiLevelType w:val="hybridMultilevel"/>
    <w:tmpl w:val="4B4ACC9C"/>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5" w15:restartNumberingAfterBreak="0">
    <w:nsid w:val="1E1B3BB3"/>
    <w:multiLevelType w:val="hybridMultilevel"/>
    <w:tmpl w:val="EFC60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20233"/>
    <w:multiLevelType w:val="hybridMultilevel"/>
    <w:tmpl w:val="0E4E18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D276B21"/>
    <w:multiLevelType w:val="hybridMultilevel"/>
    <w:tmpl w:val="18E42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602215B"/>
    <w:multiLevelType w:val="hybridMultilevel"/>
    <w:tmpl w:val="FC1EC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9552AAB"/>
    <w:multiLevelType w:val="hybridMultilevel"/>
    <w:tmpl w:val="49768CE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7332757"/>
    <w:multiLevelType w:val="hybridMultilevel"/>
    <w:tmpl w:val="B77A38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875698"/>
    <w:multiLevelType w:val="hybridMultilevel"/>
    <w:tmpl w:val="875EA6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9B866B4"/>
    <w:multiLevelType w:val="hybridMultilevel"/>
    <w:tmpl w:val="2968D2DA"/>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13"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2AA5953"/>
    <w:multiLevelType w:val="hybridMultilevel"/>
    <w:tmpl w:val="30BE4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3F15CAB"/>
    <w:multiLevelType w:val="hybridMultilevel"/>
    <w:tmpl w:val="C0C49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A85ED6"/>
    <w:multiLevelType w:val="hybridMultilevel"/>
    <w:tmpl w:val="0838B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A0B65F0"/>
    <w:multiLevelType w:val="hybridMultilevel"/>
    <w:tmpl w:val="F51E3540"/>
    <w:lvl w:ilvl="0" w:tplc="C14AC634">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C2C1244"/>
    <w:multiLevelType w:val="hybridMultilevel"/>
    <w:tmpl w:val="014614EE"/>
    <w:lvl w:ilvl="0" w:tplc="37C4BFA8">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1627BFB"/>
    <w:multiLevelType w:val="hybridMultilevel"/>
    <w:tmpl w:val="DFF8A9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EFF5957"/>
    <w:multiLevelType w:val="hybridMultilevel"/>
    <w:tmpl w:val="5022B2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17"/>
  </w:num>
  <w:num w:numId="6">
    <w:abstractNumId w:val="14"/>
  </w:num>
  <w:num w:numId="7">
    <w:abstractNumId w:val="8"/>
  </w:num>
  <w:num w:numId="8">
    <w:abstractNumId w:val="15"/>
  </w:num>
  <w:num w:numId="9">
    <w:abstractNumId w:val="20"/>
  </w:num>
  <w:num w:numId="10">
    <w:abstractNumId w:val="13"/>
  </w:num>
  <w:num w:numId="11">
    <w:abstractNumId w:val="10"/>
  </w:num>
  <w:num w:numId="12">
    <w:abstractNumId w:val="6"/>
  </w:num>
  <w:num w:numId="13">
    <w:abstractNumId w:val="3"/>
  </w:num>
  <w:num w:numId="14">
    <w:abstractNumId w:val="19"/>
  </w:num>
  <w:num w:numId="15">
    <w:abstractNumId w:val="9"/>
  </w:num>
  <w:num w:numId="16">
    <w:abstractNumId w:val="21"/>
  </w:num>
  <w:num w:numId="17">
    <w:abstractNumId w:val="18"/>
  </w:num>
  <w:num w:numId="18">
    <w:abstractNumId w:val="4"/>
  </w:num>
  <w:num w:numId="19">
    <w:abstractNumId w:val="12"/>
  </w:num>
  <w:num w:numId="20">
    <w:abstractNumId w:val="1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4"/>
    <w:rsid w:val="00074FEA"/>
    <w:rsid w:val="00160121"/>
    <w:rsid w:val="00173E94"/>
    <w:rsid w:val="001746D4"/>
    <w:rsid w:val="001A4C0A"/>
    <w:rsid w:val="0026480C"/>
    <w:rsid w:val="00286D17"/>
    <w:rsid w:val="002A46DE"/>
    <w:rsid w:val="002F2372"/>
    <w:rsid w:val="00367C4E"/>
    <w:rsid w:val="00445EE9"/>
    <w:rsid w:val="00452C14"/>
    <w:rsid w:val="00581374"/>
    <w:rsid w:val="006005CC"/>
    <w:rsid w:val="006655D6"/>
    <w:rsid w:val="00670CCE"/>
    <w:rsid w:val="006A522E"/>
    <w:rsid w:val="006B0600"/>
    <w:rsid w:val="006F6CAD"/>
    <w:rsid w:val="007461EE"/>
    <w:rsid w:val="00794C92"/>
    <w:rsid w:val="007B299A"/>
    <w:rsid w:val="007F499D"/>
    <w:rsid w:val="008062ED"/>
    <w:rsid w:val="00833FEC"/>
    <w:rsid w:val="008516B3"/>
    <w:rsid w:val="00860D95"/>
    <w:rsid w:val="008C0B97"/>
    <w:rsid w:val="009E0852"/>
    <w:rsid w:val="00A3363C"/>
    <w:rsid w:val="00A41068"/>
    <w:rsid w:val="00A455CF"/>
    <w:rsid w:val="00B00DC6"/>
    <w:rsid w:val="00B025EB"/>
    <w:rsid w:val="00B17BE6"/>
    <w:rsid w:val="00B534FB"/>
    <w:rsid w:val="00BA5EFB"/>
    <w:rsid w:val="00BB44D5"/>
    <w:rsid w:val="00BE1009"/>
    <w:rsid w:val="00BE17F1"/>
    <w:rsid w:val="00DA2DFB"/>
    <w:rsid w:val="00EF1BFF"/>
    <w:rsid w:val="00F1708E"/>
    <w:rsid w:val="00F20BE7"/>
    <w:rsid w:val="00F23BD2"/>
    <w:rsid w:val="00F44C91"/>
    <w:rsid w:val="00F71362"/>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F966"/>
  <w15:chartTrackingRefBased/>
  <w15:docId w15:val="{81110456-D334-46F9-822A-52673C43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074FEA"/>
    <w:rPr>
      <w:rFonts w:ascii="Calibri" w:eastAsia="Calibri" w:hAnsi="Calibri" w:cs="Calibri"/>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074FEA"/>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B0600"/>
    <w:rPr>
      <w:color w:val="0563C1" w:themeColor="hyperlink"/>
      <w:u w:val="single"/>
    </w:rPr>
  </w:style>
  <w:style w:type="paragraph" w:styleId="Header">
    <w:name w:val="header"/>
    <w:basedOn w:val="Normal"/>
    <w:link w:val="HeaderChar"/>
    <w:uiPriority w:val="99"/>
    <w:unhideWhenUsed/>
    <w:rsid w:val="00160121"/>
    <w:pPr>
      <w:tabs>
        <w:tab w:val="center" w:pos="4153"/>
        <w:tab w:val="right" w:pos="8306"/>
      </w:tabs>
    </w:pPr>
  </w:style>
  <w:style w:type="character" w:customStyle="1" w:styleId="HeaderChar">
    <w:name w:val="Header Char"/>
    <w:basedOn w:val="DefaultParagraphFont"/>
    <w:link w:val="Header"/>
    <w:uiPriority w:val="99"/>
    <w:rsid w:val="00160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1"/>
    <w:pPr>
      <w:tabs>
        <w:tab w:val="center" w:pos="4153"/>
        <w:tab w:val="right" w:pos="8306"/>
      </w:tabs>
    </w:pPr>
  </w:style>
  <w:style w:type="character" w:customStyle="1" w:styleId="FooterChar">
    <w:name w:val="Footer Char"/>
    <w:basedOn w:val="DefaultParagraphFont"/>
    <w:link w:val="Footer"/>
    <w:uiPriority w:val="99"/>
    <w:rsid w:val="001601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Butane@mfa.gov.l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36" ma:contentTypeDescription="Izveidot jaunu dokumentu." ma:contentTypeScope="" ma:versionID="34ce31c1ba9369b4ab1c96595fb59767">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2021-02-16T18:09:29Z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26-3273</amNumurs>
    <amPiekluvesLimenaPamatojums xmlns="801ff49e-5150-41f0-9cd7-015d16134d38" xsi:nil="true"/>
  </documentManagement>
</p:properties>
</file>

<file path=customXml/itemProps1.xml><?xml version="1.0" encoding="utf-8"?>
<ds:datastoreItem xmlns:ds="http://schemas.openxmlformats.org/officeDocument/2006/customXml" ds:itemID="{B3183E6A-F688-4B09-B5A8-6680C8870ACD}"/>
</file>

<file path=customXml/itemProps2.xml><?xml version="1.0" encoding="utf-8"?>
<ds:datastoreItem xmlns:ds="http://schemas.openxmlformats.org/officeDocument/2006/customXml" ds:itemID="{55A53711-C7B0-478A-932F-FDCA1E795578}"/>
</file>

<file path=customXml/itemProps3.xml><?xml version="1.0" encoding="utf-8"?>
<ds:datastoreItem xmlns:ds="http://schemas.openxmlformats.org/officeDocument/2006/customXml" ds:itemID="{EA489EF9-B9D9-4612-9E50-A6263FEF0137}"/>
</file>

<file path=customXml/itemProps4.xml><?xml version="1.0" encoding="utf-8"?>
<ds:datastoreItem xmlns:ds="http://schemas.openxmlformats.org/officeDocument/2006/customXml" ds:itemID="{65C4EE80-9F6B-4128-B68B-6F7454B9DD62}"/>
</file>

<file path=customXml/itemProps5.xml><?xml version="1.0" encoding="utf-8"?>
<ds:datastoreItem xmlns:ds="http://schemas.openxmlformats.org/officeDocument/2006/customXml" ds:itemID="{2AA026B4-4AB5-44B4-A5D5-98DD52F7527C}"/>
</file>

<file path=customXml/itemProps6.xml><?xml version="1.0" encoding="utf-8"?>
<ds:datastoreItem xmlns:ds="http://schemas.openxmlformats.org/officeDocument/2006/customXml" ds:itemID="{260D290A-1D99-44F6-A5F3-3B654F59EA75}"/>
</file>

<file path=docProps/app.xml><?xml version="1.0" encoding="utf-8"?>
<Properties xmlns="http://schemas.openxmlformats.org/officeDocument/2006/extended-properties" xmlns:vt="http://schemas.openxmlformats.org/officeDocument/2006/docPropsVTypes">
  <Template>Normal</Template>
  <TotalTime>143</TotalTime>
  <Pages>3</Pages>
  <Words>3729</Words>
  <Characters>2126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Gange</dc:creator>
  <cp:keywords/>
  <dc:description/>
  <cp:lastModifiedBy>Author</cp:lastModifiedBy>
  <cp:revision>33</cp:revision>
  <dcterms:created xsi:type="dcterms:W3CDTF">2020-07-09T13:54:00Z</dcterms:created>
  <dcterms:modified xsi:type="dcterms:W3CDTF">2021-02-15T13:37:00Z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