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14" w:rsidRPr="00452C14" w:rsidRDefault="00452C14" w:rsidP="002A46DE">
      <w:pPr>
        <w:widowControl w:val="0"/>
        <w:suppressAutoHyphens/>
        <w:spacing w:after="120"/>
        <w:ind w:left="357"/>
        <w:jc w:val="center"/>
        <w:rPr>
          <w:b/>
          <w:kern w:val="1"/>
          <w:lang w:eastAsia="ar-SA"/>
        </w:rPr>
      </w:pPr>
      <w:bookmarkStart w:id="0" w:name="_GoBack"/>
      <w:bookmarkEnd w:id="0"/>
      <w:r w:rsidRPr="00452C14">
        <w:rPr>
          <w:b/>
          <w:kern w:val="1"/>
          <w:lang w:eastAsia="ar-SA"/>
        </w:rPr>
        <w:t>Informatīvais ziņojums</w:t>
      </w:r>
    </w:p>
    <w:p w:rsidR="00074FEA" w:rsidRDefault="00452C14" w:rsidP="00B534FB">
      <w:pPr>
        <w:keepNext/>
        <w:keepLines/>
        <w:shd w:val="clear" w:color="auto" w:fill="FFFFFF"/>
        <w:spacing w:after="120"/>
        <w:ind w:right="-284"/>
        <w:jc w:val="center"/>
        <w:outlineLvl w:val="2"/>
        <w:rPr>
          <w:b/>
          <w:bCs/>
        </w:rPr>
      </w:pPr>
      <w:r w:rsidRPr="00452C14">
        <w:rPr>
          <w:b/>
          <w:bCs/>
          <w:szCs w:val="28"/>
        </w:rPr>
        <w:t xml:space="preserve">“Par </w:t>
      </w:r>
      <w:r w:rsidR="00B534FB">
        <w:rPr>
          <w:b/>
          <w:bCs/>
          <w:szCs w:val="28"/>
        </w:rPr>
        <w:t>2021</w:t>
      </w:r>
      <w:r w:rsidRPr="00452C14">
        <w:rPr>
          <w:b/>
          <w:bCs/>
          <w:szCs w:val="28"/>
        </w:rPr>
        <w:t xml:space="preserve">. gada </w:t>
      </w:r>
      <w:r w:rsidR="00B534FB">
        <w:rPr>
          <w:b/>
          <w:bCs/>
          <w:szCs w:val="28"/>
        </w:rPr>
        <w:t xml:space="preserve">25. – 26. </w:t>
      </w:r>
      <w:r w:rsidR="00F44FFF">
        <w:rPr>
          <w:b/>
          <w:bCs/>
          <w:szCs w:val="28"/>
        </w:rPr>
        <w:t>marta</w:t>
      </w:r>
      <w:r w:rsidR="00A3363C">
        <w:rPr>
          <w:b/>
          <w:bCs/>
          <w:szCs w:val="28"/>
        </w:rPr>
        <w:t xml:space="preserve"> </w:t>
      </w:r>
      <w:r w:rsidRPr="00452C14">
        <w:rPr>
          <w:b/>
          <w:bCs/>
          <w:szCs w:val="28"/>
        </w:rPr>
        <w:t>Eiropadomē izskatāmajiem jautājumiem</w:t>
      </w:r>
      <w:r w:rsidRPr="00452C14">
        <w:rPr>
          <w:b/>
          <w:bCs/>
        </w:rPr>
        <w:t>”</w:t>
      </w:r>
    </w:p>
    <w:p w:rsidR="00B534FB" w:rsidRPr="00160121" w:rsidRDefault="00B534FB" w:rsidP="00B534FB">
      <w:pPr>
        <w:keepNext/>
        <w:keepLines/>
        <w:shd w:val="clear" w:color="auto" w:fill="FFFFFF"/>
        <w:spacing w:after="120"/>
        <w:ind w:right="-284"/>
        <w:jc w:val="center"/>
        <w:outlineLvl w:val="2"/>
        <w:rPr>
          <w:b/>
          <w:bCs/>
          <w:szCs w:val="28"/>
        </w:rPr>
      </w:pPr>
    </w:p>
    <w:p w:rsidR="00F44FFF" w:rsidRPr="00F44FFF" w:rsidRDefault="00F44FFF" w:rsidP="00F44FFF">
      <w:pPr>
        <w:spacing w:after="120"/>
        <w:jc w:val="both"/>
      </w:pPr>
      <w:r w:rsidRPr="00F44FFF">
        <w:t xml:space="preserve">ES valstu un valdību vadītāju sanāksmes (Eiropadomes) darba kārtībā ir 4 jautājumu bloki: </w:t>
      </w:r>
    </w:p>
    <w:p w:rsidR="00F44FFF" w:rsidRPr="00F44FFF" w:rsidRDefault="00F44FFF" w:rsidP="00F44FFF">
      <w:pPr>
        <w:spacing w:after="120"/>
        <w:jc w:val="both"/>
      </w:pPr>
      <w:r w:rsidRPr="00F44FFF">
        <w:t xml:space="preserve">(1) ar Covid-19 saistīto pasākumu koordinācija; </w:t>
      </w:r>
    </w:p>
    <w:p w:rsidR="00F44FFF" w:rsidRPr="00F44FFF" w:rsidRDefault="00F44FFF" w:rsidP="00F44FFF">
      <w:pPr>
        <w:spacing w:after="120"/>
        <w:jc w:val="both"/>
      </w:pPr>
      <w:r w:rsidRPr="00F44FFF">
        <w:t xml:space="preserve">(2) Vienotais tirgus, rūpniecības politika, digitālie jautājumi un ekonomika; </w:t>
      </w:r>
    </w:p>
    <w:p w:rsidR="00F44FFF" w:rsidRPr="00F44FFF" w:rsidRDefault="00F44FFF" w:rsidP="00F44FFF">
      <w:pPr>
        <w:spacing w:after="120"/>
        <w:jc w:val="both"/>
      </w:pPr>
      <w:r w:rsidRPr="00F44FFF">
        <w:t>(3) Vidusjūras austrumi;</w:t>
      </w:r>
    </w:p>
    <w:p w:rsidR="00F44FFF" w:rsidRPr="00F44FFF" w:rsidRDefault="00F44FFF" w:rsidP="00F44FFF">
      <w:pPr>
        <w:spacing w:after="120"/>
        <w:jc w:val="both"/>
      </w:pPr>
      <w:r w:rsidRPr="00F44FFF">
        <w:t>(4) Krievija.</w:t>
      </w:r>
    </w:p>
    <w:p w:rsidR="00F44FFF" w:rsidRPr="00F44FFF" w:rsidRDefault="00F44FFF" w:rsidP="00F44FFF">
      <w:pPr>
        <w:spacing w:after="120"/>
        <w:jc w:val="both"/>
        <w:rPr>
          <w:rFonts w:eastAsia="Calibri"/>
          <w:i/>
        </w:rPr>
      </w:pPr>
      <w:r w:rsidRPr="00F44FFF">
        <w:rPr>
          <w:rFonts w:eastAsia="Calibri"/>
          <w:i/>
        </w:rPr>
        <w:t>Covid-19</w:t>
      </w:r>
    </w:p>
    <w:p w:rsidR="00F44FFF" w:rsidRPr="00F44FFF" w:rsidRDefault="00F44FFF" w:rsidP="00F44FFF">
      <w:pPr>
        <w:spacing w:after="120"/>
        <w:jc w:val="both"/>
        <w:rPr>
          <w:i/>
        </w:rPr>
      </w:pPr>
      <w:r w:rsidRPr="00F44FFF">
        <w:t>Eiropadomē plānota diskusija par vakcīnu ražošanas kapacitātes celšanu, vakcīnu piegādēm un izvietošanu; 17. martā plānoto Eiropas Komisijas priekšlikumu digitālajam zaļajam sertifikātam (</w:t>
      </w:r>
      <w:proofErr w:type="spellStart"/>
      <w:r w:rsidRPr="00F44FFF">
        <w:rPr>
          <w:i/>
        </w:rPr>
        <w:t>Digital</w:t>
      </w:r>
      <w:proofErr w:type="spellEnd"/>
      <w:r w:rsidRPr="00F44FFF">
        <w:rPr>
          <w:i/>
        </w:rPr>
        <w:t xml:space="preserve"> Green </w:t>
      </w:r>
      <w:proofErr w:type="spellStart"/>
      <w:r w:rsidRPr="00F44FFF">
        <w:rPr>
          <w:i/>
        </w:rPr>
        <w:t>Certificate</w:t>
      </w:r>
      <w:proofErr w:type="spellEnd"/>
      <w:r w:rsidRPr="00F44FFF">
        <w:t xml:space="preserve">); ES koordināciju, reaģējot uz jaunu Covid-19 </w:t>
      </w:r>
      <w:r w:rsidR="006F71E8">
        <w:t>variantu i</w:t>
      </w:r>
      <w:r w:rsidRPr="00F44FFF">
        <w:t>zplatību; vienotu pieeju pakāpeniskai ierobežojumu atcelšanai, līdzko to atļaus epidemioloģiskā situācija.</w:t>
      </w:r>
    </w:p>
    <w:p w:rsidR="00F44FFF" w:rsidRPr="00F44FFF" w:rsidRDefault="00F44FFF" w:rsidP="00F44FFF">
      <w:pPr>
        <w:spacing w:after="120"/>
        <w:jc w:val="both"/>
        <w:rPr>
          <w:i/>
        </w:rPr>
      </w:pPr>
      <w:r w:rsidRPr="00F44FFF">
        <w:rPr>
          <w:i/>
        </w:rPr>
        <w:t xml:space="preserve">Vienotais tirgus, rūpniecības politika, digitālie jautājumi un ekonomika </w:t>
      </w:r>
    </w:p>
    <w:p w:rsidR="00F44FFF" w:rsidRPr="00F44FFF" w:rsidRDefault="00F44FFF" w:rsidP="00F44FFF">
      <w:pPr>
        <w:spacing w:after="120"/>
        <w:jc w:val="both"/>
      </w:pPr>
      <w:r w:rsidRPr="00F44FFF">
        <w:t>Plānota diskusija par Vienotā tirgus darbības atjaunošanu un tālāko rīcību ES Rūpniecības politikas attīstībā, ņemot vērā Covid-19 pandēmijas laikā gūtās atziņas. Plānots, ka Eiropadome sniegs skaidru politisko mandātu tālākajai rīcībai, lai sekmētu ne tikai Vienotā tirgus darbības atjaunošanu, bet arī tālāko integrāciju un darbības uzlabošanu. Papildus Eiropadomē paredzēta diskusija par ES digitalizācijas mērķiem 2030.gadam, t.sk. “Digitālo kompasu” un par progresu digitālo nodokļu jautājumā. Eiropadomē plānots apstiprināt 2021. gada Eiropas semestra Ilgtspējīgas izaugsmes stratēģiju un projektu Padomes Rekomendācijām eirozonas ekonomikas politikai 2021.-2022. gadam.</w:t>
      </w:r>
    </w:p>
    <w:p w:rsidR="00F44FFF" w:rsidRPr="00F44FFF" w:rsidRDefault="00F44FFF" w:rsidP="00F44FFF">
      <w:pPr>
        <w:spacing w:after="120"/>
        <w:jc w:val="both"/>
        <w:rPr>
          <w:i/>
        </w:rPr>
      </w:pPr>
      <w:r w:rsidRPr="00F44FFF">
        <w:rPr>
          <w:i/>
        </w:rPr>
        <w:t xml:space="preserve">Vidusjūras austrumi </w:t>
      </w:r>
    </w:p>
    <w:p w:rsidR="00F44FFF" w:rsidRPr="00F44FFF" w:rsidRDefault="00F44FFF" w:rsidP="00F44FFF">
      <w:pPr>
        <w:spacing w:after="120"/>
        <w:jc w:val="both"/>
      </w:pPr>
      <w:r w:rsidRPr="00F44FFF">
        <w:t>Sekojot 2020. gada decembra lēmumam, Eiropadome izvērtēs situāciju Vidusjūras austrumdaļā un ES attiecībās ar Turciju. ES līderi ir aicinājuši  Eiropas Komisiju un ES Augsto pārstāvi ārlietās un drošības politikas jautājumos līdz marta Eiropadomei sagatavot ziņojumu par pašreizējo stāvokli ES - Turcijas attiecībās, kā arī par instrumentiem un iespējām turpmākai rīcībai, tostarp sankciju ietvara paplašināšanu.</w:t>
      </w:r>
    </w:p>
    <w:p w:rsidR="00F44FFF" w:rsidRPr="00F44FFF" w:rsidRDefault="00F44FFF" w:rsidP="00F44FFF">
      <w:pPr>
        <w:spacing w:after="120"/>
        <w:jc w:val="both"/>
        <w:rPr>
          <w:i/>
          <w:color w:val="000000" w:themeColor="text1"/>
        </w:rPr>
      </w:pPr>
      <w:r w:rsidRPr="00F44FFF">
        <w:rPr>
          <w:i/>
          <w:color w:val="000000" w:themeColor="text1"/>
        </w:rPr>
        <w:t xml:space="preserve">Krievija </w:t>
      </w:r>
    </w:p>
    <w:p w:rsidR="00F44FFF" w:rsidRPr="00F44FFF" w:rsidRDefault="00F44FFF" w:rsidP="00F44FFF">
      <w:pPr>
        <w:spacing w:after="120"/>
        <w:jc w:val="both"/>
      </w:pPr>
      <w:r w:rsidRPr="00F44FFF">
        <w:t xml:space="preserve">Eiropadomē paredzēta stratēģiska diskusija par ES-Krievijas attiecību tālāko perspektīvu. Gatavojoties Eiropadomei, š.g. 22.februāra Ārlietu padomē notika diskusija par ES un Krievijas attiecībām, balstoties uz ES Augstā pārstāvja ārlietās un drošības politikas jautājumos vizītes rezultātiem Maskavā. </w:t>
      </w:r>
    </w:p>
    <w:p w:rsidR="00F44FFF" w:rsidRPr="00F44FFF" w:rsidRDefault="00F44FFF" w:rsidP="00F44FFF">
      <w:pPr>
        <w:spacing w:after="120"/>
        <w:ind w:right="-227"/>
        <w:jc w:val="both"/>
        <w:rPr>
          <w:rFonts w:eastAsia="Calibri"/>
          <w:u w:val="single"/>
        </w:rPr>
      </w:pPr>
      <w:r w:rsidRPr="00F44FFF">
        <w:rPr>
          <w:rFonts w:eastAsia="Calibri"/>
          <w:u w:val="single"/>
        </w:rPr>
        <w:t>Latvijas nostāja:</w:t>
      </w:r>
    </w:p>
    <w:p w:rsidR="00F44FFF" w:rsidRPr="00F44FFF" w:rsidRDefault="00F44FFF" w:rsidP="00F44FFF">
      <w:pPr>
        <w:spacing w:after="120"/>
        <w:jc w:val="both"/>
        <w:rPr>
          <w:rFonts w:eastAsia="Calibri"/>
          <w:i/>
        </w:rPr>
      </w:pPr>
      <w:r w:rsidRPr="00F44FFF">
        <w:rPr>
          <w:rFonts w:eastAsia="Calibri"/>
          <w:i/>
        </w:rPr>
        <w:t>Covid-19</w:t>
      </w:r>
    </w:p>
    <w:p w:rsidR="00F44FFF" w:rsidRPr="00F44FFF" w:rsidRDefault="00F44FFF" w:rsidP="00F44FFF">
      <w:pPr>
        <w:numPr>
          <w:ilvl w:val="0"/>
          <w:numId w:val="19"/>
        </w:numPr>
        <w:spacing w:after="120"/>
        <w:ind w:left="357" w:hanging="357"/>
        <w:jc w:val="both"/>
        <w:rPr>
          <w:bCs/>
          <w:iCs/>
        </w:rPr>
      </w:pPr>
      <w:r w:rsidRPr="00F44FFF">
        <w:rPr>
          <w:bCs/>
          <w:iCs/>
        </w:rPr>
        <w:t>Atbalstām ciešāku ES līmeņa sadarbību, lai nodrošinātu vakcīnu pieejamību un laicīgu vakcīnu saņemšanu dalībvalstīs, kā arī vakcīnu ražošanas kapacitātes palielināšanu.</w:t>
      </w:r>
    </w:p>
    <w:p w:rsidR="00F44FFF" w:rsidRPr="00F44FFF" w:rsidRDefault="00957914" w:rsidP="00F44FFF">
      <w:pPr>
        <w:numPr>
          <w:ilvl w:val="0"/>
          <w:numId w:val="23"/>
        </w:numPr>
        <w:spacing w:after="120"/>
        <w:ind w:left="357" w:hanging="357"/>
        <w:jc w:val="both"/>
        <w:rPr>
          <w:rFonts w:eastAsia="Calibri"/>
        </w:rPr>
      </w:pPr>
      <w:r w:rsidRPr="00957914">
        <w:rPr>
          <w:rFonts w:eastAsia="Calibri"/>
        </w:rPr>
        <w:lastRenderedPageBreak/>
        <w:t xml:space="preserve">Pozitīvi raugāmies uz ideju par vienota ES līmeņa digitāla vakcinācijas sertifikāta izveidi </w:t>
      </w:r>
      <w:r w:rsidR="00F44FFF" w:rsidRPr="00F44FFF">
        <w:rPr>
          <w:rFonts w:eastAsia="Calibri"/>
        </w:rPr>
        <w:t xml:space="preserve">ciešā sadarbībā ar Pasaules veselības organizāciju. </w:t>
      </w:r>
    </w:p>
    <w:p w:rsidR="00F44FFF" w:rsidRPr="005C7DE3" w:rsidRDefault="00F44FFF" w:rsidP="00F44FFF">
      <w:pPr>
        <w:numPr>
          <w:ilvl w:val="0"/>
          <w:numId w:val="19"/>
        </w:numPr>
        <w:spacing w:after="120"/>
        <w:ind w:left="357" w:hanging="357"/>
        <w:jc w:val="both"/>
        <w:rPr>
          <w:rFonts w:eastAsia="Calibri"/>
        </w:rPr>
      </w:pPr>
      <w:r w:rsidRPr="00F44FFF">
        <w:rPr>
          <w:rFonts w:eastAsia="Calibri"/>
        </w:rPr>
        <w:t>Vienlaikus svarīgi nodrošināt netraucētu Vienotā tirgus funkcionēšanu un pirmās nepieciešamības, t.sk. medicīnas, preču brīvu plūsmu.</w:t>
      </w:r>
    </w:p>
    <w:p w:rsidR="00F44FFF" w:rsidRPr="00F44FFF" w:rsidRDefault="00F44FFF" w:rsidP="00F44FFF">
      <w:pPr>
        <w:spacing w:after="120"/>
        <w:jc w:val="both"/>
        <w:rPr>
          <w:i/>
        </w:rPr>
      </w:pPr>
      <w:r w:rsidRPr="00F44FFF">
        <w:rPr>
          <w:i/>
        </w:rPr>
        <w:t xml:space="preserve">Vienotais tirgus un Rūpniecības politika </w:t>
      </w:r>
    </w:p>
    <w:p w:rsidR="00F44FFF" w:rsidRPr="00F44FFF" w:rsidRDefault="00F44FFF" w:rsidP="00F44FFF">
      <w:pPr>
        <w:numPr>
          <w:ilvl w:val="0"/>
          <w:numId w:val="24"/>
        </w:numPr>
        <w:spacing w:after="120"/>
        <w:ind w:left="357" w:hanging="357"/>
        <w:jc w:val="both"/>
        <w:rPr>
          <w:rFonts w:eastAsia="Calibri"/>
        </w:rPr>
      </w:pPr>
      <w:r w:rsidRPr="00F44FFF">
        <w:rPr>
          <w:rFonts w:eastAsia="Calibri"/>
        </w:rPr>
        <w:t>ES jābūt ambiciozai attiecībā uz Vienotā tirgus nākotni, tādējādi mērķis ir ne tikai atjaunot Vienotā tirgus darbību pirms-Covid-19 krīzes stāvoklī, bet to pilnveidot, jo īpaši izceļot pakalpojumu sektoru Vienotajā tirgū.</w:t>
      </w:r>
    </w:p>
    <w:p w:rsidR="00F44FFF" w:rsidRPr="00F44FFF" w:rsidRDefault="00F44FFF" w:rsidP="00F44FFF">
      <w:pPr>
        <w:numPr>
          <w:ilvl w:val="0"/>
          <w:numId w:val="24"/>
        </w:numPr>
        <w:spacing w:after="120"/>
        <w:ind w:left="357" w:hanging="357"/>
        <w:jc w:val="both"/>
        <w:rPr>
          <w:rFonts w:eastAsia="Calibri"/>
        </w:rPr>
      </w:pPr>
      <w:r w:rsidRPr="00F44FFF">
        <w:rPr>
          <w:rFonts w:eastAsia="Calibri"/>
        </w:rPr>
        <w:t xml:space="preserve">Vienotā tirgus darbības uzlabošanai nepieciešama normatīvā regulējuma un procedūru vienkāršošana, kā arī straujāka digitālo risinājumu ieviešana. </w:t>
      </w:r>
    </w:p>
    <w:p w:rsidR="00F44FFF" w:rsidRPr="00F44FFF" w:rsidRDefault="00F44FFF" w:rsidP="00F44FFF">
      <w:pPr>
        <w:spacing w:after="120"/>
        <w:jc w:val="both"/>
        <w:rPr>
          <w:i/>
        </w:rPr>
      </w:pPr>
      <w:r w:rsidRPr="00F44FFF">
        <w:rPr>
          <w:i/>
        </w:rPr>
        <w:t>Digitālie jautājumi</w:t>
      </w:r>
    </w:p>
    <w:p w:rsidR="00F44FFF" w:rsidRPr="00F44FFF" w:rsidRDefault="00F44FFF" w:rsidP="00F44FFF">
      <w:pPr>
        <w:numPr>
          <w:ilvl w:val="0"/>
          <w:numId w:val="25"/>
        </w:numPr>
        <w:spacing w:after="120"/>
        <w:ind w:left="357" w:hanging="357"/>
        <w:jc w:val="both"/>
        <w:rPr>
          <w:rFonts w:eastAsia="Calibri"/>
        </w:rPr>
      </w:pPr>
      <w:r w:rsidRPr="00F44FFF">
        <w:rPr>
          <w:rFonts w:eastAsia="Calibri"/>
        </w:rPr>
        <w:t xml:space="preserve">Latvija atbalsta ambiciozus ES mērķus ES digitālajai transformācijai, kas būtu sasniedzami līdz 2030.gadam. Atbalstām priekšlikumus Digitālo pakalpojumu un Digitālo tirgu aktam. </w:t>
      </w:r>
    </w:p>
    <w:p w:rsidR="00F44FFF" w:rsidRPr="00F44FFF" w:rsidRDefault="00F44FFF" w:rsidP="00F44FFF">
      <w:pPr>
        <w:numPr>
          <w:ilvl w:val="0"/>
          <w:numId w:val="25"/>
        </w:numPr>
        <w:spacing w:after="120"/>
        <w:ind w:left="357" w:hanging="357"/>
        <w:jc w:val="both"/>
        <w:rPr>
          <w:rFonts w:eastAsia="Calibri"/>
        </w:rPr>
      </w:pPr>
      <w:r w:rsidRPr="00F44FFF">
        <w:rPr>
          <w:rFonts w:eastAsia="Calibri"/>
        </w:rPr>
        <w:t>Kā vadmotīvs šiem mērķiem būtu jānosaka vīzija attīstīt Digitālo vienoto tirgu ES, kas balstīts uz drošu un sabiedrībai pieejamu digitālo pakalpojumu brīvu apriti Vienotajā tirgū.</w:t>
      </w:r>
    </w:p>
    <w:p w:rsidR="00F44FFF" w:rsidRPr="00F44FFF" w:rsidRDefault="00F44FFF" w:rsidP="00F44FFF">
      <w:pPr>
        <w:numPr>
          <w:ilvl w:val="0"/>
          <w:numId w:val="25"/>
        </w:numPr>
        <w:spacing w:after="120"/>
        <w:ind w:left="357" w:hanging="357"/>
        <w:jc w:val="both"/>
        <w:rPr>
          <w:rFonts w:eastAsia="Calibri"/>
        </w:rPr>
      </w:pPr>
      <w:r w:rsidRPr="00F44FFF">
        <w:rPr>
          <w:rFonts w:eastAsia="Calibri"/>
        </w:rPr>
        <w:t>Jāmazina barjeras pārrobežu digitālo pakalpojumu apritei, nodrošinot darboties spējīgu Eiropas elektroniskās identifikācijas ietvaru un skaidru tiesisko ietvaru datu apritei un aizsardzībai, t.sk. datu pārsūtīšanai trešo valstu subjektiem. Šajā kontekstā atbalstām publiskoto priekšlikumu Datu pārvaldības aktam.</w:t>
      </w:r>
    </w:p>
    <w:p w:rsidR="00F44FFF" w:rsidRPr="00F44FFF" w:rsidRDefault="00F44FFF" w:rsidP="00F44FFF">
      <w:pPr>
        <w:spacing w:after="120"/>
        <w:jc w:val="both"/>
        <w:rPr>
          <w:i/>
        </w:rPr>
      </w:pPr>
      <w:r w:rsidRPr="00F44FFF">
        <w:rPr>
          <w:i/>
        </w:rPr>
        <w:t>Digitālie nodokļi</w:t>
      </w:r>
    </w:p>
    <w:p w:rsidR="005C7DE3" w:rsidRPr="005C7DE3" w:rsidRDefault="005C7DE3" w:rsidP="005C7DE3">
      <w:pPr>
        <w:numPr>
          <w:ilvl w:val="0"/>
          <w:numId w:val="26"/>
        </w:numPr>
        <w:spacing w:after="120"/>
        <w:ind w:left="357" w:hanging="357"/>
        <w:jc w:val="both"/>
        <w:rPr>
          <w:rFonts w:eastAsia="Calibri"/>
          <w:color w:val="000000"/>
        </w:rPr>
      </w:pPr>
      <w:r w:rsidRPr="005C7DE3">
        <w:rPr>
          <w:rFonts w:eastAsia="Calibri"/>
          <w:color w:val="000000"/>
        </w:rPr>
        <w:t xml:space="preserve">Latvija piekrīt, ka uzņēmumiem jāmaksā nodokļus vietā, kur tiek veikta ekonomiskā darbība un gūta peļņa. </w:t>
      </w:r>
    </w:p>
    <w:p w:rsidR="005C7DE3" w:rsidRPr="005C7DE3" w:rsidRDefault="005C7DE3" w:rsidP="005C7DE3">
      <w:pPr>
        <w:numPr>
          <w:ilvl w:val="0"/>
          <w:numId w:val="26"/>
        </w:numPr>
        <w:spacing w:after="120"/>
        <w:ind w:left="357" w:hanging="357"/>
        <w:jc w:val="both"/>
        <w:rPr>
          <w:rFonts w:eastAsia="Calibri"/>
          <w:color w:val="000000"/>
        </w:rPr>
      </w:pPr>
      <w:r w:rsidRPr="005C7DE3">
        <w:rPr>
          <w:rFonts w:eastAsia="Calibri"/>
          <w:color w:val="000000"/>
        </w:rPr>
        <w:t>Atbalstām OECD darbu, lai rastu globālu, saskaņotu risinājumu un pielāgotu starptautiskos  nodokļu noteikumus izaicinājumiem, ko rada ekonomikas digitalizācija.</w:t>
      </w:r>
    </w:p>
    <w:p w:rsidR="00F44FFF" w:rsidRPr="00F44FFF" w:rsidRDefault="00F44FFF" w:rsidP="00F44FFF">
      <w:pPr>
        <w:spacing w:after="120"/>
        <w:jc w:val="both"/>
        <w:rPr>
          <w:i/>
          <w:color w:val="000000"/>
        </w:rPr>
      </w:pPr>
      <w:r w:rsidRPr="00F44FFF">
        <w:rPr>
          <w:i/>
          <w:color w:val="000000"/>
        </w:rPr>
        <w:t>Eiropas Semestris</w:t>
      </w:r>
    </w:p>
    <w:p w:rsidR="00F44FFF" w:rsidRPr="00F44FFF" w:rsidRDefault="00F44FFF" w:rsidP="00F44FFF">
      <w:pPr>
        <w:numPr>
          <w:ilvl w:val="0"/>
          <w:numId w:val="27"/>
        </w:numPr>
        <w:spacing w:after="120"/>
        <w:ind w:left="357" w:hanging="357"/>
        <w:jc w:val="both"/>
        <w:rPr>
          <w:rFonts w:eastAsia="Calibri"/>
        </w:rPr>
      </w:pPr>
      <w:r w:rsidRPr="00F44FFF">
        <w:rPr>
          <w:rFonts w:eastAsia="Calibri"/>
        </w:rPr>
        <w:t>Latvija kopumā atbalsta 2021. gada Eiropas semestra Ilgtspējīgas izaugsmes stratēģijā atspoguļotās prioritātes un projektu Padomes rekomendācijām eirozonas ekonomikas politikai.</w:t>
      </w:r>
    </w:p>
    <w:p w:rsidR="00F44FFF" w:rsidRPr="00F44FFF" w:rsidRDefault="00F44FFF" w:rsidP="00F44FFF">
      <w:pPr>
        <w:spacing w:after="120"/>
        <w:jc w:val="both"/>
        <w:rPr>
          <w:rFonts w:eastAsia="Calibri"/>
          <w:i/>
        </w:rPr>
      </w:pPr>
      <w:r w:rsidRPr="00F44FFF">
        <w:rPr>
          <w:rFonts w:eastAsia="Calibri"/>
          <w:i/>
        </w:rPr>
        <w:t>Vidusjūras austrumi</w:t>
      </w:r>
    </w:p>
    <w:p w:rsidR="00F44FFF" w:rsidRPr="00F44FFF" w:rsidRDefault="00F44FFF" w:rsidP="00F44FFF">
      <w:pPr>
        <w:numPr>
          <w:ilvl w:val="0"/>
          <w:numId w:val="6"/>
        </w:numPr>
        <w:spacing w:after="120"/>
        <w:ind w:left="357" w:hanging="357"/>
        <w:jc w:val="both"/>
        <w:rPr>
          <w:rFonts w:eastAsia="Calibri"/>
        </w:rPr>
      </w:pPr>
      <w:r w:rsidRPr="00F44FFF">
        <w:rPr>
          <w:rFonts w:eastAsia="Calibri"/>
        </w:rPr>
        <w:t>ES ir jāturpina līdzsvarota pieeja attiecībās ar Turciju. Ir jāattīsta pozitīvā dienaskārtība un jāturpina darbs ar ierobežojošu pasākumu ietvaru, ja spriedze reģionā pieaug Turcijas rīcības dēļ.</w:t>
      </w:r>
    </w:p>
    <w:p w:rsidR="00F44FFF" w:rsidRPr="00F44FFF" w:rsidRDefault="00F44FFF" w:rsidP="00F44FFF">
      <w:pPr>
        <w:spacing w:after="120"/>
        <w:jc w:val="both"/>
        <w:rPr>
          <w:i/>
          <w:color w:val="000000" w:themeColor="text1"/>
        </w:rPr>
      </w:pPr>
      <w:r w:rsidRPr="00F44FFF">
        <w:rPr>
          <w:i/>
          <w:color w:val="000000" w:themeColor="text1"/>
        </w:rPr>
        <w:t xml:space="preserve">Krievija </w:t>
      </w:r>
    </w:p>
    <w:p w:rsidR="00F44FFF" w:rsidRPr="00F44FFF" w:rsidRDefault="00F44FFF" w:rsidP="00F44FFF">
      <w:pPr>
        <w:widowControl w:val="0"/>
        <w:numPr>
          <w:ilvl w:val="0"/>
          <w:numId w:val="6"/>
        </w:numPr>
        <w:spacing w:after="120"/>
        <w:jc w:val="both"/>
        <w:rPr>
          <w:rFonts w:eastAsia="Calibri"/>
        </w:rPr>
      </w:pPr>
      <w:r w:rsidRPr="00F44FFF">
        <w:rPr>
          <w:rFonts w:eastAsia="Calibri"/>
          <w:iCs/>
        </w:rPr>
        <w:t>Latvijai ir svarīgi, lai ES attiecībās ar Krieviju ievērotu principialitāti, un demokrātiskās vērtības un ES kopējā īstenotā politika balstītos uz vienotības un solidaritātes principu.</w:t>
      </w:r>
      <w:r w:rsidRPr="00F44FFF">
        <w:rPr>
          <w:rFonts w:eastAsia="Calibri"/>
          <w:bCs/>
        </w:rPr>
        <w:t xml:space="preserve"> </w:t>
      </w:r>
    </w:p>
    <w:p w:rsidR="00B534FB" w:rsidRDefault="00F44FFF" w:rsidP="00F44FFF">
      <w:pPr>
        <w:widowControl w:val="0"/>
        <w:numPr>
          <w:ilvl w:val="0"/>
          <w:numId w:val="6"/>
        </w:numPr>
        <w:spacing w:after="120"/>
        <w:jc w:val="both"/>
        <w:rPr>
          <w:rFonts w:eastAsia="Calibri"/>
        </w:rPr>
      </w:pPr>
      <w:r w:rsidRPr="00F44FFF">
        <w:rPr>
          <w:rFonts w:eastAsia="Calibri"/>
          <w:bCs/>
        </w:rPr>
        <w:t xml:space="preserve">Pašreizējā ES politika pret Krieviju </w:t>
      </w:r>
      <w:r w:rsidRPr="00F44FFF">
        <w:rPr>
          <w:rFonts w:eastAsia="Calibri"/>
        </w:rPr>
        <w:t xml:space="preserve">(divu ceļu pieeja – sankcijas un dialogs) ir </w:t>
      </w:r>
      <w:r w:rsidRPr="00F44FFF">
        <w:rPr>
          <w:rFonts w:eastAsia="Calibri"/>
        </w:rPr>
        <w:lastRenderedPageBreak/>
        <w:t>konsekventi jāturpina.</w:t>
      </w:r>
    </w:p>
    <w:p w:rsidR="00F44FFF" w:rsidRPr="00F44FFF" w:rsidRDefault="00F44FFF" w:rsidP="00F44FFF">
      <w:pPr>
        <w:pStyle w:val="ListParagraph"/>
        <w:numPr>
          <w:ilvl w:val="0"/>
          <w:numId w:val="6"/>
        </w:numPr>
        <w:rPr>
          <w:rFonts w:ascii="Times New Roman" w:hAnsi="Times New Roman" w:cs="Times New Roman"/>
          <w:sz w:val="24"/>
          <w:szCs w:val="24"/>
        </w:rPr>
      </w:pPr>
      <w:r w:rsidRPr="00F44FFF">
        <w:rPr>
          <w:rFonts w:ascii="Times New Roman" w:hAnsi="Times New Roman" w:cs="Times New Roman"/>
          <w:sz w:val="24"/>
          <w:szCs w:val="24"/>
        </w:rPr>
        <w:t>Ņemot vērā pieaugošās represijas pret pilsoniskās sabiedrības pārstāvjiem Krievijā, ir svarīgi turpināt dialogu ar Krievijas sabiedrību, sniegt atbalstu Krievijas pilsoniskās sabiedrības pārstāvjiem, žurnālistiem un cilvēktiesību aizstāvjiem.</w:t>
      </w:r>
    </w:p>
    <w:p w:rsidR="008C0B97" w:rsidRDefault="008C0B97" w:rsidP="008C0B97">
      <w:pPr>
        <w:spacing w:before="120" w:after="120"/>
        <w:ind w:left="360"/>
        <w:jc w:val="both"/>
        <w:rPr>
          <w:rFonts w:eastAsia="Calibri"/>
          <w:i/>
          <w:iCs/>
        </w:rPr>
      </w:pPr>
    </w:p>
    <w:p w:rsidR="00B534FB" w:rsidRDefault="00B534FB" w:rsidP="008C0B97">
      <w:pPr>
        <w:spacing w:before="120" w:after="120"/>
        <w:ind w:left="360"/>
        <w:jc w:val="both"/>
        <w:rPr>
          <w:rFonts w:eastAsia="Calibri"/>
          <w:i/>
          <w:iCs/>
        </w:rPr>
      </w:pPr>
    </w:p>
    <w:p w:rsidR="00B534FB" w:rsidRPr="008C0B97" w:rsidRDefault="00B534FB" w:rsidP="008C0B97">
      <w:pPr>
        <w:spacing w:before="120" w:after="120"/>
        <w:ind w:left="360"/>
        <w:jc w:val="both"/>
        <w:rPr>
          <w:rFonts w:eastAsia="Calibri"/>
          <w:i/>
          <w:iCs/>
        </w:rPr>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rsidTr="006655D6">
        <w:trPr>
          <w:trHeight w:val="284"/>
        </w:trPr>
        <w:tc>
          <w:tcPr>
            <w:tcW w:w="4321" w:type="dxa"/>
          </w:tcPr>
          <w:p w:rsidR="00B00DC6" w:rsidRPr="00B00DC6" w:rsidRDefault="00670CCE" w:rsidP="00445EE9">
            <w:pPr>
              <w:tabs>
                <w:tab w:val="left" w:pos="6840"/>
              </w:tabs>
              <w:suppressAutoHyphens/>
              <w:jc w:val="both"/>
            </w:pPr>
            <w:r w:rsidRPr="00670CCE">
              <w:t>Ārlietu ministrs</w:t>
            </w:r>
          </w:p>
        </w:tc>
        <w:tc>
          <w:tcPr>
            <w:tcW w:w="4454" w:type="dxa"/>
            <w:vAlign w:val="bottom"/>
          </w:tcPr>
          <w:p w:rsidR="00B00DC6" w:rsidRPr="00B00DC6" w:rsidRDefault="00670CCE" w:rsidP="00B00DC6">
            <w:pPr>
              <w:tabs>
                <w:tab w:val="left" w:pos="6840"/>
              </w:tabs>
              <w:suppressAutoHyphens/>
              <w:jc w:val="right"/>
            </w:pPr>
            <w:r w:rsidRPr="00670CCE">
              <w:t>E.Rinkēvičs</w:t>
            </w:r>
          </w:p>
        </w:tc>
      </w:tr>
    </w:tbl>
    <w:p w:rsidR="00DA2DFB" w:rsidRDefault="00DA2DFB" w:rsidP="00B00DC6">
      <w:pPr>
        <w:spacing w:after="120"/>
        <w:jc w:val="both"/>
        <w:rPr>
          <w:bCs/>
          <w:kern w:val="1"/>
          <w:lang w:eastAsia="ar-SA"/>
        </w:rPr>
      </w:pPr>
    </w:p>
    <w:p w:rsidR="00DA2DFB" w:rsidRPr="006B0600" w:rsidRDefault="00DA2DFB" w:rsidP="00B00DC6">
      <w:pPr>
        <w:spacing w:after="120"/>
        <w:jc w:val="both"/>
        <w:rPr>
          <w:bCs/>
          <w:kern w:val="1"/>
          <w:lang w:eastAsia="ar-SA"/>
        </w:rPr>
      </w:pPr>
    </w:p>
    <w:p w:rsidR="006B0600" w:rsidRPr="006B0600" w:rsidRDefault="007B299A" w:rsidP="00B00DC6">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rsidR="00F20BE7" w:rsidRDefault="00F20BE7" w:rsidP="006B0600">
      <w:pPr>
        <w:rPr>
          <w:sz w:val="20"/>
          <w:szCs w:val="20"/>
        </w:rPr>
      </w:pPr>
    </w:p>
    <w:p w:rsidR="00DA2DFB" w:rsidRDefault="00DA2DFB" w:rsidP="006B0600">
      <w:pPr>
        <w:rPr>
          <w:sz w:val="20"/>
          <w:szCs w:val="20"/>
        </w:rPr>
      </w:pPr>
    </w:p>
    <w:p w:rsidR="00A3363C" w:rsidRDefault="00A3363C" w:rsidP="006B0600">
      <w:pPr>
        <w:rPr>
          <w:sz w:val="20"/>
          <w:szCs w:val="20"/>
        </w:rPr>
      </w:pPr>
    </w:p>
    <w:p w:rsidR="00A455CF" w:rsidRPr="006B0600" w:rsidRDefault="00A455CF" w:rsidP="006B0600">
      <w:pPr>
        <w:rPr>
          <w:sz w:val="20"/>
          <w:szCs w:val="20"/>
        </w:rPr>
      </w:pPr>
    </w:p>
    <w:p w:rsidR="00F23BD2" w:rsidRPr="00200148" w:rsidRDefault="00F23BD2" w:rsidP="00F23BD2">
      <w:pPr>
        <w:rPr>
          <w:sz w:val="20"/>
          <w:szCs w:val="20"/>
        </w:rPr>
      </w:pPr>
      <w:proofErr w:type="spellStart"/>
      <w:r>
        <w:rPr>
          <w:sz w:val="20"/>
          <w:szCs w:val="20"/>
        </w:rPr>
        <w:t>A.Butāne</w:t>
      </w:r>
      <w:proofErr w:type="spellEnd"/>
      <w:r w:rsidRPr="00200148">
        <w:rPr>
          <w:sz w:val="20"/>
          <w:szCs w:val="20"/>
        </w:rPr>
        <w:t xml:space="preserve">, </w:t>
      </w:r>
      <w:r>
        <w:rPr>
          <w:sz w:val="20"/>
          <w:szCs w:val="20"/>
        </w:rPr>
        <w:t>67015929</w:t>
      </w:r>
    </w:p>
    <w:p w:rsidR="006B0600" w:rsidRPr="00860D95" w:rsidRDefault="00D955BE" w:rsidP="00F23BD2">
      <w:pPr>
        <w:rPr>
          <w:sz w:val="20"/>
          <w:szCs w:val="20"/>
        </w:rPr>
      </w:pPr>
      <w:hyperlink r:id="rId13" w:history="1">
        <w:r w:rsidR="00F23BD2" w:rsidRPr="000D774D">
          <w:rPr>
            <w:rStyle w:val="Hyperlink"/>
            <w:sz w:val="20"/>
            <w:szCs w:val="20"/>
          </w:rPr>
          <w:t>Aija.Butane@mfa.gov.lv</w:t>
        </w:r>
      </w:hyperlink>
    </w:p>
    <w:sectPr w:rsidR="006B0600" w:rsidRPr="00860D95" w:rsidSect="00160121">
      <w:footerReference w:type="default" r:id="rId14"/>
      <w:pgSz w:w="12240" w:h="15840"/>
      <w:pgMar w:top="1021"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5BE" w:rsidRDefault="00D955BE" w:rsidP="00160121">
      <w:r>
        <w:separator/>
      </w:r>
    </w:p>
  </w:endnote>
  <w:endnote w:type="continuationSeparator" w:id="0">
    <w:p w:rsidR="00D955BE" w:rsidRDefault="00D955BE" w:rsidP="001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99851"/>
      <w:docPartObj>
        <w:docPartGallery w:val="Page Numbers (Bottom of Page)"/>
        <w:docPartUnique/>
      </w:docPartObj>
    </w:sdtPr>
    <w:sdtEndPr>
      <w:rPr>
        <w:noProof/>
      </w:rPr>
    </w:sdtEndPr>
    <w:sdtContent>
      <w:p w:rsidR="00B534FB" w:rsidRPr="00392F41" w:rsidRDefault="00B534FB" w:rsidP="00B534FB">
        <w:pPr>
          <w:keepNext/>
          <w:keepLines/>
          <w:suppressAutoHyphens/>
          <w:spacing w:before="200"/>
          <w:jc w:val="both"/>
          <w:outlineLvl w:val="2"/>
          <w:rPr>
            <w:bCs/>
            <w:sz w:val="20"/>
            <w:szCs w:val="20"/>
            <w:lang w:eastAsia="lv-LV"/>
          </w:rPr>
        </w:pPr>
        <w:r w:rsidRPr="001024AC">
          <w:rPr>
            <w:bCs/>
            <w:sz w:val="20"/>
            <w:szCs w:val="20"/>
          </w:rPr>
          <w:t>A</w:t>
        </w:r>
        <w:r w:rsidR="00F44FFF">
          <w:rPr>
            <w:bCs/>
            <w:sz w:val="20"/>
            <w:szCs w:val="20"/>
          </w:rPr>
          <w:t>Mzino_1603</w:t>
        </w:r>
        <w:r>
          <w:rPr>
            <w:bCs/>
            <w:sz w:val="20"/>
            <w:szCs w:val="20"/>
          </w:rPr>
          <w:t>21</w:t>
        </w:r>
        <w:r w:rsidRPr="001024AC">
          <w:rPr>
            <w:bCs/>
            <w:sz w:val="20"/>
            <w:szCs w:val="20"/>
          </w:rPr>
          <w:t>; Latvijas Republikas na</w:t>
        </w:r>
        <w:r>
          <w:rPr>
            <w:bCs/>
            <w:sz w:val="20"/>
            <w:szCs w:val="20"/>
          </w:rPr>
          <w:t>cionālā pozīcija Nr. 1 “Par 2021</w:t>
        </w:r>
        <w:r w:rsidRPr="001024AC">
          <w:rPr>
            <w:bCs/>
            <w:sz w:val="20"/>
            <w:szCs w:val="20"/>
          </w:rPr>
          <w:t xml:space="preserve">. gada </w:t>
        </w:r>
        <w:r>
          <w:rPr>
            <w:bCs/>
            <w:sz w:val="20"/>
            <w:szCs w:val="20"/>
          </w:rPr>
          <w:t xml:space="preserve">25. – 26. </w:t>
        </w:r>
        <w:r w:rsidR="00F44FFF">
          <w:rPr>
            <w:bCs/>
            <w:sz w:val="20"/>
            <w:szCs w:val="20"/>
          </w:rPr>
          <w:t>marta</w:t>
        </w:r>
        <w:r w:rsidRPr="001024AC">
          <w:rPr>
            <w:bCs/>
            <w:sz w:val="20"/>
            <w:szCs w:val="20"/>
          </w:rPr>
          <w:t xml:space="preserve"> Eiropadomē izskatāmajiem jautājumiem”</w:t>
        </w:r>
      </w:p>
      <w:p w:rsidR="00160121" w:rsidRDefault="00A3363C" w:rsidP="00B534FB">
        <w:pPr>
          <w:keepNext/>
          <w:keepLines/>
          <w:suppressAutoHyphens/>
          <w:spacing w:before="200"/>
          <w:jc w:val="center"/>
          <w:outlineLvl w:val="2"/>
        </w:pPr>
        <w:r>
          <w:fldChar w:fldCharType="begin"/>
        </w:r>
        <w:r>
          <w:instrText xml:space="preserve"> PAGE   \* MERGEFORMAT </w:instrText>
        </w:r>
        <w:r>
          <w:fldChar w:fldCharType="separate"/>
        </w:r>
        <w:r w:rsidR="000D2FF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5BE" w:rsidRDefault="00D955BE" w:rsidP="00160121">
      <w:r>
        <w:separator/>
      </w:r>
    </w:p>
  </w:footnote>
  <w:footnote w:type="continuationSeparator" w:id="0">
    <w:p w:rsidR="00D955BE" w:rsidRDefault="00D955BE" w:rsidP="0016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6C"/>
    <w:multiLevelType w:val="hybridMultilevel"/>
    <w:tmpl w:val="FBFC8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51176"/>
    <w:multiLevelType w:val="hybridMultilevel"/>
    <w:tmpl w:val="228CC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1C0827"/>
    <w:multiLevelType w:val="hybridMultilevel"/>
    <w:tmpl w:val="C7A6E1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C9E7D80"/>
    <w:multiLevelType w:val="hybridMultilevel"/>
    <w:tmpl w:val="CE02C3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7" w15:restartNumberingAfterBreak="0">
    <w:nsid w:val="1E1B3BB3"/>
    <w:multiLevelType w:val="hybridMultilevel"/>
    <w:tmpl w:val="EFC60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B20233"/>
    <w:multiLevelType w:val="hybridMultilevel"/>
    <w:tmpl w:val="0E4E18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5408E7"/>
    <w:multiLevelType w:val="hybridMultilevel"/>
    <w:tmpl w:val="60F40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9552AAB"/>
    <w:multiLevelType w:val="hybridMultilevel"/>
    <w:tmpl w:val="49768CE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7332757"/>
    <w:multiLevelType w:val="hybridMultilevel"/>
    <w:tmpl w:val="B77A38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9B866B4"/>
    <w:multiLevelType w:val="hybridMultilevel"/>
    <w:tmpl w:val="2968D2DA"/>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6"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39C52BD"/>
    <w:multiLevelType w:val="hybridMultilevel"/>
    <w:tmpl w:val="E3F255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C34B5C"/>
    <w:multiLevelType w:val="hybridMultilevel"/>
    <w:tmpl w:val="2FB46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2AA5953"/>
    <w:multiLevelType w:val="hybridMultilevel"/>
    <w:tmpl w:val="30BE4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3F15CAB"/>
    <w:multiLevelType w:val="hybridMultilevel"/>
    <w:tmpl w:val="C0C49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A0B65F0"/>
    <w:multiLevelType w:val="hybridMultilevel"/>
    <w:tmpl w:val="F51E3540"/>
    <w:lvl w:ilvl="0" w:tplc="C14AC634">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C2C1244"/>
    <w:multiLevelType w:val="hybridMultilevel"/>
    <w:tmpl w:val="014614EE"/>
    <w:lvl w:ilvl="0" w:tplc="37C4BFA8">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627BFB"/>
    <w:multiLevelType w:val="hybridMultilevel"/>
    <w:tmpl w:val="DFF8A9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EFF5957"/>
    <w:multiLevelType w:val="hybridMultilevel"/>
    <w:tmpl w:val="5022B2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22"/>
  </w:num>
  <w:num w:numId="6">
    <w:abstractNumId w:val="19"/>
  </w:num>
  <w:num w:numId="7">
    <w:abstractNumId w:val="11"/>
  </w:num>
  <w:num w:numId="8">
    <w:abstractNumId w:val="20"/>
  </w:num>
  <w:num w:numId="9">
    <w:abstractNumId w:val="25"/>
  </w:num>
  <w:num w:numId="10">
    <w:abstractNumId w:val="16"/>
  </w:num>
  <w:num w:numId="11">
    <w:abstractNumId w:val="13"/>
  </w:num>
  <w:num w:numId="12">
    <w:abstractNumId w:val="8"/>
  </w:num>
  <w:num w:numId="13">
    <w:abstractNumId w:val="5"/>
  </w:num>
  <w:num w:numId="14">
    <w:abstractNumId w:val="24"/>
  </w:num>
  <w:num w:numId="15">
    <w:abstractNumId w:val="12"/>
  </w:num>
  <w:num w:numId="16">
    <w:abstractNumId w:val="26"/>
  </w:num>
  <w:num w:numId="17">
    <w:abstractNumId w:val="23"/>
  </w:num>
  <w:num w:numId="18">
    <w:abstractNumId w:val="6"/>
  </w:num>
  <w:num w:numId="19">
    <w:abstractNumId w:val="15"/>
  </w:num>
  <w:num w:numId="20">
    <w:abstractNumId w:val="21"/>
  </w:num>
  <w:num w:numId="21">
    <w:abstractNumId w:val="0"/>
  </w:num>
  <w:num w:numId="22">
    <w:abstractNumId w:val="7"/>
  </w:num>
  <w:num w:numId="23">
    <w:abstractNumId w:val="17"/>
  </w:num>
  <w:num w:numId="24">
    <w:abstractNumId w:val="3"/>
  </w:num>
  <w:num w:numId="25">
    <w:abstractNumId w:val="18"/>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D4"/>
    <w:rsid w:val="00074FEA"/>
    <w:rsid w:val="000D2FF8"/>
    <w:rsid w:val="00160121"/>
    <w:rsid w:val="00173E94"/>
    <w:rsid w:val="001746D4"/>
    <w:rsid w:val="001A4C0A"/>
    <w:rsid w:val="0026480C"/>
    <w:rsid w:val="00286D17"/>
    <w:rsid w:val="002A46DE"/>
    <w:rsid w:val="002F2372"/>
    <w:rsid w:val="00367C4E"/>
    <w:rsid w:val="00445EE9"/>
    <w:rsid w:val="00452C14"/>
    <w:rsid w:val="00581374"/>
    <w:rsid w:val="005C7DE3"/>
    <w:rsid w:val="006005CC"/>
    <w:rsid w:val="006655D6"/>
    <w:rsid w:val="00670CCE"/>
    <w:rsid w:val="006A522E"/>
    <w:rsid w:val="006B0600"/>
    <w:rsid w:val="006F6CAD"/>
    <w:rsid w:val="006F71E8"/>
    <w:rsid w:val="007461EE"/>
    <w:rsid w:val="00794C92"/>
    <w:rsid w:val="007B299A"/>
    <w:rsid w:val="007F499D"/>
    <w:rsid w:val="008062ED"/>
    <w:rsid w:val="00833FEC"/>
    <w:rsid w:val="008516B3"/>
    <w:rsid w:val="00860D95"/>
    <w:rsid w:val="008C0B97"/>
    <w:rsid w:val="00957914"/>
    <w:rsid w:val="009E0852"/>
    <w:rsid w:val="00A3363C"/>
    <w:rsid w:val="00A41068"/>
    <w:rsid w:val="00A455CF"/>
    <w:rsid w:val="00B00DC6"/>
    <w:rsid w:val="00B025EB"/>
    <w:rsid w:val="00B17BE6"/>
    <w:rsid w:val="00B534FB"/>
    <w:rsid w:val="00BA5EFB"/>
    <w:rsid w:val="00BB44D5"/>
    <w:rsid w:val="00BE1009"/>
    <w:rsid w:val="00BE17F1"/>
    <w:rsid w:val="00D955BE"/>
    <w:rsid w:val="00DA2DFB"/>
    <w:rsid w:val="00EF1BFF"/>
    <w:rsid w:val="00F1708E"/>
    <w:rsid w:val="00F20BE7"/>
    <w:rsid w:val="00F23BD2"/>
    <w:rsid w:val="00F44C91"/>
    <w:rsid w:val="00F44FFF"/>
    <w:rsid w:val="00F71362"/>
    <w:rsid w:val="00F81E8C"/>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0456-D334-46F9-822A-52673C4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ija.Butane@mfa.gov.l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Pozīcija Nr. 1 “par 2021. gada 25. – 26. marta Eiropadomē izskatāmajiem jautājumiem”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2021-03-16T15:30:16Z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26-5487</amNumurs>
    <amPiekluvesLimenaPamatojums xmlns="801ff49e-5150-41f0-9cd7-015d16134d38" xsi:nil="true"/>
  </documentManagement>
</p:propertie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A423-74C8-4F91-95C5-C1D20514F9B9}">
  <ds:schemaRefs>
    <ds:schemaRef ds:uri="http://schemas.microsoft.com/sharepoint/v3/contenttype/forms"/>
  </ds:schemaRefs>
</ds:datastoreItem>
</file>

<file path=customXml/itemProps2.xml><?xml version="1.0" encoding="utf-8"?>
<ds:datastoreItem xmlns:ds="http://schemas.openxmlformats.org/officeDocument/2006/customXml" ds:itemID="{0C8B32FB-718C-4392-ADE1-216D8DE5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86C00-E917-4E84-ABC8-FCEBA79144A3}">
  <ds:schemaRefs>
    <ds:schemaRef ds:uri="http://schemas.microsoft.com/office/2006/metadata/properties"/>
    <ds:schemaRef ds:uri="http://schemas.microsoft.com/office/infopath/2007/PartnerControls"/>
    <ds:schemaRef ds:uri="aaa33240-aed4-492d-84f2-cf9262a9abbc"/>
    <ds:schemaRef ds:uri="801ff49e-5150-41f0-9cd7-015d16134d38"/>
    <ds:schemaRef ds:uri="44b633c7-381e-49fe-b421-7d5c56b31c76"/>
    <ds:schemaRef ds:uri="21a93588-6fe8-41e9-94dc-424b783ca979"/>
  </ds:schemaRefs>
</ds:datastoreItem>
</file>

<file path=customXml/itemProps4.xml><?xml version="1.0" encoding="utf-8"?>
<ds:datastoreItem xmlns:ds="http://schemas.openxmlformats.org/officeDocument/2006/customXml" ds:itemID="{BD82DD16-D065-4EB6-9E5E-7EF978BDBDA3}">
  <ds:schemaRefs>
    <ds:schemaRef ds:uri="Microsoft.SharePoint.Taxonomy.ContentTypeSync"/>
  </ds:schemaRefs>
</ds:datastoreItem>
</file>

<file path=customXml/itemProps5.xml><?xml version="1.0" encoding="utf-8"?>
<ds:datastoreItem xmlns:ds="http://schemas.openxmlformats.org/officeDocument/2006/customXml" ds:itemID="{069FFBC1-80E5-4A45-9483-954EF00F74A2}">
  <ds:schemaRefs>
    <ds:schemaRef ds:uri="http://schemas.microsoft.com/sharepoint/events"/>
  </ds:schemaRefs>
</ds:datastoreItem>
</file>

<file path=customXml/itemProps6.xml><?xml version="1.0" encoding="utf-8"?>
<ds:datastoreItem xmlns:ds="http://schemas.openxmlformats.org/officeDocument/2006/customXml" ds:itemID="{38D08012-E593-4894-88D5-8ACB1D69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Gange</dc:creator>
  <cp:keywords/>
  <dc:description/>
  <cp:lastModifiedBy>Laimdota Adlere</cp:lastModifiedBy>
  <cp:revision>2</cp:revision>
  <dcterms:created xsi:type="dcterms:W3CDTF">2021-03-16T15:22:00Z</dcterms:created>
  <dcterms:modified xsi:type="dcterms:W3CDTF">2021-03-16T15:22:00Z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