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FE" w:rsidRPr="000175D4" w:rsidRDefault="002B15FE" w:rsidP="002B15FE">
      <w:pPr>
        <w:spacing w:after="0" w:line="240" w:lineRule="auto"/>
        <w:jc w:val="center"/>
        <w:rPr>
          <w:rFonts w:ascii="Times New Roman" w:eastAsia="Times New Roman" w:hAnsi="Times New Roman" w:cs="Times New Roman"/>
          <w:b/>
          <w:lang w:eastAsia="lv-LV"/>
        </w:rPr>
      </w:pPr>
      <w:r w:rsidRPr="000175D4">
        <w:rPr>
          <w:rFonts w:ascii="Times New Roman" w:eastAsia="Times New Roman" w:hAnsi="Times New Roman" w:cs="Times New Roman"/>
          <w:b/>
          <w:lang w:eastAsia="lv-LV"/>
        </w:rPr>
        <w:t>Izziņa par atzinumos sniegtajiem iebildumiem</w:t>
      </w:r>
    </w:p>
    <w:p w:rsidR="002B15FE" w:rsidRPr="000175D4" w:rsidRDefault="000F379A" w:rsidP="002B15FE">
      <w:pPr>
        <w:spacing w:after="0" w:line="240" w:lineRule="auto"/>
        <w:ind w:left="2410" w:right="2663"/>
        <w:jc w:val="center"/>
        <w:rPr>
          <w:rFonts w:ascii="Times New Roman" w:eastAsia="Times New Roman" w:hAnsi="Times New Roman" w:cs="Times New Roman"/>
          <w:bCs/>
          <w:lang w:eastAsia="lv-LV"/>
        </w:rPr>
      </w:pPr>
      <w:r w:rsidRPr="000175D4">
        <w:rPr>
          <w:rFonts w:ascii="Times New Roman" w:eastAsia="Times New Roman" w:hAnsi="Times New Roman" w:cs="Times New Roman"/>
          <w:bCs/>
          <w:lang w:eastAsia="lv-LV"/>
        </w:rPr>
        <w:t>Ministru kabineta noteikumu projekts</w:t>
      </w:r>
      <w:r w:rsidR="002B15FE" w:rsidRPr="000175D4">
        <w:rPr>
          <w:rFonts w:ascii="Times New Roman" w:eastAsia="Times New Roman" w:hAnsi="Times New Roman" w:cs="Times New Roman"/>
          <w:bCs/>
          <w:lang w:eastAsia="lv-LV"/>
        </w:rPr>
        <w:t xml:space="preserve"> </w:t>
      </w:r>
      <w:r w:rsidR="00D36767">
        <w:rPr>
          <w:rFonts w:ascii="Times New Roman" w:eastAsia="Times New Roman" w:hAnsi="Times New Roman" w:cs="Times New Roman"/>
          <w:bCs/>
          <w:lang w:eastAsia="lv-LV"/>
        </w:rPr>
        <w:t>“</w:t>
      </w:r>
      <w:r w:rsidR="00D36767" w:rsidRPr="00D36767">
        <w:rPr>
          <w:rFonts w:ascii="Times New Roman" w:eastAsia="Times New Roman" w:hAnsi="Times New Roman" w:cs="Times New Roman"/>
          <w:bCs/>
          <w:lang w:eastAsia="lv-LV"/>
        </w:rPr>
        <w:t>Kārtība, kādā atļauj noziedzīgu nodarījumu izdarījušā Latvijas pilsoņa pieņemšanu militārajā dienestā un uzņemšanu Zemessardzē</w:t>
      </w:r>
      <w:r w:rsidR="00D36767">
        <w:rPr>
          <w:rFonts w:ascii="Times New Roman" w:eastAsia="Times New Roman" w:hAnsi="Times New Roman" w:cs="Times New Roman"/>
          <w:bCs/>
          <w:lang w:eastAsia="lv-LV"/>
        </w:rPr>
        <w:t>”</w:t>
      </w:r>
      <w:r w:rsidR="00D36767" w:rsidRPr="00D36767">
        <w:rPr>
          <w:rFonts w:ascii="Times New Roman" w:eastAsia="Times New Roman" w:hAnsi="Times New Roman" w:cs="Times New Roman"/>
          <w:bCs/>
          <w:lang w:eastAsia="lv-LV"/>
        </w:rPr>
        <w:t xml:space="preserve"> </w:t>
      </w:r>
      <w:r w:rsidR="002B15FE" w:rsidRPr="000175D4">
        <w:rPr>
          <w:rFonts w:ascii="Times New Roman" w:eastAsia="Times New Roman" w:hAnsi="Times New Roman" w:cs="Times New Roman"/>
          <w:bCs/>
          <w:lang w:eastAsia="lv-LV"/>
        </w:rPr>
        <w:t>(VSS-</w:t>
      </w:r>
      <w:r w:rsidRPr="000175D4">
        <w:rPr>
          <w:rFonts w:ascii="Times New Roman" w:eastAsia="Times New Roman" w:hAnsi="Times New Roman" w:cs="Times New Roman"/>
          <w:bCs/>
          <w:lang w:eastAsia="lv-LV"/>
        </w:rPr>
        <w:t>739</w:t>
      </w:r>
      <w:r w:rsidR="002B15FE" w:rsidRPr="000175D4">
        <w:rPr>
          <w:rFonts w:ascii="Times New Roman" w:eastAsia="Times New Roman" w:hAnsi="Times New Roman" w:cs="Times New Roman"/>
          <w:bCs/>
          <w:lang w:eastAsia="lv-LV"/>
        </w:rPr>
        <w:t>)</w:t>
      </w:r>
    </w:p>
    <w:p w:rsidR="008C37A2" w:rsidRPr="000175D4" w:rsidRDefault="008C37A2">
      <w:pPr>
        <w:rPr>
          <w:rFonts w:ascii="Times New Roman" w:hAnsi="Times New Roman" w:cs="Times New Roman"/>
        </w:rPr>
      </w:pPr>
    </w:p>
    <w:p w:rsidR="000175D4" w:rsidRPr="000175D4" w:rsidRDefault="000175D4" w:rsidP="000175D4">
      <w:pPr>
        <w:numPr>
          <w:ilvl w:val="0"/>
          <w:numId w:val="12"/>
        </w:numPr>
        <w:jc w:val="center"/>
        <w:rPr>
          <w:rFonts w:ascii="Times New Roman" w:hAnsi="Times New Roman" w:cs="Times New Roman"/>
          <w:b/>
        </w:rPr>
      </w:pPr>
      <w:r w:rsidRPr="000175D4">
        <w:rPr>
          <w:rFonts w:ascii="Times New Roman" w:hAnsi="Times New Roman" w:cs="Times New Roman"/>
          <w:b/>
        </w:rPr>
        <w:t>Jautājumi, par kuriem saskaņošanā vienošanās nav panākta</w:t>
      </w:r>
    </w:p>
    <w:p w:rsidR="000175D4" w:rsidRPr="000175D4" w:rsidRDefault="000175D4" w:rsidP="000175D4">
      <w:pPr>
        <w:rPr>
          <w:rFonts w:ascii="Times New Roman" w:hAnsi="Times New Roman" w:cs="Times New Roman"/>
        </w:rPr>
      </w:pPr>
    </w:p>
    <w:tbl>
      <w:tblPr>
        <w:tblW w:w="14918"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3286"/>
        <w:gridCol w:w="3269"/>
        <w:gridCol w:w="3118"/>
        <w:gridCol w:w="2260"/>
        <w:gridCol w:w="2134"/>
      </w:tblGrid>
      <w:tr w:rsidR="000175D4" w:rsidRPr="000175D4" w:rsidTr="00290333">
        <w:trPr>
          <w:trHeight w:val="1808"/>
        </w:trPr>
        <w:tc>
          <w:tcPr>
            <w:tcW w:w="851" w:type="dxa"/>
            <w:tcBorders>
              <w:top w:val="single" w:sz="6" w:space="0" w:color="000000"/>
              <w:left w:val="single" w:sz="6" w:space="0" w:color="000000"/>
              <w:bottom w:val="single" w:sz="6" w:space="0" w:color="000000"/>
              <w:right w:val="single" w:sz="6" w:space="0" w:color="000000"/>
            </w:tcBorders>
            <w:vAlign w:val="center"/>
            <w:hideMark/>
          </w:tcPr>
          <w:p w:rsidR="000175D4" w:rsidRPr="000175D4" w:rsidRDefault="000175D4" w:rsidP="000175D4">
            <w:pPr>
              <w:rPr>
                <w:rFonts w:ascii="Times New Roman" w:hAnsi="Times New Roman" w:cs="Times New Roman"/>
              </w:rPr>
            </w:pPr>
            <w:r w:rsidRPr="000175D4">
              <w:rPr>
                <w:rFonts w:ascii="Times New Roman" w:hAnsi="Times New Roman" w:cs="Times New Roman"/>
              </w:rPr>
              <w:t>Nr. p.k.</w:t>
            </w:r>
          </w:p>
        </w:tc>
        <w:tc>
          <w:tcPr>
            <w:tcW w:w="3286" w:type="dxa"/>
            <w:tcBorders>
              <w:top w:val="single" w:sz="6" w:space="0" w:color="000000"/>
              <w:left w:val="single" w:sz="6" w:space="0" w:color="000000"/>
              <w:bottom w:val="single" w:sz="6" w:space="0" w:color="000000"/>
              <w:right w:val="single" w:sz="6" w:space="0" w:color="000000"/>
            </w:tcBorders>
            <w:vAlign w:val="center"/>
            <w:hideMark/>
          </w:tcPr>
          <w:p w:rsidR="000175D4" w:rsidRPr="000175D4" w:rsidRDefault="000175D4" w:rsidP="000175D4">
            <w:pPr>
              <w:rPr>
                <w:rFonts w:ascii="Times New Roman" w:hAnsi="Times New Roman" w:cs="Times New Roman"/>
              </w:rPr>
            </w:pPr>
            <w:r w:rsidRPr="000175D4">
              <w:rPr>
                <w:rFonts w:ascii="Times New Roman" w:hAnsi="Times New Roman" w:cs="Times New Roman"/>
              </w:rPr>
              <w:t>Saskaņošanai nosūtītā projekta redakcija (konkrēta punkta (panta) redakcija)</w:t>
            </w:r>
          </w:p>
        </w:tc>
        <w:tc>
          <w:tcPr>
            <w:tcW w:w="3269" w:type="dxa"/>
            <w:tcBorders>
              <w:top w:val="single" w:sz="6" w:space="0" w:color="000000"/>
              <w:left w:val="single" w:sz="6" w:space="0" w:color="000000"/>
              <w:bottom w:val="single" w:sz="6" w:space="0" w:color="000000"/>
              <w:right w:val="single" w:sz="6" w:space="0" w:color="000000"/>
            </w:tcBorders>
            <w:vAlign w:val="center"/>
            <w:hideMark/>
          </w:tcPr>
          <w:p w:rsidR="000175D4" w:rsidRPr="000175D4" w:rsidRDefault="000175D4" w:rsidP="000175D4">
            <w:pPr>
              <w:rPr>
                <w:rFonts w:ascii="Times New Roman" w:hAnsi="Times New Roman" w:cs="Times New Roman"/>
              </w:rPr>
            </w:pPr>
            <w:r w:rsidRPr="000175D4">
              <w:rPr>
                <w:rFonts w:ascii="Times New Roman" w:hAnsi="Times New Roman" w:cs="Times New Roman"/>
              </w:rPr>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0175D4" w:rsidRPr="000175D4" w:rsidRDefault="000175D4" w:rsidP="000175D4">
            <w:pPr>
              <w:rPr>
                <w:rFonts w:ascii="Times New Roman" w:hAnsi="Times New Roman" w:cs="Times New Roman"/>
              </w:rPr>
            </w:pPr>
            <w:r w:rsidRPr="000175D4">
              <w:rPr>
                <w:rFonts w:ascii="Times New Roman" w:hAnsi="Times New Roman" w:cs="Times New Roman"/>
              </w:rPr>
              <w:t>Atbildīgās ministrijas pamatojums iebilduma noraidījumam</w:t>
            </w:r>
          </w:p>
        </w:tc>
        <w:tc>
          <w:tcPr>
            <w:tcW w:w="2260" w:type="dxa"/>
            <w:tcBorders>
              <w:top w:val="single" w:sz="4" w:space="0" w:color="auto"/>
              <w:left w:val="single" w:sz="4" w:space="0" w:color="auto"/>
              <w:bottom w:val="single" w:sz="4" w:space="0" w:color="auto"/>
              <w:right w:val="single" w:sz="4" w:space="0" w:color="auto"/>
            </w:tcBorders>
            <w:vAlign w:val="center"/>
            <w:hideMark/>
          </w:tcPr>
          <w:p w:rsidR="000175D4" w:rsidRPr="000175D4" w:rsidRDefault="000175D4" w:rsidP="000175D4">
            <w:pPr>
              <w:rPr>
                <w:rFonts w:ascii="Times New Roman" w:hAnsi="Times New Roman" w:cs="Times New Roman"/>
              </w:rPr>
            </w:pPr>
            <w:r w:rsidRPr="000175D4">
              <w:rPr>
                <w:rFonts w:ascii="Times New Roman" w:hAnsi="Times New Roman" w:cs="Times New Roman"/>
              </w:rPr>
              <w:t>Atzinuma sniedzēja uzturētais iebildums, ja tas atšķiras no atzinumā norādītā iebilduma pamatojuma</w:t>
            </w:r>
          </w:p>
        </w:tc>
        <w:tc>
          <w:tcPr>
            <w:tcW w:w="2134" w:type="dxa"/>
            <w:tcBorders>
              <w:top w:val="single" w:sz="4" w:space="0" w:color="auto"/>
              <w:left w:val="single" w:sz="4" w:space="0" w:color="auto"/>
              <w:bottom w:val="single" w:sz="4" w:space="0" w:color="auto"/>
              <w:right w:val="single" w:sz="4" w:space="0" w:color="auto"/>
            </w:tcBorders>
            <w:vAlign w:val="center"/>
            <w:hideMark/>
          </w:tcPr>
          <w:p w:rsidR="000175D4" w:rsidRPr="000175D4" w:rsidRDefault="000175D4" w:rsidP="000175D4">
            <w:pPr>
              <w:rPr>
                <w:rFonts w:ascii="Times New Roman" w:hAnsi="Times New Roman" w:cs="Times New Roman"/>
              </w:rPr>
            </w:pPr>
            <w:r w:rsidRPr="000175D4">
              <w:rPr>
                <w:rFonts w:ascii="Times New Roman" w:hAnsi="Times New Roman" w:cs="Times New Roman"/>
              </w:rPr>
              <w:t>Projekta attiecīgā punkta (panta) galīgā redakcija</w:t>
            </w:r>
          </w:p>
        </w:tc>
      </w:tr>
      <w:tr w:rsidR="000175D4" w:rsidRPr="000175D4" w:rsidTr="00290333">
        <w:tc>
          <w:tcPr>
            <w:tcW w:w="851" w:type="dxa"/>
            <w:tcBorders>
              <w:top w:val="single" w:sz="6" w:space="0" w:color="000000"/>
              <w:left w:val="single" w:sz="6" w:space="0" w:color="000000"/>
              <w:bottom w:val="single" w:sz="6" w:space="0" w:color="000000"/>
              <w:right w:val="single" w:sz="6" w:space="0" w:color="000000"/>
            </w:tcBorders>
            <w:hideMark/>
          </w:tcPr>
          <w:p w:rsidR="000175D4" w:rsidRPr="000175D4" w:rsidRDefault="000175D4" w:rsidP="000175D4">
            <w:pPr>
              <w:rPr>
                <w:rFonts w:ascii="Times New Roman" w:hAnsi="Times New Roman" w:cs="Times New Roman"/>
              </w:rPr>
            </w:pPr>
            <w:r w:rsidRPr="000175D4">
              <w:rPr>
                <w:rFonts w:ascii="Times New Roman" w:hAnsi="Times New Roman" w:cs="Times New Roman"/>
              </w:rPr>
              <w:t>1</w:t>
            </w:r>
          </w:p>
        </w:tc>
        <w:tc>
          <w:tcPr>
            <w:tcW w:w="3286" w:type="dxa"/>
            <w:tcBorders>
              <w:top w:val="single" w:sz="6" w:space="0" w:color="000000"/>
              <w:left w:val="single" w:sz="6" w:space="0" w:color="000000"/>
              <w:bottom w:val="single" w:sz="6" w:space="0" w:color="000000"/>
              <w:right w:val="single" w:sz="6" w:space="0" w:color="000000"/>
            </w:tcBorders>
            <w:hideMark/>
          </w:tcPr>
          <w:p w:rsidR="000175D4" w:rsidRPr="000175D4" w:rsidRDefault="000175D4" w:rsidP="000175D4">
            <w:pPr>
              <w:rPr>
                <w:rFonts w:ascii="Times New Roman" w:hAnsi="Times New Roman" w:cs="Times New Roman"/>
              </w:rPr>
            </w:pPr>
            <w:r w:rsidRPr="000175D4">
              <w:rPr>
                <w:rFonts w:ascii="Times New Roman" w:hAnsi="Times New Roman" w:cs="Times New Roman"/>
              </w:rPr>
              <w:t>2</w:t>
            </w:r>
          </w:p>
        </w:tc>
        <w:tc>
          <w:tcPr>
            <w:tcW w:w="3269" w:type="dxa"/>
            <w:tcBorders>
              <w:top w:val="single" w:sz="6" w:space="0" w:color="000000"/>
              <w:left w:val="single" w:sz="6" w:space="0" w:color="000000"/>
              <w:bottom w:val="single" w:sz="6" w:space="0" w:color="000000"/>
              <w:right w:val="single" w:sz="6" w:space="0" w:color="000000"/>
            </w:tcBorders>
            <w:hideMark/>
          </w:tcPr>
          <w:p w:rsidR="000175D4" w:rsidRPr="000175D4" w:rsidRDefault="000175D4" w:rsidP="000175D4">
            <w:pPr>
              <w:rPr>
                <w:rFonts w:ascii="Times New Roman" w:hAnsi="Times New Roman" w:cs="Times New Roman"/>
              </w:rPr>
            </w:pPr>
            <w:r w:rsidRPr="000175D4">
              <w:rPr>
                <w:rFonts w:ascii="Times New Roman" w:hAnsi="Times New Roman" w:cs="Times New Roman"/>
              </w:rPr>
              <w:t>3</w:t>
            </w:r>
          </w:p>
        </w:tc>
        <w:tc>
          <w:tcPr>
            <w:tcW w:w="3118" w:type="dxa"/>
            <w:tcBorders>
              <w:top w:val="single" w:sz="6" w:space="0" w:color="000000"/>
              <w:left w:val="single" w:sz="6" w:space="0" w:color="000000"/>
              <w:bottom w:val="single" w:sz="6" w:space="0" w:color="000000"/>
              <w:right w:val="single" w:sz="6" w:space="0" w:color="000000"/>
            </w:tcBorders>
            <w:hideMark/>
          </w:tcPr>
          <w:p w:rsidR="000175D4" w:rsidRPr="000175D4" w:rsidRDefault="000175D4" w:rsidP="000175D4">
            <w:pPr>
              <w:rPr>
                <w:rFonts w:ascii="Times New Roman" w:hAnsi="Times New Roman" w:cs="Times New Roman"/>
              </w:rPr>
            </w:pPr>
            <w:r w:rsidRPr="000175D4">
              <w:rPr>
                <w:rFonts w:ascii="Times New Roman" w:hAnsi="Times New Roman" w:cs="Times New Roman"/>
              </w:rPr>
              <w:t>4</w:t>
            </w:r>
          </w:p>
        </w:tc>
        <w:tc>
          <w:tcPr>
            <w:tcW w:w="2260" w:type="dxa"/>
            <w:tcBorders>
              <w:top w:val="single" w:sz="4" w:space="0" w:color="auto"/>
              <w:left w:val="single" w:sz="4" w:space="0" w:color="auto"/>
              <w:bottom w:val="single" w:sz="4" w:space="0" w:color="auto"/>
              <w:right w:val="single" w:sz="4" w:space="0" w:color="auto"/>
            </w:tcBorders>
            <w:hideMark/>
          </w:tcPr>
          <w:p w:rsidR="000175D4" w:rsidRPr="000175D4" w:rsidRDefault="000175D4" w:rsidP="000175D4">
            <w:pPr>
              <w:rPr>
                <w:rFonts w:ascii="Times New Roman" w:hAnsi="Times New Roman" w:cs="Times New Roman"/>
              </w:rPr>
            </w:pPr>
            <w:r w:rsidRPr="000175D4">
              <w:rPr>
                <w:rFonts w:ascii="Times New Roman" w:hAnsi="Times New Roman" w:cs="Times New Roman"/>
              </w:rPr>
              <w:t>5</w:t>
            </w:r>
          </w:p>
        </w:tc>
        <w:tc>
          <w:tcPr>
            <w:tcW w:w="2134" w:type="dxa"/>
            <w:tcBorders>
              <w:top w:val="single" w:sz="4" w:space="0" w:color="auto"/>
              <w:left w:val="single" w:sz="4" w:space="0" w:color="auto"/>
              <w:bottom w:val="single" w:sz="4" w:space="0" w:color="auto"/>
              <w:right w:val="single" w:sz="4" w:space="0" w:color="auto"/>
            </w:tcBorders>
            <w:hideMark/>
          </w:tcPr>
          <w:p w:rsidR="000175D4" w:rsidRPr="000175D4" w:rsidRDefault="000175D4" w:rsidP="000175D4">
            <w:pPr>
              <w:rPr>
                <w:rFonts w:ascii="Times New Roman" w:hAnsi="Times New Roman" w:cs="Times New Roman"/>
              </w:rPr>
            </w:pPr>
            <w:r w:rsidRPr="000175D4">
              <w:rPr>
                <w:rFonts w:ascii="Times New Roman" w:hAnsi="Times New Roman" w:cs="Times New Roman"/>
              </w:rPr>
              <w:t>6</w:t>
            </w:r>
          </w:p>
        </w:tc>
      </w:tr>
    </w:tbl>
    <w:p w:rsidR="000175D4" w:rsidRDefault="000175D4" w:rsidP="000175D4">
      <w:pPr>
        <w:spacing w:after="0" w:line="240" w:lineRule="auto"/>
        <w:jc w:val="both"/>
        <w:rPr>
          <w:rFonts w:ascii="Times New Roman" w:eastAsia="Times New Roman" w:hAnsi="Times New Roman" w:cs="Times New Roman"/>
          <w:b/>
          <w:lang w:eastAsia="lv-LV"/>
        </w:rPr>
      </w:pPr>
    </w:p>
    <w:p w:rsidR="000175D4" w:rsidRPr="000175D4" w:rsidRDefault="000175D4" w:rsidP="000175D4">
      <w:pPr>
        <w:spacing w:after="0" w:line="240" w:lineRule="auto"/>
        <w:jc w:val="both"/>
        <w:rPr>
          <w:rFonts w:ascii="Times New Roman" w:eastAsia="Times New Roman" w:hAnsi="Times New Roman" w:cs="Times New Roman"/>
          <w:b/>
          <w:lang w:eastAsia="lv-LV"/>
        </w:rPr>
      </w:pPr>
      <w:r w:rsidRPr="000175D4">
        <w:rPr>
          <w:rFonts w:ascii="Times New Roman" w:eastAsia="Times New Roman" w:hAnsi="Times New Roman" w:cs="Times New Roman"/>
          <w:b/>
          <w:lang w:eastAsia="lv-LV"/>
        </w:rPr>
        <w:t>Informācija par starpministriju (starpinstitūciju) sanāksmi vai elektronisko saskaņošanu</w:t>
      </w:r>
    </w:p>
    <w:p w:rsidR="000175D4" w:rsidRPr="000175D4" w:rsidRDefault="000175D4" w:rsidP="000175D4">
      <w:pPr>
        <w:spacing w:after="0" w:line="240" w:lineRule="auto"/>
        <w:jc w:val="both"/>
        <w:rPr>
          <w:rFonts w:ascii="Times New Roman" w:eastAsia="Times New Roman" w:hAnsi="Times New Roman" w:cs="Times New Roman"/>
          <w:b/>
          <w:lang w:eastAsia="lv-LV"/>
        </w:rPr>
      </w:pPr>
    </w:p>
    <w:tbl>
      <w:tblPr>
        <w:tblW w:w="12333" w:type="dxa"/>
        <w:tblLook w:val="00A0" w:firstRow="1" w:lastRow="0" w:firstColumn="1" w:lastColumn="0" w:noHBand="0" w:noVBand="0"/>
      </w:tblPr>
      <w:tblGrid>
        <w:gridCol w:w="7513"/>
        <w:gridCol w:w="363"/>
        <w:gridCol w:w="380"/>
        <w:gridCol w:w="4077"/>
      </w:tblGrid>
      <w:tr w:rsidR="000175D4" w:rsidRPr="000175D4" w:rsidTr="00152B0F">
        <w:tc>
          <w:tcPr>
            <w:tcW w:w="7513" w:type="dxa"/>
            <w:hideMark/>
          </w:tcPr>
          <w:p w:rsidR="000175D4" w:rsidRPr="000175D4" w:rsidRDefault="000175D4" w:rsidP="000175D4">
            <w:pPr>
              <w:spacing w:after="0" w:line="240" w:lineRule="auto"/>
              <w:jc w:val="both"/>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Datums</w:t>
            </w:r>
          </w:p>
        </w:tc>
        <w:tc>
          <w:tcPr>
            <w:tcW w:w="4820" w:type="dxa"/>
            <w:gridSpan w:val="3"/>
            <w:tcBorders>
              <w:top w:val="nil"/>
              <w:left w:val="nil"/>
              <w:bottom w:val="single" w:sz="4" w:space="0" w:color="auto"/>
              <w:right w:val="nil"/>
            </w:tcBorders>
          </w:tcPr>
          <w:p w:rsidR="000175D4" w:rsidRPr="000175D4" w:rsidRDefault="000175D4" w:rsidP="000175D4">
            <w:pPr>
              <w:spacing w:after="0" w:line="240" w:lineRule="auto"/>
              <w:ind w:firstLine="460"/>
              <w:rPr>
                <w:rFonts w:ascii="Times New Roman" w:eastAsia="Times New Roman" w:hAnsi="Times New Roman" w:cs="Times New Roman"/>
                <w:lang w:eastAsia="lv-LV"/>
              </w:rPr>
            </w:pPr>
          </w:p>
        </w:tc>
      </w:tr>
      <w:tr w:rsidR="000175D4" w:rsidRPr="000175D4" w:rsidTr="00152B0F">
        <w:tc>
          <w:tcPr>
            <w:tcW w:w="7513" w:type="dxa"/>
          </w:tcPr>
          <w:p w:rsidR="000175D4" w:rsidRPr="000175D4" w:rsidRDefault="000175D4" w:rsidP="000175D4">
            <w:pPr>
              <w:spacing w:after="0" w:line="240" w:lineRule="auto"/>
              <w:jc w:val="both"/>
              <w:rPr>
                <w:rFonts w:ascii="Times New Roman" w:eastAsia="Times New Roman" w:hAnsi="Times New Roman" w:cs="Times New Roman"/>
                <w:lang w:eastAsia="lv-LV"/>
              </w:rPr>
            </w:pPr>
          </w:p>
        </w:tc>
        <w:tc>
          <w:tcPr>
            <w:tcW w:w="4820" w:type="dxa"/>
            <w:gridSpan w:val="3"/>
            <w:tcBorders>
              <w:top w:val="single" w:sz="4" w:space="0" w:color="auto"/>
              <w:left w:val="nil"/>
              <w:bottom w:val="nil"/>
              <w:right w:val="nil"/>
            </w:tcBorders>
          </w:tcPr>
          <w:p w:rsidR="000175D4" w:rsidRPr="000175D4" w:rsidRDefault="000175D4" w:rsidP="000175D4">
            <w:pPr>
              <w:spacing w:after="0" w:line="240" w:lineRule="auto"/>
              <w:ind w:firstLine="720"/>
              <w:rPr>
                <w:rFonts w:ascii="Times New Roman" w:eastAsia="Times New Roman" w:hAnsi="Times New Roman" w:cs="Times New Roman"/>
                <w:lang w:eastAsia="lv-LV"/>
              </w:rPr>
            </w:pPr>
          </w:p>
        </w:tc>
      </w:tr>
      <w:tr w:rsidR="000175D4" w:rsidRPr="000175D4" w:rsidTr="00152B0F">
        <w:tc>
          <w:tcPr>
            <w:tcW w:w="7513" w:type="dxa"/>
            <w:hideMark/>
          </w:tcPr>
          <w:p w:rsidR="000175D4" w:rsidRPr="000175D4" w:rsidRDefault="000175D4" w:rsidP="000175D4">
            <w:pPr>
              <w:spacing w:after="0" w:line="240" w:lineRule="auto"/>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Saskaņošanas dalībnieki</w:t>
            </w:r>
          </w:p>
        </w:tc>
        <w:tc>
          <w:tcPr>
            <w:tcW w:w="4820" w:type="dxa"/>
            <w:gridSpan w:val="3"/>
          </w:tcPr>
          <w:p w:rsidR="000175D4" w:rsidRPr="000175D4" w:rsidRDefault="000175D4" w:rsidP="000175D4">
            <w:pPr>
              <w:tabs>
                <w:tab w:val="left" w:pos="915"/>
              </w:tabs>
              <w:spacing w:after="120" w:line="240" w:lineRule="auto"/>
              <w:ind w:left="635"/>
              <w:jc w:val="both"/>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 xml:space="preserve">Tieslietu ministrija, Finanšu ministrija, Iekšlietu ministrija </w:t>
            </w:r>
          </w:p>
        </w:tc>
      </w:tr>
      <w:tr w:rsidR="000175D4" w:rsidRPr="000175D4" w:rsidTr="00152B0F">
        <w:trPr>
          <w:trHeight w:val="285"/>
        </w:trPr>
        <w:tc>
          <w:tcPr>
            <w:tcW w:w="7513" w:type="dxa"/>
          </w:tcPr>
          <w:p w:rsidR="000175D4" w:rsidRPr="000175D4" w:rsidRDefault="000175D4" w:rsidP="000175D4">
            <w:pPr>
              <w:spacing w:after="0" w:line="240" w:lineRule="auto"/>
              <w:rPr>
                <w:rFonts w:ascii="Times New Roman" w:eastAsia="Times New Roman" w:hAnsi="Times New Roman" w:cs="Times New Roman"/>
                <w:lang w:eastAsia="lv-LV"/>
              </w:rPr>
            </w:pPr>
          </w:p>
        </w:tc>
        <w:tc>
          <w:tcPr>
            <w:tcW w:w="743" w:type="dxa"/>
            <w:gridSpan w:val="2"/>
          </w:tcPr>
          <w:p w:rsidR="000175D4" w:rsidRPr="000175D4" w:rsidRDefault="000175D4" w:rsidP="000175D4">
            <w:pPr>
              <w:spacing w:after="0" w:line="240" w:lineRule="auto"/>
              <w:ind w:firstLine="720"/>
              <w:rPr>
                <w:rFonts w:ascii="Times New Roman" w:eastAsia="Times New Roman" w:hAnsi="Times New Roman" w:cs="Times New Roman"/>
                <w:lang w:eastAsia="lv-LV"/>
              </w:rPr>
            </w:pPr>
          </w:p>
        </w:tc>
        <w:tc>
          <w:tcPr>
            <w:tcW w:w="4077" w:type="dxa"/>
          </w:tcPr>
          <w:p w:rsidR="000175D4" w:rsidRPr="000175D4" w:rsidRDefault="000175D4" w:rsidP="000175D4">
            <w:pPr>
              <w:spacing w:after="0" w:line="240" w:lineRule="auto"/>
              <w:ind w:firstLine="12"/>
              <w:rPr>
                <w:rFonts w:ascii="Times New Roman" w:eastAsia="Times New Roman" w:hAnsi="Times New Roman" w:cs="Times New Roman"/>
                <w:lang w:eastAsia="lv-LV"/>
              </w:rPr>
            </w:pPr>
          </w:p>
        </w:tc>
      </w:tr>
      <w:tr w:rsidR="000175D4" w:rsidRPr="000175D4" w:rsidTr="00152B0F">
        <w:trPr>
          <w:trHeight w:val="501"/>
        </w:trPr>
        <w:tc>
          <w:tcPr>
            <w:tcW w:w="7876" w:type="dxa"/>
            <w:gridSpan w:val="2"/>
            <w:hideMark/>
          </w:tcPr>
          <w:p w:rsidR="000175D4" w:rsidRPr="000175D4" w:rsidRDefault="000175D4" w:rsidP="000175D4">
            <w:pPr>
              <w:spacing w:after="0" w:line="240" w:lineRule="auto"/>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Saskaņošanas dalībnieki izskatīja šādu ministriju (citu institūciju) iebildumus</w:t>
            </w:r>
          </w:p>
        </w:tc>
        <w:tc>
          <w:tcPr>
            <w:tcW w:w="380" w:type="dxa"/>
          </w:tcPr>
          <w:p w:rsidR="000175D4" w:rsidRPr="000175D4" w:rsidRDefault="000175D4" w:rsidP="000175D4">
            <w:pPr>
              <w:spacing w:after="0" w:line="240" w:lineRule="auto"/>
              <w:ind w:firstLine="720"/>
              <w:rPr>
                <w:rFonts w:ascii="Times New Roman" w:eastAsia="Times New Roman" w:hAnsi="Times New Roman" w:cs="Times New Roman"/>
                <w:lang w:eastAsia="lv-LV"/>
              </w:rPr>
            </w:pPr>
          </w:p>
        </w:tc>
        <w:tc>
          <w:tcPr>
            <w:tcW w:w="4077" w:type="dxa"/>
          </w:tcPr>
          <w:p w:rsidR="000175D4" w:rsidRPr="000175D4" w:rsidRDefault="000175D4" w:rsidP="000175D4">
            <w:pPr>
              <w:tabs>
                <w:tab w:val="left" w:pos="915"/>
              </w:tabs>
              <w:spacing w:after="120" w:line="240" w:lineRule="auto"/>
              <w:ind w:left="-1"/>
              <w:jc w:val="both"/>
              <w:rPr>
                <w:rFonts w:ascii="Times New Roman" w:eastAsia="Times New Roman" w:hAnsi="Times New Roman" w:cs="Times New Roman"/>
                <w:color w:val="000000" w:themeColor="text1"/>
                <w:lang w:eastAsia="lv-LV"/>
              </w:rPr>
            </w:pPr>
            <w:r w:rsidRPr="000175D4">
              <w:rPr>
                <w:rFonts w:ascii="Times New Roman" w:eastAsia="Times New Roman" w:hAnsi="Times New Roman" w:cs="Times New Roman"/>
                <w:color w:val="000000" w:themeColor="text1"/>
                <w:lang w:eastAsia="lv-LV"/>
              </w:rPr>
              <w:t>Tieslietu ministrijas un Iekšlietu ministrijas.</w:t>
            </w:r>
          </w:p>
        </w:tc>
      </w:tr>
      <w:tr w:rsidR="000175D4" w:rsidRPr="000175D4" w:rsidTr="00152B0F">
        <w:tc>
          <w:tcPr>
            <w:tcW w:w="7876" w:type="dxa"/>
            <w:gridSpan w:val="2"/>
          </w:tcPr>
          <w:p w:rsidR="000175D4" w:rsidRPr="000175D4" w:rsidRDefault="000175D4" w:rsidP="000175D4">
            <w:pPr>
              <w:spacing w:after="0" w:line="240" w:lineRule="auto"/>
              <w:rPr>
                <w:rFonts w:ascii="Times New Roman" w:eastAsia="Times New Roman" w:hAnsi="Times New Roman" w:cs="Times New Roman"/>
                <w:lang w:eastAsia="lv-LV"/>
              </w:rPr>
            </w:pPr>
          </w:p>
        </w:tc>
        <w:tc>
          <w:tcPr>
            <w:tcW w:w="4457" w:type="dxa"/>
            <w:gridSpan w:val="2"/>
          </w:tcPr>
          <w:p w:rsidR="000175D4" w:rsidRPr="000175D4" w:rsidRDefault="000175D4" w:rsidP="000175D4">
            <w:pPr>
              <w:spacing w:after="0" w:line="240" w:lineRule="auto"/>
              <w:ind w:firstLine="720"/>
              <w:rPr>
                <w:rFonts w:ascii="Times New Roman" w:eastAsia="Times New Roman" w:hAnsi="Times New Roman" w:cs="Times New Roman"/>
                <w:lang w:eastAsia="lv-LV"/>
              </w:rPr>
            </w:pPr>
          </w:p>
        </w:tc>
      </w:tr>
      <w:tr w:rsidR="000175D4" w:rsidRPr="000175D4" w:rsidTr="000175D4">
        <w:trPr>
          <w:trHeight w:val="1143"/>
        </w:trPr>
        <w:tc>
          <w:tcPr>
            <w:tcW w:w="7876" w:type="dxa"/>
            <w:gridSpan w:val="2"/>
            <w:hideMark/>
          </w:tcPr>
          <w:p w:rsidR="000175D4" w:rsidRPr="000175D4" w:rsidRDefault="000175D4" w:rsidP="000175D4">
            <w:pPr>
              <w:spacing w:after="0" w:line="240" w:lineRule="auto"/>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p w:rsidR="000175D4" w:rsidRPr="000175D4" w:rsidRDefault="000175D4" w:rsidP="000175D4">
            <w:pPr>
              <w:spacing w:after="0" w:line="240" w:lineRule="auto"/>
              <w:rPr>
                <w:rFonts w:ascii="Times New Roman" w:eastAsia="Times New Roman" w:hAnsi="Times New Roman" w:cs="Times New Roman"/>
                <w:lang w:eastAsia="lv-LV"/>
              </w:rPr>
            </w:pPr>
          </w:p>
          <w:p w:rsidR="000175D4" w:rsidRPr="000175D4" w:rsidRDefault="000175D4" w:rsidP="000175D4">
            <w:pPr>
              <w:spacing w:after="0" w:line="240" w:lineRule="auto"/>
              <w:rPr>
                <w:rFonts w:ascii="Times New Roman" w:eastAsia="Times New Roman" w:hAnsi="Times New Roman" w:cs="Times New Roman"/>
                <w:lang w:eastAsia="lv-LV"/>
              </w:rPr>
            </w:pPr>
          </w:p>
        </w:tc>
        <w:tc>
          <w:tcPr>
            <w:tcW w:w="4457" w:type="dxa"/>
            <w:gridSpan w:val="2"/>
            <w:hideMark/>
          </w:tcPr>
          <w:p w:rsidR="000175D4" w:rsidRPr="000175D4" w:rsidRDefault="000175D4" w:rsidP="000175D4">
            <w:pPr>
              <w:spacing w:after="0" w:line="240" w:lineRule="auto"/>
              <w:ind w:firstLine="414"/>
              <w:rPr>
                <w:rFonts w:ascii="Times New Roman" w:eastAsia="Times New Roman" w:hAnsi="Times New Roman" w:cs="Times New Roman"/>
                <w:lang w:eastAsia="lv-LV"/>
              </w:rPr>
            </w:pPr>
          </w:p>
        </w:tc>
      </w:tr>
    </w:tbl>
    <w:p w:rsidR="000175D4" w:rsidRPr="000175D4" w:rsidRDefault="000175D4" w:rsidP="000175D4">
      <w:pPr>
        <w:jc w:val="center"/>
        <w:rPr>
          <w:rFonts w:ascii="Times New Roman" w:hAnsi="Times New Roman" w:cs="Times New Roman"/>
          <w:b/>
        </w:rPr>
      </w:pPr>
      <w:r w:rsidRPr="000175D4">
        <w:rPr>
          <w:rFonts w:ascii="Times New Roman" w:hAnsi="Times New Roman" w:cs="Times New Roman"/>
          <w:b/>
        </w:rPr>
        <w:t>II.</w:t>
      </w:r>
      <w:r w:rsidRPr="000175D4">
        <w:rPr>
          <w:rFonts w:ascii="Times New Roman" w:hAnsi="Times New Roman" w:cs="Times New Roman"/>
          <w:b/>
        </w:rPr>
        <w:tab/>
        <w:t>Jautājumi, par kuriem saskaņošanā vienošanās ir panākta</w:t>
      </w:r>
    </w:p>
    <w:tbl>
      <w:tblPr>
        <w:tblpPr w:leftFromText="180" w:rightFromText="180" w:vertAnchor="text" w:tblpX="-575" w:tblpY="1"/>
        <w:tblOverlap w:val="never"/>
        <w:tblW w:w="1525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5"/>
        <w:gridCol w:w="2686"/>
        <w:gridCol w:w="4678"/>
        <w:gridCol w:w="3260"/>
        <w:gridCol w:w="3402"/>
        <w:gridCol w:w="7"/>
        <w:gridCol w:w="240"/>
      </w:tblGrid>
      <w:tr w:rsidR="002B15FE"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vAlign w:val="center"/>
          </w:tcPr>
          <w:p w:rsidR="002B15FE" w:rsidRPr="000175D4" w:rsidRDefault="002B15FE" w:rsidP="002B15FE">
            <w:pPr>
              <w:spacing w:after="0" w:line="240" w:lineRule="auto"/>
              <w:jc w:val="center"/>
              <w:rPr>
                <w:rFonts w:ascii="Times New Roman" w:eastAsia="Times New Roman" w:hAnsi="Times New Roman" w:cs="Times New Roman"/>
                <w:lang w:eastAsia="lv-LV"/>
              </w:rPr>
            </w:pPr>
            <w:r w:rsidRPr="000175D4">
              <w:rPr>
                <w:rFonts w:ascii="Times New Roman" w:eastAsia="Times New Roman" w:hAnsi="Times New Roman" w:cs="Times New Roman"/>
                <w:lang w:eastAsia="lv-LV"/>
              </w:rPr>
              <w:lastRenderedPageBreak/>
              <w:t>Nr. p.k.</w:t>
            </w:r>
          </w:p>
        </w:tc>
        <w:tc>
          <w:tcPr>
            <w:tcW w:w="2686" w:type="dxa"/>
            <w:tcBorders>
              <w:top w:val="single" w:sz="6" w:space="0" w:color="000000"/>
              <w:left w:val="single" w:sz="6" w:space="0" w:color="000000"/>
              <w:bottom w:val="single" w:sz="6" w:space="0" w:color="000000"/>
              <w:right w:val="single" w:sz="6" w:space="0" w:color="000000"/>
            </w:tcBorders>
            <w:vAlign w:val="center"/>
          </w:tcPr>
          <w:p w:rsidR="002B15FE" w:rsidRPr="000175D4" w:rsidRDefault="002B15FE" w:rsidP="002B15FE">
            <w:pPr>
              <w:spacing w:after="0" w:line="240" w:lineRule="auto"/>
              <w:ind w:firstLine="12"/>
              <w:jc w:val="center"/>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rsidR="002B15FE" w:rsidRPr="000175D4" w:rsidRDefault="002B15FE" w:rsidP="002B15FE">
            <w:pPr>
              <w:spacing w:after="0" w:line="240" w:lineRule="auto"/>
              <w:ind w:right="3"/>
              <w:jc w:val="center"/>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rsidR="002B15FE" w:rsidRPr="000175D4" w:rsidRDefault="002B15FE" w:rsidP="002B15FE">
            <w:pPr>
              <w:spacing w:after="0" w:line="240" w:lineRule="auto"/>
              <w:ind w:firstLine="21"/>
              <w:jc w:val="center"/>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rsidR="002B15FE" w:rsidRPr="000175D4" w:rsidRDefault="002B15FE" w:rsidP="002B15FE">
            <w:pPr>
              <w:spacing w:after="0" w:line="240" w:lineRule="auto"/>
              <w:jc w:val="center"/>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Projekta attiecīgā punkta (panta) galīgā redakcija</w:t>
            </w:r>
          </w:p>
        </w:tc>
      </w:tr>
      <w:tr w:rsidR="002B15FE"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2B15FE" w:rsidRPr="000175D4" w:rsidRDefault="002B15FE" w:rsidP="002B15FE">
            <w:pPr>
              <w:spacing w:after="0" w:line="240" w:lineRule="auto"/>
              <w:jc w:val="center"/>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1</w:t>
            </w:r>
          </w:p>
        </w:tc>
        <w:tc>
          <w:tcPr>
            <w:tcW w:w="2686" w:type="dxa"/>
            <w:tcBorders>
              <w:top w:val="single" w:sz="6" w:space="0" w:color="000000"/>
              <w:left w:val="single" w:sz="6" w:space="0" w:color="000000"/>
              <w:bottom w:val="single" w:sz="4" w:space="0" w:color="auto"/>
              <w:right w:val="single" w:sz="6" w:space="0" w:color="000000"/>
            </w:tcBorders>
          </w:tcPr>
          <w:p w:rsidR="002B15FE" w:rsidRPr="000175D4" w:rsidRDefault="002B15FE" w:rsidP="002B15FE">
            <w:pPr>
              <w:spacing w:after="0" w:line="240" w:lineRule="auto"/>
              <w:jc w:val="center"/>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2</w:t>
            </w:r>
          </w:p>
        </w:tc>
        <w:tc>
          <w:tcPr>
            <w:tcW w:w="4678" w:type="dxa"/>
            <w:tcBorders>
              <w:top w:val="single" w:sz="6" w:space="0" w:color="000000"/>
              <w:left w:val="single" w:sz="6" w:space="0" w:color="000000"/>
              <w:bottom w:val="single" w:sz="6" w:space="0" w:color="000000"/>
              <w:right w:val="single" w:sz="6" w:space="0" w:color="000000"/>
            </w:tcBorders>
          </w:tcPr>
          <w:p w:rsidR="002B15FE" w:rsidRPr="000175D4" w:rsidRDefault="002B15FE" w:rsidP="002B15FE">
            <w:pPr>
              <w:spacing w:after="0" w:line="240" w:lineRule="auto"/>
              <w:jc w:val="center"/>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3</w:t>
            </w:r>
          </w:p>
        </w:tc>
        <w:tc>
          <w:tcPr>
            <w:tcW w:w="3260" w:type="dxa"/>
            <w:tcBorders>
              <w:top w:val="single" w:sz="6" w:space="0" w:color="000000"/>
              <w:left w:val="single" w:sz="6" w:space="0" w:color="000000"/>
              <w:bottom w:val="single" w:sz="6" w:space="0" w:color="000000"/>
              <w:right w:val="single" w:sz="6" w:space="0" w:color="000000"/>
            </w:tcBorders>
          </w:tcPr>
          <w:p w:rsidR="002B15FE" w:rsidRPr="000175D4" w:rsidRDefault="002B15FE" w:rsidP="002B15FE">
            <w:pPr>
              <w:spacing w:after="0" w:line="240" w:lineRule="auto"/>
              <w:jc w:val="center"/>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4</w:t>
            </w:r>
          </w:p>
        </w:tc>
        <w:tc>
          <w:tcPr>
            <w:tcW w:w="3402" w:type="dxa"/>
            <w:tcBorders>
              <w:top w:val="single" w:sz="4" w:space="0" w:color="auto"/>
              <w:left w:val="single" w:sz="4" w:space="0" w:color="auto"/>
              <w:bottom w:val="single" w:sz="4" w:space="0" w:color="auto"/>
            </w:tcBorders>
          </w:tcPr>
          <w:p w:rsidR="002B15FE" w:rsidRPr="000175D4" w:rsidRDefault="002B15FE" w:rsidP="002B15FE">
            <w:pPr>
              <w:spacing w:after="0" w:line="240" w:lineRule="auto"/>
              <w:jc w:val="center"/>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5</w:t>
            </w:r>
          </w:p>
        </w:tc>
      </w:tr>
      <w:tr w:rsidR="009D73A2"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9D73A2" w:rsidRPr="000175D4" w:rsidRDefault="009D73A2" w:rsidP="002B15FE">
            <w:p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9D73A2" w:rsidRPr="000175D4" w:rsidRDefault="009D73A2" w:rsidP="002B15FE">
            <w:pPr>
              <w:spacing w:after="0" w:line="240" w:lineRule="auto"/>
              <w:jc w:val="center"/>
              <w:rPr>
                <w:rFonts w:ascii="Times New Roman" w:eastAsia="Times New Roman" w:hAnsi="Times New Roman" w:cs="Times New Roman"/>
                <w:lang w:eastAsia="lv-LV"/>
              </w:rPr>
            </w:pPr>
          </w:p>
        </w:tc>
        <w:tc>
          <w:tcPr>
            <w:tcW w:w="11340" w:type="dxa"/>
            <w:gridSpan w:val="3"/>
            <w:tcBorders>
              <w:top w:val="single" w:sz="4" w:space="0" w:color="auto"/>
              <w:left w:val="single" w:sz="4" w:space="0" w:color="auto"/>
              <w:bottom w:val="single" w:sz="4" w:space="0" w:color="auto"/>
            </w:tcBorders>
          </w:tcPr>
          <w:p w:rsidR="009D73A2" w:rsidRPr="000175D4" w:rsidRDefault="001A61EB" w:rsidP="00E45524">
            <w:pPr>
              <w:spacing w:after="0" w:line="240" w:lineRule="auto"/>
              <w:jc w:val="center"/>
              <w:rPr>
                <w:rFonts w:ascii="Times New Roman" w:eastAsia="Times New Roman" w:hAnsi="Times New Roman" w:cs="Times New Roman"/>
                <w:b/>
                <w:lang w:eastAsia="lv-LV"/>
              </w:rPr>
            </w:pPr>
            <w:r w:rsidRPr="001A61EB">
              <w:rPr>
                <w:rFonts w:ascii="Times New Roman" w:eastAsia="Times New Roman" w:hAnsi="Times New Roman" w:cs="Times New Roman"/>
                <w:b/>
                <w:lang w:eastAsia="lv-LV"/>
              </w:rPr>
              <w:t>Tieslietu ministrija</w:t>
            </w:r>
            <w:r w:rsidR="00E45524">
              <w:rPr>
                <w:rFonts w:ascii="Times New Roman" w:eastAsia="Times New Roman" w:hAnsi="Times New Roman" w:cs="Times New Roman"/>
                <w:b/>
                <w:lang w:eastAsia="lv-LV"/>
              </w:rPr>
              <w:t>s</w:t>
            </w:r>
            <w:r w:rsidRPr="001A61EB">
              <w:rPr>
                <w:rFonts w:ascii="Times New Roman" w:eastAsia="Times New Roman" w:hAnsi="Times New Roman" w:cs="Times New Roman"/>
                <w:b/>
                <w:lang w:eastAsia="lv-LV"/>
              </w:rPr>
              <w:t xml:space="preserve"> </w:t>
            </w:r>
            <w:r w:rsidRPr="00E45524">
              <w:rPr>
                <w:rFonts w:ascii="Times New Roman" w:eastAsia="Times New Roman" w:hAnsi="Times New Roman" w:cs="Times New Roman"/>
                <w:lang w:eastAsia="lv-LV"/>
              </w:rPr>
              <w:t>18.09.2020.</w:t>
            </w:r>
            <w:r w:rsidR="00E45524" w:rsidRPr="00E45524">
              <w:rPr>
                <w:rFonts w:ascii="Times New Roman" w:eastAsia="Times New Roman" w:hAnsi="Times New Roman" w:cs="Times New Roman"/>
                <w:lang w:eastAsia="lv-LV"/>
              </w:rPr>
              <w:t xml:space="preserve"> atzinums</w:t>
            </w:r>
          </w:p>
        </w:tc>
      </w:tr>
      <w:tr w:rsidR="002B15FE"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2B15FE" w:rsidRPr="000175D4"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2B15FE" w:rsidRPr="000175D4" w:rsidRDefault="001A61EB" w:rsidP="009515C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MK noteikumu izdošanas pamatojums.</w:t>
            </w:r>
          </w:p>
        </w:tc>
        <w:tc>
          <w:tcPr>
            <w:tcW w:w="4678" w:type="dxa"/>
            <w:tcBorders>
              <w:top w:val="single" w:sz="6" w:space="0" w:color="000000"/>
              <w:left w:val="single" w:sz="6" w:space="0" w:color="000000"/>
              <w:bottom w:val="single" w:sz="6" w:space="0" w:color="000000"/>
              <w:right w:val="single" w:sz="6" w:space="0" w:color="000000"/>
            </w:tcBorders>
          </w:tcPr>
          <w:p w:rsidR="002B15FE" w:rsidRPr="000175D4" w:rsidRDefault="005F1437" w:rsidP="009D73A2">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1.</w:t>
            </w:r>
            <w:r w:rsidR="001A61EB" w:rsidRPr="001A61EB">
              <w:rPr>
                <w:rFonts w:ascii="Times New Roman" w:eastAsia="Calibri" w:hAnsi="Times New Roman" w:cs="Times New Roman"/>
              </w:rPr>
              <w:t xml:space="preserve">Ministru kabineta 2009. gada 3. februāra noteikumu Nr. 108 "Normatīvo aktu projektu sagatavošanas noteikumi" (turpmāk – sagatavošanas noteikumi) 47. punktā noteikti paņēmieni, kādus izmanto, veidojot pilnvarojumu Ministru kabinetam izdot normatīvo aktu, kā arī norādīts, ka pilnvarojumā nosakāms normatīvā akta satura galveno virzienu apraksts. Likumprojekts "Grozījumi Militārā dienesta likumā" (Nr. 739/Lp13) paredz papildināt Militārā dienesta likuma 16. pantu ar jaunu daļu, nosakot, ka aizsardzības ministra izveidota komisija Ministru kabineta noteiktajā kārtībā var atļaut šā panta otrās daļas 1. un 3. punktā minētā Latvijas pilsoņa pieņemšanu militārajā dienestā, ja nav izdarīts tīšs smags vai sevišķi smags noziegums un pēc lēmuma par kriminālprocesa izbeigšanu uz nereabilitējošā pamata, prokurora priekšraksta vai sprieduma spēkā stāšanās ir pagājuši vairāk nekā pieci gadi. Likumprojekts "Grozījumi Latvijas Republikas Zemessardzes likumā" (Nr. 740/Lp13) paredz papildināt Latvijas Republikas Zemessardzes likuma 14. pantu ar jaunu daļu, nosakot, ka aizsardzības ministra izveidota komisija Ministru kabineta noteiktajā kārtībā var atļaut šā panta ceturtās daļas 3. un 3.2 punktā minētās personas uzņemšanu Zemessardzē, ja nav izdarīts tīšs smags vai sevišķi smags noziegums un pēc lēmuma par kriminālprocesa izbeigšanu uz </w:t>
            </w:r>
            <w:r w:rsidR="001A61EB" w:rsidRPr="001A61EB">
              <w:rPr>
                <w:rFonts w:ascii="Times New Roman" w:eastAsia="Calibri" w:hAnsi="Times New Roman" w:cs="Times New Roman"/>
              </w:rPr>
              <w:lastRenderedPageBreak/>
              <w:t>nereabilitējošā pamata, prokurora priekšraksta vai sprieduma spēkā stāšanās ir pagājuši vairāk nekā pieci gadi. Aizsardzības ministrs, iesniedzot priekšlikumus abiem minētajiem likumprojektiem, minētajās daļās lūdz aizstāt vārdus "prokurora priekšraksts" ar vārdiem "prokurora priekšraksts par sodu" un likumprojektā "Grozījumi Militārā dienesta likumā" lūdz aiz vārdiem "vai sevišķi smags noziegums" papildināt ar vārdiem "vai valsts noslēpuma izpaušana aiz neuzmanības". Ņemot vērā minēto, ne 1. lasījumā pieņemtajās likumprojektu redakcijās, ne arī priekšlikumos ietvertajās redakcijās nav ietverts pilnvarojums Ministru kabinetam izdot noteikumus, bet gan veidota atsauce uz Ministru kabineta noteikumiem. Vienlaikus vēršam uzmanību uz to, ka saskaņā ar sagatavošanas noteikumu 67. punktu likumprojektā neietver atsauces uz zemāka juridiskā spēka normatīvo aktu.</w:t>
            </w:r>
          </w:p>
        </w:tc>
        <w:tc>
          <w:tcPr>
            <w:tcW w:w="3260" w:type="dxa"/>
            <w:tcBorders>
              <w:top w:val="single" w:sz="6" w:space="0" w:color="000000"/>
              <w:left w:val="single" w:sz="6" w:space="0" w:color="000000"/>
              <w:bottom w:val="single" w:sz="6" w:space="0" w:color="000000"/>
              <w:right w:val="single" w:sz="6" w:space="0" w:color="000000"/>
            </w:tcBorders>
          </w:tcPr>
          <w:p w:rsidR="0029019C" w:rsidRPr="001A61EB" w:rsidRDefault="0029019C" w:rsidP="0029019C">
            <w:pPr>
              <w:spacing w:before="75" w:after="75" w:line="240" w:lineRule="auto"/>
              <w:jc w:val="both"/>
              <w:rPr>
                <w:rFonts w:ascii="Times New Roman" w:eastAsia="Times New Roman" w:hAnsi="Times New Roman" w:cs="Times New Roman"/>
                <w:b/>
                <w:lang w:eastAsia="lv-LV"/>
              </w:rPr>
            </w:pPr>
            <w:r w:rsidRPr="000175D4">
              <w:rPr>
                <w:rFonts w:ascii="Times New Roman" w:eastAsia="Times New Roman" w:hAnsi="Times New Roman" w:cs="Times New Roman"/>
                <w:lang w:eastAsia="lv-LV"/>
              </w:rPr>
              <w:lastRenderedPageBreak/>
              <w:t xml:space="preserve"> </w:t>
            </w:r>
            <w:r w:rsidR="00D60306" w:rsidRPr="001A61EB">
              <w:rPr>
                <w:rFonts w:ascii="Times New Roman" w:eastAsia="Times New Roman" w:hAnsi="Times New Roman" w:cs="Times New Roman"/>
                <w:b/>
                <w:lang w:eastAsia="lv-LV"/>
              </w:rPr>
              <w:t>Ņemts vērā.</w:t>
            </w:r>
          </w:p>
          <w:p w:rsidR="001A61EB" w:rsidRPr="001A61EB" w:rsidRDefault="001A61EB" w:rsidP="001A61EB">
            <w:pPr>
              <w:spacing w:before="75" w:after="75" w:line="240" w:lineRule="auto"/>
              <w:jc w:val="both"/>
              <w:rPr>
                <w:rFonts w:ascii="Times New Roman" w:eastAsia="Times New Roman" w:hAnsi="Times New Roman" w:cs="Times New Roman"/>
                <w:lang w:eastAsia="lv-LV"/>
              </w:rPr>
            </w:pPr>
            <w:r w:rsidRPr="001A61EB">
              <w:rPr>
                <w:rFonts w:ascii="Times New Roman" w:eastAsia="Times New Roman" w:hAnsi="Times New Roman" w:cs="Times New Roman"/>
                <w:lang w:eastAsia="lv-LV"/>
              </w:rPr>
              <w:t>Ministru kabinets izstrādā un pieņem Ministru kabineta noteikumus, kuri nepieciešami, lai nodrošinātu likuma darbību. Tādēļ Ministru kabineta noteikumiem jāsasniedz tāds mērķis, kādu likumdevējs vēlējies sasniegt, norādot likumā uz attiecīgā Ministru kabineta līmeņa regulējuma piemērošanu.</w:t>
            </w:r>
          </w:p>
          <w:p w:rsidR="001A61EB" w:rsidRPr="001A61EB" w:rsidRDefault="001A61EB" w:rsidP="001A61EB">
            <w:pPr>
              <w:spacing w:before="75" w:after="75" w:line="240" w:lineRule="auto"/>
              <w:jc w:val="both"/>
              <w:rPr>
                <w:rFonts w:ascii="Times New Roman" w:eastAsia="Times New Roman" w:hAnsi="Times New Roman" w:cs="Times New Roman"/>
                <w:lang w:eastAsia="lv-LV"/>
              </w:rPr>
            </w:pPr>
            <w:r w:rsidRPr="001A61EB">
              <w:rPr>
                <w:rFonts w:ascii="Times New Roman" w:eastAsia="Times New Roman" w:hAnsi="Times New Roman" w:cs="Times New Roman"/>
                <w:lang w:eastAsia="lv-LV"/>
              </w:rPr>
              <w:t>Saeimā 1.lasījumā pieņemtais likumprojekts papildina Militārā dienesta likuma 16. pantu ar 2.</w:t>
            </w:r>
            <w:r w:rsidR="00ED368E">
              <w:rPr>
                <w:rFonts w:ascii="Times New Roman" w:eastAsia="Times New Roman" w:hAnsi="Times New Roman" w:cs="Times New Roman"/>
                <w:lang w:eastAsia="lv-LV"/>
              </w:rPr>
              <w:t>³</w:t>
            </w:r>
            <w:r w:rsidRPr="001A61EB">
              <w:rPr>
                <w:rFonts w:ascii="Times New Roman" w:eastAsia="Times New Roman" w:hAnsi="Times New Roman" w:cs="Times New Roman"/>
                <w:lang w:eastAsia="lv-LV"/>
              </w:rPr>
              <w:t xml:space="preserve"> daļu</w:t>
            </w:r>
            <w:r w:rsidR="00E91EA9">
              <w:rPr>
                <w:rFonts w:ascii="Times New Roman" w:eastAsia="Times New Roman" w:hAnsi="Times New Roman" w:cs="Times New Roman"/>
                <w:lang w:eastAsia="lv-LV"/>
              </w:rPr>
              <w:t>. S</w:t>
            </w:r>
            <w:r w:rsidRPr="001A61EB">
              <w:rPr>
                <w:rFonts w:ascii="Times New Roman" w:eastAsia="Times New Roman" w:hAnsi="Times New Roman" w:cs="Times New Roman"/>
                <w:lang w:eastAsia="lv-LV"/>
              </w:rPr>
              <w:t xml:space="preserve">askaņā ar </w:t>
            </w:r>
            <w:r w:rsidR="00E91EA9">
              <w:rPr>
                <w:rFonts w:ascii="Times New Roman" w:eastAsia="Times New Roman" w:hAnsi="Times New Roman" w:cs="Times New Roman"/>
                <w:lang w:eastAsia="lv-LV"/>
              </w:rPr>
              <w:t>šo 16. pantu ar 2.</w:t>
            </w:r>
            <w:r w:rsidR="00ED368E">
              <w:rPr>
                <w:rFonts w:ascii="Times New Roman" w:eastAsia="Times New Roman" w:hAnsi="Times New Roman" w:cs="Times New Roman"/>
                <w:lang w:eastAsia="lv-LV"/>
              </w:rPr>
              <w:t>³</w:t>
            </w:r>
            <w:r w:rsidR="00E91EA9">
              <w:rPr>
                <w:rFonts w:ascii="Times New Roman" w:eastAsia="Times New Roman" w:hAnsi="Times New Roman" w:cs="Times New Roman"/>
                <w:lang w:eastAsia="lv-LV"/>
              </w:rPr>
              <w:t xml:space="preserve"> daļu </w:t>
            </w:r>
            <w:r w:rsidRPr="001A61EB">
              <w:rPr>
                <w:rFonts w:ascii="Times New Roman" w:eastAsia="Times New Roman" w:hAnsi="Times New Roman" w:cs="Times New Roman"/>
                <w:lang w:eastAsia="lv-LV"/>
              </w:rPr>
              <w:t xml:space="preserve">Aizsardzības ministra izveidota komisija </w:t>
            </w:r>
            <w:r w:rsidRPr="006A48C6">
              <w:rPr>
                <w:rFonts w:ascii="Times New Roman" w:eastAsia="Times New Roman" w:hAnsi="Times New Roman" w:cs="Times New Roman"/>
                <w:lang w:eastAsia="lv-LV"/>
              </w:rPr>
              <w:t>Ministru kabineta noteiktajā kārtībā</w:t>
            </w:r>
            <w:r w:rsidR="005E7623">
              <w:rPr>
                <w:rFonts w:ascii="Times New Roman" w:eastAsia="Times New Roman" w:hAnsi="Times New Roman" w:cs="Times New Roman"/>
                <w:lang w:eastAsia="lv-LV"/>
              </w:rPr>
              <w:t xml:space="preserve"> </w:t>
            </w:r>
            <w:r w:rsidRPr="001A61EB">
              <w:rPr>
                <w:rFonts w:ascii="Times New Roman" w:eastAsia="Times New Roman" w:hAnsi="Times New Roman" w:cs="Times New Roman"/>
                <w:lang w:eastAsia="lv-LV"/>
              </w:rPr>
              <w:t>var atļaut šā panta otrās daļas 1. un 3. punktā minētā Latvijas pilsoņa pieņemšanu militārajā dienestā, pastāvot konkrētiem priekšnosacījumiem. Šī norma ir izstrādāta pēc analoģijas ar</w:t>
            </w:r>
            <w:r w:rsidR="00E91EA9">
              <w:rPr>
                <w:rFonts w:ascii="Times New Roman" w:eastAsia="Times New Roman" w:hAnsi="Times New Roman" w:cs="Times New Roman"/>
                <w:lang w:eastAsia="lv-LV"/>
              </w:rPr>
              <w:t xml:space="preserve"> spēkā esošo </w:t>
            </w:r>
            <w:r w:rsidRPr="001A61EB">
              <w:rPr>
                <w:rFonts w:ascii="Times New Roman" w:eastAsia="Times New Roman" w:hAnsi="Times New Roman" w:cs="Times New Roman"/>
                <w:lang w:eastAsia="lv-LV"/>
              </w:rPr>
              <w:t xml:space="preserve">Militārā dienesta likuma 16. panta </w:t>
            </w:r>
            <w:r w:rsidR="00226155">
              <w:rPr>
                <w:rFonts w:ascii="Times New Roman" w:eastAsia="Times New Roman" w:hAnsi="Times New Roman" w:cs="Times New Roman"/>
                <w:lang w:eastAsia="lv-LV"/>
              </w:rPr>
              <w:t xml:space="preserve">2.ˡdaļu, saskaņā ar kuru </w:t>
            </w:r>
            <w:r w:rsidR="00226155">
              <w:t xml:space="preserve"> </w:t>
            </w:r>
            <w:r w:rsidR="00226155" w:rsidRPr="00226155">
              <w:rPr>
                <w:rFonts w:ascii="Times New Roman" w:eastAsia="Times New Roman" w:hAnsi="Times New Roman" w:cs="Times New Roman"/>
                <w:lang w:eastAsia="lv-LV"/>
              </w:rPr>
              <w:t xml:space="preserve">Aizsardzības ministra izveidota komisija </w:t>
            </w:r>
            <w:r w:rsidR="00226155" w:rsidRPr="006A48C6">
              <w:rPr>
                <w:rFonts w:ascii="Times New Roman" w:eastAsia="Times New Roman" w:hAnsi="Times New Roman" w:cs="Times New Roman"/>
                <w:lang w:eastAsia="lv-LV"/>
              </w:rPr>
              <w:t xml:space="preserve">Ministru kabineta </w:t>
            </w:r>
            <w:r w:rsidR="00226155" w:rsidRPr="006A48C6">
              <w:rPr>
                <w:rFonts w:ascii="Times New Roman" w:eastAsia="Times New Roman" w:hAnsi="Times New Roman" w:cs="Times New Roman"/>
                <w:lang w:eastAsia="lv-LV"/>
              </w:rPr>
              <w:lastRenderedPageBreak/>
              <w:t>noteiktajā kārtībā</w:t>
            </w:r>
            <w:r w:rsidR="00226155" w:rsidRPr="00226155">
              <w:rPr>
                <w:rFonts w:ascii="Times New Roman" w:eastAsia="Times New Roman" w:hAnsi="Times New Roman" w:cs="Times New Roman"/>
                <w:lang w:eastAsia="lv-LV"/>
              </w:rPr>
              <w:t xml:space="preserve"> var atļaut Latvijas pilsoņa, kas ir atvaļināts no militārā vai cita valsts dienesta par disciplīnas pārkāpumiem, pieņemšanu militārajā dienestā, bet ne agrāk kā piecus gadus pēc atvaļināšanas dienas.</w:t>
            </w:r>
            <w:r w:rsidR="00226155">
              <w:rPr>
                <w:rFonts w:ascii="Times New Roman" w:eastAsia="Times New Roman" w:hAnsi="Times New Roman" w:cs="Times New Roman"/>
                <w:lang w:eastAsia="lv-LV"/>
              </w:rPr>
              <w:t xml:space="preserve"> Uz </w:t>
            </w:r>
            <w:r w:rsidR="00E91EA9">
              <w:rPr>
                <w:rFonts w:ascii="Times New Roman" w:eastAsia="Times New Roman" w:hAnsi="Times New Roman" w:cs="Times New Roman"/>
                <w:lang w:eastAsia="lv-LV"/>
              </w:rPr>
              <w:t xml:space="preserve">šī </w:t>
            </w:r>
            <w:r w:rsidR="00226155">
              <w:rPr>
                <w:rFonts w:ascii="Times New Roman" w:eastAsia="Times New Roman" w:hAnsi="Times New Roman" w:cs="Times New Roman"/>
                <w:lang w:eastAsia="lv-LV"/>
              </w:rPr>
              <w:t xml:space="preserve">16.panta </w:t>
            </w:r>
            <w:r w:rsidR="00226155" w:rsidRPr="00226155">
              <w:rPr>
                <w:rFonts w:ascii="Times New Roman" w:eastAsia="Times New Roman" w:hAnsi="Times New Roman" w:cs="Times New Roman"/>
                <w:lang w:eastAsia="lv-LV"/>
              </w:rPr>
              <w:t>2.ˡdaļ</w:t>
            </w:r>
            <w:r w:rsidR="00226155">
              <w:rPr>
                <w:rFonts w:ascii="Times New Roman" w:eastAsia="Times New Roman" w:hAnsi="Times New Roman" w:cs="Times New Roman"/>
                <w:lang w:eastAsia="lv-LV"/>
              </w:rPr>
              <w:t>as</w:t>
            </w:r>
            <w:r w:rsidR="00226155" w:rsidRPr="00226155">
              <w:rPr>
                <w:rFonts w:ascii="Times New Roman" w:eastAsia="Times New Roman" w:hAnsi="Times New Roman" w:cs="Times New Roman"/>
                <w:lang w:eastAsia="lv-LV"/>
              </w:rPr>
              <w:t xml:space="preserve"> </w:t>
            </w:r>
            <w:r w:rsidR="00226155">
              <w:rPr>
                <w:rFonts w:ascii="Times New Roman" w:eastAsia="Times New Roman" w:hAnsi="Times New Roman" w:cs="Times New Roman"/>
                <w:lang w:eastAsia="lv-LV"/>
              </w:rPr>
              <w:t xml:space="preserve">deleģējuma pamata </w:t>
            </w:r>
            <w:r w:rsidR="00E91EA9">
              <w:rPr>
                <w:rFonts w:ascii="Times New Roman" w:eastAsia="Times New Roman" w:hAnsi="Times New Roman" w:cs="Times New Roman"/>
                <w:lang w:eastAsia="lv-LV"/>
              </w:rPr>
              <w:t>ir</w:t>
            </w:r>
            <w:r w:rsidR="00226155">
              <w:rPr>
                <w:rFonts w:ascii="Times New Roman" w:eastAsia="Times New Roman" w:hAnsi="Times New Roman" w:cs="Times New Roman"/>
                <w:lang w:eastAsia="lv-LV"/>
              </w:rPr>
              <w:t xml:space="preserve"> izdoti Ministru kabineta 2018. gada 18. decembra noteikumi </w:t>
            </w:r>
            <w:r w:rsidR="0029141F">
              <w:rPr>
                <w:rFonts w:ascii="Times New Roman" w:eastAsia="Times New Roman" w:hAnsi="Times New Roman" w:cs="Times New Roman"/>
                <w:lang w:eastAsia="lv-LV"/>
              </w:rPr>
              <w:t xml:space="preserve">Nr.820 </w:t>
            </w:r>
            <w:r w:rsidR="00226155">
              <w:rPr>
                <w:rFonts w:ascii="Times New Roman" w:eastAsia="Times New Roman" w:hAnsi="Times New Roman" w:cs="Times New Roman"/>
                <w:lang w:eastAsia="lv-LV"/>
              </w:rPr>
              <w:t>“</w:t>
            </w:r>
            <w:r w:rsidR="00226155" w:rsidRPr="00226155">
              <w:rPr>
                <w:rFonts w:ascii="Times New Roman" w:eastAsia="Times New Roman" w:hAnsi="Times New Roman" w:cs="Times New Roman"/>
                <w:lang w:eastAsia="lv-LV"/>
              </w:rPr>
              <w:t>Kārtība, kādā atļauj pieņemt militārajā dienestā Latvijas pilsoni, kas atvaļināts no militārā vai cita valsts dienesta par disciplīnas pārkāpumiem</w:t>
            </w:r>
            <w:r w:rsidR="00226155">
              <w:rPr>
                <w:rFonts w:ascii="Times New Roman" w:eastAsia="Times New Roman" w:hAnsi="Times New Roman" w:cs="Times New Roman"/>
                <w:lang w:eastAsia="lv-LV"/>
              </w:rPr>
              <w:t>.”</w:t>
            </w:r>
          </w:p>
          <w:p w:rsidR="002B15FE" w:rsidRDefault="001A61EB" w:rsidP="006432E0">
            <w:pPr>
              <w:spacing w:before="75" w:after="75" w:line="240" w:lineRule="auto"/>
              <w:jc w:val="both"/>
              <w:rPr>
                <w:rFonts w:ascii="Times New Roman" w:eastAsia="Times New Roman" w:hAnsi="Times New Roman" w:cs="Times New Roman"/>
                <w:lang w:eastAsia="lv-LV"/>
              </w:rPr>
            </w:pPr>
            <w:r w:rsidRPr="001A61EB">
              <w:rPr>
                <w:rFonts w:ascii="Times New Roman" w:eastAsia="Times New Roman" w:hAnsi="Times New Roman" w:cs="Times New Roman"/>
                <w:lang w:eastAsia="lv-LV"/>
              </w:rPr>
              <w:t>Militārā dienesta likums satur virkni</w:t>
            </w:r>
            <w:r w:rsidR="00226155">
              <w:rPr>
                <w:rFonts w:ascii="Times New Roman" w:eastAsia="Times New Roman" w:hAnsi="Times New Roman" w:cs="Times New Roman"/>
                <w:lang w:eastAsia="lv-LV"/>
              </w:rPr>
              <w:t xml:space="preserve"> citu pantu, kas </w:t>
            </w:r>
            <w:r w:rsidR="00E91EA9">
              <w:rPr>
                <w:rFonts w:ascii="Times New Roman" w:eastAsia="Times New Roman" w:hAnsi="Times New Roman" w:cs="Times New Roman"/>
                <w:lang w:eastAsia="lv-LV"/>
              </w:rPr>
              <w:t>paredz</w:t>
            </w:r>
            <w:r w:rsidR="00226155">
              <w:rPr>
                <w:rFonts w:ascii="Times New Roman" w:eastAsia="Times New Roman" w:hAnsi="Times New Roman" w:cs="Times New Roman"/>
                <w:lang w:eastAsia="lv-LV"/>
              </w:rPr>
              <w:t xml:space="preserve"> identiski </w:t>
            </w:r>
            <w:r w:rsidR="001368CB">
              <w:rPr>
                <w:rFonts w:ascii="Times New Roman" w:eastAsia="Times New Roman" w:hAnsi="Times New Roman" w:cs="Times New Roman"/>
                <w:lang w:eastAsia="lv-LV"/>
              </w:rPr>
              <w:t>formulētus</w:t>
            </w:r>
            <w:r w:rsidR="00226155">
              <w:rPr>
                <w:rFonts w:ascii="Times New Roman" w:eastAsia="Times New Roman" w:hAnsi="Times New Roman" w:cs="Times New Roman"/>
                <w:lang w:eastAsia="lv-LV"/>
              </w:rPr>
              <w:t xml:space="preserve"> deleģējumus Ministru kabinetam </w:t>
            </w:r>
            <w:proofErr w:type="gramStart"/>
            <w:r w:rsidR="00226155">
              <w:rPr>
                <w:rFonts w:ascii="Times New Roman" w:eastAsia="Times New Roman" w:hAnsi="Times New Roman" w:cs="Times New Roman"/>
                <w:lang w:eastAsia="lv-LV"/>
              </w:rPr>
              <w:t>(</w:t>
            </w:r>
            <w:proofErr w:type="gramEnd"/>
            <w:r w:rsidR="00226155">
              <w:rPr>
                <w:rFonts w:ascii="Times New Roman" w:eastAsia="Times New Roman" w:hAnsi="Times New Roman" w:cs="Times New Roman"/>
                <w:lang w:eastAsia="lv-LV"/>
              </w:rPr>
              <w:t>sk.</w:t>
            </w:r>
            <w:r w:rsidR="00FC5ED9">
              <w:rPr>
                <w:rFonts w:ascii="Times New Roman" w:eastAsia="Times New Roman" w:hAnsi="Times New Roman" w:cs="Times New Roman"/>
                <w:lang w:eastAsia="lv-LV"/>
              </w:rPr>
              <w:t xml:space="preserve"> </w:t>
            </w:r>
            <w:r w:rsidR="00226155">
              <w:rPr>
                <w:rFonts w:ascii="Times New Roman" w:eastAsia="Times New Roman" w:hAnsi="Times New Roman" w:cs="Times New Roman"/>
                <w:lang w:eastAsia="lv-LV"/>
              </w:rPr>
              <w:t xml:space="preserve">piemēram, </w:t>
            </w:r>
            <w:r w:rsidR="00FC5ED9">
              <w:rPr>
                <w:rFonts w:ascii="Times New Roman" w:eastAsia="Times New Roman" w:hAnsi="Times New Roman" w:cs="Times New Roman"/>
                <w:lang w:eastAsia="lv-LV"/>
              </w:rPr>
              <w:t xml:space="preserve">Militārā dienesta likuma </w:t>
            </w:r>
            <w:r w:rsidR="00226155">
              <w:rPr>
                <w:rFonts w:ascii="Times New Roman" w:eastAsia="Times New Roman" w:hAnsi="Times New Roman" w:cs="Times New Roman"/>
                <w:lang w:eastAsia="lv-LV"/>
              </w:rPr>
              <w:t>11.</w:t>
            </w:r>
            <w:r w:rsidR="00FC5ED9">
              <w:rPr>
                <w:rFonts w:ascii="Times New Roman" w:eastAsia="Times New Roman" w:hAnsi="Times New Roman" w:cs="Times New Roman"/>
                <w:lang w:eastAsia="lv-LV"/>
              </w:rPr>
              <w:t xml:space="preserve"> </w:t>
            </w:r>
            <w:r w:rsidR="00226155">
              <w:rPr>
                <w:rFonts w:ascii="Times New Roman" w:eastAsia="Times New Roman" w:hAnsi="Times New Roman" w:cs="Times New Roman"/>
                <w:lang w:eastAsia="lv-LV"/>
              </w:rPr>
              <w:t>panta otrās daļas, 17.ˡ</w:t>
            </w:r>
            <w:r w:rsidR="00FC5ED9">
              <w:rPr>
                <w:rFonts w:ascii="Times New Roman" w:eastAsia="Times New Roman" w:hAnsi="Times New Roman" w:cs="Times New Roman"/>
                <w:lang w:eastAsia="lv-LV"/>
              </w:rPr>
              <w:t xml:space="preserve"> </w:t>
            </w:r>
            <w:r w:rsidR="00226155">
              <w:rPr>
                <w:rFonts w:ascii="Times New Roman" w:eastAsia="Times New Roman" w:hAnsi="Times New Roman" w:cs="Times New Roman"/>
                <w:lang w:eastAsia="lv-LV"/>
              </w:rPr>
              <w:t>panta otrās daļas, 18.</w:t>
            </w:r>
            <w:r w:rsidR="00FC5ED9">
              <w:rPr>
                <w:rFonts w:ascii="Times New Roman" w:eastAsia="Times New Roman" w:hAnsi="Times New Roman" w:cs="Times New Roman"/>
                <w:lang w:eastAsia="lv-LV"/>
              </w:rPr>
              <w:t xml:space="preserve"> </w:t>
            </w:r>
            <w:r w:rsidR="00226155">
              <w:rPr>
                <w:rFonts w:ascii="Times New Roman" w:eastAsia="Times New Roman" w:hAnsi="Times New Roman" w:cs="Times New Roman"/>
                <w:lang w:eastAsia="lv-LV"/>
              </w:rPr>
              <w:t>panta piektās daļas</w:t>
            </w:r>
            <w:r w:rsidR="00FC5ED9">
              <w:rPr>
                <w:rFonts w:ascii="Times New Roman" w:eastAsia="Times New Roman" w:hAnsi="Times New Roman" w:cs="Times New Roman"/>
                <w:lang w:eastAsia="lv-LV"/>
              </w:rPr>
              <w:t>,</w:t>
            </w:r>
            <w:r w:rsidR="00226155">
              <w:rPr>
                <w:rFonts w:ascii="Times New Roman" w:eastAsia="Times New Roman" w:hAnsi="Times New Roman" w:cs="Times New Roman"/>
                <w:lang w:eastAsia="lv-LV"/>
              </w:rPr>
              <w:t xml:space="preserve"> 51.</w:t>
            </w:r>
            <w:r w:rsidR="00FC5ED9">
              <w:rPr>
                <w:rFonts w:ascii="Times New Roman" w:eastAsia="Times New Roman" w:hAnsi="Times New Roman" w:cs="Times New Roman"/>
                <w:lang w:eastAsia="lv-LV"/>
              </w:rPr>
              <w:t xml:space="preserve"> </w:t>
            </w:r>
            <w:r w:rsidR="00226155">
              <w:rPr>
                <w:rFonts w:ascii="Times New Roman" w:eastAsia="Times New Roman" w:hAnsi="Times New Roman" w:cs="Times New Roman"/>
                <w:lang w:eastAsia="lv-LV"/>
              </w:rPr>
              <w:t>panta trešās daļas</w:t>
            </w:r>
            <w:r w:rsidR="00FC5ED9">
              <w:rPr>
                <w:rFonts w:ascii="Times New Roman" w:eastAsia="Times New Roman" w:hAnsi="Times New Roman" w:cs="Times New Roman"/>
                <w:lang w:eastAsia="lv-LV"/>
              </w:rPr>
              <w:t>, 59. panta otrās un trešās daļas, 64. panta pirmās daļas</w:t>
            </w:r>
            <w:r w:rsidR="00226155">
              <w:rPr>
                <w:rFonts w:ascii="Times New Roman" w:eastAsia="Times New Roman" w:hAnsi="Times New Roman" w:cs="Times New Roman"/>
                <w:lang w:eastAsia="lv-LV"/>
              </w:rPr>
              <w:t xml:space="preserve"> deleģ</w:t>
            </w:r>
            <w:r w:rsidR="00FC5ED9">
              <w:rPr>
                <w:rFonts w:ascii="Times New Roman" w:eastAsia="Times New Roman" w:hAnsi="Times New Roman" w:cs="Times New Roman"/>
                <w:lang w:eastAsia="lv-LV"/>
              </w:rPr>
              <w:t>ējumus un uz to pamata izdotos Ministru kabineta noteikumus</w:t>
            </w:r>
            <w:r w:rsidR="001368CB">
              <w:rPr>
                <w:rFonts w:ascii="Times New Roman" w:eastAsia="Times New Roman" w:hAnsi="Times New Roman" w:cs="Times New Roman"/>
                <w:lang w:eastAsia="lv-LV"/>
              </w:rPr>
              <w:t>)</w:t>
            </w:r>
            <w:r w:rsidR="00FC5ED9">
              <w:rPr>
                <w:rFonts w:ascii="Times New Roman" w:eastAsia="Times New Roman" w:hAnsi="Times New Roman" w:cs="Times New Roman"/>
                <w:lang w:eastAsia="lv-LV"/>
              </w:rPr>
              <w:t xml:space="preserve">, kuru saistošais spēks </w:t>
            </w:r>
            <w:r w:rsidR="00076FB0">
              <w:rPr>
                <w:rFonts w:ascii="Times New Roman" w:eastAsia="Times New Roman" w:hAnsi="Times New Roman" w:cs="Times New Roman"/>
                <w:lang w:eastAsia="lv-LV"/>
              </w:rPr>
              <w:t>nav</w:t>
            </w:r>
            <w:r w:rsidR="00FC5ED9">
              <w:rPr>
                <w:rFonts w:ascii="Times New Roman" w:eastAsia="Times New Roman" w:hAnsi="Times New Roman" w:cs="Times New Roman"/>
                <w:lang w:eastAsia="lv-LV"/>
              </w:rPr>
              <w:t xml:space="preserve"> apšaubīts.</w:t>
            </w:r>
            <w:r w:rsidR="00226155">
              <w:rPr>
                <w:rFonts w:ascii="Times New Roman" w:eastAsia="Times New Roman" w:hAnsi="Times New Roman" w:cs="Times New Roman"/>
                <w:lang w:eastAsia="lv-LV"/>
              </w:rPr>
              <w:t xml:space="preserve"> </w:t>
            </w:r>
          </w:p>
          <w:p w:rsidR="006432E0" w:rsidRDefault="00E91EA9" w:rsidP="009B4988">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Tomēr, </w:t>
            </w:r>
            <w:r w:rsidR="006A48C6">
              <w:rPr>
                <w:rFonts w:ascii="Times New Roman" w:eastAsia="Times New Roman" w:hAnsi="Times New Roman" w:cs="Times New Roman"/>
                <w:lang w:eastAsia="lv-LV"/>
              </w:rPr>
              <w:t xml:space="preserve">ievērojot Tieslietu ministrijas iebildumu, </w:t>
            </w:r>
            <w:r w:rsidR="006432E0">
              <w:rPr>
                <w:rFonts w:ascii="Times New Roman" w:eastAsia="Times New Roman" w:hAnsi="Times New Roman" w:cs="Times New Roman"/>
                <w:lang w:eastAsia="lv-LV"/>
              </w:rPr>
              <w:t xml:space="preserve">Aizsardzības ministrija </w:t>
            </w:r>
            <w:r w:rsidR="006A48C6">
              <w:rPr>
                <w:rFonts w:ascii="Times New Roman" w:eastAsia="Times New Roman" w:hAnsi="Times New Roman" w:cs="Times New Roman"/>
                <w:lang w:eastAsia="lv-LV"/>
              </w:rPr>
              <w:t xml:space="preserve">sadarbībā ar Saeimas Juridisko biroju nodrošināja likumu deleģējumu precizēšanu (sk. Saeimas Juridiskā </w:t>
            </w:r>
            <w:r w:rsidR="006A48C6" w:rsidRPr="006A48C6">
              <w:rPr>
                <w:rFonts w:ascii="Times New Roman" w:eastAsia="Times New Roman" w:hAnsi="Times New Roman" w:cs="Times New Roman"/>
                <w:lang w:eastAsia="lv-LV"/>
              </w:rPr>
              <w:t>biroja 17.12.</w:t>
            </w:r>
            <w:r w:rsidR="006A48C6" w:rsidRPr="00055D30">
              <w:rPr>
                <w:rFonts w:ascii="Times New Roman" w:eastAsia="Times New Roman" w:hAnsi="Times New Roman" w:cs="Times New Roman"/>
                <w:lang w:eastAsia="lv-LV"/>
              </w:rPr>
              <w:t>2020. vēstuli Nr.</w:t>
            </w:r>
            <w:r w:rsidR="006A48C6" w:rsidRPr="00055D30">
              <w:rPr>
                <w:rFonts w:ascii="Times New Roman" w:hAnsi="Times New Roman" w:cs="Times New Roman"/>
                <w:szCs w:val="24"/>
              </w:rPr>
              <w:t xml:space="preserve"> </w:t>
            </w:r>
            <w:r w:rsidR="006A48C6" w:rsidRPr="00055D30">
              <w:rPr>
                <w:rFonts w:ascii="Times New Roman" w:hAnsi="Times New Roman" w:cs="Times New Roman"/>
                <w:szCs w:val="24"/>
              </w:rPr>
              <w:lastRenderedPageBreak/>
              <w:t>111.13/1-207-13/20</w:t>
            </w:r>
            <w:r w:rsidR="006A48C6" w:rsidRPr="00055D30">
              <w:rPr>
                <w:rFonts w:ascii="Times New Roman" w:eastAsia="Times New Roman" w:hAnsi="Times New Roman" w:cs="Times New Roman"/>
                <w:lang w:eastAsia="lv-LV"/>
              </w:rPr>
              <w:t xml:space="preserve"> un</w:t>
            </w:r>
            <w:proofErr w:type="gramStart"/>
            <w:r w:rsidR="006A48C6" w:rsidRPr="00055D30">
              <w:rPr>
                <w:rFonts w:ascii="Times New Roman" w:eastAsia="Times New Roman" w:hAnsi="Times New Roman" w:cs="Times New Roman"/>
                <w:lang w:eastAsia="lv-LV"/>
              </w:rPr>
              <w:t xml:space="preserve"> </w:t>
            </w:r>
            <w:r w:rsidR="00055D30" w:rsidRPr="00055D30">
              <w:rPr>
                <w:rFonts w:ascii="Times New Roman" w:hAnsi="Times New Roman" w:cs="Times New Roman"/>
              </w:rPr>
              <w:t xml:space="preserve"> </w:t>
            </w:r>
            <w:proofErr w:type="gramEnd"/>
            <w:r w:rsidR="00055D30" w:rsidRPr="00055D30">
              <w:rPr>
                <w:rFonts w:ascii="Times New Roman" w:hAnsi="Times New Roman" w:cs="Times New Roman"/>
              </w:rPr>
              <w:t>111.13/1-208-13/20).</w:t>
            </w:r>
            <w:r w:rsidR="00055D30">
              <w:rPr>
                <w:rFonts w:ascii="Times New Roman" w:eastAsia="Times New Roman" w:hAnsi="Times New Roman" w:cs="Times New Roman"/>
                <w:lang w:eastAsia="lv-LV"/>
              </w:rPr>
              <w:t xml:space="preserve"> </w:t>
            </w:r>
            <w:r w:rsidR="006A48C6">
              <w:rPr>
                <w:rFonts w:ascii="Times New Roman" w:eastAsia="Times New Roman" w:hAnsi="Times New Roman" w:cs="Times New Roman"/>
                <w:lang w:eastAsia="lv-LV"/>
              </w:rPr>
              <w:t xml:space="preserve"> </w:t>
            </w:r>
          </w:p>
          <w:p w:rsidR="00585088" w:rsidRDefault="00585088" w:rsidP="009B4988">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Precizētā deleģējuma redakcija Militārā dienesta likumā, un pēc analoģijas arī Latvijas Republikas Zemessardzes likumā būs šāda:</w:t>
            </w:r>
          </w:p>
          <w:p w:rsidR="00585088" w:rsidRPr="00585088" w:rsidRDefault="00076FB0" w:rsidP="00585088">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Papildināt 16. pantu ar</w:t>
            </w:r>
            <w:r w:rsidR="00585088" w:rsidRPr="00585088">
              <w:rPr>
                <w:rFonts w:ascii="Times New Roman" w:eastAsia="Times New Roman" w:hAnsi="Times New Roman" w:cs="Times New Roman"/>
                <w:lang w:eastAsia="lv-LV"/>
              </w:rPr>
              <w:t xml:space="preserve"> 2.</w:t>
            </w:r>
            <w:r w:rsidR="00585088">
              <w:rPr>
                <w:rFonts w:ascii="Times New Roman" w:eastAsia="Times New Roman" w:hAnsi="Times New Roman" w:cs="Times New Roman"/>
                <w:lang w:eastAsia="lv-LV"/>
              </w:rPr>
              <w:t>²</w:t>
            </w:r>
            <w:r w:rsidR="00585088" w:rsidRPr="0058508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un 2.³ </w:t>
            </w:r>
            <w:r w:rsidR="00585088" w:rsidRPr="00585088">
              <w:rPr>
                <w:rFonts w:ascii="Times New Roman" w:eastAsia="Times New Roman" w:hAnsi="Times New Roman" w:cs="Times New Roman"/>
                <w:lang w:eastAsia="lv-LV"/>
              </w:rPr>
              <w:t xml:space="preserve">daļu šādā redakcijā: </w:t>
            </w:r>
          </w:p>
          <w:p w:rsidR="00076FB0" w:rsidRDefault="00585088" w:rsidP="00076FB0">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“(2²</w:t>
            </w:r>
            <w:r w:rsidRPr="00585088">
              <w:rPr>
                <w:rFonts w:ascii="Times New Roman" w:eastAsia="Times New Roman" w:hAnsi="Times New Roman" w:cs="Times New Roman"/>
                <w:lang w:eastAsia="lv-LV"/>
              </w:rPr>
              <w:t xml:space="preserve">) </w:t>
            </w:r>
            <w:r w:rsidR="00076FB0" w:rsidRPr="00076FB0">
              <w:rPr>
                <w:rFonts w:ascii="Times New Roman" w:eastAsia="Times New Roman" w:hAnsi="Times New Roman" w:cs="Times New Roman"/>
                <w:lang w:eastAsia="lv-LV"/>
              </w:rPr>
              <w:t xml:space="preserve">Aizsardzības ministra izveidota komisija var atļaut šā panta otrās daļas 1. vai 3. punktā minētā Latvijas pilsoņa pieņemšanu militārajā dienestā, </w:t>
            </w:r>
            <w:proofErr w:type="gramStart"/>
            <w:r w:rsidR="00076FB0" w:rsidRPr="00076FB0">
              <w:rPr>
                <w:rFonts w:ascii="Times New Roman" w:eastAsia="Times New Roman" w:hAnsi="Times New Roman" w:cs="Times New Roman"/>
                <w:lang w:eastAsia="lv-LV"/>
              </w:rPr>
              <w:t>ja viņš nav izdarījis tīšu smagu vai sevišķi smagu noziegumu un sodāmība ir dzēsta vai noņemta</w:t>
            </w:r>
            <w:proofErr w:type="gramEnd"/>
            <w:r w:rsidR="00076FB0" w:rsidRPr="00076FB0">
              <w:rPr>
                <w:rFonts w:ascii="Times New Roman" w:eastAsia="Times New Roman" w:hAnsi="Times New Roman" w:cs="Times New Roman"/>
                <w:lang w:eastAsia="lv-LV"/>
              </w:rPr>
              <w:t xml:space="preserve"> vai pēc nolēmuma par kriminālprocesa izbeigšanu uz nereabilitējoša pamata ir pagājuši ne mazāk kā pieci gadi.</w:t>
            </w:r>
          </w:p>
          <w:p w:rsidR="00585088" w:rsidRPr="000175D4" w:rsidRDefault="00076FB0" w:rsidP="00076FB0">
            <w:pPr>
              <w:spacing w:before="75" w:after="75" w:line="240" w:lineRule="auto"/>
              <w:jc w:val="both"/>
              <w:rPr>
                <w:rFonts w:ascii="Times New Roman" w:eastAsia="Times New Roman" w:hAnsi="Times New Roman" w:cs="Times New Roman"/>
                <w:lang w:eastAsia="lv-LV"/>
              </w:rPr>
            </w:pPr>
            <w:r>
              <w:rPr>
                <w:rFonts w:ascii="Korinna LRS" w:hAnsi="Korinna LRS"/>
              </w:rPr>
              <w:t>“(2</w:t>
            </w:r>
            <w:r>
              <w:rPr>
                <w:rFonts w:ascii="Korinna LRS" w:hAnsi="Korinna LRS"/>
                <w:vertAlign w:val="superscript"/>
              </w:rPr>
              <w:t>3</w:t>
            </w:r>
            <w:r>
              <w:rPr>
                <w:rFonts w:ascii="Korinna LRS" w:hAnsi="Korinna LRS"/>
              </w:rPr>
              <w:t>) Ministru kabinets nosaka kārtību, kādā aizsardzības ministra izveidotā komisija izvērtē šā panta 2.</w:t>
            </w:r>
            <w:r>
              <w:rPr>
                <w:rFonts w:ascii="Korinna LRS" w:hAnsi="Korinna LRS"/>
                <w:vertAlign w:val="superscript"/>
              </w:rPr>
              <w:t>2 </w:t>
            </w:r>
            <w:r>
              <w:rPr>
                <w:rFonts w:ascii="Korinna LRS" w:hAnsi="Korinna LRS"/>
              </w:rPr>
              <w:t>daļā minētās atļaujas sniegšanu</w:t>
            </w:r>
            <w:r w:rsidR="00585088" w:rsidRPr="00585088">
              <w:rPr>
                <w:rFonts w:ascii="Times New Roman" w:eastAsia="Times New Roman" w:hAnsi="Times New Roman" w:cs="Times New Roman"/>
                <w:lang w:eastAsia="lv-LV"/>
              </w:rPr>
              <w:t>.</w:t>
            </w:r>
            <w:r w:rsidR="00585088">
              <w:rPr>
                <w:rFonts w:ascii="Times New Roman" w:eastAsia="Times New Roman" w:hAnsi="Times New Roman" w:cs="Times New Roman"/>
                <w:lang w:eastAsia="lv-LV"/>
              </w:rPr>
              <w:t>”</w:t>
            </w:r>
          </w:p>
        </w:tc>
        <w:tc>
          <w:tcPr>
            <w:tcW w:w="3402" w:type="dxa"/>
            <w:tcBorders>
              <w:top w:val="single" w:sz="4" w:space="0" w:color="auto"/>
              <w:left w:val="single" w:sz="4" w:space="0" w:color="auto"/>
              <w:bottom w:val="single" w:sz="4" w:space="0" w:color="auto"/>
            </w:tcBorders>
          </w:tcPr>
          <w:p w:rsidR="002B15FE" w:rsidRPr="000175D4" w:rsidRDefault="0002428B" w:rsidP="00D60306">
            <w:pPr>
              <w:spacing w:after="0" w:line="240" w:lineRule="auto"/>
              <w:jc w:val="both"/>
              <w:rPr>
                <w:rFonts w:ascii="Times New Roman" w:eastAsia="Times New Roman" w:hAnsi="Times New Roman" w:cs="Times New Roman"/>
                <w:lang w:eastAsia="lv-LV"/>
              </w:rPr>
            </w:pPr>
            <w:r w:rsidRPr="0002428B">
              <w:rPr>
                <w:rFonts w:ascii="Times New Roman" w:eastAsia="Times New Roman" w:hAnsi="Times New Roman" w:cs="Times New Roman"/>
                <w:lang w:eastAsia="lv-LV"/>
              </w:rPr>
              <w:lastRenderedPageBreak/>
              <w:t>MK noteikumu izdošanas pamatojums.</w:t>
            </w:r>
          </w:p>
        </w:tc>
      </w:tr>
      <w:tr w:rsidR="002B15FE"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2B15FE" w:rsidRPr="000175D4"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2B15FE" w:rsidRPr="000175D4" w:rsidRDefault="00B60B20" w:rsidP="00B60B20">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MK noteikumu projekta virzība.</w:t>
            </w:r>
          </w:p>
        </w:tc>
        <w:tc>
          <w:tcPr>
            <w:tcW w:w="4678" w:type="dxa"/>
            <w:tcBorders>
              <w:top w:val="single" w:sz="6" w:space="0" w:color="000000"/>
              <w:left w:val="single" w:sz="6" w:space="0" w:color="000000"/>
              <w:bottom w:val="single" w:sz="6" w:space="0" w:color="000000"/>
              <w:right w:val="single" w:sz="6" w:space="0" w:color="000000"/>
            </w:tcBorders>
          </w:tcPr>
          <w:p w:rsidR="00360D26" w:rsidRPr="000175D4" w:rsidRDefault="00B60B20" w:rsidP="00685000">
            <w:pPr>
              <w:spacing w:after="0" w:line="240" w:lineRule="auto"/>
              <w:contextualSpacing/>
              <w:jc w:val="both"/>
              <w:rPr>
                <w:rFonts w:ascii="Times New Roman" w:eastAsia="Calibri" w:hAnsi="Times New Roman" w:cs="Times New Roman"/>
              </w:rPr>
            </w:pPr>
            <w:r w:rsidRPr="00B60B20">
              <w:rPr>
                <w:rFonts w:ascii="Times New Roman" w:eastAsia="Calibri" w:hAnsi="Times New Roman" w:cs="Times New Roman"/>
              </w:rPr>
              <w:t xml:space="preserve">2. Valsts iestāžu juridisko dienestu vadītāju 2010. gada 12. marta sanāksmes protokola Nr. 2 1. § "Par grozījumiem Ministru kabineta 2009. gada 7. aprīļa noteikumos Nr. 300 "Ministru kabineta kārtības rullis" (Ministru kabineta 2010. gada 23. februāra noteikumi Nr. 170)" 8. punktā noteiktais paredz, ka likumprojektā paredzētus noteikumu projektus izskata Valsts sekretāru sanāksmē, kad likumprojekts pieņemts 2. lasījumā, savukārt </w:t>
            </w:r>
            <w:r w:rsidRPr="00B60B20">
              <w:rPr>
                <w:rFonts w:ascii="Times New Roman" w:eastAsia="Calibri" w:hAnsi="Times New Roman" w:cs="Times New Roman"/>
              </w:rPr>
              <w:lastRenderedPageBreak/>
              <w:t>Ministru kabinetā šādus noteikumu projektus izskata, kad likumprojekts pieņemts 3. lasījumā. Likumprojekti "Grozījumi Militārā dienesta likumā" un "Grozījumi Latvijas Republikas Zemessardzes likumā", kuros saskaņā ar projekta sākotnējās ietekmes novērtējuma ziņojumā (turpmāk – anotācija) norādīto ir ietverts pilnvarojums Ministru kabinetam izdot noteikumus, pieņemti 1. lasījumā 2020. gada 9. jūlijā un 2. lasījumā vēl nav pieņemti. Ņemot vērā minēto, lūdzam nodrošināt projekta turpmāku virzību pēc minēto likumprojektu pieņemšanas Saeimā 3. lasījumā.</w:t>
            </w:r>
          </w:p>
        </w:tc>
        <w:tc>
          <w:tcPr>
            <w:tcW w:w="3260" w:type="dxa"/>
            <w:tcBorders>
              <w:top w:val="single" w:sz="6" w:space="0" w:color="000000"/>
              <w:left w:val="single" w:sz="6" w:space="0" w:color="000000"/>
              <w:bottom w:val="single" w:sz="6" w:space="0" w:color="000000"/>
              <w:right w:val="single" w:sz="6" w:space="0" w:color="000000"/>
            </w:tcBorders>
          </w:tcPr>
          <w:p w:rsidR="0029019C" w:rsidRPr="001368CB" w:rsidRDefault="00837473" w:rsidP="002E305E">
            <w:pPr>
              <w:spacing w:before="75" w:after="75" w:line="240" w:lineRule="auto"/>
              <w:rPr>
                <w:rFonts w:ascii="Times New Roman" w:eastAsia="Times New Roman" w:hAnsi="Times New Roman" w:cs="Times New Roman"/>
                <w:b/>
                <w:lang w:eastAsia="lv-LV"/>
              </w:rPr>
            </w:pPr>
            <w:r w:rsidRPr="001368CB">
              <w:rPr>
                <w:rFonts w:ascii="Times New Roman" w:eastAsia="Times New Roman" w:hAnsi="Times New Roman" w:cs="Times New Roman"/>
                <w:b/>
                <w:lang w:eastAsia="lv-LV"/>
              </w:rPr>
              <w:lastRenderedPageBreak/>
              <w:t>Ņemts vērā</w:t>
            </w:r>
            <w:r w:rsidR="00BA478C" w:rsidRPr="001368CB">
              <w:rPr>
                <w:rFonts w:ascii="Times New Roman" w:eastAsia="Times New Roman" w:hAnsi="Times New Roman" w:cs="Times New Roman"/>
                <w:b/>
                <w:lang w:eastAsia="lv-LV"/>
              </w:rPr>
              <w:t>.</w:t>
            </w:r>
          </w:p>
          <w:p w:rsidR="00D33506" w:rsidRPr="000175D4" w:rsidRDefault="0084028D" w:rsidP="0084028D">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w:t>
            </w:r>
            <w:r w:rsidR="00D33506">
              <w:rPr>
                <w:rFonts w:ascii="Times New Roman" w:eastAsia="Times New Roman" w:hAnsi="Times New Roman" w:cs="Times New Roman"/>
                <w:lang w:eastAsia="lv-LV"/>
              </w:rPr>
              <w:t>izdošanu deleģējoš</w:t>
            </w:r>
            <w:r>
              <w:rPr>
                <w:rFonts w:ascii="Times New Roman" w:eastAsia="Times New Roman" w:hAnsi="Times New Roman" w:cs="Times New Roman"/>
                <w:lang w:eastAsia="lv-LV"/>
              </w:rPr>
              <w:t>ie likumprojekti ir</w:t>
            </w:r>
            <w:r w:rsidR="00D33506">
              <w:rPr>
                <w:rFonts w:ascii="Times New Roman" w:eastAsia="Times New Roman" w:hAnsi="Times New Roman" w:cs="Times New Roman"/>
                <w:lang w:eastAsia="lv-LV"/>
              </w:rPr>
              <w:t xml:space="preserve"> pieņem</w:t>
            </w:r>
            <w:r>
              <w:rPr>
                <w:rFonts w:ascii="Times New Roman" w:eastAsia="Times New Roman" w:hAnsi="Times New Roman" w:cs="Times New Roman"/>
                <w:lang w:eastAsia="lv-LV"/>
              </w:rPr>
              <w:t>ti</w:t>
            </w:r>
            <w:r w:rsidR="00D33506">
              <w:rPr>
                <w:rFonts w:ascii="Times New Roman" w:eastAsia="Times New Roman" w:hAnsi="Times New Roman" w:cs="Times New Roman"/>
                <w:lang w:eastAsia="lv-LV"/>
              </w:rPr>
              <w:t xml:space="preserve"> 3.lasījumā</w:t>
            </w:r>
            <w:r>
              <w:rPr>
                <w:rFonts w:ascii="Times New Roman" w:eastAsia="Times New Roman" w:hAnsi="Times New Roman" w:cs="Times New Roman"/>
                <w:lang w:eastAsia="lv-LV"/>
              </w:rPr>
              <w:t xml:space="preserve"> </w:t>
            </w:r>
            <w:proofErr w:type="gramStart"/>
            <w:r>
              <w:rPr>
                <w:rFonts w:ascii="Times New Roman" w:eastAsia="Times New Roman" w:hAnsi="Times New Roman" w:cs="Times New Roman"/>
                <w:lang w:eastAsia="lv-LV"/>
              </w:rPr>
              <w:t>2021.gada</w:t>
            </w:r>
            <w:proofErr w:type="gramEnd"/>
            <w:r>
              <w:rPr>
                <w:rFonts w:ascii="Times New Roman" w:eastAsia="Times New Roman" w:hAnsi="Times New Roman" w:cs="Times New Roman"/>
                <w:lang w:eastAsia="lv-LV"/>
              </w:rPr>
              <w:t xml:space="preserve"> 11.februārī</w:t>
            </w:r>
            <w:r w:rsidR="00D33506">
              <w:rPr>
                <w:rFonts w:ascii="Times New Roman" w:eastAsia="Times New Roman" w:hAnsi="Times New Roman" w:cs="Times New Roman"/>
                <w:lang w:eastAsia="lv-LV"/>
              </w:rPr>
              <w:t>.</w:t>
            </w:r>
          </w:p>
        </w:tc>
        <w:tc>
          <w:tcPr>
            <w:tcW w:w="3402" w:type="dxa"/>
            <w:tcBorders>
              <w:top w:val="single" w:sz="4" w:space="0" w:color="auto"/>
              <w:left w:val="single" w:sz="4" w:space="0" w:color="auto"/>
              <w:bottom w:val="single" w:sz="4" w:space="0" w:color="auto"/>
            </w:tcBorders>
          </w:tcPr>
          <w:p w:rsidR="002B15FE" w:rsidRPr="000175D4" w:rsidRDefault="00B8244D" w:rsidP="00D93674">
            <w:pPr>
              <w:spacing w:after="0" w:line="240" w:lineRule="auto"/>
              <w:jc w:val="both"/>
              <w:rPr>
                <w:rFonts w:ascii="Times New Roman" w:eastAsia="Times New Roman" w:hAnsi="Times New Roman" w:cs="Times New Roman"/>
                <w:lang w:eastAsia="lv-LV"/>
              </w:rPr>
            </w:pPr>
            <w:r w:rsidRPr="00B8244D">
              <w:rPr>
                <w:rFonts w:ascii="Times New Roman" w:eastAsia="Times New Roman" w:hAnsi="Times New Roman" w:cs="Times New Roman"/>
                <w:lang w:eastAsia="lv-LV"/>
              </w:rPr>
              <w:t>MK noteikumu projekta virzība.</w:t>
            </w:r>
          </w:p>
        </w:tc>
      </w:tr>
      <w:tr w:rsidR="00B0376C"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B0376C" w:rsidRPr="000175D4" w:rsidRDefault="00B0376C"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E07CDB" w:rsidRDefault="00E07CDB" w:rsidP="00E07CDB">
            <w:pPr>
              <w:tabs>
                <w:tab w:val="left" w:pos="173"/>
              </w:tabs>
              <w:spacing w:after="0" w:line="240" w:lineRule="auto"/>
              <w:jc w:val="both"/>
              <w:rPr>
                <w:rFonts w:ascii="Times New Roman" w:eastAsia="Times New Roman" w:hAnsi="Times New Roman" w:cs="Times New Roman"/>
                <w:lang w:eastAsia="lv-LV"/>
              </w:rPr>
            </w:pPr>
            <w:r w:rsidRPr="00E07CDB">
              <w:rPr>
                <w:rFonts w:ascii="Times New Roman" w:eastAsia="Times New Roman" w:hAnsi="Times New Roman" w:cs="Times New Roman"/>
                <w:lang w:eastAsia="lv-LV"/>
              </w:rPr>
              <w:t>1.</w:t>
            </w:r>
            <w:r w:rsidRPr="00E07CDB">
              <w:rPr>
                <w:rFonts w:ascii="Times New Roman" w:eastAsia="Times New Roman" w:hAnsi="Times New Roman" w:cs="Times New Roman"/>
                <w:lang w:eastAsia="lv-LV"/>
              </w:rPr>
              <w:tab/>
              <w:t>Noteikumi nosaka kārtību, kādā atļauj pieņemt militārajā dienestā un uzņemt dienestā Zemessardzē (turpmāk – pieņemt dienestā) Latvijas pilsoni, kas ir sodīts</w:t>
            </w:r>
            <w:proofErr w:type="gramStart"/>
            <w:r w:rsidRPr="00E07CDB">
              <w:rPr>
                <w:rFonts w:ascii="Times New Roman" w:eastAsia="Times New Roman" w:hAnsi="Times New Roman" w:cs="Times New Roman"/>
                <w:lang w:eastAsia="lv-LV"/>
              </w:rPr>
              <w:t xml:space="preserve"> vai notiesāts par tīšu noziedzīgu nodarījumu</w:t>
            </w:r>
            <w:proofErr w:type="gramEnd"/>
            <w:r w:rsidRPr="00E07CDB">
              <w:rPr>
                <w:rFonts w:ascii="Times New Roman" w:eastAsia="Times New Roman" w:hAnsi="Times New Roman" w:cs="Times New Roman"/>
                <w:lang w:eastAsia="lv-LV"/>
              </w:rPr>
              <w:t xml:space="preserve"> (turpmāk – kandidāts), ja nav izdarīts smags vai sevišķi smags noziegums un sodāmība ir dzēsta vai noņemta vai pēc nolēmuma par kriminālprocesa izbeigšanu uz nereabilitējoša pamata ir pagājuši vairāk nekā pieci gadi.</w:t>
            </w:r>
          </w:p>
          <w:p w:rsidR="00E07CDB" w:rsidRDefault="00E07CDB" w:rsidP="004F150C">
            <w:pPr>
              <w:spacing w:after="0" w:line="240" w:lineRule="auto"/>
              <w:jc w:val="both"/>
              <w:rPr>
                <w:rFonts w:ascii="Times New Roman" w:eastAsia="Times New Roman" w:hAnsi="Times New Roman" w:cs="Times New Roman"/>
                <w:lang w:eastAsia="lv-LV"/>
              </w:rPr>
            </w:pPr>
          </w:p>
          <w:p w:rsidR="00B0376C" w:rsidRPr="000175D4" w:rsidRDefault="00FB272A" w:rsidP="00FB272A">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Anotācijas I. </w:t>
            </w:r>
            <w:r w:rsidR="0069787F">
              <w:rPr>
                <w:rFonts w:ascii="Times New Roman" w:eastAsia="Times New Roman" w:hAnsi="Times New Roman" w:cs="Times New Roman"/>
                <w:lang w:eastAsia="lv-LV"/>
              </w:rPr>
              <w:t>sadaļas 2.punkts</w:t>
            </w:r>
            <w:r>
              <w:rPr>
                <w:rFonts w:ascii="Times New Roman" w:eastAsia="Times New Roman" w:hAnsi="Times New Roman" w:cs="Times New Roman"/>
                <w:lang w:eastAsia="lv-LV"/>
              </w:rPr>
              <w:t xml:space="preserve"> un II. sadaļas 1.punkts.</w:t>
            </w:r>
          </w:p>
        </w:tc>
        <w:tc>
          <w:tcPr>
            <w:tcW w:w="4678" w:type="dxa"/>
            <w:tcBorders>
              <w:top w:val="single" w:sz="6" w:space="0" w:color="000000"/>
              <w:left w:val="single" w:sz="6" w:space="0" w:color="000000"/>
              <w:bottom w:val="single" w:sz="6" w:space="0" w:color="000000"/>
              <w:right w:val="single" w:sz="6" w:space="0" w:color="000000"/>
            </w:tcBorders>
          </w:tcPr>
          <w:p w:rsidR="00FE2CE2" w:rsidRPr="00FE2CE2" w:rsidRDefault="00FE2CE2" w:rsidP="00FE2CE2">
            <w:pPr>
              <w:spacing w:after="0" w:line="240" w:lineRule="auto"/>
              <w:ind w:firstLine="34"/>
              <w:contextualSpacing/>
              <w:jc w:val="both"/>
              <w:rPr>
                <w:rFonts w:ascii="Times New Roman" w:eastAsia="Calibri" w:hAnsi="Times New Roman" w:cs="Times New Roman"/>
              </w:rPr>
            </w:pPr>
            <w:r w:rsidRPr="00FE2CE2">
              <w:rPr>
                <w:rFonts w:ascii="Times New Roman" w:eastAsia="Calibri" w:hAnsi="Times New Roman" w:cs="Times New Roman"/>
              </w:rPr>
              <w:t xml:space="preserve">3. Projekta 1. punkts noteic, ka projekts nosaka kārtību, kādā atļauj pieņemt militārajā dienestā un uzņemt dienestā Zemessardzē Latvijas pilsoni, </w:t>
            </w:r>
            <w:proofErr w:type="gramStart"/>
            <w:r w:rsidRPr="00FE2CE2">
              <w:rPr>
                <w:rFonts w:ascii="Times New Roman" w:eastAsia="Calibri" w:hAnsi="Times New Roman" w:cs="Times New Roman"/>
              </w:rPr>
              <w:t>kas ir sodīts vai notiesāts par tīšu noziedzīgu nodarījumu, ja nav izdarīts smags vai sevišķi smags noziegums un sodāmība ir dzēsta vai noņemta</w:t>
            </w:r>
            <w:proofErr w:type="gramEnd"/>
            <w:r w:rsidRPr="00FE2CE2">
              <w:rPr>
                <w:rFonts w:ascii="Times New Roman" w:eastAsia="Calibri" w:hAnsi="Times New Roman" w:cs="Times New Roman"/>
              </w:rPr>
              <w:t xml:space="preserve"> vai pēc nolēmuma par kriminālprocesa izbeigšanu uz nereabilitējoša pamata ir pagājuši vairāk nekā pieci gadi. Savukārt anotācijas I  sadaļas 2. punktā norādīts, ka "pamatojoties uz Aizsardzības ministrijas priekšlikumiem, tika izstrādāti likumprojekti "Grozījumi Militārā dienesta likumā" (Nr. 739/Lp13) un "Grozījumi Latvijas Republikas Zemessardzes likumā" (Nr. 740/Lp13). Pēc šo grozījumu pieņemšanas Militārā dienesta likuma 16. panta 2.² daļa un Latvijas Republikas Zemessardzes likuma 14. panta piektā daļa paredzēs komisijas izveidošanu, kura Ministru kabineta noteiktajā kārtībā vērtēs to personu pieņemšanu profesionālajā dienestā un uzņemšanu Zemessardzē, kuras:</w:t>
            </w:r>
          </w:p>
          <w:p w:rsidR="00FE2CE2" w:rsidRPr="00FE2CE2" w:rsidRDefault="00FE2CE2" w:rsidP="00FE2CE2">
            <w:pPr>
              <w:spacing w:after="0" w:line="240" w:lineRule="auto"/>
              <w:ind w:firstLine="34"/>
              <w:contextualSpacing/>
              <w:jc w:val="both"/>
              <w:rPr>
                <w:rFonts w:ascii="Times New Roman" w:eastAsia="Calibri" w:hAnsi="Times New Roman" w:cs="Times New Roman"/>
              </w:rPr>
            </w:pPr>
            <w:r w:rsidRPr="00FE2CE2">
              <w:rPr>
                <w:rFonts w:ascii="Times New Roman" w:eastAsia="Calibri" w:hAnsi="Times New Roman" w:cs="Times New Roman"/>
              </w:rPr>
              <w:lastRenderedPageBreak/>
              <w:t>1) neatkarīgi no sodāmības dzēšanas vai noņemšanas ir sodītas par tīšu kriminālpārkāpumu vai tīšu, mazāk smagu noziegumu, vai</w:t>
            </w:r>
          </w:p>
          <w:p w:rsidR="00FE2CE2" w:rsidRPr="00FE2CE2" w:rsidRDefault="00FE2CE2" w:rsidP="00FE2CE2">
            <w:pPr>
              <w:spacing w:after="0" w:line="240" w:lineRule="auto"/>
              <w:ind w:firstLine="34"/>
              <w:contextualSpacing/>
              <w:jc w:val="both"/>
              <w:rPr>
                <w:rFonts w:ascii="Times New Roman" w:eastAsia="Calibri" w:hAnsi="Times New Roman" w:cs="Times New Roman"/>
              </w:rPr>
            </w:pPr>
            <w:r w:rsidRPr="00FE2CE2">
              <w:rPr>
                <w:rFonts w:ascii="Times New Roman" w:eastAsia="Calibri" w:hAnsi="Times New Roman" w:cs="Times New Roman"/>
              </w:rPr>
              <w:t>2) ir notiesātas par tīšu kriminālpārkāpumu vai tīšu, mazāk smagu noziegumu, atbrīvojot no soda;</w:t>
            </w:r>
          </w:p>
          <w:p w:rsidR="00FE2CE2" w:rsidRPr="00FE2CE2" w:rsidRDefault="00FE2CE2" w:rsidP="00FE2CE2">
            <w:pPr>
              <w:spacing w:after="0" w:line="240" w:lineRule="auto"/>
              <w:ind w:firstLine="34"/>
              <w:contextualSpacing/>
              <w:jc w:val="both"/>
              <w:rPr>
                <w:rFonts w:ascii="Times New Roman" w:eastAsia="Calibri" w:hAnsi="Times New Roman" w:cs="Times New Roman"/>
              </w:rPr>
            </w:pPr>
            <w:r w:rsidRPr="00FE2CE2">
              <w:rPr>
                <w:rFonts w:ascii="Times New Roman" w:eastAsia="Calibri" w:hAnsi="Times New Roman" w:cs="Times New Roman"/>
              </w:rPr>
              <w:t>3) pret kurām uzsāktais kriminālprocess izbeigts uz nereabilitējoša pamata."</w:t>
            </w:r>
          </w:p>
          <w:p w:rsidR="00FE2CE2" w:rsidRPr="00FE2CE2" w:rsidRDefault="00FE2CE2" w:rsidP="00FE2CE2">
            <w:pPr>
              <w:spacing w:after="0" w:line="240" w:lineRule="auto"/>
              <w:ind w:firstLine="34"/>
              <w:contextualSpacing/>
              <w:jc w:val="both"/>
              <w:rPr>
                <w:rFonts w:ascii="Times New Roman" w:eastAsia="Calibri" w:hAnsi="Times New Roman" w:cs="Times New Roman"/>
              </w:rPr>
            </w:pPr>
            <w:r w:rsidRPr="00FE2CE2">
              <w:rPr>
                <w:rFonts w:ascii="Times New Roman" w:eastAsia="Calibri" w:hAnsi="Times New Roman" w:cs="Times New Roman"/>
              </w:rPr>
              <w:t xml:space="preserve">Vienlaikus anotācijas I sadaļas 2. punktā norādīts, ka "projekts izstrādāts, </w:t>
            </w:r>
            <w:proofErr w:type="gramStart"/>
            <w:r w:rsidRPr="00FE2CE2">
              <w:rPr>
                <w:rFonts w:ascii="Times New Roman" w:eastAsia="Calibri" w:hAnsi="Times New Roman" w:cs="Times New Roman"/>
              </w:rPr>
              <w:t>lai noteiktu kārtību, kādā aizsardzības ministra izveidota komisija var atļaut vai atteikt Latvijas pilsoņa pieņemšanu militārajā dienestā vai uzņemšanu dienestā Zemessardzē, kas ir sodīts vai notiesāts par tīšu noziedzīgu nodarījumu, ja nav izdarīts smags vai sevišķi smags noziegums un sodāmība ir dzēsta vai noņemta</w:t>
            </w:r>
            <w:proofErr w:type="gramEnd"/>
            <w:r w:rsidRPr="00FE2CE2">
              <w:rPr>
                <w:rFonts w:ascii="Times New Roman" w:eastAsia="Calibri" w:hAnsi="Times New Roman" w:cs="Times New Roman"/>
              </w:rPr>
              <w:t xml:space="preserve"> vai pēc nolēmuma par kriminālprocesa izbeigšanu uz nereabilitējoša pamata ir pagājuši vairāk nekā pieci gadi."</w:t>
            </w:r>
          </w:p>
          <w:p w:rsidR="00FE2CE2" w:rsidRPr="00FE2CE2" w:rsidRDefault="00FE2CE2" w:rsidP="00FE2CE2">
            <w:pPr>
              <w:spacing w:after="0" w:line="240" w:lineRule="auto"/>
              <w:ind w:firstLine="34"/>
              <w:contextualSpacing/>
              <w:jc w:val="both"/>
              <w:rPr>
                <w:rFonts w:ascii="Times New Roman" w:eastAsia="Calibri" w:hAnsi="Times New Roman" w:cs="Times New Roman"/>
              </w:rPr>
            </w:pPr>
            <w:r w:rsidRPr="00FE2CE2">
              <w:rPr>
                <w:rFonts w:ascii="Times New Roman" w:eastAsia="Calibri" w:hAnsi="Times New Roman" w:cs="Times New Roman"/>
              </w:rPr>
              <w:t>Savukārt anotācijas II sadaļas 1. punktā kā sabiedrības mērķgrupas, kuras tiesiskais regulējums ietekmē</w:t>
            </w:r>
            <w:proofErr w:type="gramStart"/>
            <w:r w:rsidRPr="00FE2CE2">
              <w:rPr>
                <w:rFonts w:ascii="Times New Roman" w:eastAsia="Calibri" w:hAnsi="Times New Roman" w:cs="Times New Roman"/>
              </w:rPr>
              <w:t xml:space="preserve"> vai varētu ietekmēt</w:t>
            </w:r>
            <w:proofErr w:type="gramEnd"/>
            <w:r w:rsidRPr="00FE2CE2">
              <w:rPr>
                <w:rFonts w:ascii="Times New Roman" w:eastAsia="Calibri" w:hAnsi="Times New Roman" w:cs="Times New Roman"/>
              </w:rPr>
              <w:t>, ir norādītas:</w:t>
            </w:r>
          </w:p>
          <w:p w:rsidR="00FE2CE2" w:rsidRPr="00FE2CE2" w:rsidRDefault="00FE2CE2" w:rsidP="00FE2CE2">
            <w:pPr>
              <w:spacing w:after="0" w:line="240" w:lineRule="auto"/>
              <w:ind w:firstLine="34"/>
              <w:contextualSpacing/>
              <w:jc w:val="both"/>
              <w:rPr>
                <w:rFonts w:ascii="Times New Roman" w:eastAsia="Calibri" w:hAnsi="Times New Roman" w:cs="Times New Roman"/>
              </w:rPr>
            </w:pPr>
            <w:r w:rsidRPr="00FE2CE2">
              <w:rPr>
                <w:rFonts w:ascii="Times New Roman" w:eastAsia="Calibri" w:hAnsi="Times New Roman" w:cs="Times New Roman"/>
              </w:rPr>
              <w:t xml:space="preserve">1) personas, kuras neatkarīgi no sodāmības dzēšanas vai noņemšanas ir sodītas par tīšu kriminālpārkāpumu vai tīšu, mazāk smagu noziegumu, vai </w:t>
            </w:r>
          </w:p>
          <w:p w:rsidR="00FE2CE2" w:rsidRPr="00FE2CE2" w:rsidRDefault="00FE2CE2" w:rsidP="00FE2CE2">
            <w:pPr>
              <w:spacing w:after="0" w:line="240" w:lineRule="auto"/>
              <w:ind w:firstLine="34"/>
              <w:contextualSpacing/>
              <w:jc w:val="both"/>
              <w:rPr>
                <w:rFonts w:ascii="Times New Roman" w:eastAsia="Calibri" w:hAnsi="Times New Roman" w:cs="Times New Roman"/>
              </w:rPr>
            </w:pPr>
            <w:r w:rsidRPr="00FE2CE2">
              <w:rPr>
                <w:rFonts w:ascii="Times New Roman" w:eastAsia="Calibri" w:hAnsi="Times New Roman" w:cs="Times New Roman"/>
              </w:rPr>
              <w:t>2) kuras ir notiesātas par tīšu kriminālpārkāpumu vai tīšu, mazāk smagu noziegumu, atbrīvojot no soda.</w:t>
            </w:r>
          </w:p>
          <w:p w:rsidR="00B0376C" w:rsidRPr="000175D4" w:rsidRDefault="00FE2CE2" w:rsidP="00FE2CE2">
            <w:pPr>
              <w:spacing w:after="0" w:line="240" w:lineRule="auto"/>
              <w:ind w:firstLine="34"/>
              <w:contextualSpacing/>
              <w:jc w:val="both"/>
              <w:rPr>
                <w:rFonts w:ascii="Times New Roman" w:eastAsia="Calibri" w:hAnsi="Times New Roman" w:cs="Times New Roman"/>
              </w:rPr>
            </w:pPr>
            <w:r w:rsidRPr="00FE2CE2">
              <w:rPr>
                <w:rFonts w:ascii="Times New Roman" w:eastAsia="Calibri" w:hAnsi="Times New Roman" w:cs="Times New Roman"/>
              </w:rPr>
              <w:t>No minētā izriet, ka projekta 1. punktā ietvertais regulējums neatbilst anotācijā norādītajam, proti, nav skaidrs, par kādu personu pieņemšanu militārajā dienestā un uzņemšanu Zemessardzē varēs izlemt komisija. Līdz ar to nepieciešams atbilstoši precizēt projektu vai anotāciju.</w:t>
            </w:r>
          </w:p>
        </w:tc>
        <w:tc>
          <w:tcPr>
            <w:tcW w:w="3260" w:type="dxa"/>
            <w:tcBorders>
              <w:top w:val="single" w:sz="6" w:space="0" w:color="000000"/>
              <w:left w:val="single" w:sz="6" w:space="0" w:color="000000"/>
              <w:bottom w:val="single" w:sz="6" w:space="0" w:color="000000"/>
              <w:right w:val="single" w:sz="6" w:space="0" w:color="000000"/>
            </w:tcBorders>
          </w:tcPr>
          <w:p w:rsidR="00B0376C" w:rsidRPr="009C678D" w:rsidRDefault="00963F24" w:rsidP="002E305E">
            <w:pPr>
              <w:spacing w:before="75" w:after="75" w:line="240" w:lineRule="auto"/>
              <w:rPr>
                <w:rFonts w:ascii="Times New Roman" w:eastAsia="Times New Roman" w:hAnsi="Times New Roman" w:cs="Times New Roman"/>
                <w:b/>
                <w:lang w:eastAsia="lv-LV"/>
              </w:rPr>
            </w:pPr>
            <w:r w:rsidRPr="009C678D">
              <w:rPr>
                <w:rFonts w:ascii="Times New Roman" w:eastAsia="Times New Roman" w:hAnsi="Times New Roman" w:cs="Times New Roman"/>
                <w:b/>
                <w:lang w:eastAsia="lv-LV"/>
              </w:rPr>
              <w:lastRenderedPageBreak/>
              <w:t>Ņemts vērā.</w:t>
            </w:r>
          </w:p>
          <w:p w:rsidR="00963F24" w:rsidRPr="000175D4" w:rsidRDefault="00F85999" w:rsidP="002E305E">
            <w:pPr>
              <w:spacing w:before="75" w:after="75"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Ir precizēta projekta anotācija. </w:t>
            </w:r>
            <w:r w:rsidR="00963F24">
              <w:rPr>
                <w:rFonts w:ascii="Times New Roman" w:eastAsia="Times New Roman" w:hAnsi="Times New Roman" w:cs="Times New Roman"/>
                <w:lang w:eastAsia="lv-LV"/>
              </w:rPr>
              <w:t>Projekta 1.punkts ir precizēts.</w:t>
            </w:r>
          </w:p>
        </w:tc>
        <w:tc>
          <w:tcPr>
            <w:tcW w:w="3402" w:type="dxa"/>
            <w:tcBorders>
              <w:top w:val="single" w:sz="4" w:space="0" w:color="auto"/>
              <w:left w:val="single" w:sz="4" w:space="0" w:color="auto"/>
              <w:bottom w:val="single" w:sz="4" w:space="0" w:color="auto"/>
            </w:tcBorders>
          </w:tcPr>
          <w:p w:rsidR="00B0376C" w:rsidRPr="000175D4" w:rsidRDefault="00842965" w:rsidP="00963F24">
            <w:pPr>
              <w:tabs>
                <w:tab w:val="left" w:pos="316"/>
              </w:tabs>
              <w:spacing w:after="0" w:line="240" w:lineRule="auto"/>
              <w:jc w:val="both"/>
              <w:rPr>
                <w:rFonts w:ascii="Times New Roman" w:eastAsia="Times New Roman" w:hAnsi="Times New Roman" w:cs="Times New Roman"/>
                <w:lang w:eastAsia="lv-LV"/>
              </w:rPr>
            </w:pPr>
            <w:r w:rsidRPr="00842965">
              <w:rPr>
                <w:rFonts w:ascii="Times New Roman" w:eastAsia="Times New Roman" w:hAnsi="Times New Roman" w:cs="Times New Roman"/>
                <w:lang w:eastAsia="lv-LV"/>
              </w:rPr>
              <w:t>1.</w:t>
            </w:r>
            <w:r w:rsidRPr="00842965">
              <w:rPr>
                <w:rFonts w:ascii="Times New Roman" w:eastAsia="Times New Roman" w:hAnsi="Times New Roman" w:cs="Times New Roman"/>
                <w:lang w:eastAsia="lv-LV"/>
              </w:rPr>
              <w:tab/>
              <w:t>Noteikumi nosaka kārtību, kādā var atļaut Latvijas pilsoņa (turpmāk – kandidāts) pieņemšanu militārajā dienestā vai uzņemšanu Zemessardzē (turpmāk – pieņemšana dienestā), kas ir izdarījis tīšu kriminālpārkāpumu, tīšu mazāk smagu noziegumu</w:t>
            </w:r>
            <w:proofErr w:type="gramStart"/>
            <w:r w:rsidRPr="00842965">
              <w:rPr>
                <w:rFonts w:ascii="Times New Roman" w:eastAsia="Times New Roman" w:hAnsi="Times New Roman" w:cs="Times New Roman"/>
                <w:lang w:eastAsia="lv-LV"/>
              </w:rPr>
              <w:t xml:space="preserve"> vai ir izpaudis valsts noslēpumu aiz neuzmanības un sodāmība ir dzēsta vai noņemta</w:t>
            </w:r>
            <w:proofErr w:type="gramEnd"/>
            <w:r w:rsidRPr="00842965">
              <w:rPr>
                <w:rFonts w:ascii="Times New Roman" w:eastAsia="Times New Roman" w:hAnsi="Times New Roman" w:cs="Times New Roman"/>
                <w:lang w:eastAsia="lv-LV"/>
              </w:rPr>
              <w:t xml:space="preserve"> vai pēc nolēmuma par kriminālprocesa izbeigšanu uz nereabilitējoša pamata ir pagājuši ne mazāk kā pieci gadi.</w:t>
            </w:r>
          </w:p>
        </w:tc>
      </w:tr>
      <w:tr w:rsidR="007079FE"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7079FE" w:rsidRPr="000175D4" w:rsidRDefault="007079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7079FE" w:rsidRDefault="007079FE" w:rsidP="004F150C">
            <w:pPr>
              <w:spacing w:after="0" w:line="240" w:lineRule="auto"/>
              <w:jc w:val="both"/>
              <w:rPr>
                <w:rFonts w:ascii="Times New Roman" w:eastAsia="Times New Roman" w:hAnsi="Times New Roman" w:cs="Times New Roman"/>
                <w:lang w:eastAsia="lv-LV"/>
              </w:rPr>
            </w:pPr>
            <w:r w:rsidRPr="007079FE">
              <w:rPr>
                <w:rFonts w:ascii="Times New Roman" w:eastAsia="Times New Roman" w:hAnsi="Times New Roman" w:cs="Times New Roman"/>
                <w:lang w:eastAsia="lv-LV"/>
              </w:rPr>
              <w:t>3. Pastāvīgajai komisijai ir tiesības pieaicināt tās darbā ar padomdevēja tiesībām citu institūciju pārstāvjus vai ekspertus.</w:t>
            </w:r>
          </w:p>
        </w:tc>
        <w:tc>
          <w:tcPr>
            <w:tcW w:w="4678" w:type="dxa"/>
            <w:tcBorders>
              <w:top w:val="single" w:sz="6" w:space="0" w:color="000000"/>
              <w:left w:val="single" w:sz="6" w:space="0" w:color="000000"/>
              <w:bottom w:val="single" w:sz="6" w:space="0" w:color="000000"/>
              <w:right w:val="single" w:sz="6" w:space="0" w:color="000000"/>
            </w:tcBorders>
          </w:tcPr>
          <w:p w:rsidR="007079FE" w:rsidRPr="007079FE" w:rsidRDefault="007079FE" w:rsidP="007079FE">
            <w:pPr>
              <w:spacing w:after="0" w:line="240" w:lineRule="auto"/>
              <w:ind w:firstLine="34"/>
              <w:contextualSpacing/>
              <w:jc w:val="both"/>
              <w:rPr>
                <w:rFonts w:ascii="Times New Roman" w:eastAsia="Calibri" w:hAnsi="Times New Roman" w:cs="Times New Roman"/>
              </w:rPr>
            </w:pPr>
            <w:r w:rsidRPr="007079FE">
              <w:rPr>
                <w:rFonts w:ascii="Times New Roman" w:eastAsia="Calibri" w:hAnsi="Times New Roman" w:cs="Times New Roman"/>
              </w:rPr>
              <w:t>4. Projekta 3. punktā ir noteikts, ka pastāvīgajai komisijai ir tiesības pieaicināt tās darbā ar padomdevēja tiesībām citu institūciju pārstāvjus vai ekspertus. Projektā nav noteikts komisijas sastāvs, līdz ar to nav saprotams, kas būs citu institūciju pārstāvji vai eksperti. Lūdzam projektā noteikt, kādu institūciju pārstāvji iekļaujami komisijas sastāvā.</w:t>
            </w:r>
          </w:p>
          <w:p w:rsidR="007079FE" w:rsidRPr="00FE2CE2" w:rsidRDefault="007079FE" w:rsidP="007079FE">
            <w:pPr>
              <w:spacing w:after="0" w:line="240" w:lineRule="auto"/>
              <w:ind w:firstLine="34"/>
              <w:contextualSpacing/>
              <w:jc w:val="both"/>
              <w:rPr>
                <w:rFonts w:ascii="Times New Roman" w:eastAsia="Calibri" w:hAnsi="Times New Roman" w:cs="Times New Roman"/>
              </w:rPr>
            </w:pPr>
            <w:r w:rsidRPr="007079FE">
              <w:rPr>
                <w:rFonts w:ascii="Times New Roman" w:eastAsia="Calibri" w:hAnsi="Times New Roman" w:cs="Times New Roman"/>
              </w:rPr>
              <w:t>Vienlaikus vēršam uzmanību, ka likumprojektā "Grozījumi Militārā dienesta likumā" un likumprojektā "Grozījumi Latvijas Republikas Zemessardzes likumā" nav paredzēts, ka komisija būs pastāvīga. Līdz ar to lūdzam precizēt projekta tekstu atbilstoši minētajos likumprojektos lietotajai terminoloģijai.</w:t>
            </w:r>
          </w:p>
        </w:tc>
        <w:tc>
          <w:tcPr>
            <w:tcW w:w="3260" w:type="dxa"/>
            <w:tcBorders>
              <w:top w:val="single" w:sz="6" w:space="0" w:color="000000"/>
              <w:left w:val="single" w:sz="6" w:space="0" w:color="000000"/>
              <w:bottom w:val="single" w:sz="6" w:space="0" w:color="000000"/>
              <w:right w:val="single" w:sz="6" w:space="0" w:color="000000"/>
            </w:tcBorders>
          </w:tcPr>
          <w:p w:rsidR="007079FE" w:rsidRDefault="00745064" w:rsidP="00927CF6">
            <w:pPr>
              <w:spacing w:before="75" w:after="75" w:line="240" w:lineRule="auto"/>
              <w:jc w:val="both"/>
              <w:rPr>
                <w:rFonts w:ascii="Times New Roman" w:eastAsia="Times New Roman" w:hAnsi="Times New Roman" w:cs="Times New Roman"/>
                <w:b/>
                <w:lang w:eastAsia="lv-LV"/>
              </w:rPr>
            </w:pPr>
            <w:r w:rsidRPr="009C678D">
              <w:rPr>
                <w:rFonts w:ascii="Times New Roman" w:eastAsia="Times New Roman" w:hAnsi="Times New Roman" w:cs="Times New Roman"/>
                <w:b/>
                <w:lang w:eastAsia="lv-LV"/>
              </w:rPr>
              <w:t>Ņemts vērā daļēji.</w:t>
            </w:r>
          </w:p>
          <w:p w:rsidR="00DA4FC2" w:rsidRDefault="00DA4FC2" w:rsidP="00927CF6">
            <w:pPr>
              <w:spacing w:before="75" w:after="75"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Panākta vienošanās elektroniskās saskaņošanas laikā.</w:t>
            </w:r>
          </w:p>
          <w:p w:rsidR="00745064" w:rsidRDefault="00745064" w:rsidP="00927CF6">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 projekta ir svītrots vārds “pastāvīgā”. </w:t>
            </w:r>
          </w:p>
          <w:p w:rsidR="00745064" w:rsidRDefault="00745064" w:rsidP="00927CF6">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Tā kā </w:t>
            </w:r>
            <w:r w:rsidR="009D4B28">
              <w:rPr>
                <w:rFonts w:ascii="Times New Roman" w:eastAsia="Times New Roman" w:hAnsi="Times New Roman" w:cs="Times New Roman"/>
                <w:lang w:eastAsia="lv-LV"/>
              </w:rPr>
              <w:t xml:space="preserve">gan </w:t>
            </w:r>
            <w:r w:rsidR="00256E61">
              <w:rPr>
                <w:rFonts w:ascii="Times New Roman" w:eastAsia="Times New Roman" w:hAnsi="Times New Roman" w:cs="Times New Roman"/>
                <w:lang w:eastAsia="lv-LV"/>
              </w:rPr>
              <w:t>likumprojektu</w:t>
            </w:r>
            <w:r w:rsidR="009D4B28">
              <w:rPr>
                <w:rFonts w:ascii="Times New Roman" w:eastAsia="Times New Roman" w:hAnsi="Times New Roman" w:cs="Times New Roman"/>
                <w:lang w:eastAsia="lv-LV"/>
              </w:rPr>
              <w:t xml:space="preserve">, gan noteikumu projekta </w:t>
            </w:r>
            <w:r>
              <w:rPr>
                <w:rFonts w:ascii="Times New Roman" w:eastAsia="Times New Roman" w:hAnsi="Times New Roman" w:cs="Times New Roman"/>
                <w:lang w:eastAsia="lv-LV"/>
              </w:rPr>
              <w:t xml:space="preserve">deleģējums paredz pienākumu Aizsardzības ministrijai noteikt komisijas sastāvu un darba organizāciju, tas tiks noteikts </w:t>
            </w:r>
            <w:r w:rsidR="003D66C5">
              <w:rPr>
                <w:rFonts w:ascii="Times New Roman" w:eastAsia="Times New Roman" w:hAnsi="Times New Roman" w:cs="Times New Roman"/>
                <w:lang w:eastAsia="lv-LV"/>
              </w:rPr>
              <w:t>iekšējā rīkojuma dokumentā un komisijas nolikumā. Komisijas sastāvā ietilps Aizsardzības ministrijas padotībā esošo institūciju darbinieki/karavīri.</w:t>
            </w:r>
          </w:p>
          <w:p w:rsidR="003D66C5" w:rsidRPr="000175D4" w:rsidRDefault="00EE3F64" w:rsidP="00EE3F64">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3D66C5">
              <w:rPr>
                <w:rFonts w:ascii="Times New Roman" w:eastAsia="Times New Roman" w:hAnsi="Times New Roman" w:cs="Times New Roman"/>
                <w:lang w:eastAsia="lv-LV"/>
              </w:rPr>
              <w:t>ašreiz nav iespējams prognozēt izskatāmo jautājumu specifiku</w:t>
            </w:r>
            <w:r>
              <w:rPr>
                <w:rFonts w:ascii="Times New Roman" w:eastAsia="Times New Roman" w:hAnsi="Times New Roman" w:cs="Times New Roman"/>
                <w:lang w:eastAsia="lv-LV"/>
              </w:rPr>
              <w:t>. Tādēļ</w:t>
            </w:r>
            <w:r w:rsidR="003D66C5">
              <w:rPr>
                <w:rFonts w:ascii="Times New Roman" w:eastAsia="Times New Roman" w:hAnsi="Times New Roman" w:cs="Times New Roman"/>
                <w:lang w:eastAsia="lv-LV"/>
              </w:rPr>
              <w:t xml:space="preserve"> nav iespējams skaidri noteikt</w:t>
            </w:r>
            <w:proofErr w:type="gramStart"/>
            <w:r w:rsidR="003D66C5">
              <w:rPr>
                <w:rFonts w:ascii="Times New Roman" w:eastAsia="Times New Roman" w:hAnsi="Times New Roman" w:cs="Times New Roman"/>
                <w:lang w:eastAsia="lv-LV"/>
              </w:rPr>
              <w:t xml:space="preserve"> </w:t>
            </w:r>
            <w:r w:rsidR="00C56002">
              <w:rPr>
                <w:rFonts w:ascii="Times New Roman" w:eastAsia="Times New Roman" w:hAnsi="Times New Roman" w:cs="Times New Roman"/>
                <w:lang w:eastAsia="lv-LV"/>
              </w:rPr>
              <w:t>kādu institūciju ekspertu viedokļus komisijai būs nepieciešams uzklausīt kvalitatīvai kandidāta izvērtēšanai</w:t>
            </w:r>
            <w:proofErr w:type="gramEnd"/>
            <w:r w:rsidR="00C56002">
              <w:rPr>
                <w:rFonts w:ascii="Times New Roman" w:eastAsia="Times New Roman" w:hAnsi="Times New Roman" w:cs="Times New Roman"/>
                <w:lang w:eastAsia="lv-LV"/>
              </w:rPr>
              <w:t>.</w:t>
            </w:r>
          </w:p>
        </w:tc>
        <w:tc>
          <w:tcPr>
            <w:tcW w:w="3402" w:type="dxa"/>
            <w:tcBorders>
              <w:top w:val="single" w:sz="4" w:space="0" w:color="auto"/>
              <w:left w:val="single" w:sz="4" w:space="0" w:color="auto"/>
              <w:bottom w:val="single" w:sz="4" w:space="0" w:color="auto"/>
            </w:tcBorders>
          </w:tcPr>
          <w:p w:rsidR="007079FE" w:rsidRPr="000175D4" w:rsidRDefault="00F92F3C" w:rsidP="00CA475A">
            <w:pPr>
              <w:spacing w:after="0" w:line="240" w:lineRule="auto"/>
              <w:jc w:val="both"/>
              <w:rPr>
                <w:rFonts w:ascii="Times New Roman" w:eastAsia="Times New Roman" w:hAnsi="Times New Roman" w:cs="Times New Roman"/>
                <w:lang w:eastAsia="lv-LV"/>
              </w:rPr>
            </w:pPr>
            <w:r w:rsidRPr="00F92F3C">
              <w:rPr>
                <w:rFonts w:ascii="Times New Roman" w:eastAsia="Times New Roman" w:hAnsi="Times New Roman" w:cs="Times New Roman"/>
                <w:lang w:eastAsia="lv-LV"/>
              </w:rPr>
              <w:t>No projekta ir svītrots vārds “pastāvīgā”</w:t>
            </w:r>
            <w:r w:rsidR="00EE3F64">
              <w:rPr>
                <w:rFonts w:ascii="Times New Roman" w:eastAsia="Times New Roman" w:hAnsi="Times New Roman" w:cs="Times New Roman"/>
                <w:lang w:eastAsia="lv-LV"/>
              </w:rPr>
              <w:t xml:space="preserve"> un 3.punkts</w:t>
            </w:r>
            <w:r w:rsidRPr="00F92F3C">
              <w:rPr>
                <w:rFonts w:ascii="Times New Roman" w:eastAsia="Times New Roman" w:hAnsi="Times New Roman" w:cs="Times New Roman"/>
                <w:lang w:eastAsia="lv-LV"/>
              </w:rPr>
              <w:t>.</w:t>
            </w:r>
          </w:p>
        </w:tc>
      </w:tr>
      <w:tr w:rsidR="008C6D05"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8C6D05" w:rsidRPr="000175D4" w:rsidRDefault="008C6D05"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8C6D05" w:rsidRPr="007079FE" w:rsidRDefault="008C6D05" w:rsidP="004F150C">
            <w:pPr>
              <w:spacing w:after="0" w:line="240" w:lineRule="auto"/>
              <w:jc w:val="both"/>
              <w:rPr>
                <w:rFonts w:ascii="Times New Roman" w:eastAsia="Times New Roman" w:hAnsi="Times New Roman" w:cs="Times New Roman"/>
                <w:lang w:eastAsia="lv-LV"/>
              </w:rPr>
            </w:pPr>
            <w:r w:rsidRPr="008C6D05">
              <w:rPr>
                <w:rFonts w:ascii="Times New Roman" w:eastAsia="Times New Roman" w:hAnsi="Times New Roman" w:cs="Times New Roman"/>
                <w:lang w:eastAsia="lv-LV"/>
              </w:rPr>
              <w:t xml:space="preserve">4.1. kandidāts normatīvajos aktos noteiktajā kārtībā ir piedalījies atlases dienestam </w:t>
            </w:r>
            <w:proofErr w:type="spellStart"/>
            <w:r w:rsidRPr="008C6D05">
              <w:rPr>
                <w:rFonts w:ascii="Times New Roman" w:eastAsia="Times New Roman" w:hAnsi="Times New Roman" w:cs="Times New Roman"/>
                <w:lang w:eastAsia="lv-LV"/>
              </w:rPr>
              <w:t>pirmsatlasē</w:t>
            </w:r>
            <w:proofErr w:type="spellEnd"/>
            <w:r w:rsidRPr="008C6D05">
              <w:rPr>
                <w:rFonts w:ascii="Times New Roman" w:eastAsia="Times New Roman" w:hAnsi="Times New Roman" w:cs="Times New Roman"/>
                <w:lang w:eastAsia="lv-LV"/>
              </w:rPr>
              <w:t xml:space="preserve"> atbilstoši Aizsardzības ministrijas noteiktajai kārtībai;</w:t>
            </w:r>
          </w:p>
        </w:tc>
        <w:tc>
          <w:tcPr>
            <w:tcW w:w="4678" w:type="dxa"/>
            <w:tcBorders>
              <w:top w:val="single" w:sz="6" w:space="0" w:color="000000"/>
              <w:left w:val="single" w:sz="6" w:space="0" w:color="000000"/>
              <w:bottom w:val="single" w:sz="6" w:space="0" w:color="000000"/>
              <w:right w:val="single" w:sz="6" w:space="0" w:color="000000"/>
            </w:tcBorders>
          </w:tcPr>
          <w:p w:rsidR="008C6D05" w:rsidRPr="007079FE" w:rsidRDefault="008C6D05" w:rsidP="007079FE">
            <w:pPr>
              <w:spacing w:after="0" w:line="240" w:lineRule="auto"/>
              <w:ind w:firstLine="34"/>
              <w:contextualSpacing/>
              <w:jc w:val="both"/>
              <w:rPr>
                <w:rFonts w:ascii="Times New Roman" w:eastAsia="Calibri" w:hAnsi="Times New Roman" w:cs="Times New Roman"/>
              </w:rPr>
            </w:pPr>
            <w:r w:rsidRPr="008C6D05">
              <w:rPr>
                <w:rFonts w:ascii="Times New Roman" w:eastAsia="Calibri" w:hAnsi="Times New Roman" w:cs="Times New Roman"/>
              </w:rPr>
              <w:t>5. Projekta 4.1. apakšpunkts atsaucas uz Aizsardzības ministrijas noteiktu kārtību. Vēršam uzmanību, ka saskaņā ar sagatavošanas noteikumu 136. punktu noteikumu projektā neietver atsauces uz zemāka juridiskā spēka normatīvo aktu. Ņemot vērā minēto, lūdzam projekta 4.1. apakšpunktā svītrot atsauci uz Aizsardzības ministrijas noteiktu kārtību.</w:t>
            </w:r>
          </w:p>
        </w:tc>
        <w:tc>
          <w:tcPr>
            <w:tcW w:w="3260" w:type="dxa"/>
            <w:tcBorders>
              <w:top w:val="single" w:sz="6" w:space="0" w:color="000000"/>
              <w:left w:val="single" w:sz="6" w:space="0" w:color="000000"/>
              <w:bottom w:val="single" w:sz="6" w:space="0" w:color="000000"/>
              <w:right w:val="single" w:sz="6" w:space="0" w:color="000000"/>
            </w:tcBorders>
          </w:tcPr>
          <w:p w:rsidR="00D63DB6" w:rsidRPr="00EA04B5" w:rsidRDefault="00D63DB6" w:rsidP="00D63DB6">
            <w:pPr>
              <w:jc w:val="both"/>
              <w:rPr>
                <w:rFonts w:ascii="Times New Roman" w:hAnsi="Times New Roman" w:cs="Times New Roman"/>
                <w:b/>
              </w:rPr>
            </w:pPr>
            <w:r>
              <w:rPr>
                <w:rFonts w:ascii="Times New Roman" w:hAnsi="Times New Roman" w:cs="Times New Roman"/>
                <w:b/>
              </w:rPr>
              <w:t>Ņemts</w:t>
            </w:r>
            <w:r w:rsidRPr="00EA04B5">
              <w:rPr>
                <w:rFonts w:ascii="Times New Roman" w:hAnsi="Times New Roman" w:cs="Times New Roman"/>
                <w:b/>
              </w:rPr>
              <w:t xml:space="preserve"> vērā.</w:t>
            </w:r>
          </w:p>
          <w:p w:rsidR="008C6D05" w:rsidRPr="00D63DB6" w:rsidRDefault="00D63DB6" w:rsidP="00D63DB6">
            <w:pPr>
              <w:spacing w:before="75" w:after="75" w:line="240" w:lineRule="auto"/>
              <w:jc w:val="both"/>
              <w:rPr>
                <w:rFonts w:ascii="Times New Roman" w:eastAsia="Times New Roman" w:hAnsi="Times New Roman" w:cs="Times New Roman"/>
                <w:lang w:eastAsia="lv-LV"/>
              </w:rPr>
            </w:pPr>
            <w:r w:rsidRPr="00D63DB6">
              <w:rPr>
                <w:rFonts w:ascii="Times New Roman" w:eastAsia="Times New Roman" w:hAnsi="Times New Roman" w:cs="Times New Roman"/>
                <w:lang w:eastAsia="lv-LV"/>
              </w:rPr>
              <w:t>4.1.apa</w:t>
            </w:r>
            <w:r>
              <w:rPr>
                <w:rFonts w:ascii="Times New Roman" w:eastAsia="Times New Roman" w:hAnsi="Times New Roman" w:cs="Times New Roman"/>
                <w:lang w:eastAsia="lv-LV"/>
              </w:rPr>
              <w:t>kšpunkta redakcija precizēta, svītrojot no tās atsauci uz iekšējā normatīvajā aktā noteikto kārtību.</w:t>
            </w:r>
          </w:p>
        </w:tc>
        <w:tc>
          <w:tcPr>
            <w:tcW w:w="3402" w:type="dxa"/>
            <w:tcBorders>
              <w:top w:val="single" w:sz="4" w:space="0" w:color="auto"/>
              <w:left w:val="single" w:sz="4" w:space="0" w:color="auto"/>
              <w:bottom w:val="single" w:sz="4" w:space="0" w:color="auto"/>
            </w:tcBorders>
          </w:tcPr>
          <w:p w:rsidR="008C6D05" w:rsidRPr="00F92F3C" w:rsidRDefault="003B52B7" w:rsidP="00CA475A">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D63DB6" w:rsidRPr="00D63DB6">
              <w:rPr>
                <w:rFonts w:ascii="Times New Roman" w:eastAsia="Times New Roman" w:hAnsi="Times New Roman" w:cs="Times New Roman"/>
                <w:lang w:eastAsia="lv-LV"/>
              </w:rPr>
              <w:t>.1. kandidāts ir izpildījis visas tam normatīvajos aktos izvirzītās prasības, lai pieteiktos uz atlasi profesionālajam dienestam vai dienestam Zemessardzē;</w:t>
            </w:r>
          </w:p>
        </w:tc>
      </w:tr>
      <w:tr w:rsidR="002B78FB"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2B78FB" w:rsidRPr="000175D4" w:rsidRDefault="002B78FB"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2B78FB" w:rsidRDefault="002B78FB" w:rsidP="004F150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Projekts un tā anotācija.</w:t>
            </w:r>
          </w:p>
          <w:p w:rsidR="00E35F2A" w:rsidRDefault="00E35F2A" w:rsidP="004F150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6.6.</w:t>
            </w:r>
            <w:r>
              <w:t xml:space="preserve"> </w:t>
            </w:r>
            <w:r w:rsidRPr="00E35F2A">
              <w:rPr>
                <w:rFonts w:ascii="Times New Roman" w:eastAsia="Times New Roman" w:hAnsi="Times New Roman" w:cs="Times New Roman"/>
                <w:lang w:eastAsia="lv-LV"/>
              </w:rPr>
              <w:t>citas institūcijas vai personas, tai skaitā kandidāta esošās vai bijušās darba (dienesta) vietas – informāciju, kas ļauj izvērtēt kandidāta attieksmi pret izdarīto noziedzīgo nodarījumu</w:t>
            </w:r>
          </w:p>
          <w:p w:rsidR="00BA6A63" w:rsidRPr="007079FE" w:rsidRDefault="00BA6A63" w:rsidP="004F150C">
            <w:pPr>
              <w:spacing w:after="0" w:line="240" w:lineRule="auto"/>
              <w:jc w:val="both"/>
              <w:rPr>
                <w:rFonts w:ascii="Times New Roman" w:eastAsia="Times New Roman" w:hAnsi="Times New Roman" w:cs="Times New Roman"/>
                <w:lang w:eastAsia="lv-LV"/>
              </w:rPr>
            </w:pPr>
          </w:p>
        </w:tc>
        <w:tc>
          <w:tcPr>
            <w:tcW w:w="4678" w:type="dxa"/>
            <w:tcBorders>
              <w:top w:val="single" w:sz="6" w:space="0" w:color="000000"/>
              <w:left w:val="single" w:sz="6" w:space="0" w:color="000000"/>
              <w:bottom w:val="single" w:sz="6" w:space="0" w:color="000000"/>
              <w:right w:val="single" w:sz="6" w:space="0" w:color="000000"/>
            </w:tcBorders>
          </w:tcPr>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7. Projekta 6. punkts paredz komisijas tiesības pieprasīt institūcijām vai personām kandidāta izvērtējumam nepieciešamo informāciju, tai skaitā tādu informāciju, kas satur ziņas par sodāmību, tiesu nolēmumus u.c. informāciju. Projekta anotācijā nav sniegts pamatojums par minētās datu apstrādes apjomu, mērķi, datu uzglabāšanas nosacījumiem un ilgumu. </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Vēršam uzmanību, ka saskaņā ar Eiropas Parlamenta un Padomes 2016. gada 27. aprīļa Regulas (ES) 2016/679 par fizisko personu aizsardzību attiecībā uz personas datu apstrādi un šādu datu brīvu apriti un ar ko atceļ Direktīvu 95/46 EK (Vispārīgā datu aizsardzības regula) </w:t>
            </w:r>
            <w:proofErr w:type="gramStart"/>
            <w:r w:rsidRPr="002B78FB">
              <w:rPr>
                <w:rFonts w:ascii="Times New Roman" w:eastAsia="Calibri" w:hAnsi="Times New Roman" w:cs="Times New Roman"/>
              </w:rPr>
              <w:t>(</w:t>
            </w:r>
            <w:proofErr w:type="gramEnd"/>
            <w:r w:rsidRPr="002B78FB">
              <w:rPr>
                <w:rFonts w:ascii="Times New Roman" w:eastAsia="Calibri" w:hAnsi="Times New Roman" w:cs="Times New Roman"/>
              </w:rPr>
              <w:t>turpmāk – Datu regula) 4. panta 1. punktu personas dati ir jebkura informācija, kas attiecas uz identificētu vai identificējamu fizisku personu; identificējama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 Savukārt personas datu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lastRenderedPageBreak/>
              <w:t xml:space="preserve">Pārzinim personas datu apstrāde ir jāveic, ievērojot Datu regulas 6. panta 1. punktā noteikto, proti, personas datu apstrāde ir likumīga tikai tādā apmērā un tikai tad, ja ir piemērojams vismaz viens no šajā pantā minētajiem pamatojumiem: </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a) datu subjekts ir devis piekrišanu savu personas datu apstrādei vienam vai vairākiem konkrētiem nolūkiem; </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b) apstrāde ir vajadzīga līguma, kura līgumslēdzēja puse ir datu subjekts, izpildei vai pasākumu veikšanai pēc datu subjekta pieprasījuma pirms līguma noslēgšanas; </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c) apstrāde ir vajadzīga, lai izpildītu uz pārzini attiecināmu juridisku pienākumu; </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d) apstrāde ir vajadzīga, lai aizsargātu datu subjekta vai citas fiziskas personas vitālas intereses; </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e) apstrāde ir vajadzīga, lai izpildītu uzdevumu, ko veic sabiedrības interesēs vai, īstenojot pārzinim likumīgi piešķirtās oficiālās pilnvaras; </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f) 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Tātad jebkurai personas datu apstrādei ir jābūt atbilstošam tiesiskam pamatam. </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Papildus tiesiskā pamata nodrošināšanai pārzinim ir jāievēro arī citi Datu regulas noteiktie nosacījumi, piemēram, Datu regulas 5. panta 1. punkta a) un b) apakšpunkts, kas noteic, ka dati tiek apstrādāti likumīgi, godprātīgi un datu subjektam pārredzamā veidā, kā arī dati tiek vākti konkrētos, skaidros un leģitīmos nolūkos. </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lastRenderedPageBreak/>
              <w:t xml:space="preserve">Saskaņā ar Datu regulas 10. pantā noteikto personas datu apstrādi par sodāmību un pārkāpumiem vai ar tiem saistītajiem drošības pasākumiem, pamatojoties uz Datu regulas 6. panta 1. punktu, veic tikai oficiālas iestādes kontrolē vai tad, ja apstrādi atļauj Eiropas Savienības vai dalībvalsts tiesību akti, paredzot atbilstošas garantijas datu subjektu tiesībām un brīvībām. Jebkādu visaptverošu sodāmības reģistru uzglabā tikai oficiālas iestādes kontrolē. </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Vienlaikus jānorāda, ka dati par sodāmību un ar to saistītiem drošības pasākumiem atsevišķos Datu regulas apsvērumos tiek pielīdzināti īpašas kategorijas datiem, norādot, ka to apstrādē jāizvērtē riski fizisku personu tiesībām un brīvībām, ko var radīt personas datu apstrāde, kas var izraisīt fizisku, materiālu vai nemateriālu kaitējumu, jo īpaši, ja apstrāde var izraisīt diskrimināciju, identitātes zādzību vai viltošanu, finansiālu zaudējumu, kaitējumu reputācijai, ar dienesta noslēpumu aizsargātu personas datu konfidencialitātes zaudēšanu, neatļautu </w:t>
            </w:r>
            <w:proofErr w:type="spellStart"/>
            <w:r w:rsidRPr="002B78FB">
              <w:rPr>
                <w:rFonts w:ascii="Times New Roman" w:eastAsia="Calibri" w:hAnsi="Times New Roman" w:cs="Times New Roman"/>
              </w:rPr>
              <w:t>pseidonimizācijas</w:t>
            </w:r>
            <w:proofErr w:type="spellEnd"/>
            <w:r w:rsidRPr="002B78FB">
              <w:rPr>
                <w:rFonts w:ascii="Times New Roman" w:eastAsia="Calibri" w:hAnsi="Times New Roman" w:cs="Times New Roman"/>
              </w:rPr>
              <w:t xml:space="preserve"> atcelšanu vai jebkādu citu īpaši nelabvēlīgu ekonomisko vai sociālo situāciju. Minētajā kontekstā ir būtiski izvērtēt projekta 6.6. apakšpunktā noteikto.</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Atbilstoši Datu regulas 91. apsvērumam, lai izvērtētu risku iespējamību un nopietnību, ņemot vērā apstrādes raksturu, apmēru, kontekstu un nolūkus un riska avotus, pārzinim ir jāveic novērtējums par ietekmi uz datu aizsardzību, ja personas dati tiek apstrādāti, lai pieņemtu lēmumus attiecībā uz konkrētām fiziskām personām pēc jebkādas ar fiziskām personām saistītu personisku aspektu sistemātiskas un plašas novērtēšanas, </w:t>
            </w:r>
            <w:r w:rsidRPr="002B78FB">
              <w:rPr>
                <w:rFonts w:ascii="Times New Roman" w:eastAsia="Calibri" w:hAnsi="Times New Roman" w:cs="Times New Roman"/>
              </w:rPr>
              <w:lastRenderedPageBreak/>
              <w:t>kuras pamatā ir minēto datu profilēšana, vai tādu datu apstrādes, kas attiecas uz sodāmību un pārkāpumiem, vai ar tiem saistītiem drošības pasākumiem.</w:t>
            </w:r>
          </w:p>
          <w:p w:rsidR="002B78FB" w:rsidRPr="002B78FB"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 xml:space="preserve">Ņemot vērā minēto, projekta anotācijā ir jānorāda, kāds informācijas apjoms būtu adekvāts </w:t>
            </w:r>
            <w:proofErr w:type="gramStart"/>
            <w:r w:rsidRPr="002B78FB">
              <w:rPr>
                <w:rFonts w:ascii="Times New Roman" w:eastAsia="Calibri" w:hAnsi="Times New Roman" w:cs="Times New Roman"/>
              </w:rPr>
              <w:t>(nepieciešams) konkrētā mērķa sasniegšanai</w:t>
            </w:r>
            <w:proofErr w:type="gramEnd"/>
            <w:r w:rsidRPr="002B78FB">
              <w:rPr>
                <w:rFonts w:ascii="Times New Roman" w:eastAsia="Calibri" w:hAnsi="Times New Roman" w:cs="Times New Roman"/>
              </w:rPr>
              <w:t xml:space="preserve"> (piemēram, visi projekta 6. punktā uzskaitītie dokumenti vai konkretizēt gadījumus, kad ir pietiekams tiesas nolēmums un kad darba vietas informācija). Līdz ar to pārzinim būtu jāizvērtē,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w:t>
            </w:r>
          </w:p>
          <w:p w:rsidR="002B78FB" w:rsidRPr="007079FE" w:rsidRDefault="002B78FB" w:rsidP="002B78FB">
            <w:pPr>
              <w:spacing w:after="0" w:line="240" w:lineRule="auto"/>
              <w:ind w:firstLine="34"/>
              <w:contextualSpacing/>
              <w:jc w:val="both"/>
              <w:rPr>
                <w:rFonts w:ascii="Times New Roman" w:eastAsia="Calibri" w:hAnsi="Times New Roman" w:cs="Times New Roman"/>
              </w:rPr>
            </w:pPr>
            <w:r w:rsidRPr="002B78FB">
              <w:rPr>
                <w:rFonts w:ascii="Times New Roman" w:eastAsia="Calibri" w:hAnsi="Times New Roman" w:cs="Times New Roman"/>
              </w:rPr>
              <w:t>Vienlaikus vēršam uzmanību, ka anotācijā nav dots skaidrojums nepieciešamībai uzglabāt minētos personas datus. Norādām, ka saskaņā ar Datu regulas 5. panta 1. punkta e) apakšpunktu pārzinim ir jānodrošina, ka personas dati tiek glabāti tik ilgi, cik tas ir nepieciešams nolūkiem, kādiem personas dati tiek apstrādāti. Datu regulā nav noteikti konkrēti termiņi datu glabāšanai, tomēr šie termiņi ir saistīti ar pārziņa datu apstrādes nolūkiem un to sasniegšanai nepieciešamo datu apjomu. Līdz ar to aicinām anotāciju papildināt ar attiecīgu skaidrojumu.</w:t>
            </w:r>
          </w:p>
        </w:tc>
        <w:tc>
          <w:tcPr>
            <w:tcW w:w="3260" w:type="dxa"/>
            <w:tcBorders>
              <w:top w:val="single" w:sz="6" w:space="0" w:color="000000"/>
              <w:left w:val="single" w:sz="6" w:space="0" w:color="000000"/>
              <w:bottom w:val="single" w:sz="6" w:space="0" w:color="000000"/>
              <w:right w:val="single" w:sz="6" w:space="0" w:color="000000"/>
            </w:tcBorders>
          </w:tcPr>
          <w:p w:rsidR="002B78FB" w:rsidRPr="009C678D" w:rsidRDefault="002B78FB" w:rsidP="00927CF6">
            <w:pPr>
              <w:spacing w:before="75" w:after="75"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tcPr>
          <w:p w:rsidR="00053542" w:rsidRDefault="00053542" w:rsidP="00BA6A6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Papildināta anotācijas </w:t>
            </w:r>
            <w:proofErr w:type="spellStart"/>
            <w:r>
              <w:rPr>
                <w:rFonts w:ascii="Times New Roman" w:eastAsia="Times New Roman" w:hAnsi="Times New Roman" w:cs="Times New Roman"/>
                <w:lang w:eastAsia="lv-LV"/>
              </w:rPr>
              <w:t>II.sadaļas</w:t>
            </w:r>
            <w:proofErr w:type="spellEnd"/>
            <w:r>
              <w:rPr>
                <w:rFonts w:ascii="Times New Roman" w:eastAsia="Times New Roman" w:hAnsi="Times New Roman" w:cs="Times New Roman"/>
                <w:lang w:eastAsia="lv-LV"/>
              </w:rPr>
              <w:t xml:space="preserve"> 2.punkts.</w:t>
            </w:r>
          </w:p>
          <w:p w:rsidR="00E35F2A" w:rsidRPr="00F92F3C" w:rsidRDefault="00E35F2A" w:rsidP="0096479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6.7.</w:t>
            </w:r>
            <w:r w:rsidR="0096479E" w:rsidRPr="0096479E">
              <w:rPr>
                <w:rFonts w:ascii="Times New Roman" w:eastAsia="Times New Roman" w:hAnsi="Times New Roman" w:cs="Times New Roman"/>
                <w:lang w:eastAsia="lv-LV"/>
              </w:rPr>
              <w:t xml:space="preserve"> citas institūcijas vai personas, tai skaitā kandidāta esošās vai bijušās darba (dienesta) vietas – informāciju, kas ļauj izvērtēt kandidāta attieksmi pret izdarīto noziedzīgo nodarījumu (ja tādējādi informācija par kandidāta sodāmību netiek atklāta personām, kuras par to nav zinājušas).</w:t>
            </w:r>
          </w:p>
        </w:tc>
      </w:tr>
      <w:tr w:rsidR="00B31051"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B31051" w:rsidRPr="000175D4" w:rsidRDefault="00B31051"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5D463D" w:rsidRPr="005D463D" w:rsidRDefault="005D463D" w:rsidP="005D463D">
            <w:pPr>
              <w:spacing w:after="0" w:line="240" w:lineRule="auto"/>
              <w:jc w:val="both"/>
              <w:rPr>
                <w:rFonts w:ascii="Times New Roman" w:eastAsia="Times New Roman" w:hAnsi="Times New Roman" w:cs="Times New Roman"/>
                <w:lang w:eastAsia="lv-LV"/>
              </w:rPr>
            </w:pPr>
            <w:r w:rsidRPr="005D463D">
              <w:rPr>
                <w:rFonts w:ascii="Times New Roman" w:eastAsia="Times New Roman" w:hAnsi="Times New Roman" w:cs="Times New Roman"/>
                <w:lang w:eastAsia="lv-LV"/>
              </w:rPr>
              <w:t>6.  Komisija var pieprasīt izvērtēšanai nepieciešamo informāciju no:</w:t>
            </w:r>
          </w:p>
          <w:p w:rsidR="00B31051" w:rsidRPr="007079FE" w:rsidRDefault="005D463D" w:rsidP="005D463D">
            <w:pPr>
              <w:spacing w:after="0" w:line="240" w:lineRule="auto"/>
              <w:jc w:val="both"/>
              <w:rPr>
                <w:rFonts w:ascii="Times New Roman" w:eastAsia="Times New Roman" w:hAnsi="Times New Roman" w:cs="Times New Roman"/>
                <w:lang w:eastAsia="lv-LV"/>
              </w:rPr>
            </w:pPr>
            <w:r w:rsidRPr="005D463D">
              <w:rPr>
                <w:rFonts w:ascii="Times New Roman" w:eastAsia="Times New Roman" w:hAnsi="Times New Roman" w:cs="Times New Roman"/>
                <w:lang w:eastAsia="lv-LV"/>
              </w:rPr>
              <w:t xml:space="preserve">6.1. Iekšlietu ministrijas Informācijas centra – ziņas no Sodu reģistra par </w:t>
            </w:r>
            <w:r w:rsidRPr="005D463D">
              <w:rPr>
                <w:rFonts w:ascii="Times New Roman" w:eastAsia="Times New Roman" w:hAnsi="Times New Roman" w:cs="Times New Roman"/>
                <w:lang w:eastAsia="lv-LV"/>
              </w:rPr>
              <w:lastRenderedPageBreak/>
              <w:t>personas saukšanu pie kriminālatbildības un administratīvās atbildības;</w:t>
            </w:r>
          </w:p>
        </w:tc>
        <w:tc>
          <w:tcPr>
            <w:tcW w:w="4678" w:type="dxa"/>
            <w:tcBorders>
              <w:top w:val="single" w:sz="6" w:space="0" w:color="000000"/>
              <w:left w:val="single" w:sz="6" w:space="0" w:color="000000"/>
              <w:bottom w:val="single" w:sz="6" w:space="0" w:color="000000"/>
              <w:right w:val="single" w:sz="6" w:space="0" w:color="000000"/>
            </w:tcBorders>
          </w:tcPr>
          <w:p w:rsidR="00B31051" w:rsidRPr="007079FE" w:rsidRDefault="00B31051" w:rsidP="007079FE">
            <w:pPr>
              <w:spacing w:after="0" w:line="240" w:lineRule="auto"/>
              <w:ind w:firstLine="34"/>
              <w:contextualSpacing/>
              <w:jc w:val="both"/>
              <w:rPr>
                <w:rFonts w:ascii="Times New Roman" w:eastAsia="Calibri" w:hAnsi="Times New Roman" w:cs="Times New Roman"/>
              </w:rPr>
            </w:pPr>
            <w:r w:rsidRPr="00B31051">
              <w:rPr>
                <w:rFonts w:ascii="Times New Roman" w:eastAsia="Calibri" w:hAnsi="Times New Roman" w:cs="Times New Roman"/>
              </w:rPr>
              <w:lastRenderedPageBreak/>
              <w:t xml:space="preserve">8. Projekta 6.1. apakšpunkts paredz, ka komisija var pieprasīt informāciju no Iekšlietu ministrijas Informācijas centra Sodu reģistra par personas saukšanu pie kriminālatbildības un administratīvās atbildības. Vēršam uzmanību, ka Militārā dienesta likuma 16. panta otrā daļa un Latvijas Republikas </w:t>
            </w:r>
            <w:r w:rsidRPr="00B31051">
              <w:rPr>
                <w:rFonts w:ascii="Times New Roman" w:eastAsia="Calibri" w:hAnsi="Times New Roman" w:cs="Times New Roman"/>
              </w:rPr>
              <w:lastRenderedPageBreak/>
              <w:t>Zemessardzes likuma 14. panta ceturtā daļa neparedz, ka militārajā dienestā nevar pieņemt un Zemessardzē nevar uzņemt personu, kas bijusi administratīvi sodīta. Līdz ar to nav skaidrs, kāpēc komisijai nepieciešams iegūt informāciju par personas saukšanu pie administratīvās atbildības. Ja šāda informācija ir nepieciešama, lai izvērtētu personas uzvedību, var veidoties situācijas, ka personas, kas būs sauktas pie administratīvās atbildības, netiks pieņemtas militārajā dienestā vai uzņemtas Zemessardzē, savukārt personas, kas nebūs sauktas pie administratīvās atbildības, tiks. Tādējādi netieši tiks radītas situācijas, kad personas, kas bijušas administratīvi sodītas, netiek pieņemtas militārajā dienestā vai uzņemtas Zemessardzē. Ņemot vērā minēto, lūdzam izvērtēt nepieciešamību iegūt informāciju par personas saukšanu pie administratīvās atbildības un skaidrot anotācijā šādas informācijas iegūšanas nepieciešamību un vienlīdzīga izvērtējuma nodrošināšanu.</w:t>
            </w:r>
          </w:p>
        </w:tc>
        <w:tc>
          <w:tcPr>
            <w:tcW w:w="3260" w:type="dxa"/>
            <w:tcBorders>
              <w:top w:val="single" w:sz="6" w:space="0" w:color="000000"/>
              <w:left w:val="single" w:sz="6" w:space="0" w:color="000000"/>
              <w:bottom w:val="single" w:sz="6" w:space="0" w:color="000000"/>
              <w:right w:val="single" w:sz="6" w:space="0" w:color="000000"/>
            </w:tcBorders>
          </w:tcPr>
          <w:p w:rsidR="00B31051" w:rsidRPr="009C678D" w:rsidRDefault="005D463D" w:rsidP="00927CF6">
            <w:pPr>
              <w:spacing w:before="75" w:after="75"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tcPr>
          <w:p w:rsidR="005D463D" w:rsidRPr="005D463D" w:rsidRDefault="00A44D92" w:rsidP="005D463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5D463D" w:rsidRPr="005D463D">
              <w:rPr>
                <w:rFonts w:ascii="Times New Roman" w:eastAsia="Times New Roman" w:hAnsi="Times New Roman" w:cs="Times New Roman"/>
                <w:lang w:eastAsia="lv-LV"/>
              </w:rPr>
              <w:t>.  Komisija var pieprasīt izvērtēšanai nepieciešamo informāciju no:</w:t>
            </w:r>
          </w:p>
          <w:p w:rsidR="00B31051" w:rsidRPr="00F92F3C" w:rsidRDefault="00A44D92" w:rsidP="00434BA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5D463D" w:rsidRPr="005D463D">
              <w:rPr>
                <w:rFonts w:ascii="Times New Roman" w:eastAsia="Times New Roman" w:hAnsi="Times New Roman" w:cs="Times New Roman"/>
                <w:lang w:eastAsia="lv-LV"/>
              </w:rPr>
              <w:t>.1.</w:t>
            </w:r>
            <w:proofErr w:type="gramStart"/>
            <w:r w:rsidR="005D463D" w:rsidRPr="005D463D">
              <w:rPr>
                <w:rFonts w:ascii="Times New Roman" w:eastAsia="Times New Roman" w:hAnsi="Times New Roman" w:cs="Times New Roman"/>
                <w:lang w:eastAsia="lv-LV"/>
              </w:rPr>
              <w:t xml:space="preserve"> </w:t>
            </w:r>
            <w:r w:rsidR="007F69E6">
              <w:t xml:space="preserve"> </w:t>
            </w:r>
            <w:proofErr w:type="gramEnd"/>
            <w:r w:rsidR="007F69E6" w:rsidRPr="007F69E6">
              <w:rPr>
                <w:rFonts w:ascii="Times New Roman" w:eastAsia="Times New Roman" w:hAnsi="Times New Roman" w:cs="Times New Roman"/>
                <w:lang w:eastAsia="lv-LV"/>
              </w:rPr>
              <w:t xml:space="preserve">ziņas no Sodu reģistra aktuālas un arhīva datu bāzes par kandidāta </w:t>
            </w:r>
            <w:r w:rsidR="007F69E6" w:rsidRPr="007F69E6">
              <w:rPr>
                <w:rFonts w:ascii="Times New Roman" w:eastAsia="Times New Roman" w:hAnsi="Times New Roman" w:cs="Times New Roman"/>
                <w:lang w:eastAsia="lv-LV"/>
              </w:rPr>
              <w:lastRenderedPageBreak/>
              <w:t>sodāmību, neatkarīgi no tās dzēšanas vai noņemšanas;</w:t>
            </w:r>
            <w:r w:rsidR="005D463D" w:rsidRPr="005D463D">
              <w:rPr>
                <w:rFonts w:ascii="Times New Roman" w:eastAsia="Times New Roman" w:hAnsi="Times New Roman" w:cs="Times New Roman"/>
                <w:lang w:eastAsia="lv-LV"/>
              </w:rPr>
              <w:t>;</w:t>
            </w:r>
          </w:p>
        </w:tc>
      </w:tr>
      <w:tr w:rsidR="00C56F1D"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C56F1D" w:rsidRPr="000175D4" w:rsidRDefault="00C56F1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C56F1D" w:rsidRPr="005D463D" w:rsidRDefault="00730ABE" w:rsidP="005D463D">
            <w:pPr>
              <w:spacing w:after="0" w:line="240" w:lineRule="auto"/>
              <w:jc w:val="both"/>
              <w:rPr>
                <w:rFonts w:ascii="Times New Roman" w:eastAsia="Times New Roman" w:hAnsi="Times New Roman" w:cs="Times New Roman"/>
                <w:lang w:eastAsia="lv-LV"/>
              </w:rPr>
            </w:pPr>
            <w:r w:rsidRPr="00730ABE">
              <w:rPr>
                <w:rFonts w:ascii="Times New Roman" w:eastAsia="Times New Roman" w:hAnsi="Times New Roman" w:cs="Times New Roman"/>
                <w:lang w:eastAsia="lv-LV"/>
              </w:rPr>
              <w:t>6.2. Ieslodzījuma vietu pārvaldes – informāciju par personas attieksmi pret izdarīto noziedzīgo nodarījumu, personas raksturojumu soda izpildes laikā un soda izpildes gaitu;</w:t>
            </w:r>
          </w:p>
        </w:tc>
        <w:tc>
          <w:tcPr>
            <w:tcW w:w="4678" w:type="dxa"/>
            <w:tcBorders>
              <w:top w:val="single" w:sz="6" w:space="0" w:color="000000"/>
              <w:left w:val="single" w:sz="6" w:space="0" w:color="000000"/>
              <w:bottom w:val="single" w:sz="6" w:space="0" w:color="000000"/>
              <w:right w:val="single" w:sz="6" w:space="0" w:color="000000"/>
            </w:tcBorders>
          </w:tcPr>
          <w:p w:rsidR="00C56F1D" w:rsidRPr="00B31051" w:rsidRDefault="00C56F1D" w:rsidP="007079FE">
            <w:pPr>
              <w:spacing w:after="0" w:line="240" w:lineRule="auto"/>
              <w:ind w:firstLine="34"/>
              <w:contextualSpacing/>
              <w:jc w:val="both"/>
              <w:rPr>
                <w:rFonts w:ascii="Times New Roman" w:eastAsia="Calibri" w:hAnsi="Times New Roman" w:cs="Times New Roman"/>
              </w:rPr>
            </w:pPr>
            <w:r w:rsidRPr="00C56F1D">
              <w:rPr>
                <w:rFonts w:ascii="Times New Roman" w:eastAsia="Calibri" w:hAnsi="Times New Roman" w:cs="Times New Roman"/>
              </w:rPr>
              <w:t>9. Vēršam uzmanību, ka notiesātās personas lietas pēc notiesātās personas atbrīvošanas brīvības atņemšanas iestādes glabā piecus gadus. Ņemot vērā minēto, lūdzam papildināt projekta 6.2. apakšpunktu ar norādi, ka informācija tiek pieprasīta tikai tajā gadījumā, ja no personas atbrīvošanas no brīvības atņemšanas iestādes nav pagājuši pieci gadi.</w:t>
            </w:r>
          </w:p>
        </w:tc>
        <w:tc>
          <w:tcPr>
            <w:tcW w:w="3260" w:type="dxa"/>
            <w:tcBorders>
              <w:top w:val="single" w:sz="6" w:space="0" w:color="000000"/>
              <w:left w:val="single" w:sz="6" w:space="0" w:color="000000"/>
              <w:bottom w:val="single" w:sz="6" w:space="0" w:color="000000"/>
              <w:right w:val="single" w:sz="6" w:space="0" w:color="000000"/>
            </w:tcBorders>
          </w:tcPr>
          <w:p w:rsidR="00C56F1D" w:rsidRDefault="00C56F1D" w:rsidP="00927CF6">
            <w:pPr>
              <w:spacing w:before="75" w:after="75"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tcPr>
          <w:p w:rsidR="00727D61" w:rsidRPr="00727D61" w:rsidRDefault="00A44D92" w:rsidP="002771F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27D61" w:rsidRPr="00727D61">
              <w:rPr>
                <w:rFonts w:ascii="Times New Roman" w:eastAsia="Times New Roman" w:hAnsi="Times New Roman" w:cs="Times New Roman"/>
                <w:lang w:eastAsia="lv-LV"/>
              </w:rPr>
              <w:t xml:space="preserve">.2. Ieslodzījuma vietu pārvaldes, </w:t>
            </w:r>
            <w:r w:rsidR="00727D61" w:rsidRPr="00727D61">
              <w:rPr>
                <w:rFonts w:ascii="Times New Roman" w:eastAsia="Times New Roman" w:hAnsi="Times New Roman" w:cs="Times New Roman"/>
                <w:u w:val="single"/>
                <w:lang w:eastAsia="lv-LV"/>
              </w:rPr>
              <w:t xml:space="preserve">ja no </w:t>
            </w:r>
            <w:r w:rsidR="00434BAE">
              <w:rPr>
                <w:rFonts w:ascii="Times New Roman" w:eastAsia="Times New Roman" w:hAnsi="Times New Roman" w:cs="Times New Roman"/>
                <w:u w:val="single"/>
                <w:lang w:eastAsia="lv-LV"/>
              </w:rPr>
              <w:t>kandidāta</w:t>
            </w:r>
            <w:r w:rsidR="00727D61" w:rsidRPr="00727D61">
              <w:rPr>
                <w:rFonts w:ascii="Times New Roman" w:eastAsia="Times New Roman" w:hAnsi="Times New Roman" w:cs="Times New Roman"/>
                <w:u w:val="single"/>
                <w:lang w:eastAsia="lv-LV"/>
              </w:rPr>
              <w:t xml:space="preserve"> atbrīvošanas no brīvības atņemšanas iestādes nav pagājuši pieci gadi</w:t>
            </w:r>
            <w:r w:rsidR="00727D61" w:rsidRPr="00727D61">
              <w:rPr>
                <w:rFonts w:ascii="Times New Roman" w:eastAsia="Times New Roman" w:hAnsi="Times New Roman" w:cs="Times New Roman"/>
                <w:lang w:eastAsia="lv-LV"/>
              </w:rPr>
              <w:t xml:space="preserve"> – informāciju par </w:t>
            </w:r>
            <w:r w:rsidR="00434BAE">
              <w:rPr>
                <w:rFonts w:ascii="Times New Roman" w:eastAsia="Times New Roman" w:hAnsi="Times New Roman" w:cs="Times New Roman"/>
                <w:lang w:eastAsia="lv-LV"/>
              </w:rPr>
              <w:t>kandidāta</w:t>
            </w:r>
            <w:r w:rsidR="00727D61" w:rsidRPr="00727D61">
              <w:rPr>
                <w:rFonts w:ascii="Times New Roman" w:eastAsia="Times New Roman" w:hAnsi="Times New Roman" w:cs="Times New Roman"/>
                <w:lang w:eastAsia="lv-LV"/>
              </w:rPr>
              <w:t xml:space="preserve"> attieksmi pret izdarīto noziedzīgo nodarījumu, </w:t>
            </w:r>
            <w:r w:rsidR="00434BAE">
              <w:rPr>
                <w:rFonts w:ascii="Times New Roman" w:eastAsia="Times New Roman" w:hAnsi="Times New Roman" w:cs="Times New Roman"/>
                <w:lang w:eastAsia="lv-LV"/>
              </w:rPr>
              <w:t>kand</w:t>
            </w:r>
            <w:r w:rsidR="008663D1">
              <w:rPr>
                <w:rFonts w:ascii="Times New Roman" w:eastAsia="Times New Roman" w:hAnsi="Times New Roman" w:cs="Times New Roman"/>
                <w:lang w:eastAsia="lv-LV"/>
              </w:rPr>
              <w:t>id</w:t>
            </w:r>
            <w:r w:rsidR="00434BAE">
              <w:rPr>
                <w:rFonts w:ascii="Times New Roman" w:eastAsia="Times New Roman" w:hAnsi="Times New Roman" w:cs="Times New Roman"/>
                <w:lang w:eastAsia="lv-LV"/>
              </w:rPr>
              <w:t>āta</w:t>
            </w:r>
            <w:r w:rsidR="00727D61" w:rsidRPr="00727D61">
              <w:rPr>
                <w:rFonts w:ascii="Times New Roman" w:eastAsia="Times New Roman" w:hAnsi="Times New Roman" w:cs="Times New Roman"/>
                <w:lang w:eastAsia="lv-LV"/>
              </w:rPr>
              <w:t xml:space="preserve"> raksturojumu soda izpildes laikā un soda izpildes gaitu;</w:t>
            </w:r>
          </w:p>
          <w:p w:rsidR="00C56F1D" w:rsidRPr="005D463D" w:rsidRDefault="00C56F1D" w:rsidP="005D463D">
            <w:pPr>
              <w:spacing w:after="0" w:line="240" w:lineRule="auto"/>
              <w:jc w:val="both"/>
              <w:rPr>
                <w:rFonts w:ascii="Times New Roman" w:eastAsia="Times New Roman" w:hAnsi="Times New Roman" w:cs="Times New Roman"/>
                <w:lang w:eastAsia="lv-LV"/>
              </w:rPr>
            </w:pPr>
          </w:p>
        </w:tc>
      </w:tr>
      <w:tr w:rsidR="00AB1D69"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AB1D69" w:rsidRPr="000175D4" w:rsidRDefault="00AB1D69"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AB1D69" w:rsidRPr="00730ABE" w:rsidRDefault="006D22C3" w:rsidP="005D463D">
            <w:pPr>
              <w:spacing w:after="0" w:line="240" w:lineRule="auto"/>
              <w:jc w:val="both"/>
              <w:rPr>
                <w:rFonts w:ascii="Times New Roman" w:eastAsia="Times New Roman" w:hAnsi="Times New Roman" w:cs="Times New Roman"/>
                <w:lang w:eastAsia="lv-LV"/>
              </w:rPr>
            </w:pPr>
            <w:r w:rsidRPr="006D22C3">
              <w:rPr>
                <w:rFonts w:ascii="Times New Roman" w:eastAsia="Times New Roman" w:hAnsi="Times New Roman" w:cs="Times New Roman"/>
                <w:lang w:eastAsia="lv-LV"/>
              </w:rPr>
              <w:t xml:space="preserve">6.4. Latvijas Nacionālā arhīva vai tā struktūrvienības – tiesas nolēmumu vai prokurora priekšrakstu kopijas, citas </w:t>
            </w:r>
            <w:r w:rsidRPr="006D22C3">
              <w:rPr>
                <w:rFonts w:ascii="Times New Roman" w:eastAsia="Times New Roman" w:hAnsi="Times New Roman" w:cs="Times New Roman"/>
                <w:lang w:eastAsia="lv-LV"/>
              </w:rPr>
              <w:lastRenderedPageBreak/>
              <w:t>Latvijas Nacionālā arhīva vai tā struktūrvienības rīcībā esošās ziņas par personas darbību kopš noziedzīgā nodarījuma izdarīšanas, kas ļauj izvērtēt personas attieksmi pret izdarīto noziedzīgo nodarījumu un iespējamo ietekmi uz plānoto dienesta gaitu (ja nav saņemts no personas vai citas iestādes);</w:t>
            </w:r>
          </w:p>
        </w:tc>
        <w:tc>
          <w:tcPr>
            <w:tcW w:w="4678" w:type="dxa"/>
            <w:tcBorders>
              <w:top w:val="single" w:sz="6" w:space="0" w:color="000000"/>
              <w:left w:val="single" w:sz="6" w:space="0" w:color="000000"/>
              <w:bottom w:val="single" w:sz="6" w:space="0" w:color="000000"/>
              <w:right w:val="single" w:sz="6" w:space="0" w:color="000000"/>
            </w:tcBorders>
          </w:tcPr>
          <w:p w:rsidR="00AB1D69" w:rsidRPr="00C56F1D" w:rsidRDefault="00AB1D69" w:rsidP="007079FE">
            <w:pPr>
              <w:spacing w:after="0" w:line="240" w:lineRule="auto"/>
              <w:ind w:firstLine="34"/>
              <w:contextualSpacing/>
              <w:jc w:val="both"/>
              <w:rPr>
                <w:rFonts w:ascii="Times New Roman" w:eastAsia="Calibri" w:hAnsi="Times New Roman" w:cs="Times New Roman"/>
              </w:rPr>
            </w:pPr>
            <w:r w:rsidRPr="00AB1D69">
              <w:rPr>
                <w:rFonts w:ascii="Times New Roman" w:eastAsia="Calibri" w:hAnsi="Times New Roman" w:cs="Times New Roman"/>
              </w:rPr>
              <w:lastRenderedPageBreak/>
              <w:t xml:space="preserve">10. Projekta 6.4. apakšpunkts paredz, ka komisija var pieprasīt Latvijas Nacionālajam arhīvam vai tā struktūrvienībai tiesas nolēmumu vai prokurora priekšraksta par sodu kopijas, kā arī citas tā rīcībā esošās ziņas par personas darbību kopš noziedzīgā </w:t>
            </w:r>
            <w:r w:rsidRPr="00AB1D69">
              <w:rPr>
                <w:rFonts w:ascii="Times New Roman" w:eastAsia="Calibri" w:hAnsi="Times New Roman" w:cs="Times New Roman"/>
              </w:rPr>
              <w:lastRenderedPageBreak/>
              <w:t>nodarījuma izdarīšanas, kas ļauj izvērtēt personas attieksmi pret izdarīto noziedzīgo nodarījumu un iespējamo ietekmi uz plānoto dienesta gaitu. Vēršam uzmanību, ka arhīva rīcībā var būt liels apjoms ar dažādu informāciju par personu, līdz ar to nav saprotams, vai tiešām arhīva darbiniekiem būs jāizlemj, kura informācija ļaus izvērtēt personas attieksmi pret izdarīto noziedzīgo nodarījumu un iespējamo ietekmi uz plānoto dienesta gaitu. Ņemot vērā minēto, lūdzam precizēt projekta 6.4. apakšpunktu, norādot, kādu informāciju komisija pieprasīs no arhīva.</w:t>
            </w:r>
          </w:p>
        </w:tc>
        <w:tc>
          <w:tcPr>
            <w:tcW w:w="3260" w:type="dxa"/>
            <w:tcBorders>
              <w:top w:val="single" w:sz="6" w:space="0" w:color="000000"/>
              <w:left w:val="single" w:sz="6" w:space="0" w:color="000000"/>
              <w:bottom w:val="single" w:sz="6" w:space="0" w:color="000000"/>
              <w:right w:val="single" w:sz="6" w:space="0" w:color="000000"/>
            </w:tcBorders>
          </w:tcPr>
          <w:p w:rsidR="00AB1D69" w:rsidRDefault="006D22C3" w:rsidP="00927CF6">
            <w:pPr>
              <w:spacing w:before="75" w:after="75"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tcPr>
          <w:p w:rsidR="00AB1D69" w:rsidRPr="00727D61" w:rsidRDefault="00A44D92" w:rsidP="00367FD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367FD9" w:rsidRPr="00367FD9">
              <w:rPr>
                <w:rFonts w:ascii="Times New Roman" w:eastAsia="Times New Roman" w:hAnsi="Times New Roman" w:cs="Times New Roman"/>
                <w:lang w:eastAsia="lv-LV"/>
              </w:rPr>
              <w:t>.4. Latvijas Nacionālā arhīva vai tā struktūrvienības – tiesas nolēmumu vai</w:t>
            </w:r>
            <w:r w:rsidR="00367FD9">
              <w:rPr>
                <w:rFonts w:ascii="Times New Roman" w:eastAsia="Times New Roman" w:hAnsi="Times New Roman" w:cs="Times New Roman"/>
                <w:lang w:eastAsia="lv-LV"/>
              </w:rPr>
              <w:t xml:space="preserve"> prokurora priekšrakstu kopijas un </w:t>
            </w:r>
            <w:r w:rsidR="00367FD9" w:rsidRPr="00C37F91">
              <w:rPr>
                <w:rFonts w:ascii="Times New Roman" w:eastAsia="Times New Roman" w:hAnsi="Times New Roman" w:cs="Times New Roman"/>
                <w:u w:val="single"/>
                <w:lang w:eastAsia="lv-LV"/>
              </w:rPr>
              <w:t xml:space="preserve">citu kandidāta atbilstības noteikšanai profesionālajām </w:t>
            </w:r>
            <w:r w:rsidR="00367FD9" w:rsidRPr="00C37F91">
              <w:rPr>
                <w:rFonts w:ascii="Times New Roman" w:eastAsia="Times New Roman" w:hAnsi="Times New Roman" w:cs="Times New Roman"/>
                <w:u w:val="single"/>
                <w:lang w:eastAsia="lv-LV"/>
              </w:rPr>
              <w:lastRenderedPageBreak/>
              <w:t>dienestam nepieciešamo informāciju</w:t>
            </w:r>
            <w:r w:rsidR="009D76AC">
              <w:rPr>
                <w:rFonts w:ascii="Times New Roman" w:eastAsia="Times New Roman" w:hAnsi="Times New Roman" w:cs="Times New Roman"/>
                <w:u w:val="single"/>
                <w:lang w:eastAsia="lv-LV"/>
              </w:rPr>
              <w:t xml:space="preserve"> atbilstoši komisijas norādījumiem</w:t>
            </w:r>
            <w:r w:rsidR="00367FD9" w:rsidRPr="00367FD9">
              <w:rPr>
                <w:rFonts w:ascii="Times New Roman" w:eastAsia="Times New Roman" w:hAnsi="Times New Roman" w:cs="Times New Roman"/>
                <w:lang w:eastAsia="lv-LV"/>
              </w:rPr>
              <w:t>;</w:t>
            </w:r>
          </w:p>
        </w:tc>
      </w:tr>
      <w:tr w:rsidR="00910399"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910399" w:rsidRPr="000175D4" w:rsidRDefault="00910399"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910399" w:rsidRPr="007079FE" w:rsidRDefault="001D5659" w:rsidP="004F150C">
            <w:pPr>
              <w:spacing w:after="0" w:line="240" w:lineRule="auto"/>
              <w:jc w:val="both"/>
              <w:rPr>
                <w:rFonts w:ascii="Times New Roman" w:eastAsia="Times New Roman" w:hAnsi="Times New Roman" w:cs="Times New Roman"/>
                <w:lang w:eastAsia="lv-LV"/>
              </w:rPr>
            </w:pPr>
            <w:r w:rsidRPr="001D5659">
              <w:rPr>
                <w:rFonts w:ascii="Times New Roman" w:eastAsia="Times New Roman" w:hAnsi="Times New Roman" w:cs="Times New Roman"/>
                <w:lang w:eastAsia="lv-LV"/>
              </w:rPr>
              <w:t>8. Komisija pēc lēmuma pieņemšanai nepieciešamo dokumentu izvērtēšanas un kandidāta uzklausīšanas pieņem lēmumu atļaut pieņemt kandidātu dienestā vai atteikt pieņemšanu. Lēmumu rakstiski paziņo kandidātam un Nacionālo bruņoto spēku Apvienotajam štābam vai Zemessardzes štābam.</w:t>
            </w:r>
          </w:p>
        </w:tc>
        <w:tc>
          <w:tcPr>
            <w:tcW w:w="4678" w:type="dxa"/>
            <w:tcBorders>
              <w:top w:val="single" w:sz="6" w:space="0" w:color="000000"/>
              <w:left w:val="single" w:sz="6" w:space="0" w:color="000000"/>
              <w:bottom w:val="single" w:sz="6" w:space="0" w:color="000000"/>
              <w:right w:val="single" w:sz="6" w:space="0" w:color="000000"/>
            </w:tcBorders>
          </w:tcPr>
          <w:p w:rsidR="00910399" w:rsidRPr="007079FE" w:rsidRDefault="00910399" w:rsidP="007079FE">
            <w:pPr>
              <w:spacing w:after="0" w:line="240" w:lineRule="auto"/>
              <w:ind w:firstLine="34"/>
              <w:contextualSpacing/>
              <w:jc w:val="both"/>
              <w:rPr>
                <w:rFonts w:ascii="Times New Roman" w:eastAsia="Calibri" w:hAnsi="Times New Roman" w:cs="Times New Roman"/>
              </w:rPr>
            </w:pPr>
            <w:r w:rsidRPr="00910399">
              <w:rPr>
                <w:rFonts w:ascii="Times New Roman" w:eastAsia="Calibri" w:hAnsi="Times New Roman" w:cs="Times New Roman"/>
              </w:rPr>
              <w:t>12. Administratīvā procesa likuma 63. panta pirmā daļa paredz, ka pēc nepieciešamo faktu konstatēšanas un administratīvā procesa dalībnieku uzklausīšanas iestāde nekavējoties izvērtē lietas apstākļus un izdod attiecīgu administratīvo aktu. Administratīvā procesa likuma 70. panta otrās daļas pirmais teikums paredz, ka administratīvo aktu paziņo adresātam Paziņošanas likumā noteiktajā kārtībā. Ņemot vērā minēto, lūdzam svītrot projekta 8. punktu, jo tas dublē Administratīvā procesa likuma 63. panta pirmajā daļā noteikto un ir pretrunā Administratīvā procesa likuma 70. panta otrajā daļā noteiktajam.</w:t>
            </w:r>
          </w:p>
        </w:tc>
        <w:tc>
          <w:tcPr>
            <w:tcW w:w="3260" w:type="dxa"/>
            <w:tcBorders>
              <w:top w:val="single" w:sz="6" w:space="0" w:color="000000"/>
              <w:left w:val="single" w:sz="6" w:space="0" w:color="000000"/>
              <w:bottom w:val="single" w:sz="6" w:space="0" w:color="000000"/>
              <w:right w:val="single" w:sz="6" w:space="0" w:color="000000"/>
            </w:tcBorders>
          </w:tcPr>
          <w:p w:rsidR="00910399" w:rsidRDefault="00910399" w:rsidP="00927CF6">
            <w:pPr>
              <w:spacing w:before="75" w:after="75" w:line="240" w:lineRule="auto"/>
              <w:jc w:val="both"/>
              <w:rPr>
                <w:rFonts w:ascii="Times New Roman" w:eastAsia="Times New Roman" w:hAnsi="Times New Roman" w:cs="Times New Roman"/>
                <w:b/>
                <w:lang w:eastAsia="lv-LV"/>
              </w:rPr>
            </w:pPr>
            <w:r w:rsidRPr="009C678D">
              <w:rPr>
                <w:rFonts w:ascii="Times New Roman" w:eastAsia="Times New Roman" w:hAnsi="Times New Roman" w:cs="Times New Roman"/>
                <w:b/>
                <w:lang w:eastAsia="lv-LV"/>
              </w:rPr>
              <w:t>Ņemts vērā daļēji.</w:t>
            </w:r>
          </w:p>
          <w:p w:rsidR="0095724B" w:rsidRPr="009C678D" w:rsidRDefault="0095724B" w:rsidP="00927CF6">
            <w:pPr>
              <w:spacing w:before="75" w:after="75"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Panākta vienošanās saskaņošanas laikā.</w:t>
            </w:r>
          </w:p>
          <w:p w:rsidR="00910399" w:rsidRDefault="00910399" w:rsidP="00081C68">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Precizētais </w:t>
            </w:r>
            <w:r w:rsidR="007C6CB9">
              <w:rPr>
                <w:rFonts w:ascii="Times New Roman" w:eastAsia="Times New Roman" w:hAnsi="Times New Roman" w:cs="Times New Roman"/>
                <w:lang w:eastAsia="lv-LV"/>
              </w:rPr>
              <w:t>7</w:t>
            </w:r>
            <w:bookmarkStart w:id="0" w:name="_GoBack"/>
            <w:bookmarkEnd w:id="0"/>
            <w:r>
              <w:rPr>
                <w:rFonts w:ascii="Times New Roman" w:eastAsia="Times New Roman" w:hAnsi="Times New Roman" w:cs="Times New Roman"/>
                <w:lang w:eastAsia="lv-LV"/>
              </w:rPr>
              <w:t>.punkts nosaka</w:t>
            </w:r>
            <w:r w:rsidR="001D5659">
              <w:rPr>
                <w:rFonts w:ascii="Times New Roman" w:eastAsia="Times New Roman" w:hAnsi="Times New Roman" w:cs="Times New Roman"/>
                <w:lang w:eastAsia="lv-LV"/>
              </w:rPr>
              <w:t xml:space="preserve">, </w:t>
            </w:r>
            <w:r w:rsidR="00081C68">
              <w:rPr>
                <w:rFonts w:ascii="Times New Roman" w:eastAsia="Times New Roman" w:hAnsi="Times New Roman" w:cs="Times New Roman"/>
                <w:lang w:eastAsia="lv-LV"/>
              </w:rPr>
              <w:t>kam</w:t>
            </w:r>
            <w:r w:rsidR="001D5659">
              <w:rPr>
                <w:rFonts w:ascii="Times New Roman" w:eastAsia="Times New Roman" w:hAnsi="Times New Roman" w:cs="Times New Roman"/>
                <w:lang w:eastAsia="lv-LV"/>
              </w:rPr>
              <w:t xml:space="preserve"> komisija </w:t>
            </w:r>
            <w:r w:rsidR="00081C68">
              <w:rPr>
                <w:rFonts w:ascii="Times New Roman" w:eastAsia="Times New Roman" w:hAnsi="Times New Roman" w:cs="Times New Roman"/>
                <w:lang w:eastAsia="lv-LV"/>
              </w:rPr>
              <w:t>paziņo savu lēmumu</w:t>
            </w:r>
            <w:r>
              <w:rPr>
                <w:rFonts w:ascii="Times New Roman" w:eastAsia="Times New Roman" w:hAnsi="Times New Roman" w:cs="Times New Roman"/>
                <w:lang w:eastAsia="lv-LV"/>
              </w:rPr>
              <w:t>.</w:t>
            </w:r>
          </w:p>
        </w:tc>
        <w:tc>
          <w:tcPr>
            <w:tcW w:w="3402" w:type="dxa"/>
            <w:tcBorders>
              <w:top w:val="single" w:sz="4" w:space="0" w:color="auto"/>
              <w:left w:val="single" w:sz="4" w:space="0" w:color="auto"/>
              <w:bottom w:val="single" w:sz="4" w:space="0" w:color="auto"/>
            </w:tcBorders>
          </w:tcPr>
          <w:p w:rsidR="00910399" w:rsidRPr="00F92F3C" w:rsidRDefault="00A44D92" w:rsidP="0077005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A845B3" w:rsidRPr="00A845B3">
              <w:rPr>
                <w:rFonts w:ascii="Times New Roman" w:eastAsia="Times New Roman" w:hAnsi="Times New Roman" w:cs="Times New Roman"/>
                <w:lang w:eastAsia="lv-LV"/>
              </w:rPr>
              <w:t xml:space="preserve">. Komisija Paziņošanas likumā noteiktajā kārtībā paziņo </w:t>
            </w:r>
            <w:r w:rsidR="00770058">
              <w:rPr>
                <w:rFonts w:ascii="Times New Roman" w:eastAsia="Times New Roman" w:hAnsi="Times New Roman" w:cs="Times New Roman"/>
                <w:lang w:eastAsia="lv-LV"/>
              </w:rPr>
              <w:t>savu lēmumu</w:t>
            </w:r>
            <w:r w:rsidR="00A845B3" w:rsidRPr="00A845B3">
              <w:rPr>
                <w:rFonts w:ascii="Times New Roman" w:eastAsia="Times New Roman" w:hAnsi="Times New Roman" w:cs="Times New Roman"/>
                <w:lang w:eastAsia="lv-LV"/>
              </w:rPr>
              <w:t xml:space="preserve"> kandidātam un Nacionālo bruņoto spēku Apvienotajam štābam vai Zemessardzes štābam.</w:t>
            </w:r>
          </w:p>
        </w:tc>
      </w:tr>
      <w:tr w:rsidR="00045F9E" w:rsidRPr="000175D4" w:rsidTr="0063280A">
        <w:trPr>
          <w:gridAfter w:val="1"/>
          <w:wAfter w:w="240" w:type="dxa"/>
        </w:trPr>
        <w:tc>
          <w:tcPr>
            <w:tcW w:w="15018" w:type="dxa"/>
            <w:gridSpan w:val="6"/>
            <w:tcBorders>
              <w:top w:val="single" w:sz="4" w:space="0" w:color="auto"/>
              <w:left w:val="single" w:sz="4" w:space="0" w:color="auto"/>
              <w:bottom w:val="single" w:sz="4" w:space="0" w:color="auto"/>
            </w:tcBorders>
          </w:tcPr>
          <w:p w:rsidR="00045F9E" w:rsidRPr="00045F9E" w:rsidRDefault="00045F9E" w:rsidP="00045F9E">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Tieslietu ministrijas </w:t>
            </w:r>
            <w:r w:rsidRPr="00045F9E">
              <w:rPr>
                <w:rFonts w:ascii="Times New Roman" w:eastAsia="Times New Roman" w:hAnsi="Times New Roman" w:cs="Times New Roman"/>
                <w:lang w:eastAsia="lv-LV"/>
              </w:rPr>
              <w:t>28.01.2021.</w:t>
            </w:r>
            <w:r>
              <w:rPr>
                <w:rFonts w:ascii="Times New Roman" w:eastAsia="Times New Roman" w:hAnsi="Times New Roman" w:cs="Times New Roman"/>
                <w:lang w:eastAsia="lv-LV"/>
              </w:rPr>
              <w:t>e-vēstule</w:t>
            </w:r>
          </w:p>
        </w:tc>
      </w:tr>
      <w:tr w:rsidR="00045F9E"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045F9E" w:rsidRPr="000175D4" w:rsidRDefault="00045F9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045F9E" w:rsidRPr="001D5659" w:rsidRDefault="00891A51" w:rsidP="004F150C">
            <w:pPr>
              <w:spacing w:after="0" w:line="240" w:lineRule="auto"/>
              <w:jc w:val="both"/>
              <w:rPr>
                <w:rFonts w:ascii="Times New Roman" w:eastAsia="Times New Roman" w:hAnsi="Times New Roman" w:cs="Times New Roman"/>
                <w:lang w:eastAsia="lv-LV"/>
              </w:rPr>
            </w:pPr>
            <w:r w:rsidRPr="00891A51">
              <w:rPr>
                <w:rFonts w:ascii="Times New Roman" w:eastAsia="Times New Roman" w:hAnsi="Times New Roman" w:cs="Times New Roman"/>
                <w:lang w:eastAsia="lv-LV"/>
              </w:rPr>
              <w:t>1.</w:t>
            </w:r>
            <w:r w:rsidRPr="00891A51">
              <w:rPr>
                <w:rFonts w:ascii="Times New Roman" w:eastAsia="Times New Roman" w:hAnsi="Times New Roman" w:cs="Times New Roman"/>
                <w:lang w:eastAsia="lv-LV"/>
              </w:rPr>
              <w:tab/>
              <w:t xml:space="preserve">Noteikumi nosaka kārtību, kādā var atļaut Latvijas pilsoņa (turpmāk – kandidāts) pieņemšanu militārajā dienestā vai uzņemšanu Zemessardzē (turpmāk – pieņemšana dienestā), kas ir izdarījis tīšu kriminālpārkāpumu, tīšu </w:t>
            </w:r>
            <w:r w:rsidRPr="00891A51">
              <w:rPr>
                <w:rFonts w:ascii="Times New Roman" w:eastAsia="Times New Roman" w:hAnsi="Times New Roman" w:cs="Times New Roman"/>
                <w:lang w:eastAsia="lv-LV"/>
              </w:rPr>
              <w:lastRenderedPageBreak/>
              <w:t>mazāk smagu noziegumu</w:t>
            </w:r>
            <w:proofErr w:type="gramStart"/>
            <w:r w:rsidRPr="00891A51">
              <w:rPr>
                <w:rFonts w:ascii="Times New Roman" w:eastAsia="Times New Roman" w:hAnsi="Times New Roman" w:cs="Times New Roman"/>
                <w:lang w:eastAsia="lv-LV"/>
              </w:rPr>
              <w:t xml:space="preserve"> vai ir izpaudis valsts noslēpumu aiz neuzmanības un sodāmība ir dzēsta vai noņemta</w:t>
            </w:r>
            <w:proofErr w:type="gramEnd"/>
            <w:r w:rsidRPr="00891A51">
              <w:rPr>
                <w:rFonts w:ascii="Times New Roman" w:eastAsia="Times New Roman" w:hAnsi="Times New Roman" w:cs="Times New Roman"/>
                <w:lang w:eastAsia="lv-LV"/>
              </w:rPr>
              <w:t xml:space="preserve"> vai pēc nolēmuma par kriminālprocesa izbeigšanu uz nereabilitējoša pamata ir pagājuši ne mazāk kā pieci gadi.</w:t>
            </w:r>
          </w:p>
        </w:tc>
        <w:tc>
          <w:tcPr>
            <w:tcW w:w="4678" w:type="dxa"/>
            <w:tcBorders>
              <w:top w:val="single" w:sz="6" w:space="0" w:color="000000"/>
              <w:left w:val="single" w:sz="6" w:space="0" w:color="000000"/>
              <w:bottom w:val="single" w:sz="6" w:space="0" w:color="000000"/>
              <w:right w:val="single" w:sz="6" w:space="0" w:color="000000"/>
            </w:tcBorders>
          </w:tcPr>
          <w:p w:rsidR="00EB6312" w:rsidRPr="00EB6312" w:rsidRDefault="00EB6312" w:rsidP="00EB6312">
            <w:pPr>
              <w:spacing w:after="0" w:line="240" w:lineRule="auto"/>
              <w:ind w:firstLine="34"/>
              <w:contextualSpacing/>
              <w:jc w:val="both"/>
              <w:rPr>
                <w:rFonts w:ascii="Times New Roman" w:eastAsia="Calibri" w:hAnsi="Times New Roman" w:cs="Times New Roman"/>
              </w:rPr>
            </w:pPr>
            <w:r w:rsidRPr="00EB6312">
              <w:rPr>
                <w:rFonts w:ascii="Times New Roman" w:eastAsia="Calibri" w:hAnsi="Times New Roman" w:cs="Times New Roman"/>
              </w:rPr>
              <w:lastRenderedPageBreak/>
              <w:t xml:space="preserve">1. Ministru kabineta 2009. gada 3. februāra noteikumu Nr. 108 "Normatīvo aktu projektu sagatavošanas noteikumi" 100. punkts paredz, ka noteikumu projekta pirmajā punktā secīgi raksta vārdus "noteikumi nosaka" un likumā noteikto pilnvarojumu Ministru kabinetam. Projekta 1. punkts paredz, ka projekts nosaka kārtību, kādā var atļaut Latvijas pilsoņa pieņemšanu militārajā dienestā vai uzņemšanu Zemessardzē, kas ir </w:t>
            </w:r>
            <w:r w:rsidRPr="00EB6312">
              <w:rPr>
                <w:rFonts w:ascii="Times New Roman" w:eastAsia="Calibri" w:hAnsi="Times New Roman" w:cs="Times New Roman"/>
              </w:rPr>
              <w:lastRenderedPageBreak/>
              <w:t>izdarījis tīšu kriminālpārkāpumu, tīšu mazāk smagu noziegumu</w:t>
            </w:r>
            <w:proofErr w:type="gramStart"/>
            <w:r w:rsidRPr="00EB6312">
              <w:rPr>
                <w:rFonts w:ascii="Times New Roman" w:eastAsia="Calibri" w:hAnsi="Times New Roman" w:cs="Times New Roman"/>
              </w:rPr>
              <w:t xml:space="preserve"> vai ir izpaudis valsts noslēpumu aiz neuzmanības un sodāmība ir dzēsta vai noņemta</w:t>
            </w:r>
            <w:proofErr w:type="gramEnd"/>
            <w:r w:rsidRPr="00EB6312">
              <w:rPr>
                <w:rFonts w:ascii="Times New Roman" w:eastAsia="Calibri" w:hAnsi="Times New Roman" w:cs="Times New Roman"/>
              </w:rPr>
              <w:t xml:space="preserve"> vai pēc nolēmuma par kriminālprocesa izbeigšanu uz nereabilitējoša pamata ir pagājuši ne mazāk kā pieci gadi. Likumprojekts "Grozījumi Militārā dienesta likumā" (Nr. 739/Lp13) un likumprojekts "Grozījumi Latvijas Republikas Zemessardzes likumā" (Nr. 740/Lp13) ir pieņemti Saeimā 2. lasījumā 2020. gada 19. novembrī un 3. lasījumā pieņemti vēl aizvien nav. Saeimas Juridiskā biroja priekšlikumi likumprojektam "Grozījumi Militārā dienesta likumā" (Nr. 739/Lp13) uz 3. lasījumu paredz izteikt jaunā redakcijā Militārā dienesta likuma 16. panta 2.2 daļu un papildināt Militārā dienesta likuma 16. pantu ar 2.3 daļu šādā redakcijā: </w:t>
            </w:r>
          </w:p>
          <w:p w:rsidR="00EB6312" w:rsidRPr="00EB6312" w:rsidRDefault="00EB6312" w:rsidP="00EB6312">
            <w:pPr>
              <w:spacing w:after="0" w:line="240" w:lineRule="auto"/>
              <w:ind w:firstLine="34"/>
              <w:contextualSpacing/>
              <w:jc w:val="both"/>
              <w:rPr>
                <w:rFonts w:ascii="Times New Roman" w:eastAsia="Calibri" w:hAnsi="Times New Roman" w:cs="Times New Roman"/>
              </w:rPr>
            </w:pPr>
            <w:r w:rsidRPr="00EB6312">
              <w:rPr>
                <w:rFonts w:ascii="Times New Roman" w:eastAsia="Calibri" w:hAnsi="Times New Roman" w:cs="Times New Roman"/>
              </w:rPr>
              <w:t xml:space="preserve">"(22) Aizsardzības ministra izveidota komisija var atļaut šā panta otrās daļas 1. vai 3. punktā minētā Latvijas pilsoņa pieņemšanu militārajā dienestā, </w:t>
            </w:r>
            <w:proofErr w:type="gramStart"/>
            <w:r w:rsidRPr="00EB6312">
              <w:rPr>
                <w:rFonts w:ascii="Times New Roman" w:eastAsia="Calibri" w:hAnsi="Times New Roman" w:cs="Times New Roman"/>
              </w:rPr>
              <w:t>ja viņš nav izdarījis tīšu smagu vai sevišķi smagu noziegumu un sodāmība ir dzēsta vai noņemta</w:t>
            </w:r>
            <w:proofErr w:type="gramEnd"/>
            <w:r w:rsidRPr="00EB6312">
              <w:rPr>
                <w:rFonts w:ascii="Times New Roman" w:eastAsia="Calibri" w:hAnsi="Times New Roman" w:cs="Times New Roman"/>
              </w:rPr>
              <w:t xml:space="preserve"> vai pēc nolēmuma par kriminālprocesa izbeigšanu uz nereabilitējoša pamata ir pagājuši ne mazāk kā pieci gadi.  </w:t>
            </w:r>
          </w:p>
          <w:p w:rsidR="00EB6312" w:rsidRPr="00EB6312" w:rsidRDefault="00EB6312" w:rsidP="00EB6312">
            <w:pPr>
              <w:spacing w:after="0" w:line="240" w:lineRule="auto"/>
              <w:ind w:firstLine="34"/>
              <w:contextualSpacing/>
              <w:jc w:val="both"/>
              <w:rPr>
                <w:rFonts w:ascii="Times New Roman" w:eastAsia="Calibri" w:hAnsi="Times New Roman" w:cs="Times New Roman"/>
              </w:rPr>
            </w:pPr>
            <w:r w:rsidRPr="00EB6312">
              <w:rPr>
                <w:rFonts w:ascii="Times New Roman" w:eastAsia="Calibri" w:hAnsi="Times New Roman" w:cs="Times New Roman"/>
              </w:rPr>
              <w:tab/>
              <w:t xml:space="preserve">(23) Ministru kabinets nosaka kārtību, kādā aizsardzības ministra izveidotā komisija izvērtē šā panta 2.2 daļā minētās atļaujas sniegšanu." </w:t>
            </w:r>
          </w:p>
          <w:p w:rsidR="00EB6312" w:rsidRPr="00EB6312" w:rsidRDefault="00EB6312" w:rsidP="00EB6312">
            <w:pPr>
              <w:spacing w:after="0" w:line="240" w:lineRule="auto"/>
              <w:ind w:firstLine="34"/>
              <w:contextualSpacing/>
              <w:jc w:val="both"/>
              <w:rPr>
                <w:rFonts w:ascii="Times New Roman" w:eastAsia="Calibri" w:hAnsi="Times New Roman" w:cs="Times New Roman"/>
              </w:rPr>
            </w:pPr>
            <w:r w:rsidRPr="00EB6312">
              <w:rPr>
                <w:rFonts w:ascii="Times New Roman" w:eastAsia="Calibri" w:hAnsi="Times New Roman" w:cs="Times New Roman"/>
              </w:rPr>
              <w:t xml:space="preserve">Saeimas Juridiskā biroja priekšlikumi likumprojektam "Grozījumi Latvijas Republikas Zemessardzes likumā" (Nr. 740/Lp13) paredz papildināt Latvijas Republikas Zemessardzes likuma 14. pantu ar piekto un sesto daļu šādā redakcijā: </w:t>
            </w:r>
          </w:p>
          <w:p w:rsidR="00EB6312" w:rsidRPr="00EB6312" w:rsidRDefault="00EB6312" w:rsidP="00EB6312">
            <w:pPr>
              <w:spacing w:after="0" w:line="240" w:lineRule="auto"/>
              <w:ind w:firstLine="34"/>
              <w:contextualSpacing/>
              <w:jc w:val="both"/>
              <w:rPr>
                <w:rFonts w:ascii="Times New Roman" w:eastAsia="Calibri" w:hAnsi="Times New Roman" w:cs="Times New Roman"/>
              </w:rPr>
            </w:pPr>
            <w:r w:rsidRPr="00EB6312">
              <w:rPr>
                <w:rFonts w:ascii="Times New Roman" w:eastAsia="Calibri" w:hAnsi="Times New Roman" w:cs="Times New Roman"/>
              </w:rPr>
              <w:lastRenderedPageBreak/>
              <w:t xml:space="preserve">"(5) Aizsardzības ministra izveidota komisija var atļaut šā panta ceturtās daļas 3. vai 3.2 punktā minētās personas uzņemšanu Zemessardzē, </w:t>
            </w:r>
            <w:proofErr w:type="gramStart"/>
            <w:r w:rsidRPr="00EB6312">
              <w:rPr>
                <w:rFonts w:ascii="Times New Roman" w:eastAsia="Calibri" w:hAnsi="Times New Roman" w:cs="Times New Roman"/>
              </w:rPr>
              <w:t>ja šī persona nav izdarījusi tīšu smagu vai sevišķi smagu noziegumu un sodāmība ir dzēsta vai noņemta</w:t>
            </w:r>
            <w:proofErr w:type="gramEnd"/>
            <w:r w:rsidRPr="00EB6312">
              <w:rPr>
                <w:rFonts w:ascii="Times New Roman" w:eastAsia="Calibri" w:hAnsi="Times New Roman" w:cs="Times New Roman"/>
              </w:rPr>
              <w:t xml:space="preserve"> vai pēc nolēmuma par kriminālprocesa izbeigšanu uz nereabilitējoša pamata ir pagājuši ne mazāk kā pieci gadi. </w:t>
            </w:r>
          </w:p>
          <w:p w:rsidR="00EB6312" w:rsidRPr="00EB6312" w:rsidRDefault="00EB6312" w:rsidP="00EB6312">
            <w:pPr>
              <w:spacing w:after="0" w:line="240" w:lineRule="auto"/>
              <w:ind w:firstLine="34"/>
              <w:contextualSpacing/>
              <w:jc w:val="both"/>
              <w:rPr>
                <w:rFonts w:ascii="Times New Roman" w:eastAsia="Calibri" w:hAnsi="Times New Roman" w:cs="Times New Roman"/>
              </w:rPr>
            </w:pPr>
            <w:r w:rsidRPr="00EB6312">
              <w:rPr>
                <w:rFonts w:ascii="Times New Roman" w:eastAsia="Calibri" w:hAnsi="Times New Roman" w:cs="Times New Roman"/>
              </w:rPr>
              <w:t xml:space="preserve">(6) Ministru kabinets nosaka kārtību, kādā aizsardzības ministra izveidotā komisija izvērtē šā panta piektajā daļā minētās atļaujas sniegšanu." </w:t>
            </w:r>
          </w:p>
          <w:p w:rsidR="00045F9E" w:rsidRPr="00910399" w:rsidRDefault="00EB6312" w:rsidP="00EB6312">
            <w:pPr>
              <w:spacing w:after="0" w:line="240" w:lineRule="auto"/>
              <w:ind w:firstLine="34"/>
              <w:contextualSpacing/>
              <w:jc w:val="both"/>
              <w:rPr>
                <w:rFonts w:ascii="Times New Roman" w:eastAsia="Calibri" w:hAnsi="Times New Roman" w:cs="Times New Roman"/>
              </w:rPr>
            </w:pPr>
            <w:r w:rsidRPr="00EB6312">
              <w:rPr>
                <w:rFonts w:ascii="Times New Roman" w:eastAsia="Calibri" w:hAnsi="Times New Roman" w:cs="Times New Roman"/>
              </w:rPr>
              <w:t>Projekta 1. punkts noformulējams atbilstoši likumā Ministru kabinetam dotajam pilnvarojumam. Kamēr minētie likumprojekti nav pieņemti Saeimā 3. lasījumā, vēl aizvien ir neskaidrs, kā tiks noformulēts pilnvarojums Ministru kabinetam izdot projektu. Ņemot vērā minēto, lūdzam precizēt projekta 1. punktu pēc minēto likumprojektu pieņemšanas Saeimā 3. lasījumā.</w:t>
            </w:r>
          </w:p>
        </w:tc>
        <w:tc>
          <w:tcPr>
            <w:tcW w:w="3260" w:type="dxa"/>
            <w:tcBorders>
              <w:top w:val="single" w:sz="6" w:space="0" w:color="000000"/>
              <w:left w:val="single" w:sz="6" w:space="0" w:color="000000"/>
              <w:bottom w:val="single" w:sz="6" w:space="0" w:color="000000"/>
              <w:right w:val="single" w:sz="6" w:space="0" w:color="000000"/>
            </w:tcBorders>
          </w:tcPr>
          <w:p w:rsidR="00045F9E" w:rsidRDefault="00891A51" w:rsidP="00927CF6">
            <w:pPr>
              <w:spacing w:before="75" w:after="75"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Ņemts vērā.</w:t>
            </w:r>
          </w:p>
          <w:p w:rsidR="00FD194E" w:rsidRPr="002E013C" w:rsidRDefault="002E013C" w:rsidP="002E013C">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Likumprojekti </w:t>
            </w:r>
            <w:r w:rsidRPr="002E013C">
              <w:rPr>
                <w:rFonts w:ascii="Times New Roman" w:eastAsia="Times New Roman" w:hAnsi="Times New Roman" w:cs="Times New Roman"/>
                <w:lang w:eastAsia="lv-LV"/>
              </w:rPr>
              <w:t>"Grozījumi Militārā dienesta likumā" (Nr. 739/Lp13)</w:t>
            </w:r>
            <w:r>
              <w:rPr>
                <w:rFonts w:ascii="Times New Roman" w:eastAsia="Times New Roman" w:hAnsi="Times New Roman" w:cs="Times New Roman"/>
                <w:lang w:eastAsia="lv-LV"/>
              </w:rPr>
              <w:t xml:space="preserve"> un </w:t>
            </w:r>
            <w:r w:rsidRPr="002E013C">
              <w:rPr>
                <w:rFonts w:ascii="Times New Roman" w:eastAsia="Times New Roman" w:hAnsi="Times New Roman" w:cs="Times New Roman"/>
                <w:lang w:eastAsia="lv-LV"/>
              </w:rPr>
              <w:t>"Grozījumi Latvijas Republikas Zemessardzes likumā" (Nr. 740/Lp13)</w:t>
            </w:r>
            <w:r>
              <w:rPr>
                <w:rFonts w:ascii="Times New Roman" w:eastAsia="Times New Roman" w:hAnsi="Times New Roman" w:cs="Times New Roman"/>
                <w:lang w:eastAsia="lv-LV"/>
              </w:rPr>
              <w:t xml:space="preserve"> pēc to izskatīšanas </w:t>
            </w:r>
            <w:proofErr w:type="gramStart"/>
            <w:r>
              <w:rPr>
                <w:rFonts w:ascii="Times New Roman" w:eastAsia="Times New Roman" w:hAnsi="Times New Roman" w:cs="Times New Roman"/>
                <w:lang w:eastAsia="lv-LV"/>
              </w:rPr>
              <w:t>2021.gada</w:t>
            </w:r>
            <w:proofErr w:type="gramEnd"/>
            <w:r>
              <w:rPr>
                <w:rFonts w:ascii="Times New Roman" w:eastAsia="Times New Roman" w:hAnsi="Times New Roman" w:cs="Times New Roman"/>
                <w:lang w:eastAsia="lv-LV"/>
              </w:rPr>
              <w:t xml:space="preserve"> 2.februārī Saeimas Aizsardzības, iekšlietu un korupcijas novēršanās komisijā </w:t>
            </w:r>
            <w:r>
              <w:rPr>
                <w:rFonts w:ascii="Times New Roman" w:eastAsia="Times New Roman" w:hAnsi="Times New Roman" w:cs="Times New Roman"/>
                <w:lang w:eastAsia="lv-LV"/>
              </w:rPr>
              <w:lastRenderedPageBreak/>
              <w:t xml:space="preserve">vairs nesatur pantu ar to spēkā stāšanos datumu. Saeimas Aizsardzības, iekšlietu un korupcijas novēršanas komisija atbalstīja likumprojektus ar Saeimas Juridiskā biroja piedāvāto deleģējuma redakciju pieņemšanai 3.lasījumā.  Tādēļ, lai nodrošinātu likumprojektos paredzēto Latvijas pilsoņu tiesību ievērošanu, ir nepieciešams nodrošināt ar ministrijām saskaņota Ministru kabineta noteikumu projekta savlaicīgu pieņemšanu.  </w:t>
            </w:r>
          </w:p>
        </w:tc>
        <w:tc>
          <w:tcPr>
            <w:tcW w:w="3402" w:type="dxa"/>
            <w:tcBorders>
              <w:top w:val="single" w:sz="4" w:space="0" w:color="auto"/>
              <w:left w:val="single" w:sz="4" w:space="0" w:color="auto"/>
              <w:bottom w:val="single" w:sz="4" w:space="0" w:color="auto"/>
            </w:tcBorders>
          </w:tcPr>
          <w:p w:rsidR="00045F9E" w:rsidRPr="00A845B3" w:rsidRDefault="00FD194E" w:rsidP="00573322">
            <w:pPr>
              <w:spacing w:after="0" w:line="240" w:lineRule="auto"/>
              <w:jc w:val="both"/>
              <w:rPr>
                <w:rFonts w:ascii="Times New Roman" w:eastAsia="Times New Roman" w:hAnsi="Times New Roman" w:cs="Times New Roman"/>
                <w:lang w:eastAsia="lv-LV"/>
              </w:rPr>
            </w:pPr>
            <w:r w:rsidRPr="00FD194E">
              <w:rPr>
                <w:rFonts w:ascii="Times New Roman" w:eastAsia="Times New Roman" w:hAnsi="Times New Roman" w:cs="Times New Roman"/>
                <w:lang w:eastAsia="lv-LV"/>
              </w:rPr>
              <w:lastRenderedPageBreak/>
              <w:t>1.</w:t>
            </w:r>
            <w:r w:rsidRPr="00FD194E">
              <w:rPr>
                <w:rFonts w:ascii="Times New Roman" w:eastAsia="Times New Roman" w:hAnsi="Times New Roman" w:cs="Times New Roman"/>
                <w:lang w:eastAsia="lv-LV"/>
              </w:rPr>
              <w:tab/>
              <w:t xml:space="preserve">Noteikumi nosaka kārtību, kādā </w:t>
            </w:r>
            <w:r w:rsidRPr="00FD194E">
              <w:rPr>
                <w:rFonts w:ascii="Times New Roman" w:eastAsia="Times New Roman" w:hAnsi="Times New Roman" w:cs="Times New Roman"/>
                <w:u w:val="single"/>
                <w:lang w:eastAsia="lv-LV"/>
              </w:rPr>
              <w:t>Aizsardzības ministra izveidotā komisija izvērtē atļaujas sniegšanu</w:t>
            </w:r>
            <w:r w:rsidRPr="00FD194E">
              <w:rPr>
                <w:rFonts w:ascii="Times New Roman" w:eastAsia="Times New Roman" w:hAnsi="Times New Roman" w:cs="Times New Roman"/>
                <w:lang w:eastAsia="lv-LV"/>
              </w:rPr>
              <w:t xml:space="preserve"> Latvijas pilsoņa (turpmāk – kandidāts) pieņemšanai militārajā dienestā vai uzņemšanai Zemessardzē (turpmāk – pieņemšana dienestā), kas ir izdarījis tīšu kriminālpārkāpumu, </w:t>
            </w:r>
            <w:r w:rsidRPr="00FD194E">
              <w:rPr>
                <w:rFonts w:ascii="Times New Roman" w:eastAsia="Times New Roman" w:hAnsi="Times New Roman" w:cs="Times New Roman"/>
                <w:lang w:eastAsia="lv-LV"/>
              </w:rPr>
              <w:lastRenderedPageBreak/>
              <w:t>tīšu mazāk smagu noziegumu</w:t>
            </w:r>
            <w:proofErr w:type="gramStart"/>
            <w:r w:rsidRPr="00FD194E">
              <w:rPr>
                <w:rFonts w:ascii="Times New Roman" w:eastAsia="Times New Roman" w:hAnsi="Times New Roman" w:cs="Times New Roman"/>
                <w:lang w:eastAsia="lv-LV"/>
              </w:rPr>
              <w:t xml:space="preserve"> vai ir izpaudis valsts noslēpumu aiz neuzmanības un sodāmība ir dzēsta vai noņemta</w:t>
            </w:r>
            <w:proofErr w:type="gramEnd"/>
            <w:r w:rsidRPr="00FD194E">
              <w:rPr>
                <w:rFonts w:ascii="Times New Roman" w:eastAsia="Times New Roman" w:hAnsi="Times New Roman" w:cs="Times New Roman"/>
                <w:lang w:eastAsia="lv-LV"/>
              </w:rPr>
              <w:t xml:space="preserve"> vai pēc nolēmuma par kriminālprocesa izbeigšanu uz nereabilitējoša pamata ir pagājuši ne mazāk kā pieci gadi.</w:t>
            </w:r>
          </w:p>
        </w:tc>
      </w:tr>
      <w:tr w:rsidR="00A73BCF"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A73BCF" w:rsidRPr="000175D4" w:rsidRDefault="00A73BCF"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A73BCF" w:rsidRPr="00891A51" w:rsidRDefault="006078D9" w:rsidP="004F150C">
            <w:pPr>
              <w:spacing w:after="0" w:line="240" w:lineRule="auto"/>
              <w:jc w:val="both"/>
              <w:rPr>
                <w:rFonts w:ascii="Times New Roman" w:eastAsia="Times New Roman" w:hAnsi="Times New Roman" w:cs="Times New Roman"/>
                <w:lang w:eastAsia="lv-LV"/>
              </w:rPr>
            </w:pPr>
            <w:r w:rsidRPr="006078D9">
              <w:rPr>
                <w:rFonts w:ascii="Times New Roman" w:eastAsia="Times New Roman" w:hAnsi="Times New Roman" w:cs="Times New Roman"/>
                <w:lang w:eastAsia="lv-LV"/>
              </w:rPr>
              <w:t>3. Komisijai ir tiesības pieaicināt tās darbā ar padomdevēja tiesībām citu institūciju pārstāvjus vai ekspertus.</w:t>
            </w:r>
          </w:p>
        </w:tc>
        <w:tc>
          <w:tcPr>
            <w:tcW w:w="4678" w:type="dxa"/>
            <w:tcBorders>
              <w:top w:val="single" w:sz="6" w:space="0" w:color="000000"/>
              <w:left w:val="single" w:sz="6" w:space="0" w:color="000000"/>
              <w:bottom w:val="single" w:sz="6" w:space="0" w:color="000000"/>
              <w:right w:val="single" w:sz="6" w:space="0" w:color="000000"/>
            </w:tcBorders>
          </w:tcPr>
          <w:p w:rsidR="00A73BCF" w:rsidRPr="00EB6312" w:rsidRDefault="00CB4C31" w:rsidP="00EB6312">
            <w:pPr>
              <w:spacing w:after="0" w:line="240" w:lineRule="auto"/>
              <w:ind w:firstLine="34"/>
              <w:contextualSpacing/>
              <w:jc w:val="both"/>
              <w:rPr>
                <w:rFonts w:ascii="Times New Roman" w:eastAsia="Calibri" w:hAnsi="Times New Roman" w:cs="Times New Roman"/>
              </w:rPr>
            </w:pPr>
            <w:r w:rsidRPr="00CB4C31">
              <w:rPr>
                <w:rFonts w:ascii="Times New Roman" w:eastAsia="Calibri" w:hAnsi="Times New Roman" w:cs="Times New Roman"/>
              </w:rPr>
              <w:t>2. Projekta 3. punkts paredz, ka komisijai ir tiesības pieaicināt tās darbā ar padomdevēja tiesībām citu institūciju pārstāvjus vai ekspertus. Ņemot vērā to, ka projekta 2. punkts paredz, ka komisijas sastāvu, darba organizāciju un darba nodrošināšanas kārtību nosaka aizsardzības ministrs, uzskatām, ka aizsardzības ministra kompetencē ir noteikt arī kārtību, kādā komisijas darbā tiek pieaicināti citu organizāciju pārstāvji un eksperti. Ņemot vērā minēto, lūdzam svītrot projekta 3. punktu.</w:t>
            </w:r>
          </w:p>
        </w:tc>
        <w:tc>
          <w:tcPr>
            <w:tcW w:w="3260" w:type="dxa"/>
            <w:tcBorders>
              <w:top w:val="single" w:sz="6" w:space="0" w:color="000000"/>
              <w:left w:val="single" w:sz="6" w:space="0" w:color="000000"/>
              <w:bottom w:val="single" w:sz="6" w:space="0" w:color="000000"/>
              <w:right w:val="single" w:sz="6" w:space="0" w:color="000000"/>
            </w:tcBorders>
          </w:tcPr>
          <w:p w:rsidR="00A73BCF" w:rsidRDefault="009065C1" w:rsidP="007F5426">
            <w:pPr>
              <w:spacing w:before="75" w:after="75"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Ņemts vērā.</w:t>
            </w:r>
          </w:p>
        </w:tc>
        <w:tc>
          <w:tcPr>
            <w:tcW w:w="3402" w:type="dxa"/>
            <w:tcBorders>
              <w:top w:val="single" w:sz="4" w:space="0" w:color="auto"/>
              <w:left w:val="single" w:sz="4" w:space="0" w:color="auto"/>
              <w:bottom w:val="single" w:sz="4" w:space="0" w:color="auto"/>
            </w:tcBorders>
          </w:tcPr>
          <w:p w:rsidR="00A73BCF" w:rsidRPr="00FD194E" w:rsidRDefault="00F461EC" w:rsidP="0057332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Punkts svītrots. Precizēta pārējo punktu numerācija.</w:t>
            </w:r>
          </w:p>
        </w:tc>
      </w:tr>
      <w:tr w:rsidR="00D314C3"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D314C3" w:rsidRPr="000175D4" w:rsidRDefault="00D314C3"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D314C3" w:rsidRPr="006078D9" w:rsidRDefault="007E67C3" w:rsidP="004F150C">
            <w:pPr>
              <w:spacing w:after="0" w:line="240" w:lineRule="auto"/>
              <w:jc w:val="both"/>
              <w:rPr>
                <w:rFonts w:ascii="Times New Roman" w:eastAsia="Times New Roman" w:hAnsi="Times New Roman" w:cs="Times New Roman"/>
                <w:lang w:eastAsia="lv-LV"/>
              </w:rPr>
            </w:pPr>
            <w:r w:rsidRPr="007E67C3">
              <w:rPr>
                <w:rFonts w:ascii="Times New Roman" w:eastAsia="Times New Roman" w:hAnsi="Times New Roman" w:cs="Times New Roman"/>
                <w:lang w:eastAsia="lv-LV"/>
              </w:rPr>
              <w:t xml:space="preserve">5. Komisija mēneša laikā pēc šo noteikumu 4.3. apakšpunktā minētā lūguma saņemšanas pieņem </w:t>
            </w:r>
            <w:r w:rsidRPr="007E67C3">
              <w:rPr>
                <w:rFonts w:ascii="Times New Roman" w:eastAsia="Times New Roman" w:hAnsi="Times New Roman" w:cs="Times New Roman"/>
                <w:lang w:eastAsia="lv-LV"/>
              </w:rPr>
              <w:lastRenderedPageBreak/>
              <w:t>lēmumu par atļaušanu vai neatļaušanu veikt kandidāta pieņemšanu dienestā. Komisija var pagarināt lēmuma pieņemšanas termiņu Administratīvā procesa likumā noteiktajā kārtībā.</w:t>
            </w:r>
          </w:p>
        </w:tc>
        <w:tc>
          <w:tcPr>
            <w:tcW w:w="4678" w:type="dxa"/>
            <w:tcBorders>
              <w:top w:val="single" w:sz="6" w:space="0" w:color="000000"/>
              <w:left w:val="single" w:sz="6" w:space="0" w:color="000000"/>
              <w:bottom w:val="single" w:sz="6" w:space="0" w:color="000000"/>
              <w:right w:val="single" w:sz="6" w:space="0" w:color="000000"/>
            </w:tcBorders>
          </w:tcPr>
          <w:p w:rsidR="00F8101A" w:rsidRDefault="00F8101A" w:rsidP="00EB6312">
            <w:pPr>
              <w:spacing w:after="0" w:line="240" w:lineRule="auto"/>
              <w:ind w:firstLine="34"/>
              <w:contextualSpacing/>
              <w:jc w:val="both"/>
              <w:rPr>
                <w:rFonts w:ascii="Times New Roman" w:eastAsia="Calibri" w:hAnsi="Times New Roman" w:cs="Times New Roman"/>
                <w:b/>
              </w:rPr>
            </w:pPr>
            <w:r w:rsidRPr="00F8101A">
              <w:rPr>
                <w:rFonts w:ascii="Times New Roman" w:eastAsia="Calibri" w:hAnsi="Times New Roman" w:cs="Times New Roman"/>
                <w:b/>
              </w:rPr>
              <w:lastRenderedPageBreak/>
              <w:t>Tieslietu ministrijas</w:t>
            </w:r>
            <w:proofErr w:type="gramStart"/>
            <w:r w:rsidRPr="00F8101A">
              <w:rPr>
                <w:rFonts w:ascii="Times New Roman" w:eastAsia="Calibri" w:hAnsi="Times New Roman" w:cs="Times New Roman"/>
                <w:b/>
              </w:rPr>
              <w:t xml:space="preserve">  </w:t>
            </w:r>
            <w:proofErr w:type="gramEnd"/>
            <w:r w:rsidRPr="00F8101A">
              <w:rPr>
                <w:rFonts w:ascii="Times New Roman" w:eastAsia="Calibri" w:hAnsi="Times New Roman" w:cs="Times New Roman"/>
                <w:b/>
              </w:rPr>
              <w:t>18.09.2020. atzinums</w:t>
            </w:r>
          </w:p>
          <w:p w:rsidR="00F8101A" w:rsidRPr="00F8101A" w:rsidRDefault="00F8101A" w:rsidP="00EB6312">
            <w:pPr>
              <w:spacing w:after="0" w:line="240" w:lineRule="auto"/>
              <w:ind w:firstLine="34"/>
              <w:contextualSpacing/>
              <w:jc w:val="both"/>
              <w:rPr>
                <w:rFonts w:ascii="Times New Roman" w:eastAsia="Calibri" w:hAnsi="Times New Roman" w:cs="Times New Roman"/>
              </w:rPr>
            </w:pPr>
            <w:r w:rsidRPr="00F8101A">
              <w:rPr>
                <w:rFonts w:ascii="Times New Roman" w:eastAsia="Calibri" w:hAnsi="Times New Roman" w:cs="Times New Roman"/>
              </w:rPr>
              <w:t xml:space="preserve">6. Projekta 5. punkta otrais teikums paredz, ka komisija var pagarināt lēmuma pieņemšanas termiņu Administratīvā procesa likumā noteiktajā </w:t>
            </w:r>
            <w:r w:rsidRPr="00F8101A">
              <w:rPr>
                <w:rFonts w:ascii="Times New Roman" w:eastAsia="Calibri" w:hAnsi="Times New Roman" w:cs="Times New Roman"/>
              </w:rPr>
              <w:lastRenderedPageBreak/>
              <w:t>kārtībā. Vēršam uzmanību, ka Administratīvā procesa likuma 64. panta otrā daļa, kas paredz iespēju iestādei pagarināt administratīvā akta izdošanas termiņu, attiecas uz gadījumiem, kad administratīvā lieta ierosināta uz privātpersonas iesnieguma pamata. Proti, Administratīvā procesa likums neparedz kārtību, kādā pagarināms administratīvā akta izdošanas termiņš, ja administratīvā lieta ierosināta pēc iestādes iniciatīvas. Līdz ar to lūdzam precizēt projekta 5. punkta otro teikumu.</w:t>
            </w:r>
          </w:p>
          <w:p w:rsidR="00F8101A" w:rsidRPr="00F8101A" w:rsidRDefault="00F8101A" w:rsidP="00EB6312">
            <w:pPr>
              <w:spacing w:after="0" w:line="240" w:lineRule="auto"/>
              <w:ind w:firstLine="34"/>
              <w:contextualSpacing/>
              <w:jc w:val="both"/>
              <w:rPr>
                <w:rFonts w:ascii="Times New Roman" w:eastAsia="Calibri" w:hAnsi="Times New Roman" w:cs="Times New Roman"/>
                <w:b/>
              </w:rPr>
            </w:pPr>
            <w:r w:rsidRPr="00F8101A">
              <w:rPr>
                <w:rFonts w:ascii="Times New Roman" w:eastAsia="Calibri" w:hAnsi="Times New Roman" w:cs="Times New Roman"/>
                <w:b/>
              </w:rPr>
              <w:t>Tieslietu ministrijas 28.01.2021.e-vēstule</w:t>
            </w:r>
          </w:p>
          <w:p w:rsidR="00D314C3" w:rsidRPr="00CB4C31" w:rsidRDefault="007E67C3" w:rsidP="00EB6312">
            <w:pPr>
              <w:spacing w:after="0" w:line="240" w:lineRule="auto"/>
              <w:ind w:firstLine="34"/>
              <w:contextualSpacing/>
              <w:jc w:val="both"/>
              <w:rPr>
                <w:rFonts w:ascii="Times New Roman" w:eastAsia="Calibri" w:hAnsi="Times New Roman" w:cs="Times New Roman"/>
              </w:rPr>
            </w:pPr>
            <w:r w:rsidRPr="007E67C3">
              <w:rPr>
                <w:rFonts w:ascii="Times New Roman" w:eastAsia="Calibri" w:hAnsi="Times New Roman" w:cs="Times New Roman"/>
              </w:rPr>
              <w:t xml:space="preserve">3. Projekta 5. punkts paredz, ka komisija mēneša laikā pēc projekta 4.3. apakšpunktā minētā lūguma saņemšanas pieņem lēmumu par atļaušanu vai neatļaušanu veikt kandidāta pieņemšanu dienestā. Komisija var pagarināt lēmuma pieņemšanas termiņu Administratīvā procesa likumā noteiktajā kārtībā. Vēršam uzmanību uz to, ka Administratīvā procesa likuma 64. panta pirmā daļa noteic, ka iestāde lēmumu par administratīvā akta izdošanu pieņem viena mēneša laikā no iesnieguma saņemšanas dienas, ja administratīvā lieta ierosināta uz privātpersonas iesnieguma pamata. Citos lietas ierosināšanas gadījumos netiek noteikts administratīvā akta izdošanas termiņš. Projekta 5. punktā paredzētais viena mēneša termiņš noteikts pēc Aizsardzības ministrijas iniciatīvas un tā noteikšana nav obligāta. Ņemot vērā to, ka termiņš ir noteikts, loģiski ir risināt jautājumus par to, kā šādu termiņu varētu pagarināt. Vienlaikus norādām, ka nav pamatoti ietvert atsauci uz Administratīvā procesa likumā noteikto termiņa pagarināšanas kārtību, jo Administratīvā procesa likuma 64. panta otrā daļa paredz kārtību, kādā tiek </w:t>
            </w:r>
            <w:r w:rsidRPr="007E67C3">
              <w:rPr>
                <w:rFonts w:ascii="Times New Roman" w:eastAsia="Calibri" w:hAnsi="Times New Roman" w:cs="Times New Roman"/>
              </w:rPr>
              <w:lastRenderedPageBreak/>
              <w:t xml:space="preserve">pagarināts privātpersonu iesniegto iesniegumu izskatīšanas termiņš. Ja projektā ir nepieciešams noteikt komisijai lēmuma pieņemšanas termiņu un līdz ar to arī lēmuma pieņemšanas termiņa pagarināšanas iespēju, lūdzam noteikt, kādos gadījumos </w:t>
            </w:r>
            <w:proofErr w:type="gramStart"/>
            <w:r w:rsidRPr="007E67C3">
              <w:rPr>
                <w:rFonts w:ascii="Times New Roman" w:eastAsia="Calibri" w:hAnsi="Times New Roman" w:cs="Times New Roman"/>
              </w:rPr>
              <w:t>un</w:t>
            </w:r>
            <w:proofErr w:type="gramEnd"/>
            <w:r w:rsidRPr="007E67C3">
              <w:rPr>
                <w:rFonts w:ascii="Times New Roman" w:eastAsia="Calibri" w:hAnsi="Times New Roman" w:cs="Times New Roman"/>
              </w:rPr>
              <w:t xml:space="preserve"> uz cik ilgu laiku šis termiņš tiek pagarināts, neatsaucoties uz Administratīvā procesa likumā noteikto kārtību. Savukārt, ja komisijas lēmuma pieņemšanas termiņu nav </w:t>
            </w:r>
            <w:proofErr w:type="gramStart"/>
            <w:r w:rsidRPr="007E67C3">
              <w:rPr>
                <w:rFonts w:ascii="Times New Roman" w:eastAsia="Calibri" w:hAnsi="Times New Roman" w:cs="Times New Roman"/>
              </w:rPr>
              <w:t>nepieciešams regulēt</w:t>
            </w:r>
            <w:proofErr w:type="gramEnd"/>
            <w:r w:rsidRPr="007E67C3">
              <w:rPr>
                <w:rFonts w:ascii="Times New Roman" w:eastAsia="Calibri" w:hAnsi="Times New Roman" w:cs="Times New Roman"/>
              </w:rPr>
              <w:t>, tādējādi to atstājot komisijas kompetencē, aicinām svītrot projekta 5. punktu vai noteikt tikai to, ka komisija pieņem lēmumu par atļaušanu vai neatļaušanu veikt kandidāta pieņemšanu dienestā.</w:t>
            </w:r>
          </w:p>
        </w:tc>
        <w:tc>
          <w:tcPr>
            <w:tcW w:w="3260" w:type="dxa"/>
            <w:tcBorders>
              <w:top w:val="single" w:sz="6" w:space="0" w:color="000000"/>
              <w:left w:val="single" w:sz="6" w:space="0" w:color="000000"/>
              <w:bottom w:val="single" w:sz="6" w:space="0" w:color="000000"/>
              <w:right w:val="single" w:sz="6" w:space="0" w:color="000000"/>
            </w:tcBorders>
          </w:tcPr>
          <w:p w:rsidR="00D314C3" w:rsidRDefault="003F74F6" w:rsidP="00927CF6">
            <w:pPr>
              <w:spacing w:before="75" w:after="75"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Ņemts vērā.</w:t>
            </w:r>
          </w:p>
          <w:p w:rsidR="00C83A31" w:rsidRDefault="00C83A31" w:rsidP="00C83A31">
            <w:pPr>
              <w:spacing w:before="75" w:after="75" w:line="240" w:lineRule="auto"/>
              <w:jc w:val="both"/>
              <w:rPr>
                <w:rFonts w:ascii="Times New Roman" w:eastAsia="Times New Roman" w:hAnsi="Times New Roman" w:cs="Times New Roman"/>
                <w:b/>
                <w:lang w:eastAsia="lv-LV"/>
              </w:rPr>
            </w:pPr>
          </w:p>
        </w:tc>
        <w:tc>
          <w:tcPr>
            <w:tcW w:w="3402" w:type="dxa"/>
            <w:tcBorders>
              <w:top w:val="single" w:sz="4" w:space="0" w:color="auto"/>
              <w:left w:val="single" w:sz="4" w:space="0" w:color="auto"/>
              <w:bottom w:val="single" w:sz="4" w:space="0" w:color="auto"/>
            </w:tcBorders>
          </w:tcPr>
          <w:p w:rsidR="00D314C3" w:rsidRPr="00FD194E" w:rsidRDefault="00A44D92" w:rsidP="0057332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C83A31" w:rsidRPr="00C83A31">
              <w:rPr>
                <w:rFonts w:ascii="Times New Roman" w:eastAsia="Times New Roman" w:hAnsi="Times New Roman" w:cs="Times New Roman"/>
                <w:lang w:eastAsia="lv-LV"/>
              </w:rPr>
              <w:t>. Komisija pieņem lēmumu par atļaušanu vai neatļaušanu veikt kandidāta pieņemšanu dienestā.</w:t>
            </w:r>
          </w:p>
        </w:tc>
      </w:tr>
      <w:tr w:rsidR="00472E11"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472E11" w:rsidRPr="000175D4" w:rsidRDefault="00472E11"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472E11" w:rsidRPr="007E67C3" w:rsidRDefault="00FD37FF" w:rsidP="004F150C">
            <w:pPr>
              <w:spacing w:after="0" w:line="240" w:lineRule="auto"/>
              <w:jc w:val="both"/>
              <w:rPr>
                <w:rFonts w:ascii="Times New Roman" w:eastAsia="Times New Roman" w:hAnsi="Times New Roman" w:cs="Times New Roman"/>
                <w:lang w:eastAsia="lv-LV"/>
              </w:rPr>
            </w:pPr>
            <w:r w:rsidRPr="00FD37FF">
              <w:rPr>
                <w:rFonts w:ascii="Times New Roman" w:eastAsia="Times New Roman" w:hAnsi="Times New Roman" w:cs="Times New Roman"/>
                <w:lang w:eastAsia="lv-LV"/>
              </w:rPr>
              <w:t>6.7. citas institūcijas vai personas, tai skaitā kandidāta esošās vai bijušās darba (dienesta) vietas – informāciju, kas ļauj izvērtēt kandidāta attieksmi pret izdarīto noziedzīgo nodarījumu (ja tādējādi informācija par kandidāta sodāmību netiek atklāta personām, kuras par to nav zinājušas).</w:t>
            </w:r>
          </w:p>
        </w:tc>
        <w:tc>
          <w:tcPr>
            <w:tcW w:w="4678" w:type="dxa"/>
            <w:tcBorders>
              <w:top w:val="single" w:sz="6" w:space="0" w:color="000000"/>
              <w:left w:val="single" w:sz="6" w:space="0" w:color="000000"/>
              <w:bottom w:val="single" w:sz="6" w:space="0" w:color="000000"/>
              <w:right w:val="single" w:sz="6" w:space="0" w:color="000000"/>
            </w:tcBorders>
          </w:tcPr>
          <w:p w:rsidR="00472E11" w:rsidRPr="00472E11" w:rsidRDefault="00472E11" w:rsidP="00EB6312">
            <w:pPr>
              <w:spacing w:after="0" w:line="240" w:lineRule="auto"/>
              <w:ind w:firstLine="34"/>
              <w:contextualSpacing/>
              <w:jc w:val="both"/>
              <w:rPr>
                <w:rFonts w:ascii="Times New Roman" w:eastAsia="Calibri" w:hAnsi="Times New Roman" w:cs="Times New Roman"/>
              </w:rPr>
            </w:pPr>
            <w:r w:rsidRPr="00472E11">
              <w:rPr>
                <w:rFonts w:ascii="Times New Roman" w:eastAsia="Calibri" w:hAnsi="Times New Roman" w:cs="Times New Roman"/>
              </w:rPr>
              <w:t xml:space="preserve">4. Projekta 6.7. apakšpunkts paredz, ka komisija var pieprasīt izvērtēšanai nepieciešamo informāciju no citas institūcijas vai personas, tai skaitā kandidāta esošās vai bijušās darba (dienesta) vietas – informāciju, kas ļauj izvērtēt kandidāta attieksmi pret izdarīto noziedzīgo nodarījumu </w:t>
            </w:r>
            <w:proofErr w:type="gramStart"/>
            <w:r w:rsidRPr="00472E11">
              <w:rPr>
                <w:rFonts w:ascii="Times New Roman" w:eastAsia="Calibri" w:hAnsi="Times New Roman" w:cs="Times New Roman"/>
              </w:rPr>
              <w:t>(</w:t>
            </w:r>
            <w:proofErr w:type="gramEnd"/>
            <w:r w:rsidRPr="00472E11">
              <w:rPr>
                <w:rFonts w:ascii="Times New Roman" w:eastAsia="Calibri" w:hAnsi="Times New Roman" w:cs="Times New Roman"/>
              </w:rPr>
              <w:t>ja tādējādi informācija par kandidāta sodāmību netiek atklāta personām, kuras par to nav zinājušas). Lūdzam skaidrot projekta anotācijā, kā tiks konstatēts, vai cita institūcija vai persona, kurai tiks pieprasīts sniegt informāciju, kas ļauj izvērtēt kandidāta attieksmi pret izdarīto noziedzīgo nodarījumu, zina vai nezina par kandidāta izdarīto noziedzīgo nodarījumu un sodāmību.</w:t>
            </w:r>
          </w:p>
        </w:tc>
        <w:tc>
          <w:tcPr>
            <w:tcW w:w="3260" w:type="dxa"/>
            <w:tcBorders>
              <w:top w:val="single" w:sz="6" w:space="0" w:color="000000"/>
              <w:left w:val="single" w:sz="6" w:space="0" w:color="000000"/>
              <w:bottom w:val="single" w:sz="6" w:space="0" w:color="000000"/>
              <w:right w:val="single" w:sz="6" w:space="0" w:color="000000"/>
            </w:tcBorders>
          </w:tcPr>
          <w:p w:rsidR="00F15C51" w:rsidRDefault="00F15C51" w:rsidP="00927CF6">
            <w:pPr>
              <w:spacing w:before="75" w:after="75"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Ņemt vērā.</w:t>
            </w:r>
          </w:p>
        </w:tc>
        <w:tc>
          <w:tcPr>
            <w:tcW w:w="3402" w:type="dxa"/>
            <w:tcBorders>
              <w:top w:val="single" w:sz="4" w:space="0" w:color="auto"/>
              <w:left w:val="single" w:sz="4" w:space="0" w:color="auto"/>
              <w:bottom w:val="single" w:sz="4" w:space="0" w:color="auto"/>
            </w:tcBorders>
          </w:tcPr>
          <w:p w:rsidR="00472E11" w:rsidRPr="00C83A31" w:rsidRDefault="00F15C51" w:rsidP="0057332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Papildināta </w:t>
            </w:r>
            <w:r w:rsidR="00DD1BC7">
              <w:rPr>
                <w:rFonts w:ascii="Times New Roman" w:eastAsia="Times New Roman" w:hAnsi="Times New Roman" w:cs="Times New Roman"/>
                <w:lang w:eastAsia="lv-LV"/>
              </w:rPr>
              <w:t xml:space="preserve">projekta </w:t>
            </w:r>
            <w:r>
              <w:rPr>
                <w:rFonts w:ascii="Times New Roman" w:eastAsia="Times New Roman" w:hAnsi="Times New Roman" w:cs="Times New Roman"/>
                <w:lang w:eastAsia="lv-LV"/>
              </w:rPr>
              <w:t>anotācija.</w:t>
            </w:r>
          </w:p>
        </w:tc>
      </w:tr>
      <w:tr w:rsidR="003D09C0"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3D09C0" w:rsidRPr="000175D4" w:rsidRDefault="003D09C0"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3D09C0" w:rsidRPr="00FD37FF" w:rsidRDefault="003D09C0" w:rsidP="004F150C">
            <w:pPr>
              <w:spacing w:after="0" w:line="240" w:lineRule="auto"/>
              <w:jc w:val="both"/>
              <w:rPr>
                <w:rFonts w:ascii="Times New Roman" w:eastAsia="Times New Roman" w:hAnsi="Times New Roman" w:cs="Times New Roman"/>
                <w:lang w:eastAsia="lv-LV"/>
              </w:rPr>
            </w:pPr>
            <w:r w:rsidRPr="003D09C0">
              <w:rPr>
                <w:rFonts w:ascii="Times New Roman" w:eastAsia="Times New Roman" w:hAnsi="Times New Roman" w:cs="Times New Roman"/>
                <w:lang w:eastAsia="lv-LV"/>
              </w:rPr>
              <w:t>10. Noteikumi stājas spēkā 2021. gada 1. februārī</w:t>
            </w:r>
            <w:r>
              <w:rPr>
                <w:rFonts w:ascii="Times New Roman" w:eastAsia="Times New Roman" w:hAnsi="Times New Roman" w:cs="Times New Roman"/>
                <w:lang w:eastAsia="lv-LV"/>
              </w:rPr>
              <w:t>.</w:t>
            </w:r>
          </w:p>
        </w:tc>
        <w:tc>
          <w:tcPr>
            <w:tcW w:w="4678" w:type="dxa"/>
            <w:tcBorders>
              <w:top w:val="single" w:sz="6" w:space="0" w:color="000000"/>
              <w:left w:val="single" w:sz="6" w:space="0" w:color="000000"/>
              <w:bottom w:val="single" w:sz="6" w:space="0" w:color="000000"/>
              <w:right w:val="single" w:sz="6" w:space="0" w:color="000000"/>
            </w:tcBorders>
          </w:tcPr>
          <w:p w:rsidR="003D09C0" w:rsidRPr="00472E11" w:rsidRDefault="003D09C0" w:rsidP="00EB6312">
            <w:pPr>
              <w:spacing w:after="0" w:line="240" w:lineRule="auto"/>
              <w:ind w:firstLine="34"/>
              <w:contextualSpacing/>
              <w:jc w:val="both"/>
              <w:rPr>
                <w:rFonts w:ascii="Times New Roman" w:eastAsia="Calibri" w:hAnsi="Times New Roman" w:cs="Times New Roman"/>
              </w:rPr>
            </w:pPr>
            <w:r w:rsidRPr="003D09C0">
              <w:rPr>
                <w:rFonts w:ascii="Times New Roman" w:eastAsia="Calibri" w:hAnsi="Times New Roman" w:cs="Times New Roman"/>
              </w:rPr>
              <w:t xml:space="preserve">5. Projekta 10. punkts paredz, ka projekts stājas spēkā 2021. gada 1. februārī. Ņemot vērā to, ka likumprojekts "Grozījumi Militārā dienesta likumā" (Nr. 739/Lp13) un likumprojekts "Grozījumi Latvijas Republikas Zemessardzes likumā" (Nr. 740/Lp13) nav vēl pieņemts Saeimā 3. lasījumā, lūdzam precizēt projekta spēkā </w:t>
            </w:r>
            <w:r w:rsidRPr="003D09C0">
              <w:rPr>
                <w:rFonts w:ascii="Times New Roman" w:eastAsia="Calibri" w:hAnsi="Times New Roman" w:cs="Times New Roman"/>
              </w:rPr>
              <w:lastRenderedPageBreak/>
              <w:t>stāšanās datumu. Vienlaikus lūdzam precizēt projekta anotācijā ietverto informāciju.</w:t>
            </w:r>
          </w:p>
        </w:tc>
        <w:tc>
          <w:tcPr>
            <w:tcW w:w="3260" w:type="dxa"/>
            <w:tcBorders>
              <w:top w:val="single" w:sz="6" w:space="0" w:color="000000"/>
              <w:left w:val="single" w:sz="6" w:space="0" w:color="000000"/>
              <w:bottom w:val="single" w:sz="6" w:space="0" w:color="000000"/>
              <w:right w:val="single" w:sz="6" w:space="0" w:color="000000"/>
            </w:tcBorders>
          </w:tcPr>
          <w:p w:rsidR="003D09C0" w:rsidRDefault="003D09C0" w:rsidP="00927CF6">
            <w:pPr>
              <w:spacing w:before="75" w:after="75"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Ņemts vērā.</w:t>
            </w:r>
          </w:p>
        </w:tc>
        <w:tc>
          <w:tcPr>
            <w:tcW w:w="3402" w:type="dxa"/>
            <w:tcBorders>
              <w:top w:val="single" w:sz="4" w:space="0" w:color="auto"/>
              <w:left w:val="single" w:sz="4" w:space="0" w:color="auto"/>
              <w:bottom w:val="single" w:sz="4" w:space="0" w:color="auto"/>
            </w:tcBorders>
          </w:tcPr>
          <w:p w:rsidR="003D09C0" w:rsidRDefault="003D09C0" w:rsidP="003D09C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Projekta 10.punkts ir svītrots.</w:t>
            </w:r>
          </w:p>
        </w:tc>
      </w:tr>
      <w:tr w:rsidR="00A143EF"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A143EF" w:rsidRPr="000175D4" w:rsidRDefault="00A143EF" w:rsidP="00A143EF">
            <w:pPr>
              <w:spacing w:after="0" w:line="240" w:lineRule="auto"/>
              <w:ind w:left="284"/>
              <w:jc w:val="center"/>
              <w:rPr>
                <w:rFonts w:ascii="Times New Roman" w:eastAsia="Times New Roman" w:hAnsi="Times New Roman" w:cs="Times New Roman"/>
                <w:lang w:eastAsia="lv-LV"/>
              </w:rPr>
            </w:pPr>
          </w:p>
        </w:tc>
        <w:tc>
          <w:tcPr>
            <w:tcW w:w="14026" w:type="dxa"/>
            <w:gridSpan w:val="4"/>
            <w:tcBorders>
              <w:top w:val="single" w:sz="6" w:space="0" w:color="000000"/>
              <w:left w:val="single" w:sz="6" w:space="0" w:color="000000"/>
              <w:bottom w:val="single" w:sz="4" w:space="0" w:color="auto"/>
            </w:tcBorders>
          </w:tcPr>
          <w:p w:rsidR="00A143EF" w:rsidRPr="000175D4" w:rsidRDefault="00C37F91" w:rsidP="00A143EF">
            <w:pPr>
              <w:spacing w:after="0" w:line="240" w:lineRule="auto"/>
              <w:jc w:val="center"/>
              <w:rPr>
                <w:rFonts w:ascii="Times New Roman" w:eastAsia="Times New Roman" w:hAnsi="Times New Roman" w:cs="Times New Roman"/>
                <w:lang w:eastAsia="lv-LV"/>
              </w:rPr>
            </w:pPr>
            <w:r w:rsidRPr="00E45524">
              <w:rPr>
                <w:rFonts w:ascii="Times New Roman" w:eastAsia="Times New Roman" w:hAnsi="Times New Roman" w:cs="Times New Roman"/>
                <w:b/>
                <w:lang w:eastAsia="lv-LV"/>
              </w:rPr>
              <w:t>Iekšlietu ministrijas</w:t>
            </w:r>
            <w:r>
              <w:rPr>
                <w:rFonts w:ascii="Times New Roman" w:eastAsia="Times New Roman" w:hAnsi="Times New Roman" w:cs="Times New Roman"/>
                <w:lang w:eastAsia="lv-LV"/>
              </w:rPr>
              <w:t xml:space="preserve"> 21.09.2020.atzinums Nr.1-57/2341</w:t>
            </w:r>
          </w:p>
        </w:tc>
      </w:tr>
      <w:tr w:rsidR="00A143EF" w:rsidRPr="000175D4" w:rsidTr="0063280A">
        <w:trPr>
          <w:gridAfter w:val="2"/>
          <w:wAfter w:w="247" w:type="dxa"/>
        </w:trPr>
        <w:tc>
          <w:tcPr>
            <w:tcW w:w="985" w:type="dxa"/>
            <w:tcBorders>
              <w:top w:val="single" w:sz="6" w:space="0" w:color="000000"/>
              <w:left w:val="single" w:sz="6" w:space="0" w:color="000000"/>
              <w:bottom w:val="single" w:sz="6" w:space="0" w:color="000000"/>
              <w:right w:val="single" w:sz="6" w:space="0" w:color="000000"/>
            </w:tcBorders>
          </w:tcPr>
          <w:p w:rsidR="00A143EF" w:rsidRPr="000175D4" w:rsidRDefault="00A143EF"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tcBorders>
              <w:top w:val="single" w:sz="6" w:space="0" w:color="000000"/>
              <w:left w:val="single" w:sz="6" w:space="0" w:color="000000"/>
              <w:bottom w:val="single" w:sz="4" w:space="0" w:color="auto"/>
              <w:right w:val="single" w:sz="6" w:space="0" w:color="000000"/>
            </w:tcBorders>
          </w:tcPr>
          <w:p w:rsidR="00572FC9" w:rsidRPr="00572FC9" w:rsidRDefault="00572FC9" w:rsidP="00572FC9">
            <w:pPr>
              <w:spacing w:after="0" w:line="240" w:lineRule="auto"/>
              <w:jc w:val="both"/>
              <w:rPr>
                <w:rFonts w:ascii="Times New Roman" w:eastAsia="Times New Roman" w:hAnsi="Times New Roman" w:cs="Times New Roman"/>
                <w:lang w:eastAsia="lv-LV"/>
              </w:rPr>
            </w:pPr>
            <w:r w:rsidRPr="00572FC9">
              <w:rPr>
                <w:rFonts w:ascii="Times New Roman" w:eastAsia="Times New Roman" w:hAnsi="Times New Roman" w:cs="Times New Roman"/>
                <w:lang w:eastAsia="lv-LV"/>
              </w:rPr>
              <w:t>6.  Komisija var pieprasīt izvērtēšanai nepieciešamo informāciju no:</w:t>
            </w:r>
          </w:p>
          <w:p w:rsidR="00A143EF" w:rsidRPr="000175D4" w:rsidRDefault="00572FC9" w:rsidP="00572FC9">
            <w:pPr>
              <w:spacing w:after="0" w:line="240" w:lineRule="auto"/>
              <w:jc w:val="both"/>
              <w:rPr>
                <w:rFonts w:ascii="Times New Roman" w:eastAsia="Times New Roman" w:hAnsi="Times New Roman" w:cs="Times New Roman"/>
                <w:lang w:eastAsia="lv-LV"/>
              </w:rPr>
            </w:pPr>
            <w:r w:rsidRPr="00572FC9">
              <w:rPr>
                <w:rFonts w:ascii="Times New Roman" w:eastAsia="Times New Roman" w:hAnsi="Times New Roman" w:cs="Times New Roman"/>
                <w:lang w:eastAsia="lv-LV"/>
              </w:rPr>
              <w:t>6.1. Iekšlietu ministrijas Informācijas centra – ziņas no Sodu reģistra par personas saukšanu pie kriminālatbildības un administratīvās atbildības;</w:t>
            </w:r>
          </w:p>
        </w:tc>
        <w:tc>
          <w:tcPr>
            <w:tcW w:w="4678" w:type="dxa"/>
            <w:tcBorders>
              <w:top w:val="single" w:sz="6" w:space="0" w:color="000000"/>
              <w:left w:val="single" w:sz="6" w:space="0" w:color="000000"/>
              <w:bottom w:val="single" w:sz="6" w:space="0" w:color="000000"/>
              <w:right w:val="single" w:sz="6" w:space="0" w:color="000000"/>
            </w:tcBorders>
          </w:tcPr>
          <w:p w:rsidR="00E93BB0" w:rsidRPr="00E93BB0" w:rsidRDefault="00E93BB0" w:rsidP="00E93BB0">
            <w:pPr>
              <w:spacing w:after="0" w:line="240" w:lineRule="auto"/>
              <w:ind w:firstLine="318"/>
              <w:jc w:val="both"/>
              <w:rPr>
                <w:rFonts w:ascii="Times New Roman" w:hAnsi="Times New Roman" w:cs="Times New Roman"/>
                <w:sz w:val="24"/>
                <w:szCs w:val="24"/>
              </w:rPr>
            </w:pPr>
            <w:r w:rsidRPr="00E93BB0">
              <w:rPr>
                <w:rFonts w:ascii="Times New Roman" w:hAnsi="Times New Roman" w:cs="Times New Roman"/>
                <w:sz w:val="24"/>
                <w:szCs w:val="24"/>
              </w:rPr>
              <w:t xml:space="preserve">Projekta 6.1. apakšpunkts paredz to, ka komisija var pieprasīt izvērtēšanai no Iekšlietu ministrijas Informācijas centra ziņas no Sodu reģistra par personas saukšanu pie kriminālatbildības un administratīvās atbildības.  </w:t>
            </w:r>
          </w:p>
          <w:p w:rsidR="00E93BB0" w:rsidRPr="00E93BB0" w:rsidRDefault="00E93BB0" w:rsidP="00E93BB0">
            <w:pPr>
              <w:spacing w:after="0" w:line="240" w:lineRule="auto"/>
              <w:ind w:firstLine="318"/>
              <w:jc w:val="both"/>
              <w:rPr>
                <w:rFonts w:ascii="Times New Roman" w:hAnsi="Times New Roman" w:cs="Times New Roman"/>
                <w:sz w:val="24"/>
                <w:szCs w:val="24"/>
              </w:rPr>
            </w:pPr>
            <w:r w:rsidRPr="00E93BB0">
              <w:rPr>
                <w:rFonts w:ascii="Times New Roman" w:hAnsi="Times New Roman" w:cs="Times New Roman"/>
                <w:sz w:val="24"/>
                <w:szCs w:val="24"/>
              </w:rPr>
              <w:t xml:space="preserve">Saskaņā ar likumprojektos “Grozījumi Militārā dienesta likumā” </w:t>
            </w:r>
            <w:proofErr w:type="gramStart"/>
            <w:r w:rsidRPr="00E93BB0">
              <w:rPr>
                <w:rFonts w:ascii="Times New Roman" w:hAnsi="Times New Roman" w:cs="Times New Roman"/>
                <w:sz w:val="24"/>
                <w:szCs w:val="24"/>
              </w:rPr>
              <w:t>(</w:t>
            </w:r>
            <w:proofErr w:type="gramEnd"/>
            <w:r w:rsidRPr="00E93BB0">
              <w:rPr>
                <w:rFonts w:ascii="Times New Roman" w:hAnsi="Times New Roman" w:cs="Times New Roman"/>
                <w:sz w:val="24"/>
                <w:szCs w:val="24"/>
              </w:rPr>
              <w:t xml:space="preserve">reģ. Nr. 739/Lp13) un “Grozījumi Latvijas Republikas Zemessardzes likumā” </w:t>
            </w:r>
            <w:proofErr w:type="gramStart"/>
            <w:r w:rsidRPr="00E93BB0">
              <w:rPr>
                <w:rFonts w:ascii="Times New Roman" w:hAnsi="Times New Roman" w:cs="Times New Roman"/>
                <w:sz w:val="24"/>
                <w:szCs w:val="24"/>
              </w:rPr>
              <w:t>(</w:t>
            </w:r>
            <w:proofErr w:type="gramEnd"/>
            <w:r w:rsidRPr="00E93BB0">
              <w:rPr>
                <w:rFonts w:ascii="Times New Roman" w:hAnsi="Times New Roman" w:cs="Times New Roman"/>
                <w:sz w:val="24"/>
                <w:szCs w:val="24"/>
              </w:rPr>
              <w:t>reģ. Nr. 740/Lp13) (turpmāk – likumprojekti) ietverto tiesisko regulējumu aizsardzības ministra izveidota komisija Ministru kabineta noteiktajā kārtībā var atļaut pieņemt militārajā dienestā vai uzņemt Zemessardzē tādu personu, kura ir sodīta par tīšu noziedzīgu nodarījumu vai ir notiesāta par tīšu noziedzīgu nodarījumu, atbrīvojot no soda, vai kriminālprocess pret to izbeigts uz nereabilitējoša pamata.</w:t>
            </w:r>
          </w:p>
          <w:p w:rsidR="00E93BB0" w:rsidRPr="00E93BB0" w:rsidRDefault="00E93BB0" w:rsidP="00E93BB0">
            <w:pPr>
              <w:spacing w:after="0" w:line="240" w:lineRule="auto"/>
              <w:ind w:firstLine="318"/>
              <w:jc w:val="both"/>
              <w:rPr>
                <w:rFonts w:ascii="Times New Roman" w:hAnsi="Times New Roman" w:cs="Times New Roman"/>
                <w:sz w:val="24"/>
                <w:szCs w:val="24"/>
              </w:rPr>
            </w:pPr>
            <w:r w:rsidRPr="00E93BB0">
              <w:rPr>
                <w:rFonts w:ascii="Times New Roman" w:hAnsi="Times New Roman" w:cs="Times New Roman"/>
                <w:sz w:val="24"/>
                <w:szCs w:val="24"/>
              </w:rPr>
              <w:t>Līdz ar to nav saskatāms tiesiskais pamatojums projektā noteiktajai ziņu pieprasīšanai par personas saukšanu pie administratīvās atbildības.</w:t>
            </w:r>
          </w:p>
          <w:p w:rsidR="00E93BB0" w:rsidRPr="00E93BB0" w:rsidRDefault="00E93BB0" w:rsidP="00E93BB0">
            <w:pPr>
              <w:spacing w:after="0" w:line="240" w:lineRule="auto"/>
              <w:ind w:firstLine="318"/>
              <w:jc w:val="both"/>
              <w:rPr>
                <w:rFonts w:ascii="Times New Roman" w:hAnsi="Times New Roman" w:cs="Times New Roman"/>
                <w:sz w:val="24"/>
                <w:szCs w:val="24"/>
              </w:rPr>
            </w:pPr>
            <w:r w:rsidRPr="00E93BB0">
              <w:rPr>
                <w:rFonts w:ascii="Times New Roman" w:hAnsi="Times New Roman" w:cs="Times New Roman"/>
                <w:sz w:val="24"/>
                <w:szCs w:val="24"/>
              </w:rPr>
              <w:t xml:space="preserve">Tāpat vēršam uzmanību uz to, ka atbilstoši Sodu reģistra likuma 19. pantā ietvertajam tiesiskajam regulējumam Iekšlietu ministrijas Informācijas centrs ziņas no Sodu reģistra var izsniegt tikai normatīvajos aktos noteiktajā apjomā un kārtībā. Savukārt, izvērtējot projektu un </w:t>
            </w:r>
            <w:proofErr w:type="gramStart"/>
            <w:r w:rsidRPr="00E93BB0">
              <w:rPr>
                <w:rFonts w:ascii="Times New Roman" w:hAnsi="Times New Roman" w:cs="Times New Roman"/>
                <w:sz w:val="24"/>
                <w:szCs w:val="24"/>
              </w:rPr>
              <w:t>tā sākotnējās ietekmes</w:t>
            </w:r>
            <w:proofErr w:type="gramEnd"/>
            <w:r w:rsidRPr="00E93BB0">
              <w:rPr>
                <w:rFonts w:ascii="Times New Roman" w:hAnsi="Times New Roman" w:cs="Times New Roman"/>
                <w:sz w:val="24"/>
                <w:szCs w:val="24"/>
              </w:rPr>
              <w:t xml:space="preserve"> </w:t>
            </w:r>
            <w:r w:rsidRPr="00E93BB0">
              <w:rPr>
                <w:rFonts w:ascii="Times New Roman" w:hAnsi="Times New Roman" w:cs="Times New Roman"/>
                <w:sz w:val="24"/>
                <w:szCs w:val="24"/>
              </w:rPr>
              <w:lastRenderedPageBreak/>
              <w:t>novērtējuma ziņojumu (anotāciju), ir secināms, ka skaidrs un viennozīmīgs ziņu apjoms, kuras paredzēts pieprasīt no Sodu reģistra, nav definēts.</w:t>
            </w:r>
          </w:p>
          <w:p w:rsidR="00A143EF" w:rsidRPr="000175D4" w:rsidRDefault="00E93BB0" w:rsidP="00E93BB0">
            <w:pPr>
              <w:spacing w:after="0" w:line="240" w:lineRule="auto"/>
              <w:ind w:firstLine="318"/>
              <w:jc w:val="both"/>
              <w:rPr>
                <w:rFonts w:ascii="Times New Roman" w:hAnsi="Times New Roman" w:cs="Times New Roman"/>
                <w:sz w:val="24"/>
                <w:szCs w:val="24"/>
              </w:rPr>
            </w:pPr>
            <w:r w:rsidRPr="00E93BB0">
              <w:rPr>
                <w:rFonts w:ascii="Times New Roman" w:hAnsi="Times New Roman" w:cs="Times New Roman"/>
                <w:sz w:val="24"/>
                <w:szCs w:val="24"/>
              </w:rPr>
              <w:t>Ievērojot minēto, lai nodrošinātu ziņu saņemšanu no Sodu reģistra, precizēt projekta 6.1. apakšpunktu, norādot likumprojektos ietvertajam tiesiskajam regulējumam atbilstošu no Soda reģistra saņemamo ziņu saturu un apjomu, kā arī precizēt projekta sākotnējās ietekmes novērtējuma ziņojuma (anotācijas) I sadaļas 2. punktu, sniedzot attiecīgu skaidrojumu par projektā norādīto nepieciešamo ziņu apjomu.</w:t>
            </w:r>
          </w:p>
        </w:tc>
        <w:tc>
          <w:tcPr>
            <w:tcW w:w="3260" w:type="dxa"/>
            <w:tcBorders>
              <w:top w:val="single" w:sz="6" w:space="0" w:color="000000"/>
              <w:left w:val="single" w:sz="6" w:space="0" w:color="000000"/>
              <w:bottom w:val="single" w:sz="6" w:space="0" w:color="000000"/>
              <w:right w:val="single" w:sz="6" w:space="0" w:color="000000"/>
            </w:tcBorders>
          </w:tcPr>
          <w:p w:rsidR="000C5842" w:rsidRPr="00B85FA7" w:rsidRDefault="00B85FA7" w:rsidP="00C17297">
            <w:pPr>
              <w:spacing w:after="0" w:line="240" w:lineRule="auto"/>
              <w:jc w:val="both"/>
              <w:rPr>
                <w:rFonts w:ascii="Times New Roman" w:eastAsia="Times New Roman" w:hAnsi="Times New Roman" w:cs="Times New Roman"/>
                <w:b/>
                <w:sz w:val="24"/>
                <w:szCs w:val="24"/>
                <w:lang w:eastAsia="lv-LV"/>
              </w:rPr>
            </w:pPr>
            <w:r w:rsidRPr="00B85FA7">
              <w:rPr>
                <w:rFonts w:ascii="Times New Roman" w:eastAsia="Times New Roman" w:hAnsi="Times New Roman" w:cs="Times New Roman"/>
                <w:b/>
                <w:sz w:val="24"/>
                <w:szCs w:val="24"/>
                <w:lang w:eastAsia="lv-LV"/>
              </w:rPr>
              <w:lastRenderedPageBreak/>
              <w:t>Ņemts vērā.</w:t>
            </w:r>
          </w:p>
        </w:tc>
        <w:tc>
          <w:tcPr>
            <w:tcW w:w="3402" w:type="dxa"/>
            <w:tcBorders>
              <w:top w:val="single" w:sz="4" w:space="0" w:color="auto"/>
              <w:left w:val="single" w:sz="4" w:space="0" w:color="auto"/>
              <w:bottom w:val="single" w:sz="4" w:space="0" w:color="auto"/>
            </w:tcBorders>
          </w:tcPr>
          <w:p w:rsidR="00F15DE7" w:rsidRPr="00F15DE7" w:rsidRDefault="00902B1B" w:rsidP="00AB269C">
            <w:pPr>
              <w:tabs>
                <w:tab w:val="left" w:pos="38"/>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F15DE7" w:rsidRPr="00F15DE7">
              <w:rPr>
                <w:rFonts w:ascii="Times New Roman" w:eastAsia="Times New Roman" w:hAnsi="Times New Roman" w:cs="Times New Roman"/>
                <w:lang w:eastAsia="lv-LV"/>
              </w:rPr>
              <w:t>.  Komisija var pieprasīt izvērtēšanai nepieciešamo informāciju no:</w:t>
            </w:r>
          </w:p>
          <w:p w:rsidR="00A143EF" w:rsidRPr="000175D4" w:rsidRDefault="00902B1B" w:rsidP="00902B1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F15DE7" w:rsidRPr="00F15DE7">
              <w:rPr>
                <w:rFonts w:ascii="Times New Roman" w:eastAsia="Times New Roman" w:hAnsi="Times New Roman" w:cs="Times New Roman"/>
                <w:lang w:eastAsia="lv-LV"/>
              </w:rPr>
              <w:t xml:space="preserve">.1. Iekšlietu ministrijas Informācijas centra – </w:t>
            </w:r>
            <w:r w:rsidR="00090258">
              <w:t xml:space="preserve"> </w:t>
            </w:r>
            <w:r w:rsidR="00090258" w:rsidRPr="00090258">
              <w:rPr>
                <w:rFonts w:ascii="Times New Roman" w:eastAsia="Times New Roman" w:hAnsi="Times New Roman" w:cs="Times New Roman"/>
                <w:lang w:eastAsia="lv-LV"/>
              </w:rPr>
              <w:t>ziņas no Sodu reģistra aktuālas un arhīva datu bāzes par kandidāta sodāmību, neatkarīgi no tās dzēšanas vai noņemšanas;</w:t>
            </w:r>
          </w:p>
        </w:tc>
      </w:tr>
      <w:tr w:rsidR="002B15FE" w:rsidRPr="000175D4" w:rsidTr="0063280A">
        <w:tblPrEx>
          <w:tblBorders>
            <w:top w:val="none" w:sz="0" w:space="0" w:color="auto"/>
            <w:left w:val="none" w:sz="0" w:space="0" w:color="auto"/>
            <w:bottom w:val="none" w:sz="0" w:space="0" w:color="auto"/>
            <w:right w:val="none" w:sz="0" w:space="0" w:color="auto"/>
          </w:tblBorders>
        </w:tblPrEx>
        <w:tc>
          <w:tcPr>
            <w:tcW w:w="15018" w:type="dxa"/>
            <w:gridSpan w:val="6"/>
          </w:tcPr>
          <w:p w:rsidR="002B15FE" w:rsidRPr="000175D4" w:rsidRDefault="002B15FE" w:rsidP="002B15FE">
            <w:pPr>
              <w:spacing w:after="0" w:line="240" w:lineRule="auto"/>
              <w:rPr>
                <w:rFonts w:ascii="Times New Roman" w:eastAsia="Times New Roman" w:hAnsi="Times New Roman" w:cs="Times New Roman"/>
                <w:lang w:eastAsia="lv-LV"/>
              </w:rPr>
            </w:pPr>
          </w:p>
          <w:p w:rsidR="0063280A" w:rsidRPr="000175D4" w:rsidRDefault="002B15FE" w:rsidP="002B15FE">
            <w:pPr>
              <w:spacing w:after="0" w:line="240" w:lineRule="auto"/>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Atbildīgā amatpersona</w:t>
            </w:r>
          </w:p>
          <w:tbl>
            <w:tblPr>
              <w:tblpPr w:leftFromText="180" w:rightFromText="180" w:vertAnchor="text" w:tblpX="-575" w:tblpY="1"/>
              <w:tblOverlap w:val="never"/>
              <w:tblW w:w="15011" w:type="dxa"/>
              <w:tblLayout w:type="fixed"/>
              <w:tblLook w:val="00A0" w:firstRow="1" w:lastRow="0" w:firstColumn="1" w:lastColumn="0" w:noHBand="0" w:noVBand="0"/>
            </w:tblPr>
            <w:tblGrid>
              <w:gridCol w:w="15011"/>
            </w:tblGrid>
            <w:tr w:rsidR="0063280A" w:rsidRPr="000175D4" w:rsidTr="0063280A">
              <w:trPr>
                <w:trHeight w:val="429"/>
              </w:trPr>
              <w:tc>
                <w:tcPr>
                  <w:tcW w:w="6179" w:type="dxa"/>
                </w:tcPr>
                <w:p w:rsidR="0063280A" w:rsidRPr="000175D4" w:rsidRDefault="0063280A" w:rsidP="0063280A">
                  <w:pPr>
                    <w:spacing w:after="0" w:line="240" w:lineRule="auto"/>
                    <w:ind w:firstLine="720"/>
                    <w:rPr>
                      <w:rFonts w:ascii="Times New Roman" w:eastAsia="Times New Roman" w:hAnsi="Times New Roman" w:cs="Times New Roman"/>
                      <w:lang w:eastAsia="lv-LV"/>
                    </w:rPr>
                  </w:pPr>
                </w:p>
              </w:tc>
            </w:tr>
            <w:tr w:rsidR="0063280A" w:rsidRPr="000175D4" w:rsidTr="003E62BA">
              <w:tc>
                <w:tcPr>
                  <w:tcW w:w="6179" w:type="dxa"/>
                  <w:tcBorders>
                    <w:top w:val="single" w:sz="6" w:space="0" w:color="000000"/>
                  </w:tcBorders>
                </w:tcPr>
                <w:p w:rsidR="0063280A" w:rsidRPr="000175D4" w:rsidRDefault="0063280A" w:rsidP="0063280A">
                  <w:pPr>
                    <w:spacing w:after="0" w:line="240" w:lineRule="auto"/>
                    <w:ind w:firstLine="720"/>
                    <w:jc w:val="center"/>
                    <w:rPr>
                      <w:rFonts w:ascii="Times New Roman" w:eastAsia="Times New Roman" w:hAnsi="Times New Roman" w:cs="Times New Roman"/>
                      <w:lang w:eastAsia="lv-LV"/>
                    </w:rPr>
                  </w:pPr>
                  <w:r w:rsidRPr="000175D4">
                    <w:rPr>
                      <w:rFonts w:ascii="Times New Roman" w:eastAsia="Times New Roman" w:hAnsi="Times New Roman" w:cs="Times New Roman"/>
                      <w:lang w:eastAsia="lv-LV"/>
                    </w:rPr>
                    <w:t>(paraksts)*</w:t>
                  </w:r>
                </w:p>
              </w:tc>
            </w:tr>
          </w:tbl>
          <w:p w:rsidR="002B15FE" w:rsidRPr="000175D4" w:rsidRDefault="002B15FE" w:rsidP="002B15FE">
            <w:pPr>
              <w:spacing w:after="0" w:line="240" w:lineRule="auto"/>
              <w:rPr>
                <w:rFonts w:ascii="Times New Roman" w:eastAsia="Times New Roman" w:hAnsi="Times New Roman" w:cs="Times New Roman"/>
                <w:lang w:eastAsia="lv-LV"/>
              </w:rPr>
            </w:pPr>
          </w:p>
        </w:tc>
        <w:tc>
          <w:tcPr>
            <w:tcW w:w="240" w:type="dxa"/>
          </w:tcPr>
          <w:p w:rsidR="002B15FE" w:rsidRPr="000175D4" w:rsidRDefault="002B15FE" w:rsidP="002B15FE">
            <w:pPr>
              <w:spacing w:after="0" w:line="240" w:lineRule="auto"/>
              <w:ind w:firstLine="720"/>
              <w:rPr>
                <w:rFonts w:ascii="Times New Roman" w:eastAsia="Times New Roman" w:hAnsi="Times New Roman" w:cs="Times New Roman"/>
                <w:lang w:eastAsia="lv-LV"/>
              </w:rPr>
            </w:pPr>
          </w:p>
        </w:tc>
      </w:tr>
      <w:tr w:rsidR="002B15FE" w:rsidRPr="000175D4" w:rsidTr="0063280A">
        <w:tblPrEx>
          <w:tblBorders>
            <w:top w:val="none" w:sz="0" w:space="0" w:color="auto"/>
            <w:left w:val="none" w:sz="0" w:space="0" w:color="auto"/>
            <w:bottom w:val="none" w:sz="0" w:space="0" w:color="auto"/>
            <w:right w:val="none" w:sz="0" w:space="0" w:color="auto"/>
          </w:tblBorders>
        </w:tblPrEx>
        <w:tc>
          <w:tcPr>
            <w:tcW w:w="15018" w:type="dxa"/>
            <w:gridSpan w:val="6"/>
          </w:tcPr>
          <w:p w:rsidR="002B15FE" w:rsidRPr="000175D4" w:rsidRDefault="002B15FE" w:rsidP="002B15FE">
            <w:pPr>
              <w:spacing w:after="0" w:line="240" w:lineRule="auto"/>
              <w:ind w:firstLine="720"/>
              <w:rPr>
                <w:rFonts w:ascii="Times New Roman" w:eastAsia="Times New Roman" w:hAnsi="Times New Roman" w:cs="Times New Roman"/>
                <w:lang w:eastAsia="lv-LV"/>
              </w:rPr>
            </w:pPr>
          </w:p>
        </w:tc>
        <w:tc>
          <w:tcPr>
            <w:tcW w:w="240" w:type="dxa"/>
            <w:tcBorders>
              <w:top w:val="single" w:sz="6" w:space="0" w:color="000000"/>
            </w:tcBorders>
          </w:tcPr>
          <w:p w:rsidR="002B15FE" w:rsidRPr="000175D4" w:rsidRDefault="002B15FE" w:rsidP="0063280A">
            <w:pPr>
              <w:spacing w:after="0" w:line="240" w:lineRule="auto"/>
              <w:ind w:left="-255" w:firstLine="975"/>
              <w:jc w:val="center"/>
              <w:rPr>
                <w:rFonts w:ascii="Times New Roman" w:eastAsia="Times New Roman" w:hAnsi="Times New Roman" w:cs="Times New Roman"/>
                <w:lang w:eastAsia="lv-LV"/>
              </w:rPr>
            </w:pPr>
          </w:p>
        </w:tc>
      </w:tr>
    </w:tbl>
    <w:p w:rsid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0175D4">
        <w:rPr>
          <w:rFonts w:ascii="Times New Roman" w:eastAsia="Times New Roman" w:hAnsi="Times New Roman" w:cs="Times New Roman"/>
          <w:sz w:val="20"/>
          <w:szCs w:val="20"/>
          <w:lang w:eastAsia="lv-LV"/>
        </w:rPr>
        <w:t xml:space="preserve">Piezīme. </w:t>
      </w:r>
    </w:p>
    <w:p w:rsidR="00910399" w:rsidRDefault="00910399" w:rsidP="00E5597B">
      <w:pPr>
        <w:spacing w:after="0" w:line="240" w:lineRule="auto"/>
        <w:ind w:left="-426"/>
        <w:jc w:val="both"/>
        <w:rPr>
          <w:rFonts w:ascii="Times New Roman" w:eastAsia="Times New Roman" w:hAnsi="Times New Roman" w:cs="Times New Roman"/>
          <w:sz w:val="20"/>
          <w:szCs w:val="20"/>
          <w:lang w:eastAsia="lv-LV"/>
        </w:rPr>
      </w:pPr>
    </w:p>
    <w:p w:rsidR="007079FE" w:rsidRPr="000175D4" w:rsidRDefault="007079FE" w:rsidP="00E5597B">
      <w:pPr>
        <w:spacing w:after="0" w:line="240" w:lineRule="auto"/>
        <w:ind w:left="-426"/>
        <w:jc w:val="both"/>
        <w:rPr>
          <w:rFonts w:ascii="Times New Roman" w:eastAsia="Times New Roman" w:hAnsi="Times New Roman" w:cs="Times New Roman"/>
          <w:sz w:val="20"/>
          <w:szCs w:val="20"/>
          <w:lang w:eastAsia="lv-LV"/>
        </w:rPr>
      </w:pPr>
    </w:p>
    <w:p w:rsidR="00E5597B" w:rsidRPr="000175D4" w:rsidRDefault="00E5597B" w:rsidP="00E5597B">
      <w:pPr>
        <w:spacing w:after="0" w:line="240" w:lineRule="auto"/>
        <w:ind w:left="-426"/>
        <w:jc w:val="both"/>
        <w:rPr>
          <w:rFonts w:ascii="Times New Roman" w:eastAsia="Times New Roman" w:hAnsi="Times New Roman" w:cs="Times New Roman"/>
          <w:sz w:val="20"/>
          <w:szCs w:val="20"/>
          <w:lang w:eastAsia="lv-LV"/>
        </w:rPr>
      </w:pPr>
      <w:r w:rsidRPr="000175D4">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rsidR="00E5597B" w:rsidRPr="000175D4" w:rsidRDefault="00E5597B" w:rsidP="00E5597B">
      <w:pPr>
        <w:spacing w:after="0" w:line="240" w:lineRule="auto"/>
        <w:ind w:left="-426"/>
        <w:jc w:val="both"/>
        <w:rPr>
          <w:rFonts w:ascii="Times New Roman" w:eastAsia="Times New Roman" w:hAnsi="Times New Roman" w:cs="Times New Roman"/>
          <w:sz w:val="20"/>
          <w:szCs w:val="20"/>
          <w:lang w:eastAsia="lv-LV"/>
        </w:rPr>
      </w:pPr>
    </w:p>
    <w:p w:rsidR="00E5597B" w:rsidRPr="000175D4" w:rsidRDefault="009066E5" w:rsidP="00E5597B">
      <w:pPr>
        <w:spacing w:after="0" w:line="240" w:lineRule="auto"/>
        <w:ind w:left="142"/>
        <w:jc w:val="both"/>
        <w:rPr>
          <w:rFonts w:ascii="Times New Roman" w:eastAsia="Times New Roman" w:hAnsi="Times New Roman" w:cs="Times New Roman"/>
          <w:sz w:val="20"/>
          <w:szCs w:val="20"/>
          <w:lang w:eastAsia="lv-LV"/>
        </w:rPr>
      </w:pPr>
      <w:r w:rsidRPr="000175D4">
        <w:rPr>
          <w:rFonts w:ascii="Times New Roman" w:eastAsia="Times New Roman" w:hAnsi="Times New Roman" w:cs="Times New Roman"/>
          <w:sz w:val="20"/>
          <w:szCs w:val="20"/>
          <w:lang w:eastAsia="lv-LV"/>
        </w:rPr>
        <w:t>Vita Upeniece</w:t>
      </w:r>
    </w:p>
    <w:tbl>
      <w:tblPr>
        <w:tblpPr w:leftFromText="180" w:rightFromText="180" w:vertAnchor="text" w:tblpY="1"/>
        <w:tblOverlap w:val="never"/>
        <w:tblW w:w="0" w:type="auto"/>
        <w:tblLook w:val="00A0" w:firstRow="1" w:lastRow="0" w:firstColumn="1" w:lastColumn="0" w:noHBand="0" w:noVBand="0"/>
      </w:tblPr>
      <w:tblGrid>
        <w:gridCol w:w="8789"/>
      </w:tblGrid>
      <w:tr w:rsidR="00E5597B" w:rsidRPr="000175D4" w:rsidTr="00E02B52">
        <w:tc>
          <w:tcPr>
            <w:tcW w:w="8789" w:type="dxa"/>
            <w:tcBorders>
              <w:top w:val="single" w:sz="4" w:space="0" w:color="000000"/>
              <w:left w:val="nil"/>
              <w:bottom w:val="nil"/>
              <w:right w:val="nil"/>
            </w:tcBorders>
            <w:hideMark/>
          </w:tcPr>
          <w:p w:rsidR="00E5597B" w:rsidRPr="000175D4" w:rsidRDefault="00E5597B" w:rsidP="00E5597B">
            <w:pPr>
              <w:spacing w:after="0" w:line="240" w:lineRule="auto"/>
              <w:rPr>
                <w:rFonts w:ascii="Times New Roman" w:eastAsia="Times New Roman" w:hAnsi="Times New Roman" w:cs="Times New Roman"/>
                <w:sz w:val="20"/>
                <w:szCs w:val="20"/>
                <w:lang w:eastAsia="lv-LV"/>
              </w:rPr>
            </w:pPr>
            <w:r w:rsidRPr="000175D4">
              <w:rPr>
                <w:rFonts w:ascii="Times New Roman" w:eastAsia="Times New Roman" w:hAnsi="Times New Roman" w:cs="Times New Roman"/>
                <w:sz w:val="20"/>
                <w:szCs w:val="20"/>
                <w:lang w:eastAsia="lv-LV"/>
              </w:rPr>
              <w:t>(par projektu atbildīgās amatpersonas vārds un uzvārds)</w:t>
            </w:r>
          </w:p>
        </w:tc>
      </w:tr>
      <w:tr w:rsidR="00E5597B" w:rsidRPr="000175D4" w:rsidTr="00E02B52">
        <w:tc>
          <w:tcPr>
            <w:tcW w:w="8789" w:type="dxa"/>
            <w:tcBorders>
              <w:top w:val="nil"/>
              <w:left w:val="nil"/>
              <w:bottom w:val="single" w:sz="4" w:space="0" w:color="000000"/>
              <w:right w:val="nil"/>
            </w:tcBorders>
            <w:hideMark/>
          </w:tcPr>
          <w:p w:rsidR="00E5597B" w:rsidRPr="000175D4" w:rsidRDefault="00E5597B" w:rsidP="00E5597B">
            <w:pPr>
              <w:spacing w:after="0" w:line="240" w:lineRule="auto"/>
              <w:rPr>
                <w:rFonts w:ascii="Times New Roman" w:eastAsia="Times New Roman" w:hAnsi="Times New Roman" w:cs="Times New Roman"/>
                <w:sz w:val="20"/>
                <w:szCs w:val="20"/>
                <w:lang w:eastAsia="lv-LV"/>
              </w:rPr>
            </w:pPr>
          </w:p>
          <w:p w:rsidR="00E5597B" w:rsidRPr="000175D4" w:rsidRDefault="0054523A" w:rsidP="009066E5">
            <w:pPr>
              <w:spacing w:after="0" w:line="240" w:lineRule="auto"/>
              <w:rPr>
                <w:rFonts w:ascii="Times New Roman" w:eastAsia="Times New Roman" w:hAnsi="Times New Roman" w:cs="Times New Roman"/>
                <w:sz w:val="20"/>
                <w:szCs w:val="20"/>
                <w:lang w:eastAsia="lv-LV"/>
              </w:rPr>
            </w:pPr>
            <w:r w:rsidRPr="000175D4">
              <w:rPr>
                <w:rFonts w:ascii="Times New Roman" w:eastAsia="Times New Roman" w:hAnsi="Times New Roman" w:cs="Times New Roman"/>
                <w:sz w:val="20"/>
                <w:szCs w:val="20"/>
                <w:lang w:eastAsia="lv-LV"/>
              </w:rPr>
              <w:t xml:space="preserve">Aizsardzības ministrijas </w:t>
            </w:r>
            <w:r w:rsidR="009066E5" w:rsidRPr="000175D4">
              <w:rPr>
                <w:rFonts w:ascii="Times New Roman" w:eastAsia="Times New Roman" w:hAnsi="Times New Roman" w:cs="Times New Roman"/>
                <w:sz w:val="20"/>
                <w:szCs w:val="20"/>
                <w:lang w:eastAsia="lv-LV"/>
              </w:rPr>
              <w:t>Juridiskā departamenta Tiesību aktu nodaļas vadītāja</w:t>
            </w:r>
          </w:p>
        </w:tc>
      </w:tr>
      <w:tr w:rsidR="00E5597B" w:rsidRPr="000175D4" w:rsidTr="00E02B52">
        <w:tc>
          <w:tcPr>
            <w:tcW w:w="8789" w:type="dxa"/>
            <w:tcBorders>
              <w:top w:val="single" w:sz="4" w:space="0" w:color="000000"/>
              <w:left w:val="nil"/>
              <w:bottom w:val="nil"/>
              <w:right w:val="nil"/>
            </w:tcBorders>
            <w:hideMark/>
          </w:tcPr>
          <w:p w:rsidR="00E5597B" w:rsidRPr="000175D4" w:rsidRDefault="00E5597B" w:rsidP="00E5597B">
            <w:pPr>
              <w:spacing w:after="0" w:line="240" w:lineRule="auto"/>
              <w:jc w:val="center"/>
              <w:rPr>
                <w:rFonts w:ascii="Times New Roman" w:eastAsia="Times New Roman" w:hAnsi="Times New Roman" w:cs="Times New Roman"/>
                <w:sz w:val="20"/>
                <w:szCs w:val="20"/>
                <w:lang w:eastAsia="lv-LV"/>
              </w:rPr>
            </w:pPr>
            <w:r w:rsidRPr="000175D4">
              <w:rPr>
                <w:rFonts w:ascii="Times New Roman" w:eastAsia="Times New Roman" w:hAnsi="Times New Roman" w:cs="Times New Roman"/>
                <w:sz w:val="20"/>
                <w:szCs w:val="20"/>
                <w:lang w:eastAsia="lv-LV"/>
              </w:rPr>
              <w:t>(amats)</w:t>
            </w:r>
          </w:p>
        </w:tc>
      </w:tr>
      <w:tr w:rsidR="00E5597B" w:rsidRPr="000175D4" w:rsidTr="00E02B52">
        <w:tc>
          <w:tcPr>
            <w:tcW w:w="8789" w:type="dxa"/>
            <w:tcBorders>
              <w:top w:val="nil"/>
              <w:left w:val="nil"/>
              <w:bottom w:val="single" w:sz="4" w:space="0" w:color="000000"/>
              <w:right w:val="nil"/>
            </w:tcBorders>
            <w:hideMark/>
          </w:tcPr>
          <w:p w:rsidR="00E5597B" w:rsidRPr="000175D4" w:rsidRDefault="00E5597B" w:rsidP="009066E5">
            <w:pPr>
              <w:spacing w:after="0" w:line="240" w:lineRule="auto"/>
              <w:rPr>
                <w:rFonts w:ascii="Times New Roman" w:eastAsia="Times New Roman" w:hAnsi="Times New Roman" w:cs="Times New Roman"/>
                <w:sz w:val="20"/>
                <w:szCs w:val="20"/>
                <w:lang w:eastAsia="lv-LV"/>
              </w:rPr>
            </w:pPr>
            <w:r w:rsidRPr="000175D4">
              <w:rPr>
                <w:rFonts w:ascii="Times New Roman" w:eastAsia="Times New Roman" w:hAnsi="Times New Roman" w:cs="Times New Roman"/>
                <w:sz w:val="20"/>
                <w:szCs w:val="20"/>
                <w:lang w:eastAsia="lv-LV"/>
              </w:rPr>
              <w:t xml:space="preserve">tālr. </w:t>
            </w:r>
            <w:r w:rsidR="0054523A" w:rsidRPr="000175D4">
              <w:rPr>
                <w:rFonts w:ascii="Times New Roman" w:eastAsia="Times New Roman" w:hAnsi="Times New Roman" w:cs="Times New Roman"/>
                <w:sz w:val="20"/>
                <w:szCs w:val="20"/>
                <w:lang w:eastAsia="lv-LV"/>
              </w:rPr>
              <w:t>67335</w:t>
            </w:r>
            <w:r w:rsidR="009066E5" w:rsidRPr="000175D4">
              <w:rPr>
                <w:rFonts w:ascii="Times New Roman" w:eastAsia="Times New Roman" w:hAnsi="Times New Roman" w:cs="Times New Roman"/>
                <w:sz w:val="20"/>
                <w:szCs w:val="20"/>
                <w:lang w:eastAsia="lv-LV"/>
              </w:rPr>
              <w:t>241</w:t>
            </w:r>
          </w:p>
        </w:tc>
      </w:tr>
      <w:tr w:rsidR="00E5597B" w:rsidRPr="000175D4" w:rsidTr="00E02B52">
        <w:tc>
          <w:tcPr>
            <w:tcW w:w="8789" w:type="dxa"/>
            <w:tcBorders>
              <w:top w:val="single" w:sz="4" w:space="0" w:color="000000"/>
              <w:left w:val="nil"/>
              <w:bottom w:val="nil"/>
              <w:right w:val="nil"/>
            </w:tcBorders>
            <w:hideMark/>
          </w:tcPr>
          <w:p w:rsidR="00E5597B" w:rsidRPr="000175D4" w:rsidRDefault="00E5597B" w:rsidP="00E5597B">
            <w:pPr>
              <w:spacing w:after="0" w:line="240" w:lineRule="auto"/>
              <w:jc w:val="center"/>
              <w:rPr>
                <w:rFonts w:ascii="Times New Roman" w:eastAsia="Times New Roman" w:hAnsi="Times New Roman" w:cs="Times New Roman"/>
                <w:sz w:val="20"/>
                <w:szCs w:val="20"/>
                <w:lang w:eastAsia="lv-LV"/>
              </w:rPr>
            </w:pPr>
            <w:r w:rsidRPr="000175D4">
              <w:rPr>
                <w:rFonts w:ascii="Times New Roman" w:eastAsia="Times New Roman" w:hAnsi="Times New Roman" w:cs="Times New Roman"/>
                <w:sz w:val="20"/>
                <w:szCs w:val="20"/>
                <w:lang w:eastAsia="lv-LV"/>
              </w:rPr>
              <w:t>(tālruņa un faksa numurs)</w:t>
            </w:r>
          </w:p>
          <w:p w:rsidR="00E61750" w:rsidRPr="000175D4" w:rsidRDefault="00E61750" w:rsidP="00E5597B">
            <w:pPr>
              <w:spacing w:after="0" w:line="240" w:lineRule="auto"/>
              <w:jc w:val="center"/>
              <w:rPr>
                <w:rFonts w:ascii="Times New Roman" w:eastAsia="Times New Roman" w:hAnsi="Times New Roman" w:cs="Times New Roman"/>
                <w:sz w:val="20"/>
                <w:szCs w:val="20"/>
                <w:lang w:eastAsia="lv-LV"/>
              </w:rPr>
            </w:pPr>
          </w:p>
          <w:p w:rsidR="00E5597B" w:rsidRPr="000175D4" w:rsidRDefault="009066E5" w:rsidP="00E5597B">
            <w:pPr>
              <w:spacing w:after="0" w:line="240" w:lineRule="auto"/>
              <w:jc w:val="center"/>
              <w:rPr>
                <w:rFonts w:ascii="Times New Roman" w:eastAsia="Times New Roman" w:hAnsi="Times New Roman" w:cs="Times New Roman"/>
                <w:sz w:val="20"/>
                <w:szCs w:val="20"/>
                <w:lang w:eastAsia="lv-LV"/>
              </w:rPr>
            </w:pPr>
            <w:r w:rsidRPr="000175D4">
              <w:rPr>
                <w:rFonts w:ascii="Times New Roman" w:eastAsia="Times New Roman" w:hAnsi="Times New Roman" w:cs="Times New Roman"/>
                <w:sz w:val="20"/>
                <w:szCs w:val="20"/>
                <w:lang w:eastAsia="lv-LV"/>
              </w:rPr>
              <w:t>Vita.Upeniece</w:t>
            </w:r>
            <w:r w:rsidR="0054523A" w:rsidRPr="000175D4">
              <w:rPr>
                <w:rFonts w:ascii="Times New Roman" w:eastAsia="Times New Roman" w:hAnsi="Times New Roman" w:cs="Times New Roman"/>
                <w:sz w:val="20"/>
                <w:szCs w:val="20"/>
                <w:lang w:eastAsia="lv-LV"/>
              </w:rPr>
              <w:t>@mod.gov.lv</w:t>
            </w:r>
          </w:p>
        </w:tc>
      </w:tr>
      <w:tr w:rsidR="00E5597B" w:rsidRPr="000175D4" w:rsidTr="00E02B52">
        <w:tc>
          <w:tcPr>
            <w:tcW w:w="8789" w:type="dxa"/>
            <w:tcBorders>
              <w:top w:val="nil"/>
              <w:left w:val="nil"/>
              <w:bottom w:val="single" w:sz="4" w:space="0" w:color="000000"/>
              <w:right w:val="nil"/>
            </w:tcBorders>
            <w:hideMark/>
          </w:tcPr>
          <w:p w:rsidR="00E5597B" w:rsidRPr="000175D4" w:rsidRDefault="00E5597B" w:rsidP="00E5597B">
            <w:pPr>
              <w:spacing w:after="0" w:line="240" w:lineRule="auto"/>
              <w:rPr>
                <w:rFonts w:ascii="Times New Roman" w:eastAsia="Times New Roman" w:hAnsi="Times New Roman" w:cs="Times New Roman"/>
                <w:sz w:val="20"/>
                <w:szCs w:val="20"/>
                <w:lang w:eastAsia="lv-LV"/>
              </w:rPr>
            </w:pPr>
          </w:p>
        </w:tc>
      </w:tr>
      <w:tr w:rsidR="00E5597B" w:rsidRPr="000175D4" w:rsidTr="00E02B52">
        <w:tc>
          <w:tcPr>
            <w:tcW w:w="8789" w:type="dxa"/>
            <w:tcBorders>
              <w:top w:val="single" w:sz="4" w:space="0" w:color="000000"/>
              <w:left w:val="nil"/>
              <w:bottom w:val="nil"/>
              <w:right w:val="nil"/>
            </w:tcBorders>
            <w:hideMark/>
          </w:tcPr>
          <w:p w:rsidR="00E5597B" w:rsidRPr="000175D4" w:rsidRDefault="00E5597B" w:rsidP="00E5597B">
            <w:pPr>
              <w:spacing w:after="0" w:line="240" w:lineRule="auto"/>
              <w:jc w:val="center"/>
              <w:rPr>
                <w:rFonts w:ascii="Times New Roman" w:eastAsia="Times New Roman" w:hAnsi="Times New Roman" w:cs="Times New Roman"/>
                <w:sz w:val="20"/>
                <w:szCs w:val="20"/>
                <w:lang w:eastAsia="lv-LV"/>
              </w:rPr>
            </w:pPr>
            <w:r w:rsidRPr="000175D4">
              <w:rPr>
                <w:rFonts w:ascii="Times New Roman" w:eastAsia="Times New Roman" w:hAnsi="Times New Roman" w:cs="Times New Roman"/>
                <w:sz w:val="20"/>
                <w:szCs w:val="20"/>
                <w:lang w:eastAsia="lv-LV"/>
              </w:rPr>
              <w:t>(e-pasta adrese)</w:t>
            </w:r>
          </w:p>
        </w:tc>
      </w:tr>
    </w:tbl>
    <w:p w:rsidR="00E5597B" w:rsidRPr="000175D4"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0175D4"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0175D4"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0175D4"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0175D4"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0175D4"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0175D4" w:rsidRDefault="00E5597B" w:rsidP="00E5597B">
      <w:pPr>
        <w:tabs>
          <w:tab w:val="left" w:pos="6840"/>
        </w:tabs>
        <w:spacing w:before="75" w:after="75" w:line="240" w:lineRule="auto"/>
        <w:jc w:val="both"/>
        <w:rPr>
          <w:rFonts w:ascii="Times New Roman" w:eastAsia="Times New Roman" w:hAnsi="Times New Roman" w:cs="Times New Roman"/>
          <w:sz w:val="20"/>
          <w:szCs w:val="20"/>
          <w:lang w:eastAsia="lv-LV"/>
        </w:rPr>
      </w:pPr>
    </w:p>
    <w:p w:rsidR="00E5597B" w:rsidRPr="000175D4" w:rsidRDefault="00E5597B" w:rsidP="00E5597B">
      <w:pPr>
        <w:tabs>
          <w:tab w:val="left" w:pos="6840"/>
        </w:tabs>
        <w:spacing w:after="0" w:line="240" w:lineRule="auto"/>
        <w:jc w:val="both"/>
        <w:rPr>
          <w:rFonts w:ascii="Times New Roman" w:eastAsia="Times New Roman" w:hAnsi="Times New Roman" w:cs="Times New Roman"/>
          <w:sz w:val="20"/>
          <w:szCs w:val="20"/>
          <w:lang w:eastAsia="lv-LV"/>
        </w:rPr>
      </w:pPr>
    </w:p>
    <w:p w:rsidR="002B15FE" w:rsidRPr="000175D4" w:rsidRDefault="002B15FE">
      <w:pPr>
        <w:rPr>
          <w:rFonts w:ascii="Times New Roman" w:hAnsi="Times New Roman" w:cs="Times New Roman"/>
        </w:rPr>
      </w:pPr>
    </w:p>
    <w:sectPr w:rsidR="002B15FE" w:rsidRPr="000175D4" w:rsidSect="005B3CA6">
      <w:headerReference w:type="default" r:id="rId8"/>
      <w:footerReference w:type="default" r:id="rId9"/>
      <w:pgSz w:w="16838" w:h="11906" w:orient="landscape"/>
      <w:pgMar w:top="993"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52" w:rsidRDefault="00E02B52" w:rsidP="0018773C">
      <w:pPr>
        <w:spacing w:after="0" w:line="240" w:lineRule="auto"/>
      </w:pPr>
      <w:r>
        <w:separator/>
      </w:r>
    </w:p>
  </w:endnote>
  <w:endnote w:type="continuationSeparator" w:id="0">
    <w:p w:rsidR="00E02B52" w:rsidRDefault="00E02B52" w:rsidP="0018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LR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56" w:rsidRDefault="00CA3E56">
    <w:pPr>
      <w:pStyle w:val="Footer"/>
    </w:pPr>
    <w:r>
      <w:t>AiMIzz_</w:t>
    </w:r>
    <w:r w:rsidR="005D055A">
      <w:t>15</w:t>
    </w:r>
    <w:r w:rsidR="00782772">
      <w:t>02</w:t>
    </w:r>
    <w:r w:rsidR="00AF75F0">
      <w:t>21</w:t>
    </w:r>
    <w:r>
      <w:t>_</w:t>
    </w:r>
    <w:r w:rsidR="00412F05">
      <w:t>komisija</w:t>
    </w:r>
  </w:p>
  <w:p w:rsidR="00CA3E56" w:rsidRDefault="00CA3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52" w:rsidRDefault="00E02B52" w:rsidP="0018773C">
      <w:pPr>
        <w:spacing w:after="0" w:line="240" w:lineRule="auto"/>
      </w:pPr>
      <w:r>
        <w:separator/>
      </w:r>
    </w:p>
  </w:footnote>
  <w:footnote w:type="continuationSeparator" w:id="0">
    <w:p w:rsidR="00E02B52" w:rsidRDefault="00E02B52" w:rsidP="0018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91911"/>
      <w:docPartObj>
        <w:docPartGallery w:val="Page Numbers (Top of Page)"/>
        <w:docPartUnique/>
      </w:docPartObj>
    </w:sdtPr>
    <w:sdtEndPr>
      <w:rPr>
        <w:noProof/>
      </w:rPr>
    </w:sdtEndPr>
    <w:sdtContent>
      <w:p w:rsidR="00E02B52" w:rsidRDefault="00E02B52">
        <w:pPr>
          <w:pStyle w:val="Header"/>
          <w:jc w:val="center"/>
        </w:pPr>
        <w:r>
          <w:fldChar w:fldCharType="begin"/>
        </w:r>
        <w:r>
          <w:instrText xml:space="preserve"> PAGE   \* MERGEFORMAT </w:instrText>
        </w:r>
        <w:r>
          <w:fldChar w:fldCharType="separate"/>
        </w:r>
        <w:r w:rsidR="007C6CB9">
          <w:rPr>
            <w:noProof/>
          </w:rPr>
          <w:t>14</w:t>
        </w:r>
        <w:r>
          <w:rPr>
            <w:noProof/>
          </w:rPr>
          <w:fldChar w:fldCharType="end"/>
        </w:r>
      </w:p>
    </w:sdtContent>
  </w:sdt>
  <w:p w:rsidR="00E02B52" w:rsidRDefault="00E0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1">
    <w:nsid w:val="1F820533"/>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3" w15:restartNumberingAfterBreak="0">
    <w:nsid w:val="27E52A39"/>
    <w:multiLevelType w:val="hybridMultilevel"/>
    <w:tmpl w:val="E50A545E"/>
    <w:lvl w:ilvl="0" w:tplc="CF58F906">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1">
    <w:nsid w:val="35931546"/>
    <w:multiLevelType w:val="hybridMultilevel"/>
    <w:tmpl w:val="2400728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48064D3B"/>
    <w:multiLevelType w:val="multilevel"/>
    <w:tmpl w:val="49E44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E1B05"/>
    <w:multiLevelType w:val="hybridMultilevel"/>
    <w:tmpl w:val="C27A47CC"/>
    <w:lvl w:ilvl="0" w:tplc="7DD60F2E">
      <w:start w:val="1"/>
      <w:numFmt w:val="upperRoman"/>
      <w:lvlText w:val="%1."/>
      <w:lvlJc w:val="left"/>
      <w:pPr>
        <w:ind w:left="1004" w:hanging="72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7" w15:restartNumberingAfterBreak="0">
    <w:nsid w:val="5B8674A1"/>
    <w:multiLevelType w:val="hybridMultilevel"/>
    <w:tmpl w:val="A2A07CE8"/>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61FD62A0"/>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9" w15:restartNumberingAfterBreak="0">
    <w:nsid w:val="6A230A7F"/>
    <w:multiLevelType w:val="hybridMultilevel"/>
    <w:tmpl w:val="D0DE6012"/>
    <w:lvl w:ilvl="0" w:tplc="104CACB2">
      <w:start w:val="1"/>
      <w:numFmt w:val="decimal"/>
      <w:lvlText w:val="%1."/>
      <w:lvlJc w:val="left"/>
      <w:pPr>
        <w:ind w:left="720"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56210BB"/>
    <w:multiLevelType w:val="hybridMultilevel"/>
    <w:tmpl w:val="F438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5"/>
  </w:num>
  <w:num w:numId="10">
    <w:abstractNumId w:val="11"/>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055F4"/>
    <w:rsid w:val="00013CE7"/>
    <w:rsid w:val="000175D4"/>
    <w:rsid w:val="00017D69"/>
    <w:rsid w:val="0002428B"/>
    <w:rsid w:val="00030162"/>
    <w:rsid w:val="00037F74"/>
    <w:rsid w:val="00043DA8"/>
    <w:rsid w:val="00045F9E"/>
    <w:rsid w:val="00053542"/>
    <w:rsid w:val="00055D30"/>
    <w:rsid w:val="00065BBB"/>
    <w:rsid w:val="00076FB0"/>
    <w:rsid w:val="00081C68"/>
    <w:rsid w:val="00090258"/>
    <w:rsid w:val="000A4892"/>
    <w:rsid w:val="000B4A8E"/>
    <w:rsid w:val="000C5842"/>
    <w:rsid w:val="000C68C0"/>
    <w:rsid w:val="000F379A"/>
    <w:rsid w:val="000F39DC"/>
    <w:rsid w:val="0010197C"/>
    <w:rsid w:val="00102350"/>
    <w:rsid w:val="00106A2C"/>
    <w:rsid w:val="00127E38"/>
    <w:rsid w:val="001368CB"/>
    <w:rsid w:val="00153B76"/>
    <w:rsid w:val="001656A5"/>
    <w:rsid w:val="001727A0"/>
    <w:rsid w:val="00175534"/>
    <w:rsid w:val="001831F1"/>
    <w:rsid w:val="00184585"/>
    <w:rsid w:val="0018773C"/>
    <w:rsid w:val="0019483C"/>
    <w:rsid w:val="001A4DBA"/>
    <w:rsid w:val="001A61EB"/>
    <w:rsid w:val="001D5659"/>
    <w:rsid w:val="001F0175"/>
    <w:rsid w:val="001F277D"/>
    <w:rsid w:val="001F51BA"/>
    <w:rsid w:val="002075FC"/>
    <w:rsid w:val="00222E3C"/>
    <w:rsid w:val="00226155"/>
    <w:rsid w:val="00256E61"/>
    <w:rsid w:val="00260AF3"/>
    <w:rsid w:val="002771F3"/>
    <w:rsid w:val="0028207D"/>
    <w:rsid w:val="0029019C"/>
    <w:rsid w:val="00290333"/>
    <w:rsid w:val="0029141F"/>
    <w:rsid w:val="002A2F30"/>
    <w:rsid w:val="002B15FE"/>
    <w:rsid w:val="002B78FB"/>
    <w:rsid w:val="002C0A58"/>
    <w:rsid w:val="002C224A"/>
    <w:rsid w:val="002E013C"/>
    <w:rsid w:val="002E0D78"/>
    <w:rsid w:val="002E305E"/>
    <w:rsid w:val="002E5051"/>
    <w:rsid w:val="002F3FDE"/>
    <w:rsid w:val="00305547"/>
    <w:rsid w:val="00324C9B"/>
    <w:rsid w:val="00325EC6"/>
    <w:rsid w:val="0032797D"/>
    <w:rsid w:val="00331BB9"/>
    <w:rsid w:val="0034049C"/>
    <w:rsid w:val="0034130E"/>
    <w:rsid w:val="0034241A"/>
    <w:rsid w:val="00353EA6"/>
    <w:rsid w:val="00360D26"/>
    <w:rsid w:val="00367FD9"/>
    <w:rsid w:val="003A6C95"/>
    <w:rsid w:val="003B52B7"/>
    <w:rsid w:val="003D09C0"/>
    <w:rsid w:val="003D461C"/>
    <w:rsid w:val="003D66C5"/>
    <w:rsid w:val="003D7A24"/>
    <w:rsid w:val="003F23E4"/>
    <w:rsid w:val="003F74F6"/>
    <w:rsid w:val="00412F05"/>
    <w:rsid w:val="00434BAE"/>
    <w:rsid w:val="004567F9"/>
    <w:rsid w:val="00456A31"/>
    <w:rsid w:val="00472E11"/>
    <w:rsid w:val="00473AE7"/>
    <w:rsid w:val="004877FE"/>
    <w:rsid w:val="004B0901"/>
    <w:rsid w:val="004B31E6"/>
    <w:rsid w:val="004C2EF0"/>
    <w:rsid w:val="004D5023"/>
    <w:rsid w:val="004E014D"/>
    <w:rsid w:val="004E1FD8"/>
    <w:rsid w:val="004F150C"/>
    <w:rsid w:val="005132CC"/>
    <w:rsid w:val="005137E0"/>
    <w:rsid w:val="00513D7F"/>
    <w:rsid w:val="005214EF"/>
    <w:rsid w:val="0053342B"/>
    <w:rsid w:val="0054523A"/>
    <w:rsid w:val="00572FC9"/>
    <w:rsid w:val="00573322"/>
    <w:rsid w:val="0057437C"/>
    <w:rsid w:val="0057516E"/>
    <w:rsid w:val="0058392D"/>
    <w:rsid w:val="00585088"/>
    <w:rsid w:val="00595432"/>
    <w:rsid w:val="005B3CA6"/>
    <w:rsid w:val="005C1274"/>
    <w:rsid w:val="005C1E41"/>
    <w:rsid w:val="005D055A"/>
    <w:rsid w:val="005D463D"/>
    <w:rsid w:val="005E0D6F"/>
    <w:rsid w:val="005E7623"/>
    <w:rsid w:val="005F1437"/>
    <w:rsid w:val="006078D9"/>
    <w:rsid w:val="006130E5"/>
    <w:rsid w:val="00626EE6"/>
    <w:rsid w:val="0063280A"/>
    <w:rsid w:val="00635EFA"/>
    <w:rsid w:val="006432E0"/>
    <w:rsid w:val="0065344F"/>
    <w:rsid w:val="00685000"/>
    <w:rsid w:val="0069787F"/>
    <w:rsid w:val="006A48C6"/>
    <w:rsid w:val="006B0D8B"/>
    <w:rsid w:val="006B25E6"/>
    <w:rsid w:val="006B4BB1"/>
    <w:rsid w:val="006B5F80"/>
    <w:rsid w:val="006C62F1"/>
    <w:rsid w:val="006D22C3"/>
    <w:rsid w:val="006E3DA8"/>
    <w:rsid w:val="00704081"/>
    <w:rsid w:val="007079FE"/>
    <w:rsid w:val="007136F0"/>
    <w:rsid w:val="007153C1"/>
    <w:rsid w:val="0072473B"/>
    <w:rsid w:val="00727096"/>
    <w:rsid w:val="00727D61"/>
    <w:rsid w:val="00730ABE"/>
    <w:rsid w:val="00736C3D"/>
    <w:rsid w:val="0074351A"/>
    <w:rsid w:val="00745064"/>
    <w:rsid w:val="00752895"/>
    <w:rsid w:val="0076769D"/>
    <w:rsid w:val="00770058"/>
    <w:rsid w:val="00774A58"/>
    <w:rsid w:val="00777022"/>
    <w:rsid w:val="00781212"/>
    <w:rsid w:val="00782772"/>
    <w:rsid w:val="007910A4"/>
    <w:rsid w:val="007932F8"/>
    <w:rsid w:val="007A7653"/>
    <w:rsid w:val="007A7C79"/>
    <w:rsid w:val="007C6CB9"/>
    <w:rsid w:val="007D5639"/>
    <w:rsid w:val="007E1434"/>
    <w:rsid w:val="007E4504"/>
    <w:rsid w:val="007E67C3"/>
    <w:rsid w:val="007F5426"/>
    <w:rsid w:val="007F69E6"/>
    <w:rsid w:val="007F7584"/>
    <w:rsid w:val="00806E06"/>
    <w:rsid w:val="00814173"/>
    <w:rsid w:val="00830C7F"/>
    <w:rsid w:val="008323E7"/>
    <w:rsid w:val="00834648"/>
    <w:rsid w:val="00837473"/>
    <w:rsid w:val="0084028D"/>
    <w:rsid w:val="00841091"/>
    <w:rsid w:val="00842965"/>
    <w:rsid w:val="00844FD0"/>
    <w:rsid w:val="00845A83"/>
    <w:rsid w:val="00851B95"/>
    <w:rsid w:val="00852FE0"/>
    <w:rsid w:val="008663D1"/>
    <w:rsid w:val="00881F37"/>
    <w:rsid w:val="0088742D"/>
    <w:rsid w:val="00891A51"/>
    <w:rsid w:val="008A037C"/>
    <w:rsid w:val="008A500D"/>
    <w:rsid w:val="008A7247"/>
    <w:rsid w:val="008C37A2"/>
    <w:rsid w:val="008C6D05"/>
    <w:rsid w:val="008C76CD"/>
    <w:rsid w:val="008E17B6"/>
    <w:rsid w:val="008E5559"/>
    <w:rsid w:val="008F3E04"/>
    <w:rsid w:val="00902B1B"/>
    <w:rsid w:val="009065C1"/>
    <w:rsid w:val="009066E5"/>
    <w:rsid w:val="00910399"/>
    <w:rsid w:val="00910C72"/>
    <w:rsid w:val="009139E0"/>
    <w:rsid w:val="00922B5A"/>
    <w:rsid w:val="00927CF6"/>
    <w:rsid w:val="009360B6"/>
    <w:rsid w:val="009515C9"/>
    <w:rsid w:val="0095724B"/>
    <w:rsid w:val="00963F24"/>
    <w:rsid w:val="0096479E"/>
    <w:rsid w:val="00964A82"/>
    <w:rsid w:val="00966A18"/>
    <w:rsid w:val="0096720F"/>
    <w:rsid w:val="0097030A"/>
    <w:rsid w:val="009955D8"/>
    <w:rsid w:val="009B4988"/>
    <w:rsid w:val="009B6145"/>
    <w:rsid w:val="009C678D"/>
    <w:rsid w:val="009C6813"/>
    <w:rsid w:val="009D4B28"/>
    <w:rsid w:val="009D73A2"/>
    <w:rsid w:val="009D76AC"/>
    <w:rsid w:val="009E1D04"/>
    <w:rsid w:val="009E5E25"/>
    <w:rsid w:val="00A046CD"/>
    <w:rsid w:val="00A12068"/>
    <w:rsid w:val="00A143EF"/>
    <w:rsid w:val="00A3523A"/>
    <w:rsid w:val="00A43FA0"/>
    <w:rsid w:val="00A4451C"/>
    <w:rsid w:val="00A44D92"/>
    <w:rsid w:val="00A6533B"/>
    <w:rsid w:val="00A73BCF"/>
    <w:rsid w:val="00A845B3"/>
    <w:rsid w:val="00A850F1"/>
    <w:rsid w:val="00A87054"/>
    <w:rsid w:val="00AB1D69"/>
    <w:rsid w:val="00AB269C"/>
    <w:rsid w:val="00AD5AF0"/>
    <w:rsid w:val="00AE70A0"/>
    <w:rsid w:val="00AE7F35"/>
    <w:rsid w:val="00AF75F0"/>
    <w:rsid w:val="00B0062F"/>
    <w:rsid w:val="00B02E44"/>
    <w:rsid w:val="00B0376C"/>
    <w:rsid w:val="00B16C34"/>
    <w:rsid w:val="00B23D09"/>
    <w:rsid w:val="00B31051"/>
    <w:rsid w:val="00B40DB8"/>
    <w:rsid w:val="00B440FB"/>
    <w:rsid w:val="00B60B20"/>
    <w:rsid w:val="00B61BDA"/>
    <w:rsid w:val="00B77273"/>
    <w:rsid w:val="00B8244D"/>
    <w:rsid w:val="00B842F8"/>
    <w:rsid w:val="00B85FA7"/>
    <w:rsid w:val="00BA478C"/>
    <w:rsid w:val="00BA6A63"/>
    <w:rsid w:val="00BC5075"/>
    <w:rsid w:val="00BE6FA2"/>
    <w:rsid w:val="00C15316"/>
    <w:rsid w:val="00C17297"/>
    <w:rsid w:val="00C20515"/>
    <w:rsid w:val="00C352CA"/>
    <w:rsid w:val="00C37F91"/>
    <w:rsid w:val="00C46BCD"/>
    <w:rsid w:val="00C51DB6"/>
    <w:rsid w:val="00C54408"/>
    <w:rsid w:val="00C56002"/>
    <w:rsid w:val="00C56F1D"/>
    <w:rsid w:val="00C752F6"/>
    <w:rsid w:val="00C80FBB"/>
    <w:rsid w:val="00C83A31"/>
    <w:rsid w:val="00C86AA0"/>
    <w:rsid w:val="00C912C7"/>
    <w:rsid w:val="00C91362"/>
    <w:rsid w:val="00CA3E56"/>
    <w:rsid w:val="00CA475A"/>
    <w:rsid w:val="00CB4C31"/>
    <w:rsid w:val="00CB777A"/>
    <w:rsid w:val="00CE22B8"/>
    <w:rsid w:val="00D1781D"/>
    <w:rsid w:val="00D256F4"/>
    <w:rsid w:val="00D314C3"/>
    <w:rsid w:val="00D33506"/>
    <w:rsid w:val="00D355E9"/>
    <w:rsid w:val="00D36767"/>
    <w:rsid w:val="00D4406B"/>
    <w:rsid w:val="00D60306"/>
    <w:rsid w:val="00D63DB6"/>
    <w:rsid w:val="00D93674"/>
    <w:rsid w:val="00DA4FC2"/>
    <w:rsid w:val="00DC1E3F"/>
    <w:rsid w:val="00DC212D"/>
    <w:rsid w:val="00DC6F04"/>
    <w:rsid w:val="00DD1BC7"/>
    <w:rsid w:val="00DE1288"/>
    <w:rsid w:val="00DE3FB6"/>
    <w:rsid w:val="00DF4FED"/>
    <w:rsid w:val="00E0042D"/>
    <w:rsid w:val="00E02B52"/>
    <w:rsid w:val="00E07CDB"/>
    <w:rsid w:val="00E32C75"/>
    <w:rsid w:val="00E35F2A"/>
    <w:rsid w:val="00E363D2"/>
    <w:rsid w:val="00E45524"/>
    <w:rsid w:val="00E553A2"/>
    <w:rsid w:val="00E5597B"/>
    <w:rsid w:val="00E61750"/>
    <w:rsid w:val="00E81B59"/>
    <w:rsid w:val="00E835A6"/>
    <w:rsid w:val="00E9094E"/>
    <w:rsid w:val="00E91EA9"/>
    <w:rsid w:val="00E93BB0"/>
    <w:rsid w:val="00EA04B5"/>
    <w:rsid w:val="00EA7A0C"/>
    <w:rsid w:val="00EB6312"/>
    <w:rsid w:val="00EC3D99"/>
    <w:rsid w:val="00EC64FB"/>
    <w:rsid w:val="00ED368E"/>
    <w:rsid w:val="00EE07E2"/>
    <w:rsid w:val="00EE3F64"/>
    <w:rsid w:val="00EF355D"/>
    <w:rsid w:val="00EF3D67"/>
    <w:rsid w:val="00F15C51"/>
    <w:rsid w:val="00F15DE7"/>
    <w:rsid w:val="00F17AA3"/>
    <w:rsid w:val="00F461EC"/>
    <w:rsid w:val="00F8101A"/>
    <w:rsid w:val="00F852E1"/>
    <w:rsid w:val="00F85999"/>
    <w:rsid w:val="00F92F3C"/>
    <w:rsid w:val="00FA5AF3"/>
    <w:rsid w:val="00FB272A"/>
    <w:rsid w:val="00FB51DF"/>
    <w:rsid w:val="00FC396F"/>
    <w:rsid w:val="00FC5ED9"/>
    <w:rsid w:val="00FC7992"/>
    <w:rsid w:val="00FD194E"/>
    <w:rsid w:val="00FD37FF"/>
    <w:rsid w:val="00FE2CE2"/>
    <w:rsid w:val="00FE681F"/>
    <w:rsid w:val="00FF0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829F"/>
  <w15:chartTrackingRefBased/>
  <w15:docId w15:val="{834B4394-F558-4BC8-BC90-86FD8B2E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1877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73C"/>
  </w:style>
  <w:style w:type="paragraph" w:styleId="Footer">
    <w:name w:val="footer"/>
    <w:basedOn w:val="Normal"/>
    <w:link w:val="FooterChar"/>
    <w:uiPriority w:val="99"/>
    <w:unhideWhenUsed/>
    <w:rsid w:val="001877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73C"/>
  </w:style>
  <w:style w:type="character" w:styleId="Hyperlink">
    <w:name w:val="Hyperlink"/>
    <w:basedOn w:val="DefaultParagraphFont"/>
    <w:uiPriority w:val="99"/>
    <w:semiHidden/>
    <w:unhideWhenUsed/>
    <w:rsid w:val="00456A31"/>
    <w:rPr>
      <w:color w:val="0000FF"/>
      <w:u w:val="single"/>
    </w:rPr>
  </w:style>
  <w:style w:type="paragraph" w:customStyle="1" w:styleId="naisc">
    <w:name w:val="naisc"/>
    <w:basedOn w:val="Normal"/>
    <w:rsid w:val="00065BBB"/>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52895"/>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52895"/>
    <w:rPr>
      <w:rFonts w:ascii="Calibri" w:hAnsi="Calibri" w:cs="Calibri"/>
      <w:sz w:val="20"/>
      <w:szCs w:val="20"/>
    </w:rPr>
  </w:style>
  <w:style w:type="character" w:styleId="PlaceholderText">
    <w:name w:val="Placeholder Text"/>
    <w:basedOn w:val="DefaultParagraphFont"/>
    <w:uiPriority w:val="99"/>
    <w:semiHidden/>
    <w:rsid w:val="006432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5106-BEEE-41E5-B01A-A480DDDE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19</Pages>
  <Words>23842</Words>
  <Characters>13591</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Izziņa par atzinumos sniegtajiem iebildumiem </vt:lpstr>
    </vt:vector>
  </TitlesOfParts>
  <Manager>AiM</Manager>
  <Company/>
  <LinksUpToDate>false</LinksUpToDate>
  <CharactersWithSpaces>37359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dc:title>
  <dc:subject/>
  <dc:creator>Vita Upeniece</dc:creator>
  <cp:keywords/>
  <dc:description>67335241; vita.upeniece@mod.gov.lv</dc:description>
  <cp:lastModifiedBy>Vita Upeniece</cp:lastModifiedBy>
  <cp:revision>221</cp:revision>
  <dcterms:created xsi:type="dcterms:W3CDTF">2019-11-11T11:31:00Z</dcterms:created>
  <dcterms:modified xsi:type="dcterms:W3CDTF">2021-02-15T13:08:00Z</dcterms:modified>
</cp:coreProperties>
</file>