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A5EC0" w14:textId="77777777" w:rsidR="00894C55" w:rsidRPr="00F874CF" w:rsidRDefault="001F7DC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E277E" w:rsidRPr="00F874CF">
            <w:rPr>
              <w:rFonts w:ascii="Times New Roman" w:eastAsia="Times New Roman" w:hAnsi="Times New Roman" w:cs="Times New Roman"/>
              <w:b/>
              <w:bCs/>
              <w:color w:val="414142"/>
              <w:sz w:val="28"/>
              <w:szCs w:val="24"/>
              <w:lang w:eastAsia="lv-LV"/>
            </w:rPr>
            <w:t>Likumprojekta</w:t>
          </w:r>
        </w:sdtContent>
      </w:sdt>
      <w:r w:rsidR="00894C55" w:rsidRPr="00F874CF">
        <w:rPr>
          <w:rFonts w:ascii="Times New Roman" w:eastAsia="Times New Roman" w:hAnsi="Times New Roman" w:cs="Times New Roman"/>
          <w:b/>
          <w:bCs/>
          <w:color w:val="414142"/>
          <w:sz w:val="28"/>
          <w:szCs w:val="24"/>
          <w:lang w:eastAsia="lv-LV"/>
        </w:rPr>
        <w:t xml:space="preserve"> </w:t>
      </w:r>
      <w:r w:rsidR="009E277E" w:rsidRPr="00F874CF">
        <w:rPr>
          <w:rFonts w:ascii="Times New Roman" w:eastAsia="Times New Roman" w:hAnsi="Times New Roman" w:cs="Times New Roman"/>
          <w:b/>
          <w:bCs/>
          <w:color w:val="414142"/>
          <w:sz w:val="28"/>
          <w:szCs w:val="24"/>
          <w:lang w:eastAsia="lv-LV"/>
        </w:rPr>
        <w:t>“Grozījumi Nacionālās drošības likumā”</w:t>
      </w:r>
      <w:r w:rsidR="003B0BF9" w:rsidRPr="00F874CF">
        <w:rPr>
          <w:rFonts w:ascii="Times New Roman" w:eastAsia="Times New Roman" w:hAnsi="Times New Roman" w:cs="Times New Roman"/>
          <w:b/>
          <w:bCs/>
          <w:color w:val="414142"/>
          <w:sz w:val="28"/>
          <w:szCs w:val="24"/>
          <w:lang w:eastAsia="lv-LV"/>
        </w:rPr>
        <w:br/>
      </w:r>
      <w:r w:rsidR="00894C55" w:rsidRPr="00F874CF">
        <w:rPr>
          <w:rFonts w:ascii="Times New Roman" w:eastAsia="Times New Roman" w:hAnsi="Times New Roman" w:cs="Times New Roman"/>
          <w:b/>
          <w:bCs/>
          <w:color w:val="414142"/>
          <w:sz w:val="28"/>
          <w:szCs w:val="24"/>
          <w:lang w:eastAsia="lv-LV"/>
        </w:rPr>
        <w:t>sākotnējās ietekmes novērtējuma ziņojums (anotācija)</w:t>
      </w:r>
    </w:p>
    <w:p w14:paraId="2E419C88" w14:textId="77777777" w:rsidR="00E5323B" w:rsidRPr="00F874C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874CF" w14:paraId="06477F5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1ECA66"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Tiesību akta projekta anotācijas kopsavilkums</w:t>
            </w:r>
          </w:p>
        </w:tc>
      </w:tr>
      <w:tr w:rsidR="00E5323B" w:rsidRPr="00F874CF" w14:paraId="23D48F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ED606E"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9959C4" w14:textId="2C7FCF1F" w:rsidR="00E5323B" w:rsidRDefault="00321032" w:rsidP="00185E84">
            <w:pPr>
              <w:spacing w:after="0" w:line="240" w:lineRule="auto"/>
              <w:jc w:val="both"/>
              <w:rPr>
                <w:rFonts w:ascii="Times New Roman" w:eastAsia="Times New Roman" w:hAnsi="Times New Roman" w:cs="Times New Roman"/>
                <w:iCs/>
                <w:sz w:val="24"/>
                <w:szCs w:val="24"/>
                <w:lang w:eastAsia="lv-LV"/>
              </w:rPr>
            </w:pPr>
            <w:r w:rsidRPr="00E8147C">
              <w:rPr>
                <w:rFonts w:ascii="Times New Roman" w:eastAsia="Times New Roman" w:hAnsi="Times New Roman" w:cs="Times New Roman"/>
                <w:iCs/>
                <w:sz w:val="24"/>
                <w:szCs w:val="24"/>
                <w:lang w:eastAsia="lv-LV"/>
              </w:rPr>
              <w:t>Likumprojekta “Grozījumi Nacionālās droš</w:t>
            </w:r>
            <w:r w:rsidR="00E8147C" w:rsidRPr="00E8147C">
              <w:rPr>
                <w:rFonts w:ascii="Times New Roman" w:eastAsia="Times New Roman" w:hAnsi="Times New Roman" w:cs="Times New Roman"/>
                <w:iCs/>
                <w:sz w:val="24"/>
                <w:szCs w:val="24"/>
                <w:lang w:eastAsia="lv-LV"/>
              </w:rPr>
              <w:t>ības likumā” m</w:t>
            </w:r>
            <w:r w:rsidRPr="00E8147C">
              <w:rPr>
                <w:rFonts w:ascii="Times New Roman" w:eastAsia="Times New Roman" w:hAnsi="Times New Roman" w:cs="Times New Roman"/>
                <w:iCs/>
                <w:sz w:val="24"/>
                <w:szCs w:val="24"/>
                <w:lang w:eastAsia="lv-LV"/>
              </w:rPr>
              <w:t xml:space="preserve">ērķis </w:t>
            </w:r>
            <w:r w:rsidR="004F36EE" w:rsidRPr="00E8147C">
              <w:rPr>
                <w:rFonts w:ascii="Times New Roman" w:eastAsia="Times New Roman" w:hAnsi="Times New Roman" w:cs="Times New Roman"/>
                <w:iCs/>
                <w:sz w:val="24"/>
                <w:szCs w:val="24"/>
                <w:lang w:eastAsia="lv-LV"/>
              </w:rPr>
              <w:t xml:space="preserve">(turpmāk - likumprojekts) </w:t>
            </w:r>
            <w:r w:rsidRPr="00E8147C">
              <w:rPr>
                <w:rFonts w:ascii="Times New Roman" w:eastAsia="Times New Roman" w:hAnsi="Times New Roman" w:cs="Times New Roman"/>
                <w:iCs/>
                <w:sz w:val="24"/>
                <w:szCs w:val="24"/>
                <w:lang w:eastAsia="lv-LV"/>
              </w:rPr>
              <w:t>ir</w:t>
            </w:r>
            <w:r w:rsidR="00185E84" w:rsidRPr="00E8147C">
              <w:t xml:space="preserve"> </w:t>
            </w:r>
            <w:r w:rsidR="00185E84" w:rsidRPr="00E8147C">
              <w:rPr>
                <w:rFonts w:ascii="Times New Roman" w:eastAsia="Times New Roman" w:hAnsi="Times New Roman" w:cs="Times New Roman"/>
                <w:iCs/>
                <w:sz w:val="24"/>
                <w:szCs w:val="24"/>
                <w:lang w:eastAsia="lv-LV"/>
              </w:rPr>
              <w:t>nostiprināt vienotu sistēmu un mehānismu, kā tiek izvērtēts apdraudējums saistībā ar</w:t>
            </w:r>
            <w:r w:rsidR="00185E84">
              <w:rPr>
                <w:rFonts w:ascii="Times New Roman" w:eastAsia="Times New Roman" w:hAnsi="Times New Roman" w:cs="Times New Roman"/>
                <w:iCs/>
                <w:sz w:val="24"/>
                <w:szCs w:val="24"/>
                <w:lang w:eastAsia="lv-LV"/>
              </w:rPr>
              <w:t xml:space="preserve"> ārvalstu tiešo ieguldījumu ietekmi uz</w:t>
            </w:r>
            <w:r w:rsidR="00185E84" w:rsidRPr="00185E84">
              <w:rPr>
                <w:rFonts w:ascii="Times New Roman" w:eastAsia="Times New Roman" w:hAnsi="Times New Roman" w:cs="Times New Roman"/>
                <w:iCs/>
                <w:sz w:val="24"/>
                <w:szCs w:val="24"/>
                <w:lang w:eastAsia="lv-LV"/>
              </w:rPr>
              <w:t xml:space="preserve"> kritiskajai infrastruktūrai un nacionālajai drošībai nozīmīgām juridiskām personām</w:t>
            </w:r>
            <w:r w:rsidR="00D057D8">
              <w:rPr>
                <w:rFonts w:ascii="Times New Roman" w:eastAsia="Times New Roman" w:hAnsi="Times New Roman" w:cs="Times New Roman"/>
                <w:iCs/>
                <w:sz w:val="24"/>
                <w:szCs w:val="24"/>
                <w:lang w:eastAsia="lv-LV"/>
              </w:rPr>
              <w:t xml:space="preserve"> </w:t>
            </w:r>
            <w:r w:rsidR="001812DE">
              <w:rPr>
                <w:rFonts w:ascii="Times New Roman" w:eastAsia="Times New Roman" w:hAnsi="Times New Roman" w:cs="Times New Roman"/>
                <w:iCs/>
                <w:sz w:val="24"/>
                <w:szCs w:val="24"/>
                <w:lang w:eastAsia="lv-LV"/>
              </w:rPr>
              <w:t xml:space="preserve">(komercsabiedrībām, biedrībām un nodibinājumiem) </w:t>
            </w:r>
            <w:r w:rsidR="00D057D8">
              <w:rPr>
                <w:rFonts w:ascii="Times New Roman" w:eastAsia="Times New Roman" w:hAnsi="Times New Roman" w:cs="Times New Roman"/>
                <w:iCs/>
                <w:sz w:val="24"/>
                <w:szCs w:val="24"/>
                <w:lang w:eastAsia="lv-LV"/>
              </w:rPr>
              <w:t xml:space="preserve">saskaņā ar </w:t>
            </w:r>
            <w:r w:rsidR="00D057D8" w:rsidRPr="00D057D8">
              <w:rPr>
                <w:rFonts w:ascii="Times New Roman" w:eastAsia="Times New Roman" w:hAnsi="Times New Roman" w:cs="Times New Roman"/>
                <w:iCs/>
                <w:sz w:val="24"/>
                <w:szCs w:val="24"/>
                <w:lang w:eastAsia="lv-LV"/>
              </w:rPr>
              <w:t>Eiropas Parlamenta un Eiropas Padomes 2019. gada 19. marta regul</w:t>
            </w:r>
            <w:r w:rsidR="00D057D8">
              <w:rPr>
                <w:rFonts w:ascii="Times New Roman" w:eastAsia="Times New Roman" w:hAnsi="Times New Roman" w:cs="Times New Roman"/>
                <w:iCs/>
                <w:sz w:val="24"/>
                <w:szCs w:val="24"/>
                <w:lang w:eastAsia="lv-LV"/>
              </w:rPr>
              <w:t>u</w:t>
            </w:r>
            <w:r w:rsidR="00D057D8" w:rsidRPr="00D057D8">
              <w:rPr>
                <w:rFonts w:ascii="Times New Roman" w:eastAsia="Times New Roman" w:hAnsi="Times New Roman" w:cs="Times New Roman"/>
                <w:iCs/>
                <w:sz w:val="24"/>
                <w:szCs w:val="24"/>
                <w:lang w:eastAsia="lv-LV"/>
              </w:rPr>
              <w:t xml:space="preserve"> (ES) 2019/452, ar ko izveido regulējumu ārvalstu tiešo ieguldījumu Savienībā izvērtēšanai</w:t>
            </w:r>
            <w:r w:rsidR="00D057D8">
              <w:rPr>
                <w:rFonts w:ascii="Times New Roman" w:eastAsia="Times New Roman" w:hAnsi="Times New Roman" w:cs="Times New Roman"/>
                <w:iCs/>
                <w:sz w:val="24"/>
                <w:szCs w:val="24"/>
                <w:lang w:eastAsia="lv-LV"/>
              </w:rPr>
              <w:t>.</w:t>
            </w:r>
          </w:p>
          <w:p w14:paraId="26158D25" w14:textId="77777777" w:rsidR="00185E84" w:rsidRPr="00321032" w:rsidRDefault="00185E84" w:rsidP="00185E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Pr="00185E84">
              <w:rPr>
                <w:rFonts w:ascii="Times New Roman" w:eastAsia="Times New Roman" w:hAnsi="Times New Roman" w:cs="Times New Roman"/>
                <w:iCs/>
                <w:sz w:val="24"/>
                <w:szCs w:val="24"/>
                <w:lang w:eastAsia="lv-LV"/>
              </w:rPr>
              <w:t>projekta spēkā stāšanās paredzēta normatīvajos aktos noteiktajā vispārējā kārtībā.</w:t>
            </w:r>
          </w:p>
        </w:tc>
      </w:tr>
    </w:tbl>
    <w:p w14:paraId="2C873BD3"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874CF" w14:paraId="63699A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ED761"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874CF" w14:paraId="7F2C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F664F"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14D578"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44E1E3B" w14:textId="67A2A7A9" w:rsidR="00F874CF" w:rsidRDefault="00AA6C30" w:rsidP="00084E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F874CF" w:rsidRPr="00F874CF">
              <w:rPr>
                <w:rFonts w:ascii="Times New Roman" w:eastAsia="Times New Roman" w:hAnsi="Times New Roman" w:cs="Times New Roman"/>
                <w:iCs/>
                <w:sz w:val="24"/>
                <w:szCs w:val="24"/>
                <w:lang w:eastAsia="lv-LV"/>
              </w:rPr>
              <w:t xml:space="preserve">Ministru prezidenta Krišjāņa Kariņa izdotā </w:t>
            </w:r>
            <w:r w:rsidR="001812DE" w:rsidRPr="00F874CF">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w:t>
            </w:r>
            <w:r w:rsidR="001812DE" w:rsidRPr="00F874CF">
              <w:rPr>
                <w:rFonts w:ascii="Times New Roman" w:eastAsia="Times New Roman" w:hAnsi="Times New Roman" w:cs="Times New Roman"/>
                <w:iCs/>
                <w:sz w:val="24"/>
                <w:szCs w:val="24"/>
                <w:lang w:eastAsia="lv-LV"/>
              </w:rPr>
              <w:t xml:space="preserve">gada 25. jūnija </w:t>
            </w:r>
            <w:r w:rsidR="00F874CF" w:rsidRPr="00F874CF">
              <w:rPr>
                <w:rFonts w:ascii="Times New Roman" w:eastAsia="Times New Roman" w:hAnsi="Times New Roman" w:cs="Times New Roman"/>
                <w:iCs/>
                <w:sz w:val="24"/>
                <w:szCs w:val="24"/>
                <w:lang w:eastAsia="lv-LV"/>
              </w:rPr>
              <w:t>rezolūcija Nr.8.5./2020-DOC-1567-1219 par nepieciešamību izstrādāt regulējumu, kas nosaka kārtību, kādā tiek veikta ārvalstu tiešo investīciju radīto potenciālo risku novērtēšana, tai skaitā paredzot valstij stratēģiski nozīmīgas jomas</w:t>
            </w:r>
            <w:r w:rsidR="00084EFF">
              <w:rPr>
                <w:rFonts w:ascii="Times New Roman" w:eastAsia="Times New Roman" w:hAnsi="Times New Roman" w:cs="Times New Roman"/>
                <w:iCs/>
                <w:sz w:val="24"/>
                <w:szCs w:val="24"/>
                <w:lang w:eastAsia="lv-LV"/>
              </w:rPr>
              <w:t>.</w:t>
            </w:r>
          </w:p>
          <w:p w14:paraId="23EA9BC5" w14:textId="77777777" w:rsidR="00084EFF" w:rsidRDefault="00084EFF" w:rsidP="00084EFF">
            <w:pPr>
              <w:spacing w:after="0" w:line="240" w:lineRule="auto"/>
              <w:jc w:val="both"/>
              <w:rPr>
                <w:rFonts w:ascii="Times New Roman" w:eastAsia="Times New Roman" w:hAnsi="Times New Roman" w:cs="Times New Roman"/>
                <w:iCs/>
                <w:sz w:val="24"/>
                <w:szCs w:val="24"/>
                <w:lang w:eastAsia="lv-LV"/>
              </w:rPr>
            </w:pPr>
          </w:p>
          <w:p w14:paraId="7A66A257" w14:textId="3729E1B5" w:rsidR="00084EFF" w:rsidRPr="00F874CF" w:rsidRDefault="00AA6C30" w:rsidP="00084E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084EFF" w:rsidRPr="00084EFF">
              <w:rPr>
                <w:rFonts w:ascii="Times New Roman" w:eastAsia="Times New Roman" w:hAnsi="Times New Roman" w:cs="Times New Roman"/>
                <w:iCs/>
                <w:sz w:val="24"/>
                <w:szCs w:val="24"/>
                <w:lang w:eastAsia="lv-LV"/>
              </w:rPr>
              <w:t>Eiropas Parla</w:t>
            </w:r>
            <w:r w:rsidR="00084EFF">
              <w:rPr>
                <w:rFonts w:ascii="Times New Roman" w:eastAsia="Times New Roman" w:hAnsi="Times New Roman" w:cs="Times New Roman"/>
                <w:iCs/>
                <w:sz w:val="24"/>
                <w:szCs w:val="24"/>
                <w:lang w:eastAsia="lv-LV"/>
              </w:rPr>
              <w:t xml:space="preserve">menta un Eiropas Padomes </w:t>
            </w:r>
            <w:r w:rsidR="00084EFF" w:rsidRPr="00084EFF">
              <w:rPr>
                <w:rFonts w:ascii="Times New Roman" w:eastAsia="Times New Roman" w:hAnsi="Times New Roman" w:cs="Times New Roman"/>
                <w:iCs/>
                <w:sz w:val="24"/>
                <w:szCs w:val="24"/>
                <w:lang w:eastAsia="lv-LV"/>
              </w:rPr>
              <w:t>2019.</w:t>
            </w:r>
            <w:r w:rsidR="00084EFF">
              <w:rPr>
                <w:rFonts w:ascii="Times New Roman" w:eastAsia="Times New Roman" w:hAnsi="Times New Roman" w:cs="Times New Roman"/>
                <w:iCs/>
                <w:sz w:val="24"/>
                <w:szCs w:val="24"/>
                <w:lang w:eastAsia="lv-LV"/>
              </w:rPr>
              <w:t xml:space="preserve"> gada 19. </w:t>
            </w:r>
            <w:r w:rsidR="00084EFF" w:rsidRPr="00084EFF">
              <w:rPr>
                <w:rFonts w:ascii="Times New Roman" w:eastAsia="Times New Roman" w:hAnsi="Times New Roman" w:cs="Times New Roman"/>
                <w:iCs/>
                <w:sz w:val="24"/>
                <w:szCs w:val="24"/>
                <w:lang w:eastAsia="lv-LV"/>
              </w:rPr>
              <w:t xml:space="preserve">marta </w:t>
            </w:r>
            <w:r w:rsidR="00084EFF">
              <w:rPr>
                <w:rFonts w:ascii="Times New Roman" w:eastAsia="Times New Roman" w:hAnsi="Times New Roman" w:cs="Times New Roman"/>
                <w:iCs/>
                <w:sz w:val="24"/>
                <w:szCs w:val="24"/>
                <w:lang w:eastAsia="lv-LV"/>
              </w:rPr>
              <w:t>regula</w:t>
            </w:r>
            <w:r w:rsidR="00084EFF" w:rsidRPr="00084EFF">
              <w:rPr>
                <w:rFonts w:ascii="Times New Roman" w:eastAsia="Times New Roman" w:hAnsi="Times New Roman" w:cs="Times New Roman"/>
                <w:iCs/>
                <w:sz w:val="24"/>
                <w:szCs w:val="24"/>
                <w:lang w:eastAsia="lv-LV"/>
              </w:rPr>
              <w:t xml:space="preserve"> </w:t>
            </w:r>
            <w:r w:rsidR="00084EFF">
              <w:rPr>
                <w:rFonts w:ascii="Times New Roman" w:eastAsia="Times New Roman" w:hAnsi="Times New Roman" w:cs="Times New Roman"/>
                <w:iCs/>
                <w:sz w:val="24"/>
                <w:szCs w:val="24"/>
                <w:lang w:eastAsia="lv-LV"/>
              </w:rPr>
              <w:t xml:space="preserve">(ES) </w:t>
            </w:r>
            <w:r w:rsidR="00084EFF" w:rsidRPr="00084EFF">
              <w:rPr>
                <w:rFonts w:ascii="Times New Roman" w:eastAsia="Times New Roman" w:hAnsi="Times New Roman" w:cs="Times New Roman"/>
                <w:iCs/>
                <w:sz w:val="24"/>
                <w:szCs w:val="24"/>
                <w:lang w:eastAsia="lv-LV"/>
              </w:rPr>
              <w:t>2019/452, ar ko izveido regulējumu ārvalstu tiešo ieg</w:t>
            </w:r>
            <w:r w:rsidR="00084EFF">
              <w:rPr>
                <w:rFonts w:ascii="Times New Roman" w:eastAsia="Times New Roman" w:hAnsi="Times New Roman" w:cs="Times New Roman"/>
                <w:iCs/>
                <w:sz w:val="24"/>
                <w:szCs w:val="24"/>
                <w:lang w:eastAsia="lv-LV"/>
              </w:rPr>
              <w:t>uldījumu Savienībā izvērtēšanai</w:t>
            </w:r>
            <w:r>
              <w:rPr>
                <w:rFonts w:ascii="Times New Roman" w:eastAsia="Times New Roman" w:hAnsi="Times New Roman" w:cs="Times New Roman"/>
                <w:iCs/>
                <w:sz w:val="24"/>
                <w:szCs w:val="24"/>
                <w:lang w:eastAsia="lv-LV"/>
              </w:rPr>
              <w:t xml:space="preserve"> </w:t>
            </w:r>
            <w:r w:rsidRPr="00AA6C30">
              <w:rPr>
                <w:rFonts w:ascii="Times New Roman" w:eastAsia="Times New Roman" w:hAnsi="Times New Roman" w:cs="Times New Roman"/>
                <w:iCs/>
                <w:sz w:val="24"/>
                <w:szCs w:val="24"/>
                <w:lang w:eastAsia="lv-LV"/>
              </w:rPr>
              <w:t>(turpmāk – Regula)</w:t>
            </w:r>
            <w:r>
              <w:rPr>
                <w:rFonts w:ascii="Times New Roman" w:eastAsia="Times New Roman" w:hAnsi="Times New Roman" w:cs="Times New Roman"/>
                <w:iCs/>
                <w:sz w:val="24"/>
                <w:szCs w:val="24"/>
                <w:lang w:eastAsia="lv-LV"/>
              </w:rPr>
              <w:t>.</w:t>
            </w:r>
          </w:p>
          <w:p w14:paraId="4E6ED246" w14:textId="77777777" w:rsidR="00F874CF" w:rsidRPr="00F874CF" w:rsidRDefault="00F874CF" w:rsidP="00084EFF">
            <w:pPr>
              <w:spacing w:after="0" w:line="240" w:lineRule="auto"/>
              <w:jc w:val="both"/>
              <w:rPr>
                <w:rFonts w:ascii="Times New Roman" w:eastAsia="Times New Roman" w:hAnsi="Times New Roman" w:cs="Times New Roman"/>
                <w:iCs/>
                <w:sz w:val="24"/>
                <w:szCs w:val="24"/>
                <w:lang w:eastAsia="lv-LV"/>
              </w:rPr>
            </w:pPr>
          </w:p>
          <w:p w14:paraId="0C85AC36" w14:textId="1858F255" w:rsidR="00E5323B" w:rsidRPr="00F874CF" w:rsidRDefault="00AA6C30" w:rsidP="001812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3. </w:t>
            </w:r>
            <w:r w:rsidR="00F874CF" w:rsidRPr="00F874CF">
              <w:rPr>
                <w:rFonts w:ascii="Times New Roman" w:eastAsia="Times New Roman" w:hAnsi="Times New Roman" w:cs="Times New Roman"/>
                <w:iCs/>
                <w:sz w:val="24"/>
                <w:szCs w:val="24"/>
                <w:lang w:eastAsia="lv-LV"/>
              </w:rPr>
              <w:t>Informatīvais ziņojums "Par Eiropas Parlamenta un Eiropas Padomes regulas 2019/452, ar ko izveido regulējumu ārvalstu tiešo ieguldījumu Savienībā izvērtēšanai, īstenošanu" TA-1723-IP (VSS 2020.</w:t>
            </w:r>
            <w:r w:rsidR="001812DE">
              <w:rPr>
                <w:rFonts w:ascii="Times New Roman" w:eastAsia="Times New Roman" w:hAnsi="Times New Roman" w:cs="Times New Roman"/>
                <w:iCs/>
                <w:sz w:val="24"/>
                <w:szCs w:val="24"/>
                <w:lang w:eastAsia="lv-LV"/>
              </w:rPr>
              <w:t xml:space="preserve"> gada 24. septembra</w:t>
            </w:r>
            <w:r w:rsidR="00F874CF" w:rsidRPr="00F874CF">
              <w:rPr>
                <w:rFonts w:ascii="Times New Roman" w:eastAsia="Times New Roman" w:hAnsi="Times New Roman" w:cs="Times New Roman"/>
                <w:iCs/>
                <w:sz w:val="24"/>
                <w:szCs w:val="24"/>
                <w:lang w:eastAsia="lv-LV"/>
              </w:rPr>
              <w:t xml:space="preserve"> IP protokollēmums (prot. Nr.</w:t>
            </w:r>
            <w:r w:rsidR="001812DE">
              <w:rPr>
                <w:rFonts w:ascii="Times New Roman" w:eastAsia="Times New Roman" w:hAnsi="Times New Roman" w:cs="Times New Roman"/>
                <w:iCs/>
                <w:sz w:val="24"/>
                <w:szCs w:val="24"/>
                <w:lang w:eastAsia="lv-LV"/>
              </w:rPr>
              <w:t xml:space="preserve"> </w:t>
            </w:r>
            <w:r w:rsidR="00F874CF" w:rsidRPr="00F874CF">
              <w:rPr>
                <w:rFonts w:ascii="Times New Roman" w:eastAsia="Times New Roman" w:hAnsi="Times New Roman" w:cs="Times New Roman"/>
                <w:iCs/>
                <w:sz w:val="24"/>
                <w:szCs w:val="24"/>
                <w:lang w:eastAsia="lv-LV"/>
              </w:rPr>
              <w:t>38 25.</w:t>
            </w:r>
            <w:r w:rsidR="001812DE">
              <w:rPr>
                <w:rFonts w:ascii="Times New Roman" w:eastAsia="Times New Roman" w:hAnsi="Times New Roman" w:cs="Times New Roman"/>
                <w:iCs/>
                <w:sz w:val="24"/>
                <w:szCs w:val="24"/>
                <w:lang w:eastAsia="lv-LV"/>
              </w:rPr>
              <w:t xml:space="preserve"> </w:t>
            </w:r>
            <w:r w:rsidR="00F874CF" w:rsidRPr="00F874CF">
              <w:rPr>
                <w:rFonts w:ascii="Times New Roman" w:eastAsia="Times New Roman" w:hAnsi="Times New Roman" w:cs="Times New Roman"/>
                <w:iCs/>
                <w:sz w:val="24"/>
                <w:szCs w:val="24"/>
                <w:lang w:eastAsia="lv-LV"/>
              </w:rPr>
              <w:t>§ (IP))</w:t>
            </w:r>
            <w:r>
              <w:rPr>
                <w:rFonts w:ascii="Times New Roman" w:eastAsia="Times New Roman" w:hAnsi="Times New Roman" w:cs="Times New Roman"/>
                <w:iCs/>
                <w:sz w:val="24"/>
                <w:szCs w:val="24"/>
                <w:lang w:eastAsia="lv-LV"/>
              </w:rPr>
              <w:t>.</w:t>
            </w:r>
          </w:p>
        </w:tc>
      </w:tr>
      <w:tr w:rsidR="00E5323B" w:rsidRPr="00F874CF" w14:paraId="72A26A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38116"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2C07A1"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82D6EC7" w14:textId="2661CE8F" w:rsidR="00084EFF" w:rsidRDefault="00084EFF" w:rsidP="00084EFF">
            <w:pPr>
              <w:jc w:val="both"/>
              <w:rPr>
                <w:rFonts w:ascii="Times New Roman" w:hAnsi="Times New Roman" w:cs="Times New Roman"/>
                <w:sz w:val="24"/>
                <w:szCs w:val="24"/>
              </w:rPr>
            </w:pPr>
            <w:r w:rsidRPr="009B0983">
              <w:rPr>
                <w:rFonts w:ascii="Times New Roman" w:hAnsi="Times New Roman" w:cs="Times New Roman"/>
                <w:sz w:val="24"/>
                <w:szCs w:val="24"/>
              </w:rPr>
              <w:t xml:space="preserve">Ar Eiropas </w:t>
            </w:r>
            <w:r>
              <w:rPr>
                <w:rFonts w:ascii="Times New Roman" w:hAnsi="Times New Roman" w:cs="Times New Roman"/>
                <w:sz w:val="24"/>
                <w:szCs w:val="24"/>
              </w:rPr>
              <w:t xml:space="preserve">Parlamenta un </w:t>
            </w:r>
            <w:r w:rsidRPr="009B0983">
              <w:rPr>
                <w:rFonts w:ascii="Times New Roman" w:hAnsi="Times New Roman" w:cs="Times New Roman"/>
                <w:sz w:val="24"/>
                <w:szCs w:val="24"/>
              </w:rPr>
              <w:t>Padomes</w:t>
            </w:r>
            <w:r w:rsidRPr="007F36FD">
              <w:rPr>
                <w:b/>
                <w:bCs/>
                <w:color w:val="444444"/>
                <w:sz w:val="27"/>
                <w:szCs w:val="27"/>
                <w:shd w:val="clear" w:color="auto" w:fill="FFFFFF"/>
              </w:rPr>
              <w:t xml:space="preserve"> </w:t>
            </w:r>
            <w:r w:rsidRPr="00997C63">
              <w:rPr>
                <w:rFonts w:ascii="Times New Roman" w:hAnsi="Times New Roman" w:cs="Times New Roman"/>
                <w:bCs/>
                <w:sz w:val="24"/>
                <w:szCs w:val="24"/>
              </w:rPr>
              <w:t>2019. gada 19. marta</w:t>
            </w:r>
            <w:r w:rsidRPr="007F36FD">
              <w:rPr>
                <w:rFonts w:ascii="Times New Roman" w:hAnsi="Times New Roman" w:cs="Times New Roman"/>
                <w:sz w:val="24"/>
                <w:szCs w:val="24"/>
              </w:rPr>
              <w:t xml:space="preserve"> </w:t>
            </w:r>
            <w:r w:rsidRPr="009B0983">
              <w:rPr>
                <w:rFonts w:ascii="Times New Roman" w:hAnsi="Times New Roman" w:cs="Times New Roman"/>
                <w:sz w:val="24"/>
                <w:szCs w:val="24"/>
              </w:rPr>
              <w:t>regulu</w:t>
            </w:r>
            <w:r>
              <w:rPr>
                <w:rFonts w:ascii="Times New Roman" w:hAnsi="Times New Roman" w:cs="Times New Roman"/>
                <w:sz w:val="24"/>
                <w:szCs w:val="24"/>
              </w:rPr>
              <w:t xml:space="preserve"> (ES)</w:t>
            </w:r>
            <w:r w:rsidRPr="009B0983">
              <w:rPr>
                <w:rFonts w:ascii="Times New Roman" w:hAnsi="Times New Roman" w:cs="Times New Roman"/>
                <w:sz w:val="24"/>
                <w:szCs w:val="24"/>
              </w:rPr>
              <w:t xml:space="preserve"> 2019/</w:t>
            </w:r>
            <w:r w:rsidRPr="007F36FD">
              <w:rPr>
                <w:rFonts w:ascii="Times New Roman" w:hAnsi="Times New Roman" w:cs="Times New Roman"/>
                <w:sz w:val="24"/>
                <w:szCs w:val="24"/>
              </w:rPr>
              <w:t>452</w:t>
            </w:r>
            <w:r w:rsidRPr="00997C63">
              <w:rPr>
                <w:bCs/>
                <w:color w:val="444444"/>
                <w:sz w:val="27"/>
                <w:szCs w:val="27"/>
                <w:shd w:val="clear" w:color="auto" w:fill="FFFFFF"/>
              </w:rPr>
              <w:t xml:space="preserve"> </w:t>
            </w:r>
            <w:r w:rsidRPr="00997C63">
              <w:rPr>
                <w:rFonts w:ascii="Times New Roman" w:hAnsi="Times New Roman" w:cs="Times New Roman"/>
                <w:bCs/>
                <w:sz w:val="24"/>
                <w:szCs w:val="24"/>
              </w:rPr>
              <w:t>ar ko izveido regulējumu ārvalstu tiešo ieguldījumu Savienībā izvērtēšanai</w:t>
            </w:r>
            <w:r>
              <w:rPr>
                <w:rStyle w:val="FootnoteReference"/>
                <w:rFonts w:ascii="Times New Roman" w:hAnsi="Times New Roman" w:cs="Times New Roman"/>
                <w:sz w:val="24"/>
                <w:szCs w:val="24"/>
              </w:rPr>
              <w:footnoteReference w:id="1"/>
            </w:r>
            <w:r>
              <w:rPr>
                <w:rFonts w:ascii="Times New Roman" w:hAnsi="Times New Roman" w:cs="Times New Roman"/>
                <w:bCs/>
                <w:sz w:val="24"/>
                <w:szCs w:val="24"/>
              </w:rPr>
              <w:t xml:space="preserve"> </w:t>
            </w:r>
            <w:r w:rsidRPr="009B0983">
              <w:rPr>
                <w:rFonts w:ascii="Times New Roman" w:hAnsi="Times New Roman" w:cs="Times New Roman"/>
                <w:sz w:val="24"/>
                <w:szCs w:val="24"/>
              </w:rPr>
              <w:t xml:space="preserve">tiek paredzēts izveidot regulējumu ārvalstu tiešo ieguldījumu </w:t>
            </w:r>
            <w:r>
              <w:rPr>
                <w:rFonts w:ascii="Times New Roman" w:hAnsi="Times New Roman" w:cs="Times New Roman"/>
                <w:sz w:val="24"/>
                <w:szCs w:val="24"/>
              </w:rPr>
              <w:t xml:space="preserve">Eiropas </w:t>
            </w:r>
            <w:r w:rsidRPr="009B0983">
              <w:rPr>
                <w:rFonts w:ascii="Times New Roman" w:hAnsi="Times New Roman" w:cs="Times New Roman"/>
                <w:sz w:val="24"/>
                <w:szCs w:val="24"/>
              </w:rPr>
              <w:t>Savienībā izvērtēšanai, ko dalībvalstis veiktu, pamatojoties uz drošības vai sabiedriskās kārtības apsvērumiem</w:t>
            </w:r>
            <w:r>
              <w:rPr>
                <w:rFonts w:ascii="Times New Roman" w:hAnsi="Times New Roman" w:cs="Times New Roman"/>
                <w:sz w:val="24"/>
                <w:szCs w:val="24"/>
              </w:rPr>
              <w:t xml:space="preserve"> </w:t>
            </w:r>
            <w:r w:rsidRPr="00345471">
              <w:rPr>
                <w:rFonts w:ascii="Times New Roman" w:hAnsi="Times New Roman" w:cs="Times New Roman"/>
                <w:sz w:val="24"/>
                <w:szCs w:val="24"/>
              </w:rPr>
              <w:t xml:space="preserve">un sadarbības mehānismam starp dalībvalstīm un starp dalībvalstīm un Komisiju </w:t>
            </w:r>
            <w:r w:rsidRPr="00345471">
              <w:rPr>
                <w:rFonts w:ascii="Times New Roman" w:hAnsi="Times New Roman" w:cs="Times New Roman"/>
                <w:sz w:val="24"/>
                <w:szCs w:val="24"/>
              </w:rPr>
              <w:lastRenderedPageBreak/>
              <w:t xml:space="preserve">attiecībā uz ārvalstu tiešajiem ieguldījumiem, kas varētu ietekmēt drošību vai sabiedrisko kārtību.  </w:t>
            </w:r>
            <w:r w:rsidRPr="00084EFF">
              <w:rPr>
                <w:rFonts w:ascii="Times New Roman" w:hAnsi="Times New Roman" w:cs="Times New Roman"/>
                <w:sz w:val="24"/>
                <w:szCs w:val="24"/>
              </w:rPr>
              <w:t>Nosakot, vai ārvalstu tiešie ieguldījumi varētu ietekmēt drošību vai sabiedrisko kārtību, dalībvalstis var apsvērt to iespējamo ietekmi uz kritisko infrastruktūru, kritiskajām tehnoloģijām un divējāda lietojuma precēm, kritisko resursu piegādi, tostarp energopiegādi vai izejvielu piegādi, kā arī pārtikas nodrošinājumu, piekļuvi sensitīvajai informācijai, kā arī plašsaziņas līdzekļu brīvību un plurālismu.</w:t>
            </w:r>
            <w:r w:rsidR="00726B58">
              <w:rPr>
                <w:rFonts w:ascii="Times New Roman" w:hAnsi="Times New Roman" w:cs="Times New Roman"/>
                <w:sz w:val="24"/>
                <w:szCs w:val="24"/>
              </w:rPr>
              <w:t xml:space="preserve"> </w:t>
            </w:r>
          </w:p>
          <w:p w14:paraId="71FF801D" w14:textId="192C45C1" w:rsidR="00524CBD" w:rsidRDefault="00B5461B"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Š</w:t>
            </w:r>
            <w:r w:rsidRPr="00B5461B">
              <w:rPr>
                <w:rFonts w:ascii="Times New Roman" w:eastAsia="Calibri" w:hAnsi="Times New Roman" w:cs="Times New Roman"/>
                <w:sz w:val="24"/>
                <w:szCs w:val="24"/>
              </w:rPr>
              <w:t>obrīd ārvalstu tiešo ieguldījumu izvērtēšanu Latvijā nosaka Nacionālās drošības likuma</w:t>
            </w:r>
            <w:r w:rsidR="00E410BD">
              <w:rPr>
                <w:rFonts w:ascii="Times New Roman" w:eastAsia="Calibri" w:hAnsi="Times New Roman" w:cs="Times New Roman"/>
                <w:sz w:val="24"/>
                <w:szCs w:val="24"/>
              </w:rPr>
              <w:t xml:space="preserve"> (turpmāk - likuma)</w:t>
            </w:r>
            <w:r w:rsidRPr="00B5461B">
              <w:rPr>
                <w:rFonts w:ascii="Times New Roman" w:eastAsia="Calibri" w:hAnsi="Times New Roman" w:cs="Times New Roman"/>
                <w:sz w:val="24"/>
                <w:szCs w:val="24"/>
              </w:rPr>
              <w:t xml:space="preserve"> VI nodaļa</w:t>
            </w:r>
            <w:r w:rsidRPr="00B5461B">
              <w:rPr>
                <w:rFonts w:ascii="Times New Roman" w:eastAsia="Calibri" w:hAnsi="Times New Roman" w:cs="Times New Roman"/>
                <w:sz w:val="24"/>
                <w:szCs w:val="24"/>
                <w:vertAlign w:val="superscript"/>
              </w:rPr>
              <w:footnoteReference w:id="2"/>
            </w:r>
            <w:r w:rsidRPr="00B5461B">
              <w:rPr>
                <w:rFonts w:ascii="Times New Roman" w:eastAsia="Calibri" w:hAnsi="Times New Roman" w:cs="Times New Roman"/>
                <w:sz w:val="24"/>
                <w:szCs w:val="24"/>
              </w:rPr>
              <w:t>, Enerģētikas likuma 20.</w:t>
            </w:r>
            <w:r w:rsidRPr="00B5461B">
              <w:rPr>
                <w:rFonts w:ascii="Times New Roman" w:eastAsia="Calibri" w:hAnsi="Times New Roman" w:cs="Times New Roman"/>
                <w:sz w:val="24"/>
                <w:szCs w:val="24"/>
                <w:vertAlign w:val="superscript"/>
              </w:rPr>
              <w:t>3 </w:t>
            </w:r>
            <w:r w:rsidRPr="00B5461B">
              <w:rPr>
                <w:rFonts w:ascii="Times New Roman" w:eastAsia="Calibri" w:hAnsi="Times New Roman" w:cs="Times New Roman"/>
                <w:sz w:val="24"/>
                <w:szCs w:val="24"/>
              </w:rPr>
              <w:t>pants</w:t>
            </w:r>
            <w:r w:rsidRPr="00B5461B">
              <w:rPr>
                <w:rFonts w:ascii="Times New Roman" w:eastAsia="Calibri" w:hAnsi="Times New Roman" w:cs="Times New Roman"/>
                <w:sz w:val="24"/>
                <w:szCs w:val="24"/>
                <w:vertAlign w:val="superscript"/>
              </w:rPr>
              <w:footnoteReference w:id="3"/>
            </w:r>
            <w:r w:rsidRPr="00B5461B">
              <w:rPr>
                <w:rFonts w:ascii="Times New Roman" w:eastAsia="Calibri" w:hAnsi="Times New Roman" w:cs="Times New Roman"/>
                <w:sz w:val="24"/>
                <w:szCs w:val="24"/>
              </w:rPr>
              <w:t xml:space="preserve"> un Ministru kabineta 2017. gada 3. oktobra noteikumi Nr. 606 “</w:t>
            </w:r>
            <w:r w:rsidR="00440BF2" w:rsidRPr="00440BF2">
              <w:rPr>
                <w:rFonts w:ascii="Times New Roman" w:eastAsia="Calibri" w:hAnsi="Times New Roman" w:cs="Times New Roman"/>
                <w:sz w:val="24"/>
                <w:szCs w:val="24"/>
              </w:rPr>
              <w:t>Noteikumi par Nacionālās drošības likumā noteiktajai institūcijai iesniedzamo informāciju un darbībām ar informāciju par ārvalstu tiešajiem ieguldījumiem</w:t>
            </w:r>
            <w:r w:rsidRPr="00B5461B">
              <w:rPr>
                <w:rFonts w:ascii="Times New Roman" w:eastAsia="Calibri" w:hAnsi="Times New Roman" w:cs="Times New Roman"/>
                <w:sz w:val="24"/>
                <w:szCs w:val="24"/>
              </w:rPr>
              <w:t>”</w:t>
            </w:r>
            <w:r w:rsidRPr="00B5461B">
              <w:rPr>
                <w:rFonts w:ascii="Times New Roman" w:eastAsia="Calibri" w:hAnsi="Times New Roman" w:cs="Times New Roman"/>
                <w:sz w:val="24"/>
                <w:szCs w:val="24"/>
                <w:vertAlign w:val="superscript"/>
              </w:rPr>
              <w:footnoteReference w:id="4"/>
            </w:r>
            <w:r w:rsidR="00E410BD">
              <w:rPr>
                <w:rFonts w:ascii="Times New Roman" w:eastAsia="Calibri" w:hAnsi="Times New Roman" w:cs="Times New Roman"/>
                <w:sz w:val="24"/>
                <w:szCs w:val="24"/>
              </w:rPr>
              <w:t xml:space="preserve"> (turpmāk - noteikumi)</w:t>
            </w:r>
            <w:r w:rsidRPr="00B5461B">
              <w:rPr>
                <w:rFonts w:ascii="Times New Roman" w:eastAsia="Calibri" w:hAnsi="Times New Roman" w:cs="Times New Roman"/>
                <w:sz w:val="24"/>
                <w:szCs w:val="24"/>
              </w:rPr>
              <w:t>.</w:t>
            </w:r>
            <w:r w:rsidR="00524CBD">
              <w:rPr>
                <w:rFonts w:ascii="Times New Roman" w:eastAsia="Calibri" w:hAnsi="Times New Roman" w:cs="Times New Roman"/>
                <w:sz w:val="24"/>
                <w:szCs w:val="24"/>
              </w:rPr>
              <w:t xml:space="preserve"> </w:t>
            </w:r>
            <w:r w:rsidR="00524CBD" w:rsidRPr="00524CBD">
              <w:rPr>
                <w:rFonts w:ascii="Times New Roman" w:eastAsia="Calibri" w:hAnsi="Times New Roman" w:cs="Times New Roman"/>
                <w:sz w:val="24"/>
                <w:szCs w:val="24"/>
              </w:rPr>
              <w:t xml:space="preserve">Pildot Ministru prezidenta Artura Krišjāņa Kariņa izdoto </w:t>
            </w:r>
            <w:r w:rsidR="00AA6C30" w:rsidRPr="00AA6C30">
              <w:rPr>
                <w:rFonts w:ascii="Times New Roman" w:eastAsia="Calibri" w:hAnsi="Times New Roman" w:cs="Times New Roman"/>
                <w:sz w:val="24"/>
                <w:szCs w:val="24"/>
              </w:rPr>
              <w:t xml:space="preserve">2020.  gada 25. jūnija </w:t>
            </w:r>
            <w:r w:rsidR="00524CBD" w:rsidRPr="00524CBD">
              <w:rPr>
                <w:rFonts w:ascii="Times New Roman" w:eastAsia="Calibri" w:hAnsi="Times New Roman" w:cs="Times New Roman"/>
                <w:sz w:val="24"/>
                <w:szCs w:val="24"/>
              </w:rPr>
              <w:t>rezolūciju Nr. 8.5./2020-DOC-1567-1219</w:t>
            </w:r>
            <w:r w:rsidR="00524CBD">
              <w:rPr>
                <w:rFonts w:ascii="Times New Roman" w:eastAsia="Calibri" w:hAnsi="Times New Roman" w:cs="Times New Roman"/>
                <w:sz w:val="24"/>
                <w:szCs w:val="24"/>
              </w:rPr>
              <w:t xml:space="preserve">, 2020. gada ietvaros tika sasauktas </w:t>
            </w:r>
            <w:r w:rsidR="00524CBD" w:rsidRPr="00524CBD">
              <w:rPr>
                <w:rFonts w:ascii="Times New Roman" w:eastAsia="Calibri" w:hAnsi="Times New Roman" w:cs="Times New Roman"/>
                <w:sz w:val="24"/>
                <w:szCs w:val="24"/>
              </w:rPr>
              <w:t>valsts sekretāru līmeņa darba grupas visaptverošas valsts aizsardzības sistēmas izstrādei un nepieciešamās rīcības noteikšanai sēde</w:t>
            </w:r>
            <w:r w:rsidR="00524CBD">
              <w:rPr>
                <w:rFonts w:ascii="Times New Roman" w:eastAsia="Calibri" w:hAnsi="Times New Roman" w:cs="Times New Roman"/>
                <w:sz w:val="24"/>
                <w:szCs w:val="24"/>
              </w:rPr>
              <w:t xml:space="preserve">s, lai </w:t>
            </w:r>
            <w:r w:rsidR="00524CBD" w:rsidRPr="00524CBD">
              <w:rPr>
                <w:rFonts w:ascii="Times New Roman" w:eastAsia="Calibri" w:hAnsi="Times New Roman" w:cs="Times New Roman"/>
                <w:sz w:val="24"/>
                <w:szCs w:val="24"/>
              </w:rPr>
              <w:t>izvērtē</w:t>
            </w:r>
            <w:r w:rsidR="00524CBD">
              <w:rPr>
                <w:rFonts w:ascii="Times New Roman" w:eastAsia="Calibri" w:hAnsi="Times New Roman" w:cs="Times New Roman"/>
                <w:sz w:val="24"/>
                <w:szCs w:val="24"/>
              </w:rPr>
              <w:t>tu</w:t>
            </w:r>
            <w:r w:rsidR="00524CBD" w:rsidRPr="00524CBD">
              <w:rPr>
                <w:rFonts w:ascii="Times New Roman" w:eastAsia="Calibri" w:hAnsi="Times New Roman" w:cs="Times New Roman"/>
                <w:sz w:val="24"/>
                <w:szCs w:val="24"/>
              </w:rPr>
              <w:t xml:space="preserve"> Regulas </w:t>
            </w:r>
            <w:r w:rsidR="00524CBD">
              <w:rPr>
                <w:rFonts w:ascii="Times New Roman" w:eastAsia="Calibri" w:hAnsi="Times New Roman" w:cs="Times New Roman"/>
                <w:sz w:val="24"/>
                <w:szCs w:val="24"/>
              </w:rPr>
              <w:t xml:space="preserve">īstenošanu un ministriju pārvaldībā </w:t>
            </w:r>
            <w:r w:rsidR="00524CBD" w:rsidRPr="00524CBD">
              <w:rPr>
                <w:rFonts w:ascii="Times New Roman" w:eastAsia="Calibri" w:hAnsi="Times New Roman" w:cs="Times New Roman"/>
                <w:sz w:val="24"/>
                <w:szCs w:val="24"/>
              </w:rPr>
              <w:t>esoš</w:t>
            </w:r>
            <w:r w:rsidR="00524CBD">
              <w:rPr>
                <w:rFonts w:ascii="Times New Roman" w:eastAsia="Calibri" w:hAnsi="Times New Roman" w:cs="Times New Roman"/>
                <w:sz w:val="24"/>
                <w:szCs w:val="24"/>
              </w:rPr>
              <w:t>ās</w:t>
            </w:r>
            <w:r w:rsidR="00524CBD" w:rsidRPr="00524CBD">
              <w:rPr>
                <w:rFonts w:ascii="Times New Roman" w:eastAsia="Calibri" w:hAnsi="Times New Roman" w:cs="Times New Roman"/>
                <w:sz w:val="24"/>
                <w:szCs w:val="24"/>
              </w:rPr>
              <w:t xml:space="preserve"> nozar</w:t>
            </w:r>
            <w:r w:rsidR="00524CBD">
              <w:rPr>
                <w:rFonts w:ascii="Times New Roman" w:eastAsia="Calibri" w:hAnsi="Times New Roman" w:cs="Times New Roman"/>
                <w:sz w:val="24"/>
                <w:szCs w:val="24"/>
              </w:rPr>
              <w:t>es un jomas</w:t>
            </w:r>
            <w:r w:rsidR="00524CBD" w:rsidRPr="00524CBD">
              <w:rPr>
                <w:rFonts w:ascii="Times New Roman" w:eastAsia="Calibri" w:hAnsi="Times New Roman" w:cs="Times New Roman"/>
                <w:sz w:val="24"/>
                <w:szCs w:val="24"/>
              </w:rPr>
              <w:t>, ar kurām ir jāpapildina esošais regulējums, kā arī par uzņēmumiem</w:t>
            </w:r>
            <w:r w:rsidR="00524CBD">
              <w:rPr>
                <w:rFonts w:ascii="Times New Roman" w:eastAsia="Calibri" w:hAnsi="Times New Roman" w:cs="Times New Roman"/>
                <w:sz w:val="24"/>
                <w:szCs w:val="24"/>
              </w:rPr>
              <w:t xml:space="preserve">, kuriem būtu jāpiemēro Regulā </w:t>
            </w:r>
            <w:r w:rsidR="00524CBD" w:rsidRPr="00524CBD">
              <w:rPr>
                <w:rFonts w:ascii="Times New Roman" w:eastAsia="Calibri" w:hAnsi="Times New Roman" w:cs="Times New Roman"/>
                <w:sz w:val="24"/>
                <w:szCs w:val="24"/>
              </w:rPr>
              <w:t>noteikto ārvalstu tiešo ieguldījumu kontrole.</w:t>
            </w:r>
            <w:r w:rsidR="00524CBD">
              <w:rPr>
                <w:rFonts w:ascii="Times New Roman" w:eastAsia="Calibri" w:hAnsi="Times New Roman" w:cs="Times New Roman"/>
                <w:sz w:val="24"/>
                <w:szCs w:val="24"/>
              </w:rPr>
              <w:t xml:space="preserve"> Paralēli tam notika ekspertu līmeņa sanāksmes, lai atb</w:t>
            </w:r>
            <w:r w:rsidR="00E410BD">
              <w:rPr>
                <w:rFonts w:ascii="Times New Roman" w:eastAsia="Calibri" w:hAnsi="Times New Roman" w:cs="Times New Roman"/>
                <w:sz w:val="24"/>
                <w:szCs w:val="24"/>
              </w:rPr>
              <w:t>ilstoši precizētu nepieciešamos grozījumus</w:t>
            </w:r>
            <w:r w:rsidR="00524CBD">
              <w:rPr>
                <w:rFonts w:ascii="Times New Roman" w:eastAsia="Calibri" w:hAnsi="Times New Roman" w:cs="Times New Roman"/>
                <w:sz w:val="24"/>
                <w:szCs w:val="24"/>
              </w:rPr>
              <w:t>, kā rezultātā tiek rosinātas izmaiņas vairākos</w:t>
            </w:r>
            <w:r w:rsidR="00E31F7D">
              <w:rPr>
                <w:rFonts w:ascii="Times New Roman" w:eastAsia="Calibri" w:hAnsi="Times New Roman" w:cs="Times New Roman"/>
                <w:sz w:val="24"/>
                <w:szCs w:val="24"/>
              </w:rPr>
              <w:t xml:space="preserve"> </w:t>
            </w:r>
            <w:r w:rsidR="00524CBD">
              <w:rPr>
                <w:rFonts w:ascii="Times New Roman" w:eastAsia="Calibri" w:hAnsi="Times New Roman" w:cs="Times New Roman"/>
                <w:sz w:val="24"/>
                <w:szCs w:val="24"/>
              </w:rPr>
              <w:t xml:space="preserve"> </w:t>
            </w:r>
            <w:r w:rsidR="00E410BD">
              <w:rPr>
                <w:rFonts w:ascii="Times New Roman" w:eastAsia="Calibri" w:hAnsi="Times New Roman" w:cs="Times New Roman"/>
                <w:sz w:val="24"/>
                <w:szCs w:val="24"/>
              </w:rPr>
              <w:t>likuma VI nodaļas pantos</w:t>
            </w:r>
            <w:r w:rsidR="00524CBD">
              <w:rPr>
                <w:rFonts w:ascii="Times New Roman" w:eastAsia="Calibri" w:hAnsi="Times New Roman" w:cs="Times New Roman"/>
                <w:sz w:val="24"/>
                <w:szCs w:val="24"/>
              </w:rPr>
              <w:t>.</w:t>
            </w:r>
          </w:p>
          <w:p w14:paraId="71E2BEBC" w14:textId="5A237298" w:rsidR="00AF47A4" w:rsidRDefault="00E41F91"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Regulas 4. pants</w:t>
            </w:r>
            <w:r w:rsidR="001A6E7B">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paredz, ka </w:t>
            </w:r>
            <w:r w:rsidR="001A6E7B">
              <w:rPr>
                <w:rFonts w:ascii="Times New Roman" w:eastAsia="Calibri" w:hAnsi="Times New Roman" w:cs="Times New Roman"/>
                <w:sz w:val="24"/>
                <w:szCs w:val="24"/>
              </w:rPr>
              <w:t>dalībvalstis, n</w:t>
            </w:r>
            <w:r w:rsidR="001A6E7B" w:rsidRPr="001A6E7B">
              <w:rPr>
                <w:rFonts w:ascii="Times New Roman" w:eastAsia="Calibri" w:hAnsi="Times New Roman" w:cs="Times New Roman"/>
                <w:sz w:val="24"/>
                <w:szCs w:val="24"/>
              </w:rPr>
              <w:t>osakot, vai ārvalstu tiešie ieguldījumi varētu ietekmēt drošību</w:t>
            </w:r>
            <w:r w:rsidR="00400F69">
              <w:rPr>
                <w:rFonts w:ascii="Times New Roman" w:eastAsia="Calibri" w:hAnsi="Times New Roman" w:cs="Times New Roman"/>
                <w:sz w:val="24"/>
                <w:szCs w:val="24"/>
              </w:rPr>
              <w:t>,</w:t>
            </w:r>
            <w:r w:rsidR="001A6E7B" w:rsidRPr="001A6E7B">
              <w:rPr>
                <w:rFonts w:ascii="Times New Roman" w:eastAsia="Calibri" w:hAnsi="Times New Roman" w:cs="Times New Roman"/>
                <w:sz w:val="24"/>
                <w:szCs w:val="24"/>
              </w:rPr>
              <w:t xml:space="preserve"> vai sabiedrisko kārtību, var apsvērt to iespējamo ietekmi</w:t>
            </w:r>
            <w:r w:rsidR="001A6E7B">
              <w:rPr>
                <w:rFonts w:ascii="Times New Roman" w:eastAsia="Calibri" w:hAnsi="Times New Roman" w:cs="Times New Roman"/>
                <w:sz w:val="24"/>
                <w:szCs w:val="24"/>
              </w:rPr>
              <w:t xml:space="preserve"> uz</w:t>
            </w:r>
            <w:r w:rsidR="001A6E7B" w:rsidRPr="001A6E7B">
              <w:rPr>
                <w:rFonts w:ascii="Times New Roman" w:eastAsia="Calibri" w:hAnsi="Times New Roman" w:cs="Times New Roman"/>
                <w:sz w:val="24"/>
                <w:szCs w:val="24"/>
              </w:rPr>
              <w:t xml:space="preserve"> kritisko infrastruktūru</w:t>
            </w:r>
            <w:r w:rsidR="001A6E7B">
              <w:rPr>
                <w:rFonts w:ascii="Times New Roman" w:eastAsia="Calibri" w:hAnsi="Times New Roman" w:cs="Times New Roman"/>
                <w:sz w:val="24"/>
                <w:szCs w:val="24"/>
              </w:rPr>
              <w:t xml:space="preserve">, kritiskām tehnoloģijām, </w:t>
            </w:r>
            <w:r w:rsidR="001A6E7B" w:rsidRPr="001A6E7B">
              <w:rPr>
                <w:rFonts w:ascii="Times New Roman" w:eastAsia="Calibri" w:hAnsi="Times New Roman" w:cs="Times New Roman"/>
                <w:sz w:val="24"/>
                <w:szCs w:val="24"/>
              </w:rPr>
              <w:t>piekļuvi sensitīvai informācijai, tostarp personas datiem, vai spēju kontrolēt šādu informāciju</w:t>
            </w:r>
            <w:r w:rsidR="001A6E7B">
              <w:rPr>
                <w:rFonts w:ascii="Times New Roman" w:eastAsia="Calibri" w:hAnsi="Times New Roman" w:cs="Times New Roman"/>
                <w:sz w:val="24"/>
                <w:szCs w:val="24"/>
              </w:rPr>
              <w:t xml:space="preserve">, kā arī kritisku resursu piegādi. </w:t>
            </w:r>
            <w:r w:rsidR="00DA433A">
              <w:rPr>
                <w:rFonts w:ascii="Times New Roman" w:eastAsia="Calibri" w:hAnsi="Times New Roman" w:cs="Times New Roman"/>
                <w:sz w:val="24"/>
                <w:szCs w:val="24"/>
              </w:rPr>
              <w:t xml:space="preserve">Ņemot vērā minēto, kā arī paredzētos </w:t>
            </w:r>
            <w:r w:rsidR="00DA433A" w:rsidRPr="00BA5CDA">
              <w:rPr>
                <w:rFonts w:ascii="Times New Roman" w:eastAsia="Calibri" w:hAnsi="Times New Roman" w:cs="Times New Roman"/>
                <w:sz w:val="24"/>
                <w:szCs w:val="24"/>
              </w:rPr>
              <w:t>Aizsardzības ministrijas grozījumus likumā</w:t>
            </w:r>
            <w:r w:rsidR="00DA433A" w:rsidRPr="00BA5CDA">
              <w:rPr>
                <w:rStyle w:val="FootnoteReference"/>
                <w:rFonts w:ascii="Times New Roman" w:eastAsia="Calibri" w:hAnsi="Times New Roman" w:cs="Times New Roman"/>
                <w:sz w:val="24"/>
                <w:szCs w:val="24"/>
              </w:rPr>
              <w:footnoteReference w:id="6"/>
            </w:r>
            <w:r w:rsidR="00DA433A" w:rsidRPr="00BA5CDA">
              <w:rPr>
                <w:rFonts w:ascii="Times New Roman" w:eastAsia="Calibri" w:hAnsi="Times New Roman" w:cs="Times New Roman"/>
                <w:sz w:val="24"/>
                <w:szCs w:val="24"/>
              </w:rPr>
              <w:t>, kas</w:t>
            </w:r>
            <w:r w:rsidR="001812DE">
              <w:rPr>
                <w:rFonts w:ascii="Times New Roman" w:eastAsia="Calibri" w:hAnsi="Times New Roman" w:cs="Times New Roman"/>
                <w:sz w:val="24"/>
                <w:szCs w:val="24"/>
              </w:rPr>
              <w:t xml:space="preserve"> noteic</w:t>
            </w:r>
            <w:r w:rsidR="00DA433A" w:rsidRPr="00BA5CDA">
              <w:rPr>
                <w:rFonts w:ascii="Times New Roman" w:eastAsia="Calibri" w:hAnsi="Times New Roman" w:cs="Times New Roman"/>
                <w:sz w:val="24"/>
                <w:szCs w:val="24"/>
              </w:rPr>
              <w:t xml:space="preserve">, ka kritiskās infrastruktūras termins </w:t>
            </w:r>
            <w:r w:rsidR="00DA433A" w:rsidRPr="00BA5CDA">
              <w:rPr>
                <w:rFonts w:ascii="Times New Roman" w:eastAsia="Calibri" w:hAnsi="Times New Roman" w:cs="Times New Roman"/>
                <w:sz w:val="24"/>
                <w:szCs w:val="24"/>
              </w:rPr>
              <w:lastRenderedPageBreak/>
              <w:t>tiek mainīts, papildinot to ar pakalpojumiem</w:t>
            </w:r>
            <w:r w:rsidR="001C608A" w:rsidRPr="00BA5CDA">
              <w:rPr>
                <w:rFonts w:ascii="Times New Roman" w:eastAsia="Calibri" w:hAnsi="Times New Roman" w:cs="Times New Roman"/>
                <w:sz w:val="24"/>
                <w:szCs w:val="24"/>
              </w:rPr>
              <w:t>,</w:t>
            </w:r>
            <w:r w:rsidR="00BA5CDA" w:rsidRPr="00BA5CDA">
              <w:rPr>
                <w:rFonts w:ascii="Times New Roman" w:hAnsi="Times New Roman" w:cs="Times New Roman"/>
                <w:sz w:val="24"/>
                <w:szCs w:val="24"/>
              </w:rPr>
              <w:t xml:space="preserve"> kuri ir būtiski svarīgu sabiedrības funkciju īstenošanas, turklāt attiecīgā 22.</w:t>
            </w:r>
            <w:r w:rsidR="00BA5CDA" w:rsidRPr="00BA5CDA">
              <w:rPr>
                <w:rFonts w:ascii="Times New Roman" w:hAnsi="Times New Roman" w:cs="Times New Roman"/>
                <w:sz w:val="24"/>
                <w:szCs w:val="24"/>
                <w:vertAlign w:val="superscript"/>
              </w:rPr>
              <w:t xml:space="preserve">2 </w:t>
            </w:r>
            <w:r w:rsidR="00BA5CDA" w:rsidRPr="00BA5CDA">
              <w:rPr>
                <w:rFonts w:ascii="Times New Roman" w:hAnsi="Times New Roman" w:cs="Times New Roman"/>
                <w:sz w:val="24"/>
                <w:szCs w:val="24"/>
              </w:rPr>
              <w:t>pantā minētās kritiskās infrastruktūras nodošanai valdījumā vai īpašumā citai personai būtu nepieciešama Ministru kabineta atļauja</w:t>
            </w:r>
            <w:r w:rsidR="00BA5CDA">
              <w:rPr>
                <w:rFonts w:ascii="Times New Roman" w:hAnsi="Times New Roman" w:cs="Times New Roman"/>
                <w:sz w:val="24"/>
                <w:szCs w:val="24"/>
              </w:rPr>
              <w:t>,</w:t>
            </w:r>
            <w:r w:rsidR="00BA5CDA" w:rsidRPr="00BA5CDA">
              <w:rPr>
                <w:rFonts w:ascii="Times New Roman" w:hAnsi="Times New Roman" w:cs="Times New Roman"/>
                <w:sz w:val="24"/>
                <w:szCs w:val="24"/>
              </w:rPr>
              <w:t xml:space="preserve"> </w:t>
            </w:r>
            <w:r w:rsidR="00CB7C58" w:rsidRPr="00BA5CDA">
              <w:rPr>
                <w:rFonts w:ascii="Times New Roman" w:eastAsia="Calibri" w:hAnsi="Times New Roman" w:cs="Times New Roman"/>
                <w:sz w:val="24"/>
                <w:szCs w:val="24"/>
              </w:rPr>
              <w:t xml:space="preserve"> kā risinājums tiek piedāvāts</w:t>
            </w:r>
            <w:r w:rsidR="001C608A" w:rsidRPr="00BA5CDA">
              <w:rPr>
                <w:rFonts w:ascii="Times New Roman" w:eastAsia="Calibri" w:hAnsi="Times New Roman" w:cs="Times New Roman"/>
                <w:sz w:val="24"/>
                <w:szCs w:val="24"/>
              </w:rPr>
              <w:t xml:space="preserve"> izveidot saikni starp</w:t>
            </w:r>
            <w:r w:rsidR="001C608A" w:rsidRPr="001C608A">
              <w:rPr>
                <w:rFonts w:ascii="Times New Roman" w:eastAsia="Calibri" w:hAnsi="Times New Roman" w:cs="Times New Roman"/>
                <w:sz w:val="24"/>
                <w:szCs w:val="24"/>
              </w:rPr>
              <w:t xml:space="preserve"> kritisko infrastruktūru un </w:t>
            </w:r>
            <w:r w:rsidR="00061A17">
              <w:rPr>
                <w:rFonts w:ascii="Times New Roman" w:eastAsia="Calibri" w:hAnsi="Times New Roman" w:cs="Times New Roman"/>
                <w:sz w:val="24"/>
                <w:szCs w:val="24"/>
              </w:rPr>
              <w:t>likuma</w:t>
            </w:r>
            <w:r w:rsidR="001C608A" w:rsidRPr="001C608A">
              <w:rPr>
                <w:rFonts w:ascii="Times New Roman" w:eastAsia="Calibri" w:hAnsi="Times New Roman" w:cs="Times New Roman"/>
                <w:sz w:val="24"/>
                <w:szCs w:val="24"/>
              </w:rPr>
              <w:t xml:space="preserve"> VI. nodaļā paredzēto izvērtējumu.</w:t>
            </w:r>
            <w:r w:rsidR="00CB7C58">
              <w:t xml:space="preserve"> </w:t>
            </w:r>
            <w:r w:rsidR="00BA5CDA">
              <w:rPr>
                <w:rFonts w:ascii="Times New Roman" w:eastAsia="Calibri" w:hAnsi="Times New Roman" w:cs="Times New Roman"/>
                <w:sz w:val="24"/>
                <w:szCs w:val="24"/>
              </w:rPr>
              <w:t>P</w:t>
            </w:r>
            <w:r w:rsidR="00CB7C58" w:rsidRPr="00CB7C58">
              <w:rPr>
                <w:rFonts w:ascii="Times New Roman" w:eastAsia="Calibri" w:hAnsi="Times New Roman" w:cs="Times New Roman"/>
                <w:sz w:val="24"/>
                <w:szCs w:val="24"/>
              </w:rPr>
              <w:t>ieņem</w:t>
            </w:r>
            <w:r w:rsidR="00BA5CDA">
              <w:rPr>
                <w:rFonts w:ascii="Times New Roman" w:eastAsia="Calibri" w:hAnsi="Times New Roman" w:cs="Times New Roman"/>
                <w:sz w:val="24"/>
                <w:szCs w:val="24"/>
              </w:rPr>
              <w:t xml:space="preserve">ot </w:t>
            </w:r>
            <w:r w:rsidR="00CB7C58" w:rsidRPr="00CB7C58">
              <w:rPr>
                <w:rFonts w:ascii="Times New Roman" w:eastAsia="Calibri" w:hAnsi="Times New Roman" w:cs="Times New Roman"/>
                <w:sz w:val="24"/>
                <w:szCs w:val="24"/>
              </w:rPr>
              <w:t>š</w:t>
            </w:r>
            <w:r w:rsidR="00BA5CDA">
              <w:rPr>
                <w:rFonts w:ascii="Times New Roman" w:eastAsia="Calibri" w:hAnsi="Times New Roman" w:cs="Times New Roman"/>
                <w:sz w:val="24"/>
                <w:szCs w:val="24"/>
              </w:rPr>
              <w:t>o</w:t>
            </w:r>
            <w:r w:rsidR="004F36EE">
              <w:rPr>
                <w:rFonts w:ascii="Times New Roman" w:eastAsia="Calibri" w:hAnsi="Times New Roman" w:cs="Times New Roman"/>
                <w:sz w:val="24"/>
                <w:szCs w:val="24"/>
              </w:rPr>
              <w:t xml:space="preserve"> likumprojektu,</w:t>
            </w:r>
            <w:r w:rsidR="00584732">
              <w:rPr>
                <w:rFonts w:ascii="Times New Roman" w:eastAsia="Calibri" w:hAnsi="Times New Roman" w:cs="Times New Roman"/>
                <w:sz w:val="24"/>
                <w:szCs w:val="24"/>
              </w:rPr>
              <w:t xml:space="preserve"> </w:t>
            </w:r>
            <w:r w:rsidR="00CB7C58" w:rsidRPr="00CB7C58">
              <w:rPr>
                <w:rFonts w:ascii="Times New Roman" w:eastAsia="Calibri" w:hAnsi="Times New Roman" w:cs="Times New Roman"/>
                <w:sz w:val="24"/>
                <w:szCs w:val="24"/>
              </w:rPr>
              <w:t>‘kritiskās infrastruktūras’ definīcija saglabāt</w:t>
            </w:r>
            <w:r w:rsidR="00BA5CDA">
              <w:rPr>
                <w:rFonts w:ascii="Times New Roman" w:eastAsia="Calibri" w:hAnsi="Times New Roman" w:cs="Times New Roman"/>
                <w:sz w:val="24"/>
                <w:szCs w:val="24"/>
              </w:rPr>
              <w:t>o</w:t>
            </w:r>
            <w:r w:rsidR="00CB7C58" w:rsidRPr="00CB7C58">
              <w:rPr>
                <w:rFonts w:ascii="Times New Roman" w:eastAsia="Calibri" w:hAnsi="Times New Roman" w:cs="Times New Roman"/>
                <w:sz w:val="24"/>
                <w:szCs w:val="24"/>
              </w:rPr>
              <w:t xml:space="preserve">s esošajos </w:t>
            </w:r>
            <w:r w:rsidR="00BA5CDA">
              <w:rPr>
                <w:rFonts w:ascii="Times New Roman" w:eastAsia="Calibri" w:hAnsi="Times New Roman" w:cs="Times New Roman"/>
                <w:sz w:val="24"/>
                <w:szCs w:val="24"/>
              </w:rPr>
              <w:t>likuma</w:t>
            </w:r>
            <w:r w:rsidR="00CB7C58" w:rsidRPr="00CB7C58">
              <w:rPr>
                <w:rFonts w:ascii="Times New Roman" w:eastAsia="Calibri" w:hAnsi="Times New Roman" w:cs="Times New Roman"/>
                <w:sz w:val="24"/>
                <w:szCs w:val="24"/>
              </w:rPr>
              <w:t xml:space="preserve"> pantos, savukārt VI. nodaļā tiktu iekļauts uzskaitījums, kādas izmaiņas tiktu izvērtētas attiecībā uz komercsabiedrībām</w:t>
            </w:r>
            <w:r w:rsidR="00BA5CDA">
              <w:rPr>
                <w:rFonts w:ascii="Times New Roman" w:eastAsia="Calibri" w:hAnsi="Times New Roman" w:cs="Times New Roman"/>
                <w:sz w:val="24"/>
                <w:szCs w:val="24"/>
              </w:rPr>
              <w:t>,</w:t>
            </w:r>
            <w:r w:rsidR="00CB7C58" w:rsidRPr="00CB7C58">
              <w:rPr>
                <w:rFonts w:ascii="Times New Roman" w:eastAsia="Calibri" w:hAnsi="Times New Roman" w:cs="Times New Roman"/>
                <w:sz w:val="24"/>
                <w:szCs w:val="24"/>
              </w:rPr>
              <w:t xml:space="preserve"> biedrībām</w:t>
            </w:r>
            <w:r w:rsidR="00BA5CDA">
              <w:rPr>
                <w:rFonts w:ascii="Times New Roman" w:eastAsia="Calibri" w:hAnsi="Times New Roman" w:cs="Times New Roman"/>
                <w:sz w:val="24"/>
                <w:szCs w:val="24"/>
              </w:rPr>
              <w:t xml:space="preserve"> un nodibinājumiem</w:t>
            </w:r>
            <w:r w:rsidR="00CB7C58" w:rsidRPr="00CB7C58">
              <w:rPr>
                <w:rFonts w:ascii="Times New Roman" w:eastAsia="Calibri" w:hAnsi="Times New Roman" w:cs="Times New Roman"/>
                <w:sz w:val="24"/>
                <w:szCs w:val="24"/>
              </w:rPr>
              <w:t>, kuru īpašumā vai valdījumā atrodas kritiskā infrastruktūra. Šādas izmaiņas arī sekmēs ‘kritiskās infrastruktūras’ un ‘nacionālajai drošībai nozīmīgas komercsabiedrības’</w:t>
            </w:r>
            <w:r w:rsidR="00400F69">
              <w:rPr>
                <w:rFonts w:ascii="Times New Roman" w:eastAsia="Calibri" w:hAnsi="Times New Roman" w:cs="Times New Roman"/>
                <w:sz w:val="24"/>
                <w:szCs w:val="24"/>
              </w:rPr>
              <w:t xml:space="preserve"> </w:t>
            </w:r>
            <w:r w:rsidR="00CB7C58" w:rsidRPr="00CB7C58">
              <w:rPr>
                <w:rFonts w:ascii="Times New Roman" w:eastAsia="Calibri" w:hAnsi="Times New Roman" w:cs="Times New Roman"/>
                <w:sz w:val="24"/>
                <w:szCs w:val="24"/>
              </w:rPr>
              <w:t>definīciju atbilstību regulas tvērumam.</w:t>
            </w:r>
            <w:r w:rsidR="00510CD2">
              <w:rPr>
                <w:rFonts w:ascii="Times New Roman" w:eastAsia="Calibri" w:hAnsi="Times New Roman" w:cs="Times New Roman"/>
                <w:sz w:val="24"/>
                <w:szCs w:val="24"/>
              </w:rPr>
              <w:t xml:space="preserve"> </w:t>
            </w:r>
            <w:r w:rsidR="004F36EE">
              <w:rPr>
                <w:rFonts w:ascii="Times New Roman" w:eastAsia="Calibri" w:hAnsi="Times New Roman" w:cs="Times New Roman"/>
                <w:sz w:val="24"/>
                <w:szCs w:val="24"/>
              </w:rPr>
              <w:t xml:space="preserve">Likumprojekts </w:t>
            </w:r>
            <w:r w:rsidR="00AF47A4" w:rsidRPr="00AF47A4">
              <w:rPr>
                <w:rFonts w:ascii="Times New Roman" w:eastAsia="Calibri" w:hAnsi="Times New Roman" w:cs="Times New Roman"/>
                <w:sz w:val="24"/>
                <w:szCs w:val="24"/>
              </w:rPr>
              <w:t>nostiprinātu vienotu sistēmu un mehānismu, kā tiek izvērtēts apdraudējums kritiskajai infrastruktūrai un nacionālajai drošībai nozīmīgām juridiskām personām, vienlaikus nodrošinot informācijas apmaiņu ar Eiropas Komisiju un ES dalībvalstīm.</w:t>
            </w:r>
            <w:r w:rsidR="00AF47A4">
              <w:rPr>
                <w:rFonts w:ascii="Times New Roman" w:eastAsia="Calibri" w:hAnsi="Times New Roman" w:cs="Times New Roman"/>
                <w:sz w:val="24"/>
                <w:szCs w:val="24"/>
              </w:rPr>
              <w:t xml:space="preserve"> </w:t>
            </w:r>
            <w:r w:rsidR="00746DDB" w:rsidRPr="00726B58">
              <w:rPr>
                <w:rFonts w:ascii="Times New Roman" w:eastAsia="Calibri" w:hAnsi="Times New Roman" w:cs="Times New Roman"/>
                <w:sz w:val="24"/>
                <w:szCs w:val="24"/>
              </w:rPr>
              <w:t xml:space="preserve">Savukārt papildinājums </w:t>
            </w:r>
            <w:r w:rsidR="00746DDB">
              <w:rPr>
                <w:rFonts w:ascii="Times New Roman" w:eastAsia="Calibri" w:hAnsi="Times New Roman" w:cs="Times New Roman"/>
                <w:sz w:val="24"/>
                <w:szCs w:val="24"/>
              </w:rPr>
              <w:t>likuma 37.</w:t>
            </w:r>
            <w:r w:rsidR="00746DDB" w:rsidRPr="00726B58">
              <w:rPr>
                <w:rFonts w:ascii="Times New Roman" w:eastAsia="Calibri" w:hAnsi="Times New Roman" w:cs="Times New Roman"/>
                <w:sz w:val="24"/>
                <w:szCs w:val="24"/>
              </w:rPr>
              <w:t xml:space="preserve"> pantā attiecībā uz  biedrībām </w:t>
            </w:r>
            <w:r w:rsidR="00746DDB">
              <w:rPr>
                <w:rFonts w:ascii="Times New Roman" w:eastAsia="Calibri" w:hAnsi="Times New Roman" w:cs="Times New Roman"/>
                <w:sz w:val="24"/>
                <w:szCs w:val="24"/>
              </w:rPr>
              <w:t xml:space="preserve">un nodibinājumiem ir </w:t>
            </w:r>
            <w:r w:rsidR="00746DDB" w:rsidRPr="00726B58">
              <w:rPr>
                <w:rFonts w:ascii="Times New Roman" w:eastAsia="Calibri" w:hAnsi="Times New Roman" w:cs="Times New Roman"/>
                <w:sz w:val="24"/>
                <w:szCs w:val="24"/>
              </w:rPr>
              <w:t xml:space="preserve">nepieciešams, </w:t>
            </w:r>
            <w:r w:rsidR="00BA4D2F">
              <w:rPr>
                <w:rFonts w:ascii="Times New Roman" w:eastAsia="Calibri" w:hAnsi="Times New Roman" w:cs="Times New Roman"/>
                <w:sz w:val="24"/>
                <w:szCs w:val="24"/>
              </w:rPr>
              <w:t>ņemot vērā</w:t>
            </w:r>
            <w:r w:rsidR="00746DDB" w:rsidRPr="00726B58">
              <w:rPr>
                <w:rFonts w:ascii="Times New Roman" w:eastAsia="Calibri" w:hAnsi="Times New Roman" w:cs="Times New Roman"/>
                <w:sz w:val="24"/>
                <w:szCs w:val="24"/>
              </w:rPr>
              <w:t xml:space="preserve">, ka </w:t>
            </w:r>
            <w:r w:rsidR="00746DDB">
              <w:rPr>
                <w:rFonts w:ascii="Times New Roman" w:eastAsia="Calibri" w:hAnsi="Times New Roman" w:cs="Times New Roman"/>
                <w:sz w:val="24"/>
                <w:szCs w:val="24"/>
              </w:rPr>
              <w:t xml:space="preserve">gan </w:t>
            </w:r>
            <w:r w:rsidR="00746DDB" w:rsidRPr="00726B58">
              <w:rPr>
                <w:rFonts w:ascii="Times New Roman" w:eastAsia="Calibri" w:hAnsi="Times New Roman" w:cs="Times New Roman"/>
                <w:sz w:val="24"/>
                <w:szCs w:val="24"/>
              </w:rPr>
              <w:t>biedrības</w:t>
            </w:r>
            <w:r w:rsidR="00746DDB">
              <w:rPr>
                <w:rFonts w:ascii="Times New Roman" w:eastAsia="Calibri" w:hAnsi="Times New Roman" w:cs="Times New Roman"/>
                <w:sz w:val="24"/>
                <w:szCs w:val="24"/>
              </w:rPr>
              <w:t>, gan nodibinājumi</w:t>
            </w:r>
            <w:r w:rsidR="00746DDB" w:rsidRPr="00726B58">
              <w:rPr>
                <w:rFonts w:ascii="Times New Roman" w:eastAsia="Calibri" w:hAnsi="Times New Roman" w:cs="Times New Roman"/>
                <w:sz w:val="24"/>
                <w:szCs w:val="24"/>
              </w:rPr>
              <w:t xml:space="preserve"> var veikt saimniecisko darbību un savā darbībā var tikt pielīdzinātas komercsabiedrībām. </w:t>
            </w:r>
            <w:r w:rsidR="00746DDB">
              <w:rPr>
                <w:rFonts w:ascii="Times New Roman" w:eastAsia="Calibri" w:hAnsi="Times New Roman" w:cs="Times New Roman"/>
                <w:sz w:val="24"/>
                <w:szCs w:val="24"/>
              </w:rPr>
              <w:t xml:space="preserve">Šobrīd </w:t>
            </w:r>
            <w:r w:rsidR="00746DDB" w:rsidRPr="00726B58">
              <w:rPr>
                <w:rFonts w:ascii="Times New Roman" w:eastAsia="Calibri" w:hAnsi="Times New Roman" w:cs="Times New Roman"/>
                <w:sz w:val="24"/>
                <w:szCs w:val="24"/>
              </w:rPr>
              <w:t>Latvijā ir konstatēta viena biedrība, kas formāli atbilst likumā minētajam statusam.</w:t>
            </w:r>
            <w:r w:rsidR="00746DDB">
              <w:rPr>
                <w:rFonts w:ascii="Times New Roman" w:eastAsia="Calibri" w:hAnsi="Times New Roman" w:cs="Times New Roman"/>
                <w:sz w:val="24"/>
                <w:szCs w:val="24"/>
              </w:rPr>
              <w:t xml:space="preserve"> Līdz ar to vienlaikus tiek </w:t>
            </w:r>
            <w:r w:rsidR="00BA4D2F">
              <w:rPr>
                <w:rFonts w:ascii="Times New Roman" w:eastAsia="Calibri" w:hAnsi="Times New Roman" w:cs="Times New Roman"/>
                <w:sz w:val="24"/>
                <w:szCs w:val="24"/>
              </w:rPr>
              <w:t xml:space="preserve">precizēts </w:t>
            </w:r>
            <w:r w:rsidR="00746DDB" w:rsidRPr="00E41F91">
              <w:rPr>
                <w:rFonts w:ascii="Times New Roman" w:eastAsia="Calibri" w:hAnsi="Times New Roman" w:cs="Times New Roman"/>
                <w:sz w:val="24"/>
                <w:szCs w:val="24"/>
              </w:rPr>
              <w:t>VI nodaļas nosaukum</w:t>
            </w:r>
            <w:r w:rsidR="00BA4D2F">
              <w:rPr>
                <w:rFonts w:ascii="Times New Roman" w:eastAsia="Calibri" w:hAnsi="Times New Roman" w:cs="Times New Roman"/>
                <w:sz w:val="24"/>
                <w:szCs w:val="24"/>
              </w:rPr>
              <w:t>s</w:t>
            </w:r>
            <w:r w:rsidR="00746DDB" w:rsidRPr="00E41F91">
              <w:rPr>
                <w:rFonts w:ascii="Times New Roman" w:eastAsia="Calibri" w:hAnsi="Times New Roman" w:cs="Times New Roman"/>
                <w:sz w:val="24"/>
                <w:szCs w:val="24"/>
              </w:rPr>
              <w:t xml:space="preserve"> </w:t>
            </w:r>
            <w:r w:rsidR="00746DDB">
              <w:rPr>
                <w:rFonts w:ascii="Times New Roman" w:eastAsia="Calibri" w:hAnsi="Times New Roman" w:cs="Times New Roman"/>
                <w:sz w:val="24"/>
                <w:szCs w:val="24"/>
              </w:rPr>
              <w:t>“</w:t>
            </w:r>
            <w:r w:rsidR="00746DDB" w:rsidRPr="00E41F91">
              <w:rPr>
                <w:rFonts w:ascii="Times New Roman" w:eastAsia="Calibri" w:hAnsi="Times New Roman" w:cs="Times New Roman"/>
                <w:sz w:val="24"/>
                <w:szCs w:val="24"/>
              </w:rPr>
              <w:t xml:space="preserve">Apdraudējuma novēršana kritiskajai infrastruktūrai un nacionālajai drošībai nozīmīgām </w:t>
            </w:r>
            <w:r w:rsidR="004F36EE" w:rsidRPr="004F36EE">
              <w:rPr>
                <w:rFonts w:ascii="Times New Roman" w:eastAsia="Calibri" w:hAnsi="Times New Roman" w:cs="Times New Roman"/>
                <w:sz w:val="24"/>
                <w:szCs w:val="24"/>
              </w:rPr>
              <w:t>komercsabiedrībām, biedrībām un nodibinājumiem</w:t>
            </w:r>
            <w:r w:rsidR="00746DDB">
              <w:rPr>
                <w:rFonts w:ascii="Times New Roman" w:eastAsia="Calibri" w:hAnsi="Times New Roman" w:cs="Times New Roman"/>
                <w:sz w:val="24"/>
                <w:szCs w:val="24"/>
              </w:rPr>
              <w:t xml:space="preserve">” un likuma 37. panta nosaukumā </w:t>
            </w:r>
            <w:r w:rsidR="007B0D8E">
              <w:rPr>
                <w:rFonts w:ascii="Times New Roman" w:eastAsia="Calibri" w:hAnsi="Times New Roman" w:cs="Times New Roman"/>
                <w:sz w:val="24"/>
                <w:szCs w:val="24"/>
              </w:rPr>
              <w:t xml:space="preserve">tiek </w:t>
            </w:r>
            <w:r w:rsidR="00746DDB">
              <w:rPr>
                <w:rFonts w:ascii="Times New Roman" w:eastAsia="Calibri" w:hAnsi="Times New Roman" w:cs="Times New Roman"/>
                <w:sz w:val="24"/>
                <w:szCs w:val="24"/>
              </w:rPr>
              <w:t>iekļau</w:t>
            </w:r>
            <w:r w:rsidR="007B0D8E">
              <w:rPr>
                <w:rFonts w:ascii="Times New Roman" w:eastAsia="Calibri" w:hAnsi="Times New Roman" w:cs="Times New Roman"/>
                <w:sz w:val="24"/>
                <w:szCs w:val="24"/>
              </w:rPr>
              <w:t>tas</w:t>
            </w:r>
            <w:r w:rsidR="00746DDB">
              <w:rPr>
                <w:rFonts w:ascii="Times New Roman" w:eastAsia="Calibri" w:hAnsi="Times New Roman" w:cs="Times New Roman"/>
                <w:sz w:val="24"/>
                <w:szCs w:val="24"/>
              </w:rPr>
              <w:t xml:space="preserve"> arī biedrības un </w:t>
            </w:r>
            <w:r w:rsidR="007B0D8E">
              <w:rPr>
                <w:rFonts w:ascii="Times New Roman" w:eastAsia="Calibri" w:hAnsi="Times New Roman" w:cs="Times New Roman"/>
                <w:sz w:val="24"/>
                <w:szCs w:val="24"/>
              </w:rPr>
              <w:t>nodibinājumi</w:t>
            </w:r>
            <w:r w:rsidR="00746DDB">
              <w:rPr>
                <w:rFonts w:ascii="Times New Roman" w:eastAsia="Calibri" w:hAnsi="Times New Roman" w:cs="Times New Roman"/>
                <w:sz w:val="24"/>
                <w:szCs w:val="24"/>
              </w:rPr>
              <w:t xml:space="preserve">. </w:t>
            </w:r>
          </w:p>
          <w:p w14:paraId="22BC2936" w14:textId="263E1C89" w:rsidR="00510CD2" w:rsidRDefault="00BA4D2F"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arī </w:t>
            </w:r>
            <w:r w:rsidR="00AF47A4">
              <w:rPr>
                <w:rFonts w:ascii="Times New Roman" w:eastAsia="Calibri" w:hAnsi="Times New Roman" w:cs="Times New Roman"/>
                <w:sz w:val="24"/>
                <w:szCs w:val="24"/>
              </w:rPr>
              <w:t>tiek</w:t>
            </w:r>
            <w:r>
              <w:rPr>
                <w:rFonts w:ascii="Times New Roman" w:eastAsia="Calibri" w:hAnsi="Times New Roman" w:cs="Times New Roman"/>
                <w:sz w:val="24"/>
                <w:szCs w:val="24"/>
              </w:rPr>
              <w:t xml:space="preserve"> paredzēts </w:t>
            </w:r>
            <w:r w:rsidR="00AF47A4">
              <w:rPr>
                <w:rFonts w:ascii="Times New Roman" w:eastAsia="Calibri" w:hAnsi="Times New Roman" w:cs="Times New Roman"/>
                <w:sz w:val="24"/>
                <w:szCs w:val="24"/>
              </w:rPr>
              <w:t xml:space="preserve">papildināt </w:t>
            </w:r>
            <w:r w:rsidR="008E210E">
              <w:rPr>
                <w:rFonts w:ascii="Times New Roman" w:eastAsia="Calibri" w:hAnsi="Times New Roman" w:cs="Times New Roman"/>
                <w:sz w:val="24"/>
                <w:szCs w:val="24"/>
              </w:rPr>
              <w:t xml:space="preserve">nosacījumus, uz kuriem attiektos 37. pantā noteiktie ierobežojumi ar mērķi </w:t>
            </w:r>
            <w:r w:rsidR="008E210E" w:rsidRPr="008E210E">
              <w:rPr>
                <w:rFonts w:ascii="Times New Roman" w:eastAsia="Calibri" w:hAnsi="Times New Roman" w:cs="Times New Roman"/>
                <w:sz w:val="24"/>
                <w:szCs w:val="24"/>
              </w:rPr>
              <w:t xml:space="preserve">precīzāk </w:t>
            </w:r>
            <w:r>
              <w:rPr>
                <w:rFonts w:ascii="Times New Roman" w:eastAsia="Calibri" w:hAnsi="Times New Roman" w:cs="Times New Roman"/>
                <w:sz w:val="24"/>
                <w:szCs w:val="24"/>
              </w:rPr>
              <w:t xml:space="preserve">noteikt </w:t>
            </w:r>
            <w:r w:rsidR="008E210E" w:rsidRPr="008E210E">
              <w:rPr>
                <w:rFonts w:ascii="Times New Roman" w:eastAsia="Calibri" w:hAnsi="Times New Roman" w:cs="Times New Roman"/>
                <w:sz w:val="24"/>
                <w:szCs w:val="24"/>
              </w:rPr>
              <w:t>dažādās jomas, kurās, atbilstoši zināšanām par hibrīdo apdraudējumu veidiem, būtu nepieciešams vērtēt ārvalstu tiešās investīcijas. Šāds papildu jomu un kritēriju uzskaitījums arī pi</w:t>
            </w:r>
            <w:r w:rsidR="008E210E">
              <w:rPr>
                <w:rFonts w:ascii="Times New Roman" w:eastAsia="Calibri" w:hAnsi="Times New Roman" w:cs="Times New Roman"/>
                <w:sz w:val="24"/>
                <w:szCs w:val="24"/>
              </w:rPr>
              <w:t xml:space="preserve">lnīgāk </w:t>
            </w:r>
            <w:r>
              <w:rPr>
                <w:rFonts w:ascii="Times New Roman" w:eastAsia="Calibri" w:hAnsi="Times New Roman" w:cs="Times New Roman"/>
                <w:sz w:val="24"/>
                <w:szCs w:val="24"/>
              </w:rPr>
              <w:t xml:space="preserve">noteiktu </w:t>
            </w:r>
            <w:r w:rsidR="008E210E">
              <w:rPr>
                <w:rFonts w:ascii="Times New Roman" w:eastAsia="Calibri" w:hAnsi="Times New Roman" w:cs="Times New Roman"/>
                <w:sz w:val="24"/>
                <w:szCs w:val="24"/>
              </w:rPr>
              <w:t>regulas tvērumu</w:t>
            </w:r>
            <w:r w:rsidR="008F712F">
              <w:rPr>
                <w:rFonts w:ascii="Times New Roman" w:eastAsia="Calibri" w:hAnsi="Times New Roman" w:cs="Times New Roman"/>
                <w:sz w:val="24"/>
                <w:szCs w:val="24"/>
              </w:rPr>
              <w:t xml:space="preserve"> nacionālajā likumdošanā</w:t>
            </w:r>
            <w:r w:rsidR="008E210E">
              <w:rPr>
                <w:rFonts w:ascii="Times New Roman" w:eastAsia="Calibri" w:hAnsi="Times New Roman" w:cs="Times New Roman"/>
                <w:sz w:val="24"/>
                <w:szCs w:val="24"/>
              </w:rPr>
              <w:t xml:space="preserve">. </w:t>
            </w:r>
          </w:p>
          <w:p w14:paraId="504848CD" w14:textId="51A84EA7" w:rsidR="00F81ADF" w:rsidRDefault="008F712F" w:rsidP="00084EFF">
            <w:pPr>
              <w:jc w:val="both"/>
              <w:rPr>
                <w:rFonts w:ascii="Times New Roman" w:eastAsia="Calibri" w:hAnsi="Times New Roman" w:cs="Times New Roman"/>
                <w:sz w:val="24"/>
                <w:szCs w:val="24"/>
              </w:rPr>
            </w:pPr>
            <w:r w:rsidRPr="008F712F">
              <w:rPr>
                <w:rFonts w:ascii="Times New Roman" w:eastAsia="Calibri" w:hAnsi="Times New Roman" w:cs="Times New Roman"/>
                <w:sz w:val="24"/>
                <w:szCs w:val="24"/>
              </w:rPr>
              <w:t xml:space="preserve">Militāro tehnoloģiju, bioloģisko, ķīmisko un šaujamieroču, kā arī citu stratēģiskas nozīmes preču nekontrolēta izplatība rada nopietnus terorisma un militāru sadursmju draudus. Lai novērstu iespējamās masu iznīcināšanas ieroču un to nogādes līdzekļu </w:t>
            </w:r>
            <w:r w:rsidRPr="008F712F">
              <w:rPr>
                <w:rFonts w:ascii="Times New Roman" w:eastAsia="Calibri" w:hAnsi="Times New Roman" w:cs="Times New Roman"/>
                <w:sz w:val="24"/>
                <w:szCs w:val="24"/>
              </w:rPr>
              <w:lastRenderedPageBreak/>
              <w:t>izplatību, ir svarīga efektīva stratēģiskas nozīmes preču eksporta, importa un arī tranzīta kontrole.</w:t>
            </w:r>
            <w:r>
              <w:t xml:space="preserve"> </w:t>
            </w:r>
            <w:r w:rsidRPr="008F712F">
              <w:rPr>
                <w:rFonts w:ascii="Times New Roman" w:eastAsia="Calibri" w:hAnsi="Times New Roman" w:cs="Times New Roman"/>
                <w:sz w:val="24"/>
                <w:szCs w:val="24"/>
              </w:rPr>
              <w:t>Stratēģiskas nozīmes preces ir militārās preces, tai skaitā ieroči un sprāgstvielas, un divējāda (civila un militāra) lietojuma preces, piemēram, iekārtas, materiāli, ķīmiskas vielas, programmatūras, tehnoloģijas un pakalpojumi. Divējāda lietojuma preču tirdzniecība tiek kontrolēta, jo tās potenciāli var tikt izmantotas nekontrolētai militāro tehnoloģiju vai ieroču izgatavošanai.</w:t>
            </w:r>
            <w:r w:rsidR="00F43271">
              <w:rPr>
                <w:rFonts w:ascii="Times New Roman" w:eastAsia="Calibri" w:hAnsi="Times New Roman" w:cs="Times New Roman"/>
                <w:sz w:val="24"/>
                <w:szCs w:val="24"/>
              </w:rPr>
              <w:t xml:space="preserve"> Lai novērstu </w:t>
            </w:r>
            <w:r w:rsidR="00F43271" w:rsidRPr="00F43271">
              <w:rPr>
                <w:rFonts w:ascii="Times New Roman" w:eastAsia="Calibri" w:hAnsi="Times New Roman" w:cs="Times New Roman"/>
                <w:sz w:val="24"/>
                <w:szCs w:val="24"/>
              </w:rPr>
              <w:t>nacionālo drošību apdraudošu vai potenciāli apdraudošu ietekmi</w:t>
            </w:r>
            <w:r w:rsidR="00F43271">
              <w:rPr>
                <w:rFonts w:ascii="Times New Roman" w:eastAsia="Calibri" w:hAnsi="Times New Roman" w:cs="Times New Roman"/>
                <w:sz w:val="24"/>
                <w:szCs w:val="24"/>
              </w:rPr>
              <w:t xml:space="preserve"> konkrētu divejāda lietojuma preču ražotājiem un izstrādātājiem, kas attiecīgās preces eksportē uz trešajām valstīm, tiek </w:t>
            </w:r>
            <w:r w:rsidR="00393A7E">
              <w:rPr>
                <w:rFonts w:ascii="Times New Roman" w:eastAsia="Calibri" w:hAnsi="Times New Roman" w:cs="Times New Roman"/>
                <w:sz w:val="24"/>
                <w:szCs w:val="24"/>
              </w:rPr>
              <w:t xml:space="preserve">paredzēts </w:t>
            </w:r>
            <w:r w:rsidR="00F43271">
              <w:rPr>
                <w:rFonts w:ascii="Times New Roman" w:eastAsia="Calibri" w:hAnsi="Times New Roman" w:cs="Times New Roman"/>
                <w:sz w:val="24"/>
                <w:szCs w:val="24"/>
              </w:rPr>
              <w:t xml:space="preserve">iekļaut nosacījumu par pēdējo </w:t>
            </w:r>
            <w:r w:rsidR="00D917ED">
              <w:rPr>
                <w:rFonts w:ascii="Times New Roman" w:eastAsia="Calibri" w:hAnsi="Times New Roman" w:cs="Times New Roman"/>
                <w:sz w:val="24"/>
                <w:szCs w:val="24"/>
              </w:rPr>
              <w:t xml:space="preserve">divu </w:t>
            </w:r>
            <w:r w:rsidR="00F43271">
              <w:rPr>
                <w:rFonts w:ascii="Times New Roman" w:eastAsia="Calibri" w:hAnsi="Times New Roman" w:cs="Times New Roman"/>
                <w:sz w:val="24"/>
                <w:szCs w:val="24"/>
              </w:rPr>
              <w:t xml:space="preserve"> gadu laikā</w:t>
            </w:r>
            <w:r w:rsidR="00F43271" w:rsidRPr="00F43271">
              <w:rPr>
                <w:rFonts w:ascii="Times New Roman" w:eastAsia="Calibri" w:hAnsi="Times New Roman" w:cs="Times New Roman"/>
                <w:sz w:val="24"/>
                <w:szCs w:val="24"/>
              </w:rPr>
              <w:t xml:space="preserve"> </w:t>
            </w:r>
            <w:r w:rsidR="00F43271">
              <w:rPr>
                <w:rFonts w:ascii="Times New Roman" w:eastAsia="Calibri" w:hAnsi="Times New Roman" w:cs="Times New Roman"/>
                <w:sz w:val="24"/>
                <w:szCs w:val="24"/>
              </w:rPr>
              <w:t xml:space="preserve">esošiem </w:t>
            </w:r>
            <w:r w:rsidR="00F43271" w:rsidRPr="00F43271">
              <w:rPr>
                <w:rFonts w:ascii="Times New Roman" w:eastAsia="Calibri" w:hAnsi="Times New Roman" w:cs="Times New Roman"/>
                <w:sz w:val="24"/>
                <w:szCs w:val="24"/>
              </w:rPr>
              <w:t>tādu preču, kas iekļautas Padomes Regulas (EK) Nr. 428/2009 ( 2009. gada 5. maijs), ar ko izveido Kopienas režīmu divējāda lietojuma preču eksporta, pārvadājumu, starpniecības un tranzīta kontrolei I.</w:t>
            </w:r>
            <w:r w:rsidR="00741B22">
              <w:rPr>
                <w:rFonts w:ascii="Times New Roman" w:eastAsia="Calibri" w:hAnsi="Times New Roman" w:cs="Times New Roman"/>
                <w:sz w:val="24"/>
                <w:szCs w:val="24"/>
              </w:rPr>
              <w:t> </w:t>
            </w:r>
            <w:r w:rsidR="00F43271" w:rsidRPr="00F43271">
              <w:rPr>
                <w:rFonts w:ascii="Times New Roman" w:eastAsia="Calibri" w:hAnsi="Times New Roman" w:cs="Times New Roman"/>
                <w:sz w:val="24"/>
                <w:szCs w:val="24"/>
              </w:rPr>
              <w:t>pielikumā, ražotāji</w:t>
            </w:r>
            <w:r w:rsidR="00F43271">
              <w:rPr>
                <w:rFonts w:ascii="Times New Roman" w:eastAsia="Calibri" w:hAnsi="Times New Roman" w:cs="Times New Roman"/>
                <w:sz w:val="24"/>
                <w:szCs w:val="24"/>
              </w:rPr>
              <w:t>em</w:t>
            </w:r>
            <w:r w:rsidR="00F43271" w:rsidRPr="00F43271">
              <w:rPr>
                <w:rFonts w:ascii="Times New Roman" w:eastAsia="Calibri" w:hAnsi="Times New Roman" w:cs="Times New Roman"/>
                <w:sz w:val="24"/>
                <w:szCs w:val="24"/>
              </w:rPr>
              <w:t xml:space="preserve"> un izstrādātāji</w:t>
            </w:r>
            <w:r w:rsidR="00F43271">
              <w:rPr>
                <w:rFonts w:ascii="Times New Roman" w:eastAsia="Calibri" w:hAnsi="Times New Roman" w:cs="Times New Roman"/>
                <w:sz w:val="24"/>
                <w:szCs w:val="24"/>
              </w:rPr>
              <w:t>em</w:t>
            </w:r>
            <w:r w:rsidR="00F43271" w:rsidRPr="00F43271">
              <w:rPr>
                <w:rFonts w:ascii="Times New Roman" w:eastAsia="Calibri" w:hAnsi="Times New Roman" w:cs="Times New Roman"/>
                <w:sz w:val="24"/>
                <w:szCs w:val="24"/>
              </w:rPr>
              <w:t>, kas divējāda lietojuma preces eksportē uz trešajām valstīm, izņemot ES dalībvalstis, ASV, Kanādu, Austrāliju, Jaunzēlandi, Norvēģiju, Šveici, Japānu un Lielbritāniju</w:t>
            </w:r>
            <w:r w:rsidR="00F43271">
              <w:rPr>
                <w:rFonts w:ascii="Times New Roman" w:eastAsia="Calibri" w:hAnsi="Times New Roman" w:cs="Times New Roman"/>
                <w:sz w:val="24"/>
                <w:szCs w:val="24"/>
              </w:rPr>
              <w:t xml:space="preserve">, balstoties uz to, ka divejāda lietojuma preces nekontrolē, ja tās eksportē uz minētajām </w:t>
            </w:r>
            <w:r w:rsidR="00F43271" w:rsidRPr="007B0D8E">
              <w:rPr>
                <w:rFonts w:ascii="Times New Roman" w:eastAsia="Calibri" w:hAnsi="Times New Roman" w:cs="Times New Roman"/>
                <w:sz w:val="24"/>
                <w:szCs w:val="24"/>
              </w:rPr>
              <w:t>valstīm.</w:t>
            </w:r>
            <w:r w:rsidR="00C27AA3" w:rsidRPr="00E8147C">
              <w:rPr>
                <w:rFonts w:ascii="Times New Roman" w:hAnsi="Times New Roman" w:cs="Times New Roman"/>
                <w:sz w:val="24"/>
                <w:szCs w:val="24"/>
              </w:rPr>
              <w:t xml:space="preserve"> </w:t>
            </w:r>
            <w:r w:rsidR="00393A7E" w:rsidRPr="00E8147C">
              <w:rPr>
                <w:rFonts w:ascii="Times New Roman" w:hAnsi="Times New Roman" w:cs="Times New Roman"/>
                <w:sz w:val="24"/>
                <w:szCs w:val="24"/>
              </w:rPr>
              <w:t>Kā arī</w:t>
            </w:r>
            <w:r w:rsidR="00393A7E">
              <w:t xml:space="preserve"> </w:t>
            </w:r>
            <w:r w:rsidR="00C3027E">
              <w:rPr>
                <w:rFonts w:ascii="Times New Roman" w:eastAsia="Calibri" w:hAnsi="Times New Roman" w:cs="Times New Roman"/>
                <w:sz w:val="24"/>
                <w:szCs w:val="24"/>
              </w:rPr>
              <w:t>ar 37. panta 11</w:t>
            </w:r>
            <w:r w:rsidR="00741B22">
              <w:rPr>
                <w:rFonts w:ascii="Times New Roman" w:eastAsia="Calibri" w:hAnsi="Times New Roman" w:cs="Times New Roman"/>
                <w:sz w:val="24"/>
                <w:szCs w:val="24"/>
              </w:rPr>
              <w:t>.</w:t>
            </w:r>
            <w:r w:rsidR="00584732">
              <w:rPr>
                <w:rFonts w:ascii="Times New Roman" w:eastAsia="Calibri" w:hAnsi="Times New Roman" w:cs="Times New Roman"/>
                <w:sz w:val="24"/>
                <w:szCs w:val="24"/>
              </w:rPr>
              <w:t> </w:t>
            </w:r>
            <w:r w:rsidR="00741B22">
              <w:rPr>
                <w:rFonts w:ascii="Times New Roman" w:eastAsia="Calibri" w:hAnsi="Times New Roman" w:cs="Times New Roman"/>
                <w:sz w:val="24"/>
                <w:szCs w:val="24"/>
              </w:rPr>
              <w:t>apakšpunktu tiek</w:t>
            </w:r>
            <w:r w:rsidR="00400F69">
              <w:rPr>
                <w:rFonts w:ascii="Times New Roman" w:eastAsia="Calibri" w:hAnsi="Times New Roman" w:cs="Times New Roman"/>
                <w:sz w:val="24"/>
                <w:szCs w:val="24"/>
              </w:rPr>
              <w:t xml:space="preserve"> </w:t>
            </w:r>
            <w:r w:rsidR="00393A7E">
              <w:rPr>
                <w:rFonts w:ascii="Times New Roman" w:eastAsia="Calibri" w:hAnsi="Times New Roman" w:cs="Times New Roman"/>
                <w:sz w:val="24"/>
                <w:szCs w:val="24"/>
              </w:rPr>
              <w:t xml:space="preserve">paredzēts noteikt </w:t>
            </w:r>
            <w:r w:rsidR="00741B22">
              <w:rPr>
                <w:rFonts w:ascii="Times New Roman" w:eastAsia="Calibri" w:hAnsi="Times New Roman" w:cs="Times New Roman"/>
                <w:sz w:val="24"/>
                <w:szCs w:val="24"/>
              </w:rPr>
              <w:t>, ierobežojumu</w:t>
            </w:r>
            <w:r w:rsidR="00393A7E">
              <w:rPr>
                <w:rFonts w:ascii="Times New Roman" w:eastAsia="Calibri" w:hAnsi="Times New Roman" w:cs="Times New Roman"/>
                <w:sz w:val="24"/>
                <w:szCs w:val="24"/>
              </w:rPr>
              <w:t>s</w:t>
            </w:r>
            <w:r w:rsidR="00741B22">
              <w:rPr>
                <w:rFonts w:ascii="Times New Roman" w:eastAsia="Calibri" w:hAnsi="Times New Roman" w:cs="Times New Roman"/>
                <w:sz w:val="24"/>
                <w:szCs w:val="24"/>
              </w:rPr>
              <w:t xml:space="preserve"> komercsabiedrībām</w:t>
            </w:r>
            <w:r w:rsidR="00741B22" w:rsidRPr="00C87CAE">
              <w:rPr>
                <w:rFonts w:ascii="Times New Roman" w:eastAsia="Calibri" w:hAnsi="Times New Roman" w:cs="Times New Roman"/>
                <w:sz w:val="24"/>
                <w:szCs w:val="24"/>
              </w:rPr>
              <w:t>, kas ražo vai izstrādā divējāda lietojuma preces, kas iekļautas Padomes Regulas (EK) Nr. 428/2009 (2009. gada 5. maijs), ar ko izveido Kopienas režīmu divējāda lietojuma preču eksporta, pārvadājumu, starpni</w:t>
            </w:r>
            <w:r w:rsidR="00741B22">
              <w:rPr>
                <w:rFonts w:ascii="Times New Roman" w:eastAsia="Calibri" w:hAnsi="Times New Roman" w:cs="Times New Roman"/>
                <w:sz w:val="24"/>
                <w:szCs w:val="24"/>
              </w:rPr>
              <w:t>ecības un tranzīta kontrolei I.</w:t>
            </w:r>
            <w:r w:rsidR="00C3027E">
              <w:rPr>
                <w:rFonts w:ascii="Times New Roman" w:eastAsia="Calibri" w:hAnsi="Times New Roman" w:cs="Times New Roman"/>
                <w:sz w:val="24"/>
                <w:szCs w:val="24"/>
              </w:rPr>
              <w:t> </w:t>
            </w:r>
            <w:r w:rsidR="00741B22" w:rsidRPr="00C87CAE">
              <w:rPr>
                <w:rFonts w:ascii="Times New Roman" w:eastAsia="Calibri" w:hAnsi="Times New Roman" w:cs="Times New Roman"/>
                <w:sz w:val="24"/>
                <w:szCs w:val="24"/>
              </w:rPr>
              <w:t>pielikumā, vai ražo vai izstrādā tādas tehnoloģijas kā mākslīgais intelekts, robotika, viedā un autonomā mobilitāte, kiberdrošība, enerģijas uzglabāšana, kvantu tehnoloģijas, kodoltehnoloģijas, nanotehnoloģijas, biotehnoloģijas, un kur</w:t>
            </w:r>
            <w:r w:rsidR="00741B22">
              <w:rPr>
                <w:rFonts w:ascii="Times New Roman" w:eastAsia="Calibri" w:hAnsi="Times New Roman" w:cs="Times New Roman"/>
                <w:sz w:val="24"/>
                <w:szCs w:val="24"/>
              </w:rPr>
              <w:t>as</w:t>
            </w:r>
            <w:r w:rsidR="00741B22" w:rsidRPr="00C87CAE">
              <w:rPr>
                <w:rFonts w:ascii="Times New Roman" w:eastAsia="Calibri" w:hAnsi="Times New Roman" w:cs="Times New Roman"/>
                <w:sz w:val="24"/>
                <w:szCs w:val="24"/>
              </w:rPr>
              <w:t xml:space="preserve"> Ministru kabinets ir noteicis par nacionālajai drošībai nozīmīg</w:t>
            </w:r>
            <w:r w:rsidR="00741B22">
              <w:rPr>
                <w:rFonts w:ascii="Times New Roman" w:eastAsia="Calibri" w:hAnsi="Times New Roman" w:cs="Times New Roman"/>
                <w:sz w:val="24"/>
                <w:szCs w:val="24"/>
              </w:rPr>
              <w:t>ām komercsabiedrībām</w:t>
            </w:r>
            <w:r w:rsidR="00741B22" w:rsidRPr="00C87CAE">
              <w:rPr>
                <w:rFonts w:ascii="Times New Roman" w:eastAsia="Calibri" w:hAnsi="Times New Roman" w:cs="Times New Roman"/>
                <w:sz w:val="24"/>
                <w:szCs w:val="24"/>
              </w:rPr>
              <w:t>, pamatojoties uz valsts drošības iestā</w:t>
            </w:r>
            <w:r w:rsidR="00741B22">
              <w:rPr>
                <w:rFonts w:ascii="Times New Roman" w:eastAsia="Calibri" w:hAnsi="Times New Roman" w:cs="Times New Roman"/>
                <w:sz w:val="24"/>
                <w:szCs w:val="24"/>
              </w:rPr>
              <w:t>žu</w:t>
            </w:r>
            <w:r w:rsidR="00741B22" w:rsidRPr="00C87CAE">
              <w:rPr>
                <w:rFonts w:ascii="Times New Roman" w:eastAsia="Calibri" w:hAnsi="Times New Roman" w:cs="Times New Roman"/>
                <w:sz w:val="24"/>
                <w:szCs w:val="24"/>
              </w:rPr>
              <w:t xml:space="preserve"> atzinumu</w:t>
            </w:r>
            <w:r w:rsidR="00741B22">
              <w:rPr>
                <w:rFonts w:ascii="Times New Roman" w:eastAsia="Calibri" w:hAnsi="Times New Roman" w:cs="Times New Roman"/>
                <w:sz w:val="24"/>
                <w:szCs w:val="24"/>
              </w:rPr>
              <w:t xml:space="preserve">. </w:t>
            </w:r>
            <w:r w:rsidR="00741B22" w:rsidRPr="00C87CAE">
              <w:rPr>
                <w:rFonts w:ascii="Times New Roman" w:eastAsia="Calibri" w:hAnsi="Times New Roman" w:cs="Times New Roman"/>
                <w:sz w:val="24"/>
                <w:szCs w:val="24"/>
              </w:rPr>
              <w:t xml:space="preserve">Tehnoloģiju attīstība ir strauja un to pielietojums dažādās jomās ir daudzpusējs. Ja likumā iestrādātu </w:t>
            </w:r>
            <w:r w:rsidR="007B0D8E">
              <w:rPr>
                <w:rFonts w:ascii="Times New Roman" w:eastAsia="Calibri" w:hAnsi="Times New Roman" w:cs="Times New Roman"/>
                <w:sz w:val="24"/>
                <w:szCs w:val="24"/>
              </w:rPr>
              <w:t xml:space="preserve">šobrīd aktuālos </w:t>
            </w:r>
            <w:r w:rsidR="00741B22" w:rsidRPr="00C87CAE">
              <w:rPr>
                <w:rFonts w:ascii="Times New Roman" w:eastAsia="Calibri" w:hAnsi="Times New Roman" w:cs="Times New Roman"/>
                <w:sz w:val="24"/>
                <w:szCs w:val="24"/>
              </w:rPr>
              <w:t xml:space="preserve">tehnoloģiju parametrus, varētu </w:t>
            </w:r>
            <w:r w:rsidR="00393A7E">
              <w:rPr>
                <w:rFonts w:ascii="Times New Roman" w:eastAsia="Calibri" w:hAnsi="Times New Roman" w:cs="Times New Roman"/>
                <w:sz w:val="24"/>
                <w:szCs w:val="24"/>
              </w:rPr>
              <w:t xml:space="preserve">rasties </w:t>
            </w:r>
            <w:r w:rsidR="00741B22" w:rsidRPr="00C87CAE">
              <w:rPr>
                <w:rFonts w:ascii="Times New Roman" w:eastAsia="Calibri" w:hAnsi="Times New Roman" w:cs="Times New Roman"/>
                <w:sz w:val="24"/>
                <w:szCs w:val="24"/>
              </w:rPr>
              <w:t>situācijas, ka likum</w:t>
            </w:r>
            <w:r w:rsidR="00393A7E">
              <w:rPr>
                <w:rFonts w:ascii="Times New Roman" w:eastAsia="Calibri" w:hAnsi="Times New Roman" w:cs="Times New Roman"/>
                <w:sz w:val="24"/>
                <w:szCs w:val="24"/>
              </w:rPr>
              <w:t xml:space="preserve">ā </w:t>
            </w:r>
            <w:r w:rsidR="00741B22" w:rsidRPr="00C87CAE">
              <w:rPr>
                <w:rFonts w:ascii="Times New Roman" w:eastAsia="Calibri" w:hAnsi="Times New Roman" w:cs="Times New Roman"/>
                <w:sz w:val="24"/>
                <w:szCs w:val="24"/>
              </w:rPr>
              <w:t xml:space="preserve"> ir</w:t>
            </w:r>
            <w:r w:rsidR="00393A7E">
              <w:rPr>
                <w:rFonts w:ascii="Times New Roman" w:eastAsia="Calibri" w:hAnsi="Times New Roman" w:cs="Times New Roman"/>
                <w:sz w:val="24"/>
                <w:szCs w:val="24"/>
              </w:rPr>
              <w:t xml:space="preserve"> nepieciešami</w:t>
            </w:r>
            <w:r w:rsidR="00741B22" w:rsidRPr="00C87CAE">
              <w:rPr>
                <w:rFonts w:ascii="Times New Roman" w:eastAsia="Calibri" w:hAnsi="Times New Roman" w:cs="Times New Roman"/>
                <w:sz w:val="24"/>
                <w:szCs w:val="24"/>
              </w:rPr>
              <w:t xml:space="preserve"> regulāri</w:t>
            </w:r>
            <w:r w:rsidR="00400F69">
              <w:rPr>
                <w:rFonts w:ascii="Times New Roman" w:eastAsia="Calibri" w:hAnsi="Times New Roman" w:cs="Times New Roman"/>
                <w:sz w:val="24"/>
                <w:szCs w:val="24"/>
              </w:rPr>
              <w:t xml:space="preserve"> </w:t>
            </w:r>
            <w:r w:rsidR="00393A7E">
              <w:rPr>
                <w:rFonts w:ascii="Times New Roman" w:eastAsia="Calibri" w:hAnsi="Times New Roman" w:cs="Times New Roman"/>
                <w:sz w:val="24"/>
                <w:szCs w:val="24"/>
              </w:rPr>
              <w:t>grozījumi</w:t>
            </w:r>
            <w:r w:rsidR="00741B22" w:rsidRPr="00C87CAE">
              <w:rPr>
                <w:rFonts w:ascii="Times New Roman" w:eastAsia="Calibri" w:hAnsi="Times New Roman" w:cs="Times New Roman"/>
                <w:sz w:val="24"/>
                <w:szCs w:val="24"/>
              </w:rPr>
              <w:t>, tehnoloģij</w:t>
            </w:r>
            <w:r w:rsidR="00393A7E">
              <w:rPr>
                <w:rFonts w:ascii="Times New Roman" w:eastAsia="Calibri" w:hAnsi="Times New Roman" w:cs="Times New Roman"/>
                <w:sz w:val="24"/>
                <w:szCs w:val="24"/>
              </w:rPr>
              <w:t>ām</w:t>
            </w:r>
            <w:r w:rsidR="00741B22" w:rsidRPr="00C87CAE">
              <w:rPr>
                <w:rFonts w:ascii="Times New Roman" w:eastAsia="Calibri" w:hAnsi="Times New Roman" w:cs="Times New Roman"/>
                <w:sz w:val="24"/>
                <w:szCs w:val="24"/>
              </w:rPr>
              <w:t xml:space="preserve"> attīstoties</w:t>
            </w:r>
            <w:r w:rsidR="00393A7E">
              <w:rPr>
                <w:rFonts w:ascii="Times New Roman" w:eastAsia="Calibri" w:hAnsi="Times New Roman" w:cs="Times New Roman"/>
                <w:sz w:val="24"/>
                <w:szCs w:val="24"/>
              </w:rPr>
              <w:t>.</w:t>
            </w:r>
            <w:r w:rsidR="00C3027E">
              <w:rPr>
                <w:rFonts w:ascii="Times New Roman" w:eastAsia="Calibri" w:hAnsi="Times New Roman" w:cs="Times New Roman"/>
                <w:sz w:val="24"/>
                <w:szCs w:val="24"/>
              </w:rPr>
              <w:t xml:space="preserve"> </w:t>
            </w:r>
            <w:r w:rsidR="00393A7E">
              <w:rPr>
                <w:rFonts w:ascii="Times New Roman" w:eastAsia="Calibri" w:hAnsi="Times New Roman" w:cs="Times New Roman"/>
                <w:sz w:val="24"/>
                <w:szCs w:val="24"/>
              </w:rPr>
              <w:t>T</w:t>
            </w:r>
            <w:r w:rsidR="00C3027E">
              <w:rPr>
                <w:rFonts w:ascii="Times New Roman" w:eastAsia="Calibri" w:hAnsi="Times New Roman" w:cs="Times New Roman"/>
                <w:sz w:val="24"/>
                <w:szCs w:val="24"/>
              </w:rPr>
              <w:t>aču piedāvāt</w:t>
            </w:r>
            <w:r w:rsidR="00393A7E">
              <w:rPr>
                <w:rFonts w:ascii="Times New Roman" w:eastAsia="Calibri" w:hAnsi="Times New Roman" w:cs="Times New Roman"/>
                <w:sz w:val="24"/>
                <w:szCs w:val="24"/>
              </w:rPr>
              <w:t>ā</w:t>
            </w:r>
            <w:r w:rsidR="00C3027E">
              <w:rPr>
                <w:rFonts w:ascii="Times New Roman" w:eastAsia="Calibri" w:hAnsi="Times New Roman" w:cs="Times New Roman"/>
                <w:sz w:val="24"/>
                <w:szCs w:val="24"/>
              </w:rPr>
              <w:t xml:space="preserve"> 11</w:t>
            </w:r>
            <w:r w:rsidR="00741B22">
              <w:rPr>
                <w:rFonts w:ascii="Times New Roman" w:eastAsia="Calibri" w:hAnsi="Times New Roman" w:cs="Times New Roman"/>
                <w:sz w:val="24"/>
                <w:szCs w:val="24"/>
              </w:rPr>
              <w:t>. a</w:t>
            </w:r>
            <w:r w:rsidR="00741B22" w:rsidRPr="00C87CAE">
              <w:rPr>
                <w:rFonts w:ascii="Times New Roman" w:eastAsia="Calibri" w:hAnsi="Times New Roman" w:cs="Times New Roman"/>
                <w:sz w:val="24"/>
                <w:szCs w:val="24"/>
              </w:rPr>
              <w:t xml:space="preserve">pakšpunkta </w:t>
            </w:r>
            <w:r w:rsidR="00393A7E">
              <w:rPr>
                <w:rFonts w:ascii="Times New Roman" w:eastAsia="Calibri" w:hAnsi="Times New Roman" w:cs="Times New Roman"/>
                <w:sz w:val="24"/>
                <w:szCs w:val="24"/>
              </w:rPr>
              <w:t xml:space="preserve">redakcija </w:t>
            </w:r>
            <w:r w:rsidR="00741B22" w:rsidRPr="00C87CAE">
              <w:rPr>
                <w:rFonts w:ascii="Times New Roman" w:eastAsia="Calibri" w:hAnsi="Times New Roman" w:cs="Times New Roman"/>
                <w:sz w:val="24"/>
                <w:szCs w:val="24"/>
              </w:rPr>
              <w:t>nodrošina, ka regulējums saglabā savu aktualitāti un ir pielietojams ilgākā laika posmā, neatkarīgi no tehnoloģiju attīstības aktualitātēm, kā arī tas neierobežo inovāciju attīstību.</w:t>
            </w:r>
            <w:r w:rsidR="00741B22">
              <w:t xml:space="preserve"> </w:t>
            </w:r>
            <w:r w:rsidR="00741B22">
              <w:rPr>
                <w:rFonts w:ascii="Times New Roman" w:eastAsia="Calibri" w:hAnsi="Times New Roman" w:cs="Times New Roman"/>
                <w:sz w:val="24"/>
                <w:szCs w:val="24"/>
              </w:rPr>
              <w:t>E</w:t>
            </w:r>
            <w:r w:rsidR="00741B22" w:rsidRPr="00C27AA3">
              <w:rPr>
                <w:rFonts w:ascii="Times New Roman" w:eastAsia="Calibri" w:hAnsi="Times New Roman" w:cs="Times New Roman"/>
                <w:sz w:val="24"/>
                <w:szCs w:val="24"/>
              </w:rPr>
              <w:t xml:space="preserve">kspertu vērtējumā regulas eksporta izpratnē </w:t>
            </w:r>
            <w:r w:rsidR="00741B22" w:rsidRPr="00C27AA3">
              <w:rPr>
                <w:rFonts w:ascii="Times New Roman" w:eastAsia="Calibri" w:hAnsi="Times New Roman" w:cs="Times New Roman"/>
                <w:sz w:val="24"/>
                <w:szCs w:val="24"/>
              </w:rPr>
              <w:lastRenderedPageBreak/>
              <w:t xml:space="preserve">kompānijas ražotā vai izstrādā tehnoloģija ir zaudējusi aktualitāti jeb novecojusi, ja </w:t>
            </w:r>
            <w:r w:rsidR="001812DE">
              <w:rPr>
                <w:rFonts w:ascii="Times New Roman" w:eastAsia="Calibri" w:hAnsi="Times New Roman" w:cs="Times New Roman"/>
                <w:sz w:val="24"/>
                <w:szCs w:val="24"/>
              </w:rPr>
              <w:t xml:space="preserve">vienu līdz divus </w:t>
            </w:r>
            <w:r w:rsidR="00741B22" w:rsidRPr="00C27AA3">
              <w:rPr>
                <w:rFonts w:ascii="Times New Roman" w:eastAsia="Calibri" w:hAnsi="Times New Roman" w:cs="Times New Roman"/>
                <w:sz w:val="24"/>
                <w:szCs w:val="24"/>
              </w:rPr>
              <w:t>gadus kompānija neparādās eksportētāju kontroles redzes lokā</w:t>
            </w:r>
            <w:r w:rsidR="00C3027E">
              <w:rPr>
                <w:rFonts w:ascii="Times New Roman" w:eastAsia="Calibri" w:hAnsi="Times New Roman" w:cs="Times New Roman"/>
                <w:sz w:val="24"/>
                <w:szCs w:val="24"/>
              </w:rPr>
              <w:t xml:space="preserve">, tādējādi </w:t>
            </w:r>
            <w:r w:rsidR="00584732">
              <w:rPr>
                <w:rFonts w:ascii="Times New Roman" w:eastAsia="Calibri" w:hAnsi="Times New Roman" w:cs="Times New Roman"/>
                <w:sz w:val="24"/>
                <w:szCs w:val="24"/>
              </w:rPr>
              <w:t xml:space="preserve">likumprojekta </w:t>
            </w:r>
            <w:r w:rsidR="00C3027E">
              <w:rPr>
                <w:rFonts w:ascii="Times New Roman" w:eastAsia="Calibri" w:hAnsi="Times New Roman" w:cs="Times New Roman"/>
                <w:sz w:val="24"/>
                <w:szCs w:val="24"/>
              </w:rPr>
              <w:t>7</w:t>
            </w:r>
            <w:r w:rsidR="00741B22">
              <w:rPr>
                <w:rFonts w:ascii="Times New Roman" w:eastAsia="Calibri" w:hAnsi="Times New Roman" w:cs="Times New Roman"/>
                <w:sz w:val="24"/>
                <w:szCs w:val="24"/>
              </w:rPr>
              <w:t>. punktā tiek iekļauts termiņš par pēdējo divu gadu laiku</w:t>
            </w:r>
            <w:r w:rsidR="00741B22" w:rsidRPr="00C27AA3">
              <w:rPr>
                <w:rFonts w:ascii="Times New Roman" w:eastAsia="Calibri" w:hAnsi="Times New Roman" w:cs="Times New Roman"/>
                <w:sz w:val="24"/>
                <w:szCs w:val="24"/>
              </w:rPr>
              <w:t>.</w:t>
            </w:r>
            <w:r w:rsidR="00741B22">
              <w:rPr>
                <w:rFonts w:ascii="Times New Roman" w:eastAsia="Calibri" w:hAnsi="Times New Roman" w:cs="Times New Roman"/>
                <w:sz w:val="24"/>
                <w:szCs w:val="24"/>
              </w:rPr>
              <w:t xml:space="preserve"> Vienlaikus š</w:t>
            </w:r>
            <w:r w:rsidR="00741B22" w:rsidRPr="00C87CAE">
              <w:rPr>
                <w:rFonts w:ascii="Times New Roman" w:eastAsia="Calibri" w:hAnsi="Times New Roman" w:cs="Times New Roman"/>
                <w:sz w:val="24"/>
                <w:szCs w:val="24"/>
              </w:rPr>
              <w:t xml:space="preserve">āds regulējums atrunās Latvijas rīcību gadījumos, kad no Eiropas Komisijas vai citas ES dalībvalsts tiks saņemta informācija par investīciju Latvijas uzņēmumā, kas netiek izvērtēta saskaņā ar nacionālo regulējumu </w:t>
            </w:r>
            <w:r w:rsidR="00741B22">
              <w:rPr>
                <w:rFonts w:ascii="Times New Roman" w:eastAsia="Calibri" w:hAnsi="Times New Roman" w:cs="Times New Roman"/>
                <w:sz w:val="24"/>
                <w:szCs w:val="24"/>
              </w:rPr>
              <w:t>likuma VI</w:t>
            </w:r>
            <w:r w:rsidR="00741B22" w:rsidRPr="00C87CAE">
              <w:rPr>
                <w:rFonts w:ascii="Times New Roman" w:eastAsia="Calibri" w:hAnsi="Times New Roman" w:cs="Times New Roman"/>
                <w:sz w:val="24"/>
                <w:szCs w:val="24"/>
              </w:rPr>
              <w:t>.</w:t>
            </w:r>
            <w:r w:rsidR="00741B22">
              <w:rPr>
                <w:rFonts w:ascii="Times New Roman" w:eastAsia="Calibri" w:hAnsi="Times New Roman" w:cs="Times New Roman"/>
                <w:sz w:val="24"/>
                <w:szCs w:val="24"/>
              </w:rPr>
              <w:t xml:space="preserve"> </w:t>
            </w:r>
            <w:r w:rsidR="00741B22" w:rsidRPr="00C87CAE">
              <w:rPr>
                <w:rFonts w:ascii="Times New Roman" w:eastAsia="Calibri" w:hAnsi="Times New Roman" w:cs="Times New Roman"/>
                <w:sz w:val="24"/>
                <w:szCs w:val="24"/>
              </w:rPr>
              <w:t>nodaļā</w:t>
            </w:r>
            <w:r w:rsidR="00741B22">
              <w:rPr>
                <w:rFonts w:ascii="Times New Roman" w:eastAsia="Calibri" w:hAnsi="Times New Roman" w:cs="Times New Roman"/>
                <w:sz w:val="24"/>
                <w:szCs w:val="24"/>
              </w:rPr>
              <w:t xml:space="preserve">. </w:t>
            </w:r>
            <w:r w:rsidR="00584732">
              <w:rPr>
                <w:rFonts w:ascii="Times New Roman" w:eastAsia="Calibri" w:hAnsi="Times New Roman" w:cs="Times New Roman"/>
                <w:sz w:val="24"/>
                <w:szCs w:val="24"/>
              </w:rPr>
              <w:t>Likumprojekta 7. punktā minētā regulējuma</w:t>
            </w:r>
            <w:r w:rsidR="00C87CAE" w:rsidRPr="00C87CAE">
              <w:rPr>
                <w:rFonts w:ascii="Times New Roman" w:eastAsia="Calibri" w:hAnsi="Times New Roman" w:cs="Times New Roman"/>
                <w:sz w:val="24"/>
                <w:szCs w:val="24"/>
              </w:rPr>
              <w:t xml:space="preserve"> iekļaušana </w:t>
            </w:r>
            <w:r w:rsidR="00C87CAE">
              <w:rPr>
                <w:rFonts w:ascii="Times New Roman" w:eastAsia="Calibri" w:hAnsi="Times New Roman" w:cs="Times New Roman"/>
                <w:sz w:val="24"/>
                <w:szCs w:val="24"/>
              </w:rPr>
              <w:t>likumā būs arī papildu</w:t>
            </w:r>
            <w:r w:rsidR="00C87CAE" w:rsidRPr="00C87CAE">
              <w:rPr>
                <w:rFonts w:ascii="Times New Roman" w:eastAsia="Calibri" w:hAnsi="Times New Roman" w:cs="Times New Roman"/>
                <w:sz w:val="24"/>
                <w:szCs w:val="24"/>
              </w:rPr>
              <w:t xml:space="preserve"> informācija ražotājiem un izstrādātajiem, ka uzņēmēju aktivitātes attiecīgajās tehnoloģiju jomās var kļūt nozīmīgas arī nacionālajām drošības un sabiedriskās kārtības interesēm un tādējādi var tikt pakļautas papildus uzraudzībai un regulējumam. Tāpat Latvijas interesēs ir, ka attiecīgais regulējums netieši sekmē finansējuma piesaisti šajās jomās no Latvijai politisko un ekonomisko vērtību ziņā līdzīgām valstīm. Tāpat šāda regulējuma pastāvēšana varētu veicināt dialogu starp tehnoloģiju attīstītājiem un valsts pārvaldi, kas sekmēs valsts iestāžu informētību par tehnoloģijas, kas potenciāli varētu skart nacionālo drošību un sabiedrisko kārtību, attīstības gaitu. </w:t>
            </w:r>
            <w:r w:rsidR="00C87CAE">
              <w:rPr>
                <w:rFonts w:ascii="Times New Roman" w:eastAsia="Calibri" w:hAnsi="Times New Roman" w:cs="Times New Roman"/>
                <w:sz w:val="24"/>
                <w:szCs w:val="24"/>
              </w:rPr>
              <w:t xml:space="preserve">Līdzīga veida regulējums pastāv arī citās valstīs. Piemēram,   </w:t>
            </w:r>
            <w:r w:rsidR="00C87CAE" w:rsidRPr="00C87CAE">
              <w:rPr>
                <w:rFonts w:ascii="Times New Roman" w:eastAsia="Calibri" w:hAnsi="Times New Roman" w:cs="Times New Roman"/>
                <w:sz w:val="24"/>
                <w:szCs w:val="24"/>
              </w:rPr>
              <w:t>Francijai ir viens no Eiropā visizstrādātākajiem ārvalstu investīciju skrīninga mehānismiem, kas noteikts Monetārajā un finanšu kodeksā (</w:t>
            </w:r>
            <w:r w:rsidR="00C87CAE" w:rsidRPr="00C87CAE">
              <w:rPr>
                <w:rFonts w:ascii="Times New Roman" w:eastAsia="Calibri" w:hAnsi="Times New Roman" w:cs="Times New Roman"/>
                <w:i/>
                <w:sz w:val="24"/>
                <w:szCs w:val="24"/>
              </w:rPr>
              <w:t>Code monétaire et financier</w:t>
            </w:r>
            <w:r w:rsidR="00C87CAE" w:rsidRPr="00C87CAE">
              <w:rPr>
                <w:rFonts w:ascii="Times New Roman" w:eastAsia="Calibri" w:hAnsi="Times New Roman" w:cs="Times New Roman"/>
                <w:sz w:val="24"/>
                <w:szCs w:val="24"/>
              </w:rPr>
              <w:t>). Kodekss nosaka, ka tiek izvērtētas investīcijas, kas saistītas ar Padomes Regulas (EK) Nr. 428/2009 (2009. gada 5. maijs) 1. pielikumā minēto produktu pētniecību un attīstību, kā arī izvērtētas tiek investīcijas pētniecības un attīstības aktivitātēs kritiskajās tehnoloģijās, kuru sarakstu apstiprina ar ekonomikas ministra rīkojumu. 2019.</w:t>
            </w:r>
            <w:r w:rsidR="001812DE">
              <w:rPr>
                <w:rFonts w:ascii="Times New Roman" w:eastAsia="Calibri" w:hAnsi="Times New Roman" w:cs="Times New Roman"/>
                <w:sz w:val="24"/>
                <w:szCs w:val="24"/>
              </w:rPr>
              <w:t xml:space="preserve"> </w:t>
            </w:r>
            <w:r w:rsidR="00C87CAE" w:rsidRPr="00C87CAE">
              <w:rPr>
                <w:rFonts w:ascii="Times New Roman" w:eastAsia="Calibri" w:hAnsi="Times New Roman" w:cs="Times New Roman"/>
                <w:sz w:val="24"/>
                <w:szCs w:val="24"/>
              </w:rPr>
              <w:t>gada 31.</w:t>
            </w:r>
            <w:r w:rsidR="001812DE">
              <w:rPr>
                <w:rFonts w:ascii="Times New Roman" w:eastAsia="Calibri" w:hAnsi="Times New Roman" w:cs="Times New Roman"/>
                <w:sz w:val="24"/>
                <w:szCs w:val="24"/>
              </w:rPr>
              <w:t xml:space="preserve"> </w:t>
            </w:r>
            <w:r w:rsidR="00C87CAE" w:rsidRPr="00C87CAE">
              <w:rPr>
                <w:rFonts w:ascii="Times New Roman" w:eastAsia="Calibri" w:hAnsi="Times New Roman" w:cs="Times New Roman"/>
                <w:sz w:val="24"/>
                <w:szCs w:val="24"/>
              </w:rPr>
              <w:t>decembra ekonomikas ministra rīkojuma par ārvalstu ieguldījumiem Francijā 6.</w:t>
            </w:r>
            <w:r w:rsidR="001812DE">
              <w:rPr>
                <w:rFonts w:ascii="Times New Roman" w:eastAsia="Calibri" w:hAnsi="Times New Roman" w:cs="Times New Roman"/>
                <w:sz w:val="24"/>
                <w:szCs w:val="24"/>
              </w:rPr>
              <w:t xml:space="preserve"> </w:t>
            </w:r>
            <w:r w:rsidR="00C87CAE" w:rsidRPr="00C87CAE">
              <w:rPr>
                <w:rFonts w:ascii="Times New Roman" w:eastAsia="Calibri" w:hAnsi="Times New Roman" w:cs="Times New Roman"/>
                <w:sz w:val="24"/>
                <w:szCs w:val="24"/>
              </w:rPr>
              <w:t>pantā ir kritisko tehnoloģiju uzskaitījums bez to detalizētāka apraksta: kiberdrošība, mākslīgais intelekts, robotika, piedevu ražošana, pusvadītāji, kvantu tehnoloģijas, enerģijas uzglabāšana. 2020.</w:t>
            </w:r>
            <w:r w:rsidR="001812DE">
              <w:rPr>
                <w:rFonts w:ascii="Times New Roman" w:eastAsia="Calibri" w:hAnsi="Times New Roman" w:cs="Times New Roman"/>
                <w:sz w:val="24"/>
                <w:szCs w:val="24"/>
              </w:rPr>
              <w:t xml:space="preserve"> </w:t>
            </w:r>
            <w:r w:rsidR="00C87CAE" w:rsidRPr="00C87CAE">
              <w:rPr>
                <w:rFonts w:ascii="Times New Roman" w:eastAsia="Calibri" w:hAnsi="Times New Roman" w:cs="Times New Roman"/>
                <w:sz w:val="24"/>
                <w:szCs w:val="24"/>
              </w:rPr>
              <w:t>gada pavasarī, aktualizējoties pandēmijai, šis saraksts tika papildināts ar biotehnoloģijām.</w:t>
            </w:r>
          </w:p>
          <w:p w14:paraId="001DC8DA" w14:textId="3B0B4CB6" w:rsidR="00B94B27" w:rsidRPr="00D057D8" w:rsidRDefault="00F81ADF" w:rsidP="00B94B27">
            <w:pPr>
              <w:jc w:val="both"/>
              <w:rPr>
                <w:rFonts w:ascii="Times New Roman" w:hAnsi="Times New Roman" w:cs="Times New Roman"/>
                <w:sz w:val="24"/>
                <w:szCs w:val="24"/>
              </w:rPr>
            </w:pPr>
            <w:r>
              <w:rPr>
                <w:rFonts w:ascii="Times New Roman" w:eastAsia="Calibri" w:hAnsi="Times New Roman" w:cs="Times New Roman"/>
                <w:sz w:val="24"/>
                <w:szCs w:val="24"/>
              </w:rPr>
              <w:t>Mūsdienās personu</w:t>
            </w:r>
            <w:r w:rsidR="006757BF">
              <w:rPr>
                <w:rFonts w:ascii="Times New Roman" w:eastAsia="Calibri" w:hAnsi="Times New Roman" w:cs="Times New Roman"/>
                <w:sz w:val="24"/>
                <w:szCs w:val="24"/>
              </w:rPr>
              <w:t xml:space="preserve"> sensitīv</w:t>
            </w:r>
            <w:r w:rsidR="00E707D3">
              <w:rPr>
                <w:rFonts w:ascii="Times New Roman" w:eastAsia="Calibri" w:hAnsi="Times New Roman" w:cs="Times New Roman"/>
                <w:sz w:val="24"/>
                <w:szCs w:val="24"/>
              </w:rPr>
              <w:t>o</w:t>
            </w:r>
            <w:r>
              <w:rPr>
                <w:rFonts w:ascii="Times New Roman" w:eastAsia="Calibri" w:hAnsi="Times New Roman" w:cs="Times New Roman"/>
                <w:sz w:val="24"/>
                <w:szCs w:val="24"/>
              </w:rPr>
              <w:t xml:space="preserve"> datu drošība kļūst</w:t>
            </w:r>
            <w:r w:rsidR="00400F69">
              <w:rPr>
                <w:rFonts w:ascii="Times New Roman" w:eastAsia="Calibri" w:hAnsi="Times New Roman" w:cs="Times New Roman"/>
                <w:sz w:val="24"/>
                <w:szCs w:val="24"/>
              </w:rPr>
              <w:t xml:space="preserve"> </w:t>
            </w:r>
            <w:r w:rsidR="00DD2D1F">
              <w:rPr>
                <w:rFonts w:ascii="Times New Roman" w:eastAsia="Calibri" w:hAnsi="Times New Roman" w:cs="Times New Roman"/>
                <w:sz w:val="24"/>
                <w:szCs w:val="24"/>
              </w:rPr>
              <w:t>arvien aktuālāka, uzmanību pievēršot</w:t>
            </w:r>
            <w:r>
              <w:rPr>
                <w:rFonts w:ascii="Times New Roman" w:eastAsia="Calibri" w:hAnsi="Times New Roman" w:cs="Times New Roman"/>
                <w:sz w:val="24"/>
                <w:szCs w:val="24"/>
              </w:rPr>
              <w:t xml:space="preserve"> </w:t>
            </w:r>
            <w:r w:rsidR="00E707D3">
              <w:rPr>
                <w:rFonts w:ascii="Times New Roman" w:eastAsia="Calibri" w:hAnsi="Times New Roman" w:cs="Times New Roman"/>
                <w:sz w:val="24"/>
                <w:szCs w:val="24"/>
              </w:rPr>
              <w:t>personu datu aizsardzībai</w:t>
            </w:r>
            <w:r w:rsidR="00DD2D1F">
              <w:rPr>
                <w:rFonts w:ascii="Times New Roman" w:eastAsia="Calibri" w:hAnsi="Times New Roman" w:cs="Times New Roman"/>
                <w:sz w:val="24"/>
                <w:szCs w:val="24"/>
              </w:rPr>
              <w:t>.</w:t>
            </w:r>
            <w:r w:rsidR="00E707D3">
              <w:rPr>
                <w:rFonts w:ascii="Times New Roman" w:eastAsia="Calibri" w:hAnsi="Times New Roman" w:cs="Times New Roman"/>
                <w:sz w:val="24"/>
                <w:szCs w:val="24"/>
              </w:rPr>
              <w:t xml:space="preserve"> </w:t>
            </w:r>
            <w:r w:rsidR="00DD2D1F">
              <w:rPr>
                <w:rFonts w:ascii="Times New Roman" w:eastAsia="Calibri" w:hAnsi="Times New Roman" w:cs="Times New Roman"/>
                <w:sz w:val="24"/>
                <w:szCs w:val="24"/>
              </w:rPr>
              <w:t>Līdz ar to, jāņem vērā</w:t>
            </w:r>
            <w:r w:rsidR="00584732">
              <w:rPr>
                <w:rFonts w:ascii="Times New Roman" w:eastAsia="Calibri" w:hAnsi="Times New Roman" w:cs="Times New Roman"/>
                <w:sz w:val="24"/>
                <w:szCs w:val="24"/>
              </w:rPr>
              <w:t>,</w:t>
            </w:r>
            <w:r w:rsidR="00DE7EC0">
              <w:rPr>
                <w:rFonts w:ascii="Times New Roman" w:eastAsia="Calibri" w:hAnsi="Times New Roman" w:cs="Times New Roman"/>
                <w:sz w:val="24"/>
                <w:szCs w:val="24"/>
              </w:rPr>
              <w:t xml:space="preserve"> </w:t>
            </w:r>
            <w:r w:rsidR="00E707D3">
              <w:rPr>
                <w:rFonts w:ascii="Times New Roman" w:eastAsia="Calibri" w:hAnsi="Times New Roman" w:cs="Times New Roman"/>
                <w:sz w:val="24"/>
                <w:szCs w:val="24"/>
              </w:rPr>
              <w:t xml:space="preserve">ka </w:t>
            </w:r>
            <w:r w:rsidR="00DD2D1F">
              <w:rPr>
                <w:rFonts w:ascii="Times New Roman" w:eastAsia="Calibri" w:hAnsi="Times New Roman" w:cs="Times New Roman"/>
                <w:sz w:val="24"/>
                <w:szCs w:val="24"/>
              </w:rPr>
              <w:t xml:space="preserve">plaša </w:t>
            </w:r>
            <w:r w:rsidR="00E707D3">
              <w:rPr>
                <w:rFonts w:ascii="Times New Roman" w:eastAsia="Calibri" w:hAnsi="Times New Roman" w:cs="Times New Roman"/>
                <w:sz w:val="24"/>
                <w:szCs w:val="24"/>
              </w:rPr>
              <w:t xml:space="preserve">apjoma </w:t>
            </w:r>
            <w:r w:rsidR="00E707D3">
              <w:rPr>
                <w:rFonts w:ascii="Times New Roman" w:eastAsia="Calibri" w:hAnsi="Times New Roman" w:cs="Times New Roman"/>
                <w:sz w:val="24"/>
                <w:szCs w:val="24"/>
              </w:rPr>
              <w:lastRenderedPageBreak/>
              <w:t xml:space="preserve">datu nonākšana trešo valstu īpašumā, var kaitēt valsts nacionālajai drošībai. Piemēram, </w:t>
            </w:r>
            <w:r w:rsidR="009F5B3B">
              <w:rPr>
                <w:rFonts w:ascii="Times New Roman" w:eastAsia="Calibri" w:hAnsi="Times New Roman" w:cs="Times New Roman"/>
                <w:sz w:val="24"/>
                <w:szCs w:val="24"/>
              </w:rPr>
              <w:t>2021. gada sākumā tika ziņots, ka Ķīnas valdība, kas aktīvi strādā, lai vāktu un izmantotu ASV iedzīvotāju DNS un citus ar veselību saistītus datus, iespējams, ir ieguvusi ap 80% ASV pieaugušo iedzīvotāju datus</w:t>
            </w:r>
            <w:r w:rsidR="00746DDB">
              <w:rPr>
                <w:rStyle w:val="FootnoteReference"/>
                <w:rFonts w:ascii="Times New Roman" w:eastAsia="Calibri" w:hAnsi="Times New Roman" w:cs="Times New Roman"/>
                <w:sz w:val="24"/>
                <w:szCs w:val="24"/>
              </w:rPr>
              <w:footnoteReference w:id="7"/>
            </w:r>
            <w:r w:rsidR="00746DDB">
              <w:rPr>
                <w:rFonts w:ascii="Times New Roman" w:eastAsia="Calibri" w:hAnsi="Times New Roman" w:cs="Times New Roman"/>
                <w:sz w:val="24"/>
                <w:szCs w:val="24"/>
              </w:rPr>
              <w:t xml:space="preserve">. </w:t>
            </w:r>
            <w:r w:rsidR="00E707D3">
              <w:rPr>
                <w:rFonts w:ascii="Times New Roman" w:eastAsia="Calibri" w:hAnsi="Times New Roman" w:cs="Times New Roman"/>
                <w:sz w:val="24"/>
                <w:szCs w:val="24"/>
              </w:rPr>
              <w:t xml:space="preserve">Savukārt </w:t>
            </w:r>
            <w:r w:rsidR="00E707D3" w:rsidRPr="00E707D3">
              <w:rPr>
                <w:rFonts w:ascii="Times New Roman" w:eastAsia="Calibri" w:hAnsi="Times New Roman" w:cs="Times New Roman"/>
                <w:sz w:val="24"/>
                <w:szCs w:val="24"/>
              </w:rPr>
              <w:t xml:space="preserve">NATO Stratēģiskās komunikācijas izcilības centra (“Stratcom”) </w:t>
            </w:r>
            <w:r w:rsidR="00584732">
              <w:rPr>
                <w:rFonts w:ascii="Times New Roman" w:eastAsia="Calibri" w:hAnsi="Times New Roman" w:cs="Times New Roman"/>
                <w:sz w:val="24"/>
                <w:szCs w:val="24"/>
              </w:rPr>
              <w:t xml:space="preserve">2021. gadā publicētajā publiski pieejamā </w:t>
            </w:r>
            <w:r w:rsidR="00E707D3" w:rsidRPr="00E707D3">
              <w:rPr>
                <w:rFonts w:ascii="Times New Roman" w:eastAsia="Calibri" w:hAnsi="Times New Roman" w:cs="Times New Roman"/>
                <w:sz w:val="24"/>
                <w:szCs w:val="24"/>
              </w:rPr>
              <w:t xml:space="preserve">pētījumā par datu brokeriem jeb kompānijām, kas vāc un tālāk pārdod informāciju par personām, ar eksperimenta palīdzību </w:t>
            </w:r>
            <w:r w:rsidR="00E707D3">
              <w:rPr>
                <w:rFonts w:ascii="Times New Roman" w:eastAsia="Calibri" w:hAnsi="Times New Roman" w:cs="Times New Roman"/>
                <w:sz w:val="24"/>
                <w:szCs w:val="24"/>
              </w:rPr>
              <w:t xml:space="preserve">ir </w:t>
            </w:r>
            <w:r w:rsidR="00E707D3" w:rsidRPr="00E707D3">
              <w:rPr>
                <w:rFonts w:ascii="Times New Roman" w:eastAsia="Calibri" w:hAnsi="Times New Roman" w:cs="Times New Roman"/>
                <w:sz w:val="24"/>
                <w:szCs w:val="24"/>
              </w:rPr>
              <w:t>noskaidrots, ka par samaksu var iegūt detalizētu informāciju par Latvijas iedzīvotājiem</w:t>
            </w:r>
            <w:r w:rsidR="00E707D3">
              <w:rPr>
                <w:rFonts w:ascii="Times New Roman" w:eastAsia="Calibri" w:hAnsi="Times New Roman" w:cs="Times New Roman"/>
                <w:sz w:val="24"/>
                <w:szCs w:val="24"/>
              </w:rPr>
              <w:t xml:space="preserve">, kas ietver </w:t>
            </w:r>
            <w:r w:rsidR="00E707D3" w:rsidRPr="00E707D3">
              <w:rPr>
                <w:rFonts w:ascii="Times New Roman" w:eastAsia="Calibri" w:hAnsi="Times New Roman" w:cs="Times New Roman"/>
                <w:sz w:val="24"/>
                <w:szCs w:val="24"/>
              </w:rPr>
              <w:t>juridisko un fizisko personu adrešu sarakstus, IP adrešu sarakstus, uzņēmumu sarakstus, mārketinga informāciju, nekustamo īpašumu un farmācijas nozaru datus</w:t>
            </w:r>
            <w:r w:rsidR="00E707D3">
              <w:rPr>
                <w:rStyle w:val="FootnoteReference"/>
                <w:rFonts w:ascii="Times New Roman" w:eastAsia="Calibri" w:hAnsi="Times New Roman" w:cs="Times New Roman"/>
                <w:sz w:val="24"/>
                <w:szCs w:val="24"/>
              </w:rPr>
              <w:footnoteReference w:id="8"/>
            </w:r>
            <w:r w:rsidR="00E707D3">
              <w:rPr>
                <w:rFonts w:ascii="Times New Roman" w:eastAsia="Calibri" w:hAnsi="Times New Roman" w:cs="Times New Roman"/>
                <w:sz w:val="24"/>
                <w:szCs w:val="24"/>
              </w:rPr>
              <w:t xml:space="preserve">. </w:t>
            </w:r>
            <w:r>
              <w:rPr>
                <w:rFonts w:ascii="Times New Roman" w:eastAsia="Calibri" w:hAnsi="Times New Roman" w:cs="Times New Roman"/>
                <w:sz w:val="24"/>
                <w:szCs w:val="24"/>
              </w:rPr>
              <w:t>Tādējādi</w:t>
            </w:r>
            <w:r w:rsidR="00746DDB">
              <w:rPr>
                <w:rFonts w:ascii="Times New Roman" w:eastAsia="Calibri" w:hAnsi="Times New Roman" w:cs="Times New Roman"/>
                <w:sz w:val="24"/>
                <w:szCs w:val="24"/>
              </w:rPr>
              <w:t>, lai nodrošinātu specifisku datu drošību,</w:t>
            </w:r>
            <w:r>
              <w:rPr>
                <w:rFonts w:ascii="Times New Roman" w:eastAsia="Calibri" w:hAnsi="Times New Roman" w:cs="Times New Roman"/>
                <w:sz w:val="24"/>
                <w:szCs w:val="24"/>
              </w:rPr>
              <w:t xml:space="preserve"> </w:t>
            </w:r>
            <w:r w:rsidR="00F25105">
              <w:rPr>
                <w:rFonts w:ascii="Times New Roman" w:eastAsia="Calibri" w:hAnsi="Times New Roman" w:cs="Times New Roman"/>
                <w:sz w:val="24"/>
                <w:szCs w:val="24"/>
              </w:rPr>
              <w:t xml:space="preserve">37. pants tiek papildināts ar </w:t>
            </w:r>
            <w:r w:rsidR="00C3027E">
              <w:rPr>
                <w:rFonts w:ascii="Times New Roman" w:eastAsia="Calibri" w:hAnsi="Times New Roman" w:cs="Times New Roman"/>
                <w:sz w:val="24"/>
                <w:szCs w:val="24"/>
              </w:rPr>
              <w:t>8</w:t>
            </w:r>
            <w:r w:rsidR="005B76C5">
              <w:rPr>
                <w:rFonts w:ascii="Times New Roman" w:eastAsia="Calibri" w:hAnsi="Times New Roman" w:cs="Times New Roman"/>
                <w:sz w:val="24"/>
                <w:szCs w:val="24"/>
              </w:rPr>
              <w:t>.</w:t>
            </w:r>
            <w:r w:rsidR="00584732">
              <w:rPr>
                <w:rFonts w:ascii="Times New Roman" w:eastAsia="Calibri" w:hAnsi="Times New Roman" w:cs="Times New Roman"/>
                <w:sz w:val="24"/>
                <w:szCs w:val="24"/>
              </w:rPr>
              <w:t> </w:t>
            </w:r>
            <w:r w:rsidR="005B76C5">
              <w:rPr>
                <w:rFonts w:ascii="Times New Roman" w:eastAsia="Calibri" w:hAnsi="Times New Roman" w:cs="Times New Roman"/>
                <w:sz w:val="24"/>
                <w:szCs w:val="24"/>
              </w:rPr>
              <w:t>un</w:t>
            </w:r>
            <w:r>
              <w:rPr>
                <w:rFonts w:ascii="Times New Roman" w:eastAsia="Calibri" w:hAnsi="Times New Roman" w:cs="Times New Roman"/>
                <w:sz w:val="24"/>
                <w:szCs w:val="24"/>
              </w:rPr>
              <w:t xml:space="preserve"> </w:t>
            </w:r>
            <w:r w:rsidR="00C3027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F25105">
              <w:rPr>
                <w:rFonts w:ascii="Times New Roman" w:eastAsia="Calibri" w:hAnsi="Times New Roman" w:cs="Times New Roman"/>
                <w:sz w:val="24"/>
                <w:szCs w:val="24"/>
              </w:rPr>
              <w:t>apakšpunktu, kas</w:t>
            </w:r>
            <w:r>
              <w:rPr>
                <w:rFonts w:ascii="Times New Roman" w:eastAsia="Calibri" w:hAnsi="Times New Roman" w:cs="Times New Roman"/>
                <w:sz w:val="24"/>
                <w:szCs w:val="24"/>
              </w:rPr>
              <w:t xml:space="preserve"> pie nacionālajai drošībai nozīmīgām </w:t>
            </w:r>
            <w:r w:rsidR="001812DE">
              <w:rPr>
                <w:rFonts w:ascii="Times New Roman" w:eastAsia="Calibri" w:hAnsi="Times New Roman" w:cs="Times New Roman"/>
                <w:sz w:val="24"/>
                <w:szCs w:val="24"/>
              </w:rPr>
              <w:t xml:space="preserve">komercsabiedrībām, biedrībām un nodibinājumiem </w:t>
            </w:r>
            <w:r>
              <w:rPr>
                <w:rFonts w:ascii="Times New Roman" w:eastAsia="Calibri" w:hAnsi="Times New Roman" w:cs="Times New Roman"/>
                <w:sz w:val="24"/>
                <w:szCs w:val="24"/>
              </w:rPr>
              <w:t>iekļauj arī</w:t>
            </w:r>
            <w:r w:rsidR="001812DE">
              <w:rPr>
                <w:rFonts w:ascii="Times New Roman" w:eastAsia="Calibri" w:hAnsi="Times New Roman" w:cs="Times New Roman"/>
                <w:sz w:val="24"/>
                <w:szCs w:val="24"/>
              </w:rPr>
              <w:t xml:space="preserve"> tos</w:t>
            </w:r>
            <w:r w:rsidR="00584732">
              <w:rPr>
                <w:rFonts w:ascii="Times New Roman" w:eastAsia="Calibri" w:hAnsi="Times New Roman" w:cs="Times New Roman"/>
                <w:sz w:val="24"/>
                <w:szCs w:val="24"/>
              </w:rPr>
              <w:t xml:space="preserve"> komersantus</w:t>
            </w:r>
            <w:r>
              <w:rPr>
                <w:rFonts w:ascii="Times New Roman" w:eastAsia="Calibri" w:hAnsi="Times New Roman" w:cs="Times New Roman"/>
                <w:sz w:val="24"/>
                <w:szCs w:val="24"/>
              </w:rPr>
              <w:t>, kam ir piekļuve vēlētāju personu datiem un kandidātu sarakstie</w:t>
            </w:r>
            <w:r w:rsidR="005B76C5">
              <w:rPr>
                <w:rFonts w:ascii="Times New Roman" w:eastAsia="Calibri" w:hAnsi="Times New Roman" w:cs="Times New Roman"/>
                <w:sz w:val="24"/>
                <w:szCs w:val="24"/>
              </w:rPr>
              <w:t xml:space="preserve">m, kā arī </w:t>
            </w:r>
            <w:r w:rsidRPr="00F81ADF">
              <w:rPr>
                <w:rFonts w:ascii="Times New Roman" w:eastAsia="Calibri" w:hAnsi="Times New Roman" w:cs="Times New Roman"/>
                <w:sz w:val="24"/>
                <w:szCs w:val="24"/>
              </w:rPr>
              <w:t>valsts kritiskās infrastruktūras sistēmās iekļauto datu kopu apstrādātāj</w:t>
            </w:r>
            <w:r>
              <w:rPr>
                <w:rFonts w:ascii="Times New Roman" w:eastAsia="Calibri" w:hAnsi="Times New Roman" w:cs="Times New Roman"/>
                <w:sz w:val="24"/>
                <w:szCs w:val="24"/>
              </w:rPr>
              <w:t>us (</w:t>
            </w:r>
            <w:r w:rsidRPr="00F81ADF">
              <w:rPr>
                <w:rFonts w:ascii="Times New Roman" w:eastAsia="Calibri" w:hAnsi="Times New Roman" w:cs="Times New Roman"/>
                <w:sz w:val="24"/>
                <w:szCs w:val="24"/>
              </w:rPr>
              <w:t>izņemot gadījumos, kad to veic finanšu tirgus dalībnieki</w:t>
            </w:r>
            <w:r w:rsidR="005B76C5">
              <w:rPr>
                <w:rFonts w:ascii="Times New Roman" w:eastAsia="Calibri" w:hAnsi="Times New Roman" w:cs="Times New Roman"/>
                <w:sz w:val="24"/>
                <w:szCs w:val="24"/>
              </w:rPr>
              <w:t>)</w:t>
            </w:r>
            <w:r>
              <w:rPr>
                <w:rFonts w:ascii="Times New Roman" w:eastAsia="Calibri" w:hAnsi="Times New Roman" w:cs="Times New Roman"/>
                <w:sz w:val="24"/>
                <w:szCs w:val="24"/>
              </w:rPr>
              <w:t>.</w:t>
            </w:r>
            <w:r w:rsidR="00FD0ACD">
              <w:rPr>
                <w:rFonts w:ascii="Times New Roman" w:eastAsia="Calibri" w:hAnsi="Times New Roman" w:cs="Times New Roman"/>
                <w:sz w:val="24"/>
                <w:szCs w:val="24"/>
              </w:rPr>
              <w:t xml:space="preserve"> </w:t>
            </w:r>
            <w:r w:rsidR="00DE7EC0">
              <w:rPr>
                <w:rFonts w:ascii="Times New Roman" w:eastAsia="Calibri" w:hAnsi="Times New Roman" w:cs="Times New Roman"/>
                <w:sz w:val="24"/>
                <w:szCs w:val="24"/>
              </w:rPr>
              <w:t xml:space="preserve">Norādītās </w:t>
            </w:r>
            <w:r w:rsidR="00746DDB">
              <w:rPr>
                <w:rFonts w:ascii="Times New Roman" w:eastAsia="Calibri" w:hAnsi="Times New Roman" w:cs="Times New Roman"/>
                <w:sz w:val="24"/>
                <w:szCs w:val="24"/>
              </w:rPr>
              <w:t xml:space="preserve">datu jomas tika izvēlētas, </w:t>
            </w:r>
            <w:r w:rsidR="006B2243">
              <w:rPr>
                <w:rFonts w:ascii="Times New Roman" w:eastAsia="Calibri" w:hAnsi="Times New Roman" w:cs="Times New Roman"/>
                <w:sz w:val="24"/>
                <w:szCs w:val="24"/>
              </w:rPr>
              <w:t xml:space="preserve">ņemot vērā </w:t>
            </w:r>
            <w:r w:rsidR="00746DDB">
              <w:rPr>
                <w:rFonts w:ascii="Times New Roman" w:eastAsia="Calibri" w:hAnsi="Times New Roman" w:cs="Times New Roman"/>
                <w:sz w:val="24"/>
                <w:szCs w:val="24"/>
              </w:rPr>
              <w:t xml:space="preserve">ekspertu vērtējumu </w:t>
            </w:r>
            <w:r w:rsidR="00584732">
              <w:rPr>
                <w:rFonts w:ascii="Times New Roman" w:eastAsia="Calibri" w:hAnsi="Times New Roman" w:cs="Times New Roman"/>
                <w:sz w:val="24"/>
                <w:szCs w:val="24"/>
              </w:rPr>
              <w:t xml:space="preserve">ar likumprojekta izstrādi saistītajās </w:t>
            </w:r>
            <w:r w:rsidR="00746DDB">
              <w:rPr>
                <w:rFonts w:ascii="Times New Roman" w:eastAsia="Calibri" w:hAnsi="Times New Roman" w:cs="Times New Roman"/>
                <w:sz w:val="24"/>
                <w:szCs w:val="24"/>
              </w:rPr>
              <w:t xml:space="preserve">starpinstitūciju </w:t>
            </w:r>
            <w:r w:rsidR="00584732">
              <w:rPr>
                <w:rFonts w:ascii="Times New Roman" w:eastAsia="Calibri" w:hAnsi="Times New Roman" w:cs="Times New Roman"/>
                <w:sz w:val="24"/>
                <w:szCs w:val="24"/>
              </w:rPr>
              <w:t xml:space="preserve">ekspertu </w:t>
            </w:r>
            <w:r w:rsidR="00746DDB">
              <w:rPr>
                <w:rFonts w:ascii="Times New Roman" w:eastAsia="Calibri" w:hAnsi="Times New Roman" w:cs="Times New Roman"/>
                <w:sz w:val="24"/>
                <w:szCs w:val="24"/>
              </w:rPr>
              <w:t>sanāksmēs par iespējām</w:t>
            </w:r>
            <w:r w:rsidR="00746DDB" w:rsidRPr="00271529">
              <w:rPr>
                <w:rFonts w:ascii="Times New Roman" w:hAnsi="Times New Roman" w:cs="Times New Roman"/>
                <w:sz w:val="24"/>
                <w:szCs w:val="24"/>
              </w:rPr>
              <w:t>, izstrādājot regulējumu, ap</w:t>
            </w:r>
            <w:r w:rsidR="005B76C5">
              <w:rPr>
                <w:rFonts w:ascii="Times New Roman" w:hAnsi="Times New Roman" w:cs="Times New Roman"/>
                <w:sz w:val="24"/>
                <w:szCs w:val="24"/>
              </w:rPr>
              <w:t xml:space="preserve">tvert arī personalizētus datus. </w:t>
            </w:r>
            <w:r w:rsidR="00B94B27" w:rsidRPr="00271529">
              <w:rPr>
                <w:rFonts w:ascii="Times New Roman" w:hAnsi="Times New Roman" w:cs="Times New Roman"/>
                <w:sz w:val="24"/>
                <w:szCs w:val="24"/>
              </w:rPr>
              <w:t xml:space="preserve">Pēc ekspertu sniegtā vērtējuma tiek rosināts noteikt ierobežojumus arī komersantiem, kuriem ir piekļuve vēlētāju personu datiem vēlēšanu organizēšanā un norisē un kuriem savas darbības nodrošināšanai un funkciju veikšanai ir nepieciešama tieša vai pastarpināta piekļuve kritiskās infrastruktūras (un valsts informāciju sistēmās) iekļautajiem Latvijas iedzīvotāju personu datu vai datu kopām tādā saturā un apjomā, kas var tikt izmantoti, lai radītu apdraudējumu nacionālajai drošībai un sabiedriskajai kārtībai. Datu kopu no valsts informācijas sistēmām, ieskaitot kritiskās infrastruktūras, nodošanu datu apstrādātājiem regulē nozares normatīvie akti un Vispārīgā datu aizsardzības regula, taču būtiski ir noteikt, </w:t>
            </w:r>
            <w:r w:rsidR="00B94B27">
              <w:rPr>
                <w:rFonts w:ascii="Times New Roman" w:hAnsi="Times New Roman" w:cs="Times New Roman"/>
                <w:sz w:val="24"/>
                <w:szCs w:val="24"/>
              </w:rPr>
              <w:t>ka</w:t>
            </w:r>
            <w:r w:rsidR="00B94B27" w:rsidRPr="00271529">
              <w:rPr>
                <w:rFonts w:ascii="Times New Roman" w:hAnsi="Times New Roman" w:cs="Times New Roman"/>
                <w:sz w:val="24"/>
                <w:szCs w:val="24"/>
              </w:rPr>
              <w:t xml:space="preserve"> kritiskās infrastruktūras (datu bāžu) tālākā aizsardzība ir jāskata ne tikai no Vispārīgās datu aizsardzības regulas </w:t>
            </w:r>
            <w:r w:rsidR="00B94B27" w:rsidRPr="00271529">
              <w:rPr>
                <w:rFonts w:ascii="Times New Roman" w:hAnsi="Times New Roman" w:cs="Times New Roman"/>
                <w:sz w:val="24"/>
                <w:szCs w:val="24"/>
              </w:rPr>
              <w:lastRenderedPageBreak/>
              <w:t>regulējuma, bet arī no nacionālās drošības viedokļa.</w:t>
            </w:r>
            <w:r w:rsidR="00B94B27">
              <w:t xml:space="preserve"> </w:t>
            </w:r>
            <w:r w:rsidR="00B94B27" w:rsidRPr="00271529">
              <w:rPr>
                <w:rFonts w:ascii="Times New Roman" w:hAnsi="Times New Roman" w:cs="Times New Roman"/>
                <w:sz w:val="24"/>
                <w:szCs w:val="24"/>
              </w:rPr>
              <w:t>Pilsonība</w:t>
            </w:r>
            <w:r w:rsidR="00B94B27">
              <w:rPr>
                <w:rFonts w:ascii="Times New Roman" w:hAnsi="Times New Roman" w:cs="Times New Roman"/>
                <w:sz w:val="24"/>
                <w:szCs w:val="24"/>
              </w:rPr>
              <w:t xml:space="preserve">s un migrācijas lietu pārvaldes </w:t>
            </w:r>
            <w:r w:rsidR="00584732">
              <w:rPr>
                <w:rFonts w:ascii="Times New Roman" w:hAnsi="Times New Roman" w:cs="Times New Roman"/>
                <w:sz w:val="24"/>
                <w:szCs w:val="24"/>
              </w:rPr>
              <w:t xml:space="preserve">ekspertu sanāksmēs </w:t>
            </w:r>
            <w:r w:rsidR="00CA269B">
              <w:rPr>
                <w:rFonts w:ascii="Times New Roman" w:hAnsi="Times New Roman" w:cs="Times New Roman"/>
                <w:sz w:val="24"/>
                <w:szCs w:val="24"/>
              </w:rPr>
              <w:t>par likumprojekta izstrādi s</w:t>
            </w:r>
            <w:r w:rsidR="00B94B27">
              <w:rPr>
                <w:rFonts w:ascii="Times New Roman" w:hAnsi="Times New Roman" w:cs="Times New Roman"/>
                <w:sz w:val="24"/>
                <w:szCs w:val="24"/>
              </w:rPr>
              <w:t xml:space="preserve">niegtā informācija liecina, ka </w:t>
            </w:r>
            <w:r w:rsidR="00B94B27" w:rsidRPr="00271529">
              <w:rPr>
                <w:rFonts w:ascii="Times New Roman" w:hAnsi="Times New Roman" w:cs="Times New Roman"/>
                <w:sz w:val="24"/>
                <w:szCs w:val="24"/>
              </w:rPr>
              <w:t xml:space="preserve">šāda veida regulējuma pieņemšana Pilsonības un migrācijas lietu pārvaldei turpmāk neradītu apgrūtinājumu turpmākajā sadarbībā ar komersantiem - tieši ar minēto regulējumu kā pamatojumu būtu vieglāk atteikt sadarbību </w:t>
            </w:r>
            <w:r w:rsidR="00B94B27" w:rsidRPr="00CA269B">
              <w:rPr>
                <w:rFonts w:ascii="Times New Roman" w:hAnsi="Times New Roman" w:cs="Times New Roman"/>
                <w:sz w:val="24"/>
                <w:szCs w:val="24"/>
              </w:rPr>
              <w:t>komersantam, kas neatbilstu kādām prasībām.</w:t>
            </w:r>
            <w:r w:rsidR="00D057D8" w:rsidRPr="00CA269B">
              <w:rPr>
                <w:rFonts w:ascii="Times New Roman" w:hAnsi="Times New Roman" w:cs="Times New Roman"/>
                <w:sz w:val="24"/>
                <w:szCs w:val="24"/>
              </w:rPr>
              <w:t xml:space="preserve"> Tādējādi</w:t>
            </w:r>
            <w:r w:rsidR="00D057D8" w:rsidRPr="00E8147C">
              <w:rPr>
                <w:rFonts w:ascii="Times New Roman" w:hAnsi="Times New Roman" w:cs="Times New Roman"/>
                <w:sz w:val="24"/>
                <w:szCs w:val="24"/>
              </w:rPr>
              <w:t xml:space="preserve"> </w:t>
            </w:r>
            <w:r w:rsidR="00CA269B" w:rsidRPr="00E8147C">
              <w:rPr>
                <w:rFonts w:ascii="Times New Roman" w:hAnsi="Times New Roman" w:cs="Times New Roman"/>
                <w:sz w:val="24"/>
                <w:szCs w:val="24"/>
              </w:rPr>
              <w:t>likumprojekta</w:t>
            </w:r>
            <w:r w:rsidR="00D057D8" w:rsidRPr="00CA269B">
              <w:rPr>
                <w:rFonts w:ascii="Times New Roman" w:hAnsi="Times New Roman" w:cs="Times New Roman"/>
                <w:sz w:val="24"/>
                <w:szCs w:val="24"/>
              </w:rPr>
              <w:t xml:space="preserve"> mērķis</w:t>
            </w:r>
            <w:r w:rsidR="00D057D8" w:rsidRPr="00D057D8">
              <w:rPr>
                <w:rFonts w:ascii="Times New Roman" w:hAnsi="Times New Roman" w:cs="Times New Roman"/>
                <w:sz w:val="24"/>
                <w:szCs w:val="24"/>
              </w:rPr>
              <w:t xml:space="preserve"> </w:t>
            </w:r>
            <w:r w:rsidR="00D057D8">
              <w:rPr>
                <w:rFonts w:ascii="Times New Roman" w:hAnsi="Times New Roman" w:cs="Times New Roman"/>
                <w:sz w:val="24"/>
                <w:szCs w:val="24"/>
              </w:rPr>
              <w:t>ir</w:t>
            </w:r>
            <w:r w:rsidR="00C40783">
              <w:rPr>
                <w:rFonts w:ascii="Times New Roman" w:hAnsi="Times New Roman" w:cs="Times New Roman"/>
                <w:sz w:val="24"/>
                <w:szCs w:val="24"/>
              </w:rPr>
              <w:t xml:space="preserve"> </w:t>
            </w:r>
            <w:r w:rsidR="00D057D8" w:rsidRPr="00D057D8">
              <w:rPr>
                <w:rFonts w:ascii="Times New Roman" w:hAnsi="Times New Roman" w:cs="Times New Roman"/>
                <w:sz w:val="24"/>
                <w:szCs w:val="24"/>
              </w:rPr>
              <w:t xml:space="preserve">pasargāt nacionālai drošībai svarīgus datus, kuriem ir daudzkārtējā ar normatīviem aktiem pamatota trešo pušu </w:t>
            </w:r>
            <w:r w:rsidR="00187232" w:rsidRPr="00D057D8">
              <w:rPr>
                <w:rFonts w:ascii="Times New Roman" w:hAnsi="Times New Roman" w:cs="Times New Roman"/>
                <w:sz w:val="24"/>
                <w:szCs w:val="24"/>
              </w:rPr>
              <w:t xml:space="preserve">tiešā </w:t>
            </w:r>
            <w:r w:rsidR="00D057D8" w:rsidRPr="00D057D8">
              <w:rPr>
                <w:rFonts w:ascii="Times New Roman" w:hAnsi="Times New Roman" w:cs="Times New Roman"/>
                <w:sz w:val="24"/>
                <w:szCs w:val="24"/>
              </w:rPr>
              <w:t xml:space="preserve">piekļuve (nevis </w:t>
            </w:r>
            <w:r w:rsidR="00187232">
              <w:rPr>
                <w:rFonts w:ascii="Times New Roman" w:hAnsi="Times New Roman" w:cs="Times New Roman"/>
                <w:sz w:val="24"/>
                <w:szCs w:val="24"/>
              </w:rPr>
              <w:t xml:space="preserve">vienreizējs pieprasījums) </w:t>
            </w:r>
            <w:r w:rsidR="00D057D8" w:rsidRPr="00D057D8">
              <w:rPr>
                <w:rFonts w:ascii="Times New Roman" w:hAnsi="Times New Roman" w:cs="Times New Roman"/>
                <w:sz w:val="24"/>
                <w:szCs w:val="24"/>
              </w:rPr>
              <w:t>datu bāzēm</w:t>
            </w:r>
            <w:r w:rsidR="00187232">
              <w:rPr>
                <w:rFonts w:ascii="Times New Roman" w:hAnsi="Times New Roman" w:cs="Times New Roman"/>
                <w:sz w:val="24"/>
                <w:szCs w:val="24"/>
              </w:rPr>
              <w:t xml:space="preserve">. </w:t>
            </w:r>
          </w:p>
          <w:p w14:paraId="11AF07A6" w14:textId="538D60DB" w:rsidR="00F57104" w:rsidRDefault="00F57104" w:rsidP="00F571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Ekonomikas ministrija atbilstoši </w:t>
            </w:r>
            <w:r w:rsidR="00CA269B" w:rsidRPr="00CA269B">
              <w:rPr>
                <w:rFonts w:ascii="Times New Roman" w:eastAsia="Calibri" w:hAnsi="Times New Roman" w:cs="Times New Roman"/>
                <w:sz w:val="24"/>
                <w:szCs w:val="24"/>
              </w:rPr>
              <w:t>Ministru kabineta 2017. gada 3. oktobra noteikumi</w:t>
            </w:r>
            <w:r w:rsidR="00CA269B">
              <w:rPr>
                <w:rFonts w:ascii="Times New Roman" w:eastAsia="Calibri" w:hAnsi="Times New Roman" w:cs="Times New Roman"/>
                <w:sz w:val="24"/>
                <w:szCs w:val="24"/>
              </w:rPr>
              <w:t>em</w:t>
            </w:r>
            <w:r w:rsidR="00CA269B" w:rsidRPr="00CA269B">
              <w:rPr>
                <w:rFonts w:ascii="Times New Roman" w:eastAsia="Calibri" w:hAnsi="Times New Roman" w:cs="Times New Roman"/>
                <w:sz w:val="24"/>
                <w:szCs w:val="24"/>
              </w:rPr>
              <w:t xml:space="preserve"> Nr.606 “Noteikumi par Nacionālās drošības likumā noteiktajai institūcijai iesniedzamo informāciju un darbībām ar informāciju par ārvalstu tiešajiem ieguldījumiem”</w:t>
            </w:r>
            <w:r w:rsidRPr="00510C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ir noteikta kā atbildīgā institūcija, </w:t>
            </w:r>
            <w:r w:rsidRPr="00510CD2">
              <w:rPr>
                <w:rFonts w:ascii="Times New Roman" w:eastAsia="Calibri" w:hAnsi="Times New Roman" w:cs="Times New Roman"/>
                <w:sz w:val="24"/>
                <w:szCs w:val="24"/>
              </w:rPr>
              <w:t>kur</w:t>
            </w:r>
            <w:r>
              <w:rPr>
                <w:rFonts w:ascii="Times New Roman" w:eastAsia="Calibri" w:hAnsi="Times New Roman" w:cs="Times New Roman"/>
                <w:sz w:val="24"/>
                <w:szCs w:val="24"/>
              </w:rPr>
              <w:t>ai</w:t>
            </w:r>
            <w:r w:rsidRPr="00510CD2">
              <w:rPr>
                <w:rFonts w:ascii="Times New Roman" w:eastAsia="Calibri" w:hAnsi="Times New Roman" w:cs="Times New Roman"/>
                <w:sz w:val="24"/>
                <w:szCs w:val="24"/>
              </w:rPr>
              <w:t xml:space="preserve"> iesniedzama informācija par</w:t>
            </w:r>
            <w:r>
              <w:rPr>
                <w:rFonts w:ascii="Times New Roman" w:eastAsia="Calibri" w:hAnsi="Times New Roman" w:cs="Times New Roman"/>
                <w:sz w:val="24"/>
                <w:szCs w:val="24"/>
              </w:rPr>
              <w:t xml:space="preserve"> nacionālajai drošībai nozīmīgām komercsabiedrībām</w:t>
            </w:r>
            <w:r w:rsidR="00CA26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10CD2">
              <w:rPr>
                <w:rFonts w:ascii="Times New Roman" w:eastAsia="Calibri" w:hAnsi="Times New Roman" w:cs="Times New Roman"/>
                <w:sz w:val="24"/>
                <w:szCs w:val="24"/>
              </w:rPr>
              <w:t>pieteikum</w:t>
            </w:r>
            <w:r>
              <w:rPr>
                <w:rFonts w:ascii="Times New Roman" w:eastAsia="Calibri" w:hAnsi="Times New Roman" w:cs="Times New Roman"/>
                <w:sz w:val="24"/>
                <w:szCs w:val="24"/>
              </w:rPr>
              <w:t>i</w:t>
            </w:r>
            <w:r w:rsidRPr="00510CD2">
              <w:rPr>
                <w:rFonts w:ascii="Times New Roman" w:eastAsia="Calibri" w:hAnsi="Times New Roman" w:cs="Times New Roman"/>
                <w:sz w:val="24"/>
                <w:szCs w:val="24"/>
              </w:rPr>
              <w:t xml:space="preserve"> Ministru kabineta atļaujas saņemšanai</w:t>
            </w:r>
            <w:r>
              <w:rPr>
                <w:rFonts w:ascii="Times New Roman" w:eastAsia="Calibri" w:hAnsi="Times New Roman" w:cs="Times New Roman"/>
                <w:sz w:val="24"/>
                <w:szCs w:val="24"/>
              </w:rPr>
              <w:t xml:space="preserve">, atbilstoši </w:t>
            </w:r>
            <w:r w:rsidR="00CA269B">
              <w:rPr>
                <w:rFonts w:ascii="Times New Roman" w:eastAsia="Calibri" w:hAnsi="Times New Roman" w:cs="Times New Roman"/>
                <w:sz w:val="24"/>
                <w:szCs w:val="24"/>
              </w:rPr>
              <w:t>likumprojektam ir jānodod Ekonomikas ministrijai</w:t>
            </w:r>
            <w:r>
              <w:rPr>
                <w:rFonts w:ascii="Times New Roman" w:eastAsia="Calibri" w:hAnsi="Times New Roman" w:cs="Times New Roman"/>
                <w:sz w:val="24"/>
                <w:szCs w:val="24"/>
              </w:rPr>
              <w:t xml:space="preserve">. Tādējādi </w:t>
            </w:r>
            <w:r w:rsidR="00CA269B">
              <w:rPr>
                <w:rFonts w:ascii="Times New Roman" w:eastAsia="Calibri" w:hAnsi="Times New Roman" w:cs="Times New Roman"/>
                <w:sz w:val="24"/>
                <w:szCs w:val="24"/>
              </w:rPr>
              <w:t xml:space="preserve">Ekonomikas ministrijā </w:t>
            </w:r>
            <w:r>
              <w:rPr>
                <w:rFonts w:ascii="Times New Roman" w:eastAsia="Calibri" w:hAnsi="Times New Roman" w:cs="Times New Roman"/>
                <w:sz w:val="24"/>
                <w:szCs w:val="24"/>
              </w:rPr>
              <w:t xml:space="preserve">informāciju par komercsabiedrībām, biedrībām un nodibinājumiem, kuru īpašumā vai valdījumā atrodas kritiskā infrastruktūra, </w:t>
            </w:r>
            <w:r w:rsidR="00CD59DD">
              <w:rPr>
                <w:rFonts w:ascii="Times New Roman" w:eastAsia="Calibri" w:hAnsi="Times New Roman" w:cs="Times New Roman"/>
                <w:sz w:val="24"/>
                <w:szCs w:val="24"/>
              </w:rPr>
              <w:t xml:space="preserve">ir jāiesniedz </w:t>
            </w:r>
            <w:r>
              <w:rPr>
                <w:rFonts w:ascii="Times New Roman" w:eastAsia="Calibri" w:hAnsi="Times New Roman" w:cs="Times New Roman"/>
                <w:sz w:val="24"/>
                <w:szCs w:val="24"/>
              </w:rPr>
              <w:t>Iekšlietu ministrija</w:t>
            </w:r>
            <w:r w:rsidR="00CD59DD">
              <w:rPr>
                <w:rFonts w:ascii="Times New Roman" w:eastAsia="Calibri" w:hAnsi="Times New Roman" w:cs="Times New Roman"/>
                <w:sz w:val="24"/>
                <w:szCs w:val="24"/>
              </w:rPr>
              <w:t>i</w:t>
            </w:r>
            <w:r>
              <w:rPr>
                <w:rFonts w:ascii="Times New Roman" w:eastAsia="Calibri" w:hAnsi="Times New Roman" w:cs="Times New Roman"/>
                <w:sz w:val="24"/>
                <w:szCs w:val="24"/>
              </w:rPr>
              <w:t xml:space="preserve">, informāciju par 37. panta </w:t>
            </w:r>
            <w:r w:rsidR="00C3027E">
              <w:rPr>
                <w:rFonts w:ascii="Times New Roman" w:eastAsia="Calibri" w:hAnsi="Times New Roman" w:cs="Times New Roman"/>
                <w:sz w:val="24"/>
                <w:szCs w:val="24"/>
              </w:rPr>
              <w:t>7</w:t>
            </w:r>
            <w:r>
              <w:rPr>
                <w:rFonts w:ascii="Times New Roman" w:eastAsia="Calibri" w:hAnsi="Times New Roman" w:cs="Times New Roman"/>
                <w:sz w:val="24"/>
                <w:szCs w:val="24"/>
              </w:rPr>
              <w:t xml:space="preserve">. punktā </w:t>
            </w:r>
            <w:r w:rsidR="00CD59DD">
              <w:rPr>
                <w:rFonts w:ascii="Times New Roman" w:eastAsia="Calibri" w:hAnsi="Times New Roman" w:cs="Times New Roman"/>
                <w:sz w:val="24"/>
                <w:szCs w:val="24"/>
              </w:rPr>
              <w:t xml:space="preserve">noradītajiem </w:t>
            </w:r>
            <w:r>
              <w:rPr>
                <w:rFonts w:ascii="Times New Roman" w:eastAsia="Calibri" w:hAnsi="Times New Roman" w:cs="Times New Roman"/>
                <w:sz w:val="24"/>
                <w:szCs w:val="24"/>
              </w:rPr>
              <w:t xml:space="preserve">ražotājiem un izstrādātajiem </w:t>
            </w:r>
            <w:r w:rsidR="00CD59DD">
              <w:rPr>
                <w:rFonts w:ascii="Times New Roman" w:eastAsia="Calibri" w:hAnsi="Times New Roman" w:cs="Times New Roman"/>
                <w:sz w:val="24"/>
                <w:szCs w:val="24"/>
              </w:rPr>
              <w:t xml:space="preserve">ir jāiesniedz </w:t>
            </w:r>
            <w:r>
              <w:rPr>
                <w:rFonts w:ascii="Times New Roman" w:eastAsia="Calibri" w:hAnsi="Times New Roman" w:cs="Times New Roman"/>
                <w:sz w:val="24"/>
                <w:szCs w:val="24"/>
              </w:rPr>
              <w:t>Ārlietu ministrija</w:t>
            </w:r>
            <w:r w:rsidR="00CD59DD">
              <w:rPr>
                <w:rFonts w:ascii="Times New Roman" w:eastAsia="Calibri" w:hAnsi="Times New Roman" w:cs="Times New Roman"/>
                <w:sz w:val="24"/>
                <w:szCs w:val="24"/>
              </w:rPr>
              <w:t>i</w:t>
            </w:r>
            <w:r>
              <w:rPr>
                <w:rFonts w:ascii="Times New Roman" w:eastAsia="Calibri" w:hAnsi="Times New Roman" w:cs="Times New Roman"/>
                <w:sz w:val="24"/>
                <w:szCs w:val="24"/>
              </w:rPr>
              <w:t xml:space="preserve">, par </w:t>
            </w:r>
            <w:r w:rsidR="00C3027E">
              <w:rPr>
                <w:rFonts w:ascii="Times New Roman" w:eastAsia="Calibri" w:hAnsi="Times New Roman" w:cs="Times New Roman"/>
                <w:sz w:val="24"/>
                <w:szCs w:val="24"/>
              </w:rPr>
              <w:t>8</w:t>
            </w:r>
            <w:r>
              <w:rPr>
                <w:rFonts w:ascii="Times New Roman" w:eastAsia="Calibri" w:hAnsi="Times New Roman" w:cs="Times New Roman"/>
                <w:sz w:val="24"/>
                <w:szCs w:val="24"/>
              </w:rPr>
              <w:t xml:space="preserve">. punktu </w:t>
            </w:r>
            <w:r w:rsidR="00400F69">
              <w:rPr>
                <w:rFonts w:ascii="Times New Roman" w:eastAsia="Calibri" w:hAnsi="Times New Roman" w:cs="Times New Roman"/>
                <w:sz w:val="24"/>
                <w:szCs w:val="24"/>
              </w:rPr>
              <w:t>–</w:t>
            </w:r>
            <w:r>
              <w:rPr>
                <w:rFonts w:ascii="Times New Roman" w:eastAsia="Calibri" w:hAnsi="Times New Roman" w:cs="Times New Roman"/>
                <w:sz w:val="24"/>
                <w:szCs w:val="24"/>
              </w:rPr>
              <w:t xml:space="preserve"> Centrāl</w:t>
            </w:r>
            <w:r w:rsidR="00CD59DD">
              <w:rPr>
                <w:rFonts w:ascii="Times New Roman" w:eastAsia="Calibri" w:hAnsi="Times New Roman" w:cs="Times New Roman"/>
                <w:sz w:val="24"/>
                <w:szCs w:val="24"/>
              </w:rPr>
              <w:t>ajai</w:t>
            </w:r>
            <w:r w:rsidR="00400F69">
              <w:rPr>
                <w:rFonts w:ascii="Times New Roman" w:eastAsia="Calibri" w:hAnsi="Times New Roman" w:cs="Times New Roman"/>
                <w:sz w:val="24"/>
                <w:szCs w:val="24"/>
              </w:rPr>
              <w:t xml:space="preserve"> </w:t>
            </w:r>
            <w:r>
              <w:rPr>
                <w:rFonts w:ascii="Times New Roman" w:eastAsia="Calibri" w:hAnsi="Times New Roman" w:cs="Times New Roman"/>
                <w:sz w:val="24"/>
                <w:szCs w:val="24"/>
              </w:rPr>
              <w:t>vēlēšanu komisija</w:t>
            </w:r>
            <w:r w:rsidR="00CD59DD">
              <w:rPr>
                <w:rFonts w:ascii="Times New Roman" w:eastAsia="Calibri" w:hAnsi="Times New Roman" w:cs="Times New Roman"/>
                <w:sz w:val="24"/>
                <w:szCs w:val="24"/>
              </w:rPr>
              <w:t>i</w:t>
            </w:r>
            <w:r w:rsidR="00400F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00400F69">
              <w:rPr>
                <w:rFonts w:ascii="Times New Roman" w:eastAsia="Calibri" w:hAnsi="Times New Roman" w:cs="Times New Roman"/>
                <w:sz w:val="24"/>
                <w:szCs w:val="24"/>
              </w:rPr>
              <w:t>Iekšlietu</w:t>
            </w:r>
            <w:r>
              <w:rPr>
                <w:rFonts w:ascii="Times New Roman" w:eastAsia="Calibri" w:hAnsi="Times New Roman" w:cs="Times New Roman"/>
                <w:sz w:val="24"/>
                <w:szCs w:val="24"/>
              </w:rPr>
              <w:t xml:space="preserve"> ministrija</w:t>
            </w:r>
            <w:r w:rsidR="00CD59DD">
              <w:rPr>
                <w:rFonts w:ascii="Times New Roman" w:eastAsia="Calibri" w:hAnsi="Times New Roman" w:cs="Times New Roman"/>
                <w:sz w:val="24"/>
                <w:szCs w:val="24"/>
              </w:rPr>
              <w:t>i</w:t>
            </w:r>
            <w:r>
              <w:rPr>
                <w:rFonts w:ascii="Times New Roman" w:eastAsia="Calibri" w:hAnsi="Times New Roman" w:cs="Times New Roman"/>
                <w:sz w:val="24"/>
                <w:szCs w:val="24"/>
              </w:rPr>
              <w:t xml:space="preserve"> (Pilsonības un migrācijas lietu pārvalde), par </w:t>
            </w:r>
            <w:r w:rsidR="00C3027E">
              <w:rPr>
                <w:rFonts w:ascii="Times New Roman" w:eastAsia="Calibri" w:hAnsi="Times New Roman" w:cs="Times New Roman"/>
                <w:sz w:val="24"/>
                <w:szCs w:val="24"/>
              </w:rPr>
              <w:t>9</w:t>
            </w:r>
            <w:r>
              <w:rPr>
                <w:rFonts w:ascii="Times New Roman" w:eastAsia="Calibri" w:hAnsi="Times New Roman" w:cs="Times New Roman"/>
                <w:sz w:val="24"/>
                <w:szCs w:val="24"/>
              </w:rPr>
              <w:t>. punktu –</w:t>
            </w:r>
            <w:r w:rsidR="00F04E38">
              <w:rPr>
                <w:rFonts w:ascii="Times New Roman" w:eastAsia="Calibri" w:hAnsi="Times New Roman" w:cs="Times New Roman"/>
                <w:sz w:val="24"/>
                <w:szCs w:val="24"/>
              </w:rPr>
              <w:t xml:space="preserve"> Satversmes aizsardzības biroj</w:t>
            </w:r>
            <w:r w:rsidR="00CD59DD">
              <w:rPr>
                <w:rFonts w:ascii="Times New Roman" w:eastAsia="Calibri" w:hAnsi="Times New Roman" w:cs="Times New Roman"/>
                <w:sz w:val="24"/>
                <w:szCs w:val="24"/>
              </w:rPr>
              <w:t>am</w:t>
            </w:r>
            <w:r w:rsidR="00741B22">
              <w:rPr>
                <w:rFonts w:ascii="Times New Roman" w:eastAsia="Calibri" w:hAnsi="Times New Roman" w:cs="Times New Roman"/>
                <w:sz w:val="24"/>
                <w:szCs w:val="24"/>
              </w:rPr>
              <w:t xml:space="preserve">, par </w:t>
            </w:r>
            <w:r w:rsidR="005B76C5">
              <w:rPr>
                <w:rFonts w:ascii="Times New Roman" w:eastAsia="Calibri" w:hAnsi="Times New Roman" w:cs="Times New Roman"/>
                <w:sz w:val="24"/>
                <w:szCs w:val="24"/>
              </w:rPr>
              <w:t>10</w:t>
            </w:r>
            <w:r w:rsidR="00741B22">
              <w:rPr>
                <w:rFonts w:ascii="Times New Roman" w:eastAsia="Calibri" w:hAnsi="Times New Roman" w:cs="Times New Roman"/>
                <w:sz w:val="24"/>
                <w:szCs w:val="24"/>
              </w:rPr>
              <w:t>.</w:t>
            </w:r>
            <w:r w:rsidR="00741B22">
              <w:t> </w:t>
            </w:r>
            <w:r w:rsidR="00741B22" w:rsidRPr="00741B22">
              <w:rPr>
                <w:rFonts w:ascii="Times New Roman" w:eastAsia="Calibri" w:hAnsi="Times New Roman" w:cs="Times New Roman"/>
                <w:sz w:val="24"/>
                <w:szCs w:val="24"/>
              </w:rPr>
              <w:t>punktu – valsts drošības iestād</w:t>
            </w:r>
            <w:r w:rsidR="00CD59DD">
              <w:rPr>
                <w:rFonts w:ascii="Times New Roman" w:eastAsia="Calibri" w:hAnsi="Times New Roman" w:cs="Times New Roman"/>
                <w:sz w:val="24"/>
                <w:szCs w:val="24"/>
              </w:rPr>
              <w:t>ēm</w:t>
            </w:r>
            <w:r w:rsidR="00741B22" w:rsidRPr="00741B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01534DD" w14:textId="28BB9998" w:rsidR="00F57104" w:rsidRDefault="00F57104" w:rsidP="00F571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w:t>
            </w:r>
            <w:r w:rsidRPr="00903348">
              <w:rPr>
                <w:rFonts w:ascii="Times New Roman" w:eastAsia="Calibri" w:hAnsi="Times New Roman" w:cs="Times New Roman"/>
                <w:sz w:val="24"/>
                <w:szCs w:val="24"/>
              </w:rPr>
              <w:t>ievērojami pieaugtu valsts drošības iestāžu darb</w:t>
            </w:r>
            <w:r w:rsidR="00FC47E1">
              <w:rPr>
                <w:rFonts w:ascii="Times New Roman" w:eastAsia="Calibri" w:hAnsi="Times New Roman" w:cs="Times New Roman"/>
                <w:sz w:val="24"/>
                <w:szCs w:val="24"/>
              </w:rPr>
              <w:t>a apjoms</w:t>
            </w:r>
            <w:r w:rsidRPr="00903348">
              <w:rPr>
                <w:rFonts w:ascii="Times New Roman" w:eastAsia="Calibri" w:hAnsi="Times New Roman" w:cs="Times New Roman"/>
                <w:sz w:val="24"/>
                <w:szCs w:val="24"/>
              </w:rPr>
              <w:t>, kas būtu saistīts ar ār</w:t>
            </w:r>
            <w:r>
              <w:rPr>
                <w:rFonts w:ascii="Times New Roman" w:eastAsia="Calibri" w:hAnsi="Times New Roman" w:cs="Times New Roman"/>
                <w:sz w:val="24"/>
                <w:szCs w:val="24"/>
              </w:rPr>
              <w:t xml:space="preserve">valstu ieguldījumu izvērtējumu, </w:t>
            </w:r>
            <w:r w:rsidRPr="00903348">
              <w:rPr>
                <w:rFonts w:ascii="Times New Roman" w:eastAsia="Calibri" w:hAnsi="Times New Roman" w:cs="Times New Roman"/>
                <w:sz w:val="24"/>
                <w:szCs w:val="24"/>
              </w:rPr>
              <w:t xml:space="preserve">var trūkt </w:t>
            </w:r>
            <w:r>
              <w:rPr>
                <w:rFonts w:ascii="Times New Roman" w:eastAsia="Calibri" w:hAnsi="Times New Roman" w:cs="Times New Roman"/>
                <w:sz w:val="24"/>
                <w:szCs w:val="24"/>
              </w:rPr>
              <w:t xml:space="preserve">to </w:t>
            </w:r>
            <w:r w:rsidRPr="00903348">
              <w:rPr>
                <w:rFonts w:ascii="Times New Roman" w:eastAsia="Calibri" w:hAnsi="Times New Roman" w:cs="Times New Roman"/>
                <w:sz w:val="24"/>
                <w:szCs w:val="24"/>
              </w:rPr>
              <w:t>resurs</w:t>
            </w:r>
            <w:r>
              <w:rPr>
                <w:rFonts w:ascii="Times New Roman" w:eastAsia="Calibri" w:hAnsi="Times New Roman" w:cs="Times New Roman"/>
                <w:sz w:val="24"/>
                <w:szCs w:val="24"/>
              </w:rPr>
              <w:t>i</w:t>
            </w:r>
            <w:r w:rsidRPr="00903348">
              <w:rPr>
                <w:rFonts w:ascii="Times New Roman" w:eastAsia="Calibri" w:hAnsi="Times New Roman" w:cs="Times New Roman"/>
                <w:sz w:val="24"/>
                <w:szCs w:val="24"/>
              </w:rPr>
              <w:t xml:space="preserve"> informācijas izvērtēšanai tās noteiktā apjoma dēļ, </w:t>
            </w:r>
            <w:r w:rsidR="006211FB">
              <w:rPr>
                <w:rFonts w:ascii="Times New Roman" w:eastAsia="Calibri" w:hAnsi="Times New Roman" w:cs="Times New Roman"/>
                <w:sz w:val="24"/>
                <w:szCs w:val="24"/>
              </w:rPr>
              <w:t xml:space="preserve">un </w:t>
            </w:r>
            <w:r w:rsidRPr="00903348">
              <w:rPr>
                <w:rFonts w:ascii="Times New Roman" w:eastAsia="Calibri" w:hAnsi="Times New Roman" w:cs="Times New Roman"/>
                <w:sz w:val="24"/>
                <w:szCs w:val="24"/>
              </w:rPr>
              <w:t>būtu nepieciešams lemt par papildu resursu piesaisti un nodrošināšanu</w:t>
            </w:r>
            <w:r>
              <w:rPr>
                <w:rFonts w:ascii="Times New Roman" w:eastAsia="Calibri" w:hAnsi="Times New Roman" w:cs="Times New Roman"/>
                <w:sz w:val="24"/>
                <w:szCs w:val="24"/>
              </w:rPr>
              <w:t>.</w:t>
            </w:r>
          </w:p>
          <w:p w14:paraId="2899FECD" w14:textId="039EAF41" w:rsidR="00C40783" w:rsidRDefault="00A03F2E" w:rsidP="00F57104">
            <w:pPr>
              <w:jc w:val="both"/>
              <w:rPr>
                <w:rFonts w:ascii="Times New Roman" w:eastAsia="Calibri" w:hAnsi="Times New Roman" w:cs="Times New Roman"/>
                <w:sz w:val="24"/>
                <w:szCs w:val="24"/>
              </w:rPr>
            </w:pPr>
            <w:r w:rsidRPr="00A03F2E">
              <w:rPr>
                <w:rFonts w:ascii="Times New Roman" w:hAnsi="Times New Roman" w:cs="Times New Roman"/>
                <w:sz w:val="24"/>
                <w:szCs w:val="24"/>
              </w:rPr>
              <w:t xml:space="preserve">Arī no </w:t>
            </w:r>
            <w:r>
              <w:rPr>
                <w:rFonts w:ascii="Times New Roman" w:hAnsi="Times New Roman" w:cs="Times New Roman"/>
                <w:sz w:val="24"/>
                <w:szCs w:val="24"/>
              </w:rPr>
              <w:t>ASV</w:t>
            </w:r>
            <w:r w:rsidRPr="00A03F2E">
              <w:rPr>
                <w:rFonts w:ascii="Times New Roman" w:hAnsi="Times New Roman" w:cs="Times New Roman"/>
                <w:sz w:val="24"/>
                <w:szCs w:val="24"/>
              </w:rPr>
              <w:t xml:space="preserve"> puses tiek uzsvērta nepieciešamība rūpīgi izvērtēt ārvalstu tiešo investīciju ieplūšanu valsts ekonomikā. ASV Valsts kases departamenta (FinCEN jeb Finanšu noziegumu apkarošanas institūcijas) sekretāra palīgs </w:t>
            </w:r>
            <w:r w:rsidRPr="00E8147C">
              <w:rPr>
                <w:rFonts w:ascii="Times New Roman" w:hAnsi="Times New Roman" w:cs="Times New Roman"/>
                <w:i/>
                <w:sz w:val="24"/>
                <w:szCs w:val="24"/>
              </w:rPr>
              <w:t>Thomas P. Feddo</w:t>
            </w:r>
            <w:r w:rsidRPr="00A03F2E">
              <w:rPr>
                <w:rFonts w:ascii="Times New Roman" w:hAnsi="Times New Roman" w:cs="Times New Roman"/>
                <w:sz w:val="24"/>
                <w:szCs w:val="24"/>
              </w:rPr>
              <w:t xml:space="preserve"> Ekonomikas </w:t>
            </w:r>
            <w:r w:rsidRPr="00A03F2E">
              <w:rPr>
                <w:rFonts w:ascii="Times New Roman" w:hAnsi="Times New Roman" w:cs="Times New Roman"/>
                <w:sz w:val="24"/>
                <w:szCs w:val="24"/>
              </w:rPr>
              <w:lastRenderedPageBreak/>
              <w:t xml:space="preserve">ministrijai adresētā vēstulē </w:t>
            </w:r>
            <w:r>
              <w:rPr>
                <w:rFonts w:ascii="Times New Roman" w:hAnsi="Times New Roman" w:cs="Times New Roman"/>
                <w:sz w:val="24"/>
                <w:szCs w:val="24"/>
              </w:rPr>
              <w:t xml:space="preserve">ir </w:t>
            </w:r>
            <w:r w:rsidRPr="00A03F2E">
              <w:rPr>
                <w:rFonts w:ascii="Times New Roman" w:hAnsi="Times New Roman" w:cs="Times New Roman"/>
                <w:sz w:val="24"/>
                <w:szCs w:val="24"/>
              </w:rPr>
              <w:t>akcentē</w:t>
            </w:r>
            <w:r>
              <w:rPr>
                <w:rFonts w:ascii="Times New Roman" w:hAnsi="Times New Roman" w:cs="Times New Roman"/>
                <w:sz w:val="24"/>
                <w:szCs w:val="24"/>
              </w:rPr>
              <w:t>jis</w:t>
            </w:r>
            <w:r w:rsidRPr="00A03F2E">
              <w:rPr>
                <w:rFonts w:ascii="Times New Roman" w:hAnsi="Times New Roman" w:cs="Times New Roman"/>
                <w:sz w:val="24"/>
                <w:szCs w:val="24"/>
              </w:rPr>
              <w:t xml:space="preserve"> modrības nepieciešamību ārvalstu tiešo investīciju pārbaudē pēc COVID-19 pandēmijas.</w:t>
            </w:r>
            <w:r>
              <w:rPr>
                <w:rFonts w:ascii="Times New Roman" w:hAnsi="Times New Roman" w:cs="Times New Roman"/>
                <w:sz w:val="24"/>
                <w:szCs w:val="24"/>
              </w:rPr>
              <w:t xml:space="preserve"> Daudziem </w:t>
            </w:r>
            <w:r w:rsidR="00F57104" w:rsidRPr="00052B09">
              <w:rPr>
                <w:rFonts w:ascii="Times New Roman" w:hAnsi="Times New Roman" w:cs="Times New Roman"/>
                <w:sz w:val="24"/>
                <w:szCs w:val="24"/>
              </w:rPr>
              <w:t xml:space="preserve">uzņēmumiem, īpaši saistībā ar kritisko infrastruktūru un pakalpojumiem, </w:t>
            </w:r>
            <w:r>
              <w:rPr>
                <w:rFonts w:ascii="Times New Roman" w:hAnsi="Times New Roman" w:cs="Times New Roman"/>
                <w:sz w:val="24"/>
                <w:szCs w:val="24"/>
              </w:rPr>
              <w:t xml:space="preserve">visā pasaulē </w:t>
            </w:r>
            <w:r w:rsidR="00F57104" w:rsidRPr="00052B09">
              <w:rPr>
                <w:rFonts w:ascii="Times New Roman" w:hAnsi="Times New Roman" w:cs="Times New Roman"/>
                <w:sz w:val="24"/>
                <w:szCs w:val="24"/>
              </w:rPr>
              <w:t>ir nepieciešams būtisks kapitāls, ko savā labā var izmantot stratēģiskie konkurenti. Labdabīga brīvā kapitāla plūsma ir ļoti svarīga, lai ātri atgūtos</w:t>
            </w:r>
            <w:r>
              <w:rPr>
                <w:rFonts w:ascii="Times New Roman" w:hAnsi="Times New Roman" w:cs="Times New Roman"/>
                <w:sz w:val="24"/>
                <w:szCs w:val="24"/>
              </w:rPr>
              <w:t xml:space="preserve"> no ekonomiku negatīvi ietekmējošām krīzēm</w:t>
            </w:r>
            <w:r w:rsidR="00F57104" w:rsidRPr="00052B09">
              <w:rPr>
                <w:rFonts w:ascii="Times New Roman" w:hAnsi="Times New Roman" w:cs="Times New Roman"/>
                <w:sz w:val="24"/>
                <w:szCs w:val="24"/>
              </w:rPr>
              <w:t xml:space="preserve"> un atsāktu virzību uz spēcīgu un ilgtspējīgu ekonomikas izaugsmi. Ārvalstu tiešās investīcijas, lai arī ir būtisks elements pasaules ekonomikas restartēšanai, var radīt noteiktus riskus nacionālajai drošībai, tādējādi ir būtiski ieviest atbilstošu un pastiprinātu </w:t>
            </w:r>
            <w:r>
              <w:rPr>
                <w:rFonts w:ascii="Times New Roman" w:hAnsi="Times New Roman" w:cs="Times New Roman"/>
                <w:sz w:val="24"/>
                <w:szCs w:val="24"/>
              </w:rPr>
              <w:t xml:space="preserve">ar </w:t>
            </w:r>
            <w:r w:rsidRPr="00052B09">
              <w:rPr>
                <w:rFonts w:ascii="Times New Roman" w:hAnsi="Times New Roman" w:cs="Times New Roman"/>
                <w:sz w:val="24"/>
                <w:szCs w:val="24"/>
              </w:rPr>
              <w:t>nacionāl</w:t>
            </w:r>
            <w:r>
              <w:rPr>
                <w:rFonts w:ascii="Times New Roman" w:hAnsi="Times New Roman" w:cs="Times New Roman"/>
                <w:sz w:val="24"/>
                <w:szCs w:val="24"/>
              </w:rPr>
              <w:t>o</w:t>
            </w:r>
            <w:r w:rsidRPr="00052B09">
              <w:rPr>
                <w:rFonts w:ascii="Times New Roman" w:hAnsi="Times New Roman" w:cs="Times New Roman"/>
                <w:sz w:val="24"/>
                <w:szCs w:val="24"/>
              </w:rPr>
              <w:t xml:space="preserve"> drošīb</w:t>
            </w:r>
            <w:r>
              <w:rPr>
                <w:rFonts w:ascii="Times New Roman" w:hAnsi="Times New Roman" w:cs="Times New Roman"/>
                <w:sz w:val="24"/>
                <w:szCs w:val="24"/>
              </w:rPr>
              <w:t>u saistītu normatīvo aktu</w:t>
            </w:r>
            <w:r w:rsidRPr="00052B09">
              <w:rPr>
                <w:rFonts w:ascii="Times New Roman" w:hAnsi="Times New Roman" w:cs="Times New Roman"/>
                <w:sz w:val="24"/>
                <w:szCs w:val="24"/>
              </w:rPr>
              <w:t xml:space="preserve"> </w:t>
            </w:r>
            <w:r w:rsidR="00F57104" w:rsidRPr="00052B09">
              <w:rPr>
                <w:rFonts w:ascii="Times New Roman" w:hAnsi="Times New Roman" w:cs="Times New Roman"/>
                <w:sz w:val="24"/>
                <w:szCs w:val="24"/>
              </w:rPr>
              <w:t>regulējumu ārvalstu tiešo ieguldījumu izvērtēšanai.</w:t>
            </w:r>
            <w:r w:rsidR="00F57104">
              <w:rPr>
                <w:rFonts w:ascii="Times New Roman" w:hAnsi="Times New Roman" w:cs="Times New Roman"/>
                <w:sz w:val="24"/>
                <w:szCs w:val="24"/>
              </w:rPr>
              <w:t xml:space="preserve"> </w:t>
            </w:r>
            <w:r w:rsidR="00F57104" w:rsidRPr="00052B09">
              <w:rPr>
                <w:rFonts w:ascii="Times New Roman" w:eastAsia="Calibri" w:hAnsi="Times New Roman" w:cs="Times New Roman"/>
                <w:sz w:val="24"/>
                <w:szCs w:val="24"/>
              </w:rPr>
              <w:t xml:space="preserve">ASV Valsts kases departaments </w:t>
            </w:r>
            <w:r>
              <w:rPr>
                <w:rFonts w:ascii="Times New Roman" w:eastAsia="Calibri" w:hAnsi="Times New Roman" w:cs="Times New Roman"/>
                <w:sz w:val="24"/>
                <w:szCs w:val="24"/>
              </w:rPr>
              <w:t xml:space="preserve">minētajā vēstulē </w:t>
            </w:r>
            <w:r w:rsidR="00F57104" w:rsidRPr="00052B09">
              <w:rPr>
                <w:rFonts w:ascii="Times New Roman" w:eastAsia="Calibri" w:hAnsi="Times New Roman" w:cs="Times New Roman"/>
                <w:sz w:val="24"/>
                <w:szCs w:val="24"/>
              </w:rPr>
              <w:t>iesaka izvērtēšanas mehānismu veidot ar pietiekamiem resursiem, lai identificētu aizdomīgus darījumus, fokusējoties uz valsts drošības noturību un apzinot iespējamos riskus</w:t>
            </w:r>
            <w:r>
              <w:rPr>
                <w:rFonts w:ascii="Times New Roman" w:eastAsia="Calibri" w:hAnsi="Times New Roman" w:cs="Times New Roman"/>
                <w:sz w:val="24"/>
                <w:szCs w:val="24"/>
              </w:rPr>
              <w:t>, kas var kaitēt nacionālajai drošībai</w:t>
            </w:r>
            <w:r w:rsidR="00F57104" w:rsidRPr="00052B09">
              <w:rPr>
                <w:rFonts w:ascii="Times New Roman" w:eastAsia="Calibri" w:hAnsi="Times New Roman" w:cs="Times New Roman"/>
                <w:sz w:val="24"/>
                <w:szCs w:val="24"/>
              </w:rPr>
              <w:t>. Piemēram, ASV, ieviešot Ārvalstu ieguldījumu riska pārskatīšanas modernizācijas aktu (</w:t>
            </w:r>
            <w:r w:rsidR="00F57104" w:rsidRPr="00052B09">
              <w:rPr>
                <w:rFonts w:ascii="Times New Roman" w:eastAsia="Calibri" w:hAnsi="Times New Roman" w:cs="Times New Roman"/>
                <w:i/>
                <w:sz w:val="24"/>
                <w:szCs w:val="24"/>
              </w:rPr>
              <w:t>Foreign Investment Risk Review Modernization Act of 2018</w:t>
            </w:r>
            <w:r w:rsidR="00F57104" w:rsidRPr="00052B09">
              <w:rPr>
                <w:rFonts w:ascii="Times New Roman" w:eastAsia="Calibri" w:hAnsi="Times New Roman" w:cs="Times New Roman"/>
                <w:sz w:val="24"/>
                <w:szCs w:val="24"/>
              </w:rPr>
              <w:t xml:space="preserve">), to rūpīgi koriģēja, lai novērstu jaunos un mainīgos valsts drošības riskus, vienlaikus pastiprinot ASV atvērto ieguldījumu politiku. Tāpat ASV nesen </w:t>
            </w:r>
            <w:r>
              <w:rPr>
                <w:rFonts w:ascii="Times New Roman" w:eastAsia="Calibri" w:hAnsi="Times New Roman" w:cs="Times New Roman"/>
                <w:sz w:val="24"/>
                <w:szCs w:val="24"/>
              </w:rPr>
              <w:t>izstrādāja</w:t>
            </w:r>
            <w:r w:rsidRPr="00052B09">
              <w:rPr>
                <w:rFonts w:ascii="Times New Roman" w:eastAsia="Calibri" w:hAnsi="Times New Roman" w:cs="Times New Roman"/>
                <w:sz w:val="24"/>
                <w:szCs w:val="24"/>
              </w:rPr>
              <w:t xml:space="preserve"> </w:t>
            </w:r>
            <w:r w:rsidR="00F57104" w:rsidRPr="00052B09">
              <w:rPr>
                <w:rFonts w:ascii="Times New Roman" w:eastAsia="Calibri" w:hAnsi="Times New Roman" w:cs="Times New Roman"/>
                <w:sz w:val="24"/>
                <w:szCs w:val="24"/>
              </w:rPr>
              <w:t>likumprojektu (</w:t>
            </w:r>
            <w:r w:rsidR="00F57104" w:rsidRPr="00052B09">
              <w:rPr>
                <w:rFonts w:ascii="Times New Roman" w:eastAsia="Calibri" w:hAnsi="Times New Roman" w:cs="Times New Roman"/>
                <w:i/>
                <w:sz w:val="24"/>
                <w:szCs w:val="24"/>
              </w:rPr>
              <w:t>Restricting Predatory Acquisition During COVID-19 Act</w:t>
            </w:r>
            <w:r w:rsidR="00F57104" w:rsidRPr="00052B09">
              <w:rPr>
                <w:rFonts w:ascii="Times New Roman" w:eastAsia="Calibri" w:hAnsi="Times New Roman" w:cs="Times New Roman"/>
                <w:sz w:val="24"/>
                <w:szCs w:val="24"/>
              </w:rPr>
              <w:t>), kas paredzēts, lai cīnītos pret Ķīnas vēlmi iegādāties un pārņemt tos amerikāņu uzņēmumus, kas Covid-19 izraisītās ekonomiskās lejupslīdes dēļ ir novājināti – ar likumprojekta palīdzību tiktu paplašināts potenciālo iegādes darījumu skaits, kurus izskata ASV Ārvalstu ieguldījumu komiteja un apstiprina tās priekšsēdētājs, jo tieši šī komiteja ir atbildīga par ārvalstu investīciju izvērtējumu ASV uzņēmumos un to iespējamo sasaisti ar nacionālās drošības riskiem</w:t>
            </w:r>
            <w:r w:rsidR="00F57104" w:rsidRPr="00052B09">
              <w:rPr>
                <w:rFonts w:ascii="Times New Roman" w:eastAsia="Calibri" w:hAnsi="Times New Roman" w:cs="Times New Roman"/>
                <w:sz w:val="24"/>
                <w:szCs w:val="24"/>
                <w:vertAlign w:val="superscript"/>
              </w:rPr>
              <w:footnoteReference w:id="9"/>
            </w:r>
            <w:r w:rsidR="00F57104" w:rsidRPr="00052B09">
              <w:rPr>
                <w:rFonts w:ascii="Times New Roman" w:eastAsia="Calibri" w:hAnsi="Times New Roman" w:cs="Times New Roman"/>
                <w:sz w:val="24"/>
                <w:szCs w:val="24"/>
              </w:rPr>
              <w:t>. Turklāt tiesību akts liegtu uzņēmumiem, kas ir saistīti ar Ķīnas valdību, iegūt vairāk nekā 51% akciju noteiktos ASV uzņēmumos, kas ietver kritisko infrastruktūru.</w:t>
            </w:r>
            <w:r w:rsidR="00F57104">
              <w:rPr>
                <w:rFonts w:ascii="Times New Roman" w:eastAsia="Calibri" w:hAnsi="Times New Roman" w:cs="Times New Roman"/>
                <w:sz w:val="24"/>
                <w:szCs w:val="24"/>
              </w:rPr>
              <w:t xml:space="preserve"> </w:t>
            </w:r>
            <w:r w:rsidR="00F67C10">
              <w:rPr>
                <w:rFonts w:ascii="Times New Roman" w:eastAsia="Calibri" w:hAnsi="Times New Roman" w:cs="Times New Roman"/>
                <w:sz w:val="24"/>
                <w:szCs w:val="24"/>
              </w:rPr>
              <w:t xml:space="preserve">Līdzīga prakse saistībā ar </w:t>
            </w:r>
            <w:r w:rsidR="00F67C10" w:rsidRPr="00F67C10">
              <w:rPr>
                <w:rFonts w:ascii="Times New Roman" w:eastAsia="Calibri" w:hAnsi="Times New Roman" w:cs="Times New Roman"/>
                <w:sz w:val="24"/>
                <w:szCs w:val="24"/>
              </w:rPr>
              <w:t>citu valstu inves</w:t>
            </w:r>
            <w:r w:rsidR="00F67C10">
              <w:rPr>
                <w:rFonts w:ascii="Times New Roman" w:eastAsia="Calibri" w:hAnsi="Times New Roman" w:cs="Times New Roman"/>
                <w:sz w:val="24"/>
                <w:szCs w:val="24"/>
              </w:rPr>
              <w:t>tīciju izvērtēšanas regulējumu pastāv arī Eiropā, piemēram, Francijā</w:t>
            </w:r>
            <w:r w:rsidR="00F67C10">
              <w:t xml:space="preserve"> </w:t>
            </w:r>
            <w:r w:rsidR="00F67C10">
              <w:rPr>
                <w:rFonts w:ascii="Times New Roman" w:eastAsia="Calibri" w:hAnsi="Times New Roman" w:cs="Times New Roman"/>
                <w:sz w:val="24"/>
                <w:szCs w:val="24"/>
              </w:rPr>
              <w:t>i</w:t>
            </w:r>
            <w:r w:rsidR="00F67C10" w:rsidRPr="00F67C10">
              <w:rPr>
                <w:rFonts w:ascii="Times New Roman" w:eastAsia="Calibri" w:hAnsi="Times New Roman" w:cs="Times New Roman"/>
                <w:sz w:val="24"/>
                <w:szCs w:val="24"/>
              </w:rPr>
              <w:t>espēja, ka atļauja ārvalstu investīcijām tiek izsniegta ar nosacījumiem, ir minēta Monetārā un finanšu kodeksa panta L151-3 otrajā daļā (“</w:t>
            </w:r>
            <w:r w:rsidR="00F67C10" w:rsidRPr="00F67C10">
              <w:rPr>
                <w:rFonts w:ascii="Times New Roman" w:eastAsia="Calibri" w:hAnsi="Times New Roman" w:cs="Times New Roman"/>
                <w:i/>
                <w:sz w:val="24"/>
                <w:szCs w:val="24"/>
              </w:rPr>
              <w:t xml:space="preserve">Code monétaire et </w:t>
            </w:r>
            <w:r w:rsidR="00F67C10" w:rsidRPr="00F67C10">
              <w:rPr>
                <w:rFonts w:ascii="Times New Roman" w:eastAsia="Calibri" w:hAnsi="Times New Roman" w:cs="Times New Roman"/>
                <w:i/>
                <w:sz w:val="24"/>
                <w:szCs w:val="24"/>
              </w:rPr>
              <w:lastRenderedPageBreak/>
              <w:t>financier”, II de l’ Article L151-3</w:t>
            </w:r>
            <w:r w:rsidR="00F67C10">
              <w:rPr>
                <w:rStyle w:val="FootnoteReference"/>
                <w:rFonts w:ascii="Times New Roman" w:eastAsia="Calibri" w:hAnsi="Times New Roman" w:cs="Times New Roman"/>
                <w:sz w:val="24"/>
                <w:szCs w:val="24"/>
              </w:rPr>
              <w:footnoteReference w:id="10"/>
            </w:r>
            <w:r w:rsidR="00F67C10">
              <w:rPr>
                <w:rFonts w:ascii="Times New Roman" w:eastAsia="Calibri" w:hAnsi="Times New Roman" w:cs="Times New Roman"/>
                <w:sz w:val="24"/>
                <w:szCs w:val="24"/>
              </w:rPr>
              <w:t>), n</w:t>
            </w:r>
            <w:r w:rsidR="00F67C10" w:rsidRPr="00F67C10">
              <w:rPr>
                <w:rFonts w:ascii="Times New Roman" w:eastAsia="Calibri" w:hAnsi="Times New Roman" w:cs="Times New Roman"/>
                <w:sz w:val="24"/>
                <w:szCs w:val="24"/>
              </w:rPr>
              <w:t>osacījumi</w:t>
            </w:r>
            <w:r w:rsidR="00F67C10">
              <w:rPr>
                <w:rFonts w:ascii="Times New Roman" w:eastAsia="Calibri" w:hAnsi="Times New Roman" w:cs="Times New Roman"/>
                <w:sz w:val="24"/>
                <w:szCs w:val="24"/>
              </w:rPr>
              <w:t>, kas</w:t>
            </w:r>
            <w:r w:rsidR="00F67C10" w:rsidRPr="00F67C10">
              <w:rPr>
                <w:rFonts w:ascii="Times New Roman" w:eastAsia="Calibri" w:hAnsi="Times New Roman" w:cs="Times New Roman"/>
                <w:sz w:val="24"/>
                <w:szCs w:val="24"/>
              </w:rPr>
              <w:t xml:space="preserve"> </w:t>
            </w:r>
            <w:r w:rsidR="00F67C10">
              <w:rPr>
                <w:rFonts w:ascii="Times New Roman" w:eastAsia="Calibri" w:hAnsi="Times New Roman" w:cs="Times New Roman"/>
                <w:sz w:val="24"/>
                <w:szCs w:val="24"/>
              </w:rPr>
              <w:t xml:space="preserve">ir ietverti </w:t>
            </w:r>
            <w:r w:rsidR="00F67C10" w:rsidRPr="00F67C10">
              <w:rPr>
                <w:rFonts w:ascii="Times New Roman" w:eastAsia="Calibri" w:hAnsi="Times New Roman" w:cs="Times New Roman"/>
                <w:sz w:val="24"/>
                <w:szCs w:val="24"/>
              </w:rPr>
              <w:t>2019. gada 31. decembra dekrēta Nr. 2019-1590 par ārvalstu investīcijām Francijā panta R. 151-8. pirmajā daļā (</w:t>
            </w:r>
            <w:r w:rsidR="00F67C10" w:rsidRPr="00F67C10">
              <w:rPr>
                <w:rFonts w:ascii="Times New Roman" w:eastAsia="Calibri" w:hAnsi="Times New Roman" w:cs="Times New Roman"/>
                <w:i/>
                <w:sz w:val="24"/>
                <w:szCs w:val="24"/>
              </w:rPr>
              <w:t>Décret n° 2019-1590 du 31 décembre 2019 relatif aux investissements étrangers en France, I de l’article  R. 151-8</w:t>
            </w:r>
            <w:r w:rsidR="00F67C10">
              <w:rPr>
                <w:rStyle w:val="FootnoteReference"/>
                <w:rFonts w:ascii="Times New Roman" w:eastAsia="Calibri" w:hAnsi="Times New Roman" w:cs="Times New Roman"/>
                <w:sz w:val="24"/>
                <w:szCs w:val="24"/>
              </w:rPr>
              <w:footnoteReference w:id="11"/>
            </w:r>
            <w:r w:rsidR="00F67C10">
              <w:rPr>
                <w:rFonts w:ascii="Times New Roman" w:eastAsia="Calibri" w:hAnsi="Times New Roman" w:cs="Times New Roman"/>
                <w:sz w:val="24"/>
                <w:szCs w:val="24"/>
              </w:rPr>
              <w:t>) nodrošina</w:t>
            </w:r>
            <w:r w:rsidR="00F67C10" w:rsidRPr="00F67C10">
              <w:rPr>
                <w:rFonts w:ascii="Times New Roman" w:eastAsia="Calibri" w:hAnsi="Times New Roman" w:cs="Times New Roman"/>
                <w:sz w:val="24"/>
                <w:szCs w:val="24"/>
              </w:rPr>
              <w:t xml:space="preserve"> stratēģisko aktivitāšu  Francijas teritorijā drošību un kontinuitāti, it īpaši nodrošinot, ka šīs aktivitātes nekļūst par trešās valsts normatīvā regulējuma subjektu</w:t>
            </w:r>
            <w:r w:rsidR="00F67C10">
              <w:rPr>
                <w:rFonts w:ascii="Times New Roman" w:eastAsia="Calibri" w:hAnsi="Times New Roman" w:cs="Times New Roman"/>
                <w:sz w:val="24"/>
                <w:szCs w:val="24"/>
              </w:rPr>
              <w:t xml:space="preserve">; </w:t>
            </w:r>
            <w:r w:rsidR="00F67C10" w:rsidRPr="00F67C10">
              <w:rPr>
                <w:rFonts w:ascii="Times New Roman" w:eastAsia="Calibri" w:hAnsi="Times New Roman" w:cs="Times New Roman"/>
                <w:sz w:val="24"/>
                <w:szCs w:val="24"/>
              </w:rPr>
              <w:t xml:space="preserve">garantē Francijas ‘investīciju mērķa organizācijas’  zināšanu un </w:t>
            </w:r>
            <w:r w:rsidR="00F67C10" w:rsidRPr="00F67C10">
              <w:rPr>
                <w:rFonts w:ascii="Times New Roman" w:eastAsia="Calibri" w:hAnsi="Times New Roman" w:cs="Times New Roman"/>
                <w:i/>
                <w:sz w:val="24"/>
                <w:szCs w:val="24"/>
              </w:rPr>
              <w:t xml:space="preserve">know-how </w:t>
            </w:r>
            <w:r w:rsidR="00F67C10" w:rsidRPr="00F67C10">
              <w:rPr>
                <w:rFonts w:ascii="Times New Roman" w:eastAsia="Calibri" w:hAnsi="Times New Roman" w:cs="Times New Roman"/>
                <w:sz w:val="24"/>
                <w:szCs w:val="24"/>
              </w:rPr>
              <w:t>drošību un novērš to piesavināšanos</w:t>
            </w:r>
            <w:r w:rsidR="00F67C10">
              <w:rPr>
                <w:rFonts w:ascii="Times New Roman" w:eastAsia="Calibri" w:hAnsi="Times New Roman" w:cs="Times New Roman"/>
                <w:sz w:val="24"/>
                <w:szCs w:val="24"/>
              </w:rPr>
              <w:t xml:space="preserve">, kā arī </w:t>
            </w:r>
            <w:r w:rsidR="00F67C10" w:rsidRPr="00F67C10">
              <w:rPr>
                <w:rFonts w:ascii="Times New Roman" w:eastAsia="Calibri" w:hAnsi="Times New Roman" w:cs="Times New Roman"/>
                <w:sz w:val="24"/>
                <w:szCs w:val="24"/>
              </w:rPr>
              <w:t>nosaka principus, saskaņā ar kuriem investors un ‘investīciju mērķa organizācija’ sniedz informāciju uzraugošajām franču institūcijām</w:t>
            </w:r>
            <w:r w:rsidR="00F67C10">
              <w:rPr>
                <w:rFonts w:ascii="Times New Roman" w:eastAsia="Calibri" w:hAnsi="Times New Roman" w:cs="Times New Roman"/>
                <w:sz w:val="24"/>
                <w:szCs w:val="24"/>
              </w:rPr>
              <w:t xml:space="preserve">. Savukārt Dānijā, attiecībā uz </w:t>
            </w:r>
            <w:r w:rsidR="00F67C10" w:rsidRPr="00F67C10">
              <w:rPr>
                <w:rFonts w:ascii="Times New Roman" w:eastAsia="Calibri" w:hAnsi="Times New Roman" w:cs="Times New Roman"/>
                <w:sz w:val="24"/>
                <w:szCs w:val="24"/>
              </w:rPr>
              <w:t>ražošanu militārajām vajadzībām</w:t>
            </w:r>
            <w:r w:rsidR="00F67C10">
              <w:rPr>
                <w:rFonts w:ascii="Times New Roman" w:eastAsia="Calibri" w:hAnsi="Times New Roman" w:cs="Times New Roman"/>
                <w:sz w:val="24"/>
                <w:szCs w:val="24"/>
              </w:rPr>
              <w:t xml:space="preserve">, </w:t>
            </w:r>
            <w:r w:rsidR="00F67C10" w:rsidRPr="00F67C10">
              <w:rPr>
                <w:rFonts w:ascii="Times New Roman" w:eastAsia="Calibri" w:hAnsi="Times New Roman" w:cs="Times New Roman"/>
                <w:sz w:val="24"/>
                <w:szCs w:val="24"/>
              </w:rPr>
              <w:t xml:space="preserve">papildu atļauja ir vajadzīga, ja ārzemnieks iegādājas vai vada šādu uzņēmējdarbību; šāda uzņēmuma </w:t>
            </w:r>
            <w:r w:rsidR="00F67C10">
              <w:rPr>
                <w:rFonts w:ascii="Times New Roman" w:eastAsia="Calibri" w:hAnsi="Times New Roman" w:cs="Times New Roman"/>
                <w:sz w:val="24"/>
                <w:szCs w:val="24"/>
              </w:rPr>
              <w:t>juridiskā adrese</w:t>
            </w:r>
            <w:r w:rsidR="00F67C10" w:rsidRPr="00F67C10">
              <w:rPr>
                <w:rFonts w:ascii="Times New Roman" w:eastAsia="Calibri" w:hAnsi="Times New Roman" w:cs="Times New Roman"/>
                <w:sz w:val="24"/>
                <w:szCs w:val="24"/>
              </w:rPr>
              <w:t xml:space="preserve"> ir ārpus Dānijas, vairāk nekā 20% uzņēmuma valdes locekļu ir ārvalstnieki; ārzemniekiem pieder vairāk nekā 40% no pamatkapitāla; ārzemniekiem ir kontroles ietekme pār šādu uzņēmumu; vai uzņēmums saņem </w:t>
            </w:r>
            <w:r w:rsidR="00F67C10" w:rsidRPr="00C40783">
              <w:rPr>
                <w:rFonts w:ascii="Times New Roman" w:eastAsia="Calibri" w:hAnsi="Times New Roman" w:cs="Times New Roman"/>
                <w:sz w:val="24"/>
                <w:szCs w:val="24"/>
              </w:rPr>
              <w:t>aizdevumu no ārzemnieka vai ārvalstu garantētā aizdevuma</w:t>
            </w:r>
            <w:r w:rsidR="00F67C10" w:rsidRPr="00C40783">
              <w:rPr>
                <w:rStyle w:val="FootnoteReference"/>
                <w:rFonts w:ascii="Times New Roman" w:eastAsia="Calibri" w:hAnsi="Times New Roman" w:cs="Times New Roman"/>
                <w:sz w:val="24"/>
                <w:szCs w:val="24"/>
              </w:rPr>
              <w:footnoteReference w:id="12"/>
            </w:r>
            <w:r w:rsidR="00F67C10" w:rsidRPr="00C40783">
              <w:rPr>
                <w:rFonts w:ascii="Times New Roman" w:eastAsia="Calibri" w:hAnsi="Times New Roman" w:cs="Times New Roman"/>
                <w:sz w:val="24"/>
                <w:szCs w:val="24"/>
              </w:rPr>
              <w:t xml:space="preserve">. </w:t>
            </w:r>
            <w:r w:rsidR="00C40783" w:rsidRPr="00C40783">
              <w:rPr>
                <w:rFonts w:ascii="Times New Roman" w:eastAsia="Calibri" w:hAnsi="Times New Roman" w:cs="Times New Roman"/>
                <w:sz w:val="24"/>
                <w:szCs w:val="24"/>
              </w:rPr>
              <w:t>Ārvalstu tiešais ieguldījums ir process, kurā kādas valsts rezidents iegūst savā īpašumā kādas citas valsts uzņēmuma aktīvus, ar mērķi iegūt zināmu kontroli uzņēmumā, piedalīties tā pārvaldē. Starptautiskais Valūtas fonds ārvalstu tiešos ieguldījumus definē kā starptautisko investīciju veidu, kur kādas valsts ekonomikas rezidentam ir mērķis iegūt ilgstošu dalību uzņēmumā, kas ir rezidents kādas citas valsts ekonomikā. Ilgstoša dalība nozīmē, ka pastāv ilgtermiņa attiecības starp investoru un uzņēmumu, kā arī to, ka investoram ir nozīmīga ietekme uzņēmuma vadībā.</w:t>
            </w:r>
            <w:r w:rsidR="00C40783" w:rsidRPr="00C40783">
              <w:rPr>
                <w:rFonts w:ascii="Times New Roman" w:eastAsia="Calibri" w:hAnsi="Times New Roman" w:cs="Times New Roman"/>
                <w:sz w:val="24"/>
                <w:szCs w:val="24"/>
                <w:vertAlign w:val="superscript"/>
              </w:rPr>
              <w:footnoteReference w:id="13"/>
            </w:r>
            <w:r w:rsidR="00C40783" w:rsidRPr="00C40783">
              <w:rPr>
                <w:rFonts w:ascii="Times New Roman" w:eastAsia="Calibri" w:hAnsi="Times New Roman" w:cs="Times New Roman"/>
                <w:sz w:val="24"/>
                <w:szCs w:val="24"/>
              </w:rPr>
              <w:t xml:space="preserve"> Tādēļ ārvalstu tiešo ieguldījumu izvērtēšanas veikšana</w:t>
            </w:r>
            <w:r w:rsidR="00C40783">
              <w:rPr>
                <w:rFonts w:ascii="Times New Roman" w:eastAsia="Calibri" w:hAnsi="Times New Roman" w:cs="Times New Roman"/>
                <w:sz w:val="24"/>
                <w:szCs w:val="24"/>
              </w:rPr>
              <w:t xml:space="preserve"> ir būtiska attiecībā uz nacionālajai drošībai nozīmīgām juridiskām personām, jo tās skar jomas, kas ir svarīgas nacionālajai drošībai</w:t>
            </w:r>
            <w:r w:rsidR="003651D5">
              <w:rPr>
                <w:rFonts w:ascii="Times New Roman" w:eastAsia="Calibri" w:hAnsi="Times New Roman" w:cs="Times New Roman"/>
                <w:sz w:val="24"/>
                <w:szCs w:val="24"/>
              </w:rPr>
              <w:t>, valsts un sabiedrības aizsardzībai.</w:t>
            </w:r>
            <w:r w:rsidR="00910DEA">
              <w:rPr>
                <w:rFonts w:ascii="Times New Roman" w:eastAsia="Calibri" w:hAnsi="Times New Roman" w:cs="Times New Roman"/>
                <w:sz w:val="24"/>
                <w:szCs w:val="24"/>
              </w:rPr>
              <w:t xml:space="preserve"> Piemēram, Austrijā Ieguldījumu kontroles likums paredz, ka ir jāsaņem federālā digitalizācijas un biznesa ministra atļauja ārvalstu tiešajiem ieguldījumiem, ja uzņēmums, kas vēlas saņemt attiecīgo ieguldījumu, darbojas kādā no likuma </w:t>
            </w:r>
            <w:r w:rsidR="00910DEA">
              <w:rPr>
                <w:rFonts w:ascii="Times New Roman" w:eastAsia="Calibri" w:hAnsi="Times New Roman" w:cs="Times New Roman"/>
                <w:sz w:val="24"/>
                <w:szCs w:val="24"/>
              </w:rPr>
              <w:lastRenderedPageBreak/>
              <w:t>pielikumā uzskaitītajām jomām, par piemēru minot kritisko infrastruktūru, informācijas tehnoloģijas u.c.</w:t>
            </w:r>
            <w:r w:rsidR="00910DEA">
              <w:rPr>
                <w:rStyle w:val="FootnoteReference"/>
                <w:rFonts w:ascii="Times New Roman" w:eastAsia="Calibri" w:hAnsi="Times New Roman" w:cs="Times New Roman"/>
                <w:sz w:val="24"/>
                <w:szCs w:val="24"/>
              </w:rPr>
              <w:footnoteReference w:id="14"/>
            </w:r>
          </w:p>
          <w:p w14:paraId="36D0CC79" w14:textId="46E4FC0C" w:rsidR="00F57104" w:rsidRDefault="00E27A6C" w:rsidP="00F57104">
            <w:pPr>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w:t>
            </w:r>
            <w:r w:rsidR="003A4CE9">
              <w:rPr>
                <w:rFonts w:ascii="Times New Roman" w:eastAsia="Calibri" w:hAnsi="Times New Roman" w:cs="Times New Roman"/>
                <w:sz w:val="24"/>
                <w:szCs w:val="24"/>
              </w:rPr>
              <w:t xml:space="preserve"> arī </w:t>
            </w:r>
            <w:r w:rsidR="00F67C10">
              <w:rPr>
                <w:rFonts w:ascii="Times New Roman" w:eastAsia="Calibri" w:hAnsi="Times New Roman" w:cs="Times New Roman"/>
                <w:sz w:val="24"/>
                <w:szCs w:val="24"/>
              </w:rPr>
              <w:t xml:space="preserve">ārvalstu praksi un </w:t>
            </w:r>
            <w:r w:rsidR="00A03F2E">
              <w:rPr>
                <w:rFonts w:ascii="Times New Roman" w:eastAsia="Calibri" w:hAnsi="Times New Roman" w:cs="Times New Roman"/>
                <w:sz w:val="24"/>
                <w:szCs w:val="24"/>
              </w:rPr>
              <w:t xml:space="preserve">pastāvošos riskus </w:t>
            </w:r>
            <w:r w:rsidR="00F67C10">
              <w:rPr>
                <w:rFonts w:ascii="Times New Roman" w:eastAsia="Calibri" w:hAnsi="Times New Roman" w:cs="Times New Roman"/>
                <w:sz w:val="24"/>
                <w:szCs w:val="24"/>
              </w:rPr>
              <w:t>nacionālajai drošībai</w:t>
            </w:r>
            <w:r w:rsidR="00FD0ACD">
              <w:rPr>
                <w:rFonts w:ascii="Times New Roman" w:eastAsia="Calibri" w:hAnsi="Times New Roman" w:cs="Times New Roman"/>
                <w:sz w:val="24"/>
                <w:szCs w:val="24"/>
              </w:rPr>
              <w:t xml:space="preserve"> saistībā ar ārvalstu tiešo investīciju ietekmi</w:t>
            </w:r>
            <w:r w:rsidR="00F67C10">
              <w:rPr>
                <w:rFonts w:ascii="Times New Roman" w:eastAsia="Calibri" w:hAnsi="Times New Roman" w:cs="Times New Roman"/>
                <w:sz w:val="24"/>
                <w:szCs w:val="24"/>
              </w:rPr>
              <w:t xml:space="preserve">, </w:t>
            </w:r>
            <w:r w:rsidR="00F3757E">
              <w:rPr>
                <w:rFonts w:ascii="Times New Roman" w:eastAsia="Calibri" w:hAnsi="Times New Roman" w:cs="Times New Roman"/>
                <w:sz w:val="24"/>
                <w:szCs w:val="24"/>
              </w:rPr>
              <w:t xml:space="preserve">arī likumā tiek rosināts ieviest </w:t>
            </w:r>
            <w:r w:rsidR="003A4CE9">
              <w:rPr>
                <w:rFonts w:ascii="Times New Roman" w:eastAsia="Calibri" w:hAnsi="Times New Roman" w:cs="Times New Roman"/>
                <w:sz w:val="24"/>
                <w:szCs w:val="24"/>
              </w:rPr>
              <w:t xml:space="preserve">izmaiņas </w:t>
            </w:r>
            <w:r w:rsidR="00F3757E">
              <w:rPr>
                <w:rFonts w:ascii="Times New Roman" w:eastAsia="Calibri" w:hAnsi="Times New Roman" w:cs="Times New Roman"/>
                <w:sz w:val="24"/>
                <w:szCs w:val="24"/>
              </w:rPr>
              <w:t xml:space="preserve">grozījumus attiecībā uz </w:t>
            </w:r>
            <w:r w:rsidR="00F3757E" w:rsidRPr="00F3757E">
              <w:rPr>
                <w:rFonts w:ascii="Times New Roman" w:eastAsia="Calibri" w:hAnsi="Times New Roman" w:cs="Times New Roman"/>
                <w:sz w:val="24"/>
                <w:szCs w:val="24"/>
              </w:rPr>
              <w:t>nozīmīgu ārvalstu tiešo ieguldījumu</w:t>
            </w:r>
            <w:r w:rsidR="0015573D">
              <w:rPr>
                <w:rFonts w:ascii="Times New Roman" w:eastAsia="Calibri" w:hAnsi="Times New Roman" w:cs="Times New Roman"/>
                <w:sz w:val="24"/>
                <w:szCs w:val="24"/>
              </w:rPr>
              <w:t>, proti, aizdevumu,</w:t>
            </w:r>
            <w:r w:rsidR="00F3757E">
              <w:rPr>
                <w:rFonts w:ascii="Times New Roman" w:eastAsia="Calibri" w:hAnsi="Times New Roman" w:cs="Times New Roman"/>
                <w:sz w:val="24"/>
                <w:szCs w:val="24"/>
              </w:rPr>
              <w:t xml:space="preserve"> saņemšanu nacionālajai drošībai nozīmīgām juridiskām personām un </w:t>
            </w:r>
            <w:r w:rsidR="00F3757E" w:rsidRPr="00F3757E">
              <w:rPr>
                <w:rFonts w:ascii="Times New Roman" w:eastAsia="Calibri" w:hAnsi="Times New Roman" w:cs="Times New Roman"/>
                <w:sz w:val="24"/>
                <w:szCs w:val="24"/>
              </w:rPr>
              <w:t>parādsaistībām kā kontroles formu</w:t>
            </w:r>
            <w:r w:rsidR="00F3757E">
              <w:rPr>
                <w:rFonts w:ascii="Times New Roman" w:eastAsia="Calibri" w:hAnsi="Times New Roman" w:cs="Times New Roman"/>
                <w:sz w:val="24"/>
                <w:szCs w:val="24"/>
              </w:rPr>
              <w:t>.</w:t>
            </w:r>
          </w:p>
          <w:p w14:paraId="73BC18F5" w14:textId="62E49218" w:rsidR="00F3757E" w:rsidRPr="00746DDB" w:rsidRDefault="001A0B38">
            <w:pPr>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precizējumiem</w:t>
            </w:r>
            <w:r w:rsidR="00001B02">
              <w:rPr>
                <w:rFonts w:ascii="Times New Roman" w:eastAsia="Calibri" w:hAnsi="Times New Roman" w:cs="Times New Roman"/>
                <w:sz w:val="24"/>
                <w:szCs w:val="24"/>
              </w:rPr>
              <w:t>, kas pie nacionālai drošībai nozīmīgām komercsabiedrībām iekļauj arī biedrības un nodibinājumus, 38. pants tiek papildināts atbilstoši</w:t>
            </w:r>
            <w:r>
              <w:rPr>
                <w:rFonts w:ascii="Times New Roman" w:eastAsia="Calibri" w:hAnsi="Times New Roman" w:cs="Times New Roman"/>
                <w:sz w:val="24"/>
                <w:szCs w:val="24"/>
              </w:rPr>
              <w:t xml:space="preserve"> norādītajam, </w:t>
            </w:r>
            <w:r w:rsidR="00E8147C">
              <w:rPr>
                <w:rFonts w:ascii="Times New Roman" w:eastAsia="Calibri" w:hAnsi="Times New Roman" w:cs="Times New Roman"/>
                <w:sz w:val="24"/>
                <w:szCs w:val="24"/>
              </w:rPr>
              <w:t>vienlaikus to</w:t>
            </w:r>
            <w:r>
              <w:rPr>
                <w:rFonts w:ascii="Times New Roman" w:eastAsia="Calibri" w:hAnsi="Times New Roman" w:cs="Times New Roman"/>
                <w:sz w:val="24"/>
                <w:szCs w:val="24"/>
              </w:rPr>
              <w:t xml:space="preserve"> </w:t>
            </w:r>
            <w:r w:rsidR="00001B02">
              <w:rPr>
                <w:rFonts w:ascii="Times New Roman" w:eastAsia="Calibri" w:hAnsi="Times New Roman" w:cs="Times New Roman"/>
                <w:sz w:val="24"/>
                <w:szCs w:val="24"/>
              </w:rPr>
              <w:t>papildin</w:t>
            </w:r>
            <w:r>
              <w:rPr>
                <w:rFonts w:ascii="Times New Roman" w:eastAsia="Calibri" w:hAnsi="Times New Roman" w:cs="Times New Roman"/>
                <w:sz w:val="24"/>
                <w:szCs w:val="24"/>
              </w:rPr>
              <w:t>ot</w:t>
            </w:r>
            <w:r w:rsidR="00001B02">
              <w:rPr>
                <w:rFonts w:ascii="Times New Roman" w:eastAsia="Calibri" w:hAnsi="Times New Roman" w:cs="Times New Roman"/>
                <w:sz w:val="24"/>
                <w:szCs w:val="24"/>
              </w:rPr>
              <w:t xml:space="preserve"> ar nosacījumu, ka Ministru kabinets var</w:t>
            </w:r>
            <w:r w:rsidR="00F57104">
              <w:rPr>
                <w:rFonts w:ascii="Times New Roman" w:eastAsia="Calibri" w:hAnsi="Times New Roman" w:cs="Times New Roman"/>
                <w:sz w:val="24"/>
                <w:szCs w:val="24"/>
              </w:rPr>
              <w:t xml:space="preserve"> lemt par atļauju</w:t>
            </w:r>
            <w:r w:rsidR="00F57104">
              <w:t xml:space="preserve"> </w:t>
            </w:r>
            <w:r w:rsidR="00F57104" w:rsidRPr="00F57104">
              <w:rPr>
                <w:rFonts w:ascii="Times New Roman" w:eastAsia="Calibri" w:hAnsi="Times New Roman" w:cs="Times New Roman"/>
                <w:sz w:val="24"/>
                <w:szCs w:val="24"/>
              </w:rPr>
              <w:t xml:space="preserve">nozīmīgu ārvalstu tiešo </w:t>
            </w:r>
            <w:r w:rsidR="00C3027E">
              <w:rPr>
                <w:rFonts w:ascii="Times New Roman" w:eastAsia="Calibri" w:hAnsi="Times New Roman" w:cs="Times New Roman"/>
                <w:sz w:val="24"/>
                <w:szCs w:val="24"/>
              </w:rPr>
              <w:t>aizdevumu</w:t>
            </w:r>
            <w:r w:rsidR="00F57104" w:rsidRPr="00F57104">
              <w:rPr>
                <w:rFonts w:ascii="Times New Roman" w:eastAsia="Calibri" w:hAnsi="Times New Roman" w:cs="Times New Roman"/>
                <w:sz w:val="24"/>
                <w:szCs w:val="24"/>
              </w:rPr>
              <w:t xml:space="preserve"> saņemšana</w:t>
            </w:r>
            <w:r w:rsidR="00F57104">
              <w:rPr>
                <w:rFonts w:ascii="Times New Roman" w:eastAsia="Calibri" w:hAnsi="Times New Roman" w:cs="Times New Roman"/>
                <w:sz w:val="24"/>
                <w:szCs w:val="24"/>
              </w:rPr>
              <w:t>i attiecībā uz kapitālsabiedrībām un personālsabiedrībām</w:t>
            </w:r>
            <w:r>
              <w:rPr>
                <w:rFonts w:ascii="Times New Roman" w:eastAsia="Calibri" w:hAnsi="Times New Roman" w:cs="Times New Roman"/>
                <w:sz w:val="24"/>
                <w:szCs w:val="24"/>
              </w:rPr>
              <w:t>.</w:t>
            </w:r>
            <w:r w:rsidR="00F57104">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F57104">
              <w:rPr>
                <w:rFonts w:ascii="Times New Roman" w:eastAsia="Calibri" w:hAnsi="Times New Roman" w:cs="Times New Roman"/>
                <w:sz w:val="24"/>
                <w:szCs w:val="24"/>
              </w:rPr>
              <w:t xml:space="preserve">avukārt </w:t>
            </w:r>
            <w:r w:rsidR="00F57104" w:rsidRPr="00F57104">
              <w:rPr>
                <w:rFonts w:ascii="Times New Roman" w:eastAsia="Calibri" w:hAnsi="Times New Roman" w:cs="Times New Roman"/>
                <w:sz w:val="24"/>
                <w:szCs w:val="24"/>
              </w:rPr>
              <w:t xml:space="preserve">attiecībā uz biedrībām un nodibinājumiem </w:t>
            </w:r>
            <w:r w:rsidR="00F57104">
              <w:rPr>
                <w:rFonts w:ascii="Times New Roman" w:eastAsia="Calibri" w:hAnsi="Times New Roman" w:cs="Times New Roman"/>
                <w:sz w:val="24"/>
                <w:szCs w:val="24"/>
              </w:rPr>
              <w:t>Ministru kabinets var lemt</w:t>
            </w:r>
            <w:r w:rsidR="00F57104" w:rsidRPr="00F57104">
              <w:rPr>
                <w:rFonts w:ascii="Times New Roman" w:eastAsia="Calibri" w:hAnsi="Times New Roman" w:cs="Times New Roman"/>
                <w:sz w:val="24"/>
                <w:szCs w:val="24"/>
              </w:rPr>
              <w:t xml:space="preserve"> par biedra statusa saglabāšanu, ja mainās patiesais labuma guvējs</w:t>
            </w:r>
            <w:r w:rsidR="00F57104">
              <w:rPr>
                <w:rFonts w:ascii="Times New Roman" w:eastAsia="Calibri" w:hAnsi="Times New Roman" w:cs="Times New Roman"/>
                <w:sz w:val="24"/>
                <w:szCs w:val="24"/>
              </w:rPr>
              <w:t xml:space="preserve"> ar mērķi novērst</w:t>
            </w:r>
            <w:r w:rsidR="00F57104" w:rsidRPr="00F57104">
              <w:rPr>
                <w:rFonts w:ascii="Times New Roman" w:eastAsia="Calibri" w:hAnsi="Times New Roman" w:cs="Times New Roman"/>
                <w:sz w:val="24"/>
                <w:szCs w:val="24"/>
              </w:rPr>
              <w:t xml:space="preserve"> nacionālo drošību apdraudošu vai potenciāli apdraudošu ietekmi nacionālajai drošībai nozīmīgā komercsabied</w:t>
            </w:r>
            <w:r w:rsidR="00F57104">
              <w:rPr>
                <w:rFonts w:ascii="Times New Roman" w:eastAsia="Calibri" w:hAnsi="Times New Roman" w:cs="Times New Roman"/>
                <w:sz w:val="24"/>
                <w:szCs w:val="24"/>
              </w:rPr>
              <w:t xml:space="preserve">rībā, biedrībā vai nodibinājumā. </w:t>
            </w:r>
            <w:r>
              <w:rPr>
                <w:rFonts w:ascii="Times New Roman" w:eastAsia="Calibri" w:hAnsi="Times New Roman" w:cs="Times New Roman"/>
                <w:sz w:val="24"/>
                <w:szCs w:val="24"/>
              </w:rPr>
              <w:t xml:space="preserve">Kā arī </w:t>
            </w:r>
            <w:r w:rsidR="00F57104">
              <w:rPr>
                <w:rFonts w:ascii="Times New Roman" w:eastAsia="Calibri" w:hAnsi="Times New Roman" w:cs="Times New Roman"/>
                <w:sz w:val="24"/>
                <w:szCs w:val="24"/>
              </w:rPr>
              <w:t>3</w:t>
            </w:r>
            <w:r w:rsidR="00C3027E">
              <w:rPr>
                <w:rFonts w:ascii="Times New Roman" w:eastAsia="Calibri" w:hAnsi="Times New Roman" w:cs="Times New Roman"/>
                <w:sz w:val="24"/>
                <w:szCs w:val="24"/>
              </w:rPr>
              <w:t>8.  pants tiek papildināts ar trešo un ceturto</w:t>
            </w:r>
            <w:r w:rsidR="00F57104">
              <w:rPr>
                <w:rFonts w:ascii="Times New Roman" w:eastAsia="Calibri" w:hAnsi="Times New Roman" w:cs="Times New Roman"/>
                <w:sz w:val="24"/>
                <w:szCs w:val="24"/>
              </w:rPr>
              <w:t xml:space="preserve"> daļu, kurā tiek skaidrots n</w:t>
            </w:r>
            <w:r w:rsidR="00F57104" w:rsidRPr="00F57104">
              <w:rPr>
                <w:rFonts w:ascii="Times New Roman" w:eastAsia="Calibri" w:hAnsi="Times New Roman" w:cs="Times New Roman"/>
                <w:sz w:val="24"/>
                <w:szCs w:val="24"/>
              </w:rPr>
              <w:t xml:space="preserve">ozīmīgs ārvalstu tiešais </w:t>
            </w:r>
            <w:r w:rsidR="00C3027E">
              <w:rPr>
                <w:rFonts w:ascii="Times New Roman" w:eastAsia="Calibri" w:hAnsi="Times New Roman" w:cs="Times New Roman"/>
                <w:sz w:val="24"/>
                <w:szCs w:val="24"/>
              </w:rPr>
              <w:t>aizdevums</w:t>
            </w:r>
            <w:r w:rsidR="00F57104" w:rsidRPr="00F57104">
              <w:rPr>
                <w:rFonts w:ascii="Times New Roman" w:eastAsia="Calibri" w:hAnsi="Times New Roman" w:cs="Times New Roman"/>
                <w:sz w:val="24"/>
                <w:szCs w:val="24"/>
              </w:rPr>
              <w:t xml:space="preserve"> šā likuma izpratnē</w:t>
            </w:r>
            <w:r w:rsidR="00F57104">
              <w:rPr>
                <w:rFonts w:ascii="Times New Roman" w:eastAsia="Calibri" w:hAnsi="Times New Roman" w:cs="Times New Roman"/>
                <w:sz w:val="24"/>
                <w:szCs w:val="24"/>
              </w:rPr>
              <w:t xml:space="preserve">. </w:t>
            </w:r>
            <w:r w:rsidR="00F3757E">
              <w:rPr>
                <w:rFonts w:ascii="Times New Roman" w:eastAsia="Calibri" w:hAnsi="Times New Roman" w:cs="Times New Roman"/>
                <w:sz w:val="24"/>
                <w:szCs w:val="24"/>
              </w:rPr>
              <w:t>Ekspertu sanāksmēs</w:t>
            </w:r>
            <w:r w:rsidR="00E8147C">
              <w:rPr>
                <w:rFonts w:ascii="Times New Roman" w:eastAsia="Calibri" w:hAnsi="Times New Roman" w:cs="Times New Roman"/>
                <w:sz w:val="24"/>
                <w:szCs w:val="24"/>
              </w:rPr>
              <w:t xml:space="preserve"> saistībā ar likumprojekta izstrādi</w:t>
            </w:r>
            <w:r w:rsidR="00F3757E">
              <w:rPr>
                <w:rFonts w:ascii="Times New Roman" w:eastAsia="Calibri" w:hAnsi="Times New Roman" w:cs="Times New Roman"/>
                <w:sz w:val="24"/>
                <w:szCs w:val="24"/>
              </w:rPr>
              <w:t xml:space="preserve"> tika akceptēts skaidrojums, ka </w:t>
            </w:r>
            <w:r w:rsidR="00F3757E" w:rsidRPr="00F3757E">
              <w:rPr>
                <w:rFonts w:ascii="Times New Roman" w:eastAsia="Calibri" w:hAnsi="Times New Roman" w:cs="Times New Roman"/>
                <w:sz w:val="24"/>
                <w:szCs w:val="24"/>
              </w:rPr>
              <w:t>ārvalstu tiešais ieguldījums ir stabilas un tiešas saites ar ārvalstu ieguldītāju (patiesā labuma guvēju), tai skaitā kapitāla vai parāda veidā</w:t>
            </w:r>
            <w:r w:rsidR="00F3757E">
              <w:rPr>
                <w:rFonts w:ascii="Times New Roman" w:eastAsia="Calibri" w:hAnsi="Times New Roman" w:cs="Times New Roman"/>
                <w:sz w:val="24"/>
                <w:szCs w:val="24"/>
              </w:rPr>
              <w:t>.</w:t>
            </w:r>
            <w:r w:rsidR="00F3757E">
              <w:t xml:space="preserve"> </w:t>
            </w:r>
            <w:r w:rsidR="00F3757E" w:rsidRPr="00F3757E">
              <w:rPr>
                <w:rFonts w:ascii="Times New Roman" w:eastAsia="Calibri" w:hAnsi="Times New Roman" w:cs="Times New Roman"/>
                <w:sz w:val="24"/>
                <w:szCs w:val="24"/>
              </w:rPr>
              <w:t xml:space="preserve">Latvijas Bankas </w:t>
            </w:r>
            <w:r w:rsidR="00F3757E">
              <w:rPr>
                <w:rFonts w:ascii="Times New Roman" w:eastAsia="Calibri" w:hAnsi="Times New Roman" w:cs="Times New Roman"/>
                <w:sz w:val="24"/>
                <w:szCs w:val="24"/>
              </w:rPr>
              <w:t>apkopotā informācija</w:t>
            </w:r>
            <w:r w:rsidR="00F3757E" w:rsidRPr="00F3757E">
              <w:rPr>
                <w:rFonts w:ascii="Times New Roman" w:eastAsia="Calibri" w:hAnsi="Times New Roman" w:cs="Times New Roman"/>
                <w:sz w:val="24"/>
                <w:szCs w:val="24"/>
              </w:rPr>
              <w:t xml:space="preserve"> </w:t>
            </w:r>
            <w:r w:rsidR="00F3757E">
              <w:rPr>
                <w:rFonts w:ascii="Times New Roman" w:eastAsia="Calibri" w:hAnsi="Times New Roman" w:cs="Times New Roman"/>
                <w:sz w:val="24"/>
                <w:szCs w:val="24"/>
              </w:rPr>
              <w:t>p</w:t>
            </w:r>
            <w:r w:rsidR="00F3757E" w:rsidRPr="00F3757E">
              <w:rPr>
                <w:rFonts w:ascii="Times New Roman" w:eastAsia="Calibri" w:hAnsi="Times New Roman" w:cs="Times New Roman"/>
                <w:sz w:val="24"/>
                <w:szCs w:val="24"/>
              </w:rPr>
              <w:t>ar datiem par nacionālajai drošībai nozīmīgu komercsabiedrību aktīviem un kredītiestāžu kredītiem pret aktīviem</w:t>
            </w:r>
            <w:r w:rsidR="00F3757E">
              <w:rPr>
                <w:rFonts w:ascii="Times New Roman" w:eastAsia="Calibri" w:hAnsi="Times New Roman" w:cs="Times New Roman"/>
                <w:sz w:val="24"/>
                <w:szCs w:val="24"/>
              </w:rPr>
              <w:t xml:space="preserve"> liecina, ka </w:t>
            </w:r>
            <w:r w:rsidR="00F3757E" w:rsidRPr="00271529">
              <w:rPr>
                <w:rFonts w:ascii="Times New Roman" w:hAnsi="Times New Roman" w:cs="Times New Roman"/>
                <w:sz w:val="24"/>
                <w:szCs w:val="24"/>
              </w:rPr>
              <w:t xml:space="preserve">jebkāda veida aizdevumus (ne tikai no trešajām valstīm), kuru kopējā summa pārsniedz 10% no aktīviem, ir izmantojusi vairāk nekā puse no nacionālajai drošībai nozīmīgām komercsabiedrībām, taču aizdevumus (ne tikai no trešajām valstīm), kuru </w:t>
            </w:r>
            <w:r w:rsidR="00F3757E" w:rsidRPr="00F3757E">
              <w:rPr>
                <w:rFonts w:ascii="Times New Roman" w:hAnsi="Times New Roman" w:cs="Times New Roman"/>
                <w:sz w:val="24"/>
                <w:szCs w:val="24"/>
              </w:rPr>
              <w:t xml:space="preserve">kopējā summa pārsniedz 30% no aktīviem ir izmantojusi viena nacionālajai drošībai nozīmīga komercsabiedrība. Tādējādi </w:t>
            </w:r>
            <w:r>
              <w:rPr>
                <w:rFonts w:ascii="Times New Roman" w:hAnsi="Times New Roman" w:cs="Times New Roman"/>
                <w:sz w:val="24"/>
                <w:szCs w:val="24"/>
              </w:rPr>
              <w:t xml:space="preserve">norādīto </w:t>
            </w:r>
            <w:r w:rsidR="00F3757E" w:rsidRPr="00F3757E">
              <w:rPr>
                <w:rFonts w:ascii="Times New Roman" w:hAnsi="Times New Roman" w:cs="Times New Roman"/>
                <w:sz w:val="24"/>
                <w:szCs w:val="24"/>
              </w:rPr>
              <w:t xml:space="preserve">10% </w:t>
            </w:r>
            <w:r w:rsidR="00F3757E">
              <w:rPr>
                <w:rFonts w:ascii="Times New Roman" w:hAnsi="Times New Roman" w:cs="Times New Roman"/>
                <w:sz w:val="24"/>
                <w:szCs w:val="24"/>
              </w:rPr>
              <w:t>summa ir rādītājs, kas normu piemēro</w:t>
            </w:r>
            <w:r w:rsidR="00F3757E" w:rsidRPr="00F3757E">
              <w:rPr>
                <w:rFonts w:ascii="Times New Roman" w:hAnsi="Times New Roman" w:cs="Times New Roman"/>
                <w:sz w:val="24"/>
                <w:szCs w:val="24"/>
              </w:rPr>
              <w:t xml:space="preserve"> kā jēgpilnu</w:t>
            </w:r>
            <w:r w:rsidR="00F3757E">
              <w:rPr>
                <w:rFonts w:ascii="Times New Roman" w:hAnsi="Times New Roman" w:cs="Times New Roman"/>
                <w:sz w:val="24"/>
                <w:szCs w:val="24"/>
              </w:rPr>
              <w:t>.</w:t>
            </w:r>
            <w:r w:rsidR="00F3757E">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F57104">
              <w:rPr>
                <w:rFonts w:ascii="Times New Roman" w:eastAsia="Calibri" w:hAnsi="Times New Roman" w:cs="Times New Roman"/>
                <w:sz w:val="24"/>
                <w:szCs w:val="24"/>
              </w:rPr>
              <w:t xml:space="preserve">iek </w:t>
            </w:r>
            <w:r>
              <w:rPr>
                <w:rFonts w:ascii="Times New Roman" w:eastAsia="Calibri" w:hAnsi="Times New Roman" w:cs="Times New Roman"/>
                <w:sz w:val="24"/>
                <w:szCs w:val="24"/>
              </w:rPr>
              <w:t xml:space="preserve">precizēts </w:t>
            </w:r>
            <w:r w:rsidR="00F57104">
              <w:rPr>
                <w:rFonts w:ascii="Times New Roman" w:eastAsia="Calibri" w:hAnsi="Times New Roman" w:cs="Times New Roman"/>
                <w:sz w:val="24"/>
                <w:szCs w:val="24"/>
              </w:rPr>
              <w:t>arī 38. panta nosaukums, turpmāk 38. pantu attiecinot uz i</w:t>
            </w:r>
            <w:r w:rsidR="00F57104" w:rsidRPr="00F57104">
              <w:rPr>
                <w:rFonts w:ascii="Times New Roman" w:eastAsia="Calibri" w:hAnsi="Times New Roman" w:cs="Times New Roman"/>
                <w:sz w:val="24"/>
                <w:szCs w:val="24"/>
              </w:rPr>
              <w:t>espējamā apdraudējuma izvērtēšanas mehānismi</w:t>
            </w:r>
            <w:r w:rsidR="00F57104">
              <w:rPr>
                <w:rFonts w:ascii="Times New Roman" w:eastAsia="Calibri" w:hAnsi="Times New Roman" w:cs="Times New Roman"/>
                <w:sz w:val="24"/>
                <w:szCs w:val="24"/>
              </w:rPr>
              <w:t xml:space="preserve">em. </w:t>
            </w:r>
          </w:p>
          <w:p w14:paraId="12167522" w14:textId="75C58E2A" w:rsidR="00C3027E" w:rsidRDefault="00A16659"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r w:rsidR="0076759F">
              <w:rPr>
                <w:rFonts w:ascii="Times New Roman" w:eastAsia="Calibri" w:hAnsi="Times New Roman" w:cs="Times New Roman"/>
                <w:sz w:val="24"/>
                <w:szCs w:val="24"/>
              </w:rPr>
              <w:t>ikum</w:t>
            </w:r>
            <w:r>
              <w:rPr>
                <w:rFonts w:ascii="Times New Roman" w:eastAsia="Calibri" w:hAnsi="Times New Roman" w:cs="Times New Roman"/>
                <w:sz w:val="24"/>
                <w:szCs w:val="24"/>
              </w:rPr>
              <w:t>projekt</w:t>
            </w:r>
            <w:r w:rsidR="0076759F">
              <w:rPr>
                <w:rFonts w:ascii="Times New Roman" w:eastAsia="Calibri" w:hAnsi="Times New Roman" w:cs="Times New Roman"/>
                <w:sz w:val="24"/>
                <w:szCs w:val="24"/>
              </w:rPr>
              <w:t>a 39. pants un tā nosaukums tiek</w:t>
            </w:r>
            <w:r>
              <w:rPr>
                <w:rFonts w:ascii="Times New Roman" w:eastAsia="Calibri" w:hAnsi="Times New Roman" w:cs="Times New Roman"/>
                <w:sz w:val="24"/>
                <w:szCs w:val="24"/>
              </w:rPr>
              <w:t xml:space="preserve"> precizēts</w:t>
            </w:r>
            <w:r w:rsidR="0076759F">
              <w:rPr>
                <w:rFonts w:ascii="Times New Roman" w:eastAsia="Calibri" w:hAnsi="Times New Roman" w:cs="Times New Roman"/>
                <w:sz w:val="24"/>
                <w:szCs w:val="24"/>
              </w:rPr>
              <w:t>, to attiecinot arī uz biedrībām un nodibinājumiem. Ievērojot to, ka k</w:t>
            </w:r>
            <w:r w:rsidR="0076759F" w:rsidRPr="0076759F">
              <w:rPr>
                <w:rFonts w:ascii="Times New Roman" w:eastAsia="Calibri" w:hAnsi="Times New Roman" w:cs="Times New Roman"/>
                <w:sz w:val="24"/>
                <w:szCs w:val="24"/>
              </w:rPr>
              <w:t>omercreģistra iestāde informāciju par komercsabiedrības atbilstību nacionālajai drošībai nozīmīgas komercsabiedrības nosacījumiem publicē komercreģistra iestādes mājaslapā internetā</w:t>
            </w:r>
            <w:r w:rsidR="0076759F">
              <w:rPr>
                <w:rFonts w:ascii="Times New Roman" w:eastAsia="Calibri" w:hAnsi="Times New Roman" w:cs="Times New Roman"/>
                <w:sz w:val="24"/>
                <w:szCs w:val="24"/>
              </w:rPr>
              <w:t>, atbilstoši tiek noteikts, ka b</w:t>
            </w:r>
            <w:r w:rsidR="0076759F" w:rsidRPr="0076759F">
              <w:rPr>
                <w:rFonts w:ascii="Times New Roman" w:eastAsia="Calibri" w:hAnsi="Times New Roman" w:cs="Times New Roman"/>
                <w:sz w:val="24"/>
                <w:szCs w:val="24"/>
              </w:rPr>
              <w:t>iedrību un nodibinājumu reģistrs informāciju par  biedrības vai nodibinājuma atbilstību nacionālajai drošībai nozīmīgas biedrības vai nodibinājuma nosacījumiem publicē biedrību un nodibinājumu reģistra mājaslapā internetā</w:t>
            </w:r>
            <w:r w:rsidR="0076759F">
              <w:rPr>
                <w:rFonts w:ascii="Times New Roman" w:eastAsia="Calibri" w:hAnsi="Times New Roman" w:cs="Times New Roman"/>
                <w:sz w:val="24"/>
                <w:szCs w:val="24"/>
              </w:rPr>
              <w:t xml:space="preserve">. </w:t>
            </w:r>
          </w:p>
          <w:p w14:paraId="029842CA" w14:textId="1479D375" w:rsidR="00F933FA" w:rsidRDefault="00A16659"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arī </w:t>
            </w:r>
            <w:r w:rsidR="00F933FA">
              <w:rPr>
                <w:rFonts w:ascii="Times New Roman" w:eastAsia="Calibri" w:hAnsi="Times New Roman" w:cs="Times New Roman"/>
                <w:sz w:val="24"/>
                <w:szCs w:val="24"/>
              </w:rPr>
              <w:t>precizēt 40. pantu, to attiecinot a</w:t>
            </w:r>
            <w:r w:rsidR="00F933FA" w:rsidRPr="00F933FA">
              <w:rPr>
                <w:rFonts w:ascii="Times New Roman" w:eastAsia="Calibri" w:hAnsi="Times New Roman" w:cs="Times New Roman"/>
                <w:sz w:val="24"/>
                <w:szCs w:val="24"/>
              </w:rPr>
              <w:t>tļaujas saņemšana</w:t>
            </w:r>
            <w:r w:rsidR="00F933FA">
              <w:rPr>
                <w:rFonts w:ascii="Times New Roman" w:eastAsia="Calibri" w:hAnsi="Times New Roman" w:cs="Times New Roman"/>
                <w:sz w:val="24"/>
                <w:szCs w:val="24"/>
              </w:rPr>
              <w:t>i</w:t>
            </w:r>
            <w:r w:rsidR="00F933FA" w:rsidRPr="00F933FA">
              <w:rPr>
                <w:rFonts w:ascii="Times New Roman" w:eastAsia="Calibri" w:hAnsi="Times New Roman" w:cs="Times New Roman"/>
                <w:sz w:val="24"/>
                <w:szCs w:val="24"/>
              </w:rPr>
              <w:t xml:space="preserve"> </w:t>
            </w:r>
            <w:r w:rsidR="00F933FA">
              <w:rPr>
                <w:rFonts w:ascii="Times New Roman" w:eastAsia="Calibri" w:hAnsi="Times New Roman" w:cs="Times New Roman"/>
                <w:sz w:val="24"/>
                <w:szCs w:val="24"/>
              </w:rPr>
              <w:t xml:space="preserve">ne tikai </w:t>
            </w:r>
            <w:r w:rsidR="00F933FA" w:rsidRPr="00F933FA">
              <w:rPr>
                <w:rFonts w:ascii="Times New Roman" w:eastAsia="Calibri" w:hAnsi="Times New Roman" w:cs="Times New Roman"/>
                <w:sz w:val="24"/>
                <w:szCs w:val="24"/>
              </w:rPr>
              <w:t xml:space="preserve">būtiskas līdzdalības vai izšķirošas ietekmes iegūšanai, </w:t>
            </w:r>
            <w:r w:rsidR="00F933FA">
              <w:rPr>
                <w:rFonts w:ascii="Times New Roman" w:eastAsia="Calibri" w:hAnsi="Times New Roman" w:cs="Times New Roman"/>
                <w:sz w:val="24"/>
                <w:szCs w:val="24"/>
              </w:rPr>
              <w:t>bet arī</w:t>
            </w:r>
            <w:r w:rsidR="00F933FA" w:rsidRPr="00F933FA">
              <w:rPr>
                <w:rFonts w:ascii="Times New Roman" w:eastAsia="Calibri" w:hAnsi="Times New Roman" w:cs="Times New Roman"/>
                <w:sz w:val="24"/>
                <w:szCs w:val="24"/>
              </w:rPr>
              <w:t xml:space="preserve"> ārvalstu </w:t>
            </w:r>
            <w:r w:rsidR="004A7D36">
              <w:rPr>
                <w:rFonts w:ascii="Times New Roman" w:eastAsia="Calibri" w:hAnsi="Times New Roman" w:cs="Times New Roman"/>
                <w:sz w:val="24"/>
                <w:szCs w:val="24"/>
              </w:rPr>
              <w:t>aizdevumu</w:t>
            </w:r>
            <w:r w:rsidR="00F933FA" w:rsidRPr="00F933FA">
              <w:rPr>
                <w:rFonts w:ascii="Times New Roman" w:eastAsia="Calibri" w:hAnsi="Times New Roman" w:cs="Times New Roman"/>
                <w:sz w:val="24"/>
                <w:szCs w:val="24"/>
              </w:rPr>
              <w:t xml:space="preserve"> saņemšanai</w:t>
            </w:r>
            <w:r w:rsidR="00F933FA">
              <w:rPr>
                <w:rFonts w:ascii="Times New Roman" w:eastAsia="Calibri" w:hAnsi="Times New Roman" w:cs="Times New Roman"/>
                <w:sz w:val="24"/>
                <w:szCs w:val="24"/>
              </w:rPr>
              <w:t xml:space="preserve">, kas attiektos arī uz nacionālajai drošībai nozīmīgām biedrībām un nodibinājumiem. </w:t>
            </w:r>
            <w:r>
              <w:rPr>
                <w:rFonts w:ascii="Times New Roman" w:eastAsia="Calibri" w:hAnsi="Times New Roman" w:cs="Times New Roman"/>
                <w:sz w:val="24"/>
                <w:szCs w:val="24"/>
              </w:rPr>
              <w:t xml:space="preserve">Turklāt </w:t>
            </w:r>
            <w:r w:rsidR="00F933FA">
              <w:rPr>
                <w:rFonts w:ascii="Times New Roman" w:eastAsia="Calibri" w:hAnsi="Times New Roman" w:cs="Times New Roman"/>
                <w:sz w:val="24"/>
                <w:szCs w:val="24"/>
              </w:rPr>
              <w:t>40. pants tiek papildināts ar ceturto daļu, nostiprinot, ka</w:t>
            </w:r>
            <w:r w:rsidR="00F933FA">
              <w:t xml:space="preserve"> </w:t>
            </w:r>
            <w:r w:rsidR="00F933FA" w:rsidRPr="00F933FA">
              <w:rPr>
                <w:rFonts w:ascii="Times New Roman" w:eastAsia="Calibri" w:hAnsi="Times New Roman" w:cs="Times New Roman"/>
                <w:sz w:val="24"/>
                <w:szCs w:val="24"/>
              </w:rPr>
              <w:t xml:space="preserve">Ministru kabinets ir tiesīgs izsniegt atļauju, nosakot ierobežojumus būtiskas līdzdalības vai izšķirošas ietekmes īstenošanā, vai ārvalstu </w:t>
            </w:r>
            <w:r w:rsidR="004A7D36">
              <w:rPr>
                <w:rFonts w:ascii="Times New Roman" w:eastAsia="Calibri" w:hAnsi="Times New Roman" w:cs="Times New Roman"/>
                <w:sz w:val="24"/>
                <w:szCs w:val="24"/>
              </w:rPr>
              <w:t>tiešo aizdevumu</w:t>
            </w:r>
            <w:r w:rsidR="00F933FA" w:rsidRPr="00F933FA">
              <w:rPr>
                <w:rFonts w:ascii="Times New Roman" w:eastAsia="Calibri" w:hAnsi="Times New Roman" w:cs="Times New Roman"/>
                <w:sz w:val="24"/>
                <w:szCs w:val="24"/>
              </w:rPr>
              <w:t xml:space="preserve"> saņemšanā</w:t>
            </w:r>
            <w:r w:rsidR="004A7D36">
              <w:rPr>
                <w:rFonts w:ascii="Times New Roman" w:eastAsia="Calibri" w:hAnsi="Times New Roman" w:cs="Times New Roman"/>
                <w:sz w:val="24"/>
                <w:szCs w:val="24"/>
              </w:rPr>
              <w:t>, lai novērsu riskus nacionālajai drošībai</w:t>
            </w:r>
          </w:p>
          <w:p w14:paraId="26470405" w14:textId="25EB00BA" w:rsidR="00867D9D" w:rsidRDefault="00867D9D"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Likum</w:t>
            </w:r>
            <w:r w:rsidR="00A16659">
              <w:rPr>
                <w:rFonts w:ascii="Times New Roman" w:eastAsia="Calibri" w:hAnsi="Times New Roman" w:cs="Times New Roman"/>
                <w:sz w:val="24"/>
                <w:szCs w:val="24"/>
              </w:rPr>
              <w:t xml:space="preserve">projektā </w:t>
            </w:r>
            <w:r>
              <w:rPr>
                <w:rFonts w:ascii="Times New Roman" w:eastAsia="Calibri" w:hAnsi="Times New Roman" w:cs="Times New Roman"/>
                <w:sz w:val="24"/>
                <w:szCs w:val="24"/>
              </w:rPr>
              <w:t>noteiktie nosacījumi par patiesā labuma guvēja maiņu attiektos ne tikai uz nacionālajai drošībai nozīmīgām komercsabiedrībām, bet arī uz biedrībām un nodibinājumiem, tādējādi atbilstoši tiek papildināts 41. pants.</w:t>
            </w:r>
          </w:p>
          <w:p w14:paraId="0D71F5FC" w14:textId="36EBCD3B" w:rsidR="00A40C4B" w:rsidRDefault="00867D9D"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Likum</w:t>
            </w:r>
            <w:r w:rsidR="00A16659">
              <w:rPr>
                <w:rFonts w:ascii="Times New Roman" w:eastAsia="Calibri" w:hAnsi="Times New Roman" w:cs="Times New Roman"/>
                <w:sz w:val="24"/>
                <w:szCs w:val="24"/>
              </w:rPr>
              <w:t>projekts paredz</w:t>
            </w:r>
            <w:r>
              <w:rPr>
                <w:rFonts w:ascii="Times New Roman" w:eastAsia="Calibri" w:hAnsi="Times New Roman" w:cs="Times New Roman"/>
                <w:sz w:val="24"/>
                <w:szCs w:val="24"/>
              </w:rPr>
              <w:t xml:space="preserve"> </w:t>
            </w:r>
            <w:r w:rsidRPr="00867D9D">
              <w:rPr>
                <w:rFonts w:ascii="Times New Roman" w:eastAsia="Calibri" w:hAnsi="Times New Roman" w:cs="Times New Roman"/>
                <w:sz w:val="24"/>
                <w:szCs w:val="24"/>
              </w:rPr>
              <w:t xml:space="preserve">jaunu - </w:t>
            </w:r>
            <w:r w:rsidRPr="00867D9D">
              <w:rPr>
                <w:rFonts w:ascii="Times New Roman" w:eastAsia="Calibri" w:hAnsi="Times New Roman" w:cs="Times New Roman"/>
                <w:bCs/>
                <w:sz w:val="24"/>
                <w:szCs w:val="24"/>
              </w:rPr>
              <w:t>42.</w:t>
            </w:r>
            <w:r w:rsidRPr="00867D9D">
              <w:rPr>
                <w:rFonts w:ascii="Times New Roman" w:eastAsia="Calibri" w:hAnsi="Times New Roman" w:cs="Times New Roman"/>
                <w:bCs/>
                <w:sz w:val="24"/>
                <w:szCs w:val="24"/>
                <w:vertAlign w:val="superscript"/>
              </w:rPr>
              <w:t>1</w:t>
            </w:r>
            <w:r w:rsidRPr="00867D9D">
              <w:rPr>
                <w:rFonts w:ascii="Times New Roman" w:eastAsia="Calibri" w:hAnsi="Times New Roman" w:cs="Times New Roman"/>
                <w:bCs/>
                <w:sz w:val="24"/>
                <w:szCs w:val="24"/>
              </w:rPr>
              <w:t xml:space="preserve"> pantu, kas</w:t>
            </w:r>
            <w:r w:rsidR="00A16659">
              <w:rPr>
                <w:rFonts w:ascii="Times New Roman" w:eastAsia="Calibri" w:hAnsi="Times New Roman" w:cs="Times New Roman"/>
                <w:bCs/>
                <w:sz w:val="24"/>
                <w:szCs w:val="24"/>
              </w:rPr>
              <w:t xml:space="preserve"> noteic</w:t>
            </w:r>
            <w:r w:rsidR="001C6C8E">
              <w:rPr>
                <w:rFonts w:ascii="Times New Roman" w:eastAsia="Calibri" w:hAnsi="Times New Roman" w:cs="Times New Roman"/>
                <w:bCs/>
                <w:sz w:val="24"/>
                <w:szCs w:val="24"/>
              </w:rPr>
              <w:t xml:space="preserve">, ka </w:t>
            </w:r>
            <w:r w:rsidR="001C6C8E" w:rsidRPr="001C6C8E">
              <w:rPr>
                <w:rFonts w:ascii="Times New Roman" w:eastAsia="Calibri" w:hAnsi="Times New Roman" w:cs="Times New Roman"/>
                <w:bCs/>
                <w:sz w:val="24"/>
                <w:szCs w:val="24"/>
              </w:rPr>
              <w:t>Ministru kabineta atļauja ir nepieciešama tādam aizdevumam nacionālajai drošībai nozīmīgai komercsabiedrībai, biedrībai vai nodibinājumam, kura kopējā summa pārsniedz 10% no aktīviem un</w:t>
            </w:r>
            <w:r w:rsidR="00400F69">
              <w:rPr>
                <w:rFonts w:ascii="Times New Roman" w:eastAsia="Calibri" w:hAnsi="Times New Roman" w:cs="Times New Roman"/>
                <w:bCs/>
                <w:sz w:val="24"/>
                <w:szCs w:val="24"/>
              </w:rPr>
              <w:t>,</w:t>
            </w:r>
            <w:r w:rsidR="001C6C8E" w:rsidRPr="001C6C8E">
              <w:rPr>
                <w:rFonts w:ascii="Times New Roman" w:eastAsia="Calibri" w:hAnsi="Times New Roman" w:cs="Times New Roman"/>
                <w:bCs/>
                <w:sz w:val="24"/>
                <w:szCs w:val="24"/>
              </w:rPr>
              <w:t xml:space="preserve"> kuri tiek saņemti no fiziskas vai juridiskas personas, kuras patiesā labuma guvējs ir trešajā valstī, izņemot Eiropas Savienības, Eiropas Brīvās tirdzniecības asociācijas, Ziemeļatlantijas līguma organizācijas vai Ekonomiskās sadarbības un attīstības organizācijas dalībvalsts, ja tā saņemšanas nosacījumi neatbilst vispārpieņemtajai praksei attiecīgajā nozarē</w:t>
            </w:r>
            <w:r w:rsidR="001C6C8E">
              <w:rPr>
                <w:rFonts w:ascii="Times New Roman" w:eastAsia="Calibri" w:hAnsi="Times New Roman" w:cs="Times New Roman"/>
                <w:bCs/>
                <w:sz w:val="24"/>
                <w:szCs w:val="24"/>
              </w:rPr>
              <w:t>. Ņemot vēr</w:t>
            </w:r>
            <w:r w:rsidR="00C52955">
              <w:rPr>
                <w:rFonts w:ascii="Times New Roman" w:eastAsia="Calibri" w:hAnsi="Times New Roman" w:cs="Times New Roman"/>
                <w:bCs/>
                <w:sz w:val="24"/>
                <w:szCs w:val="24"/>
              </w:rPr>
              <w:t>ā iepriekš noteikto kārtību n</w:t>
            </w:r>
            <w:r w:rsidR="00C52955" w:rsidRPr="00C52955">
              <w:rPr>
                <w:rFonts w:ascii="Times New Roman" w:eastAsia="Calibri" w:hAnsi="Times New Roman" w:cs="Times New Roman"/>
                <w:bCs/>
                <w:sz w:val="24"/>
                <w:szCs w:val="24"/>
              </w:rPr>
              <w:t xml:space="preserve">acionālajai drošībai nozīmīgām </w:t>
            </w:r>
            <w:r w:rsidR="00C52955">
              <w:rPr>
                <w:rFonts w:ascii="Times New Roman" w:eastAsia="Calibri" w:hAnsi="Times New Roman" w:cs="Times New Roman"/>
                <w:bCs/>
                <w:sz w:val="24"/>
                <w:szCs w:val="24"/>
              </w:rPr>
              <w:t>juridiskajām personām, kas paredz n</w:t>
            </w:r>
            <w:r w:rsidR="00C52955" w:rsidRPr="00C52955">
              <w:rPr>
                <w:rFonts w:ascii="Times New Roman" w:eastAsia="Calibri" w:hAnsi="Times New Roman" w:cs="Times New Roman"/>
                <w:bCs/>
                <w:sz w:val="24"/>
                <w:szCs w:val="24"/>
              </w:rPr>
              <w:t>epieciešam</w:t>
            </w:r>
            <w:r w:rsidR="00C52955">
              <w:rPr>
                <w:rFonts w:ascii="Times New Roman" w:eastAsia="Calibri" w:hAnsi="Times New Roman" w:cs="Times New Roman"/>
                <w:bCs/>
                <w:sz w:val="24"/>
                <w:szCs w:val="24"/>
              </w:rPr>
              <w:t>ību saņemt Ministru kabineta lēmumu</w:t>
            </w:r>
            <w:r w:rsidR="00C52955" w:rsidRPr="00C52955">
              <w:rPr>
                <w:rFonts w:ascii="Times New Roman" w:eastAsia="Calibri" w:hAnsi="Times New Roman" w:cs="Times New Roman"/>
                <w:bCs/>
                <w:sz w:val="24"/>
                <w:szCs w:val="24"/>
              </w:rPr>
              <w:t xml:space="preserve"> pirms darbībām, kas saistītas ar būtiskas līdzdalības vai izšķirošanas ietekmes iegūšanu un patiesā labuma guvēja maiņu,</w:t>
            </w:r>
            <w:r w:rsidR="00C52955">
              <w:rPr>
                <w:rFonts w:ascii="Times New Roman" w:eastAsia="Calibri" w:hAnsi="Times New Roman" w:cs="Times New Roman"/>
                <w:sz w:val="24"/>
                <w:szCs w:val="24"/>
              </w:rPr>
              <w:t xml:space="preserve"> arī </w:t>
            </w:r>
            <w:r w:rsidR="00A40C4B" w:rsidRPr="00A40C4B">
              <w:rPr>
                <w:rFonts w:ascii="Times New Roman" w:eastAsia="Calibri" w:hAnsi="Times New Roman" w:cs="Times New Roman"/>
                <w:sz w:val="24"/>
                <w:szCs w:val="24"/>
              </w:rPr>
              <w:t>pieteikum</w:t>
            </w:r>
            <w:r w:rsidR="00C52955">
              <w:rPr>
                <w:rFonts w:ascii="Times New Roman" w:eastAsia="Calibri" w:hAnsi="Times New Roman" w:cs="Times New Roman"/>
                <w:sz w:val="24"/>
                <w:szCs w:val="24"/>
              </w:rPr>
              <w:t xml:space="preserve">s minētā </w:t>
            </w:r>
            <w:r w:rsidR="00C52955">
              <w:rPr>
                <w:rFonts w:ascii="Times New Roman" w:eastAsia="Calibri" w:hAnsi="Times New Roman" w:cs="Times New Roman"/>
                <w:sz w:val="24"/>
                <w:szCs w:val="24"/>
              </w:rPr>
              <w:lastRenderedPageBreak/>
              <w:t>apjoma aizdevuma</w:t>
            </w:r>
            <w:r w:rsidR="00A40C4B" w:rsidRPr="00A40C4B">
              <w:rPr>
                <w:rFonts w:ascii="Times New Roman" w:eastAsia="Calibri" w:hAnsi="Times New Roman" w:cs="Times New Roman"/>
                <w:sz w:val="24"/>
                <w:szCs w:val="24"/>
              </w:rPr>
              <w:t xml:space="preserve"> atļaujas saņemšanai </w:t>
            </w:r>
            <w:r w:rsidR="00A40C4B">
              <w:rPr>
                <w:rFonts w:ascii="Times New Roman" w:eastAsia="Calibri" w:hAnsi="Times New Roman" w:cs="Times New Roman"/>
                <w:sz w:val="24"/>
                <w:szCs w:val="24"/>
              </w:rPr>
              <w:t>ir jā</w:t>
            </w:r>
            <w:r w:rsidR="00A40C4B" w:rsidRPr="00A40C4B">
              <w:rPr>
                <w:rFonts w:ascii="Times New Roman" w:eastAsia="Calibri" w:hAnsi="Times New Roman" w:cs="Times New Roman"/>
                <w:sz w:val="24"/>
                <w:szCs w:val="24"/>
              </w:rPr>
              <w:t xml:space="preserve">iesniedz </w:t>
            </w:r>
            <w:r w:rsidR="00A40C4B">
              <w:rPr>
                <w:rFonts w:ascii="Times New Roman" w:eastAsia="Calibri" w:hAnsi="Times New Roman" w:cs="Times New Roman"/>
                <w:sz w:val="24"/>
                <w:szCs w:val="24"/>
              </w:rPr>
              <w:t xml:space="preserve">attiecīgajām </w:t>
            </w:r>
            <w:r w:rsidR="00A40C4B" w:rsidRPr="00A40C4B">
              <w:rPr>
                <w:rFonts w:ascii="Times New Roman" w:eastAsia="Calibri" w:hAnsi="Times New Roman" w:cs="Times New Roman"/>
                <w:sz w:val="24"/>
                <w:szCs w:val="24"/>
              </w:rPr>
              <w:t>nacionālajai drošībai nozīmīg</w:t>
            </w:r>
            <w:r w:rsidR="00A40C4B">
              <w:rPr>
                <w:rFonts w:ascii="Times New Roman" w:eastAsia="Calibri" w:hAnsi="Times New Roman" w:cs="Times New Roman"/>
                <w:sz w:val="24"/>
                <w:szCs w:val="24"/>
              </w:rPr>
              <w:t>ām</w:t>
            </w:r>
            <w:r w:rsidR="00A40C4B" w:rsidRPr="00A40C4B">
              <w:rPr>
                <w:rFonts w:ascii="Times New Roman" w:eastAsia="Calibri" w:hAnsi="Times New Roman" w:cs="Times New Roman"/>
                <w:sz w:val="24"/>
                <w:szCs w:val="24"/>
              </w:rPr>
              <w:t xml:space="preserve"> komercsabiedrīb</w:t>
            </w:r>
            <w:r w:rsidR="00A40C4B">
              <w:rPr>
                <w:rFonts w:ascii="Times New Roman" w:eastAsia="Calibri" w:hAnsi="Times New Roman" w:cs="Times New Roman"/>
                <w:sz w:val="24"/>
                <w:szCs w:val="24"/>
              </w:rPr>
              <w:t>ām</w:t>
            </w:r>
            <w:r w:rsidR="00A40C4B" w:rsidRPr="00A40C4B">
              <w:rPr>
                <w:rFonts w:ascii="Times New Roman" w:eastAsia="Calibri" w:hAnsi="Times New Roman" w:cs="Times New Roman"/>
                <w:sz w:val="24"/>
                <w:szCs w:val="24"/>
              </w:rPr>
              <w:t>, biedrīb</w:t>
            </w:r>
            <w:r w:rsidR="00A40C4B">
              <w:rPr>
                <w:rFonts w:ascii="Times New Roman" w:eastAsia="Calibri" w:hAnsi="Times New Roman" w:cs="Times New Roman"/>
                <w:sz w:val="24"/>
                <w:szCs w:val="24"/>
              </w:rPr>
              <w:t>ām</w:t>
            </w:r>
            <w:r w:rsidR="00A40C4B" w:rsidRPr="00A40C4B">
              <w:rPr>
                <w:rFonts w:ascii="Times New Roman" w:eastAsia="Calibri" w:hAnsi="Times New Roman" w:cs="Times New Roman"/>
                <w:sz w:val="24"/>
                <w:szCs w:val="24"/>
              </w:rPr>
              <w:t xml:space="preserve"> </w:t>
            </w:r>
            <w:r w:rsidR="00A40C4B">
              <w:rPr>
                <w:rFonts w:ascii="Times New Roman" w:eastAsia="Calibri" w:hAnsi="Times New Roman" w:cs="Times New Roman"/>
                <w:sz w:val="24"/>
                <w:szCs w:val="24"/>
              </w:rPr>
              <w:t xml:space="preserve">un </w:t>
            </w:r>
            <w:r w:rsidR="00A40C4B" w:rsidRPr="00A40C4B">
              <w:rPr>
                <w:rFonts w:ascii="Times New Roman" w:eastAsia="Calibri" w:hAnsi="Times New Roman" w:cs="Times New Roman"/>
                <w:sz w:val="24"/>
                <w:szCs w:val="24"/>
              </w:rPr>
              <w:t>nodibinājum</w:t>
            </w:r>
            <w:r w:rsidR="00A40C4B">
              <w:rPr>
                <w:rFonts w:ascii="Times New Roman" w:eastAsia="Calibri" w:hAnsi="Times New Roman" w:cs="Times New Roman"/>
                <w:sz w:val="24"/>
                <w:szCs w:val="24"/>
              </w:rPr>
              <w:t>iem</w:t>
            </w:r>
            <w:r w:rsidR="00C52955">
              <w:rPr>
                <w:rFonts w:ascii="Times New Roman" w:eastAsia="Calibri" w:hAnsi="Times New Roman" w:cs="Times New Roman"/>
                <w:sz w:val="24"/>
                <w:szCs w:val="24"/>
              </w:rPr>
              <w:t xml:space="preserve"> </w:t>
            </w:r>
            <w:r w:rsidR="00C52955" w:rsidRPr="00A40C4B">
              <w:rPr>
                <w:rFonts w:ascii="Times New Roman" w:eastAsia="Calibri" w:hAnsi="Times New Roman" w:cs="Times New Roman"/>
                <w:sz w:val="24"/>
                <w:szCs w:val="24"/>
              </w:rPr>
              <w:t>Ministru kabineta noteiktajā kārtībā</w:t>
            </w:r>
            <w:r w:rsidR="00C52955">
              <w:rPr>
                <w:rFonts w:ascii="Times New Roman" w:eastAsia="Calibri" w:hAnsi="Times New Roman" w:cs="Times New Roman"/>
                <w:sz w:val="24"/>
                <w:szCs w:val="24"/>
              </w:rPr>
              <w:t>.</w:t>
            </w:r>
          </w:p>
          <w:p w14:paraId="67F67792" w14:textId="39CD9D3C" w:rsidR="004D2403" w:rsidRDefault="00A16659" w:rsidP="00084EFF">
            <w:p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53723E">
              <w:rPr>
                <w:rFonts w:ascii="Times New Roman" w:eastAsia="Calibri" w:hAnsi="Times New Roman" w:cs="Times New Roman"/>
                <w:sz w:val="24"/>
                <w:szCs w:val="24"/>
              </w:rPr>
              <w:t xml:space="preserve">ikumprojekts ietver arī papildinājumus 44. pantā par </w:t>
            </w:r>
            <w:r w:rsidR="0053723E" w:rsidRPr="0053723E">
              <w:rPr>
                <w:rFonts w:ascii="Times New Roman" w:eastAsia="Calibri" w:hAnsi="Times New Roman" w:cs="Times New Roman"/>
                <w:sz w:val="24"/>
                <w:szCs w:val="24"/>
              </w:rPr>
              <w:t>Ministru kabineta lēmuma pieņ</w:t>
            </w:r>
            <w:r w:rsidR="0053723E">
              <w:rPr>
                <w:rFonts w:ascii="Times New Roman" w:eastAsia="Calibri" w:hAnsi="Times New Roman" w:cs="Times New Roman"/>
                <w:sz w:val="24"/>
                <w:szCs w:val="24"/>
              </w:rPr>
              <w:t xml:space="preserve">emšanas un pārsūdzēšanas kārtību. Proti, 44. panta pirmā daļa un trešā daļa tiek papildināta, </w:t>
            </w:r>
            <w:r w:rsidR="00BB2D99">
              <w:rPr>
                <w:rFonts w:ascii="Times New Roman" w:eastAsia="Calibri" w:hAnsi="Times New Roman" w:cs="Times New Roman"/>
                <w:sz w:val="24"/>
                <w:szCs w:val="24"/>
              </w:rPr>
              <w:t>kārtību</w:t>
            </w:r>
            <w:r w:rsidR="0053723E">
              <w:rPr>
                <w:rFonts w:ascii="Times New Roman" w:eastAsia="Calibri" w:hAnsi="Times New Roman" w:cs="Times New Roman"/>
                <w:sz w:val="24"/>
                <w:szCs w:val="24"/>
              </w:rPr>
              <w:t xml:space="preserve"> attiecinot </w:t>
            </w:r>
            <w:r w:rsidR="00C272B0">
              <w:rPr>
                <w:rFonts w:ascii="Times New Roman" w:eastAsia="Calibri" w:hAnsi="Times New Roman" w:cs="Times New Roman"/>
                <w:sz w:val="24"/>
                <w:szCs w:val="24"/>
              </w:rPr>
              <w:t xml:space="preserve">uz </w:t>
            </w:r>
            <w:r w:rsidR="00C272B0" w:rsidRPr="00C272B0">
              <w:rPr>
                <w:rFonts w:ascii="Times New Roman" w:eastAsia="Calibri" w:hAnsi="Times New Roman" w:cs="Times New Roman"/>
                <w:sz w:val="24"/>
                <w:szCs w:val="24"/>
              </w:rPr>
              <w:t>šā likuma 39. panta ceturtajā daļā noteikt</w:t>
            </w:r>
            <w:r w:rsidR="00C272B0">
              <w:rPr>
                <w:rFonts w:ascii="Times New Roman" w:eastAsia="Calibri" w:hAnsi="Times New Roman" w:cs="Times New Roman"/>
                <w:sz w:val="24"/>
                <w:szCs w:val="24"/>
              </w:rPr>
              <w:t>o</w:t>
            </w:r>
            <w:r w:rsidR="00C272B0" w:rsidRPr="00C272B0">
              <w:rPr>
                <w:rFonts w:ascii="Times New Roman" w:eastAsia="Calibri" w:hAnsi="Times New Roman" w:cs="Times New Roman"/>
                <w:sz w:val="24"/>
                <w:szCs w:val="24"/>
              </w:rPr>
              <w:t xml:space="preserve"> institūcij</w:t>
            </w:r>
            <w:r w:rsidR="00C272B0">
              <w:rPr>
                <w:rFonts w:ascii="Times New Roman" w:eastAsia="Calibri" w:hAnsi="Times New Roman" w:cs="Times New Roman"/>
                <w:sz w:val="24"/>
                <w:szCs w:val="24"/>
              </w:rPr>
              <w:t xml:space="preserve">u </w:t>
            </w:r>
            <w:r w:rsidR="00BB2D99">
              <w:rPr>
                <w:rFonts w:ascii="Times New Roman" w:eastAsia="Calibri" w:hAnsi="Times New Roman" w:cs="Times New Roman"/>
                <w:sz w:val="24"/>
                <w:szCs w:val="24"/>
              </w:rPr>
              <w:t>uz 39.</w:t>
            </w:r>
            <w:r w:rsidR="00C272B0">
              <w:rPr>
                <w:rFonts w:ascii="Times New Roman" w:eastAsia="Calibri" w:hAnsi="Times New Roman" w:cs="Times New Roman"/>
                <w:sz w:val="24"/>
                <w:szCs w:val="24"/>
              </w:rPr>
              <w:t xml:space="preserve"> </w:t>
            </w:r>
            <w:r w:rsidR="0053723E">
              <w:rPr>
                <w:rFonts w:ascii="Times New Roman" w:eastAsia="Calibri" w:hAnsi="Times New Roman" w:cs="Times New Roman"/>
                <w:sz w:val="24"/>
                <w:szCs w:val="24"/>
              </w:rPr>
              <w:t>panta piektajā daļā minēto</w:t>
            </w:r>
            <w:r w:rsidR="0053723E" w:rsidRPr="0053723E">
              <w:rPr>
                <w:rFonts w:ascii="Times New Roman" w:eastAsia="Calibri" w:hAnsi="Times New Roman" w:cs="Times New Roman"/>
                <w:sz w:val="24"/>
                <w:szCs w:val="24"/>
              </w:rPr>
              <w:t xml:space="preserve"> gadījum</w:t>
            </w:r>
            <w:r w:rsidR="0053723E">
              <w:rPr>
                <w:rFonts w:ascii="Times New Roman" w:eastAsia="Calibri" w:hAnsi="Times New Roman" w:cs="Times New Roman"/>
                <w:sz w:val="24"/>
                <w:szCs w:val="24"/>
              </w:rPr>
              <w:t>u</w:t>
            </w:r>
            <w:r w:rsidR="00BB2D99">
              <w:rPr>
                <w:rFonts w:ascii="Times New Roman" w:eastAsia="Calibri" w:hAnsi="Times New Roman" w:cs="Times New Roman"/>
                <w:sz w:val="24"/>
                <w:szCs w:val="24"/>
              </w:rPr>
              <w:t xml:space="preserve">. </w:t>
            </w:r>
            <w:r w:rsidR="0053723E" w:rsidRPr="0053723E">
              <w:rPr>
                <w:rFonts w:ascii="Times New Roman" w:eastAsia="Calibri" w:hAnsi="Times New Roman" w:cs="Times New Roman"/>
                <w:sz w:val="24"/>
                <w:szCs w:val="24"/>
              </w:rPr>
              <w:t xml:space="preserve"> </w:t>
            </w:r>
          </w:p>
          <w:p w14:paraId="755610A0" w14:textId="77777777" w:rsidR="00BB2D99" w:rsidRDefault="00BB2D99" w:rsidP="00B014C1">
            <w:pPr>
              <w:spacing w:after="0" w:line="240" w:lineRule="auto"/>
              <w:jc w:val="both"/>
              <w:rPr>
                <w:rFonts w:ascii="Times New Roman" w:eastAsia="Calibri" w:hAnsi="Times New Roman" w:cs="Times New Roman"/>
                <w:sz w:val="24"/>
                <w:szCs w:val="24"/>
              </w:rPr>
            </w:pPr>
          </w:p>
          <w:p w14:paraId="01C8BC3F" w14:textId="0F2D2089" w:rsidR="00B014C1" w:rsidRPr="00B014C1" w:rsidRDefault="00BB2D99" w:rsidP="00E8147C">
            <w:pPr>
              <w:shd w:val="clear" w:color="auto" w:fill="FFFFFF"/>
              <w:spacing w:after="0" w:line="240" w:lineRule="auto"/>
              <w:jc w:val="both"/>
              <w:rPr>
                <w:rFonts w:ascii="Times New Roman" w:eastAsia="Times New Roman" w:hAnsi="Times New Roman" w:cs="Times New Roman"/>
                <w:sz w:val="24"/>
                <w:szCs w:val="24"/>
                <w:lang w:eastAsia="lv-LV"/>
              </w:rPr>
            </w:pPr>
            <w:r w:rsidRPr="00B014C1">
              <w:rPr>
                <w:rFonts w:ascii="Times New Roman" w:eastAsia="Calibri" w:hAnsi="Times New Roman" w:cs="Times New Roman"/>
                <w:sz w:val="24"/>
                <w:szCs w:val="24"/>
              </w:rPr>
              <w:t>Likumprojekts paredz papildināt likumu ar jaunu - 45. pantu</w:t>
            </w:r>
            <w:r w:rsidRPr="00B014C1">
              <w:rPr>
                <w:rFonts w:ascii="Times New Roman" w:hAnsi="Times New Roman" w:cs="Times New Roman"/>
                <w:sz w:val="24"/>
                <w:szCs w:val="24"/>
              </w:rPr>
              <w:t xml:space="preserve"> </w:t>
            </w:r>
            <w:r w:rsidRPr="00B014C1">
              <w:rPr>
                <w:rFonts w:ascii="Times New Roman" w:eastAsia="Calibri" w:hAnsi="Times New Roman" w:cs="Times New Roman"/>
                <w:sz w:val="24"/>
                <w:szCs w:val="24"/>
              </w:rPr>
              <w:t>par ierobežojuma neievērošanas tiesiskajām sekām, nosakot valsts rīcību gadījumos, ja iepriekš minētā atļauja netiek saņemta.</w:t>
            </w:r>
            <w:r w:rsidR="00C272B0" w:rsidRPr="00B014C1">
              <w:rPr>
                <w:rFonts w:ascii="Times New Roman" w:eastAsia="Calibri" w:hAnsi="Times New Roman" w:cs="Times New Roman"/>
                <w:sz w:val="24"/>
                <w:szCs w:val="24"/>
              </w:rPr>
              <w:t xml:space="preserve"> Ņemot vērā </w:t>
            </w:r>
            <w:r w:rsidR="00B014C1" w:rsidRPr="00B014C1">
              <w:rPr>
                <w:rFonts w:ascii="Times New Roman" w:eastAsia="Calibri" w:hAnsi="Times New Roman" w:cs="Times New Roman"/>
                <w:sz w:val="24"/>
                <w:szCs w:val="24"/>
              </w:rPr>
              <w:t xml:space="preserve">risku, ja Ministru kabineta atļauja netiktu saņemta, bet darījums tiktu noslēgts </w:t>
            </w:r>
            <w:r w:rsidR="00D22FB8">
              <w:rPr>
                <w:rFonts w:ascii="Times New Roman" w:eastAsia="Calibri" w:hAnsi="Times New Roman" w:cs="Times New Roman"/>
                <w:sz w:val="24"/>
                <w:szCs w:val="24"/>
              </w:rPr>
              <w:t xml:space="preserve">ārvalstīs, </w:t>
            </w:r>
            <w:r w:rsidR="00B014C1" w:rsidRPr="00B014C1">
              <w:rPr>
                <w:rFonts w:ascii="Times New Roman" w:eastAsia="Calibri" w:hAnsi="Times New Roman" w:cs="Times New Roman"/>
                <w:sz w:val="24"/>
                <w:szCs w:val="24"/>
              </w:rPr>
              <w:t xml:space="preserve">nevis Latvijā, ar 45. panta pirmo daļu tiek noteikts, ka </w:t>
            </w:r>
            <w:r w:rsidR="00B014C1">
              <w:rPr>
                <w:rFonts w:ascii="Times New Roman" w:eastAsia="Times New Roman" w:hAnsi="Times New Roman" w:cs="Times New Roman"/>
                <w:sz w:val="24"/>
                <w:szCs w:val="24"/>
                <w:lang w:eastAsia="lv-LV"/>
              </w:rPr>
              <w:t>n</w:t>
            </w:r>
            <w:r w:rsidR="00B014C1" w:rsidRPr="00B014C1">
              <w:rPr>
                <w:rFonts w:ascii="Times New Roman" w:eastAsia="Times New Roman" w:hAnsi="Times New Roman" w:cs="Times New Roman"/>
                <w:sz w:val="24"/>
                <w:szCs w:val="24"/>
                <w:lang w:eastAsia="lv-LV"/>
              </w:rPr>
              <w:t>eatkarīgi no darījuma noslēgšanas vai rīcības vietas nacionālajai drošībai nozīmīga komercsabiedrība nav tiesīga veikt izmaiņas akcionāru vai dalībnieku reģistrā, ja nav saņemta šā likuma 40. pantā vai 42. panta (1)</w:t>
            </w:r>
            <w:r w:rsidR="00B014C1" w:rsidRPr="00B014C1">
              <w:rPr>
                <w:rFonts w:ascii="Times New Roman" w:eastAsia="Times New Roman" w:hAnsi="Times New Roman" w:cs="Times New Roman"/>
                <w:sz w:val="24"/>
                <w:szCs w:val="24"/>
                <w:vertAlign w:val="superscript"/>
                <w:lang w:eastAsia="lv-LV"/>
              </w:rPr>
              <w:t>1</w:t>
            </w:r>
            <w:r w:rsidR="00B014C1" w:rsidRPr="00B014C1">
              <w:rPr>
                <w:rFonts w:ascii="Times New Roman" w:eastAsia="Times New Roman" w:hAnsi="Times New Roman" w:cs="Times New Roman"/>
                <w:sz w:val="24"/>
                <w:szCs w:val="24"/>
                <w:lang w:eastAsia="lv-LV"/>
              </w:rPr>
              <w:t xml:space="preserve"> daļā noteiktā atļauja.</w:t>
            </w:r>
          </w:p>
          <w:p w14:paraId="0CEA6294" w14:textId="77777777" w:rsidR="00BB2D99" w:rsidRDefault="00BB2D99" w:rsidP="00084EFF">
            <w:pPr>
              <w:jc w:val="both"/>
              <w:rPr>
                <w:rFonts w:ascii="Times New Roman" w:eastAsia="Calibri" w:hAnsi="Times New Roman" w:cs="Times New Roman"/>
                <w:sz w:val="24"/>
                <w:szCs w:val="24"/>
              </w:rPr>
            </w:pPr>
          </w:p>
          <w:p w14:paraId="16D48942" w14:textId="77777777" w:rsidR="00E5323B" w:rsidRPr="00F874C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874CF" w14:paraId="09055F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98C6E"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1D34F2"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8511B7" w14:textId="77777777" w:rsidR="00E5323B" w:rsidRPr="00F874CF" w:rsidRDefault="007F2A20" w:rsidP="007F2A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F2A20">
              <w:rPr>
                <w:rFonts w:ascii="Times New Roman" w:eastAsia="Times New Roman" w:hAnsi="Times New Roman" w:cs="Times New Roman"/>
                <w:iCs/>
                <w:sz w:val="24"/>
                <w:szCs w:val="24"/>
                <w:lang w:eastAsia="lv-LV"/>
              </w:rPr>
              <w:t xml:space="preserve">Aizsardzības ministrija, Ekonomikas ministrija, Finanšu ministrija, Ārlietu ministrija, Veselības ministrija, </w:t>
            </w:r>
            <w:r>
              <w:rPr>
                <w:rFonts w:ascii="Times New Roman" w:eastAsia="Times New Roman" w:hAnsi="Times New Roman" w:cs="Times New Roman"/>
                <w:iCs/>
                <w:sz w:val="24"/>
                <w:szCs w:val="24"/>
                <w:lang w:eastAsia="lv-LV"/>
              </w:rPr>
              <w:t xml:space="preserve">Tieslietu ministrija, Izglītības un zinātnes ministrija, </w:t>
            </w:r>
            <w:r w:rsidRPr="007F2A20">
              <w:rPr>
                <w:rFonts w:ascii="Times New Roman" w:eastAsia="Times New Roman" w:hAnsi="Times New Roman" w:cs="Times New Roman"/>
                <w:iCs/>
                <w:sz w:val="24"/>
                <w:szCs w:val="24"/>
                <w:lang w:eastAsia="lv-LV"/>
              </w:rPr>
              <w:t>valsts drošības iest</w:t>
            </w:r>
            <w:r>
              <w:rPr>
                <w:rFonts w:ascii="Times New Roman" w:eastAsia="Times New Roman" w:hAnsi="Times New Roman" w:cs="Times New Roman"/>
                <w:iCs/>
                <w:sz w:val="24"/>
                <w:szCs w:val="24"/>
                <w:lang w:eastAsia="lv-LV"/>
              </w:rPr>
              <w:t>ādes, Latvijas Banka</w:t>
            </w:r>
          </w:p>
        </w:tc>
      </w:tr>
      <w:tr w:rsidR="00E5323B" w:rsidRPr="00F874CF" w14:paraId="020BFB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3851F"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B6C790"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1295DC" w14:textId="77777777" w:rsidR="00E5323B" w:rsidRPr="00F874CF" w:rsidRDefault="007F2A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F2A20">
              <w:rPr>
                <w:rFonts w:ascii="Times New Roman" w:eastAsia="Times New Roman" w:hAnsi="Times New Roman" w:cs="Times New Roman"/>
                <w:iCs/>
                <w:sz w:val="24"/>
                <w:szCs w:val="24"/>
                <w:lang w:eastAsia="lv-LV"/>
              </w:rPr>
              <w:t>Nav.</w:t>
            </w:r>
          </w:p>
        </w:tc>
      </w:tr>
    </w:tbl>
    <w:p w14:paraId="20C5E4FF"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874CF" w14:paraId="7C9000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EC1DC"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874CF" w14:paraId="501D6D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96179"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9D40E4"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CF2DD1" w14:textId="77777777" w:rsidR="00E5323B" w:rsidRPr="00F874CF" w:rsidRDefault="000C5B87" w:rsidP="006F4A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C5B87">
              <w:rPr>
                <w:rFonts w:ascii="Times New Roman" w:eastAsia="Times New Roman" w:hAnsi="Times New Roman" w:cs="Times New Roman"/>
                <w:iCs/>
                <w:sz w:val="24"/>
                <w:szCs w:val="24"/>
                <w:lang w:eastAsia="lv-LV"/>
              </w:rPr>
              <w:t>Komercsabiedrības, biedrības un nodibinājumi, kas saskaņā ar grozījumiem, kļūtu par nacionālai drošībai nozīmīgām juridiskām personām</w:t>
            </w:r>
          </w:p>
        </w:tc>
      </w:tr>
      <w:tr w:rsidR="00E5323B" w:rsidRPr="00F874CF" w14:paraId="221064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48D7C"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E49D19"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86B93C3" w14:textId="77777777" w:rsidR="00E5323B" w:rsidRPr="00F874CF" w:rsidRDefault="006F4A05" w:rsidP="007F2A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F2A20">
              <w:rPr>
                <w:rFonts w:ascii="Times New Roman" w:eastAsia="Times New Roman" w:hAnsi="Times New Roman" w:cs="Times New Roman"/>
                <w:iCs/>
                <w:sz w:val="24"/>
                <w:szCs w:val="24"/>
                <w:lang w:eastAsia="lv-LV"/>
              </w:rPr>
              <w:t>Likumprojekta tiesiskais regulējums ietekmēs komercsabiedrīb</w:t>
            </w:r>
            <w:r w:rsidR="007F2A20" w:rsidRPr="007F2A20">
              <w:rPr>
                <w:rFonts w:ascii="Times New Roman" w:eastAsia="Times New Roman" w:hAnsi="Times New Roman" w:cs="Times New Roman"/>
                <w:iCs/>
                <w:sz w:val="24"/>
                <w:szCs w:val="24"/>
                <w:lang w:eastAsia="lv-LV"/>
              </w:rPr>
              <w:t>u</w:t>
            </w:r>
            <w:r w:rsidRPr="007F2A20">
              <w:rPr>
                <w:rFonts w:ascii="Times New Roman" w:eastAsia="Times New Roman" w:hAnsi="Times New Roman" w:cs="Times New Roman"/>
                <w:iCs/>
                <w:sz w:val="24"/>
                <w:szCs w:val="24"/>
                <w:lang w:eastAsia="lv-LV"/>
              </w:rPr>
              <w:t>, biedrīb</w:t>
            </w:r>
            <w:r w:rsidR="007F2A20" w:rsidRPr="007F2A20">
              <w:rPr>
                <w:rFonts w:ascii="Times New Roman" w:eastAsia="Times New Roman" w:hAnsi="Times New Roman" w:cs="Times New Roman"/>
                <w:iCs/>
                <w:sz w:val="24"/>
                <w:szCs w:val="24"/>
                <w:lang w:eastAsia="lv-LV"/>
              </w:rPr>
              <w:t>u un nodibinājumu administratīvo slogu</w:t>
            </w:r>
            <w:r w:rsidRPr="007F2A20">
              <w:rPr>
                <w:rFonts w:ascii="Times New Roman" w:eastAsia="Times New Roman" w:hAnsi="Times New Roman" w:cs="Times New Roman"/>
                <w:iCs/>
                <w:sz w:val="24"/>
                <w:szCs w:val="24"/>
                <w:lang w:eastAsia="lv-LV"/>
              </w:rPr>
              <w:t xml:space="preserve">, </w:t>
            </w:r>
            <w:r w:rsidR="007F2A20" w:rsidRPr="007F2A20">
              <w:rPr>
                <w:rFonts w:ascii="Times New Roman" w:eastAsia="Times New Roman" w:hAnsi="Times New Roman" w:cs="Times New Roman"/>
                <w:iCs/>
                <w:sz w:val="24"/>
                <w:szCs w:val="24"/>
                <w:lang w:eastAsia="lv-LV"/>
              </w:rPr>
              <w:t xml:space="preserve">jo saskaņā ar grozījumiem tās </w:t>
            </w:r>
            <w:r w:rsidRPr="007F2A20">
              <w:rPr>
                <w:rFonts w:ascii="Times New Roman" w:eastAsia="Times New Roman" w:hAnsi="Times New Roman" w:cs="Times New Roman"/>
                <w:iCs/>
                <w:sz w:val="24"/>
                <w:szCs w:val="24"/>
                <w:lang w:eastAsia="lv-LV"/>
              </w:rPr>
              <w:t xml:space="preserve">kļūs par nacionālai drošībai nozīmīgām juridiskām personām un tādējādi </w:t>
            </w:r>
            <w:r w:rsidR="007F2A20" w:rsidRPr="007F2A20">
              <w:rPr>
                <w:rFonts w:ascii="Times New Roman" w:eastAsia="Times New Roman" w:hAnsi="Times New Roman" w:cs="Times New Roman"/>
                <w:iCs/>
                <w:sz w:val="24"/>
                <w:szCs w:val="24"/>
                <w:lang w:eastAsia="lv-LV"/>
              </w:rPr>
              <w:t>uz tām attieksies likumā noteiktie ierobežojumi un nosacījumi.</w:t>
            </w:r>
          </w:p>
        </w:tc>
      </w:tr>
      <w:tr w:rsidR="00E5323B" w:rsidRPr="00F874CF" w14:paraId="3AD2C7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9BDD5"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F48EE3"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1A73A1" w14:textId="77777777" w:rsidR="00E5323B" w:rsidRPr="007F2A20" w:rsidRDefault="007F2A20" w:rsidP="00E5323B">
            <w:pPr>
              <w:spacing w:after="0" w:line="240" w:lineRule="auto"/>
              <w:rPr>
                <w:rFonts w:ascii="Times New Roman" w:eastAsia="Times New Roman" w:hAnsi="Times New Roman" w:cs="Times New Roman"/>
                <w:iCs/>
                <w:sz w:val="24"/>
                <w:szCs w:val="24"/>
                <w:lang w:eastAsia="lv-LV"/>
              </w:rPr>
            </w:pPr>
            <w:r w:rsidRPr="007F2A20">
              <w:rPr>
                <w:rFonts w:ascii="Times New Roman" w:eastAsia="Times New Roman" w:hAnsi="Times New Roman" w:cs="Times New Roman"/>
                <w:iCs/>
                <w:sz w:val="24"/>
                <w:szCs w:val="24"/>
                <w:lang w:eastAsia="lv-LV"/>
              </w:rPr>
              <w:t>Nav.</w:t>
            </w:r>
          </w:p>
        </w:tc>
      </w:tr>
      <w:tr w:rsidR="00E5323B" w:rsidRPr="00F874CF" w14:paraId="2BAE8F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FBB1A"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299F4D"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D1120E" w14:textId="77777777" w:rsidR="00E5323B" w:rsidRPr="007F2A20" w:rsidRDefault="007F2A20" w:rsidP="00E5323B">
            <w:pPr>
              <w:spacing w:after="0" w:line="240" w:lineRule="auto"/>
              <w:rPr>
                <w:rFonts w:ascii="Times New Roman" w:eastAsia="Times New Roman" w:hAnsi="Times New Roman" w:cs="Times New Roman"/>
                <w:iCs/>
                <w:sz w:val="24"/>
                <w:szCs w:val="24"/>
                <w:lang w:eastAsia="lv-LV"/>
              </w:rPr>
            </w:pPr>
            <w:r w:rsidRPr="007F2A20">
              <w:rPr>
                <w:rFonts w:ascii="Times New Roman" w:eastAsia="Times New Roman" w:hAnsi="Times New Roman" w:cs="Times New Roman"/>
                <w:iCs/>
                <w:sz w:val="24"/>
                <w:szCs w:val="24"/>
                <w:lang w:eastAsia="lv-LV"/>
              </w:rPr>
              <w:t>Nav.</w:t>
            </w:r>
          </w:p>
        </w:tc>
      </w:tr>
      <w:tr w:rsidR="00E5323B" w:rsidRPr="00F874CF" w14:paraId="11838E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B3028C"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0875955F"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F00F31" w14:textId="77777777" w:rsidR="00E5323B" w:rsidRPr="007F2A20" w:rsidRDefault="007F2A20" w:rsidP="00E5323B">
            <w:pPr>
              <w:spacing w:after="0" w:line="240" w:lineRule="auto"/>
              <w:rPr>
                <w:rFonts w:ascii="Times New Roman" w:eastAsia="Times New Roman" w:hAnsi="Times New Roman" w:cs="Times New Roman"/>
                <w:iCs/>
                <w:sz w:val="24"/>
                <w:szCs w:val="24"/>
                <w:lang w:eastAsia="lv-LV"/>
              </w:rPr>
            </w:pPr>
            <w:r w:rsidRPr="007F2A20">
              <w:rPr>
                <w:rFonts w:ascii="Times New Roman" w:eastAsia="Times New Roman" w:hAnsi="Times New Roman" w:cs="Times New Roman"/>
                <w:iCs/>
                <w:sz w:val="24"/>
                <w:szCs w:val="24"/>
                <w:lang w:eastAsia="lv-LV"/>
              </w:rPr>
              <w:t>Nav.</w:t>
            </w:r>
          </w:p>
        </w:tc>
      </w:tr>
    </w:tbl>
    <w:p w14:paraId="7F05BF24"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874CF" w14:paraId="2333C7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2B3AE"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874CF" w14:paraId="6F913D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5357A" w14:textId="77777777" w:rsidR="001B6A66" w:rsidRPr="00F874CF"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F874CF">
              <w:rPr>
                <w:rFonts w:ascii="Times New Roman" w:eastAsia="Times New Roman" w:hAnsi="Times New Roman" w:cs="Times New Roman"/>
                <w:bCs/>
                <w:iCs/>
                <w:color w:val="414142"/>
                <w:sz w:val="24"/>
                <w:szCs w:val="24"/>
                <w:lang w:eastAsia="lv-LV"/>
              </w:rPr>
              <w:t>Projekts šo jomu neskar</w:t>
            </w:r>
          </w:p>
        </w:tc>
      </w:tr>
    </w:tbl>
    <w:p w14:paraId="31E76F02" w14:textId="77777777" w:rsidR="00AD64CF"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D64CF" w:rsidRPr="00F874CF" w14:paraId="3B70ACCD" w14:textId="77777777" w:rsidTr="00DE3C8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9A6064" w14:textId="77777777" w:rsidR="00AD64CF" w:rsidRPr="00F874CF" w:rsidRDefault="00AD64CF" w:rsidP="00AD64CF">
            <w:pPr>
              <w:spacing w:after="0" w:line="240" w:lineRule="auto"/>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AD64CF" w:rsidRPr="00F874CF" w14:paraId="26FB2BAE"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A21175"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849F4E"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AE03919" w14:textId="77777777" w:rsidR="00AD64CF" w:rsidRPr="000C5B87" w:rsidRDefault="006F4A05" w:rsidP="006F4A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4A05">
              <w:rPr>
                <w:rFonts w:ascii="Times New Roman" w:eastAsia="Times New Roman" w:hAnsi="Times New Roman" w:cs="Times New Roman"/>
                <w:iCs/>
                <w:sz w:val="24"/>
                <w:szCs w:val="24"/>
                <w:lang w:eastAsia="lv-LV"/>
              </w:rPr>
              <w:t>Ministru kabineta 2017. gada 3. oktobra noteikumi Nr.606 “Noteikumi par Nacionālās drošības likumā noteiktajai institūcijai iesniedzamo informāciju un darbībām ar informāciju par ārvalstu tiešajiem ieguldījumiem”</w:t>
            </w:r>
          </w:p>
        </w:tc>
      </w:tr>
      <w:tr w:rsidR="00AD64CF" w:rsidRPr="00F874CF" w14:paraId="0E3868BE"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78383"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0CEF23"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43EF48B" w14:textId="77777777" w:rsidR="00AD64CF" w:rsidRPr="000C5B87" w:rsidRDefault="006F4A05" w:rsidP="006F4A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4A05">
              <w:rPr>
                <w:rFonts w:ascii="Times New Roman" w:eastAsia="Times New Roman" w:hAnsi="Times New Roman" w:cs="Times New Roman"/>
                <w:iCs/>
                <w:sz w:val="24"/>
                <w:szCs w:val="24"/>
                <w:lang w:eastAsia="lv-LV"/>
              </w:rPr>
              <w:t>Aizsardzības ministrija, Ekonomikas ministrija, Ārlietu ministrija</w:t>
            </w:r>
          </w:p>
        </w:tc>
      </w:tr>
      <w:tr w:rsidR="00AD64CF" w:rsidRPr="00F874CF" w14:paraId="290BAC51"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16F83F"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3E5DB4"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DB3E8" w14:textId="77777777" w:rsidR="00AD64CF" w:rsidRPr="000C5B87" w:rsidRDefault="006F4A05" w:rsidP="00AD64CF">
            <w:pPr>
              <w:spacing w:after="0" w:line="240" w:lineRule="auto"/>
              <w:rPr>
                <w:rFonts w:ascii="Times New Roman" w:eastAsia="Times New Roman" w:hAnsi="Times New Roman" w:cs="Times New Roman"/>
                <w:iCs/>
                <w:color w:val="A6A6A6" w:themeColor="background1" w:themeShade="A6"/>
                <w:sz w:val="24"/>
                <w:szCs w:val="24"/>
                <w:lang w:eastAsia="lv-LV"/>
              </w:rPr>
            </w:pPr>
            <w:r w:rsidRPr="006F4A05">
              <w:rPr>
                <w:rFonts w:ascii="Times New Roman" w:eastAsia="Times New Roman" w:hAnsi="Times New Roman" w:cs="Times New Roman"/>
                <w:iCs/>
                <w:sz w:val="24"/>
                <w:szCs w:val="24"/>
                <w:lang w:eastAsia="lv-LV"/>
              </w:rPr>
              <w:t>Nav.</w:t>
            </w:r>
          </w:p>
        </w:tc>
      </w:tr>
    </w:tbl>
    <w:p w14:paraId="3FDE5B85" w14:textId="77777777" w:rsidR="00AD64CF" w:rsidRPr="00F874CF" w:rsidRDefault="00AD64CF" w:rsidP="00AD64CF">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D64CF" w:rsidRPr="00F874CF" w14:paraId="0592C0AD" w14:textId="77777777" w:rsidTr="00DE3C8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69CAB7" w14:textId="77777777" w:rsidR="00AD64CF" w:rsidRPr="00F874CF" w:rsidRDefault="00AD64CF" w:rsidP="00AD64CF">
            <w:pPr>
              <w:spacing w:after="0" w:line="240" w:lineRule="auto"/>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AD64CF" w:rsidRPr="00F874CF" w14:paraId="7C3A2290"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6596E"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D1ADB9"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902671A" w14:textId="77777777" w:rsidR="00AD64CF" w:rsidRPr="000C5B87" w:rsidRDefault="000C5B87" w:rsidP="00185E84">
            <w:pPr>
              <w:spacing w:after="0" w:line="240" w:lineRule="auto"/>
              <w:jc w:val="both"/>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Grozījumu pamatā ir Eiropas Parlamenta un Eiropas Padomes 2019. gada 19. marta regula (ES) 2019/452, ar ko izveido regulējumu ārvalstu tiešo ieguldījumu Savienībā izvērtēšanai</w:t>
            </w:r>
          </w:p>
        </w:tc>
      </w:tr>
      <w:tr w:rsidR="00AD64CF" w:rsidRPr="00F874CF" w14:paraId="7C03F653"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CF183"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DA0A86"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6D2B203" w14:textId="77777777" w:rsidR="00AD64CF" w:rsidRPr="000C5B87" w:rsidRDefault="000C5B87"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Nav.</w:t>
            </w:r>
          </w:p>
        </w:tc>
      </w:tr>
      <w:tr w:rsidR="00AD64CF" w:rsidRPr="00F874CF" w14:paraId="4430C1D5" w14:textId="77777777" w:rsidTr="00DE3C8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DDB2B"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9DD4C5" w14:textId="77777777" w:rsidR="00AD64CF" w:rsidRPr="000C5B87" w:rsidRDefault="00AD64CF"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83C5E" w14:textId="77777777" w:rsidR="00AD64CF" w:rsidRPr="000C5B87" w:rsidRDefault="000C5B87" w:rsidP="00AD64CF">
            <w:pPr>
              <w:spacing w:after="0" w:line="240" w:lineRule="auto"/>
              <w:rPr>
                <w:rFonts w:ascii="Times New Roman" w:eastAsia="Times New Roman" w:hAnsi="Times New Roman" w:cs="Times New Roman"/>
                <w:iCs/>
                <w:sz w:val="24"/>
                <w:szCs w:val="24"/>
                <w:lang w:eastAsia="lv-LV"/>
              </w:rPr>
            </w:pPr>
            <w:r w:rsidRPr="000C5B87">
              <w:rPr>
                <w:rFonts w:ascii="Times New Roman" w:eastAsia="Times New Roman" w:hAnsi="Times New Roman" w:cs="Times New Roman"/>
                <w:iCs/>
                <w:sz w:val="24"/>
                <w:szCs w:val="24"/>
                <w:lang w:eastAsia="lv-LV"/>
              </w:rPr>
              <w:t>Nav.</w:t>
            </w:r>
          </w:p>
        </w:tc>
      </w:tr>
    </w:tbl>
    <w:p w14:paraId="1D88E092" w14:textId="77777777" w:rsidR="00E5323B" w:rsidRPr="00F874CF" w:rsidRDefault="00AD64CF"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w:t>
      </w:r>
    </w:p>
    <w:p w14:paraId="271C12DD"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5323B" w:rsidRPr="00F874CF" w14:paraId="262E823C" w14:textId="77777777" w:rsidTr="006F4A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B0C693F"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874CF" w14:paraId="24DD6744" w14:textId="77777777" w:rsidTr="006F4A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1470472"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C8282A5"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35DAF019" w14:textId="77777777" w:rsidR="006F4A05" w:rsidRPr="006F4A05" w:rsidRDefault="006F4A05" w:rsidP="006F4A05">
            <w:pPr>
              <w:spacing w:after="0" w:line="240" w:lineRule="auto"/>
              <w:jc w:val="both"/>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974D99">
              <w:rPr>
                <w:rFonts w:ascii="Times New Roman" w:eastAsia="Times New Roman" w:hAnsi="Times New Roman" w:cs="Times New Roman"/>
                <w:iCs/>
                <w:sz w:val="24"/>
                <w:szCs w:val="24"/>
                <w:vertAlign w:val="superscript"/>
                <w:lang w:eastAsia="lv-LV"/>
              </w:rPr>
              <w:t>1</w:t>
            </w:r>
            <w:r w:rsidRPr="006F4A05">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w:t>
            </w:r>
          </w:p>
          <w:p w14:paraId="2B39C82C" w14:textId="77777777" w:rsidR="006F4A05" w:rsidRPr="006F4A05" w:rsidRDefault="006F4A05" w:rsidP="006F4A05">
            <w:pPr>
              <w:spacing w:after="0" w:line="240" w:lineRule="auto"/>
              <w:jc w:val="both"/>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Likumprojekts tiks publicēts Aizsardzības ministrijas mājaslapas sadaļā “Sabiedriskās un publiskās apspriešanas”: https://www.mod.gov.lv/lv/nozares-politika/sabiedribas-lidzdaliba/sabiedriskas-un-publiskas-apspriesanas</w:t>
            </w:r>
          </w:p>
          <w:p w14:paraId="62C118B3" w14:textId="77777777" w:rsidR="00E5323B" w:rsidRPr="00F874CF" w:rsidRDefault="006F4A05" w:rsidP="006F4A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4A05">
              <w:rPr>
                <w:rFonts w:ascii="Times New Roman" w:eastAsia="Times New Roman" w:hAnsi="Times New Roman" w:cs="Times New Roman"/>
                <w:iCs/>
                <w:sz w:val="24"/>
                <w:szCs w:val="24"/>
                <w:lang w:eastAsia="lv-LV"/>
              </w:rPr>
              <w:t>Pēc Noteikumu projekta izsludināšanas Valsts sekretāru sanāksmē tas būs pieejams Ministru kabineta tīmekļa vietnē www.mk.gov.lv.</w:t>
            </w:r>
          </w:p>
        </w:tc>
      </w:tr>
      <w:tr w:rsidR="00E5323B" w:rsidRPr="00F874CF" w14:paraId="7B83E5BF" w14:textId="77777777" w:rsidTr="006F4A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CF662E"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1B8FE1AF"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79D1AA6C" w14:textId="77777777" w:rsidR="00E5323B" w:rsidRPr="00F874CF" w:rsidRDefault="006F4A05" w:rsidP="006F4A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4A05">
              <w:rPr>
                <w:rFonts w:ascii="Times New Roman" w:eastAsia="Times New Roman" w:hAnsi="Times New Roman" w:cs="Times New Roman"/>
                <w:iCs/>
                <w:sz w:val="24"/>
                <w:szCs w:val="24"/>
                <w:lang w:eastAsia="lv-LV"/>
              </w:rPr>
              <w:t>Sabiedrības pārstāvji ir informēti par iespēju līdzdarboties, publicējot paziņojumu par līdzdalības procesu Aizsardzības ministrijas tīmekļvietnē www.mod.gov.lv.</w:t>
            </w:r>
          </w:p>
        </w:tc>
      </w:tr>
      <w:tr w:rsidR="00E5323B" w:rsidRPr="00F874CF" w14:paraId="5ABFF7AA" w14:textId="77777777" w:rsidTr="006F4A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E11BB9D"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595726D0" w14:textId="77777777" w:rsidR="00E5323B" w:rsidRPr="006F4A05" w:rsidRDefault="00E5323B"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7F78DCEA" w14:textId="77777777" w:rsidR="00E5323B" w:rsidRPr="006F4A05" w:rsidRDefault="006F4A05"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Nav.</w:t>
            </w:r>
          </w:p>
        </w:tc>
      </w:tr>
      <w:tr w:rsidR="00E5323B" w:rsidRPr="00F874CF" w14:paraId="6080D0C1" w14:textId="77777777" w:rsidTr="006F4A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18D1BF0"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lastRenderedPageBreak/>
              <w:t>4.</w:t>
            </w:r>
          </w:p>
        </w:tc>
        <w:tc>
          <w:tcPr>
            <w:tcW w:w="1625" w:type="pct"/>
            <w:tcBorders>
              <w:top w:val="outset" w:sz="6" w:space="0" w:color="auto"/>
              <w:left w:val="outset" w:sz="6" w:space="0" w:color="auto"/>
              <w:bottom w:val="outset" w:sz="6" w:space="0" w:color="auto"/>
              <w:right w:val="outset" w:sz="6" w:space="0" w:color="auto"/>
            </w:tcBorders>
            <w:hideMark/>
          </w:tcPr>
          <w:p w14:paraId="6D757E3B" w14:textId="77777777" w:rsidR="00E5323B" w:rsidRPr="006F4A05" w:rsidRDefault="00E5323B"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4F78988A" w14:textId="77777777" w:rsidR="00E5323B" w:rsidRPr="006F4A05" w:rsidRDefault="006F4A05"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Nav.</w:t>
            </w:r>
          </w:p>
        </w:tc>
      </w:tr>
    </w:tbl>
    <w:p w14:paraId="48D56829" w14:textId="77777777" w:rsidR="00E5323B"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874CF" w14:paraId="17ACB0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09C3E3" w14:textId="77777777" w:rsidR="00CD526E" w:rsidRPr="00F874CF"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874C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874CF" w14:paraId="0AF512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AAA3"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411591" w14:textId="77777777" w:rsidR="00E5323B" w:rsidRPr="006F4A05" w:rsidRDefault="00E5323B"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EE53A2A" w14:textId="77777777" w:rsidR="00E5323B" w:rsidRPr="006F4A05" w:rsidRDefault="006F4A05"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Aizsardzības ministrija, Ekonomikas ministrija, Ārlietu ministrija</w:t>
            </w:r>
          </w:p>
        </w:tc>
      </w:tr>
      <w:tr w:rsidR="00E5323B" w:rsidRPr="00F874CF" w14:paraId="04D7D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7AABC"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BDD3C0" w14:textId="77777777" w:rsidR="00E5323B" w:rsidRPr="006F4A05" w:rsidRDefault="00E5323B"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Projekta izpildes ietekme uz pārvaldes funkcijām un institucionālo struktūru.</w:t>
            </w:r>
            <w:r w:rsidRPr="006F4A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F71447D" w14:textId="77777777" w:rsidR="00E5323B" w:rsidRDefault="006F4A05" w:rsidP="006F4A05">
            <w:pPr>
              <w:spacing w:after="0" w:line="240" w:lineRule="auto"/>
              <w:jc w:val="both"/>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Noteikumu projekta izpildes rezultātā netiks izveidotas jaunas institūcijas un netiks likvidētas vai reorganizētas esošās institūcijas.</w:t>
            </w:r>
            <w:r>
              <w:rPr>
                <w:rFonts w:ascii="Times New Roman" w:eastAsia="Times New Roman" w:hAnsi="Times New Roman" w:cs="Times New Roman"/>
                <w:iCs/>
                <w:sz w:val="24"/>
                <w:szCs w:val="24"/>
                <w:lang w:eastAsia="lv-LV"/>
              </w:rPr>
              <w:t xml:space="preserve"> </w:t>
            </w:r>
          </w:p>
          <w:p w14:paraId="675D6425" w14:textId="77777777" w:rsidR="006F4A05" w:rsidRPr="006F4A05" w:rsidRDefault="006F4A05" w:rsidP="0015573D">
            <w:pPr>
              <w:spacing w:after="0" w:line="240" w:lineRule="auto"/>
              <w:jc w:val="both"/>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Ņemot vērā, ka ievērojami pieaugtu valsts drošības iestāžu darbs, kas būtu saistīts ar ārvalstu u izvērtējumu, var trūkt to resursi informācijas izvērtēšanai tās noteiktā  apjoma dēļ, būtu nepieciešams lemt par papildu resursu piesaisti un nodrošināšanu.</w:t>
            </w:r>
          </w:p>
        </w:tc>
      </w:tr>
      <w:tr w:rsidR="00E5323B" w:rsidRPr="00F874CF" w14:paraId="2EAD47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AB8E9C" w14:textId="77777777" w:rsidR="00CD526E" w:rsidRPr="00F874CF" w:rsidRDefault="00E5323B" w:rsidP="00E5323B">
            <w:pPr>
              <w:spacing w:after="0" w:line="240" w:lineRule="auto"/>
              <w:rPr>
                <w:rFonts w:ascii="Times New Roman" w:eastAsia="Times New Roman" w:hAnsi="Times New Roman" w:cs="Times New Roman"/>
                <w:iCs/>
                <w:color w:val="414142"/>
                <w:sz w:val="24"/>
                <w:szCs w:val="24"/>
                <w:lang w:eastAsia="lv-LV"/>
              </w:rPr>
            </w:pPr>
            <w:r w:rsidRPr="00F874C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8AF66D" w14:textId="77777777" w:rsidR="00E5323B" w:rsidRPr="006F4A05" w:rsidRDefault="00E5323B"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1C81D3" w14:textId="77777777" w:rsidR="00E5323B" w:rsidRPr="006F4A05" w:rsidRDefault="006F4A05" w:rsidP="00E5323B">
            <w:pPr>
              <w:spacing w:after="0" w:line="240" w:lineRule="auto"/>
              <w:rPr>
                <w:rFonts w:ascii="Times New Roman" w:eastAsia="Times New Roman" w:hAnsi="Times New Roman" w:cs="Times New Roman"/>
                <w:iCs/>
                <w:sz w:val="24"/>
                <w:szCs w:val="24"/>
                <w:lang w:eastAsia="lv-LV"/>
              </w:rPr>
            </w:pPr>
            <w:r w:rsidRPr="006F4A05">
              <w:rPr>
                <w:rFonts w:ascii="Times New Roman" w:eastAsia="Times New Roman" w:hAnsi="Times New Roman" w:cs="Times New Roman"/>
                <w:iCs/>
                <w:sz w:val="24"/>
                <w:szCs w:val="24"/>
                <w:lang w:eastAsia="lv-LV"/>
              </w:rPr>
              <w:t>Nav.</w:t>
            </w:r>
          </w:p>
        </w:tc>
      </w:tr>
    </w:tbl>
    <w:p w14:paraId="48992CC2" w14:textId="77777777" w:rsidR="00C25B49" w:rsidRPr="00F874CF" w:rsidRDefault="00C25B49" w:rsidP="00894C55">
      <w:pPr>
        <w:spacing w:after="0" w:line="240" w:lineRule="auto"/>
        <w:rPr>
          <w:rFonts w:ascii="Times New Roman" w:hAnsi="Times New Roman" w:cs="Times New Roman"/>
          <w:sz w:val="28"/>
          <w:szCs w:val="28"/>
        </w:rPr>
      </w:pPr>
    </w:p>
    <w:p w14:paraId="2C3CAF70" w14:textId="77777777" w:rsidR="004F257C" w:rsidRDefault="004F257C" w:rsidP="004F257C">
      <w:pPr>
        <w:tabs>
          <w:tab w:val="left" w:pos="6804"/>
        </w:tabs>
        <w:spacing w:after="0"/>
        <w:rPr>
          <w:rFonts w:ascii="Times New Roman" w:hAnsi="Times New Roman" w:cs="Times New Roman"/>
          <w:sz w:val="24"/>
          <w:szCs w:val="24"/>
        </w:rPr>
      </w:pPr>
    </w:p>
    <w:p w14:paraId="6B6E51AA" w14:textId="4E8054A9" w:rsidR="004F257C" w:rsidRDefault="004F257C" w:rsidP="004F257C">
      <w:pPr>
        <w:tabs>
          <w:tab w:val="left" w:pos="6804"/>
        </w:tabs>
        <w:spacing w:after="0"/>
        <w:rPr>
          <w:rFonts w:ascii="Times New Roman" w:hAnsi="Times New Roman" w:cs="Times New Roman"/>
          <w:sz w:val="24"/>
          <w:szCs w:val="24"/>
        </w:rPr>
      </w:pPr>
      <w:r>
        <w:rPr>
          <w:rFonts w:ascii="Times New Roman" w:hAnsi="Times New Roman" w:cs="Times New Roman"/>
          <w:sz w:val="24"/>
          <w:szCs w:val="24"/>
        </w:rPr>
        <w:t>Ministru prezidenta biedrs,</w:t>
      </w:r>
    </w:p>
    <w:p w14:paraId="023FDBA6" w14:textId="77777777" w:rsidR="004F257C" w:rsidRPr="00103ACE" w:rsidRDefault="004F257C" w:rsidP="004F257C">
      <w:pPr>
        <w:tabs>
          <w:tab w:val="left" w:pos="6804"/>
        </w:tabs>
        <w:spacing w:after="0"/>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t>A.Pabriks</w:t>
      </w:r>
    </w:p>
    <w:p w14:paraId="3756EF5C" w14:textId="77777777" w:rsidR="00894C55" w:rsidRPr="00F874CF" w:rsidRDefault="00894C55" w:rsidP="00C10EC8">
      <w:pPr>
        <w:spacing w:after="0" w:line="240" w:lineRule="auto"/>
        <w:rPr>
          <w:rFonts w:ascii="Times New Roman" w:hAnsi="Times New Roman" w:cs="Times New Roman"/>
          <w:sz w:val="28"/>
          <w:szCs w:val="28"/>
        </w:rPr>
      </w:pPr>
    </w:p>
    <w:p w14:paraId="1D2970F2" w14:textId="77777777" w:rsidR="00894C55" w:rsidRDefault="00894C55" w:rsidP="00894C55">
      <w:pPr>
        <w:spacing w:after="0" w:line="240" w:lineRule="auto"/>
        <w:ind w:firstLine="720"/>
        <w:rPr>
          <w:rFonts w:ascii="Times New Roman" w:hAnsi="Times New Roman" w:cs="Times New Roman"/>
          <w:sz w:val="28"/>
          <w:szCs w:val="28"/>
        </w:rPr>
      </w:pPr>
    </w:p>
    <w:p w14:paraId="59DEA331" w14:textId="77777777" w:rsidR="00974D99" w:rsidRDefault="00974D99" w:rsidP="00894C55">
      <w:pPr>
        <w:spacing w:after="0" w:line="240" w:lineRule="auto"/>
        <w:ind w:firstLine="720"/>
        <w:rPr>
          <w:rFonts w:ascii="Times New Roman" w:hAnsi="Times New Roman" w:cs="Times New Roman"/>
          <w:sz w:val="28"/>
          <w:szCs w:val="28"/>
        </w:rPr>
      </w:pPr>
    </w:p>
    <w:p w14:paraId="4D27803E" w14:textId="77777777" w:rsidR="00974D99" w:rsidRDefault="00974D99" w:rsidP="00974D99">
      <w:pPr>
        <w:spacing w:after="0" w:line="240" w:lineRule="auto"/>
        <w:ind w:firstLine="720"/>
        <w:rPr>
          <w:rFonts w:ascii="Times New Roman" w:hAnsi="Times New Roman" w:cs="Times New Roman"/>
          <w:sz w:val="20"/>
          <w:szCs w:val="20"/>
        </w:rPr>
      </w:pPr>
      <w:r w:rsidRPr="00974D99">
        <w:rPr>
          <w:rFonts w:ascii="Times New Roman" w:hAnsi="Times New Roman" w:cs="Times New Roman"/>
          <w:sz w:val="20"/>
          <w:szCs w:val="20"/>
        </w:rPr>
        <w:t xml:space="preserve">Edgars Svarenieks, 67335029, </w:t>
      </w:r>
    </w:p>
    <w:p w14:paraId="7F6FA482" w14:textId="77777777" w:rsidR="00974D99" w:rsidRDefault="001F7DCD" w:rsidP="00974D99">
      <w:pPr>
        <w:spacing w:after="0" w:line="240" w:lineRule="auto"/>
        <w:ind w:firstLine="720"/>
        <w:rPr>
          <w:rFonts w:ascii="Times New Roman" w:hAnsi="Times New Roman" w:cs="Times New Roman"/>
          <w:sz w:val="20"/>
          <w:szCs w:val="20"/>
        </w:rPr>
      </w:pPr>
      <w:hyperlink r:id="rId7" w:history="1">
        <w:r w:rsidR="00974D99" w:rsidRPr="00306831">
          <w:rPr>
            <w:rStyle w:val="Hyperlink"/>
            <w:rFonts w:ascii="Times New Roman" w:hAnsi="Times New Roman" w:cs="Times New Roman"/>
            <w:sz w:val="20"/>
            <w:szCs w:val="20"/>
          </w:rPr>
          <w:t>Edgars.Svarenieks@mod.gov.lv</w:t>
        </w:r>
      </w:hyperlink>
    </w:p>
    <w:p w14:paraId="79071532" w14:textId="77777777" w:rsidR="00974D99" w:rsidRPr="00974D99" w:rsidRDefault="00974D99" w:rsidP="00974D99">
      <w:pPr>
        <w:spacing w:after="0" w:line="240" w:lineRule="auto"/>
        <w:ind w:firstLine="720"/>
        <w:rPr>
          <w:rFonts w:ascii="Times New Roman" w:hAnsi="Times New Roman" w:cs="Times New Roman"/>
          <w:sz w:val="20"/>
          <w:szCs w:val="20"/>
        </w:rPr>
      </w:pPr>
    </w:p>
    <w:p w14:paraId="1FC516AD" w14:textId="77777777" w:rsidR="00974D99" w:rsidRDefault="00974D99" w:rsidP="00974D99">
      <w:pPr>
        <w:spacing w:after="0" w:line="240" w:lineRule="auto"/>
        <w:ind w:firstLine="720"/>
        <w:rPr>
          <w:rFonts w:ascii="Times New Roman" w:hAnsi="Times New Roman" w:cs="Times New Roman"/>
          <w:sz w:val="20"/>
          <w:szCs w:val="20"/>
        </w:rPr>
      </w:pPr>
      <w:r w:rsidRPr="00974D99">
        <w:rPr>
          <w:rFonts w:ascii="Times New Roman" w:hAnsi="Times New Roman" w:cs="Times New Roman"/>
          <w:sz w:val="20"/>
          <w:szCs w:val="20"/>
        </w:rPr>
        <w:t xml:space="preserve">Ieva Rubļevska, 67335088, </w:t>
      </w:r>
    </w:p>
    <w:p w14:paraId="6703B9E5" w14:textId="77777777" w:rsidR="00974D99" w:rsidRDefault="001F7DCD" w:rsidP="00974D99">
      <w:pPr>
        <w:spacing w:after="0" w:line="240" w:lineRule="auto"/>
        <w:ind w:firstLine="720"/>
        <w:rPr>
          <w:rFonts w:ascii="Times New Roman" w:hAnsi="Times New Roman" w:cs="Times New Roman"/>
          <w:sz w:val="20"/>
          <w:szCs w:val="20"/>
        </w:rPr>
      </w:pPr>
      <w:hyperlink r:id="rId8" w:history="1">
        <w:r w:rsidR="00974D99" w:rsidRPr="00306831">
          <w:rPr>
            <w:rStyle w:val="Hyperlink"/>
            <w:rFonts w:ascii="Times New Roman" w:hAnsi="Times New Roman" w:cs="Times New Roman"/>
            <w:sz w:val="20"/>
            <w:szCs w:val="20"/>
          </w:rPr>
          <w:t>Ieva.Rublevska@mod.gov.lv</w:t>
        </w:r>
      </w:hyperlink>
    </w:p>
    <w:p w14:paraId="14FF783C" w14:textId="77777777" w:rsidR="00974D99" w:rsidRPr="00974D99" w:rsidRDefault="00974D99" w:rsidP="00974D99">
      <w:pPr>
        <w:spacing w:after="0" w:line="240" w:lineRule="auto"/>
        <w:ind w:firstLine="720"/>
        <w:rPr>
          <w:rFonts w:ascii="Times New Roman" w:hAnsi="Times New Roman" w:cs="Times New Roman"/>
          <w:sz w:val="20"/>
          <w:szCs w:val="20"/>
        </w:rPr>
      </w:pPr>
    </w:p>
    <w:p w14:paraId="27B45ACF" w14:textId="77777777" w:rsidR="00974D99" w:rsidRPr="00F874CF" w:rsidRDefault="00974D99" w:rsidP="00894C55">
      <w:pPr>
        <w:spacing w:after="0" w:line="240" w:lineRule="auto"/>
        <w:ind w:firstLine="720"/>
        <w:rPr>
          <w:rFonts w:ascii="Times New Roman" w:hAnsi="Times New Roman" w:cs="Times New Roman"/>
          <w:sz w:val="28"/>
          <w:szCs w:val="28"/>
        </w:rPr>
      </w:pPr>
    </w:p>
    <w:p w14:paraId="4D0C75D7" w14:textId="77777777" w:rsidR="00894C55" w:rsidRPr="00F874CF" w:rsidRDefault="00894C55" w:rsidP="00894C55">
      <w:pPr>
        <w:tabs>
          <w:tab w:val="left" w:pos="6237"/>
        </w:tabs>
        <w:spacing w:after="0" w:line="240" w:lineRule="auto"/>
        <w:ind w:firstLine="720"/>
        <w:rPr>
          <w:rFonts w:ascii="Times New Roman" w:hAnsi="Times New Roman" w:cs="Times New Roman"/>
          <w:sz w:val="28"/>
          <w:szCs w:val="28"/>
        </w:rPr>
      </w:pPr>
    </w:p>
    <w:p w14:paraId="72118D3F" w14:textId="77777777" w:rsidR="00894C55" w:rsidRPr="00F874CF" w:rsidRDefault="00894C55" w:rsidP="00894C55">
      <w:pPr>
        <w:tabs>
          <w:tab w:val="left" w:pos="6237"/>
        </w:tabs>
        <w:spacing w:after="0" w:line="240" w:lineRule="auto"/>
        <w:ind w:firstLine="720"/>
        <w:rPr>
          <w:rFonts w:ascii="Times New Roman" w:hAnsi="Times New Roman" w:cs="Times New Roman"/>
          <w:sz w:val="28"/>
          <w:szCs w:val="28"/>
        </w:rPr>
      </w:pPr>
    </w:p>
    <w:p w14:paraId="2664A96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EC42756"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46261AA8"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3ED98828"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3A493A4D"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264E78A9"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2B77B952"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2B0D5508"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3983F05E"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15A92589" w14:textId="77777777" w:rsidR="00D00673" w:rsidRDefault="00D00673" w:rsidP="00894C55">
      <w:pPr>
        <w:tabs>
          <w:tab w:val="left" w:pos="6237"/>
        </w:tabs>
        <w:spacing w:after="0" w:line="240" w:lineRule="auto"/>
        <w:ind w:firstLine="720"/>
        <w:rPr>
          <w:rFonts w:ascii="Times New Roman" w:hAnsi="Times New Roman" w:cs="Times New Roman"/>
          <w:sz w:val="28"/>
          <w:szCs w:val="28"/>
        </w:rPr>
      </w:pPr>
    </w:p>
    <w:p w14:paraId="1511B504" w14:textId="77777777" w:rsidR="00894C55" w:rsidRPr="00F874CF" w:rsidRDefault="00894C55" w:rsidP="00894C55">
      <w:pPr>
        <w:tabs>
          <w:tab w:val="left" w:pos="6237"/>
        </w:tabs>
        <w:spacing w:after="0" w:line="240" w:lineRule="auto"/>
        <w:rPr>
          <w:rFonts w:ascii="Times New Roman" w:hAnsi="Times New Roman" w:cs="Times New Roman"/>
          <w:sz w:val="24"/>
          <w:szCs w:val="28"/>
        </w:rPr>
      </w:pPr>
    </w:p>
    <w:sectPr w:rsidR="00894C55" w:rsidRPr="00F874C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A6B1" w14:textId="77777777" w:rsidR="004E49BD" w:rsidRDefault="004E49BD" w:rsidP="00894C55">
      <w:pPr>
        <w:spacing w:after="0" w:line="240" w:lineRule="auto"/>
      </w:pPr>
      <w:r>
        <w:separator/>
      </w:r>
    </w:p>
  </w:endnote>
  <w:endnote w:type="continuationSeparator" w:id="0">
    <w:p w14:paraId="713DE0CB" w14:textId="77777777"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B3CD" w14:textId="77777777" w:rsidR="00974D99" w:rsidRDefault="00974D99">
    <w:pPr>
      <w:pStyle w:val="Footer"/>
    </w:pPr>
    <w:r>
      <w:t>AiManot_110321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0980" w14:textId="77777777" w:rsidR="009A2654" w:rsidRPr="009A2654" w:rsidRDefault="00974D99">
    <w:pPr>
      <w:pStyle w:val="Footer"/>
      <w:rPr>
        <w:rFonts w:ascii="Times New Roman" w:hAnsi="Times New Roman" w:cs="Times New Roman"/>
        <w:sz w:val="20"/>
        <w:szCs w:val="20"/>
      </w:rPr>
    </w:pPr>
    <w:r>
      <w:rPr>
        <w:rFonts w:ascii="Times New Roman" w:hAnsi="Times New Roman" w:cs="Times New Roman"/>
        <w:sz w:val="20"/>
        <w:szCs w:val="20"/>
      </w:rPr>
      <w:t>AiManot_110321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675F" w14:textId="77777777" w:rsidR="004E49BD" w:rsidRDefault="004E49BD" w:rsidP="00894C55">
      <w:pPr>
        <w:spacing w:after="0" w:line="240" w:lineRule="auto"/>
      </w:pPr>
      <w:r>
        <w:separator/>
      </w:r>
    </w:p>
  </w:footnote>
  <w:footnote w:type="continuationSeparator" w:id="0">
    <w:p w14:paraId="3339DFC9" w14:textId="77777777" w:rsidR="004E49BD" w:rsidRDefault="004E49BD" w:rsidP="00894C55">
      <w:pPr>
        <w:spacing w:after="0" w:line="240" w:lineRule="auto"/>
      </w:pPr>
      <w:r>
        <w:continuationSeparator/>
      </w:r>
    </w:p>
  </w:footnote>
  <w:footnote w:id="1">
    <w:p w14:paraId="14C10144" w14:textId="77777777" w:rsidR="00084EFF" w:rsidRPr="00770CB4" w:rsidRDefault="00084EFF" w:rsidP="00084EFF">
      <w:pPr>
        <w:pStyle w:val="FootnoteText"/>
        <w:rPr>
          <w:rFonts w:ascii="Times New Roman" w:hAnsi="Times New Roman" w:cs="Times New Roman"/>
        </w:rPr>
      </w:pPr>
      <w:r w:rsidRPr="00770CB4">
        <w:rPr>
          <w:rStyle w:val="FootnoteReference"/>
          <w:rFonts w:ascii="Times New Roman" w:hAnsi="Times New Roman" w:cs="Times New Roman"/>
        </w:rPr>
        <w:footnoteRef/>
      </w:r>
      <w:r w:rsidRPr="00770CB4">
        <w:rPr>
          <w:rFonts w:ascii="Times New Roman" w:hAnsi="Times New Roman" w:cs="Times New Roman"/>
        </w:rPr>
        <w:t xml:space="preserve"> https://eur-lex.europa.eu/legal-content/LV/TXT/HTML/?uri=CELEX:32019R0452&amp;from=lv</w:t>
      </w:r>
    </w:p>
  </w:footnote>
  <w:footnote w:id="2">
    <w:p w14:paraId="4B5A5363" w14:textId="77777777" w:rsidR="00B5461B" w:rsidRPr="00770CB4" w:rsidRDefault="00B5461B" w:rsidP="00B5461B">
      <w:pPr>
        <w:pStyle w:val="FootnoteText"/>
        <w:rPr>
          <w:rFonts w:ascii="Times New Roman" w:hAnsi="Times New Roman" w:cs="Times New Roman"/>
        </w:rPr>
      </w:pPr>
      <w:r>
        <w:rPr>
          <w:rStyle w:val="FootnoteReference"/>
        </w:rPr>
        <w:footnoteRef/>
      </w:r>
      <w:r>
        <w:t xml:space="preserve"> </w:t>
      </w:r>
      <w:r w:rsidRPr="00770CB4">
        <w:rPr>
          <w:rFonts w:ascii="Times New Roman" w:hAnsi="Times New Roman" w:cs="Times New Roman"/>
        </w:rPr>
        <w:t>https://likumi.lv/ta/id/14011-nacionalas-drosibas-likums</w:t>
      </w:r>
    </w:p>
  </w:footnote>
  <w:footnote w:id="3">
    <w:p w14:paraId="633DEAF5" w14:textId="77777777" w:rsidR="00B5461B" w:rsidRPr="00770CB4" w:rsidRDefault="00B5461B" w:rsidP="00B5461B">
      <w:pPr>
        <w:pStyle w:val="FootnoteText"/>
        <w:rPr>
          <w:rFonts w:ascii="Times New Roman" w:hAnsi="Times New Roman" w:cs="Times New Roman"/>
        </w:rPr>
      </w:pPr>
      <w:r w:rsidRPr="00770CB4">
        <w:rPr>
          <w:rStyle w:val="FootnoteReference"/>
          <w:rFonts w:ascii="Times New Roman" w:hAnsi="Times New Roman" w:cs="Times New Roman"/>
        </w:rPr>
        <w:footnoteRef/>
      </w:r>
      <w:r w:rsidRPr="00770CB4">
        <w:rPr>
          <w:rFonts w:ascii="Times New Roman" w:hAnsi="Times New Roman" w:cs="Times New Roman"/>
        </w:rPr>
        <w:t xml:space="preserve"> https://likumi.lv/doc.php?id=49833</w:t>
      </w:r>
    </w:p>
  </w:footnote>
  <w:footnote w:id="4">
    <w:p w14:paraId="596BABB8" w14:textId="77777777" w:rsidR="00B5461B" w:rsidRPr="00770CB4" w:rsidRDefault="00B5461B" w:rsidP="00B5461B">
      <w:pPr>
        <w:pStyle w:val="FootnoteText"/>
        <w:rPr>
          <w:rFonts w:ascii="Times New Roman" w:hAnsi="Times New Roman" w:cs="Times New Roman"/>
        </w:rPr>
      </w:pPr>
      <w:r w:rsidRPr="00770CB4">
        <w:rPr>
          <w:rStyle w:val="FootnoteReference"/>
          <w:rFonts w:ascii="Times New Roman" w:hAnsi="Times New Roman" w:cs="Times New Roman"/>
        </w:rPr>
        <w:footnoteRef/>
      </w:r>
      <w:r w:rsidRPr="00770CB4">
        <w:rPr>
          <w:rFonts w:ascii="Times New Roman" w:hAnsi="Times New Roman" w:cs="Times New Roman"/>
        </w:rPr>
        <w:t xml:space="preserve"> https://likumi.lv/ta/id/294210-noteikumi-par-nacionalas-drosibas-likuma-noteikto-instituciju-institucija-iesniedzamas-informacijas-apjomu-iesniegsanas</w:t>
      </w:r>
    </w:p>
  </w:footnote>
  <w:footnote w:id="5">
    <w:p w14:paraId="12A78F35" w14:textId="77777777" w:rsidR="001A6E7B" w:rsidRDefault="001A6E7B">
      <w:pPr>
        <w:pStyle w:val="FootnoteText"/>
      </w:pPr>
      <w:r>
        <w:rPr>
          <w:rStyle w:val="FootnoteReference"/>
        </w:rPr>
        <w:footnoteRef/>
      </w:r>
      <w:r>
        <w:t xml:space="preserve"> </w:t>
      </w:r>
      <w:r w:rsidRPr="001A6E7B">
        <w:t>https://eur-lex.europa.eu/legal-content/lv/TXT/?uri=CELEX%3A32019R0452</w:t>
      </w:r>
    </w:p>
  </w:footnote>
  <w:footnote w:id="6">
    <w:p w14:paraId="412DA42B" w14:textId="77777777" w:rsidR="00DA433A" w:rsidRDefault="00DA433A">
      <w:pPr>
        <w:pStyle w:val="FootnoteText"/>
      </w:pPr>
      <w:r>
        <w:rPr>
          <w:rStyle w:val="FootnoteReference"/>
        </w:rPr>
        <w:footnoteRef/>
      </w:r>
      <w:r>
        <w:t xml:space="preserve"> </w:t>
      </w:r>
      <w:r w:rsidRPr="00DA433A">
        <w:t>http://titania.saeima.lv/LIVS13/saeimalivs13.nsf/webSasaiste?OpenView&amp;restricttocategory=692/Lp13</w:t>
      </w:r>
    </w:p>
  </w:footnote>
  <w:footnote w:id="7">
    <w:p w14:paraId="0EFFDD24" w14:textId="77777777" w:rsidR="00746DDB" w:rsidRDefault="00746DDB">
      <w:pPr>
        <w:pStyle w:val="FootnoteText"/>
      </w:pPr>
      <w:r>
        <w:rPr>
          <w:rStyle w:val="FootnoteReference"/>
        </w:rPr>
        <w:footnoteRef/>
      </w:r>
      <w:r>
        <w:t xml:space="preserve"> </w:t>
      </w:r>
      <w:r w:rsidRPr="00746DDB">
        <w:t>https://www.infosecurity-magazine.com/news/china-steals-personal-data-of-80/</w:t>
      </w:r>
    </w:p>
  </w:footnote>
  <w:footnote w:id="8">
    <w:p w14:paraId="08D3678D" w14:textId="77777777" w:rsidR="00E707D3" w:rsidRDefault="00E707D3">
      <w:pPr>
        <w:pStyle w:val="FootnoteText"/>
      </w:pPr>
      <w:r>
        <w:rPr>
          <w:rStyle w:val="FootnoteReference"/>
        </w:rPr>
        <w:footnoteRef/>
      </w:r>
      <w:r>
        <w:t xml:space="preserve"> </w:t>
      </w:r>
      <w:r w:rsidRPr="00E707D3">
        <w:t>https://www.stratcomcoe.org/data-brokers-and-security</w:t>
      </w:r>
    </w:p>
  </w:footnote>
  <w:footnote w:id="9">
    <w:p w14:paraId="31384BEA" w14:textId="77777777" w:rsidR="00F57104" w:rsidRPr="00770CB4" w:rsidRDefault="00F57104" w:rsidP="00F57104">
      <w:pPr>
        <w:pStyle w:val="FootnoteText"/>
        <w:rPr>
          <w:rFonts w:ascii="Times New Roman" w:hAnsi="Times New Roman" w:cs="Times New Roman"/>
        </w:rPr>
      </w:pPr>
      <w:r>
        <w:rPr>
          <w:rStyle w:val="FootnoteReference"/>
        </w:rPr>
        <w:footnoteRef/>
      </w:r>
      <w:r>
        <w:t xml:space="preserve"> </w:t>
      </w:r>
      <w:r w:rsidRPr="00770CB4">
        <w:rPr>
          <w:rFonts w:ascii="Times New Roman" w:hAnsi="Times New Roman" w:cs="Times New Roman"/>
        </w:rPr>
        <w:t>https://www.nationaldefensemagazine.org/articles/2020/7/2/officials-fear-chinese-predatory-acquisitions-during-pandemic</w:t>
      </w:r>
    </w:p>
  </w:footnote>
  <w:footnote w:id="10">
    <w:p w14:paraId="57C5129E" w14:textId="77777777" w:rsidR="00F67C10" w:rsidRDefault="00F67C10">
      <w:pPr>
        <w:pStyle w:val="FootnoteText"/>
      </w:pPr>
      <w:r>
        <w:rPr>
          <w:rStyle w:val="FootnoteReference"/>
        </w:rPr>
        <w:footnoteRef/>
      </w:r>
      <w:r>
        <w:t xml:space="preserve"> </w:t>
      </w:r>
      <w:r w:rsidRPr="00F67C10">
        <w:t>https://www.legifrance.gouv.fr/codes/id/LEGIARTI000038525150/2019-05-24/</w:t>
      </w:r>
    </w:p>
  </w:footnote>
  <w:footnote w:id="11">
    <w:p w14:paraId="3E682398" w14:textId="77777777" w:rsidR="00F67C10" w:rsidRDefault="00F67C10">
      <w:pPr>
        <w:pStyle w:val="FootnoteText"/>
      </w:pPr>
      <w:r>
        <w:rPr>
          <w:rStyle w:val="FootnoteReference"/>
        </w:rPr>
        <w:footnoteRef/>
      </w:r>
      <w:r>
        <w:t xml:space="preserve"> </w:t>
      </w:r>
      <w:r w:rsidRPr="00F67C10">
        <w:t>https://www.legifrance.gouv.fr/jorf/id/JORFTEXT000039727443/</w:t>
      </w:r>
    </w:p>
  </w:footnote>
  <w:footnote w:id="12">
    <w:p w14:paraId="3C2A6326" w14:textId="77777777" w:rsidR="00F67C10" w:rsidRDefault="00F67C10">
      <w:pPr>
        <w:pStyle w:val="FootnoteText"/>
      </w:pPr>
      <w:r>
        <w:rPr>
          <w:rStyle w:val="FootnoteReference"/>
        </w:rPr>
        <w:footnoteRef/>
      </w:r>
      <w:r>
        <w:t xml:space="preserve"> </w:t>
      </w:r>
      <w:r w:rsidRPr="00F67C10">
        <w:t>http://www.oecd.org/investment/OECD-Acquisition-ownership-policies-security-May2020.pdf</w:t>
      </w:r>
    </w:p>
  </w:footnote>
  <w:footnote w:id="13">
    <w:p w14:paraId="412A75FB" w14:textId="77777777" w:rsidR="00C40783" w:rsidRDefault="00C40783" w:rsidP="00C40783">
      <w:pPr>
        <w:pStyle w:val="FootnoteText"/>
      </w:pPr>
      <w:r>
        <w:rPr>
          <w:rStyle w:val="FootnoteReference"/>
        </w:rPr>
        <w:footnoteRef/>
      </w:r>
      <w:r>
        <w:t xml:space="preserve"> </w:t>
      </w:r>
      <w:hyperlink r:id="rId1" w:history="1">
        <w:r w:rsidRPr="000F559D">
          <w:rPr>
            <w:rStyle w:val="Hyperlink"/>
            <w:rFonts w:ascii="Times New Roman" w:hAnsi="Times New Roman"/>
            <w:sz w:val="18"/>
            <w:szCs w:val="18"/>
          </w:rPr>
          <w:t>https://profizgl.lu.lv/mod/book/tool/print/index.php?id=16789</w:t>
        </w:r>
      </w:hyperlink>
      <w:r>
        <w:t xml:space="preserve"> </w:t>
      </w:r>
    </w:p>
  </w:footnote>
  <w:footnote w:id="14">
    <w:p w14:paraId="14FCFB79" w14:textId="77777777" w:rsidR="00910DEA" w:rsidRDefault="00910DEA">
      <w:pPr>
        <w:pStyle w:val="FootnoteText"/>
      </w:pPr>
      <w:r>
        <w:rPr>
          <w:rStyle w:val="FootnoteReference"/>
        </w:rPr>
        <w:footnoteRef/>
      </w:r>
      <w:r>
        <w:t xml:space="preserve"> </w:t>
      </w:r>
      <w:r w:rsidRPr="00910DEA">
        <w:t>https://trade.ec.europa.eu/doclib/docs/2020/september/tradoc_158955.pdf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BD12D2" w14:textId="3D67DE5B"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257C">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02"/>
    <w:rsid w:val="00052B09"/>
    <w:rsid w:val="00061A17"/>
    <w:rsid w:val="00084EFF"/>
    <w:rsid w:val="000C5B87"/>
    <w:rsid w:val="000F1F4F"/>
    <w:rsid w:val="00106191"/>
    <w:rsid w:val="0015573D"/>
    <w:rsid w:val="001812DE"/>
    <w:rsid w:val="00185E84"/>
    <w:rsid w:val="00187232"/>
    <w:rsid w:val="001A0B38"/>
    <w:rsid w:val="001A6E7B"/>
    <w:rsid w:val="001A6F33"/>
    <w:rsid w:val="001B6A66"/>
    <w:rsid w:val="001C608A"/>
    <w:rsid w:val="001C6C8E"/>
    <w:rsid w:val="001F7DCD"/>
    <w:rsid w:val="00243426"/>
    <w:rsid w:val="00271529"/>
    <w:rsid w:val="002E1527"/>
    <w:rsid w:val="002E1C05"/>
    <w:rsid w:val="00321032"/>
    <w:rsid w:val="0033225A"/>
    <w:rsid w:val="003651D5"/>
    <w:rsid w:val="00370C11"/>
    <w:rsid w:val="00374652"/>
    <w:rsid w:val="00380ADF"/>
    <w:rsid w:val="00393A7E"/>
    <w:rsid w:val="003A4CE9"/>
    <w:rsid w:val="003B0BF9"/>
    <w:rsid w:val="003D20B5"/>
    <w:rsid w:val="003E0791"/>
    <w:rsid w:val="003F28AC"/>
    <w:rsid w:val="00400F69"/>
    <w:rsid w:val="00440BF2"/>
    <w:rsid w:val="00442D70"/>
    <w:rsid w:val="004454FE"/>
    <w:rsid w:val="00456E40"/>
    <w:rsid w:val="00471F27"/>
    <w:rsid w:val="004A7D36"/>
    <w:rsid w:val="004D2403"/>
    <w:rsid w:val="004D6FF8"/>
    <w:rsid w:val="004E49BD"/>
    <w:rsid w:val="004F257C"/>
    <w:rsid w:val="004F36EE"/>
    <w:rsid w:val="0050178F"/>
    <w:rsid w:val="00510CD2"/>
    <w:rsid w:val="00522D7A"/>
    <w:rsid w:val="00524CBD"/>
    <w:rsid w:val="0053723E"/>
    <w:rsid w:val="005451D3"/>
    <w:rsid w:val="005537E6"/>
    <w:rsid w:val="00584732"/>
    <w:rsid w:val="00584EE3"/>
    <w:rsid w:val="005B76C5"/>
    <w:rsid w:val="006211FB"/>
    <w:rsid w:val="006757BF"/>
    <w:rsid w:val="006B2243"/>
    <w:rsid w:val="006D10AB"/>
    <w:rsid w:val="006E1081"/>
    <w:rsid w:val="006E5FA4"/>
    <w:rsid w:val="006F4A05"/>
    <w:rsid w:val="00720585"/>
    <w:rsid w:val="00726B58"/>
    <w:rsid w:val="00741B22"/>
    <w:rsid w:val="00746DDB"/>
    <w:rsid w:val="00747CC2"/>
    <w:rsid w:val="0076759F"/>
    <w:rsid w:val="00773AF6"/>
    <w:rsid w:val="00795F71"/>
    <w:rsid w:val="007B0D8E"/>
    <w:rsid w:val="007E73AB"/>
    <w:rsid w:val="007F2A20"/>
    <w:rsid w:val="00816C11"/>
    <w:rsid w:val="00867D9D"/>
    <w:rsid w:val="00894C55"/>
    <w:rsid w:val="008A40AF"/>
    <w:rsid w:val="008B1AF8"/>
    <w:rsid w:val="008E210E"/>
    <w:rsid w:val="008F712F"/>
    <w:rsid w:val="00903348"/>
    <w:rsid w:val="00910DEA"/>
    <w:rsid w:val="00974D99"/>
    <w:rsid w:val="009A2654"/>
    <w:rsid w:val="009E1AA1"/>
    <w:rsid w:val="009E277E"/>
    <w:rsid w:val="009F5B3B"/>
    <w:rsid w:val="00A03F2E"/>
    <w:rsid w:val="00A10FC3"/>
    <w:rsid w:val="00A16659"/>
    <w:rsid w:val="00A40C4B"/>
    <w:rsid w:val="00A6073E"/>
    <w:rsid w:val="00AA6C30"/>
    <w:rsid w:val="00AD64CF"/>
    <w:rsid w:val="00AE5567"/>
    <w:rsid w:val="00AF47A4"/>
    <w:rsid w:val="00B014C1"/>
    <w:rsid w:val="00B16480"/>
    <w:rsid w:val="00B2165C"/>
    <w:rsid w:val="00B5461B"/>
    <w:rsid w:val="00B558DA"/>
    <w:rsid w:val="00B607F5"/>
    <w:rsid w:val="00B94B27"/>
    <w:rsid w:val="00BA20AA"/>
    <w:rsid w:val="00BA4D2F"/>
    <w:rsid w:val="00BA5CDA"/>
    <w:rsid w:val="00BB2D99"/>
    <w:rsid w:val="00BD2319"/>
    <w:rsid w:val="00BD4425"/>
    <w:rsid w:val="00BD7324"/>
    <w:rsid w:val="00C10EC8"/>
    <w:rsid w:val="00C25B49"/>
    <w:rsid w:val="00C272B0"/>
    <w:rsid w:val="00C27AA3"/>
    <w:rsid w:val="00C3027E"/>
    <w:rsid w:val="00C40783"/>
    <w:rsid w:val="00C52955"/>
    <w:rsid w:val="00C87CAE"/>
    <w:rsid w:val="00CA269B"/>
    <w:rsid w:val="00CB7C58"/>
    <w:rsid w:val="00CD526E"/>
    <w:rsid w:val="00CD59DD"/>
    <w:rsid w:val="00CD5E7E"/>
    <w:rsid w:val="00CD697F"/>
    <w:rsid w:val="00CE5657"/>
    <w:rsid w:val="00D00673"/>
    <w:rsid w:val="00D057D8"/>
    <w:rsid w:val="00D133F8"/>
    <w:rsid w:val="00D14A3E"/>
    <w:rsid w:val="00D22FB8"/>
    <w:rsid w:val="00D60A11"/>
    <w:rsid w:val="00D65B50"/>
    <w:rsid w:val="00D849AD"/>
    <w:rsid w:val="00D917ED"/>
    <w:rsid w:val="00DA433A"/>
    <w:rsid w:val="00DD0E73"/>
    <w:rsid w:val="00DD2D1F"/>
    <w:rsid w:val="00DE7EC0"/>
    <w:rsid w:val="00E27A6C"/>
    <w:rsid w:val="00E31F7D"/>
    <w:rsid w:val="00E3716B"/>
    <w:rsid w:val="00E410BD"/>
    <w:rsid w:val="00E41F91"/>
    <w:rsid w:val="00E4252F"/>
    <w:rsid w:val="00E5323B"/>
    <w:rsid w:val="00E707D3"/>
    <w:rsid w:val="00E8147C"/>
    <w:rsid w:val="00E8749E"/>
    <w:rsid w:val="00E90C01"/>
    <w:rsid w:val="00EA486E"/>
    <w:rsid w:val="00F04E38"/>
    <w:rsid w:val="00F25105"/>
    <w:rsid w:val="00F3757E"/>
    <w:rsid w:val="00F41C20"/>
    <w:rsid w:val="00F43271"/>
    <w:rsid w:val="00F57104"/>
    <w:rsid w:val="00F57B0C"/>
    <w:rsid w:val="00F67C10"/>
    <w:rsid w:val="00F81ADF"/>
    <w:rsid w:val="00F874CF"/>
    <w:rsid w:val="00F933FA"/>
    <w:rsid w:val="00FC47E1"/>
    <w:rsid w:val="00FD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8B2D0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8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FF"/>
    <w:rPr>
      <w:sz w:val="20"/>
      <w:szCs w:val="20"/>
    </w:rPr>
  </w:style>
  <w:style w:type="character" w:styleId="FootnoteReference">
    <w:name w:val="footnote reference"/>
    <w:basedOn w:val="DefaultParagraphFont"/>
    <w:uiPriority w:val="99"/>
    <w:semiHidden/>
    <w:unhideWhenUsed/>
    <w:rsid w:val="00084EFF"/>
    <w:rPr>
      <w:vertAlign w:val="superscript"/>
    </w:rPr>
  </w:style>
  <w:style w:type="character" w:styleId="CommentReference">
    <w:name w:val="annotation reference"/>
    <w:basedOn w:val="DefaultParagraphFont"/>
    <w:uiPriority w:val="99"/>
    <w:semiHidden/>
    <w:unhideWhenUsed/>
    <w:rsid w:val="00374652"/>
    <w:rPr>
      <w:sz w:val="16"/>
      <w:szCs w:val="16"/>
    </w:rPr>
  </w:style>
  <w:style w:type="paragraph" w:styleId="CommentText">
    <w:name w:val="annotation text"/>
    <w:basedOn w:val="Normal"/>
    <w:link w:val="CommentTextChar"/>
    <w:uiPriority w:val="99"/>
    <w:semiHidden/>
    <w:unhideWhenUsed/>
    <w:rsid w:val="00374652"/>
    <w:pPr>
      <w:spacing w:line="240" w:lineRule="auto"/>
    </w:pPr>
    <w:rPr>
      <w:sz w:val="20"/>
      <w:szCs w:val="20"/>
    </w:rPr>
  </w:style>
  <w:style w:type="character" w:customStyle="1" w:styleId="CommentTextChar">
    <w:name w:val="Comment Text Char"/>
    <w:basedOn w:val="DefaultParagraphFont"/>
    <w:link w:val="CommentText"/>
    <w:uiPriority w:val="99"/>
    <w:semiHidden/>
    <w:rsid w:val="00374652"/>
    <w:rPr>
      <w:sz w:val="20"/>
      <w:szCs w:val="20"/>
    </w:rPr>
  </w:style>
  <w:style w:type="paragraph" w:styleId="CommentSubject">
    <w:name w:val="annotation subject"/>
    <w:basedOn w:val="CommentText"/>
    <w:next w:val="CommentText"/>
    <w:link w:val="CommentSubjectChar"/>
    <w:uiPriority w:val="99"/>
    <w:semiHidden/>
    <w:unhideWhenUsed/>
    <w:rsid w:val="00374652"/>
    <w:rPr>
      <w:b/>
      <w:bCs/>
    </w:rPr>
  </w:style>
  <w:style w:type="character" w:customStyle="1" w:styleId="CommentSubjectChar">
    <w:name w:val="Comment Subject Char"/>
    <w:basedOn w:val="CommentTextChar"/>
    <w:link w:val="CommentSubject"/>
    <w:uiPriority w:val="99"/>
    <w:semiHidden/>
    <w:rsid w:val="00374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Rublevska@mod.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dgars.Svarenieks@mo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fizgl.lu.lv/mod/book/tool/print/index.php?id=167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442B"/>
    <w:rsid w:val="00472F39"/>
    <w:rsid w:val="00523A63"/>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98D9-DAFA-4E87-BB86-F707BEAF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19076</Words>
  <Characters>10874</Characters>
  <Application>Microsoft Office Word</Application>
  <DocSecurity>4</DocSecurity>
  <Lines>90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Zane Garbare</cp:lastModifiedBy>
  <cp:revision>2</cp:revision>
  <dcterms:created xsi:type="dcterms:W3CDTF">2021-03-30T07:38:00Z</dcterms:created>
  <dcterms:modified xsi:type="dcterms:W3CDTF">2021-03-30T07:38:00Z</dcterms:modified>
</cp:coreProperties>
</file>