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6684" w14:textId="16401C62" w:rsidR="00FE3D8C" w:rsidRPr="00E3666E" w:rsidRDefault="00032471" w:rsidP="00E30940">
      <w:pPr>
        <w:jc w:val="center"/>
        <w:rPr>
          <w:b/>
          <w:sz w:val="24"/>
          <w:szCs w:val="24"/>
          <w:lang w:val="lv-LV"/>
        </w:rPr>
      </w:pPr>
      <w:bookmarkStart w:id="0" w:name="_Hlk58398606"/>
      <w:bookmarkStart w:id="1" w:name="_Hlk58435028"/>
      <w:bookmarkStart w:id="2" w:name="OLE_LINK3"/>
      <w:bookmarkStart w:id="3" w:name="OLE_LINK1"/>
      <w:bookmarkStart w:id="4" w:name="OLE_LINK2"/>
      <w:r w:rsidRPr="00E3666E">
        <w:rPr>
          <w:b/>
          <w:sz w:val="24"/>
          <w:szCs w:val="24"/>
          <w:lang w:val="lv-LV"/>
        </w:rPr>
        <w:t xml:space="preserve">Ministru kabineta </w:t>
      </w:r>
      <w:r w:rsidR="00862C0C" w:rsidRPr="00E3666E">
        <w:rPr>
          <w:b/>
          <w:sz w:val="24"/>
          <w:szCs w:val="24"/>
          <w:lang w:val="lv-LV"/>
        </w:rPr>
        <w:t>rīkojuma</w:t>
      </w:r>
      <w:r w:rsidRPr="00E3666E">
        <w:rPr>
          <w:b/>
          <w:sz w:val="24"/>
          <w:szCs w:val="24"/>
          <w:lang w:val="lv-LV"/>
        </w:rPr>
        <w:t xml:space="preserve"> projekt</w:t>
      </w:r>
      <w:r w:rsidR="004D3527" w:rsidRPr="00E3666E">
        <w:rPr>
          <w:b/>
          <w:sz w:val="24"/>
          <w:szCs w:val="24"/>
          <w:lang w:val="lv-LV"/>
        </w:rPr>
        <w:t>a</w:t>
      </w:r>
      <w:r w:rsidRPr="00E3666E">
        <w:rPr>
          <w:b/>
          <w:sz w:val="24"/>
          <w:szCs w:val="24"/>
          <w:lang w:val="lv-LV"/>
        </w:rPr>
        <w:t xml:space="preserve"> </w:t>
      </w:r>
      <w:r w:rsidR="003D3CA2" w:rsidRPr="00E30940">
        <w:rPr>
          <w:b/>
          <w:bCs/>
          <w:sz w:val="24"/>
          <w:szCs w:val="24"/>
          <w:lang w:val="lv-LV"/>
        </w:rPr>
        <w:t>“</w:t>
      </w:r>
      <w:bookmarkStart w:id="5" w:name="_Hlk63091339"/>
      <w:r w:rsidR="00E30940" w:rsidRPr="00E30940">
        <w:rPr>
          <w:rFonts w:eastAsia="Times New Roman"/>
          <w:b/>
          <w:bCs/>
          <w:sz w:val="24"/>
          <w:szCs w:val="24"/>
          <w:lang w:val="lv-LV" w:eastAsia="lv-LV"/>
        </w:rPr>
        <w:t xml:space="preserve">Par akciju sabiedrības </w:t>
      </w:r>
      <w:r w:rsidR="00E30940" w:rsidRPr="00E30940">
        <w:rPr>
          <w:b/>
          <w:bCs/>
          <w:color w:val="000000" w:themeColor="text1"/>
          <w:sz w:val="24"/>
          <w:szCs w:val="24"/>
          <w:lang w:val="lv-LV"/>
        </w:rPr>
        <w:t xml:space="preserve">“Attīstības finanšu institūcija Altum” </w:t>
      </w:r>
      <w:r w:rsidR="00E30940" w:rsidRPr="00E30940">
        <w:rPr>
          <w:rFonts w:eastAsia="Times New Roman"/>
          <w:b/>
          <w:bCs/>
          <w:sz w:val="24"/>
          <w:szCs w:val="24"/>
          <w:lang w:val="lv-LV" w:eastAsia="lv-LV"/>
        </w:rPr>
        <w:t>rezerves kapitāla palielināšanu</w:t>
      </w:r>
      <w:bookmarkEnd w:id="5"/>
      <w:r w:rsidR="00A658C7" w:rsidRPr="00E30940">
        <w:rPr>
          <w:b/>
          <w:bCs/>
          <w:sz w:val="24"/>
          <w:szCs w:val="24"/>
          <w:lang w:val="lv-LV"/>
        </w:rPr>
        <w:t>”</w:t>
      </w:r>
      <w:bookmarkEnd w:id="0"/>
      <w:r w:rsidR="003C585E" w:rsidRPr="00E30940">
        <w:rPr>
          <w:b/>
          <w:bCs/>
          <w:sz w:val="24"/>
          <w:szCs w:val="24"/>
          <w:lang w:val="lv-LV"/>
        </w:rPr>
        <w:t xml:space="preserve"> </w:t>
      </w:r>
      <w:bookmarkEnd w:id="1"/>
      <w:r w:rsidRPr="00E30940">
        <w:rPr>
          <w:b/>
          <w:bCs/>
          <w:sz w:val="24"/>
          <w:szCs w:val="24"/>
          <w:lang w:val="lv-LV"/>
        </w:rPr>
        <w:t>sākotnējās</w:t>
      </w:r>
      <w:r w:rsidRPr="00E30940">
        <w:rPr>
          <w:b/>
          <w:sz w:val="24"/>
          <w:szCs w:val="24"/>
          <w:lang w:val="lv-LV"/>
        </w:rPr>
        <w:t xml:space="preserve"> ietekmes novērtējuma ziņojums (anotācija</w:t>
      </w:r>
      <w:r w:rsidRPr="00E3666E">
        <w:rPr>
          <w:b/>
          <w:sz w:val="24"/>
          <w:szCs w:val="24"/>
          <w:lang w:val="lv-LV"/>
        </w:rPr>
        <w:t>)</w:t>
      </w:r>
    </w:p>
    <w:p w14:paraId="3C1007C9" w14:textId="4E078B33" w:rsidR="00FA4414" w:rsidRPr="00E3666E" w:rsidRDefault="00FA4414" w:rsidP="00B043DE">
      <w:pPr>
        <w:shd w:val="clear" w:color="auto" w:fill="FFFFFF"/>
        <w:contextualSpacing/>
        <w:jc w:val="center"/>
        <w:rPr>
          <w:b/>
          <w:sz w:val="24"/>
          <w:szCs w:val="24"/>
          <w:lang w:val="lv-LV"/>
        </w:rPr>
      </w:pPr>
    </w:p>
    <w:tbl>
      <w:tblPr>
        <w:tblStyle w:val="TableGrid"/>
        <w:tblW w:w="9351" w:type="dxa"/>
        <w:tblLook w:val="04A0" w:firstRow="1" w:lastRow="0" w:firstColumn="1" w:lastColumn="0" w:noHBand="0" w:noVBand="1"/>
      </w:tblPr>
      <w:tblGrid>
        <w:gridCol w:w="9351"/>
      </w:tblGrid>
      <w:tr w:rsidR="00E3666E" w:rsidRPr="00E3666E" w14:paraId="7373A016" w14:textId="77777777" w:rsidTr="003255EA">
        <w:trPr>
          <w:trHeight w:val="280"/>
        </w:trPr>
        <w:tc>
          <w:tcPr>
            <w:tcW w:w="9351" w:type="dxa"/>
            <w:vAlign w:val="center"/>
          </w:tcPr>
          <w:bookmarkEnd w:id="2"/>
          <w:bookmarkEnd w:id="3"/>
          <w:bookmarkEnd w:id="4"/>
          <w:p w14:paraId="6B27DDC4" w14:textId="77777777" w:rsidR="00E3666E" w:rsidRPr="00E3666E" w:rsidRDefault="00E3666E" w:rsidP="00F359D0">
            <w:pPr>
              <w:contextualSpacing/>
              <w:jc w:val="center"/>
              <w:rPr>
                <w:b/>
                <w:sz w:val="24"/>
                <w:szCs w:val="24"/>
                <w:lang w:val="lv-LV"/>
              </w:rPr>
            </w:pPr>
            <w:r w:rsidRPr="00E3666E">
              <w:rPr>
                <w:rFonts w:eastAsia="Times New Roman"/>
                <w:b/>
                <w:bCs/>
                <w:iCs/>
                <w:sz w:val="24"/>
                <w:szCs w:val="24"/>
                <w:lang w:val="lv-LV" w:eastAsia="lv-LV"/>
              </w:rPr>
              <w:t>Tiesību akta projekta anotācijas kopsavilkums</w:t>
            </w:r>
          </w:p>
        </w:tc>
      </w:tr>
      <w:tr w:rsidR="00F359D0" w:rsidRPr="00E3666E" w14:paraId="7A0BAB88" w14:textId="77777777" w:rsidTr="00F359D0">
        <w:trPr>
          <w:trHeight w:val="571"/>
        </w:trPr>
        <w:tc>
          <w:tcPr>
            <w:tcW w:w="9351" w:type="dxa"/>
          </w:tcPr>
          <w:p w14:paraId="452BC3C5" w14:textId="77777777" w:rsidR="00F359D0" w:rsidRDefault="00F359D0" w:rsidP="00F359D0">
            <w:pPr>
              <w:jc w:val="both"/>
              <w:rPr>
                <w:rFonts w:eastAsia="Times New Roman"/>
                <w:iCs/>
                <w:sz w:val="24"/>
                <w:szCs w:val="24"/>
                <w:lang w:val="lv-LV" w:eastAsia="lv-LV"/>
              </w:rPr>
            </w:pPr>
            <w:r>
              <w:rPr>
                <w:rFonts w:eastAsia="Times New Roman"/>
                <w:iCs/>
                <w:sz w:val="24"/>
                <w:szCs w:val="24"/>
                <w:lang w:val="lv-LV" w:eastAsia="lv-LV"/>
              </w:rPr>
              <w:t>Kopsavilkums nav aizpildāms saskaņā ar Ministru kabineta 2009.gada 15.decembra instrukcijas Nr.19 “Tiesību akta projekta sākotnējās ietekmes izvērtēšanas kārtība” 5.</w:t>
            </w:r>
            <w:r>
              <w:rPr>
                <w:rFonts w:eastAsia="Times New Roman"/>
                <w:iCs/>
                <w:sz w:val="24"/>
                <w:szCs w:val="24"/>
                <w:vertAlign w:val="superscript"/>
                <w:lang w:val="lv-LV" w:eastAsia="lv-LV"/>
              </w:rPr>
              <w:t>1</w:t>
            </w:r>
            <w:r>
              <w:rPr>
                <w:rFonts w:eastAsia="Times New Roman"/>
                <w:iCs/>
                <w:sz w:val="24"/>
                <w:szCs w:val="24"/>
                <w:lang w:val="lv-LV" w:eastAsia="lv-LV"/>
              </w:rPr>
              <w:t>punktu.</w:t>
            </w:r>
          </w:p>
          <w:p w14:paraId="32A4DEFF" w14:textId="5517BC24" w:rsidR="00F359D0" w:rsidRPr="00E3666E" w:rsidRDefault="00F359D0" w:rsidP="003255EA">
            <w:pPr>
              <w:jc w:val="both"/>
              <w:rPr>
                <w:rFonts w:eastAsia="Times New Roman"/>
                <w:iCs/>
                <w:sz w:val="24"/>
                <w:szCs w:val="24"/>
                <w:lang w:val="lv-LV" w:eastAsia="lv-LV"/>
              </w:rPr>
            </w:pPr>
          </w:p>
        </w:tc>
      </w:tr>
    </w:tbl>
    <w:p w14:paraId="2CC08AE0" w14:textId="77777777" w:rsidR="00E3666E" w:rsidRPr="00E3666E" w:rsidRDefault="00E3666E" w:rsidP="00E3666E">
      <w:pPr>
        <w:shd w:val="clear" w:color="auto" w:fill="FFFFFF"/>
        <w:contextualSpacing/>
        <w:jc w:val="center"/>
        <w:rPr>
          <w:b/>
          <w:sz w:val="24"/>
          <w:szCs w:val="24"/>
          <w:lang w:val="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294"/>
        <w:gridCol w:w="1847"/>
        <w:gridCol w:w="7207"/>
      </w:tblGrid>
      <w:tr w:rsidR="00E3666E" w:rsidRPr="00E3666E" w14:paraId="1BFF5E62" w14:textId="77777777" w:rsidTr="003255EA">
        <w:trPr>
          <w:trHeight w:val="307"/>
        </w:trPr>
        <w:tc>
          <w:tcPr>
            <w:tcW w:w="9348" w:type="dxa"/>
            <w:gridSpan w:val="3"/>
            <w:tcBorders>
              <w:top w:val="outset" w:sz="6" w:space="0" w:color="414142"/>
              <w:left w:val="outset" w:sz="6" w:space="0" w:color="414142"/>
              <w:bottom w:val="outset" w:sz="6" w:space="0" w:color="414142"/>
              <w:right w:val="outset" w:sz="6" w:space="0" w:color="414142"/>
            </w:tcBorders>
            <w:hideMark/>
          </w:tcPr>
          <w:p w14:paraId="719C80A0" w14:textId="77777777" w:rsidR="00E3666E" w:rsidRPr="00E3666E" w:rsidRDefault="00E3666E" w:rsidP="003255EA">
            <w:pPr>
              <w:tabs>
                <w:tab w:val="left" w:pos="5888"/>
              </w:tabs>
              <w:contextualSpacing/>
              <w:jc w:val="center"/>
              <w:rPr>
                <w:rFonts w:eastAsia="Times New Roman"/>
                <w:sz w:val="24"/>
                <w:szCs w:val="24"/>
                <w:lang w:val="lv-LV" w:eastAsia="lv-LV"/>
              </w:rPr>
            </w:pPr>
            <w:r w:rsidRPr="00E3666E">
              <w:rPr>
                <w:b/>
                <w:sz w:val="24"/>
                <w:szCs w:val="24"/>
                <w:lang w:val="lv-LV"/>
              </w:rPr>
              <w:t>I. Tiesību akta projekta izstrādes nepieciešamība</w:t>
            </w:r>
          </w:p>
        </w:tc>
      </w:tr>
      <w:tr w:rsidR="00E3666E" w:rsidRPr="00E3666E" w14:paraId="512F6445" w14:textId="77777777" w:rsidTr="003255EA">
        <w:trPr>
          <w:trHeight w:val="405"/>
        </w:trPr>
        <w:tc>
          <w:tcPr>
            <w:tcW w:w="294" w:type="dxa"/>
            <w:tcBorders>
              <w:top w:val="outset" w:sz="6" w:space="0" w:color="414142"/>
              <w:left w:val="outset" w:sz="6" w:space="0" w:color="414142"/>
              <w:bottom w:val="outset" w:sz="6" w:space="0" w:color="414142"/>
              <w:right w:val="outset" w:sz="6" w:space="0" w:color="414142"/>
            </w:tcBorders>
            <w:hideMark/>
          </w:tcPr>
          <w:p w14:paraId="2ED48A94"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1.</w:t>
            </w:r>
          </w:p>
        </w:tc>
        <w:tc>
          <w:tcPr>
            <w:tcW w:w="1847" w:type="dxa"/>
            <w:tcBorders>
              <w:top w:val="outset" w:sz="6" w:space="0" w:color="414142"/>
              <w:left w:val="outset" w:sz="6" w:space="0" w:color="414142"/>
              <w:bottom w:val="outset" w:sz="6" w:space="0" w:color="414142"/>
              <w:right w:val="outset" w:sz="6" w:space="0" w:color="414142"/>
            </w:tcBorders>
            <w:hideMark/>
          </w:tcPr>
          <w:p w14:paraId="2AD5135A"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Pamatojums</w:t>
            </w:r>
          </w:p>
        </w:tc>
        <w:tc>
          <w:tcPr>
            <w:tcW w:w="7207" w:type="dxa"/>
            <w:tcBorders>
              <w:top w:val="outset" w:sz="6" w:space="0" w:color="414142"/>
              <w:left w:val="outset" w:sz="6" w:space="0" w:color="414142"/>
              <w:bottom w:val="outset" w:sz="6" w:space="0" w:color="414142"/>
              <w:right w:val="outset" w:sz="6" w:space="0" w:color="414142"/>
            </w:tcBorders>
            <w:hideMark/>
          </w:tcPr>
          <w:p w14:paraId="4B543764" w14:textId="18C73579" w:rsidR="00E3666E" w:rsidRPr="00E30940" w:rsidRDefault="00F359D0" w:rsidP="00E30940">
            <w:pPr>
              <w:spacing w:before="120"/>
              <w:ind w:right="250"/>
              <w:jc w:val="both"/>
              <w:rPr>
                <w:rFonts w:eastAsia="Times New Roman"/>
                <w:b/>
                <w:bCs/>
                <w:sz w:val="24"/>
                <w:szCs w:val="24"/>
                <w:lang w:eastAsia="lv-LV"/>
              </w:rPr>
            </w:pPr>
            <w:r w:rsidRPr="00E30940">
              <w:rPr>
                <w:bCs/>
                <w:sz w:val="24"/>
                <w:szCs w:val="24"/>
                <w:lang w:val="lv-LV"/>
              </w:rPr>
              <w:t xml:space="preserve">Ministru kabineta rīkojuma projekts </w:t>
            </w:r>
            <w:r w:rsidRPr="00E30940">
              <w:rPr>
                <w:b/>
                <w:bCs/>
                <w:sz w:val="24"/>
                <w:szCs w:val="24"/>
                <w:lang w:val="lv-LV"/>
              </w:rPr>
              <w:t>“</w:t>
            </w:r>
            <w:r w:rsidR="00E30940" w:rsidRPr="00E30940">
              <w:rPr>
                <w:rFonts w:eastAsia="Times New Roman"/>
                <w:sz w:val="24"/>
                <w:szCs w:val="24"/>
                <w:lang w:val="lv-LV" w:eastAsia="lv-LV"/>
              </w:rPr>
              <w:t xml:space="preserve">Par akciju sabiedrības </w:t>
            </w:r>
            <w:r w:rsidR="00E30940" w:rsidRPr="00E30940">
              <w:rPr>
                <w:color w:val="000000" w:themeColor="text1"/>
                <w:sz w:val="24"/>
                <w:szCs w:val="24"/>
                <w:lang w:val="lv-LV"/>
              </w:rPr>
              <w:t xml:space="preserve">“Attīstības finanšu institūcija Altum” </w:t>
            </w:r>
            <w:r w:rsidR="00E30940" w:rsidRPr="00E30940">
              <w:rPr>
                <w:rFonts w:eastAsia="Times New Roman"/>
                <w:sz w:val="24"/>
                <w:szCs w:val="24"/>
                <w:lang w:val="lv-LV" w:eastAsia="lv-LV"/>
              </w:rPr>
              <w:t>rezerves kapitāla palielināšanu</w:t>
            </w:r>
            <w:r w:rsidRPr="00E30940">
              <w:rPr>
                <w:sz w:val="24"/>
                <w:szCs w:val="24"/>
                <w:lang w:val="lv-LV"/>
              </w:rPr>
              <w:t xml:space="preserve">” </w:t>
            </w:r>
            <w:r w:rsidRPr="00E30940">
              <w:rPr>
                <w:rFonts w:eastAsia="Times New Roman"/>
                <w:iCs/>
                <w:sz w:val="24"/>
                <w:szCs w:val="24"/>
                <w:lang w:val="lv-LV"/>
              </w:rPr>
              <w:t xml:space="preserve">(turpmāk – MK Rīkojuma projekts) </w:t>
            </w:r>
            <w:r w:rsidR="00E3666E" w:rsidRPr="00E30940">
              <w:rPr>
                <w:rFonts w:eastAsiaTheme="minorHAnsi"/>
                <w:sz w:val="24"/>
                <w:szCs w:val="24"/>
                <w:lang w:val="lv-LV"/>
              </w:rPr>
              <w:t>sagatavots pēc Ekonomikas ministrijas iniciatīvas, lai nodrošinātu finansējumu</w:t>
            </w:r>
            <w:r w:rsidR="00E3666E" w:rsidRPr="00E30940">
              <w:rPr>
                <w:rFonts w:eastAsia="Times New Roman"/>
                <w:sz w:val="24"/>
                <w:szCs w:val="24"/>
                <w:lang w:val="lv-LV" w:eastAsia="lv-LV"/>
              </w:rPr>
              <w:t xml:space="preserve"> atbalsta programmām</w:t>
            </w:r>
            <w:r w:rsidR="00E3666E" w:rsidRPr="00E30940">
              <w:rPr>
                <w:rFonts w:eastAsiaTheme="minorHAnsi"/>
                <w:sz w:val="24"/>
                <w:szCs w:val="24"/>
                <w:lang w:val="lv-LV"/>
              </w:rPr>
              <w:t xml:space="preserve">, </w:t>
            </w:r>
            <w:r w:rsidR="00E30940">
              <w:rPr>
                <w:rFonts w:eastAsiaTheme="minorHAnsi"/>
                <w:sz w:val="24"/>
                <w:szCs w:val="24"/>
                <w:lang w:val="lv-LV"/>
              </w:rPr>
              <w:t>ņemot vērā</w:t>
            </w:r>
            <w:r w:rsidR="00E3666E" w:rsidRPr="00E30940">
              <w:rPr>
                <w:rFonts w:eastAsiaTheme="minorHAnsi"/>
                <w:sz w:val="24"/>
                <w:szCs w:val="24"/>
                <w:lang w:val="lv-LV"/>
              </w:rPr>
              <w:t xml:space="preserve"> Ministru kabineta  2020.gada 17.decembra </w:t>
            </w:r>
            <w:r w:rsidR="003B62B5" w:rsidRPr="00E30940">
              <w:rPr>
                <w:rFonts w:eastAsiaTheme="minorHAnsi"/>
                <w:sz w:val="24"/>
                <w:szCs w:val="24"/>
                <w:lang w:val="lv-LV"/>
              </w:rPr>
              <w:t>sēdē</w:t>
            </w:r>
            <w:r w:rsidR="00E3666E" w:rsidRPr="00E30940">
              <w:rPr>
                <w:rFonts w:eastAsiaTheme="minorHAnsi"/>
                <w:sz w:val="24"/>
                <w:szCs w:val="24"/>
                <w:lang w:val="lv-LV"/>
              </w:rPr>
              <w:t xml:space="preserve"> </w:t>
            </w:r>
            <w:r w:rsidR="00E3666E" w:rsidRPr="00E30940">
              <w:rPr>
                <w:color w:val="000000" w:themeColor="text1"/>
                <w:sz w:val="24"/>
                <w:szCs w:val="24"/>
                <w:shd w:val="clear" w:color="auto" w:fill="FFFFFF"/>
                <w:lang w:val="lv-LV"/>
              </w:rPr>
              <w:t>(protokols Nr.84 87., 88.</w:t>
            </w:r>
            <w:r w:rsidR="00984822" w:rsidRPr="00E30940">
              <w:rPr>
                <w:color w:val="000000" w:themeColor="text1"/>
                <w:sz w:val="24"/>
                <w:szCs w:val="24"/>
                <w:shd w:val="clear" w:color="auto" w:fill="FFFFFF"/>
                <w:lang w:val="lv-LV"/>
              </w:rPr>
              <w:t xml:space="preserve"> un</w:t>
            </w:r>
            <w:r w:rsidR="00E3666E" w:rsidRPr="00E30940">
              <w:rPr>
                <w:color w:val="000000" w:themeColor="text1"/>
                <w:sz w:val="24"/>
                <w:szCs w:val="24"/>
                <w:shd w:val="clear" w:color="auto" w:fill="FFFFFF"/>
                <w:lang w:val="lv-LV"/>
              </w:rPr>
              <w:t xml:space="preserve"> 92. §)</w:t>
            </w:r>
            <w:bookmarkStart w:id="6" w:name="_Hlk62475242"/>
            <w:r w:rsidR="00E30940">
              <w:rPr>
                <w:color w:val="000000" w:themeColor="text1"/>
                <w:sz w:val="24"/>
                <w:szCs w:val="24"/>
                <w:shd w:val="clear" w:color="auto" w:fill="FFFFFF"/>
                <w:lang w:val="lv-LV"/>
              </w:rPr>
              <w:t xml:space="preserve"> nolemto, tādējādi paredzot, ka tiek veikta finansējuma novirzīšana no </w:t>
            </w:r>
            <w:r w:rsidR="00E30940" w:rsidRPr="00E30940">
              <w:rPr>
                <w:sz w:val="24"/>
                <w:szCs w:val="24"/>
                <w:lang w:val="lv-LV"/>
              </w:rPr>
              <w:t xml:space="preserve">Ministru kabineta 2020.gada 14.jūlija noteikumiem Nr.454 “Noteikumi par </w:t>
            </w:r>
            <w:r w:rsidR="00E30940" w:rsidRPr="00E30940">
              <w:rPr>
                <w:color w:val="000000" w:themeColor="text1"/>
                <w:sz w:val="24"/>
                <w:szCs w:val="24"/>
                <w:lang w:val="lv-LV"/>
              </w:rPr>
              <w:t>garantijām lielajiem komersantiem, kuru darbību ietekmējusi Covid-19 izplatība”</w:t>
            </w:r>
            <w:bookmarkEnd w:id="6"/>
            <w:r w:rsidR="00E30940" w:rsidRPr="00E30940">
              <w:rPr>
                <w:color w:val="000000" w:themeColor="text1"/>
                <w:sz w:val="24"/>
                <w:szCs w:val="24"/>
                <w:lang w:val="lv-LV"/>
              </w:rPr>
              <w:t xml:space="preserve"> (turpmāk – krīzes garantiju programma)</w:t>
            </w:r>
            <w:r w:rsidR="00E30940">
              <w:rPr>
                <w:color w:val="000000" w:themeColor="text1"/>
                <w:sz w:val="24"/>
                <w:szCs w:val="24"/>
                <w:lang w:val="lv-LV"/>
              </w:rPr>
              <w:t xml:space="preserve"> uz šādām atbalsta programmām</w:t>
            </w:r>
            <w:r w:rsidR="00E3666E" w:rsidRPr="00E3666E">
              <w:rPr>
                <w:rFonts w:eastAsiaTheme="minorHAnsi"/>
                <w:sz w:val="24"/>
                <w:szCs w:val="24"/>
                <w:lang w:val="lv-LV"/>
              </w:rPr>
              <w:t>:</w:t>
            </w:r>
          </w:p>
          <w:p w14:paraId="70101767" w14:textId="484D6E02" w:rsidR="00E3666E" w:rsidRPr="00E3666E" w:rsidRDefault="00E3666E" w:rsidP="003255EA">
            <w:pPr>
              <w:pStyle w:val="ListParagraph"/>
              <w:numPr>
                <w:ilvl w:val="0"/>
                <w:numId w:val="13"/>
              </w:numPr>
              <w:spacing w:before="120"/>
              <w:ind w:left="262" w:right="250" w:hanging="284"/>
              <w:contextualSpacing w:val="0"/>
              <w:jc w:val="both"/>
              <w:rPr>
                <w:rFonts w:eastAsia="Times New Roman"/>
                <w:color w:val="000000" w:themeColor="text1"/>
                <w:sz w:val="24"/>
                <w:szCs w:val="24"/>
                <w:lang w:val="lv-LV"/>
              </w:rPr>
            </w:pPr>
            <w:bookmarkStart w:id="7" w:name="_Hlk62471565"/>
            <w:r w:rsidRPr="00E3666E">
              <w:rPr>
                <w:rFonts w:eastAsia="Times New Roman"/>
                <w:color w:val="000000" w:themeColor="text1"/>
                <w:sz w:val="24"/>
                <w:szCs w:val="24"/>
                <w:lang w:val="lv-LV" w:eastAsia="lv-LV"/>
              </w:rPr>
              <w:t>Ministru kabineta 2020.gada 19.marta noteikumos Nr.149 “Noteikumi par apgrozāmo līdzekļu aizdevumiem saimnieciskās darbības veicējiem, kuru darbību ietekmējusi Covid-19 izplatība”</w:t>
            </w:r>
            <w:bookmarkEnd w:id="7"/>
            <w:r w:rsidRPr="00E3666E">
              <w:rPr>
                <w:color w:val="000000" w:themeColor="text1"/>
                <w:sz w:val="24"/>
                <w:szCs w:val="24"/>
                <w:shd w:val="clear" w:color="auto" w:fill="FFFFFF"/>
                <w:lang w:val="lv-LV"/>
              </w:rPr>
              <w:t xml:space="preserve"> (turpmāk –</w:t>
            </w:r>
            <w:r w:rsidR="00F12B39">
              <w:rPr>
                <w:color w:val="000000" w:themeColor="text1"/>
                <w:sz w:val="24"/>
                <w:szCs w:val="24"/>
                <w:shd w:val="clear" w:color="auto" w:fill="FFFFFF"/>
                <w:lang w:val="lv-LV"/>
              </w:rPr>
              <w:t xml:space="preserve"> </w:t>
            </w:r>
            <w:r w:rsidR="00FD3A79">
              <w:rPr>
                <w:color w:val="000000" w:themeColor="text1"/>
                <w:sz w:val="24"/>
                <w:szCs w:val="24"/>
                <w:shd w:val="clear" w:color="auto" w:fill="FFFFFF"/>
                <w:lang w:val="lv-LV"/>
              </w:rPr>
              <w:t xml:space="preserve">krīzes </w:t>
            </w:r>
            <w:r w:rsidR="00C76077">
              <w:rPr>
                <w:color w:val="000000" w:themeColor="text1"/>
                <w:sz w:val="24"/>
                <w:szCs w:val="24"/>
                <w:shd w:val="clear" w:color="auto" w:fill="FFFFFF"/>
                <w:lang w:val="lv-LV"/>
              </w:rPr>
              <w:t>a</w:t>
            </w:r>
            <w:r w:rsidRPr="00E3666E">
              <w:rPr>
                <w:color w:val="000000" w:themeColor="text1"/>
                <w:sz w:val="24"/>
                <w:szCs w:val="24"/>
                <w:shd w:val="clear" w:color="auto" w:fill="FFFFFF"/>
                <w:lang w:val="lv-LV"/>
              </w:rPr>
              <w:t>pgrozāmo līdzekļu aizdevumu programma</w:t>
            </w:r>
            <w:r w:rsidR="003B62B5">
              <w:rPr>
                <w:color w:val="000000" w:themeColor="text1"/>
                <w:sz w:val="24"/>
                <w:szCs w:val="24"/>
                <w:shd w:val="clear" w:color="auto" w:fill="FFFFFF"/>
                <w:lang w:val="lv-LV"/>
              </w:rPr>
              <w:t>);</w:t>
            </w:r>
          </w:p>
          <w:p w14:paraId="345EC6BA" w14:textId="1DF0C62B" w:rsidR="00E3666E" w:rsidRPr="00E3666E" w:rsidRDefault="00E3666E" w:rsidP="003255EA">
            <w:pPr>
              <w:pStyle w:val="ListParagraph"/>
              <w:numPr>
                <w:ilvl w:val="0"/>
                <w:numId w:val="13"/>
              </w:numPr>
              <w:spacing w:before="120"/>
              <w:ind w:left="262" w:right="250" w:hanging="284"/>
              <w:contextualSpacing w:val="0"/>
              <w:jc w:val="both"/>
              <w:rPr>
                <w:rFonts w:eastAsia="Times New Roman"/>
                <w:color w:val="000000" w:themeColor="text1"/>
                <w:sz w:val="24"/>
                <w:szCs w:val="24"/>
                <w:lang w:val="lv-LV"/>
              </w:rPr>
            </w:pPr>
            <w:bookmarkStart w:id="8" w:name="_Hlk62475296"/>
            <w:r w:rsidRPr="00E3666E">
              <w:rPr>
                <w:color w:val="000000" w:themeColor="text1"/>
                <w:sz w:val="24"/>
                <w:szCs w:val="24"/>
                <w:shd w:val="clear" w:color="auto" w:fill="FFFFFF"/>
                <w:lang w:val="lv-LV"/>
              </w:rPr>
              <w:t>Ministru kabineta 2020. gada 16. jūnija noteikumos Nr. 383</w:t>
            </w:r>
            <w:r w:rsidRPr="00E3666E">
              <w:rPr>
                <w:color w:val="000000" w:themeColor="text1"/>
                <w:sz w:val="24"/>
                <w:szCs w:val="24"/>
                <w:lang w:val="lv-LV"/>
              </w:rPr>
              <w:t xml:space="preserve"> </w:t>
            </w:r>
            <w:r w:rsidRPr="00E3666E">
              <w:rPr>
                <w:color w:val="000000" w:themeColor="text1"/>
                <w:sz w:val="24"/>
                <w:szCs w:val="24"/>
                <w:shd w:val="clear" w:color="auto" w:fill="FFFFFF"/>
                <w:lang w:val="lv-LV"/>
              </w:rPr>
              <w:t>“Noteikumi par garantijām saimnieciskās darbības veicējiem konkurētspējas uzlabošanai”</w:t>
            </w:r>
            <w:bookmarkEnd w:id="8"/>
            <w:r w:rsidRPr="00E3666E">
              <w:rPr>
                <w:color w:val="000000" w:themeColor="text1"/>
                <w:sz w:val="24"/>
                <w:szCs w:val="24"/>
                <w:shd w:val="clear" w:color="auto" w:fill="FFFFFF"/>
                <w:lang w:val="lv-LV"/>
              </w:rPr>
              <w:t xml:space="preserve"> (turpmāk –</w:t>
            </w:r>
            <w:r w:rsidR="00CC6970">
              <w:rPr>
                <w:color w:val="000000" w:themeColor="text1"/>
                <w:sz w:val="24"/>
                <w:szCs w:val="24"/>
                <w:shd w:val="clear" w:color="auto" w:fill="FFFFFF"/>
                <w:lang w:val="lv-LV"/>
              </w:rPr>
              <w:t xml:space="preserve"> </w:t>
            </w:r>
            <w:r w:rsidR="00FD3A79">
              <w:rPr>
                <w:color w:val="000000" w:themeColor="text1"/>
                <w:sz w:val="24"/>
                <w:szCs w:val="24"/>
                <w:shd w:val="clear" w:color="auto" w:fill="FFFFFF"/>
                <w:lang w:val="lv-LV"/>
              </w:rPr>
              <w:t>krīzes īstermiņ</w:t>
            </w:r>
            <w:r w:rsidR="004004ED">
              <w:rPr>
                <w:color w:val="000000" w:themeColor="text1"/>
                <w:sz w:val="24"/>
                <w:szCs w:val="24"/>
                <w:shd w:val="clear" w:color="auto" w:fill="FFFFFF"/>
                <w:lang w:val="lv-LV"/>
              </w:rPr>
              <w:t>a</w:t>
            </w:r>
            <w:r w:rsidR="00FD3A79">
              <w:rPr>
                <w:color w:val="000000" w:themeColor="text1"/>
                <w:sz w:val="24"/>
                <w:szCs w:val="24"/>
                <w:shd w:val="clear" w:color="auto" w:fill="FFFFFF"/>
                <w:lang w:val="lv-LV"/>
              </w:rPr>
              <w:t xml:space="preserve"> </w:t>
            </w:r>
            <w:r w:rsidRPr="00E3666E">
              <w:rPr>
                <w:color w:val="000000" w:themeColor="text1"/>
                <w:sz w:val="24"/>
                <w:szCs w:val="24"/>
                <w:shd w:val="clear" w:color="auto" w:fill="FFFFFF"/>
                <w:lang w:val="lv-LV"/>
              </w:rPr>
              <w:t>garantiju programma)</w:t>
            </w:r>
            <w:r w:rsidRPr="00E3666E">
              <w:rPr>
                <w:rFonts w:eastAsiaTheme="minorHAnsi"/>
                <w:color w:val="000000" w:themeColor="text1"/>
                <w:sz w:val="24"/>
                <w:szCs w:val="24"/>
                <w:lang w:val="lv-LV"/>
              </w:rPr>
              <w:t>.</w:t>
            </w:r>
          </w:p>
          <w:p w14:paraId="32FA8E3C" w14:textId="77777777" w:rsidR="00E3666E" w:rsidRPr="00E3666E" w:rsidRDefault="00E3666E" w:rsidP="003255EA">
            <w:pPr>
              <w:contextualSpacing/>
              <w:jc w:val="both"/>
              <w:rPr>
                <w:sz w:val="24"/>
                <w:szCs w:val="24"/>
                <w:lang w:val="lv-LV"/>
              </w:rPr>
            </w:pPr>
          </w:p>
        </w:tc>
      </w:tr>
      <w:tr w:rsidR="00E3666E" w:rsidRPr="00E3666E" w14:paraId="344DCDFE" w14:textId="77777777" w:rsidTr="003255EA">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2226880E"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2.</w:t>
            </w:r>
          </w:p>
        </w:tc>
        <w:tc>
          <w:tcPr>
            <w:tcW w:w="1847" w:type="dxa"/>
            <w:tcBorders>
              <w:top w:val="outset" w:sz="6" w:space="0" w:color="414142"/>
              <w:left w:val="outset" w:sz="6" w:space="0" w:color="414142"/>
              <w:bottom w:val="outset" w:sz="6" w:space="0" w:color="414142"/>
              <w:right w:val="outset" w:sz="6" w:space="0" w:color="414142"/>
            </w:tcBorders>
            <w:hideMark/>
          </w:tcPr>
          <w:p w14:paraId="3B3E4486"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Pašreizējā situācija un problēmas, kuru risināšanai tiesību akta projekts izstrādāts, tiesiskā regulējuma mērķis un būtība</w:t>
            </w:r>
          </w:p>
        </w:tc>
        <w:tc>
          <w:tcPr>
            <w:tcW w:w="7207" w:type="dxa"/>
            <w:tcBorders>
              <w:top w:val="outset" w:sz="6" w:space="0" w:color="414142"/>
              <w:left w:val="outset" w:sz="6" w:space="0" w:color="414142"/>
              <w:bottom w:val="outset" w:sz="6" w:space="0" w:color="414142"/>
              <w:right w:val="outset" w:sz="6" w:space="0" w:color="414142"/>
            </w:tcBorders>
          </w:tcPr>
          <w:p w14:paraId="5ED78E70" w14:textId="4B5C9B1F" w:rsidR="00E3666E" w:rsidRPr="00E3666E" w:rsidRDefault="00E3666E" w:rsidP="003255EA">
            <w:pPr>
              <w:spacing w:before="120"/>
              <w:jc w:val="both"/>
              <w:rPr>
                <w:rFonts w:eastAsia="Times New Roman"/>
                <w:iCs/>
                <w:sz w:val="24"/>
                <w:szCs w:val="24"/>
                <w:lang w:val="lv-LV"/>
              </w:rPr>
            </w:pPr>
            <w:r w:rsidRPr="00E3666E">
              <w:rPr>
                <w:rFonts w:eastAsia="Times New Roman"/>
                <w:iCs/>
                <w:sz w:val="24"/>
                <w:szCs w:val="24"/>
                <w:lang w:val="lv-LV"/>
              </w:rPr>
              <w:t xml:space="preserve">MK Rīkojuma projekts izstrādāts, </w:t>
            </w:r>
            <w:r w:rsidRPr="00E3666E">
              <w:rPr>
                <w:rFonts w:eastAsia="Times New Roman"/>
                <w:sz w:val="24"/>
                <w:szCs w:val="24"/>
                <w:lang w:val="lv-LV"/>
              </w:rPr>
              <w:t xml:space="preserve">ņemot vērā </w:t>
            </w:r>
            <w:r w:rsidRPr="00E3666E">
              <w:rPr>
                <w:rFonts w:eastAsia="Times New Roman"/>
                <w:iCs/>
                <w:sz w:val="24"/>
                <w:szCs w:val="24"/>
                <w:lang w:val="lv-LV"/>
              </w:rPr>
              <w:t xml:space="preserve">Ministru kabineta 2020.gada 17.decembra lēmumu par attiecīgajiem grozījumiem tika nolemts, ka no Krīzes garantiju programmas ir veicama pārdale </w:t>
            </w:r>
            <w:r w:rsidRPr="00E3666E">
              <w:rPr>
                <w:rFonts w:eastAsia="Times New Roman"/>
                <w:sz w:val="24"/>
                <w:szCs w:val="24"/>
                <w:lang w:val="lv-LV"/>
              </w:rPr>
              <w:t xml:space="preserve">20 milj. EUR apmērā (2020.gada 14.jūlija </w:t>
            </w:r>
            <w:r w:rsidRPr="00E3666E">
              <w:rPr>
                <w:rFonts w:eastAsia="Times New Roman"/>
                <w:iCs/>
                <w:sz w:val="24"/>
                <w:szCs w:val="24"/>
                <w:lang w:val="lv-LV"/>
              </w:rPr>
              <w:t xml:space="preserve">Ministru kabineta </w:t>
            </w:r>
            <w:r w:rsidRPr="00E3666E">
              <w:rPr>
                <w:rFonts w:eastAsia="Times New Roman"/>
                <w:sz w:val="24"/>
                <w:szCs w:val="24"/>
                <w:lang w:val="lv-LV"/>
              </w:rPr>
              <w:t>sēdē prot. Nr.44 33.§ 3.punktā noteiktās apropriācijas otrā daļa) nepieciešamību uz šādām atbalsta programmām:</w:t>
            </w:r>
          </w:p>
          <w:p w14:paraId="01288C1A" w14:textId="77777777" w:rsidR="00E30940" w:rsidRPr="00E3666E" w:rsidRDefault="00E30940" w:rsidP="00E30940">
            <w:pPr>
              <w:pStyle w:val="ListParagraph"/>
              <w:numPr>
                <w:ilvl w:val="0"/>
                <w:numId w:val="12"/>
              </w:numPr>
              <w:spacing w:before="120"/>
              <w:ind w:left="490"/>
              <w:contextualSpacing w:val="0"/>
              <w:jc w:val="both"/>
              <w:rPr>
                <w:rFonts w:eastAsia="Times New Roman"/>
                <w:sz w:val="24"/>
                <w:szCs w:val="24"/>
                <w:lang w:val="lv-LV"/>
              </w:rPr>
            </w:pPr>
            <w:r w:rsidRPr="00E3666E">
              <w:rPr>
                <w:rFonts w:eastAsia="Times New Roman"/>
                <w:sz w:val="24"/>
                <w:szCs w:val="24"/>
                <w:lang w:val="lv-LV" w:eastAsia="lv-LV"/>
              </w:rPr>
              <w:t xml:space="preserve">2 milj. EUR apmērā – </w:t>
            </w:r>
            <w:bookmarkStart w:id="9" w:name="_Hlk62477420"/>
            <w:r>
              <w:rPr>
                <w:rFonts w:eastAsia="Times New Roman"/>
                <w:sz w:val="24"/>
                <w:szCs w:val="24"/>
                <w:lang w:val="lv-LV" w:eastAsia="lv-LV"/>
              </w:rPr>
              <w:t xml:space="preserve"> krīzes īstermiņa </w:t>
            </w:r>
            <w:r w:rsidRPr="00E3666E">
              <w:rPr>
                <w:rFonts w:eastAsia="Times New Roman"/>
                <w:sz w:val="24"/>
                <w:szCs w:val="24"/>
                <w:lang w:val="lv-LV"/>
              </w:rPr>
              <w:t>garantiju programmai</w:t>
            </w:r>
            <w:bookmarkEnd w:id="9"/>
            <w:r w:rsidRPr="00E3666E">
              <w:rPr>
                <w:rFonts w:eastAsia="Times New Roman"/>
                <w:sz w:val="24"/>
                <w:szCs w:val="24"/>
                <w:lang w:val="lv-LV" w:eastAsia="lv-LV"/>
              </w:rPr>
              <w:t>;</w:t>
            </w:r>
          </w:p>
          <w:p w14:paraId="0E803CA7" w14:textId="058142F6" w:rsidR="00E3666E" w:rsidRPr="00E3666E" w:rsidRDefault="00E3666E" w:rsidP="00E30940">
            <w:pPr>
              <w:pStyle w:val="ListParagraph"/>
              <w:numPr>
                <w:ilvl w:val="0"/>
                <w:numId w:val="12"/>
              </w:numPr>
              <w:spacing w:before="120"/>
              <w:ind w:left="490"/>
              <w:contextualSpacing w:val="0"/>
              <w:jc w:val="both"/>
              <w:rPr>
                <w:rFonts w:eastAsia="Times New Roman"/>
                <w:sz w:val="24"/>
                <w:szCs w:val="24"/>
                <w:lang w:val="lv-LV"/>
              </w:rPr>
            </w:pPr>
            <w:r w:rsidRPr="00E3666E">
              <w:rPr>
                <w:rFonts w:eastAsia="Times New Roman"/>
                <w:sz w:val="24"/>
                <w:szCs w:val="24"/>
                <w:lang w:val="lv-LV" w:eastAsia="lv-LV"/>
              </w:rPr>
              <w:t xml:space="preserve">10 milj. EUR apmērā – </w:t>
            </w:r>
            <w:bookmarkStart w:id="10" w:name="_Hlk62477371"/>
            <w:r w:rsidR="00C76077">
              <w:rPr>
                <w:rFonts w:eastAsia="Times New Roman"/>
                <w:sz w:val="24"/>
                <w:szCs w:val="24"/>
                <w:lang w:val="lv-LV" w:eastAsia="lv-LV"/>
              </w:rPr>
              <w:t xml:space="preserve">krīzes </w:t>
            </w:r>
            <w:r w:rsidRPr="00E3666E">
              <w:rPr>
                <w:rFonts w:eastAsia="Times New Roman"/>
                <w:sz w:val="24"/>
                <w:szCs w:val="24"/>
                <w:lang w:val="lv-LV" w:eastAsia="lv-LV"/>
              </w:rPr>
              <w:t>apgrozāmo līdzekļu aizdevumu programmai</w:t>
            </w:r>
            <w:bookmarkEnd w:id="10"/>
            <w:r w:rsidRPr="00E3666E">
              <w:rPr>
                <w:rFonts w:eastAsia="Times New Roman"/>
                <w:sz w:val="24"/>
                <w:szCs w:val="24"/>
                <w:lang w:val="lv-LV" w:eastAsia="lv-LV"/>
              </w:rPr>
              <w:t xml:space="preserve">, </w:t>
            </w:r>
          </w:p>
          <w:p w14:paraId="631659DB" w14:textId="5160EB43" w:rsidR="00E3666E" w:rsidRPr="00E3666E" w:rsidRDefault="00E3666E" w:rsidP="00E30940">
            <w:pPr>
              <w:pStyle w:val="ListParagraph"/>
              <w:numPr>
                <w:ilvl w:val="0"/>
                <w:numId w:val="12"/>
              </w:numPr>
              <w:spacing w:before="120"/>
              <w:ind w:left="490"/>
              <w:contextualSpacing w:val="0"/>
              <w:jc w:val="both"/>
              <w:rPr>
                <w:rFonts w:eastAsia="Times New Roman"/>
                <w:sz w:val="24"/>
                <w:szCs w:val="24"/>
                <w:lang w:val="lv-LV"/>
              </w:rPr>
            </w:pPr>
            <w:r w:rsidRPr="00E3666E">
              <w:rPr>
                <w:rFonts w:eastAsia="Times New Roman"/>
                <w:sz w:val="24"/>
                <w:szCs w:val="24"/>
                <w:lang w:val="lv-LV" w:eastAsia="lv-LV"/>
              </w:rPr>
              <w:t xml:space="preserve">8 milj. EUR apmērā – </w:t>
            </w:r>
            <w:r w:rsidRPr="004004ED">
              <w:rPr>
                <w:rFonts w:eastAsia="Times New Roman"/>
                <w:sz w:val="24"/>
                <w:szCs w:val="24"/>
                <w:lang w:val="lv-LV" w:eastAsia="lv-LV"/>
              </w:rPr>
              <w:t xml:space="preserve">paredzot specifisku atbalstu grūtības nonākušajiem lielajiem komersantiem garantiju veidā investīcijām papildus ievērojot </w:t>
            </w:r>
            <w:r w:rsidR="00910056" w:rsidRPr="004004ED">
              <w:rPr>
                <w:rFonts w:eastAsia="Times New Roman"/>
                <w:sz w:val="24"/>
                <w:szCs w:val="24"/>
                <w:lang w:val="lv-LV" w:eastAsia="lv-LV"/>
              </w:rPr>
              <w:t xml:space="preserve">akciju </w:t>
            </w:r>
            <w:r w:rsidRPr="004004ED">
              <w:rPr>
                <w:rFonts w:eastAsia="Times New Roman"/>
                <w:sz w:val="24"/>
                <w:szCs w:val="24"/>
                <w:lang w:val="lv-LV" w:eastAsia="lv-LV"/>
              </w:rPr>
              <w:t xml:space="preserve">sabiedrības </w:t>
            </w:r>
            <w:r w:rsidR="00910056" w:rsidRPr="004004ED">
              <w:rPr>
                <w:color w:val="000000" w:themeColor="text1"/>
                <w:sz w:val="24"/>
                <w:szCs w:val="24"/>
                <w:shd w:val="clear" w:color="auto" w:fill="FFFFFF"/>
                <w:lang w:val="lv-LV"/>
              </w:rPr>
              <w:t xml:space="preserve">Attīstības finanšu institūcija Altum” (turpmāk </w:t>
            </w:r>
            <w:r w:rsidR="004004ED" w:rsidRPr="00E3666E">
              <w:rPr>
                <w:rFonts w:eastAsia="Times New Roman"/>
                <w:sz w:val="24"/>
                <w:szCs w:val="24"/>
                <w:lang w:val="lv-LV" w:eastAsia="lv-LV"/>
              </w:rPr>
              <w:t xml:space="preserve">– </w:t>
            </w:r>
            <w:r w:rsidR="00910056" w:rsidRPr="004004ED">
              <w:rPr>
                <w:color w:val="000000" w:themeColor="text1"/>
                <w:sz w:val="24"/>
                <w:szCs w:val="24"/>
                <w:shd w:val="clear" w:color="auto" w:fill="FFFFFF"/>
                <w:lang w:val="lv-LV"/>
              </w:rPr>
              <w:t>sabiedrība</w:t>
            </w:r>
            <w:r w:rsidR="00910056" w:rsidRPr="004004ED">
              <w:rPr>
                <w:rFonts w:eastAsia="Times New Roman"/>
                <w:sz w:val="24"/>
                <w:szCs w:val="24"/>
                <w:lang w:val="lv-LV" w:eastAsia="lv-LV"/>
              </w:rPr>
              <w:t xml:space="preserve"> </w:t>
            </w:r>
            <w:r w:rsidRPr="004004ED">
              <w:rPr>
                <w:rFonts w:eastAsia="Times New Roman"/>
                <w:sz w:val="24"/>
                <w:szCs w:val="24"/>
                <w:lang w:val="lv-LV" w:eastAsia="lv-LV"/>
              </w:rPr>
              <w:t>“Altum”</w:t>
            </w:r>
            <w:r w:rsidR="00910056" w:rsidRPr="004004ED">
              <w:rPr>
                <w:rFonts w:eastAsia="Times New Roman"/>
                <w:sz w:val="24"/>
                <w:szCs w:val="24"/>
                <w:lang w:val="lv-LV" w:eastAsia="lv-LV"/>
              </w:rPr>
              <w:t>)</w:t>
            </w:r>
            <w:r w:rsidRPr="004004ED">
              <w:rPr>
                <w:rFonts w:eastAsia="Times New Roman"/>
                <w:sz w:val="24"/>
                <w:szCs w:val="24"/>
                <w:lang w:val="lv-LV" w:eastAsia="lv-LV"/>
              </w:rPr>
              <w:t xml:space="preserve"> noteiktos projektu vērtēšanas kritērijus (par šo programmu tiks virzīts atsevišķs</w:t>
            </w:r>
            <w:r w:rsidRPr="00E3666E">
              <w:rPr>
                <w:rFonts w:eastAsia="Times New Roman"/>
                <w:sz w:val="24"/>
                <w:szCs w:val="24"/>
                <w:lang w:val="lv-LV" w:eastAsia="lv-LV"/>
              </w:rPr>
              <w:t xml:space="preserve"> rīkojuma projekts kopā ar Ekonomikas ministrijas izstrādātu ziņojumu, atbilstoši Ministru kabineta </w:t>
            </w:r>
            <w:r w:rsidRPr="00E3666E">
              <w:rPr>
                <w:color w:val="000000" w:themeColor="text1"/>
                <w:sz w:val="24"/>
                <w:szCs w:val="24"/>
                <w:shd w:val="clear" w:color="auto" w:fill="FFFFFF"/>
                <w:lang w:val="lv-LV"/>
              </w:rPr>
              <w:t>protokol</w:t>
            </w:r>
            <w:r w:rsidR="00E30940">
              <w:rPr>
                <w:color w:val="000000" w:themeColor="text1"/>
                <w:sz w:val="24"/>
                <w:szCs w:val="24"/>
                <w:shd w:val="clear" w:color="auto" w:fill="FFFFFF"/>
                <w:lang w:val="lv-LV"/>
              </w:rPr>
              <w:t>a</w:t>
            </w:r>
            <w:r w:rsidRPr="00E3666E">
              <w:rPr>
                <w:color w:val="000000" w:themeColor="text1"/>
                <w:sz w:val="24"/>
                <w:szCs w:val="24"/>
                <w:shd w:val="clear" w:color="auto" w:fill="FFFFFF"/>
                <w:lang w:val="lv-LV"/>
              </w:rPr>
              <w:t xml:space="preserve"> Nr.84 87.§ 3.punkt</w:t>
            </w:r>
            <w:r w:rsidR="00E30940">
              <w:rPr>
                <w:color w:val="000000" w:themeColor="text1"/>
                <w:sz w:val="24"/>
                <w:szCs w:val="24"/>
                <w:shd w:val="clear" w:color="auto" w:fill="FFFFFF"/>
                <w:lang w:val="lv-LV"/>
              </w:rPr>
              <w:t>am</w:t>
            </w:r>
            <w:r w:rsidRPr="00E3666E">
              <w:rPr>
                <w:rFonts w:eastAsia="Times New Roman"/>
                <w:sz w:val="24"/>
                <w:szCs w:val="24"/>
                <w:lang w:val="lv-LV" w:eastAsia="lv-LV"/>
              </w:rPr>
              <w:t>).</w:t>
            </w:r>
          </w:p>
          <w:p w14:paraId="6B820963" w14:textId="5258A9B1" w:rsidR="00E3666E" w:rsidRPr="00E3666E" w:rsidRDefault="00E3666E" w:rsidP="003255EA">
            <w:pPr>
              <w:spacing w:before="120"/>
              <w:jc w:val="both"/>
              <w:rPr>
                <w:rFonts w:eastAsia="Times New Roman"/>
                <w:iCs/>
                <w:sz w:val="24"/>
                <w:szCs w:val="24"/>
                <w:lang w:val="lv-LV"/>
              </w:rPr>
            </w:pPr>
            <w:r w:rsidRPr="00E3666E">
              <w:rPr>
                <w:rFonts w:eastAsia="Times New Roman"/>
                <w:iCs/>
                <w:sz w:val="24"/>
                <w:szCs w:val="24"/>
                <w:lang w:val="lv-LV"/>
              </w:rPr>
              <w:t xml:space="preserve">Mērķis ir turpināt sniegt atbalstu komersantiem, kuriem ir pagaidu grūtības, jo to darbību uz pārejošu laika posmu ir negatīvi ietekmējusi Covid-19 vīrusa izplatība, ņemot vērā </w:t>
            </w:r>
            <w:r w:rsidRPr="00E3666E">
              <w:rPr>
                <w:rFonts w:eastAsiaTheme="minorHAnsi"/>
                <w:sz w:val="24"/>
                <w:szCs w:val="24"/>
                <w:lang w:val="lv-LV"/>
              </w:rPr>
              <w:t xml:space="preserve">Eiropas Komisijas 2020.gada </w:t>
            </w:r>
            <w:r w:rsidRPr="00E3666E">
              <w:rPr>
                <w:rFonts w:eastAsiaTheme="minorHAnsi"/>
                <w:sz w:val="24"/>
                <w:szCs w:val="24"/>
                <w:lang w:val="lv-LV"/>
              </w:rPr>
              <w:lastRenderedPageBreak/>
              <w:t>13.oktobrī pieņemto lēmumu pagarināt izstrādā atbalsta programmu pieejamību, ņemot vērā Covid-19 izplatības otro vilni un ieilgušo dīkstāves situāciju komercdarbībā (</w:t>
            </w:r>
            <w:r w:rsidR="00E30940">
              <w:rPr>
                <w:rFonts w:eastAsiaTheme="minorHAnsi"/>
                <w:sz w:val="24"/>
                <w:szCs w:val="24"/>
                <w:lang w:val="lv-LV"/>
              </w:rPr>
              <w:t>i</w:t>
            </w:r>
            <w:r w:rsidRPr="00E3666E">
              <w:rPr>
                <w:rFonts w:eastAsiaTheme="minorHAnsi"/>
                <w:sz w:val="24"/>
                <w:szCs w:val="24"/>
                <w:lang w:val="lv-LV"/>
              </w:rPr>
              <w:t>nformācijai –</w:t>
            </w:r>
            <w:r w:rsidR="00910056" w:rsidRPr="00E3666E">
              <w:rPr>
                <w:rFonts w:eastAsiaTheme="minorHAnsi"/>
                <w:sz w:val="24"/>
                <w:szCs w:val="24"/>
                <w:lang w:val="lv-LV"/>
              </w:rPr>
              <w:t>202</w:t>
            </w:r>
            <w:r w:rsidR="00910056">
              <w:rPr>
                <w:rFonts w:eastAsiaTheme="minorHAnsi"/>
                <w:sz w:val="24"/>
                <w:szCs w:val="24"/>
                <w:lang w:val="lv-LV"/>
              </w:rPr>
              <w:t>1</w:t>
            </w:r>
            <w:r w:rsidRPr="00E3666E">
              <w:rPr>
                <w:rFonts w:eastAsiaTheme="minorHAnsi"/>
                <w:sz w:val="24"/>
                <w:szCs w:val="24"/>
                <w:lang w:val="lv-LV"/>
              </w:rPr>
              <w:t xml:space="preserve">.gada </w:t>
            </w:r>
            <w:r w:rsidR="00FD3A79" w:rsidRPr="00E3666E">
              <w:rPr>
                <w:rFonts w:eastAsiaTheme="minorHAnsi"/>
                <w:sz w:val="24"/>
                <w:szCs w:val="24"/>
                <w:lang w:val="lv-LV"/>
              </w:rPr>
              <w:t>2</w:t>
            </w:r>
            <w:r w:rsidR="00FD3A79">
              <w:rPr>
                <w:rFonts w:eastAsiaTheme="minorHAnsi"/>
                <w:sz w:val="24"/>
                <w:szCs w:val="24"/>
                <w:lang w:val="lv-LV"/>
              </w:rPr>
              <w:t>8</w:t>
            </w:r>
            <w:r w:rsidRPr="00E3666E">
              <w:rPr>
                <w:rFonts w:eastAsiaTheme="minorHAnsi"/>
                <w:sz w:val="24"/>
                <w:szCs w:val="24"/>
                <w:lang w:val="lv-LV"/>
              </w:rPr>
              <w:t>.janvār</w:t>
            </w:r>
            <w:r w:rsidR="00FD3A79">
              <w:rPr>
                <w:rFonts w:eastAsiaTheme="minorHAnsi"/>
                <w:sz w:val="24"/>
                <w:szCs w:val="24"/>
                <w:lang w:val="lv-LV"/>
              </w:rPr>
              <w:t>ī</w:t>
            </w:r>
            <w:r w:rsidRPr="00E3666E">
              <w:rPr>
                <w:rFonts w:eastAsiaTheme="minorHAnsi"/>
                <w:sz w:val="24"/>
                <w:szCs w:val="24"/>
                <w:lang w:val="lv-LV"/>
              </w:rPr>
              <w:t xml:space="preserve"> Eiropas </w:t>
            </w:r>
            <w:r w:rsidR="00910056" w:rsidRPr="00E3666E">
              <w:rPr>
                <w:rFonts w:eastAsiaTheme="minorHAnsi"/>
                <w:sz w:val="24"/>
                <w:szCs w:val="24"/>
                <w:lang w:val="lv-LV"/>
              </w:rPr>
              <w:t>Komisij</w:t>
            </w:r>
            <w:r w:rsidR="00910056">
              <w:rPr>
                <w:rFonts w:eastAsiaTheme="minorHAnsi"/>
                <w:sz w:val="24"/>
                <w:szCs w:val="24"/>
                <w:lang w:val="lv-LV"/>
              </w:rPr>
              <w:t>a</w:t>
            </w:r>
            <w:r w:rsidR="004004ED">
              <w:rPr>
                <w:rFonts w:eastAsiaTheme="minorHAnsi"/>
                <w:sz w:val="24"/>
                <w:szCs w:val="24"/>
                <w:lang w:val="lv-LV"/>
              </w:rPr>
              <w:t xml:space="preserve"> </w:t>
            </w:r>
            <w:r w:rsidR="00910056">
              <w:rPr>
                <w:rFonts w:eastAsiaTheme="minorHAnsi"/>
                <w:sz w:val="24"/>
                <w:szCs w:val="24"/>
                <w:lang w:val="lv-LV"/>
              </w:rPr>
              <w:t>apstiprinājusi</w:t>
            </w:r>
            <w:r w:rsidR="00FD3A79">
              <w:rPr>
                <w:rFonts w:eastAsiaTheme="minorHAnsi"/>
                <w:sz w:val="24"/>
                <w:szCs w:val="24"/>
                <w:lang w:val="lv-LV"/>
              </w:rPr>
              <w:t xml:space="preserve"> </w:t>
            </w:r>
            <w:r w:rsidRPr="00E3666E">
              <w:rPr>
                <w:rFonts w:eastAsiaTheme="minorHAnsi"/>
                <w:sz w:val="24"/>
                <w:szCs w:val="24"/>
                <w:lang w:val="lv-LV"/>
              </w:rPr>
              <w:t>grozījum</w:t>
            </w:r>
            <w:r w:rsidR="00910056">
              <w:rPr>
                <w:rFonts w:eastAsiaTheme="minorHAnsi"/>
                <w:sz w:val="24"/>
                <w:szCs w:val="24"/>
                <w:lang w:val="lv-LV"/>
              </w:rPr>
              <w:t>us</w:t>
            </w:r>
            <w:r w:rsidRPr="00E3666E">
              <w:rPr>
                <w:rFonts w:eastAsiaTheme="minorHAnsi"/>
                <w:sz w:val="24"/>
                <w:szCs w:val="24"/>
                <w:lang w:val="lv-LV"/>
              </w:rPr>
              <w:t xml:space="preserve"> Pagaidu regulējumā, kas paredz </w:t>
            </w:r>
            <w:r w:rsidR="00910056">
              <w:rPr>
                <w:rFonts w:eastAsiaTheme="minorHAnsi"/>
                <w:sz w:val="24"/>
                <w:szCs w:val="24"/>
                <w:lang w:val="lv-LV"/>
              </w:rPr>
              <w:t>ietvara</w:t>
            </w:r>
            <w:r w:rsidR="00910056" w:rsidRPr="00E3666E">
              <w:rPr>
                <w:rFonts w:eastAsiaTheme="minorHAnsi"/>
                <w:sz w:val="24"/>
                <w:szCs w:val="24"/>
                <w:lang w:val="lv-LV"/>
              </w:rPr>
              <w:t xml:space="preserve"> </w:t>
            </w:r>
            <w:r w:rsidRPr="00E3666E">
              <w:rPr>
                <w:rFonts w:eastAsiaTheme="minorHAnsi"/>
                <w:sz w:val="24"/>
                <w:szCs w:val="24"/>
                <w:lang w:val="lv-LV"/>
              </w:rPr>
              <w:t xml:space="preserve">pagarinājumu līdz 2021.gada </w:t>
            </w:r>
            <w:r w:rsidR="00FD3A79">
              <w:rPr>
                <w:rFonts w:eastAsiaTheme="minorHAnsi"/>
                <w:sz w:val="24"/>
                <w:szCs w:val="24"/>
                <w:lang w:val="lv-LV"/>
              </w:rPr>
              <w:t>31.decembrim – attiecīgi Ekonomikas ministrija plāno virzīt grozījumus attiecīgajās programmās atbalsta sniegšanas termiņa pagarināšanai</w:t>
            </w:r>
            <w:r w:rsidRPr="00E3666E">
              <w:rPr>
                <w:rFonts w:eastAsiaTheme="minorHAnsi"/>
                <w:sz w:val="24"/>
                <w:szCs w:val="24"/>
                <w:lang w:val="lv-LV"/>
              </w:rPr>
              <w:t>).</w:t>
            </w:r>
            <w:r w:rsidR="008235D3">
              <w:rPr>
                <w:rFonts w:eastAsiaTheme="minorHAnsi"/>
                <w:sz w:val="24"/>
                <w:szCs w:val="24"/>
                <w:lang w:val="lv-LV"/>
              </w:rPr>
              <w:t xml:space="preserve"> Papildus mērķis ir sniegt atbalstu lielajiem saimnieciskās darbības veicējiem</w:t>
            </w:r>
            <w:r w:rsidR="00CC6970">
              <w:rPr>
                <w:rFonts w:eastAsiaTheme="minorHAnsi"/>
                <w:sz w:val="24"/>
                <w:szCs w:val="24"/>
                <w:lang w:val="lv-LV"/>
              </w:rPr>
              <w:t xml:space="preserve"> </w:t>
            </w:r>
            <w:r w:rsidR="00910056">
              <w:rPr>
                <w:rFonts w:eastAsiaTheme="minorHAnsi"/>
                <w:sz w:val="24"/>
                <w:szCs w:val="24"/>
                <w:lang w:val="lv-LV"/>
              </w:rPr>
              <w:t xml:space="preserve">īstermiņa </w:t>
            </w:r>
            <w:r w:rsidR="00CC6970">
              <w:rPr>
                <w:rFonts w:eastAsiaTheme="minorHAnsi"/>
                <w:sz w:val="24"/>
                <w:szCs w:val="24"/>
                <w:lang w:val="lv-LV"/>
              </w:rPr>
              <w:t xml:space="preserve">garantiju programmas </w:t>
            </w:r>
            <w:r w:rsidR="00910056">
              <w:rPr>
                <w:rFonts w:eastAsiaTheme="minorHAnsi"/>
                <w:sz w:val="24"/>
                <w:szCs w:val="24"/>
                <w:lang w:val="lv-LV"/>
              </w:rPr>
              <w:t>ietvaros</w:t>
            </w:r>
            <w:r w:rsidR="008235D3">
              <w:rPr>
                <w:rFonts w:eastAsiaTheme="minorHAnsi"/>
                <w:sz w:val="24"/>
                <w:szCs w:val="24"/>
                <w:lang w:val="lv-LV"/>
              </w:rPr>
              <w:t>.</w:t>
            </w:r>
          </w:p>
          <w:p w14:paraId="7A6E9D95" w14:textId="62B80E54" w:rsidR="00E3666E" w:rsidRDefault="00E3666E" w:rsidP="003255EA">
            <w:pPr>
              <w:spacing w:before="120"/>
              <w:jc w:val="both"/>
              <w:rPr>
                <w:sz w:val="24"/>
                <w:szCs w:val="24"/>
                <w:lang w:val="lv-LV"/>
              </w:rPr>
            </w:pPr>
            <w:r w:rsidRPr="00E3666E">
              <w:rPr>
                <w:sz w:val="24"/>
                <w:szCs w:val="24"/>
                <w:lang w:val="lv-LV"/>
              </w:rPr>
              <w:t xml:space="preserve">Krīzes </w:t>
            </w:r>
            <w:r>
              <w:rPr>
                <w:sz w:val="24"/>
                <w:szCs w:val="24"/>
                <w:lang w:val="lv-LV"/>
              </w:rPr>
              <w:t>garantiju</w:t>
            </w:r>
            <w:r w:rsidRPr="00E3666E">
              <w:rPr>
                <w:sz w:val="24"/>
                <w:szCs w:val="24"/>
                <w:lang w:val="lv-LV"/>
              </w:rPr>
              <w:t xml:space="preserve"> programmas grozījumi un tā finansējuma pārdale 20 milj. EUR apmērā</w:t>
            </w:r>
            <w:r w:rsidR="00910056">
              <w:rPr>
                <w:sz w:val="24"/>
                <w:szCs w:val="24"/>
                <w:lang w:val="lv-LV"/>
              </w:rPr>
              <w:t xml:space="preserve"> (kopējā finansējuma otrā daļa)</w:t>
            </w:r>
            <w:r w:rsidRPr="00E3666E">
              <w:rPr>
                <w:sz w:val="24"/>
                <w:szCs w:val="24"/>
                <w:lang w:val="lv-LV"/>
              </w:rPr>
              <w:t xml:space="preserve"> ir saskaņota ar Eiropas Komisiju, lēmums Nr. SA.60411 (paziņojumā ietverta norma par krīzes garantiju programmas pieejamā budžeta novirzīšanu uz iepriekš minētajām</w:t>
            </w:r>
            <w:r w:rsidR="00910056">
              <w:rPr>
                <w:sz w:val="24"/>
                <w:szCs w:val="24"/>
                <w:lang w:val="lv-LV"/>
              </w:rPr>
              <w:t xml:space="preserve"> atbalsta</w:t>
            </w:r>
            <w:r w:rsidRPr="00E3666E">
              <w:rPr>
                <w:sz w:val="24"/>
                <w:szCs w:val="24"/>
                <w:lang w:val="lv-LV"/>
              </w:rPr>
              <w:t xml:space="preserve"> programmām).</w:t>
            </w:r>
          </w:p>
          <w:p w14:paraId="2D86CC96" w14:textId="77777777" w:rsidR="00877FE5" w:rsidRDefault="00877FE5" w:rsidP="003255EA">
            <w:pPr>
              <w:spacing w:before="120"/>
              <w:jc w:val="both"/>
              <w:rPr>
                <w:color w:val="000000" w:themeColor="text1"/>
                <w:sz w:val="24"/>
                <w:szCs w:val="24"/>
                <w:lang w:val="lv-LV"/>
              </w:rPr>
            </w:pPr>
            <w:r w:rsidRPr="00877FE5">
              <w:rPr>
                <w:color w:val="000000" w:themeColor="text1"/>
                <w:sz w:val="24"/>
                <w:szCs w:val="24"/>
                <w:lang w:val="lv-LV"/>
              </w:rPr>
              <w:t xml:space="preserve">Finansējums </w:t>
            </w:r>
            <w:r w:rsidR="00E30940" w:rsidRPr="004004ED">
              <w:rPr>
                <w:color w:val="000000" w:themeColor="text1"/>
                <w:sz w:val="24"/>
                <w:szCs w:val="24"/>
                <w:shd w:val="clear" w:color="auto" w:fill="FFFFFF"/>
                <w:lang w:val="lv-LV"/>
              </w:rPr>
              <w:t>sabiedrība</w:t>
            </w:r>
            <w:r w:rsidR="00E30940">
              <w:rPr>
                <w:color w:val="000000" w:themeColor="text1"/>
                <w:sz w:val="24"/>
                <w:szCs w:val="24"/>
                <w:shd w:val="clear" w:color="auto" w:fill="FFFFFF"/>
                <w:lang w:val="lv-LV"/>
              </w:rPr>
              <w:t>s</w:t>
            </w:r>
            <w:r w:rsidR="00E30940" w:rsidRPr="004004ED">
              <w:rPr>
                <w:rFonts w:eastAsia="Times New Roman"/>
                <w:sz w:val="24"/>
                <w:szCs w:val="24"/>
                <w:lang w:val="lv-LV" w:eastAsia="lv-LV"/>
              </w:rPr>
              <w:t xml:space="preserve"> “Altum”</w:t>
            </w:r>
            <w:r w:rsidR="00E30940">
              <w:rPr>
                <w:rFonts w:eastAsia="Times New Roman"/>
                <w:sz w:val="24"/>
                <w:szCs w:val="24"/>
                <w:lang w:val="lv-LV" w:eastAsia="lv-LV"/>
              </w:rPr>
              <w:t xml:space="preserve"> </w:t>
            </w:r>
            <w:r w:rsidRPr="00877FE5">
              <w:rPr>
                <w:color w:val="000000" w:themeColor="text1"/>
                <w:sz w:val="24"/>
                <w:szCs w:val="24"/>
                <w:lang w:val="lv-LV"/>
              </w:rPr>
              <w:t xml:space="preserve">rezerves kapitāla palielināšanai nepieciešams </w:t>
            </w:r>
            <w:r w:rsidR="00910056">
              <w:rPr>
                <w:color w:val="000000" w:themeColor="text1"/>
                <w:sz w:val="24"/>
                <w:szCs w:val="24"/>
                <w:lang w:val="lv-LV"/>
              </w:rPr>
              <w:t xml:space="preserve">minēto atbalsta </w:t>
            </w:r>
            <w:r w:rsidR="00BA388D" w:rsidRPr="00877FE5">
              <w:rPr>
                <w:color w:val="000000" w:themeColor="text1"/>
                <w:sz w:val="24"/>
                <w:szCs w:val="24"/>
                <w:lang w:val="lv-LV"/>
              </w:rPr>
              <w:t>programm</w:t>
            </w:r>
            <w:r w:rsidR="00BA388D">
              <w:rPr>
                <w:color w:val="000000" w:themeColor="text1"/>
                <w:sz w:val="24"/>
                <w:szCs w:val="24"/>
                <w:lang w:val="lv-LV"/>
              </w:rPr>
              <w:t>u</w:t>
            </w:r>
            <w:r w:rsidR="00BA388D" w:rsidRPr="00877FE5">
              <w:rPr>
                <w:color w:val="000000" w:themeColor="text1"/>
                <w:sz w:val="24"/>
                <w:szCs w:val="24"/>
                <w:lang w:val="lv-LV"/>
              </w:rPr>
              <w:t xml:space="preserve"> </w:t>
            </w:r>
            <w:r w:rsidRPr="00877FE5">
              <w:rPr>
                <w:color w:val="000000" w:themeColor="text1"/>
                <w:sz w:val="24"/>
                <w:szCs w:val="24"/>
                <w:lang w:val="lv-LV"/>
              </w:rPr>
              <w:t>īstenošanas izmaksām, t.i. atbalsta finansēšanai programmā</w:t>
            </w:r>
            <w:r w:rsidR="00BA388D">
              <w:rPr>
                <w:color w:val="000000" w:themeColor="text1"/>
                <w:sz w:val="24"/>
                <w:szCs w:val="24"/>
                <w:lang w:val="lv-LV"/>
              </w:rPr>
              <w:t>s</w:t>
            </w:r>
            <w:r w:rsidRPr="00877FE5">
              <w:rPr>
                <w:color w:val="000000" w:themeColor="text1"/>
                <w:sz w:val="24"/>
                <w:szCs w:val="24"/>
                <w:lang w:val="lv-LV"/>
              </w:rPr>
              <w:t>,  izdevumu segšanai, un priekšlikums par atlikušā finansējuma tālāku izmantošanu pēc atbalsta programm</w:t>
            </w:r>
            <w:r w:rsidR="00910056">
              <w:rPr>
                <w:color w:val="000000" w:themeColor="text1"/>
                <w:sz w:val="24"/>
                <w:szCs w:val="24"/>
                <w:lang w:val="lv-LV"/>
              </w:rPr>
              <w:t>u</w:t>
            </w:r>
            <w:r w:rsidRPr="00877FE5">
              <w:rPr>
                <w:color w:val="000000" w:themeColor="text1"/>
                <w:sz w:val="24"/>
                <w:szCs w:val="24"/>
                <w:lang w:val="lv-LV"/>
              </w:rPr>
              <w:t xml:space="preserve"> pabeigšanas tiks virzīts un apstiprināts Attīstības finanšu institūciju likuma noteiktajā kārtīb</w:t>
            </w:r>
            <w:r>
              <w:rPr>
                <w:color w:val="000000" w:themeColor="text1"/>
                <w:sz w:val="24"/>
                <w:szCs w:val="24"/>
                <w:lang w:val="lv-LV"/>
              </w:rPr>
              <w:t>ā.</w:t>
            </w:r>
          </w:p>
          <w:p w14:paraId="76AF0B34" w14:textId="30F498DB" w:rsidR="00D23B02" w:rsidRPr="00877FE5" w:rsidRDefault="00D23B02" w:rsidP="003255EA">
            <w:pPr>
              <w:spacing w:before="120"/>
              <w:jc w:val="both"/>
              <w:rPr>
                <w:rFonts w:eastAsia="Times New Roman"/>
                <w:color w:val="000000" w:themeColor="text1"/>
                <w:sz w:val="24"/>
                <w:szCs w:val="24"/>
                <w:lang w:val="lv-LV"/>
              </w:rPr>
            </w:pPr>
            <w:r>
              <w:rPr>
                <w:color w:val="000000" w:themeColor="text1"/>
                <w:sz w:val="24"/>
                <w:szCs w:val="24"/>
                <w:lang w:val="lv-LV"/>
              </w:rPr>
              <w:t>Rīkojums stājas spēkā pēc tā parakstīšanas.</w:t>
            </w:r>
            <w:bookmarkStart w:id="11" w:name="_GoBack"/>
            <w:bookmarkEnd w:id="11"/>
          </w:p>
        </w:tc>
      </w:tr>
      <w:tr w:rsidR="00E3666E" w:rsidRPr="00E3666E" w14:paraId="0B1E03C3" w14:textId="77777777" w:rsidTr="003255EA">
        <w:trPr>
          <w:trHeight w:val="465"/>
        </w:trPr>
        <w:tc>
          <w:tcPr>
            <w:tcW w:w="294" w:type="dxa"/>
            <w:tcBorders>
              <w:top w:val="outset" w:sz="6" w:space="0" w:color="414142"/>
              <w:left w:val="outset" w:sz="6" w:space="0" w:color="414142"/>
              <w:bottom w:val="outset" w:sz="6" w:space="0" w:color="414142"/>
              <w:right w:val="outset" w:sz="6" w:space="0" w:color="414142"/>
            </w:tcBorders>
            <w:hideMark/>
          </w:tcPr>
          <w:p w14:paraId="27E445BE"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14:paraId="7B5453E6"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Projekta izstrādē iesaistītās institūcijas un publiskas personas kapitālsabiedrības</w:t>
            </w:r>
          </w:p>
        </w:tc>
        <w:tc>
          <w:tcPr>
            <w:tcW w:w="7207" w:type="dxa"/>
            <w:tcBorders>
              <w:top w:val="outset" w:sz="6" w:space="0" w:color="414142"/>
              <w:left w:val="outset" w:sz="6" w:space="0" w:color="414142"/>
              <w:bottom w:val="outset" w:sz="6" w:space="0" w:color="414142"/>
              <w:right w:val="outset" w:sz="6" w:space="0" w:color="414142"/>
            </w:tcBorders>
            <w:hideMark/>
          </w:tcPr>
          <w:p w14:paraId="6D23A280" w14:textId="77777777" w:rsidR="00E3666E" w:rsidRPr="00E3666E" w:rsidRDefault="00E3666E" w:rsidP="003255EA">
            <w:pPr>
              <w:ind w:left="-31"/>
              <w:contextualSpacing/>
              <w:rPr>
                <w:rFonts w:eastAsia="Times New Roman"/>
                <w:sz w:val="24"/>
                <w:szCs w:val="24"/>
                <w:lang w:val="lv-LV" w:eastAsia="lv-LV"/>
              </w:rPr>
            </w:pPr>
            <w:r w:rsidRPr="00E3666E">
              <w:rPr>
                <w:sz w:val="24"/>
                <w:szCs w:val="24"/>
                <w:lang w:val="lv-LV"/>
              </w:rPr>
              <w:t>Ekonomikas ministrija, sabiedrība “Altum”.</w:t>
            </w:r>
          </w:p>
        </w:tc>
      </w:tr>
      <w:tr w:rsidR="00E3666E" w:rsidRPr="00E3666E" w14:paraId="67AE9F7F" w14:textId="77777777" w:rsidTr="003255EA">
        <w:tc>
          <w:tcPr>
            <w:tcW w:w="294" w:type="dxa"/>
            <w:tcBorders>
              <w:top w:val="outset" w:sz="6" w:space="0" w:color="414142"/>
              <w:left w:val="outset" w:sz="6" w:space="0" w:color="414142"/>
              <w:bottom w:val="outset" w:sz="6" w:space="0" w:color="414142"/>
              <w:right w:val="outset" w:sz="6" w:space="0" w:color="414142"/>
            </w:tcBorders>
            <w:hideMark/>
          </w:tcPr>
          <w:p w14:paraId="1982FBAD"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4.</w:t>
            </w:r>
          </w:p>
        </w:tc>
        <w:tc>
          <w:tcPr>
            <w:tcW w:w="1847" w:type="dxa"/>
            <w:tcBorders>
              <w:top w:val="outset" w:sz="6" w:space="0" w:color="414142"/>
              <w:left w:val="outset" w:sz="6" w:space="0" w:color="414142"/>
              <w:bottom w:val="outset" w:sz="6" w:space="0" w:color="414142"/>
              <w:right w:val="outset" w:sz="6" w:space="0" w:color="414142"/>
            </w:tcBorders>
            <w:hideMark/>
          </w:tcPr>
          <w:p w14:paraId="50FDD94A"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Cita informācija</w:t>
            </w:r>
          </w:p>
        </w:tc>
        <w:tc>
          <w:tcPr>
            <w:tcW w:w="7207" w:type="dxa"/>
            <w:tcBorders>
              <w:top w:val="outset" w:sz="6" w:space="0" w:color="414142"/>
              <w:left w:val="outset" w:sz="6" w:space="0" w:color="414142"/>
              <w:bottom w:val="outset" w:sz="6" w:space="0" w:color="414142"/>
              <w:right w:val="outset" w:sz="6" w:space="0" w:color="414142"/>
            </w:tcBorders>
            <w:hideMark/>
          </w:tcPr>
          <w:p w14:paraId="3585C3A0" w14:textId="77777777" w:rsidR="00E3666E" w:rsidRPr="00E3666E" w:rsidRDefault="00E3666E" w:rsidP="003255EA">
            <w:pPr>
              <w:contextualSpacing/>
              <w:rPr>
                <w:rFonts w:eastAsia="Times New Roman"/>
                <w:sz w:val="24"/>
                <w:szCs w:val="24"/>
                <w:lang w:val="lv-LV" w:eastAsia="lv-LV"/>
              </w:rPr>
            </w:pPr>
            <w:r w:rsidRPr="00E3666E">
              <w:rPr>
                <w:sz w:val="24"/>
                <w:szCs w:val="24"/>
                <w:lang w:val="lv-LV"/>
              </w:rPr>
              <w:t xml:space="preserve">Nav </w:t>
            </w:r>
          </w:p>
        </w:tc>
      </w:tr>
    </w:tbl>
    <w:p w14:paraId="3129CB31" w14:textId="77777777" w:rsidR="00E3666E" w:rsidRPr="00E3666E" w:rsidRDefault="00E3666E" w:rsidP="00E3666E">
      <w:pPr>
        <w:contextualSpacing/>
        <w:rPr>
          <w:rFonts w:eastAsia="Times New Roman"/>
          <w:sz w:val="24"/>
          <w:szCs w:val="24"/>
          <w:lang w:val="lv-LV" w:eastAsia="lv-LV"/>
        </w:rPr>
      </w:pPr>
    </w:p>
    <w:tbl>
      <w:tblPr>
        <w:tblW w:w="935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379"/>
      </w:tblGrid>
      <w:tr w:rsidR="00E3666E" w:rsidRPr="00E3666E" w14:paraId="57209B66" w14:textId="77777777" w:rsidTr="003255EA">
        <w:trPr>
          <w:trHeight w:val="555"/>
        </w:trPr>
        <w:tc>
          <w:tcPr>
            <w:tcW w:w="9351" w:type="dxa"/>
            <w:gridSpan w:val="3"/>
            <w:tcBorders>
              <w:top w:val="single" w:sz="4" w:space="0" w:color="auto"/>
              <w:left w:val="single" w:sz="4" w:space="0" w:color="auto"/>
              <w:bottom w:val="single" w:sz="4" w:space="0" w:color="auto"/>
              <w:right w:val="single" w:sz="4" w:space="0" w:color="auto"/>
            </w:tcBorders>
            <w:hideMark/>
          </w:tcPr>
          <w:p w14:paraId="2B64DA8A" w14:textId="77777777" w:rsidR="00E3666E" w:rsidRPr="00E3666E" w:rsidRDefault="00E3666E" w:rsidP="003255EA">
            <w:pPr>
              <w:contextualSpacing/>
              <w:jc w:val="center"/>
              <w:rPr>
                <w:rFonts w:eastAsia="Times New Roman"/>
                <w:sz w:val="24"/>
                <w:szCs w:val="24"/>
                <w:lang w:val="lv-LV" w:eastAsia="lv-LV"/>
              </w:rPr>
            </w:pPr>
            <w:r w:rsidRPr="00E3666E">
              <w:rPr>
                <w:rFonts w:eastAsia="Times New Roman"/>
                <w:b/>
                <w:bCs/>
                <w:sz w:val="24"/>
                <w:szCs w:val="24"/>
                <w:lang w:val="lv-LV" w:eastAsia="lv-LV"/>
              </w:rPr>
              <w:t>II. Tiesību akta projekta ietekme uz sabiedrību, tautsaimniecības attīstību un administratīvo slogu</w:t>
            </w:r>
          </w:p>
        </w:tc>
      </w:tr>
      <w:tr w:rsidR="00E3666E" w:rsidRPr="00E3666E" w14:paraId="7028136E" w14:textId="77777777" w:rsidTr="003255EA">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8F68BE6"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4561A2FD"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Sabiedrības mērķgrupas, kuras tiesiskais regulējums ietekmē vai varētu ietekmēt</w:t>
            </w:r>
          </w:p>
        </w:tc>
        <w:tc>
          <w:tcPr>
            <w:tcW w:w="6379" w:type="dxa"/>
            <w:tcBorders>
              <w:top w:val="single" w:sz="4" w:space="0" w:color="auto"/>
              <w:left w:val="outset" w:sz="6" w:space="0" w:color="414142"/>
              <w:bottom w:val="outset" w:sz="6" w:space="0" w:color="414142"/>
              <w:right w:val="outset" w:sz="6" w:space="0" w:color="414142"/>
            </w:tcBorders>
            <w:hideMark/>
          </w:tcPr>
          <w:p w14:paraId="4DB692BC" w14:textId="77777777" w:rsidR="00E3666E" w:rsidRPr="00E3666E" w:rsidRDefault="00E3666E" w:rsidP="003255EA">
            <w:pPr>
              <w:ind w:right="201"/>
              <w:contextualSpacing/>
              <w:jc w:val="both"/>
              <w:rPr>
                <w:sz w:val="24"/>
                <w:szCs w:val="24"/>
                <w:lang w:val="lv-LV"/>
              </w:rPr>
            </w:pPr>
            <w:r w:rsidRPr="00E3666E">
              <w:rPr>
                <w:sz w:val="24"/>
                <w:szCs w:val="24"/>
                <w:lang w:val="lv-LV"/>
              </w:rPr>
              <w:t>Covid-19 skartajiem uzņēmumiem pieejams papildus finansējums stimulējot biznesa projektu īstenošanu un kopējo tautsaimniecība attīstību arī Covid-19 apstākļos.</w:t>
            </w:r>
          </w:p>
        </w:tc>
      </w:tr>
      <w:tr w:rsidR="00E3666E" w:rsidRPr="00E3666E" w14:paraId="2D99684A" w14:textId="77777777" w:rsidTr="003255EA">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4C7E5AB2"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6A42B2"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Tiesiskā regulējuma ietekme uz tautsaimniecību un administratīvo slogu</w:t>
            </w:r>
          </w:p>
        </w:tc>
        <w:tc>
          <w:tcPr>
            <w:tcW w:w="6379" w:type="dxa"/>
            <w:tcBorders>
              <w:top w:val="outset" w:sz="6" w:space="0" w:color="414142"/>
              <w:left w:val="outset" w:sz="6" w:space="0" w:color="414142"/>
              <w:bottom w:val="outset" w:sz="6" w:space="0" w:color="414142"/>
              <w:right w:val="outset" w:sz="6" w:space="0" w:color="414142"/>
            </w:tcBorders>
            <w:hideMark/>
          </w:tcPr>
          <w:p w14:paraId="558D6CF2" w14:textId="77777777" w:rsidR="00E3666E" w:rsidRPr="00E3666E" w:rsidRDefault="00E3666E" w:rsidP="003255EA">
            <w:pPr>
              <w:pStyle w:val="BodyText"/>
              <w:ind w:right="201"/>
              <w:contextualSpacing/>
              <w:rPr>
                <w:rFonts w:eastAsia="Calibri"/>
                <w:sz w:val="24"/>
                <w:szCs w:val="24"/>
                <w:lang w:eastAsia="en-US"/>
              </w:rPr>
            </w:pPr>
            <w:r w:rsidRPr="00E3666E">
              <w:rPr>
                <w:sz w:val="24"/>
                <w:szCs w:val="24"/>
              </w:rPr>
              <w:t>Paredzams, ka komersantiem tiek radīta labvēlīgāka normatīvā vide komersantu komercdarbības projektu īstenošanai un dīkstāves mazināšanai Covid-19 apstākļos. Šobrīd skaitliskie aprēķini nav iespējami, bet paredzams, ka palielināsies komersantu interese atbalsta saņemšanai</w:t>
            </w:r>
            <w:r w:rsidRPr="00E3666E">
              <w:rPr>
                <w:rFonts w:eastAsia="Calibri"/>
                <w:sz w:val="24"/>
                <w:szCs w:val="24"/>
                <w:lang w:eastAsia="en-US"/>
              </w:rPr>
              <w:t>. Ar rīkojuma projektu netiek paredzēts administratīvais slogs uzņēmējdarbībai.</w:t>
            </w:r>
          </w:p>
        </w:tc>
      </w:tr>
      <w:tr w:rsidR="00E3666E" w:rsidRPr="00E3666E" w14:paraId="442951B8" w14:textId="77777777" w:rsidTr="003255EA">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7142B9B1"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7DAC133"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Administratīvo izmaksu monetārs novērtējums</w:t>
            </w:r>
          </w:p>
        </w:tc>
        <w:tc>
          <w:tcPr>
            <w:tcW w:w="6379" w:type="dxa"/>
            <w:tcBorders>
              <w:top w:val="outset" w:sz="6" w:space="0" w:color="414142"/>
              <w:left w:val="outset" w:sz="6" w:space="0" w:color="414142"/>
              <w:bottom w:val="outset" w:sz="6" w:space="0" w:color="414142"/>
              <w:right w:val="outset" w:sz="6" w:space="0" w:color="414142"/>
            </w:tcBorders>
            <w:hideMark/>
          </w:tcPr>
          <w:p w14:paraId="0E328BC9" w14:textId="48D4FBDC" w:rsidR="00E3666E" w:rsidRPr="00E3666E" w:rsidRDefault="00F359D0" w:rsidP="003255EA">
            <w:pPr>
              <w:pStyle w:val="BodyText"/>
              <w:ind w:right="201"/>
              <w:contextualSpacing/>
              <w:rPr>
                <w:rFonts w:eastAsia="Calibri"/>
                <w:sz w:val="24"/>
                <w:szCs w:val="24"/>
                <w:lang w:eastAsia="en-US"/>
              </w:rPr>
            </w:pPr>
            <w:r>
              <w:rPr>
                <w:iCs/>
                <w:sz w:val="24"/>
                <w:szCs w:val="24"/>
              </w:rPr>
              <w:t>P</w:t>
            </w:r>
            <w:r w:rsidR="00E3666E" w:rsidRPr="00E3666E">
              <w:rPr>
                <w:iCs/>
                <w:sz w:val="24"/>
                <w:szCs w:val="24"/>
              </w:rPr>
              <w:t>rojekts</w:t>
            </w:r>
            <w:r w:rsidR="00E3666E" w:rsidRPr="00E3666E" w:rsidDel="003D0F93">
              <w:rPr>
                <w:rFonts w:eastAsia="Calibri"/>
                <w:sz w:val="24"/>
                <w:szCs w:val="24"/>
                <w:lang w:eastAsia="en-US"/>
              </w:rPr>
              <w:t xml:space="preserve"> </w:t>
            </w:r>
            <w:r w:rsidR="00E3666E" w:rsidRPr="00E3666E">
              <w:rPr>
                <w:rFonts w:eastAsia="Calibri"/>
                <w:sz w:val="24"/>
                <w:szCs w:val="24"/>
                <w:lang w:eastAsia="en-US"/>
              </w:rPr>
              <w:t>šo jomu neskar.</w:t>
            </w:r>
          </w:p>
        </w:tc>
      </w:tr>
      <w:tr w:rsidR="00E3666E" w:rsidRPr="00E3666E" w14:paraId="511C84F3" w14:textId="77777777" w:rsidTr="003255EA">
        <w:trPr>
          <w:trHeight w:val="510"/>
        </w:trPr>
        <w:tc>
          <w:tcPr>
            <w:tcW w:w="270" w:type="dxa"/>
            <w:tcBorders>
              <w:top w:val="outset" w:sz="6" w:space="0" w:color="auto"/>
              <w:left w:val="outset" w:sz="6" w:space="0" w:color="auto"/>
              <w:bottom w:val="outset" w:sz="6" w:space="0" w:color="auto"/>
              <w:right w:val="outset" w:sz="6" w:space="0" w:color="auto"/>
            </w:tcBorders>
          </w:tcPr>
          <w:p w14:paraId="0030E66D"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6F048A42"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Atbilstības izmaksu monetārs novērtējums</w:t>
            </w:r>
          </w:p>
        </w:tc>
        <w:tc>
          <w:tcPr>
            <w:tcW w:w="6379" w:type="dxa"/>
            <w:tcBorders>
              <w:top w:val="outset" w:sz="6" w:space="0" w:color="auto"/>
              <w:left w:val="outset" w:sz="6" w:space="0" w:color="auto"/>
              <w:bottom w:val="outset" w:sz="6" w:space="0" w:color="auto"/>
              <w:right w:val="outset" w:sz="6" w:space="0" w:color="auto"/>
            </w:tcBorders>
          </w:tcPr>
          <w:p w14:paraId="1C38FBB1" w14:textId="4D31230F" w:rsidR="00E3666E" w:rsidRPr="00E3666E" w:rsidRDefault="00F359D0" w:rsidP="003255EA">
            <w:pPr>
              <w:pStyle w:val="BodyText"/>
              <w:ind w:right="201"/>
              <w:contextualSpacing/>
              <w:rPr>
                <w:rFonts w:eastAsia="Calibri"/>
                <w:sz w:val="24"/>
                <w:szCs w:val="24"/>
                <w:lang w:eastAsia="en-US"/>
              </w:rPr>
            </w:pPr>
            <w:r>
              <w:rPr>
                <w:iCs/>
                <w:sz w:val="24"/>
                <w:szCs w:val="24"/>
              </w:rPr>
              <w:t>P</w:t>
            </w:r>
            <w:r w:rsidR="00E3666E" w:rsidRPr="00E3666E">
              <w:rPr>
                <w:iCs/>
                <w:sz w:val="24"/>
                <w:szCs w:val="24"/>
              </w:rPr>
              <w:t>rojekts</w:t>
            </w:r>
            <w:r w:rsidR="00E3666E" w:rsidRPr="00E3666E" w:rsidDel="003D0F93">
              <w:rPr>
                <w:rFonts w:eastAsia="Calibri"/>
                <w:sz w:val="24"/>
                <w:szCs w:val="24"/>
                <w:lang w:eastAsia="en-US"/>
              </w:rPr>
              <w:t xml:space="preserve"> </w:t>
            </w:r>
            <w:r w:rsidR="00E3666E" w:rsidRPr="00E3666E">
              <w:rPr>
                <w:rFonts w:eastAsia="Calibri"/>
                <w:sz w:val="24"/>
                <w:szCs w:val="24"/>
                <w:lang w:eastAsia="en-US"/>
              </w:rPr>
              <w:t>šo jomu neskar.</w:t>
            </w:r>
          </w:p>
        </w:tc>
      </w:tr>
      <w:tr w:rsidR="00E3666E" w:rsidRPr="00E3666E" w14:paraId="274A3CE8" w14:textId="77777777" w:rsidTr="003255EA">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4E253B56"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05624303" w14:textId="77777777" w:rsidR="00E3666E" w:rsidRPr="00E3666E" w:rsidRDefault="00E3666E" w:rsidP="003255EA">
            <w:pPr>
              <w:contextualSpacing/>
              <w:rPr>
                <w:rFonts w:eastAsia="Times New Roman"/>
                <w:sz w:val="24"/>
                <w:szCs w:val="24"/>
                <w:lang w:val="lv-LV" w:eastAsia="lv-LV"/>
              </w:rPr>
            </w:pPr>
            <w:r w:rsidRPr="00E3666E">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25B18BBB" w14:textId="77777777" w:rsidR="00E3666E" w:rsidRPr="00E3666E" w:rsidRDefault="00E3666E" w:rsidP="003255EA">
            <w:pPr>
              <w:ind w:right="201"/>
              <w:contextualSpacing/>
              <w:jc w:val="both"/>
              <w:rPr>
                <w:sz w:val="24"/>
                <w:szCs w:val="24"/>
                <w:lang w:val="lv-LV"/>
              </w:rPr>
            </w:pPr>
            <w:r w:rsidRPr="00E3666E">
              <w:rPr>
                <w:sz w:val="24"/>
                <w:szCs w:val="24"/>
                <w:lang w:val="lv-LV"/>
              </w:rPr>
              <w:t>Nav</w:t>
            </w:r>
          </w:p>
        </w:tc>
      </w:tr>
    </w:tbl>
    <w:p w14:paraId="660F5E0E" w14:textId="77777777" w:rsidR="00E3666E" w:rsidRPr="00E3666E" w:rsidRDefault="00E3666E" w:rsidP="00E3666E">
      <w:pPr>
        <w:contextualSpacing/>
        <w:rPr>
          <w:rFonts w:eastAsia="Times New Roman"/>
          <w:sz w:val="24"/>
          <w:szCs w:val="24"/>
          <w:lang w:val="lv-LV" w:eastAsia="lv-LV"/>
        </w:rPr>
      </w:pPr>
    </w:p>
    <w:tbl>
      <w:tblPr>
        <w:tblpPr w:leftFromText="180" w:rightFromText="180" w:bottomFromText="200" w:vertAnchor="text" w:tblpX="-44" w:tblpY="1"/>
        <w:tblOverlap w:val="neve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5"/>
        <w:gridCol w:w="1056"/>
        <w:gridCol w:w="1144"/>
        <w:gridCol w:w="949"/>
        <w:gridCol w:w="1066"/>
        <w:gridCol w:w="920"/>
        <w:gridCol w:w="1073"/>
        <w:gridCol w:w="1066"/>
      </w:tblGrid>
      <w:tr w:rsidR="00E3666E" w:rsidRPr="00E3666E" w14:paraId="472029D1" w14:textId="77777777" w:rsidTr="003255EA">
        <w:tc>
          <w:tcPr>
            <w:tcW w:w="9219" w:type="dxa"/>
            <w:gridSpan w:val="8"/>
            <w:tcBorders>
              <w:top w:val="single" w:sz="4" w:space="0" w:color="auto"/>
              <w:left w:val="single" w:sz="4" w:space="0" w:color="auto"/>
              <w:bottom w:val="single" w:sz="4" w:space="0" w:color="auto"/>
              <w:right w:val="single" w:sz="4" w:space="0" w:color="auto"/>
            </w:tcBorders>
            <w:hideMark/>
          </w:tcPr>
          <w:p w14:paraId="76982DC1" w14:textId="77777777" w:rsidR="00E3666E" w:rsidRPr="00E3666E" w:rsidRDefault="00E3666E" w:rsidP="003255EA">
            <w:pPr>
              <w:pStyle w:val="ListParagraph"/>
              <w:tabs>
                <w:tab w:val="left" w:pos="317"/>
              </w:tabs>
              <w:spacing w:line="276" w:lineRule="auto"/>
              <w:ind w:left="0"/>
              <w:jc w:val="center"/>
              <w:rPr>
                <w:b/>
                <w:bCs/>
                <w:sz w:val="24"/>
                <w:szCs w:val="24"/>
                <w:lang w:val="lv-LV" w:eastAsia="ja-JP"/>
              </w:rPr>
            </w:pPr>
            <w:r w:rsidRPr="00E3666E">
              <w:rPr>
                <w:b/>
                <w:bCs/>
                <w:sz w:val="24"/>
                <w:szCs w:val="24"/>
                <w:lang w:val="lv-LV" w:eastAsia="ja-JP"/>
              </w:rPr>
              <w:t>III. Tiesību akta projekta ietekme uz valsts budžetu un pašvaldību budžetiem</w:t>
            </w:r>
          </w:p>
        </w:tc>
      </w:tr>
      <w:tr w:rsidR="00E3666E" w:rsidRPr="00E3666E" w14:paraId="2A2C02A0" w14:textId="77777777" w:rsidTr="003255EA">
        <w:tc>
          <w:tcPr>
            <w:tcW w:w="1968" w:type="dxa"/>
            <w:vMerge w:val="restart"/>
            <w:tcBorders>
              <w:top w:val="single" w:sz="4" w:space="0" w:color="auto"/>
              <w:left w:val="single" w:sz="4" w:space="0" w:color="auto"/>
              <w:bottom w:val="single" w:sz="4" w:space="0" w:color="000000"/>
              <w:right w:val="single" w:sz="4" w:space="0" w:color="auto"/>
            </w:tcBorders>
          </w:tcPr>
          <w:p w14:paraId="37F11590" w14:textId="77777777" w:rsidR="00E3666E" w:rsidRPr="00E3666E" w:rsidRDefault="00E3666E" w:rsidP="003255EA">
            <w:pPr>
              <w:spacing w:line="276" w:lineRule="auto"/>
              <w:jc w:val="center"/>
              <w:rPr>
                <w:rFonts w:eastAsia="Times New Roman"/>
                <w:b/>
                <w:bCs/>
                <w:sz w:val="24"/>
                <w:szCs w:val="24"/>
                <w:lang w:val="lv-LV" w:eastAsia="ja-JP"/>
              </w:rPr>
            </w:pPr>
          </w:p>
          <w:p w14:paraId="36D4F899" w14:textId="77777777" w:rsidR="00E3666E" w:rsidRPr="00E3666E" w:rsidRDefault="00E3666E" w:rsidP="003255EA">
            <w:pPr>
              <w:spacing w:line="276" w:lineRule="auto"/>
              <w:jc w:val="center"/>
              <w:rPr>
                <w:rFonts w:eastAsia="Times New Roman"/>
                <w:b/>
                <w:bCs/>
                <w:sz w:val="24"/>
                <w:szCs w:val="24"/>
                <w:lang w:val="lv-LV" w:eastAsia="ja-JP"/>
              </w:rPr>
            </w:pPr>
          </w:p>
          <w:p w14:paraId="2351E3C5" w14:textId="77777777" w:rsidR="00E3666E" w:rsidRPr="00E3666E" w:rsidRDefault="00E3666E" w:rsidP="003255EA">
            <w:pPr>
              <w:spacing w:line="276" w:lineRule="auto"/>
              <w:jc w:val="center"/>
              <w:rPr>
                <w:rFonts w:eastAsia="Times New Roman"/>
                <w:b/>
                <w:bCs/>
                <w:sz w:val="24"/>
                <w:szCs w:val="24"/>
                <w:lang w:val="lv-LV" w:eastAsia="ja-JP"/>
              </w:rPr>
            </w:pPr>
          </w:p>
          <w:p w14:paraId="179BBC68" w14:textId="77777777" w:rsidR="00E3666E" w:rsidRPr="00E3666E" w:rsidRDefault="00E3666E" w:rsidP="003255EA">
            <w:pPr>
              <w:spacing w:line="276" w:lineRule="auto"/>
              <w:jc w:val="center"/>
              <w:rPr>
                <w:rFonts w:eastAsia="Times New Roman"/>
                <w:b/>
                <w:bCs/>
                <w:sz w:val="24"/>
                <w:szCs w:val="24"/>
                <w:lang w:val="lv-LV" w:eastAsia="ja-JP"/>
              </w:rPr>
            </w:pPr>
          </w:p>
          <w:p w14:paraId="4C97B254" w14:textId="77777777" w:rsidR="00E3666E" w:rsidRPr="00E3666E" w:rsidRDefault="00E3666E" w:rsidP="003255EA">
            <w:pPr>
              <w:spacing w:line="276" w:lineRule="auto"/>
              <w:jc w:val="center"/>
              <w:rPr>
                <w:rFonts w:eastAsia="Times New Roman"/>
                <w:b/>
                <w:bCs/>
                <w:sz w:val="24"/>
                <w:szCs w:val="24"/>
                <w:lang w:val="lv-LV" w:eastAsia="ja-JP"/>
              </w:rPr>
            </w:pPr>
          </w:p>
          <w:p w14:paraId="72A12478" w14:textId="77777777" w:rsidR="00E3666E" w:rsidRPr="00E3666E" w:rsidRDefault="00E3666E" w:rsidP="003255EA">
            <w:pPr>
              <w:spacing w:line="276" w:lineRule="auto"/>
              <w:jc w:val="center"/>
              <w:rPr>
                <w:sz w:val="24"/>
                <w:szCs w:val="24"/>
                <w:lang w:val="lv-LV"/>
              </w:rPr>
            </w:pPr>
            <w:r w:rsidRPr="00E3666E">
              <w:rPr>
                <w:rFonts w:eastAsia="Times New Roman"/>
                <w:b/>
                <w:bCs/>
                <w:sz w:val="24"/>
                <w:szCs w:val="24"/>
                <w:lang w:val="lv-LV" w:eastAsia="ja-JP"/>
              </w:rPr>
              <w:t>Rādītāji</w:t>
            </w:r>
          </w:p>
        </w:tc>
        <w:tc>
          <w:tcPr>
            <w:tcW w:w="2142" w:type="dxa"/>
            <w:gridSpan w:val="2"/>
            <w:vMerge w:val="restart"/>
            <w:tcBorders>
              <w:top w:val="single" w:sz="4" w:space="0" w:color="auto"/>
              <w:left w:val="single" w:sz="4" w:space="0" w:color="auto"/>
              <w:bottom w:val="single" w:sz="4" w:space="0" w:color="000000"/>
              <w:right w:val="single" w:sz="4" w:space="0" w:color="auto"/>
            </w:tcBorders>
            <w:hideMark/>
          </w:tcPr>
          <w:p w14:paraId="2B00F546" w14:textId="77777777" w:rsidR="00E3666E" w:rsidRPr="00E3666E" w:rsidRDefault="00E3666E" w:rsidP="003255EA">
            <w:pPr>
              <w:pStyle w:val="ListParagraph"/>
              <w:tabs>
                <w:tab w:val="left" w:pos="317"/>
              </w:tabs>
              <w:spacing w:line="276" w:lineRule="auto"/>
              <w:ind w:left="34"/>
              <w:jc w:val="center"/>
              <w:rPr>
                <w:bCs/>
                <w:lang w:val="lv-LV"/>
              </w:rPr>
            </w:pPr>
            <w:r w:rsidRPr="00E3666E">
              <w:rPr>
                <w:b/>
                <w:bCs/>
                <w:lang w:val="lv-LV" w:eastAsia="ja-JP"/>
              </w:rPr>
              <w:t>2021.gads</w:t>
            </w:r>
          </w:p>
        </w:tc>
        <w:tc>
          <w:tcPr>
            <w:tcW w:w="5109" w:type="dxa"/>
            <w:gridSpan w:val="5"/>
            <w:tcBorders>
              <w:top w:val="single" w:sz="4" w:space="0" w:color="auto"/>
              <w:left w:val="single" w:sz="4" w:space="0" w:color="auto"/>
              <w:bottom w:val="single" w:sz="4" w:space="0" w:color="000000"/>
              <w:right w:val="single" w:sz="4" w:space="0" w:color="auto"/>
            </w:tcBorders>
            <w:hideMark/>
          </w:tcPr>
          <w:p w14:paraId="5ECE44A3"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Turpmākie trīs gadi (</w:t>
            </w:r>
            <w:r w:rsidRPr="00E3666E">
              <w:rPr>
                <w:rFonts w:eastAsia="Times New Roman"/>
                <w:i/>
                <w:iCs/>
                <w:lang w:val="lv-LV" w:eastAsia="ja-JP"/>
              </w:rPr>
              <w:t>euro</w:t>
            </w:r>
            <w:r w:rsidRPr="00E3666E">
              <w:rPr>
                <w:rFonts w:eastAsia="Times New Roman"/>
                <w:lang w:val="lv-LV" w:eastAsia="ja-JP"/>
              </w:rPr>
              <w:t>)</w:t>
            </w:r>
          </w:p>
        </w:tc>
      </w:tr>
      <w:tr w:rsidR="00E3666E" w:rsidRPr="00E3666E" w14:paraId="359AD4EB" w14:textId="77777777" w:rsidTr="003255EA">
        <w:tc>
          <w:tcPr>
            <w:tcW w:w="1968" w:type="dxa"/>
            <w:vMerge/>
            <w:tcBorders>
              <w:top w:val="single" w:sz="4" w:space="0" w:color="auto"/>
              <w:left w:val="single" w:sz="4" w:space="0" w:color="auto"/>
              <w:bottom w:val="single" w:sz="4" w:space="0" w:color="000000"/>
              <w:right w:val="single" w:sz="4" w:space="0" w:color="auto"/>
            </w:tcBorders>
            <w:vAlign w:val="center"/>
            <w:hideMark/>
          </w:tcPr>
          <w:p w14:paraId="756D6CB1" w14:textId="77777777" w:rsidR="00E3666E" w:rsidRPr="00E3666E" w:rsidRDefault="00E3666E" w:rsidP="003255EA">
            <w:pPr>
              <w:spacing w:line="276" w:lineRule="auto"/>
              <w:rPr>
                <w:sz w:val="24"/>
                <w:szCs w:val="24"/>
                <w:lang w:val="lv-LV"/>
              </w:rPr>
            </w:pPr>
          </w:p>
        </w:tc>
        <w:tc>
          <w:tcPr>
            <w:tcW w:w="2142" w:type="dxa"/>
            <w:gridSpan w:val="2"/>
            <w:vMerge/>
            <w:tcBorders>
              <w:top w:val="single" w:sz="4" w:space="0" w:color="auto"/>
              <w:left w:val="single" w:sz="4" w:space="0" w:color="auto"/>
              <w:bottom w:val="single" w:sz="4" w:space="0" w:color="000000"/>
              <w:right w:val="single" w:sz="4" w:space="0" w:color="auto"/>
            </w:tcBorders>
            <w:vAlign w:val="center"/>
            <w:hideMark/>
          </w:tcPr>
          <w:p w14:paraId="01EFC7D4" w14:textId="77777777" w:rsidR="00E3666E" w:rsidRPr="00E3666E" w:rsidRDefault="00E3666E" w:rsidP="003255EA">
            <w:pPr>
              <w:spacing w:line="276" w:lineRule="auto"/>
              <w:rPr>
                <w:bCs/>
                <w:lang w:val="lv-LV"/>
              </w:rPr>
            </w:pPr>
          </w:p>
        </w:tc>
        <w:tc>
          <w:tcPr>
            <w:tcW w:w="2030" w:type="dxa"/>
            <w:gridSpan w:val="2"/>
            <w:tcBorders>
              <w:top w:val="single" w:sz="4" w:space="0" w:color="auto"/>
              <w:left w:val="single" w:sz="4" w:space="0" w:color="auto"/>
              <w:bottom w:val="single" w:sz="4" w:space="0" w:color="auto"/>
              <w:right w:val="single" w:sz="4" w:space="0" w:color="auto"/>
            </w:tcBorders>
            <w:vAlign w:val="center"/>
            <w:hideMark/>
          </w:tcPr>
          <w:p w14:paraId="66D1B780" w14:textId="77777777" w:rsidR="00E3666E" w:rsidRPr="00E3666E" w:rsidRDefault="00E3666E" w:rsidP="003255EA">
            <w:pPr>
              <w:spacing w:line="276" w:lineRule="auto"/>
              <w:jc w:val="center"/>
              <w:rPr>
                <w:rFonts w:eastAsia="Times New Roman"/>
                <w:b/>
                <w:bCs/>
                <w:lang w:val="lv-LV" w:eastAsia="ja-JP"/>
              </w:rPr>
            </w:pPr>
            <w:r w:rsidRPr="00E3666E">
              <w:rPr>
                <w:rFonts w:eastAsia="Times New Roman"/>
                <w:b/>
                <w:bCs/>
                <w:lang w:val="lv-LV" w:eastAsia="ja-JP"/>
              </w:rPr>
              <w:t>2022</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16799F25" w14:textId="77777777" w:rsidR="00E3666E" w:rsidRPr="00E3666E" w:rsidRDefault="00E3666E" w:rsidP="003255EA">
            <w:pPr>
              <w:spacing w:line="276" w:lineRule="auto"/>
              <w:jc w:val="center"/>
              <w:rPr>
                <w:rFonts w:eastAsia="Times New Roman"/>
                <w:b/>
                <w:bCs/>
                <w:lang w:val="lv-LV" w:eastAsia="ja-JP"/>
              </w:rPr>
            </w:pPr>
            <w:r w:rsidRPr="00E3666E">
              <w:rPr>
                <w:rFonts w:eastAsia="Times New Roman"/>
                <w:b/>
                <w:bCs/>
                <w:lang w:val="lv-LV" w:eastAsia="ja-JP"/>
              </w:rPr>
              <w:t>2023</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2DAF94D" w14:textId="77777777" w:rsidR="00E3666E" w:rsidRPr="00E3666E" w:rsidRDefault="00E3666E" w:rsidP="003255EA">
            <w:pPr>
              <w:spacing w:line="276" w:lineRule="auto"/>
              <w:jc w:val="center"/>
              <w:rPr>
                <w:rFonts w:eastAsia="Times New Roman"/>
                <w:b/>
                <w:bCs/>
                <w:lang w:val="lv-LV" w:eastAsia="ja-JP"/>
              </w:rPr>
            </w:pPr>
            <w:r w:rsidRPr="00E3666E">
              <w:rPr>
                <w:rFonts w:eastAsia="Times New Roman"/>
                <w:b/>
                <w:bCs/>
                <w:lang w:val="lv-LV" w:eastAsia="ja-JP"/>
              </w:rPr>
              <w:t>2024</w:t>
            </w:r>
          </w:p>
        </w:tc>
      </w:tr>
      <w:tr w:rsidR="00E3666E" w:rsidRPr="00E3666E" w14:paraId="54BCE121" w14:textId="77777777" w:rsidTr="003255EA">
        <w:tc>
          <w:tcPr>
            <w:tcW w:w="1968" w:type="dxa"/>
            <w:vMerge/>
            <w:tcBorders>
              <w:top w:val="single" w:sz="4" w:space="0" w:color="auto"/>
              <w:left w:val="single" w:sz="4" w:space="0" w:color="auto"/>
              <w:bottom w:val="single" w:sz="4" w:space="0" w:color="000000"/>
              <w:right w:val="single" w:sz="4" w:space="0" w:color="auto"/>
            </w:tcBorders>
            <w:vAlign w:val="center"/>
            <w:hideMark/>
          </w:tcPr>
          <w:p w14:paraId="0FE6FBF6" w14:textId="77777777" w:rsidR="00E3666E" w:rsidRPr="00E3666E" w:rsidRDefault="00E3666E" w:rsidP="003255EA">
            <w:pPr>
              <w:spacing w:line="276" w:lineRule="auto"/>
              <w:rPr>
                <w:sz w:val="24"/>
                <w:szCs w:val="24"/>
                <w:lang w:val="lv-LV"/>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2B5CD5E0" w14:textId="77777777" w:rsidR="00E3666E" w:rsidRPr="00E3666E" w:rsidRDefault="00E3666E" w:rsidP="003255EA">
            <w:pPr>
              <w:spacing w:line="276" w:lineRule="auto"/>
              <w:jc w:val="center"/>
              <w:rPr>
                <w:rFonts w:eastAsia="Times New Roman"/>
                <w:sz w:val="24"/>
                <w:szCs w:val="24"/>
                <w:lang w:val="lv-LV" w:eastAsia="ja-JP"/>
              </w:rPr>
            </w:pPr>
            <w:r w:rsidRPr="00E3666E">
              <w:rPr>
                <w:rFonts w:eastAsia="Times New Roman"/>
                <w:sz w:val="24"/>
                <w:szCs w:val="24"/>
                <w:lang w:val="lv-LV" w:eastAsia="ja-JP"/>
              </w:rPr>
              <w:t>saskaņā ar valsts budžetu kārtējam gadam</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385AD1F"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izmaiņas kārtējā gadā, salīdzinot ar valsts budžetu kārtējam gadam</w:t>
            </w:r>
          </w:p>
        </w:tc>
        <w:tc>
          <w:tcPr>
            <w:tcW w:w="958" w:type="dxa"/>
            <w:tcBorders>
              <w:top w:val="single" w:sz="4" w:space="0" w:color="auto"/>
              <w:left w:val="single" w:sz="4" w:space="0" w:color="auto"/>
              <w:bottom w:val="single" w:sz="4" w:space="0" w:color="auto"/>
              <w:right w:val="single" w:sz="4" w:space="0" w:color="auto"/>
            </w:tcBorders>
            <w:vAlign w:val="center"/>
          </w:tcPr>
          <w:p w14:paraId="5A4F4152"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saskaņā ar vidēja termiņa budžeta ietvaru</w:t>
            </w:r>
          </w:p>
          <w:p w14:paraId="2D89D66F" w14:textId="77777777" w:rsidR="00E3666E" w:rsidRPr="00E3666E" w:rsidRDefault="00E3666E" w:rsidP="003255EA">
            <w:pPr>
              <w:spacing w:line="276" w:lineRule="auto"/>
              <w:jc w:val="center"/>
              <w:rPr>
                <w:rFonts w:eastAsia="Times New Roman"/>
                <w:lang w:val="lv-LV" w:eastAsia="ja-JP"/>
              </w:rPr>
            </w:pPr>
          </w:p>
        </w:tc>
        <w:tc>
          <w:tcPr>
            <w:tcW w:w="1072" w:type="dxa"/>
            <w:tcBorders>
              <w:top w:val="single" w:sz="4" w:space="0" w:color="auto"/>
              <w:left w:val="single" w:sz="4" w:space="0" w:color="auto"/>
              <w:bottom w:val="single" w:sz="4" w:space="0" w:color="auto"/>
              <w:right w:val="single" w:sz="4" w:space="0" w:color="auto"/>
            </w:tcBorders>
            <w:hideMark/>
          </w:tcPr>
          <w:p w14:paraId="1BF42C87"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izmaiņas, salīdzinot ar vidēja termiņa budžeta ietvaru 2022. gadam</w:t>
            </w:r>
          </w:p>
        </w:tc>
        <w:tc>
          <w:tcPr>
            <w:tcW w:w="927" w:type="dxa"/>
            <w:tcBorders>
              <w:top w:val="single" w:sz="4" w:space="0" w:color="auto"/>
              <w:left w:val="single" w:sz="4" w:space="0" w:color="auto"/>
              <w:bottom w:val="single" w:sz="4" w:space="0" w:color="auto"/>
              <w:right w:val="single" w:sz="4" w:space="0" w:color="auto"/>
            </w:tcBorders>
            <w:vAlign w:val="center"/>
          </w:tcPr>
          <w:p w14:paraId="015D0679"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saskaņā ar vidēja termiņa budžeta ietvaru</w:t>
            </w:r>
          </w:p>
          <w:p w14:paraId="68CDF1BF" w14:textId="77777777" w:rsidR="00E3666E" w:rsidRPr="00E3666E" w:rsidRDefault="00E3666E" w:rsidP="003255EA">
            <w:pPr>
              <w:spacing w:line="276" w:lineRule="auto"/>
              <w:jc w:val="center"/>
              <w:rPr>
                <w:rFonts w:eastAsia="Times New Roman"/>
                <w:lang w:val="lv-LV" w:eastAsia="ja-JP"/>
              </w:rPr>
            </w:pPr>
          </w:p>
        </w:tc>
        <w:tc>
          <w:tcPr>
            <w:tcW w:w="1080" w:type="dxa"/>
            <w:tcBorders>
              <w:top w:val="single" w:sz="4" w:space="0" w:color="auto"/>
              <w:left w:val="single" w:sz="4" w:space="0" w:color="auto"/>
              <w:bottom w:val="single" w:sz="4" w:space="0" w:color="auto"/>
              <w:right w:val="single" w:sz="4" w:space="0" w:color="auto"/>
            </w:tcBorders>
            <w:hideMark/>
          </w:tcPr>
          <w:p w14:paraId="3FC02985"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izmaiņas, salīdzinot ar vidēja termiņa budžeta ietvaru 2023. gadam</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A059F4B" w14:textId="77777777" w:rsidR="00E3666E" w:rsidRPr="00E3666E" w:rsidRDefault="00E3666E" w:rsidP="003255EA">
            <w:pPr>
              <w:spacing w:line="276" w:lineRule="auto"/>
              <w:jc w:val="center"/>
              <w:rPr>
                <w:rFonts w:eastAsia="Times New Roman"/>
                <w:lang w:val="lv-LV" w:eastAsia="ja-JP"/>
              </w:rPr>
            </w:pPr>
            <w:r w:rsidRPr="00E3666E">
              <w:rPr>
                <w:rFonts w:eastAsia="Times New Roman"/>
                <w:lang w:val="lv-LV" w:eastAsia="ja-JP"/>
              </w:rPr>
              <w:t>izmaiņas, salīdzinot ar vidēja termiņa budžeta ietvaru 2023. gadam</w:t>
            </w:r>
          </w:p>
        </w:tc>
      </w:tr>
      <w:tr w:rsidR="00E3666E" w:rsidRPr="00E3666E" w14:paraId="7373F92A"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6D158381" w14:textId="77777777" w:rsidR="00E3666E" w:rsidRPr="00E3666E" w:rsidRDefault="00E3666E" w:rsidP="003255EA">
            <w:pPr>
              <w:spacing w:line="276" w:lineRule="auto"/>
              <w:jc w:val="center"/>
              <w:rPr>
                <w:sz w:val="24"/>
                <w:szCs w:val="24"/>
                <w:lang w:val="lv-LV"/>
              </w:rPr>
            </w:pPr>
            <w:r w:rsidRPr="00E3666E">
              <w:rPr>
                <w:sz w:val="24"/>
                <w:szCs w:val="24"/>
                <w:lang w:val="lv-LV"/>
              </w:rPr>
              <w:t>1</w:t>
            </w:r>
          </w:p>
        </w:tc>
        <w:tc>
          <w:tcPr>
            <w:tcW w:w="986" w:type="dxa"/>
            <w:tcBorders>
              <w:top w:val="single" w:sz="4" w:space="0" w:color="auto"/>
              <w:left w:val="single" w:sz="4" w:space="0" w:color="auto"/>
              <w:bottom w:val="single" w:sz="4" w:space="0" w:color="auto"/>
              <w:right w:val="single" w:sz="4" w:space="0" w:color="auto"/>
            </w:tcBorders>
            <w:hideMark/>
          </w:tcPr>
          <w:p w14:paraId="6D62E7DE" w14:textId="77777777" w:rsidR="00E3666E" w:rsidRPr="00E3666E" w:rsidRDefault="00E3666E" w:rsidP="003255EA">
            <w:pPr>
              <w:spacing w:line="276" w:lineRule="auto"/>
              <w:jc w:val="center"/>
              <w:rPr>
                <w:sz w:val="24"/>
                <w:szCs w:val="24"/>
                <w:lang w:val="lv-LV"/>
              </w:rPr>
            </w:pPr>
            <w:r w:rsidRPr="00E3666E">
              <w:rPr>
                <w:sz w:val="24"/>
                <w:szCs w:val="24"/>
                <w:lang w:val="lv-LV"/>
              </w:rPr>
              <w:t>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666212B" w14:textId="77777777" w:rsidR="00E3666E" w:rsidRPr="00E3666E" w:rsidRDefault="00E3666E" w:rsidP="003255EA">
            <w:pPr>
              <w:spacing w:line="276" w:lineRule="auto"/>
              <w:jc w:val="center"/>
              <w:rPr>
                <w:bCs/>
                <w:sz w:val="24"/>
                <w:szCs w:val="24"/>
                <w:lang w:val="lv-LV"/>
              </w:rPr>
            </w:pPr>
            <w:r w:rsidRPr="00E3666E">
              <w:rPr>
                <w:sz w:val="24"/>
                <w:szCs w:val="24"/>
                <w:lang w:val="lv-LV"/>
              </w:rPr>
              <w:t>3</w:t>
            </w:r>
          </w:p>
        </w:tc>
        <w:tc>
          <w:tcPr>
            <w:tcW w:w="958" w:type="dxa"/>
            <w:tcBorders>
              <w:top w:val="single" w:sz="4" w:space="0" w:color="auto"/>
              <w:left w:val="single" w:sz="4" w:space="0" w:color="auto"/>
              <w:bottom w:val="single" w:sz="4" w:space="0" w:color="auto"/>
              <w:right w:val="single" w:sz="4" w:space="0" w:color="auto"/>
            </w:tcBorders>
            <w:vAlign w:val="center"/>
            <w:hideMark/>
          </w:tcPr>
          <w:p w14:paraId="1713294B" w14:textId="77777777" w:rsidR="00E3666E" w:rsidRPr="00E3666E" w:rsidRDefault="00E3666E" w:rsidP="003255EA">
            <w:pPr>
              <w:pStyle w:val="ListParagraph"/>
              <w:tabs>
                <w:tab w:val="left" w:pos="317"/>
              </w:tabs>
              <w:spacing w:line="276" w:lineRule="auto"/>
              <w:ind w:left="34"/>
              <w:jc w:val="center"/>
              <w:rPr>
                <w:bCs/>
                <w:sz w:val="24"/>
                <w:szCs w:val="24"/>
                <w:lang w:val="lv-LV"/>
              </w:rPr>
            </w:pPr>
            <w:r w:rsidRPr="00E3666E">
              <w:rPr>
                <w:bCs/>
                <w:sz w:val="24"/>
                <w:szCs w:val="24"/>
                <w:lang w:val="lv-LV"/>
              </w:rPr>
              <w:t>4</w:t>
            </w:r>
          </w:p>
        </w:tc>
        <w:tc>
          <w:tcPr>
            <w:tcW w:w="1072" w:type="dxa"/>
            <w:tcBorders>
              <w:top w:val="single" w:sz="4" w:space="0" w:color="auto"/>
              <w:left w:val="single" w:sz="4" w:space="0" w:color="auto"/>
              <w:bottom w:val="single" w:sz="4" w:space="0" w:color="auto"/>
              <w:right w:val="single" w:sz="4" w:space="0" w:color="auto"/>
            </w:tcBorders>
            <w:hideMark/>
          </w:tcPr>
          <w:p w14:paraId="5523DE56" w14:textId="77777777" w:rsidR="00E3666E" w:rsidRPr="00E3666E" w:rsidRDefault="00E3666E" w:rsidP="003255EA">
            <w:pPr>
              <w:pStyle w:val="ListParagraph"/>
              <w:tabs>
                <w:tab w:val="left" w:pos="317"/>
              </w:tabs>
              <w:spacing w:line="276" w:lineRule="auto"/>
              <w:ind w:left="34"/>
              <w:jc w:val="center"/>
              <w:rPr>
                <w:bCs/>
                <w:sz w:val="24"/>
                <w:szCs w:val="24"/>
                <w:lang w:val="lv-LV"/>
              </w:rPr>
            </w:pPr>
            <w:r w:rsidRPr="00E3666E">
              <w:rPr>
                <w:bCs/>
                <w:sz w:val="24"/>
                <w:szCs w:val="24"/>
                <w:lang w:val="lv-LV"/>
              </w:rPr>
              <w:t>5</w:t>
            </w:r>
          </w:p>
        </w:tc>
        <w:tc>
          <w:tcPr>
            <w:tcW w:w="927" w:type="dxa"/>
            <w:tcBorders>
              <w:top w:val="single" w:sz="4" w:space="0" w:color="auto"/>
              <w:left w:val="single" w:sz="4" w:space="0" w:color="auto"/>
              <w:bottom w:val="single" w:sz="4" w:space="0" w:color="auto"/>
              <w:right w:val="single" w:sz="4" w:space="0" w:color="auto"/>
            </w:tcBorders>
            <w:vAlign w:val="center"/>
            <w:hideMark/>
          </w:tcPr>
          <w:p w14:paraId="5C157D01" w14:textId="77777777" w:rsidR="00E3666E" w:rsidRPr="00E3666E" w:rsidRDefault="00E3666E" w:rsidP="003255EA">
            <w:pPr>
              <w:pStyle w:val="ListParagraph"/>
              <w:tabs>
                <w:tab w:val="left" w:pos="317"/>
              </w:tabs>
              <w:spacing w:line="276" w:lineRule="auto"/>
              <w:ind w:left="34"/>
              <w:jc w:val="center"/>
              <w:rPr>
                <w:bCs/>
                <w:sz w:val="24"/>
                <w:szCs w:val="24"/>
                <w:lang w:val="lv-LV"/>
              </w:rPr>
            </w:pPr>
            <w:r w:rsidRPr="00E3666E">
              <w:rPr>
                <w:bCs/>
                <w:sz w:val="24"/>
                <w:szCs w:val="24"/>
                <w:lang w:val="lv-LV"/>
              </w:rPr>
              <w:t>6</w:t>
            </w:r>
          </w:p>
        </w:tc>
        <w:tc>
          <w:tcPr>
            <w:tcW w:w="1080" w:type="dxa"/>
            <w:tcBorders>
              <w:top w:val="single" w:sz="4" w:space="0" w:color="auto"/>
              <w:left w:val="single" w:sz="4" w:space="0" w:color="auto"/>
              <w:bottom w:val="single" w:sz="4" w:space="0" w:color="auto"/>
              <w:right w:val="single" w:sz="4" w:space="0" w:color="auto"/>
            </w:tcBorders>
            <w:hideMark/>
          </w:tcPr>
          <w:p w14:paraId="3F69818E" w14:textId="77777777" w:rsidR="00E3666E" w:rsidRPr="00E3666E" w:rsidRDefault="00E3666E" w:rsidP="003255EA">
            <w:pPr>
              <w:pStyle w:val="ListParagraph"/>
              <w:tabs>
                <w:tab w:val="left" w:pos="317"/>
              </w:tabs>
              <w:spacing w:line="276" w:lineRule="auto"/>
              <w:ind w:left="34"/>
              <w:jc w:val="center"/>
              <w:rPr>
                <w:bCs/>
                <w:sz w:val="24"/>
                <w:szCs w:val="24"/>
                <w:lang w:val="lv-LV"/>
              </w:rPr>
            </w:pPr>
            <w:r w:rsidRPr="00E3666E">
              <w:rPr>
                <w:bCs/>
                <w:sz w:val="24"/>
                <w:szCs w:val="24"/>
                <w:lang w:val="lv-LV"/>
              </w:rPr>
              <w:t>7</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D9BF788" w14:textId="77777777" w:rsidR="00E3666E" w:rsidRPr="00E3666E" w:rsidRDefault="00E3666E" w:rsidP="003255EA">
            <w:pPr>
              <w:pStyle w:val="ListParagraph"/>
              <w:tabs>
                <w:tab w:val="left" w:pos="317"/>
              </w:tabs>
              <w:spacing w:line="276" w:lineRule="auto"/>
              <w:ind w:left="34"/>
              <w:jc w:val="center"/>
              <w:rPr>
                <w:bCs/>
                <w:sz w:val="24"/>
                <w:szCs w:val="24"/>
                <w:lang w:val="lv-LV"/>
              </w:rPr>
            </w:pPr>
            <w:r w:rsidRPr="00E3666E">
              <w:rPr>
                <w:bCs/>
                <w:sz w:val="24"/>
                <w:szCs w:val="24"/>
                <w:lang w:val="lv-LV"/>
              </w:rPr>
              <w:t>8</w:t>
            </w:r>
          </w:p>
        </w:tc>
      </w:tr>
      <w:tr w:rsidR="00E3666E" w:rsidRPr="00E3666E" w14:paraId="7473CCE6"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432ABB84"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1. Budžeta ieņēmumi: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59688926"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A625A9D"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3AEA6A"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13FB2E2"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13BE61CB"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9BA6C7C"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FE08C51"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6F00AD5B"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19888CB7" w14:textId="77777777" w:rsidR="00E3666E" w:rsidRPr="00E3666E" w:rsidRDefault="00E3666E" w:rsidP="003255EA">
            <w:pPr>
              <w:spacing w:line="276" w:lineRule="auto"/>
              <w:jc w:val="both"/>
              <w:rPr>
                <w:rFonts w:eastAsia="Arial Unicode MS"/>
                <w:sz w:val="24"/>
                <w:szCs w:val="24"/>
                <w:lang w:val="lv-LV"/>
              </w:rPr>
            </w:pPr>
            <w:r w:rsidRPr="00E3666E">
              <w:rPr>
                <w:rFonts w:eastAsia="Arial Unicode MS"/>
                <w:sz w:val="24"/>
                <w:szCs w:val="24"/>
                <w:lang w:val="lv-LV"/>
              </w:rPr>
              <w:t>1.1.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68B1762"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10CC858"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226EA539"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9C5399A"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6E3F7DC4"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4C8CA95"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6106BB3" w14:textId="77777777" w:rsidR="00E3666E" w:rsidRPr="00E3666E" w:rsidRDefault="00E3666E" w:rsidP="003255EA">
            <w:pPr>
              <w:tabs>
                <w:tab w:val="left" w:pos="315"/>
                <w:tab w:val="center" w:pos="459"/>
              </w:tabs>
              <w:spacing w:line="276" w:lineRule="auto"/>
              <w:jc w:val="center"/>
              <w:rPr>
                <w:rFonts w:eastAsia="Times New Roman"/>
                <w:b/>
                <w:lang w:val="lv-LV" w:eastAsia="ja-JP"/>
              </w:rPr>
            </w:pPr>
            <w:r w:rsidRPr="00E3666E">
              <w:rPr>
                <w:rFonts w:eastAsia="Arial Unicode MS"/>
                <w:lang w:val="lv-LV"/>
              </w:rPr>
              <w:t>0</w:t>
            </w:r>
          </w:p>
        </w:tc>
      </w:tr>
      <w:tr w:rsidR="00E3666E" w:rsidRPr="00E3666E" w14:paraId="12525B25"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08077BAA" w14:textId="77777777" w:rsidR="00E3666E" w:rsidRPr="00E3666E" w:rsidRDefault="00E3666E" w:rsidP="003255EA">
            <w:pPr>
              <w:spacing w:line="276" w:lineRule="auto"/>
              <w:jc w:val="both"/>
              <w:rPr>
                <w:rFonts w:eastAsia="Arial Unicode MS"/>
                <w:sz w:val="24"/>
                <w:szCs w:val="24"/>
                <w:lang w:val="lv-LV"/>
              </w:rPr>
            </w:pPr>
            <w:r w:rsidRPr="00E3666E">
              <w:rPr>
                <w:rFonts w:eastAsia="Arial Unicode MS"/>
                <w:sz w:val="24"/>
                <w:szCs w:val="24"/>
                <w:lang w:val="lv-LV"/>
              </w:rPr>
              <w:t>1.2.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21FE920"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D3F253A"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A83E92E"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1954BA5"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0783F327"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C13DC88"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100448B"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33957B2F"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7C7F5B53" w14:textId="77777777" w:rsidR="00E3666E" w:rsidRPr="00E3666E" w:rsidRDefault="00E3666E" w:rsidP="003255EA">
            <w:pPr>
              <w:spacing w:line="276" w:lineRule="auto"/>
              <w:jc w:val="both"/>
              <w:rPr>
                <w:rFonts w:eastAsia="Arial Unicode MS"/>
                <w:sz w:val="24"/>
                <w:szCs w:val="24"/>
                <w:lang w:val="lv-LV"/>
              </w:rPr>
            </w:pPr>
            <w:r w:rsidRPr="00E3666E">
              <w:rPr>
                <w:rFonts w:eastAsia="Arial Unicode MS"/>
                <w:sz w:val="24"/>
                <w:szCs w:val="24"/>
                <w:lang w:val="lv-LV"/>
              </w:rPr>
              <w:t>1.3.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3CDF8AE5"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6E043E3"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44994D5B"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39797E"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FF6C404"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8CAC737"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64942D3"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1FDB1D3D"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08A38E72"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2. Budžeta izdevumi:</w:t>
            </w:r>
          </w:p>
        </w:tc>
        <w:tc>
          <w:tcPr>
            <w:tcW w:w="986" w:type="dxa"/>
            <w:tcBorders>
              <w:top w:val="single" w:sz="4" w:space="0" w:color="auto"/>
              <w:left w:val="single" w:sz="4" w:space="0" w:color="auto"/>
              <w:bottom w:val="single" w:sz="4" w:space="0" w:color="auto"/>
              <w:right w:val="single" w:sz="4" w:space="0" w:color="auto"/>
            </w:tcBorders>
            <w:vAlign w:val="center"/>
            <w:hideMark/>
          </w:tcPr>
          <w:p w14:paraId="059C7320"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DF93F95" w14:textId="77777777" w:rsidR="00E3666E" w:rsidRPr="00E3666E" w:rsidRDefault="00E3666E" w:rsidP="003255EA">
            <w:pPr>
              <w:spacing w:line="276" w:lineRule="auto"/>
              <w:jc w:val="center"/>
              <w:rPr>
                <w:lang w:val="lv-LV"/>
              </w:rPr>
            </w:pPr>
            <w:r w:rsidRPr="00E3666E">
              <w:rPr>
                <w:rFonts w:eastAsia="Arial Unicode MS"/>
                <w:lang w:val="lv-LV"/>
              </w:rPr>
              <w:t>12 000 000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E09105E" w14:textId="77777777" w:rsidR="00E3666E" w:rsidRPr="00E3666E" w:rsidRDefault="00E3666E" w:rsidP="003255EA">
            <w:pPr>
              <w:spacing w:line="276" w:lineRule="auto"/>
              <w:jc w:val="center"/>
              <w:rPr>
                <w:rFonts w:eastAsia="Times New Roman"/>
                <w:b/>
                <w:bCs/>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7CC5CCCC"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B4EA878" w14:textId="77777777" w:rsidR="00E3666E" w:rsidRPr="00E3666E" w:rsidRDefault="00E3666E" w:rsidP="003255EA">
            <w:pPr>
              <w:spacing w:line="360" w:lineRule="auto"/>
              <w:jc w:val="center"/>
              <w:rPr>
                <w:rFonts w:eastAsia="Times New Roman"/>
                <w:b/>
                <w:bCs/>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A1CEE6"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18B1617"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5CBE01D8"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33FD7F6F" w14:textId="77777777" w:rsidR="00E3666E" w:rsidRPr="00E3666E" w:rsidRDefault="00E3666E" w:rsidP="003255EA">
            <w:pPr>
              <w:spacing w:line="276" w:lineRule="auto"/>
              <w:rPr>
                <w:rFonts w:eastAsia="Times New Roman"/>
                <w:sz w:val="24"/>
                <w:szCs w:val="24"/>
                <w:lang w:val="lv-LV"/>
              </w:rPr>
            </w:pPr>
            <w:r w:rsidRPr="00E3666E">
              <w:rPr>
                <w:rFonts w:eastAsia="Times New Roman"/>
                <w:sz w:val="24"/>
                <w:szCs w:val="24"/>
                <w:lang w:val="lv-LV"/>
              </w:rPr>
              <w:t>2.1.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1F0E89BC"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0BC6C4EC" w14:textId="77777777" w:rsidR="00E3666E" w:rsidRPr="00E3666E" w:rsidRDefault="00E3666E" w:rsidP="003255EA">
            <w:pPr>
              <w:spacing w:line="276" w:lineRule="auto"/>
              <w:jc w:val="center"/>
              <w:rPr>
                <w:lang w:val="lv-LV"/>
              </w:rPr>
            </w:pPr>
            <w:r w:rsidRPr="00E3666E">
              <w:rPr>
                <w:rFonts w:eastAsia="Arial Unicode MS"/>
                <w:lang w:val="lv-LV"/>
              </w:rPr>
              <w:t>12 000 000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637D3A1E" w14:textId="77777777" w:rsidR="00E3666E" w:rsidRPr="00E3666E" w:rsidRDefault="00E3666E" w:rsidP="003255EA">
            <w:pPr>
              <w:spacing w:line="276" w:lineRule="auto"/>
              <w:jc w:val="center"/>
              <w:rPr>
                <w:rFonts w:eastAsia="Times New Roman"/>
                <w:b/>
                <w:bCs/>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562B8D6E"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FDD8A74"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1567A5"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D36072C"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1F03886A"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005993AA" w14:textId="77777777" w:rsidR="00E3666E" w:rsidRPr="00E3666E" w:rsidRDefault="00E3666E" w:rsidP="003255EA">
            <w:pPr>
              <w:spacing w:line="276" w:lineRule="auto"/>
              <w:rPr>
                <w:rFonts w:eastAsia="Times New Roman"/>
                <w:sz w:val="24"/>
                <w:szCs w:val="24"/>
                <w:lang w:val="lv-LV"/>
              </w:rPr>
            </w:pPr>
            <w:r w:rsidRPr="00E3666E">
              <w:rPr>
                <w:rFonts w:eastAsia="Times New Roman"/>
                <w:sz w:val="24"/>
                <w:szCs w:val="24"/>
                <w:lang w:val="lv-LV"/>
              </w:rPr>
              <w:t>2.2. valsts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07828C38"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64A014F"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021080F"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E3F063C"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72DEFD04"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F9D7EC2"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814BF82"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30A44E9E"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65950819" w14:textId="77777777" w:rsidR="00E3666E" w:rsidRPr="00E3666E" w:rsidRDefault="00E3666E" w:rsidP="003255EA">
            <w:pPr>
              <w:spacing w:line="276" w:lineRule="auto"/>
              <w:rPr>
                <w:rFonts w:eastAsia="Times New Roman"/>
                <w:sz w:val="24"/>
                <w:szCs w:val="24"/>
                <w:lang w:val="lv-LV"/>
              </w:rPr>
            </w:pPr>
            <w:r w:rsidRPr="00E3666E">
              <w:rPr>
                <w:rFonts w:eastAsia="Times New Roman"/>
                <w:sz w:val="24"/>
                <w:szCs w:val="24"/>
                <w:lang w:val="lv-LV"/>
              </w:rPr>
              <w:t>2.3.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1648CC3"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978DAF9"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1C755CE6"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D79A03F"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1E056FAC"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199EAB5"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CDF7B3"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260F0011"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2A68CCE8"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3. Finansiālā ietekme:</w:t>
            </w:r>
          </w:p>
        </w:tc>
        <w:tc>
          <w:tcPr>
            <w:tcW w:w="986" w:type="dxa"/>
            <w:tcBorders>
              <w:top w:val="single" w:sz="4" w:space="0" w:color="auto"/>
              <w:left w:val="single" w:sz="4" w:space="0" w:color="auto"/>
              <w:bottom w:val="single" w:sz="4" w:space="0" w:color="auto"/>
              <w:right w:val="single" w:sz="4" w:space="0" w:color="auto"/>
            </w:tcBorders>
            <w:vAlign w:val="center"/>
            <w:hideMark/>
          </w:tcPr>
          <w:p w14:paraId="11899B07"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670D1E9A" w14:textId="77777777" w:rsidR="00E3666E" w:rsidRPr="00E3666E" w:rsidRDefault="00E3666E" w:rsidP="003255EA">
            <w:pPr>
              <w:spacing w:line="276" w:lineRule="auto"/>
              <w:jc w:val="center"/>
              <w:rPr>
                <w:lang w:val="lv-LV"/>
              </w:rPr>
            </w:pPr>
            <w:r w:rsidRPr="00E3666E">
              <w:rPr>
                <w:rFonts w:eastAsia="Arial Unicode MS"/>
                <w:lang w:val="lv-LV"/>
              </w:rPr>
              <w:t>-12 000 000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5BE996"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4A1D120F"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584A98F2"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DA7167"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73D4F11" w14:textId="77777777" w:rsidR="00E3666E" w:rsidRPr="00E3666E" w:rsidRDefault="00E3666E" w:rsidP="003255EA">
            <w:pPr>
              <w:spacing w:line="276" w:lineRule="auto"/>
              <w:jc w:val="center"/>
              <w:rPr>
                <w:rFonts w:eastAsia="Times New Roman"/>
                <w:b/>
                <w:lang w:val="lv-LV" w:eastAsia="ja-JP"/>
              </w:rPr>
            </w:pPr>
            <w:r w:rsidRPr="00E3666E">
              <w:rPr>
                <w:rFonts w:eastAsia="Arial Unicode MS"/>
                <w:lang w:val="lv-LV"/>
              </w:rPr>
              <w:t>0</w:t>
            </w:r>
          </w:p>
        </w:tc>
      </w:tr>
      <w:tr w:rsidR="00E3666E" w:rsidRPr="00E3666E" w14:paraId="4F9AF151"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28824B31" w14:textId="77777777" w:rsidR="00E3666E" w:rsidRPr="00E3666E" w:rsidRDefault="00E3666E" w:rsidP="003255EA">
            <w:pPr>
              <w:spacing w:line="276" w:lineRule="auto"/>
              <w:rPr>
                <w:rFonts w:eastAsia="Times New Roman"/>
                <w:sz w:val="24"/>
                <w:szCs w:val="24"/>
                <w:lang w:val="lv-LV"/>
              </w:rPr>
            </w:pPr>
            <w:r w:rsidRPr="00E3666E">
              <w:rPr>
                <w:rFonts w:eastAsia="Times New Roman"/>
                <w:sz w:val="24"/>
                <w:szCs w:val="24"/>
                <w:lang w:val="lv-LV"/>
              </w:rPr>
              <w:t>3.1. valsts pamatbudžets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298B676D"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tcPr>
          <w:p w14:paraId="640B8528" w14:textId="77777777" w:rsidR="00E3666E" w:rsidRPr="00E3666E" w:rsidRDefault="00E3666E" w:rsidP="003255EA">
            <w:pPr>
              <w:spacing w:line="276" w:lineRule="auto"/>
              <w:jc w:val="center"/>
              <w:rPr>
                <w:lang w:val="lv-LV"/>
              </w:rPr>
            </w:pPr>
            <w:r w:rsidRPr="00E3666E">
              <w:rPr>
                <w:rFonts w:eastAsia="Arial Unicode MS"/>
                <w:lang w:val="lv-LV"/>
              </w:rPr>
              <w:t>-12 000 000</w:t>
            </w:r>
          </w:p>
        </w:tc>
        <w:tc>
          <w:tcPr>
            <w:tcW w:w="958" w:type="dxa"/>
            <w:tcBorders>
              <w:top w:val="single" w:sz="4" w:space="0" w:color="auto"/>
              <w:left w:val="single" w:sz="4" w:space="0" w:color="auto"/>
              <w:bottom w:val="single" w:sz="4" w:space="0" w:color="auto"/>
              <w:right w:val="single" w:sz="4" w:space="0" w:color="auto"/>
            </w:tcBorders>
            <w:vAlign w:val="center"/>
            <w:hideMark/>
          </w:tcPr>
          <w:p w14:paraId="29003117"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tcPr>
          <w:p w14:paraId="076805DE"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3CB5C634"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4818758"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831F544" w14:textId="77777777" w:rsidR="00E3666E" w:rsidRPr="00E3666E" w:rsidRDefault="00E3666E" w:rsidP="003255EA">
            <w:pPr>
              <w:spacing w:line="276" w:lineRule="auto"/>
              <w:jc w:val="center"/>
              <w:rPr>
                <w:lang w:val="lv-LV"/>
              </w:rPr>
            </w:pPr>
            <w:r w:rsidRPr="00E3666E">
              <w:rPr>
                <w:rFonts w:eastAsia="Arial Unicode MS"/>
                <w:lang w:val="lv-LV"/>
              </w:rPr>
              <w:t>0</w:t>
            </w:r>
          </w:p>
        </w:tc>
      </w:tr>
      <w:tr w:rsidR="00E3666E" w:rsidRPr="00E3666E" w14:paraId="2F64F128"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06289270" w14:textId="77777777" w:rsidR="00E3666E" w:rsidRPr="00E3666E" w:rsidRDefault="00E3666E" w:rsidP="003255EA">
            <w:pPr>
              <w:spacing w:line="276" w:lineRule="auto"/>
              <w:rPr>
                <w:rFonts w:eastAsia="Times New Roman"/>
                <w:sz w:val="24"/>
                <w:szCs w:val="24"/>
                <w:lang w:val="lv-LV"/>
              </w:rPr>
            </w:pPr>
            <w:r w:rsidRPr="00E3666E">
              <w:rPr>
                <w:rFonts w:eastAsia="Times New Roman"/>
                <w:sz w:val="24"/>
                <w:szCs w:val="24"/>
                <w:lang w:val="lv-LV"/>
              </w:rPr>
              <w:t>3.2. speciālais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5D867647"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74665A"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2E873508"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40A3F70"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683062C2"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34999B9"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99B219A"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r>
      <w:tr w:rsidR="00E3666E" w:rsidRPr="00E3666E" w14:paraId="179CAD88"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4E8447B3" w14:textId="77777777" w:rsidR="00E3666E" w:rsidRPr="00E3666E" w:rsidRDefault="00E3666E" w:rsidP="003255EA">
            <w:pPr>
              <w:spacing w:line="276" w:lineRule="auto"/>
              <w:rPr>
                <w:rFonts w:eastAsia="Times New Roman"/>
                <w:sz w:val="24"/>
                <w:szCs w:val="24"/>
                <w:lang w:val="lv-LV"/>
              </w:rPr>
            </w:pPr>
            <w:r w:rsidRPr="00E3666E">
              <w:rPr>
                <w:rFonts w:eastAsia="Times New Roman"/>
                <w:sz w:val="24"/>
                <w:szCs w:val="24"/>
                <w:lang w:val="lv-LV"/>
              </w:rPr>
              <w:t>3.3. pašvaldību budžets</w:t>
            </w:r>
          </w:p>
        </w:tc>
        <w:tc>
          <w:tcPr>
            <w:tcW w:w="986" w:type="dxa"/>
            <w:tcBorders>
              <w:top w:val="single" w:sz="4" w:space="0" w:color="auto"/>
              <w:left w:val="single" w:sz="4" w:space="0" w:color="auto"/>
              <w:bottom w:val="single" w:sz="4" w:space="0" w:color="auto"/>
              <w:right w:val="single" w:sz="4" w:space="0" w:color="auto"/>
            </w:tcBorders>
            <w:vAlign w:val="center"/>
            <w:hideMark/>
          </w:tcPr>
          <w:p w14:paraId="43BF7266"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947AC3" w14:textId="77777777" w:rsidR="00E3666E" w:rsidRPr="00E3666E" w:rsidRDefault="00E3666E" w:rsidP="003255EA">
            <w:pPr>
              <w:spacing w:line="276" w:lineRule="auto"/>
              <w:jc w:val="center"/>
              <w:rPr>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vAlign w:val="center"/>
            <w:hideMark/>
          </w:tcPr>
          <w:p w14:paraId="35365E29"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1C72423"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vAlign w:val="center"/>
            <w:hideMark/>
          </w:tcPr>
          <w:p w14:paraId="4FC21301"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5FE15C"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705568A6"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r>
      <w:tr w:rsidR="00E3666E" w:rsidRPr="00E3666E" w14:paraId="54299BE9"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70B9EC61"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4. Finanšu līdzekļi papildu izdevumu finansēšanai (kompensējošu izdevumu samazinājumu norāda ar "+" zīmi)</w:t>
            </w:r>
          </w:p>
        </w:tc>
        <w:tc>
          <w:tcPr>
            <w:tcW w:w="986" w:type="dxa"/>
            <w:tcBorders>
              <w:top w:val="single" w:sz="4" w:space="0" w:color="auto"/>
              <w:left w:val="single" w:sz="4" w:space="0" w:color="auto"/>
              <w:bottom w:val="single" w:sz="4" w:space="0" w:color="auto"/>
              <w:right w:val="single" w:sz="4" w:space="0" w:color="auto"/>
            </w:tcBorders>
            <w:hideMark/>
          </w:tcPr>
          <w:p w14:paraId="27AE4B5D"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X</w:t>
            </w:r>
          </w:p>
        </w:tc>
        <w:tc>
          <w:tcPr>
            <w:tcW w:w="1156" w:type="dxa"/>
            <w:tcBorders>
              <w:top w:val="single" w:sz="4" w:space="0" w:color="auto"/>
              <w:left w:val="single" w:sz="4" w:space="0" w:color="auto"/>
              <w:bottom w:val="single" w:sz="4" w:space="0" w:color="auto"/>
              <w:right w:val="single" w:sz="4" w:space="0" w:color="auto"/>
            </w:tcBorders>
            <w:hideMark/>
          </w:tcPr>
          <w:p w14:paraId="648DE7A7" w14:textId="77777777" w:rsidR="00E3666E" w:rsidRPr="00E3666E" w:rsidRDefault="00E3666E" w:rsidP="003255EA">
            <w:pPr>
              <w:spacing w:line="276" w:lineRule="auto"/>
              <w:jc w:val="center"/>
              <w:rPr>
                <w:rFonts w:eastAsia="Arial Unicode MS"/>
                <w:b/>
                <w:lang w:val="lv-LV"/>
              </w:rPr>
            </w:pPr>
            <w:r w:rsidRPr="00E3666E">
              <w:rPr>
                <w:rFonts w:eastAsia="Arial Unicode MS"/>
                <w:lang w:val="lv-LV"/>
              </w:rPr>
              <w:t>0</w:t>
            </w:r>
          </w:p>
        </w:tc>
        <w:tc>
          <w:tcPr>
            <w:tcW w:w="958" w:type="dxa"/>
            <w:tcBorders>
              <w:top w:val="single" w:sz="4" w:space="0" w:color="auto"/>
              <w:left w:val="single" w:sz="4" w:space="0" w:color="auto"/>
              <w:bottom w:val="single" w:sz="4" w:space="0" w:color="auto"/>
              <w:right w:val="single" w:sz="4" w:space="0" w:color="auto"/>
            </w:tcBorders>
            <w:hideMark/>
          </w:tcPr>
          <w:p w14:paraId="32FCECB4" w14:textId="77777777" w:rsidR="00E3666E" w:rsidRPr="00E3666E" w:rsidRDefault="00E3666E" w:rsidP="003255EA">
            <w:pPr>
              <w:spacing w:line="276" w:lineRule="auto"/>
              <w:ind w:left="-30"/>
              <w:jc w:val="center"/>
              <w:rPr>
                <w:rFonts w:eastAsia="Times New Roman"/>
                <w:b/>
                <w:lang w:val="lv-LV"/>
              </w:rPr>
            </w:pPr>
            <w:r w:rsidRPr="00E3666E">
              <w:rPr>
                <w:rFonts w:eastAsia="Arial Unicode MS"/>
                <w:lang w:val="lv-LV"/>
              </w:rPr>
              <w:t>X</w:t>
            </w:r>
          </w:p>
        </w:tc>
        <w:tc>
          <w:tcPr>
            <w:tcW w:w="1072" w:type="dxa"/>
            <w:tcBorders>
              <w:top w:val="single" w:sz="4" w:space="0" w:color="auto"/>
              <w:left w:val="single" w:sz="4" w:space="0" w:color="auto"/>
              <w:bottom w:val="single" w:sz="4" w:space="0" w:color="auto"/>
              <w:right w:val="single" w:sz="4" w:space="0" w:color="auto"/>
            </w:tcBorders>
            <w:hideMark/>
          </w:tcPr>
          <w:p w14:paraId="2C11729C" w14:textId="77777777" w:rsidR="00E3666E" w:rsidRPr="00E3666E" w:rsidRDefault="00E3666E" w:rsidP="003255EA">
            <w:pPr>
              <w:spacing w:line="276" w:lineRule="auto"/>
              <w:ind w:left="-30"/>
              <w:jc w:val="center"/>
              <w:rPr>
                <w:rFonts w:eastAsia="Arial Unicode MS"/>
                <w:lang w:val="lv-LV"/>
              </w:rPr>
            </w:pPr>
            <w:r w:rsidRPr="00E3666E">
              <w:rPr>
                <w:rFonts w:eastAsia="Arial Unicode MS"/>
                <w:lang w:val="lv-LV"/>
              </w:rPr>
              <w:t>0</w:t>
            </w:r>
          </w:p>
        </w:tc>
        <w:tc>
          <w:tcPr>
            <w:tcW w:w="927" w:type="dxa"/>
            <w:tcBorders>
              <w:top w:val="single" w:sz="4" w:space="0" w:color="auto"/>
              <w:left w:val="single" w:sz="4" w:space="0" w:color="auto"/>
              <w:bottom w:val="single" w:sz="4" w:space="0" w:color="auto"/>
              <w:right w:val="single" w:sz="4" w:space="0" w:color="auto"/>
            </w:tcBorders>
            <w:hideMark/>
          </w:tcPr>
          <w:p w14:paraId="34668D82" w14:textId="77777777" w:rsidR="00E3666E" w:rsidRPr="00E3666E" w:rsidRDefault="00E3666E" w:rsidP="003255EA">
            <w:pPr>
              <w:spacing w:line="276" w:lineRule="auto"/>
              <w:ind w:left="-30"/>
              <w:jc w:val="center"/>
              <w:rPr>
                <w:rFonts w:eastAsia="Times New Roman"/>
                <w:b/>
                <w:lang w:val="lv-LV"/>
              </w:rPr>
            </w:pPr>
            <w:r w:rsidRPr="00E3666E">
              <w:rPr>
                <w:rFonts w:eastAsia="Arial Unicode MS"/>
                <w:lang w:val="lv-LV"/>
              </w:rPr>
              <w:t>X</w:t>
            </w:r>
          </w:p>
        </w:tc>
        <w:tc>
          <w:tcPr>
            <w:tcW w:w="1080" w:type="dxa"/>
            <w:tcBorders>
              <w:top w:val="single" w:sz="4" w:space="0" w:color="auto"/>
              <w:left w:val="single" w:sz="4" w:space="0" w:color="auto"/>
              <w:bottom w:val="single" w:sz="4" w:space="0" w:color="auto"/>
              <w:right w:val="single" w:sz="4" w:space="0" w:color="auto"/>
            </w:tcBorders>
            <w:hideMark/>
          </w:tcPr>
          <w:p w14:paraId="5D4F8EF7" w14:textId="77777777" w:rsidR="00E3666E" w:rsidRPr="00E3666E" w:rsidRDefault="00E3666E" w:rsidP="003255EA">
            <w:pPr>
              <w:spacing w:line="276" w:lineRule="auto"/>
              <w:ind w:left="-30"/>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502C724C" w14:textId="77777777" w:rsidR="00E3666E" w:rsidRPr="00E3666E" w:rsidRDefault="00E3666E" w:rsidP="003255EA">
            <w:pPr>
              <w:spacing w:line="276" w:lineRule="auto"/>
              <w:ind w:left="-30"/>
              <w:jc w:val="center"/>
              <w:rPr>
                <w:rFonts w:eastAsia="Times New Roman"/>
                <w:b/>
                <w:lang w:val="lv-LV"/>
              </w:rPr>
            </w:pPr>
            <w:r w:rsidRPr="00E3666E">
              <w:rPr>
                <w:rFonts w:eastAsia="Arial Unicode MS"/>
                <w:lang w:val="lv-LV"/>
              </w:rPr>
              <w:t>0</w:t>
            </w:r>
          </w:p>
        </w:tc>
      </w:tr>
      <w:tr w:rsidR="00E3666E" w:rsidRPr="00E3666E" w14:paraId="584AC609"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5B4F0C5D"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5. Precizēta finansiālā ietekme:</w:t>
            </w:r>
          </w:p>
        </w:tc>
        <w:tc>
          <w:tcPr>
            <w:tcW w:w="986" w:type="dxa"/>
            <w:vMerge w:val="restart"/>
            <w:tcBorders>
              <w:top w:val="single" w:sz="4" w:space="0" w:color="auto"/>
              <w:left w:val="single" w:sz="4" w:space="0" w:color="auto"/>
              <w:right w:val="single" w:sz="4" w:space="0" w:color="auto"/>
            </w:tcBorders>
            <w:hideMark/>
          </w:tcPr>
          <w:p w14:paraId="029A3A02" w14:textId="77777777" w:rsidR="00E3666E" w:rsidRPr="00E3666E" w:rsidRDefault="00E3666E" w:rsidP="003255EA">
            <w:pPr>
              <w:spacing w:line="276" w:lineRule="auto"/>
              <w:jc w:val="center"/>
              <w:rPr>
                <w:lang w:val="lv-LV"/>
              </w:rPr>
            </w:pPr>
            <w:r w:rsidRPr="00E3666E">
              <w:rPr>
                <w:rFonts w:eastAsia="Arial Unicode MS"/>
                <w:lang w:val="lv-LV"/>
              </w:rPr>
              <w:t>X</w:t>
            </w:r>
          </w:p>
        </w:tc>
        <w:tc>
          <w:tcPr>
            <w:tcW w:w="1156" w:type="dxa"/>
            <w:tcBorders>
              <w:top w:val="single" w:sz="4" w:space="0" w:color="auto"/>
              <w:left w:val="single" w:sz="4" w:space="0" w:color="auto"/>
              <w:bottom w:val="single" w:sz="4" w:space="0" w:color="auto"/>
              <w:right w:val="single" w:sz="4" w:space="0" w:color="auto"/>
            </w:tcBorders>
            <w:vAlign w:val="center"/>
          </w:tcPr>
          <w:p w14:paraId="71B0199E" w14:textId="77777777" w:rsidR="00E3666E" w:rsidRPr="00E3666E" w:rsidRDefault="00E3666E" w:rsidP="003255EA">
            <w:pPr>
              <w:spacing w:line="276" w:lineRule="auto"/>
              <w:jc w:val="center"/>
              <w:rPr>
                <w:lang w:val="lv-LV"/>
              </w:rPr>
            </w:pPr>
            <w:r w:rsidRPr="00E3666E">
              <w:rPr>
                <w:lang w:val="lv-LV"/>
              </w:rPr>
              <w:t>-12 000 000</w:t>
            </w:r>
          </w:p>
          <w:p w14:paraId="0BD3B9C4" w14:textId="77777777" w:rsidR="00E3666E" w:rsidRPr="00E3666E" w:rsidRDefault="00E3666E" w:rsidP="003255EA">
            <w:pPr>
              <w:spacing w:line="276" w:lineRule="auto"/>
              <w:jc w:val="center"/>
              <w:rPr>
                <w:lang w:val="lv-LV"/>
              </w:rPr>
            </w:pPr>
          </w:p>
          <w:p w14:paraId="548A45E1" w14:textId="77777777" w:rsidR="00E3666E" w:rsidRPr="00E3666E" w:rsidRDefault="00E3666E" w:rsidP="003255EA">
            <w:pPr>
              <w:spacing w:line="276" w:lineRule="auto"/>
              <w:jc w:val="center"/>
              <w:rPr>
                <w:lang w:val="lv-LV"/>
              </w:rPr>
            </w:pPr>
          </w:p>
          <w:p w14:paraId="57A7B2FC" w14:textId="77777777" w:rsidR="00E3666E" w:rsidRPr="00E3666E" w:rsidRDefault="00E3666E" w:rsidP="003255EA">
            <w:pPr>
              <w:spacing w:line="276" w:lineRule="auto"/>
              <w:jc w:val="center"/>
              <w:rPr>
                <w:rFonts w:eastAsia="Arial Unicode MS"/>
                <w:lang w:val="lv-LV"/>
              </w:rPr>
            </w:pPr>
          </w:p>
        </w:tc>
        <w:tc>
          <w:tcPr>
            <w:tcW w:w="958" w:type="dxa"/>
            <w:vMerge w:val="restart"/>
            <w:tcBorders>
              <w:top w:val="single" w:sz="4" w:space="0" w:color="auto"/>
              <w:left w:val="single" w:sz="4" w:space="0" w:color="auto"/>
              <w:right w:val="single" w:sz="4" w:space="0" w:color="auto"/>
            </w:tcBorders>
            <w:hideMark/>
          </w:tcPr>
          <w:p w14:paraId="578A5D1D"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X</w:t>
            </w:r>
          </w:p>
        </w:tc>
        <w:tc>
          <w:tcPr>
            <w:tcW w:w="1072" w:type="dxa"/>
            <w:tcBorders>
              <w:top w:val="single" w:sz="4" w:space="0" w:color="auto"/>
              <w:left w:val="single" w:sz="4" w:space="0" w:color="auto"/>
              <w:bottom w:val="single" w:sz="4" w:space="0" w:color="auto"/>
              <w:right w:val="single" w:sz="4" w:space="0" w:color="auto"/>
            </w:tcBorders>
          </w:tcPr>
          <w:p w14:paraId="72230D21" w14:textId="77777777" w:rsidR="00E3666E" w:rsidRPr="00E3666E" w:rsidRDefault="00E3666E" w:rsidP="003255EA">
            <w:pPr>
              <w:spacing w:line="276" w:lineRule="auto"/>
              <w:jc w:val="center"/>
              <w:rPr>
                <w:lang w:val="lv-LV"/>
              </w:rPr>
            </w:pPr>
            <w:r w:rsidRPr="00E3666E">
              <w:rPr>
                <w:lang w:val="lv-LV"/>
              </w:rPr>
              <w:t>0</w:t>
            </w:r>
          </w:p>
          <w:p w14:paraId="45BBA4E6" w14:textId="77777777" w:rsidR="00E3666E" w:rsidRPr="00E3666E" w:rsidRDefault="00E3666E" w:rsidP="003255EA">
            <w:pPr>
              <w:spacing w:line="276" w:lineRule="auto"/>
              <w:jc w:val="center"/>
              <w:rPr>
                <w:lang w:val="lv-LV"/>
              </w:rPr>
            </w:pPr>
          </w:p>
          <w:p w14:paraId="4AB1D369" w14:textId="77777777" w:rsidR="00E3666E" w:rsidRPr="00E3666E" w:rsidRDefault="00E3666E" w:rsidP="003255EA">
            <w:pPr>
              <w:spacing w:line="276" w:lineRule="auto"/>
              <w:jc w:val="center"/>
              <w:rPr>
                <w:lang w:val="lv-LV"/>
              </w:rPr>
            </w:pPr>
          </w:p>
          <w:p w14:paraId="23084467" w14:textId="77777777" w:rsidR="00E3666E" w:rsidRPr="00E3666E" w:rsidRDefault="00E3666E" w:rsidP="003255EA">
            <w:pPr>
              <w:spacing w:line="276" w:lineRule="auto"/>
              <w:jc w:val="center"/>
              <w:rPr>
                <w:rFonts w:eastAsia="Arial Unicode MS"/>
                <w:lang w:val="lv-LV"/>
              </w:rPr>
            </w:pPr>
          </w:p>
        </w:tc>
        <w:tc>
          <w:tcPr>
            <w:tcW w:w="927" w:type="dxa"/>
            <w:vMerge w:val="restart"/>
            <w:tcBorders>
              <w:top w:val="single" w:sz="4" w:space="0" w:color="auto"/>
              <w:left w:val="single" w:sz="4" w:space="0" w:color="auto"/>
              <w:right w:val="single" w:sz="4" w:space="0" w:color="auto"/>
            </w:tcBorders>
            <w:hideMark/>
          </w:tcPr>
          <w:p w14:paraId="0F34F46B"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X</w:t>
            </w:r>
          </w:p>
        </w:tc>
        <w:tc>
          <w:tcPr>
            <w:tcW w:w="1080" w:type="dxa"/>
            <w:tcBorders>
              <w:top w:val="single" w:sz="4" w:space="0" w:color="auto"/>
              <w:left w:val="single" w:sz="4" w:space="0" w:color="auto"/>
              <w:bottom w:val="single" w:sz="4" w:space="0" w:color="auto"/>
              <w:right w:val="single" w:sz="4" w:space="0" w:color="auto"/>
            </w:tcBorders>
            <w:hideMark/>
          </w:tcPr>
          <w:p w14:paraId="7D916DE8"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hideMark/>
          </w:tcPr>
          <w:p w14:paraId="4F325098" w14:textId="77777777" w:rsidR="00E3666E" w:rsidRPr="00E3666E" w:rsidRDefault="00E3666E" w:rsidP="003255EA">
            <w:pPr>
              <w:spacing w:line="276" w:lineRule="auto"/>
              <w:jc w:val="center"/>
              <w:rPr>
                <w:rFonts w:eastAsia="Times New Roman"/>
                <w:lang w:val="lv-LV"/>
              </w:rPr>
            </w:pPr>
            <w:r w:rsidRPr="00E3666E">
              <w:rPr>
                <w:rFonts w:eastAsia="Arial Unicode MS"/>
                <w:lang w:val="lv-LV"/>
              </w:rPr>
              <w:t>0</w:t>
            </w:r>
          </w:p>
        </w:tc>
      </w:tr>
      <w:tr w:rsidR="00E3666E" w:rsidRPr="00E3666E" w14:paraId="1A04561E" w14:textId="77777777" w:rsidTr="003255EA">
        <w:tc>
          <w:tcPr>
            <w:tcW w:w="1968" w:type="dxa"/>
            <w:tcBorders>
              <w:top w:val="outset" w:sz="6" w:space="0" w:color="auto"/>
              <w:left w:val="outset" w:sz="6" w:space="0" w:color="auto"/>
              <w:bottom w:val="outset" w:sz="6" w:space="0" w:color="auto"/>
              <w:right w:val="outset" w:sz="6" w:space="0" w:color="auto"/>
            </w:tcBorders>
          </w:tcPr>
          <w:p w14:paraId="479C39E9"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iCs/>
                <w:sz w:val="24"/>
                <w:szCs w:val="24"/>
                <w:lang w:val="lv-LV" w:eastAsia="lv-LV"/>
              </w:rPr>
              <w:lastRenderedPageBreak/>
              <w:t>5.1. valsts pamatbudžets</w:t>
            </w:r>
          </w:p>
        </w:tc>
        <w:tc>
          <w:tcPr>
            <w:tcW w:w="986" w:type="dxa"/>
            <w:vMerge/>
            <w:tcBorders>
              <w:top w:val="single" w:sz="4" w:space="0" w:color="auto"/>
              <w:left w:val="single" w:sz="4" w:space="0" w:color="auto"/>
              <w:right w:val="single" w:sz="4" w:space="0" w:color="auto"/>
            </w:tcBorders>
          </w:tcPr>
          <w:p w14:paraId="4F667609" w14:textId="77777777" w:rsidR="00E3666E" w:rsidRPr="00E3666E" w:rsidRDefault="00E3666E" w:rsidP="003255EA">
            <w:pPr>
              <w:spacing w:line="276" w:lineRule="auto"/>
              <w:jc w:val="center"/>
              <w:rPr>
                <w:rFonts w:eastAsia="Arial Unicode MS"/>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28CB21AB" w14:textId="77777777" w:rsidR="00E3666E" w:rsidRPr="00E3666E" w:rsidRDefault="00E3666E" w:rsidP="003255EA">
            <w:pPr>
              <w:spacing w:line="276" w:lineRule="auto"/>
              <w:jc w:val="center"/>
              <w:rPr>
                <w:lang w:val="lv-LV"/>
              </w:rPr>
            </w:pPr>
            <w:r w:rsidRPr="00E3666E">
              <w:rPr>
                <w:lang w:val="lv-LV"/>
              </w:rPr>
              <w:t>-12 000 000</w:t>
            </w:r>
          </w:p>
        </w:tc>
        <w:tc>
          <w:tcPr>
            <w:tcW w:w="958" w:type="dxa"/>
            <w:vMerge/>
            <w:tcBorders>
              <w:top w:val="single" w:sz="4" w:space="0" w:color="auto"/>
              <w:left w:val="single" w:sz="4" w:space="0" w:color="auto"/>
              <w:right w:val="single" w:sz="4" w:space="0" w:color="auto"/>
            </w:tcBorders>
          </w:tcPr>
          <w:p w14:paraId="13D77444" w14:textId="77777777" w:rsidR="00E3666E" w:rsidRPr="00E3666E" w:rsidRDefault="00E3666E" w:rsidP="003255EA">
            <w:pPr>
              <w:spacing w:line="276" w:lineRule="auto"/>
              <w:jc w:val="center"/>
              <w:rPr>
                <w:rFonts w:eastAsia="Arial Unicode MS"/>
                <w:lang w:val="lv-LV"/>
              </w:rPr>
            </w:pPr>
          </w:p>
        </w:tc>
        <w:tc>
          <w:tcPr>
            <w:tcW w:w="1072" w:type="dxa"/>
            <w:tcBorders>
              <w:top w:val="single" w:sz="4" w:space="0" w:color="auto"/>
              <w:left w:val="single" w:sz="4" w:space="0" w:color="auto"/>
              <w:bottom w:val="single" w:sz="4" w:space="0" w:color="auto"/>
              <w:right w:val="single" w:sz="4" w:space="0" w:color="auto"/>
            </w:tcBorders>
          </w:tcPr>
          <w:p w14:paraId="4B9411B2" w14:textId="77777777" w:rsidR="00E3666E" w:rsidRPr="00E3666E" w:rsidRDefault="00E3666E" w:rsidP="003255EA">
            <w:pPr>
              <w:spacing w:line="276" w:lineRule="auto"/>
              <w:jc w:val="center"/>
              <w:rPr>
                <w:lang w:val="lv-LV"/>
              </w:rPr>
            </w:pPr>
            <w:r w:rsidRPr="00E3666E">
              <w:rPr>
                <w:lang w:val="lv-LV"/>
              </w:rPr>
              <w:t>0</w:t>
            </w:r>
          </w:p>
        </w:tc>
        <w:tc>
          <w:tcPr>
            <w:tcW w:w="927" w:type="dxa"/>
            <w:vMerge/>
            <w:tcBorders>
              <w:top w:val="single" w:sz="4" w:space="0" w:color="auto"/>
              <w:left w:val="single" w:sz="4" w:space="0" w:color="auto"/>
              <w:right w:val="single" w:sz="4" w:space="0" w:color="auto"/>
            </w:tcBorders>
          </w:tcPr>
          <w:p w14:paraId="0A77ADF6" w14:textId="77777777" w:rsidR="00E3666E" w:rsidRPr="00E3666E" w:rsidRDefault="00E3666E" w:rsidP="003255EA">
            <w:pPr>
              <w:spacing w:line="276" w:lineRule="auto"/>
              <w:jc w:val="center"/>
              <w:rPr>
                <w:rFonts w:eastAsia="Arial Unicode MS"/>
                <w:lang w:val="lv-LV"/>
              </w:rPr>
            </w:pPr>
          </w:p>
        </w:tc>
        <w:tc>
          <w:tcPr>
            <w:tcW w:w="1080" w:type="dxa"/>
            <w:tcBorders>
              <w:top w:val="single" w:sz="4" w:space="0" w:color="auto"/>
              <w:left w:val="single" w:sz="4" w:space="0" w:color="auto"/>
              <w:bottom w:val="single" w:sz="4" w:space="0" w:color="auto"/>
              <w:right w:val="single" w:sz="4" w:space="0" w:color="auto"/>
            </w:tcBorders>
          </w:tcPr>
          <w:p w14:paraId="2C59771B"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tcPr>
          <w:p w14:paraId="7F3B1E3F" w14:textId="77777777" w:rsidR="00E3666E" w:rsidRPr="00E3666E" w:rsidDel="00A87C80" w:rsidRDefault="00E3666E" w:rsidP="003255EA">
            <w:pPr>
              <w:spacing w:line="276" w:lineRule="auto"/>
              <w:jc w:val="center"/>
              <w:rPr>
                <w:rFonts w:eastAsia="Arial Unicode MS"/>
                <w:lang w:val="lv-LV"/>
              </w:rPr>
            </w:pPr>
            <w:r w:rsidRPr="00E3666E">
              <w:rPr>
                <w:rFonts w:eastAsia="Arial Unicode MS"/>
                <w:lang w:val="lv-LV"/>
              </w:rPr>
              <w:t>0</w:t>
            </w:r>
          </w:p>
        </w:tc>
      </w:tr>
      <w:tr w:rsidR="00E3666E" w:rsidRPr="00E3666E" w14:paraId="02BFEC53" w14:textId="77777777" w:rsidTr="003255EA">
        <w:tc>
          <w:tcPr>
            <w:tcW w:w="1968" w:type="dxa"/>
            <w:tcBorders>
              <w:top w:val="outset" w:sz="6" w:space="0" w:color="auto"/>
              <w:left w:val="outset" w:sz="6" w:space="0" w:color="auto"/>
              <w:bottom w:val="outset" w:sz="6" w:space="0" w:color="auto"/>
              <w:right w:val="outset" w:sz="6" w:space="0" w:color="auto"/>
            </w:tcBorders>
          </w:tcPr>
          <w:p w14:paraId="336880DC"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iCs/>
                <w:sz w:val="24"/>
                <w:szCs w:val="24"/>
                <w:lang w:val="lv-LV" w:eastAsia="lv-LV"/>
              </w:rPr>
              <w:t>5.2. speciālais budžets</w:t>
            </w:r>
          </w:p>
        </w:tc>
        <w:tc>
          <w:tcPr>
            <w:tcW w:w="986" w:type="dxa"/>
            <w:vMerge/>
            <w:tcBorders>
              <w:left w:val="single" w:sz="4" w:space="0" w:color="auto"/>
              <w:right w:val="single" w:sz="4" w:space="0" w:color="auto"/>
            </w:tcBorders>
          </w:tcPr>
          <w:p w14:paraId="4B244818" w14:textId="77777777" w:rsidR="00E3666E" w:rsidRPr="00E3666E" w:rsidRDefault="00E3666E" w:rsidP="003255EA">
            <w:pPr>
              <w:spacing w:line="276" w:lineRule="auto"/>
              <w:jc w:val="center"/>
              <w:rPr>
                <w:rFonts w:eastAsia="Arial Unicode MS"/>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49EEA832" w14:textId="77777777" w:rsidR="00E3666E" w:rsidRPr="00E3666E" w:rsidRDefault="00E3666E" w:rsidP="003255EA">
            <w:pPr>
              <w:spacing w:line="276" w:lineRule="auto"/>
              <w:jc w:val="center"/>
              <w:rPr>
                <w:lang w:val="lv-LV"/>
              </w:rPr>
            </w:pPr>
            <w:r w:rsidRPr="00E3666E">
              <w:rPr>
                <w:lang w:val="lv-LV"/>
              </w:rPr>
              <w:t>0</w:t>
            </w:r>
          </w:p>
        </w:tc>
        <w:tc>
          <w:tcPr>
            <w:tcW w:w="958" w:type="dxa"/>
            <w:vMerge/>
            <w:tcBorders>
              <w:left w:val="single" w:sz="4" w:space="0" w:color="auto"/>
              <w:right w:val="single" w:sz="4" w:space="0" w:color="auto"/>
            </w:tcBorders>
          </w:tcPr>
          <w:p w14:paraId="63B75A15" w14:textId="77777777" w:rsidR="00E3666E" w:rsidRPr="00E3666E" w:rsidRDefault="00E3666E" w:rsidP="003255EA">
            <w:pPr>
              <w:spacing w:line="276" w:lineRule="auto"/>
              <w:jc w:val="center"/>
              <w:rPr>
                <w:rFonts w:eastAsia="Arial Unicode MS"/>
                <w:lang w:val="lv-LV"/>
              </w:rPr>
            </w:pPr>
          </w:p>
        </w:tc>
        <w:tc>
          <w:tcPr>
            <w:tcW w:w="1072" w:type="dxa"/>
            <w:tcBorders>
              <w:top w:val="single" w:sz="4" w:space="0" w:color="auto"/>
              <w:left w:val="single" w:sz="4" w:space="0" w:color="auto"/>
              <w:bottom w:val="single" w:sz="4" w:space="0" w:color="auto"/>
              <w:right w:val="single" w:sz="4" w:space="0" w:color="auto"/>
            </w:tcBorders>
          </w:tcPr>
          <w:p w14:paraId="0C07C241" w14:textId="77777777" w:rsidR="00E3666E" w:rsidRPr="00E3666E" w:rsidRDefault="00E3666E" w:rsidP="003255EA">
            <w:pPr>
              <w:spacing w:line="276" w:lineRule="auto"/>
              <w:jc w:val="center"/>
              <w:rPr>
                <w:lang w:val="lv-LV"/>
              </w:rPr>
            </w:pPr>
            <w:r w:rsidRPr="00E3666E">
              <w:rPr>
                <w:lang w:val="lv-LV"/>
              </w:rPr>
              <w:t>0</w:t>
            </w:r>
          </w:p>
        </w:tc>
        <w:tc>
          <w:tcPr>
            <w:tcW w:w="927" w:type="dxa"/>
            <w:vMerge/>
            <w:tcBorders>
              <w:left w:val="single" w:sz="4" w:space="0" w:color="auto"/>
              <w:right w:val="single" w:sz="4" w:space="0" w:color="auto"/>
            </w:tcBorders>
          </w:tcPr>
          <w:p w14:paraId="20B3FD4D" w14:textId="77777777" w:rsidR="00E3666E" w:rsidRPr="00E3666E" w:rsidRDefault="00E3666E" w:rsidP="003255EA">
            <w:pPr>
              <w:spacing w:line="276" w:lineRule="auto"/>
              <w:jc w:val="center"/>
              <w:rPr>
                <w:rFonts w:eastAsia="Arial Unicode MS"/>
                <w:lang w:val="lv-LV"/>
              </w:rPr>
            </w:pPr>
          </w:p>
        </w:tc>
        <w:tc>
          <w:tcPr>
            <w:tcW w:w="1080" w:type="dxa"/>
            <w:tcBorders>
              <w:top w:val="single" w:sz="4" w:space="0" w:color="auto"/>
              <w:left w:val="single" w:sz="4" w:space="0" w:color="auto"/>
              <w:bottom w:val="single" w:sz="4" w:space="0" w:color="auto"/>
              <w:right w:val="single" w:sz="4" w:space="0" w:color="auto"/>
            </w:tcBorders>
          </w:tcPr>
          <w:p w14:paraId="3409239A"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tcPr>
          <w:p w14:paraId="5DA7A05D"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r>
      <w:tr w:rsidR="00E3666E" w:rsidRPr="00E3666E" w14:paraId="7F35AF55" w14:textId="77777777" w:rsidTr="003255EA">
        <w:tc>
          <w:tcPr>
            <w:tcW w:w="1968" w:type="dxa"/>
            <w:tcBorders>
              <w:top w:val="outset" w:sz="6" w:space="0" w:color="auto"/>
              <w:left w:val="outset" w:sz="6" w:space="0" w:color="auto"/>
              <w:bottom w:val="outset" w:sz="6" w:space="0" w:color="auto"/>
              <w:right w:val="outset" w:sz="6" w:space="0" w:color="auto"/>
            </w:tcBorders>
          </w:tcPr>
          <w:p w14:paraId="17D9EC25"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iCs/>
                <w:sz w:val="24"/>
                <w:szCs w:val="24"/>
                <w:lang w:val="lv-LV" w:eastAsia="lv-LV"/>
              </w:rPr>
              <w:t>5.3. pašvaldību budžets</w:t>
            </w:r>
          </w:p>
        </w:tc>
        <w:tc>
          <w:tcPr>
            <w:tcW w:w="986" w:type="dxa"/>
            <w:vMerge/>
            <w:tcBorders>
              <w:left w:val="single" w:sz="4" w:space="0" w:color="auto"/>
              <w:bottom w:val="single" w:sz="4" w:space="0" w:color="auto"/>
              <w:right w:val="single" w:sz="4" w:space="0" w:color="auto"/>
            </w:tcBorders>
          </w:tcPr>
          <w:p w14:paraId="1E44FF91" w14:textId="77777777" w:rsidR="00E3666E" w:rsidRPr="00E3666E" w:rsidRDefault="00E3666E" w:rsidP="003255EA">
            <w:pPr>
              <w:spacing w:line="276" w:lineRule="auto"/>
              <w:jc w:val="center"/>
              <w:rPr>
                <w:rFonts w:eastAsia="Arial Unicode MS"/>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14:paraId="580D2A07" w14:textId="77777777" w:rsidR="00E3666E" w:rsidRPr="00E3666E" w:rsidRDefault="00E3666E" w:rsidP="003255EA">
            <w:pPr>
              <w:spacing w:line="276" w:lineRule="auto"/>
              <w:jc w:val="center"/>
              <w:rPr>
                <w:lang w:val="lv-LV"/>
              </w:rPr>
            </w:pPr>
            <w:r w:rsidRPr="00E3666E">
              <w:rPr>
                <w:lang w:val="lv-LV"/>
              </w:rPr>
              <w:t>0</w:t>
            </w:r>
          </w:p>
        </w:tc>
        <w:tc>
          <w:tcPr>
            <w:tcW w:w="958" w:type="dxa"/>
            <w:vMerge/>
            <w:tcBorders>
              <w:left w:val="single" w:sz="4" w:space="0" w:color="auto"/>
              <w:bottom w:val="single" w:sz="4" w:space="0" w:color="auto"/>
              <w:right w:val="single" w:sz="4" w:space="0" w:color="auto"/>
            </w:tcBorders>
          </w:tcPr>
          <w:p w14:paraId="0C122BE8" w14:textId="77777777" w:rsidR="00E3666E" w:rsidRPr="00E3666E" w:rsidRDefault="00E3666E" w:rsidP="003255EA">
            <w:pPr>
              <w:spacing w:line="276" w:lineRule="auto"/>
              <w:jc w:val="center"/>
              <w:rPr>
                <w:rFonts w:eastAsia="Arial Unicode MS"/>
                <w:lang w:val="lv-LV"/>
              </w:rPr>
            </w:pPr>
          </w:p>
        </w:tc>
        <w:tc>
          <w:tcPr>
            <w:tcW w:w="1072" w:type="dxa"/>
            <w:tcBorders>
              <w:top w:val="single" w:sz="4" w:space="0" w:color="auto"/>
              <w:left w:val="single" w:sz="4" w:space="0" w:color="auto"/>
              <w:bottom w:val="single" w:sz="4" w:space="0" w:color="auto"/>
              <w:right w:val="single" w:sz="4" w:space="0" w:color="auto"/>
            </w:tcBorders>
          </w:tcPr>
          <w:p w14:paraId="302B2332" w14:textId="77777777" w:rsidR="00E3666E" w:rsidRPr="00E3666E" w:rsidRDefault="00E3666E" w:rsidP="003255EA">
            <w:pPr>
              <w:spacing w:line="276" w:lineRule="auto"/>
              <w:jc w:val="center"/>
              <w:rPr>
                <w:lang w:val="lv-LV"/>
              </w:rPr>
            </w:pPr>
            <w:r w:rsidRPr="00E3666E">
              <w:rPr>
                <w:lang w:val="lv-LV"/>
              </w:rPr>
              <w:t>0</w:t>
            </w:r>
          </w:p>
        </w:tc>
        <w:tc>
          <w:tcPr>
            <w:tcW w:w="927" w:type="dxa"/>
            <w:vMerge/>
            <w:tcBorders>
              <w:left w:val="single" w:sz="4" w:space="0" w:color="auto"/>
              <w:bottom w:val="single" w:sz="4" w:space="0" w:color="auto"/>
              <w:right w:val="single" w:sz="4" w:space="0" w:color="auto"/>
            </w:tcBorders>
          </w:tcPr>
          <w:p w14:paraId="01F20CAF" w14:textId="77777777" w:rsidR="00E3666E" w:rsidRPr="00E3666E" w:rsidRDefault="00E3666E" w:rsidP="003255EA">
            <w:pPr>
              <w:spacing w:line="276" w:lineRule="auto"/>
              <w:jc w:val="center"/>
              <w:rPr>
                <w:rFonts w:eastAsia="Arial Unicode MS"/>
                <w:lang w:val="lv-LV"/>
              </w:rPr>
            </w:pPr>
          </w:p>
        </w:tc>
        <w:tc>
          <w:tcPr>
            <w:tcW w:w="1080" w:type="dxa"/>
            <w:tcBorders>
              <w:top w:val="single" w:sz="4" w:space="0" w:color="auto"/>
              <w:left w:val="single" w:sz="4" w:space="0" w:color="auto"/>
              <w:bottom w:val="single" w:sz="4" w:space="0" w:color="auto"/>
              <w:right w:val="single" w:sz="4" w:space="0" w:color="auto"/>
            </w:tcBorders>
          </w:tcPr>
          <w:p w14:paraId="3DDD4F0B"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c>
          <w:tcPr>
            <w:tcW w:w="1072" w:type="dxa"/>
            <w:tcBorders>
              <w:top w:val="single" w:sz="4" w:space="0" w:color="auto"/>
              <w:left w:val="single" w:sz="4" w:space="0" w:color="auto"/>
              <w:bottom w:val="single" w:sz="4" w:space="0" w:color="auto"/>
              <w:right w:val="single" w:sz="4" w:space="0" w:color="auto"/>
            </w:tcBorders>
          </w:tcPr>
          <w:p w14:paraId="6E2E3F0C" w14:textId="77777777" w:rsidR="00E3666E" w:rsidRPr="00E3666E" w:rsidRDefault="00E3666E" w:rsidP="003255EA">
            <w:pPr>
              <w:spacing w:line="276" w:lineRule="auto"/>
              <w:jc w:val="center"/>
              <w:rPr>
                <w:rFonts w:eastAsia="Arial Unicode MS"/>
                <w:lang w:val="lv-LV"/>
              </w:rPr>
            </w:pPr>
            <w:r w:rsidRPr="00E3666E">
              <w:rPr>
                <w:rFonts w:eastAsia="Arial Unicode MS"/>
                <w:lang w:val="lv-LV"/>
              </w:rPr>
              <w:t>0</w:t>
            </w:r>
          </w:p>
        </w:tc>
      </w:tr>
      <w:tr w:rsidR="00E3666E" w:rsidRPr="00E3666E" w14:paraId="41E8C437"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4994595F" w14:textId="77777777" w:rsidR="00E3666E" w:rsidRPr="00E3666E" w:rsidRDefault="00E3666E" w:rsidP="003255EA">
            <w:pPr>
              <w:spacing w:line="276" w:lineRule="auto"/>
              <w:rPr>
                <w:iCs/>
                <w:color w:val="000000"/>
                <w:sz w:val="24"/>
                <w:szCs w:val="24"/>
                <w:lang w:val="lv-LV"/>
              </w:rPr>
            </w:pPr>
            <w:r w:rsidRPr="00E3666E">
              <w:rPr>
                <w:iCs/>
                <w:color w:val="000000"/>
                <w:sz w:val="24"/>
                <w:szCs w:val="24"/>
                <w:lang w:val="lv-LV"/>
              </w:rPr>
              <w:t>6. Detalizēts ieņēmumu un izdevumu aprēķins (ja nepieciešams, detalizētu ieņēmumu un izdevumu aprēķinu var pievienot anotācijas pielikumā):</w:t>
            </w:r>
          </w:p>
        </w:tc>
        <w:tc>
          <w:tcPr>
            <w:tcW w:w="7251" w:type="dxa"/>
            <w:gridSpan w:val="7"/>
            <w:vMerge w:val="restart"/>
            <w:tcBorders>
              <w:top w:val="single" w:sz="4" w:space="0" w:color="auto"/>
              <w:left w:val="single" w:sz="4" w:space="0" w:color="auto"/>
              <w:bottom w:val="single" w:sz="4" w:space="0" w:color="000000"/>
              <w:right w:val="single" w:sz="4" w:space="0" w:color="auto"/>
            </w:tcBorders>
          </w:tcPr>
          <w:p w14:paraId="5B357757" w14:textId="0A554485" w:rsidR="00E3666E" w:rsidRPr="00E3666E" w:rsidRDefault="00E3666E" w:rsidP="003255EA">
            <w:pPr>
              <w:spacing w:before="120"/>
              <w:jc w:val="both"/>
              <w:rPr>
                <w:sz w:val="24"/>
                <w:szCs w:val="24"/>
                <w:lang w:val="lv-LV"/>
              </w:rPr>
            </w:pPr>
            <w:r w:rsidRPr="00E3666E">
              <w:rPr>
                <w:iCs/>
                <w:sz w:val="24"/>
                <w:szCs w:val="24"/>
                <w:lang w:val="lv-LV"/>
              </w:rPr>
              <w:t>Finansējums 12 000 000 euro apmērā tiks nodrošināts, Finanšu ministrijai palielinot  Ekonomikas ministrijai resursus no dotācijas no vispārējiem ieņēmumiem, kas tiks ieskaitīti akciju sabiedrības "Attīstības finanšu institūcija Altum" rezerves kapitālā krīzes garantiju programmas finansēšanai un krīzes aizdevumu programmas finansēšanai.</w:t>
            </w:r>
          </w:p>
          <w:p w14:paraId="2D3018AD" w14:textId="77777777" w:rsidR="00E3666E" w:rsidRPr="00E3666E" w:rsidRDefault="00E3666E" w:rsidP="003255EA">
            <w:pPr>
              <w:spacing w:before="120"/>
              <w:jc w:val="both"/>
              <w:rPr>
                <w:sz w:val="24"/>
                <w:szCs w:val="24"/>
                <w:lang w:val="lv-LV"/>
              </w:rPr>
            </w:pPr>
            <w:r w:rsidRPr="00E3666E">
              <w:rPr>
                <w:sz w:val="24"/>
                <w:szCs w:val="24"/>
                <w:lang w:val="lv-LV"/>
              </w:rPr>
              <w:t>Finansējums minētajā apmērā ir paredzēts:</w:t>
            </w:r>
          </w:p>
          <w:p w14:paraId="292F770C" w14:textId="4B51B2C9" w:rsidR="00E3666E" w:rsidRPr="00E3666E" w:rsidRDefault="00E3666E" w:rsidP="003255EA">
            <w:pPr>
              <w:pStyle w:val="ListParagraph"/>
              <w:numPr>
                <w:ilvl w:val="0"/>
                <w:numId w:val="15"/>
              </w:numPr>
              <w:spacing w:before="120"/>
              <w:contextualSpacing w:val="0"/>
              <w:jc w:val="both"/>
              <w:rPr>
                <w:rFonts w:eastAsia="Times New Roman"/>
                <w:sz w:val="24"/>
                <w:szCs w:val="24"/>
                <w:lang w:val="lv-LV"/>
              </w:rPr>
            </w:pPr>
            <w:r w:rsidRPr="00E3666E">
              <w:rPr>
                <w:rFonts w:eastAsia="Times New Roman"/>
                <w:sz w:val="24"/>
                <w:szCs w:val="24"/>
                <w:lang w:val="lv-LV" w:eastAsia="lv-LV"/>
              </w:rPr>
              <w:t xml:space="preserve">10 000 000 euro – </w:t>
            </w:r>
            <w:r>
              <w:rPr>
                <w:rFonts w:eastAsia="Times New Roman"/>
                <w:sz w:val="24"/>
                <w:szCs w:val="24"/>
                <w:lang w:val="lv-LV" w:eastAsia="lv-LV"/>
              </w:rPr>
              <w:t xml:space="preserve">krīzes </w:t>
            </w:r>
            <w:r w:rsidRPr="00E3666E">
              <w:rPr>
                <w:rFonts w:eastAsia="Times New Roman"/>
                <w:sz w:val="24"/>
                <w:szCs w:val="24"/>
                <w:lang w:val="lv-LV" w:eastAsia="lv-LV"/>
              </w:rPr>
              <w:t xml:space="preserve">apgrozāmo līdzekļu aizdevumu programmai, </w:t>
            </w:r>
          </w:p>
          <w:p w14:paraId="1CF6C4CE" w14:textId="7BD0C2CC" w:rsidR="00E3666E" w:rsidRPr="00E3666E" w:rsidRDefault="00E3666E" w:rsidP="003255EA">
            <w:pPr>
              <w:pStyle w:val="ListParagraph"/>
              <w:numPr>
                <w:ilvl w:val="0"/>
                <w:numId w:val="15"/>
              </w:numPr>
              <w:spacing w:before="120"/>
              <w:contextualSpacing w:val="0"/>
              <w:jc w:val="both"/>
              <w:rPr>
                <w:rFonts w:eastAsia="Times New Roman"/>
                <w:sz w:val="24"/>
                <w:szCs w:val="24"/>
                <w:lang w:val="lv-LV"/>
              </w:rPr>
            </w:pPr>
            <w:r w:rsidRPr="00E3666E">
              <w:rPr>
                <w:rFonts w:eastAsia="Times New Roman"/>
                <w:sz w:val="24"/>
                <w:szCs w:val="24"/>
                <w:lang w:val="lv-LV" w:eastAsia="lv-LV"/>
              </w:rPr>
              <w:t>2 000 000 euro –</w:t>
            </w:r>
            <w:r w:rsidR="00C76077">
              <w:rPr>
                <w:rFonts w:eastAsia="Times New Roman"/>
                <w:sz w:val="24"/>
                <w:szCs w:val="24"/>
                <w:lang w:val="lv-LV" w:eastAsia="lv-LV"/>
              </w:rPr>
              <w:t xml:space="preserve"> krīzes </w:t>
            </w:r>
            <w:r w:rsidR="00857188">
              <w:rPr>
                <w:rFonts w:eastAsia="Times New Roman"/>
                <w:sz w:val="24"/>
                <w:szCs w:val="24"/>
                <w:lang w:val="lv-LV" w:eastAsia="lv-LV"/>
              </w:rPr>
              <w:t xml:space="preserve">īstermiņa </w:t>
            </w:r>
            <w:r w:rsidRPr="00E3666E">
              <w:rPr>
                <w:rFonts w:eastAsia="Times New Roman"/>
                <w:sz w:val="24"/>
                <w:szCs w:val="24"/>
                <w:lang w:val="lv-LV"/>
              </w:rPr>
              <w:t>garantiju programmai.</w:t>
            </w:r>
          </w:p>
        </w:tc>
      </w:tr>
      <w:tr w:rsidR="00E3666E" w:rsidRPr="00E3666E" w14:paraId="523ED57C"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19BC405C" w14:textId="77777777" w:rsidR="00E3666E" w:rsidRPr="00E3666E" w:rsidRDefault="00E3666E" w:rsidP="003255EA">
            <w:pPr>
              <w:spacing w:line="276" w:lineRule="auto"/>
              <w:rPr>
                <w:iCs/>
                <w:color w:val="000000"/>
                <w:sz w:val="24"/>
                <w:szCs w:val="24"/>
                <w:lang w:val="lv-LV"/>
              </w:rPr>
            </w:pPr>
            <w:r w:rsidRPr="00E3666E">
              <w:rPr>
                <w:iCs/>
                <w:color w:val="000000"/>
                <w:sz w:val="24"/>
                <w:szCs w:val="24"/>
                <w:lang w:val="lv-LV"/>
              </w:rPr>
              <w:t>6.1. detalizēts ieņēmumu aprēķins</w:t>
            </w:r>
          </w:p>
        </w:tc>
        <w:tc>
          <w:tcPr>
            <w:tcW w:w="7251" w:type="dxa"/>
            <w:gridSpan w:val="7"/>
            <w:vMerge/>
            <w:tcBorders>
              <w:top w:val="single" w:sz="4" w:space="0" w:color="auto"/>
              <w:left w:val="single" w:sz="4" w:space="0" w:color="auto"/>
              <w:bottom w:val="single" w:sz="4" w:space="0" w:color="auto"/>
              <w:right w:val="single" w:sz="4" w:space="0" w:color="auto"/>
            </w:tcBorders>
            <w:vAlign w:val="center"/>
            <w:hideMark/>
          </w:tcPr>
          <w:p w14:paraId="65FDBCBF" w14:textId="77777777" w:rsidR="00E3666E" w:rsidRPr="00E3666E" w:rsidRDefault="00E3666E" w:rsidP="003255EA">
            <w:pPr>
              <w:spacing w:line="276" w:lineRule="auto"/>
              <w:rPr>
                <w:rFonts w:eastAsia="Times New Roman"/>
                <w:sz w:val="24"/>
                <w:szCs w:val="24"/>
                <w:lang w:val="lv-LV"/>
              </w:rPr>
            </w:pPr>
          </w:p>
        </w:tc>
      </w:tr>
      <w:tr w:rsidR="00E3666E" w:rsidRPr="00E3666E" w14:paraId="0DFA61BD"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4F90D7AE" w14:textId="77777777" w:rsidR="00E3666E" w:rsidRPr="00E3666E" w:rsidRDefault="00E3666E" w:rsidP="003255EA">
            <w:pPr>
              <w:spacing w:line="276" w:lineRule="auto"/>
              <w:rPr>
                <w:rFonts w:eastAsia="Times New Roman"/>
                <w:sz w:val="24"/>
                <w:szCs w:val="24"/>
                <w:lang w:val="lv-LV"/>
              </w:rPr>
            </w:pPr>
            <w:r w:rsidRPr="00E3666E">
              <w:rPr>
                <w:color w:val="000000" w:themeColor="text1"/>
                <w:sz w:val="24"/>
                <w:szCs w:val="24"/>
                <w:lang w:val="lv-LV"/>
              </w:rPr>
              <w:t>6.2. detalizēts izdevumu aprēķins</w:t>
            </w:r>
            <w:r w:rsidRPr="00E3666E">
              <w:rPr>
                <w:rFonts w:eastAsia="Times New Roman"/>
                <w:color w:val="FF0000"/>
                <w:sz w:val="24"/>
                <w:szCs w:val="24"/>
                <w:lang w:val="lv-LV"/>
              </w:rPr>
              <w:t xml:space="preserve"> </w:t>
            </w:r>
          </w:p>
        </w:tc>
        <w:tc>
          <w:tcPr>
            <w:tcW w:w="7251" w:type="dxa"/>
            <w:gridSpan w:val="7"/>
            <w:vMerge/>
            <w:tcBorders>
              <w:top w:val="single" w:sz="4" w:space="0" w:color="auto"/>
              <w:left w:val="single" w:sz="4" w:space="0" w:color="auto"/>
              <w:bottom w:val="single" w:sz="4" w:space="0" w:color="auto"/>
              <w:right w:val="single" w:sz="4" w:space="0" w:color="auto"/>
            </w:tcBorders>
            <w:vAlign w:val="center"/>
            <w:hideMark/>
          </w:tcPr>
          <w:p w14:paraId="02AEFBB1" w14:textId="77777777" w:rsidR="00E3666E" w:rsidRPr="00E3666E" w:rsidRDefault="00E3666E" w:rsidP="003255EA">
            <w:pPr>
              <w:spacing w:line="276" w:lineRule="auto"/>
              <w:rPr>
                <w:rFonts w:eastAsia="Times New Roman"/>
                <w:sz w:val="24"/>
                <w:szCs w:val="24"/>
                <w:lang w:val="lv-LV"/>
              </w:rPr>
            </w:pPr>
          </w:p>
        </w:tc>
      </w:tr>
      <w:tr w:rsidR="00E3666E" w:rsidRPr="00E3666E" w14:paraId="3B5EC4B9"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5984381F"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7. Amata vietu skaita izmaiņas</w:t>
            </w:r>
          </w:p>
        </w:tc>
        <w:tc>
          <w:tcPr>
            <w:tcW w:w="7251" w:type="dxa"/>
            <w:gridSpan w:val="7"/>
            <w:tcBorders>
              <w:top w:val="single" w:sz="4" w:space="0" w:color="auto"/>
              <w:left w:val="single" w:sz="4" w:space="0" w:color="auto"/>
              <w:bottom w:val="single" w:sz="4" w:space="0" w:color="auto"/>
              <w:right w:val="single" w:sz="4" w:space="0" w:color="auto"/>
            </w:tcBorders>
            <w:hideMark/>
          </w:tcPr>
          <w:p w14:paraId="4069F167" w14:textId="6895C907" w:rsidR="00E3666E" w:rsidRPr="00E3666E" w:rsidRDefault="00F359D0" w:rsidP="003255EA">
            <w:pPr>
              <w:spacing w:line="276" w:lineRule="auto"/>
              <w:jc w:val="both"/>
              <w:rPr>
                <w:rFonts w:eastAsia="Times New Roman"/>
                <w:sz w:val="24"/>
                <w:szCs w:val="24"/>
                <w:lang w:val="lv-LV" w:eastAsia="ja-JP"/>
              </w:rPr>
            </w:pPr>
            <w:r>
              <w:rPr>
                <w:iCs/>
                <w:sz w:val="24"/>
                <w:szCs w:val="24"/>
                <w:lang w:val="lv-LV"/>
              </w:rPr>
              <w:t>P</w:t>
            </w:r>
            <w:r w:rsidR="00E3666E" w:rsidRPr="00E3666E">
              <w:rPr>
                <w:iCs/>
                <w:sz w:val="24"/>
                <w:szCs w:val="24"/>
                <w:lang w:val="lv-LV"/>
              </w:rPr>
              <w:t>rojekts</w:t>
            </w:r>
            <w:r w:rsidR="00E3666E" w:rsidRPr="00E3666E" w:rsidDel="003D0F93">
              <w:rPr>
                <w:sz w:val="24"/>
                <w:szCs w:val="24"/>
                <w:lang w:val="lv-LV"/>
              </w:rPr>
              <w:t xml:space="preserve"> </w:t>
            </w:r>
            <w:r w:rsidR="00E3666E" w:rsidRPr="00E3666E">
              <w:rPr>
                <w:sz w:val="24"/>
                <w:szCs w:val="24"/>
                <w:lang w:val="lv-LV"/>
              </w:rPr>
              <w:t>šo jomu neskar.</w:t>
            </w:r>
          </w:p>
        </w:tc>
      </w:tr>
      <w:tr w:rsidR="00E3666E" w:rsidRPr="00E3666E" w14:paraId="4B30EC3C" w14:textId="77777777" w:rsidTr="003255EA">
        <w:tc>
          <w:tcPr>
            <w:tcW w:w="1968" w:type="dxa"/>
            <w:tcBorders>
              <w:top w:val="single" w:sz="4" w:space="0" w:color="auto"/>
              <w:left w:val="single" w:sz="4" w:space="0" w:color="auto"/>
              <w:bottom w:val="single" w:sz="4" w:space="0" w:color="auto"/>
              <w:right w:val="single" w:sz="4" w:space="0" w:color="auto"/>
            </w:tcBorders>
            <w:hideMark/>
          </w:tcPr>
          <w:p w14:paraId="3DADD1E9" w14:textId="77777777" w:rsidR="00E3666E" w:rsidRPr="00E3666E" w:rsidRDefault="00E3666E" w:rsidP="003255EA">
            <w:pPr>
              <w:spacing w:line="276" w:lineRule="auto"/>
              <w:rPr>
                <w:rFonts w:eastAsia="Times New Roman"/>
                <w:sz w:val="24"/>
                <w:szCs w:val="24"/>
                <w:lang w:val="lv-LV" w:eastAsia="ja-JP"/>
              </w:rPr>
            </w:pPr>
            <w:r w:rsidRPr="00E3666E">
              <w:rPr>
                <w:rFonts w:eastAsia="Times New Roman"/>
                <w:sz w:val="24"/>
                <w:szCs w:val="24"/>
                <w:lang w:val="lv-LV" w:eastAsia="ja-JP"/>
              </w:rPr>
              <w:t>8. Cita informācija</w:t>
            </w:r>
          </w:p>
        </w:tc>
        <w:tc>
          <w:tcPr>
            <w:tcW w:w="7251" w:type="dxa"/>
            <w:gridSpan w:val="7"/>
            <w:tcBorders>
              <w:top w:val="single" w:sz="4" w:space="0" w:color="auto"/>
              <w:left w:val="single" w:sz="4" w:space="0" w:color="auto"/>
              <w:bottom w:val="single" w:sz="4" w:space="0" w:color="auto"/>
              <w:right w:val="single" w:sz="4" w:space="0" w:color="auto"/>
            </w:tcBorders>
            <w:hideMark/>
          </w:tcPr>
          <w:p w14:paraId="505AB647" w14:textId="77777777" w:rsidR="00E3666E" w:rsidRPr="00E3666E" w:rsidRDefault="00E3666E" w:rsidP="003255EA">
            <w:pPr>
              <w:spacing w:line="276" w:lineRule="auto"/>
              <w:ind w:right="57"/>
              <w:jc w:val="both"/>
              <w:rPr>
                <w:rFonts w:eastAsia="Times New Roman"/>
                <w:sz w:val="24"/>
                <w:szCs w:val="24"/>
                <w:lang w:val="lv-LV"/>
              </w:rPr>
            </w:pPr>
            <w:r w:rsidRPr="00E3666E">
              <w:rPr>
                <w:rFonts w:eastAsia="Times New Roman"/>
                <w:sz w:val="24"/>
                <w:szCs w:val="24"/>
                <w:lang w:val="lv-LV"/>
              </w:rPr>
              <w:t xml:space="preserve">MK Rīkojuma projektā paredzētais finansējums attiecīgajās atbalsta programmās tiks nodrošināts no Krīzes garantiju programmas īstenošanai sākotnēji paredzētā finansējuma ietvaros 40 mij. EUR apmērā (2020.gada 14.jūlija </w:t>
            </w:r>
            <w:r w:rsidRPr="00E3666E">
              <w:rPr>
                <w:rFonts w:eastAsia="Times New Roman"/>
                <w:iCs/>
                <w:sz w:val="24"/>
                <w:szCs w:val="24"/>
                <w:lang w:val="lv-LV"/>
              </w:rPr>
              <w:t xml:space="preserve">Ministru kabineta </w:t>
            </w:r>
            <w:r w:rsidRPr="00E3666E">
              <w:rPr>
                <w:rFonts w:eastAsia="Times New Roman"/>
                <w:sz w:val="24"/>
                <w:szCs w:val="24"/>
                <w:lang w:val="lv-LV"/>
              </w:rPr>
              <w:t>sēdes protokols Nr.44 33.§ 3.punkts).</w:t>
            </w:r>
          </w:p>
          <w:p w14:paraId="430FAB71" w14:textId="77777777" w:rsidR="00E3666E" w:rsidRPr="00E3666E" w:rsidRDefault="00E3666E" w:rsidP="003255EA">
            <w:pPr>
              <w:spacing w:before="120"/>
              <w:jc w:val="both"/>
              <w:rPr>
                <w:rFonts w:eastAsia="Times New Roman"/>
                <w:sz w:val="24"/>
                <w:szCs w:val="24"/>
                <w:lang w:val="lv-LV"/>
              </w:rPr>
            </w:pPr>
          </w:p>
        </w:tc>
      </w:tr>
    </w:tbl>
    <w:p w14:paraId="2EE3A000" w14:textId="77777777" w:rsidR="00E3666E" w:rsidRPr="00E3666E" w:rsidRDefault="00E3666E" w:rsidP="00E3666E">
      <w:pPr>
        <w:contextualSpacing/>
        <w:rPr>
          <w:rFonts w:eastAsia="Times New Roman"/>
          <w:sz w:val="24"/>
          <w:szCs w:val="24"/>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8"/>
      </w:tblGrid>
      <w:tr w:rsidR="00E3666E" w:rsidRPr="00E3666E" w14:paraId="13820ED1" w14:textId="77777777" w:rsidTr="003255EA">
        <w:tc>
          <w:tcPr>
            <w:tcW w:w="9348"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D7DF08C" w14:textId="77777777" w:rsidR="00E3666E" w:rsidRPr="00E3666E" w:rsidRDefault="00E3666E" w:rsidP="003255EA">
            <w:pPr>
              <w:contextualSpacing/>
              <w:jc w:val="center"/>
              <w:rPr>
                <w:rFonts w:eastAsia="Times New Roman"/>
                <w:sz w:val="24"/>
                <w:szCs w:val="24"/>
                <w:lang w:val="lv-LV" w:eastAsia="lv-LV"/>
              </w:rPr>
            </w:pPr>
            <w:r w:rsidRPr="00E3666E">
              <w:rPr>
                <w:rFonts w:eastAsia="Times New Roman"/>
                <w:b/>
                <w:bCs/>
                <w:color w:val="000000" w:themeColor="text1"/>
                <w:sz w:val="24"/>
                <w:szCs w:val="24"/>
                <w:lang w:val="lv-LV" w:eastAsia="lv-LV"/>
              </w:rPr>
              <w:t>IV. Tiesību akta projekta ietekme uz spēkā esošo tiesību normu sistēmu</w:t>
            </w:r>
          </w:p>
        </w:tc>
      </w:tr>
      <w:tr w:rsidR="00E3666E" w:rsidRPr="00E3666E" w14:paraId="4C16FB66" w14:textId="77777777" w:rsidTr="003255EA">
        <w:tc>
          <w:tcPr>
            <w:tcW w:w="9348" w:type="dxa"/>
            <w:tcBorders>
              <w:top w:val="outset" w:sz="6" w:space="0" w:color="414142"/>
              <w:left w:val="outset" w:sz="6" w:space="0" w:color="414142"/>
              <w:bottom w:val="outset" w:sz="6" w:space="0" w:color="414142"/>
              <w:right w:val="outset" w:sz="6" w:space="0" w:color="414142"/>
            </w:tcBorders>
            <w:shd w:val="clear" w:color="auto" w:fill="auto"/>
            <w:hideMark/>
          </w:tcPr>
          <w:p w14:paraId="7F7F2763" w14:textId="5929DC60" w:rsidR="00E3666E" w:rsidRPr="00E3666E" w:rsidRDefault="00F359D0" w:rsidP="003255EA">
            <w:pPr>
              <w:spacing w:before="120"/>
              <w:ind w:right="250"/>
              <w:jc w:val="center"/>
              <w:rPr>
                <w:rFonts w:eastAsia="Times New Roman"/>
                <w:iCs/>
                <w:color w:val="000000" w:themeColor="text1"/>
                <w:sz w:val="24"/>
                <w:szCs w:val="24"/>
                <w:lang w:val="lv-LV" w:eastAsia="lv-LV"/>
              </w:rPr>
            </w:pPr>
            <w:r>
              <w:rPr>
                <w:iCs/>
                <w:sz w:val="24"/>
                <w:szCs w:val="24"/>
                <w:lang w:val="lv-LV"/>
              </w:rPr>
              <w:t>P</w:t>
            </w:r>
            <w:r w:rsidR="00E3666E" w:rsidRPr="00E3666E">
              <w:rPr>
                <w:iCs/>
                <w:sz w:val="24"/>
                <w:szCs w:val="24"/>
                <w:lang w:val="lv-LV"/>
              </w:rPr>
              <w:t>rojekts</w:t>
            </w:r>
            <w:r w:rsidR="00E3666E" w:rsidRPr="00E3666E" w:rsidDel="003D0F93">
              <w:rPr>
                <w:sz w:val="24"/>
                <w:szCs w:val="24"/>
                <w:lang w:val="lv-LV"/>
              </w:rPr>
              <w:t xml:space="preserve"> </w:t>
            </w:r>
            <w:r w:rsidR="00E3666E" w:rsidRPr="00E3666E">
              <w:rPr>
                <w:sz w:val="24"/>
                <w:szCs w:val="24"/>
                <w:lang w:val="lv-LV"/>
              </w:rPr>
              <w:t>šo jomu neskar.</w:t>
            </w:r>
          </w:p>
        </w:tc>
      </w:tr>
      <w:tr w:rsidR="00E3666E" w:rsidRPr="00E3666E" w14:paraId="1AAE1CCC" w14:textId="77777777" w:rsidTr="003255EA">
        <w:tc>
          <w:tcPr>
            <w:tcW w:w="9348" w:type="dxa"/>
            <w:tcBorders>
              <w:top w:val="outset" w:sz="6" w:space="0" w:color="414142"/>
              <w:left w:val="outset" w:sz="6" w:space="0" w:color="414142"/>
              <w:bottom w:val="outset" w:sz="6" w:space="0" w:color="414142"/>
              <w:right w:val="outset" w:sz="6" w:space="0" w:color="414142"/>
            </w:tcBorders>
            <w:shd w:val="clear" w:color="auto" w:fill="auto"/>
            <w:vAlign w:val="center"/>
          </w:tcPr>
          <w:p w14:paraId="28B74A67" w14:textId="77777777" w:rsidR="00E3666E" w:rsidRPr="00E3666E" w:rsidRDefault="00E3666E" w:rsidP="003255EA">
            <w:pPr>
              <w:spacing w:before="120"/>
              <w:ind w:right="250"/>
              <w:jc w:val="center"/>
              <w:rPr>
                <w:rFonts w:eastAsia="Times New Roman"/>
                <w:iCs/>
                <w:color w:val="000000" w:themeColor="text1"/>
                <w:sz w:val="24"/>
                <w:szCs w:val="24"/>
                <w:lang w:val="lv-LV" w:eastAsia="lv-LV"/>
              </w:rPr>
            </w:pPr>
            <w:r w:rsidRPr="00E3666E">
              <w:rPr>
                <w:b/>
                <w:sz w:val="24"/>
                <w:szCs w:val="24"/>
                <w:lang w:val="lv-LV"/>
              </w:rPr>
              <w:t>V. Tiesību akta projekta atbilstība Latvijas Republikas starptautiskajām saistībām</w:t>
            </w:r>
          </w:p>
        </w:tc>
      </w:tr>
      <w:tr w:rsidR="00E3666E" w:rsidRPr="00E3666E" w14:paraId="4BAC68CC" w14:textId="77777777" w:rsidTr="003255EA">
        <w:tc>
          <w:tcPr>
            <w:tcW w:w="9348" w:type="dxa"/>
            <w:tcBorders>
              <w:top w:val="outset" w:sz="6" w:space="0" w:color="414142"/>
              <w:left w:val="outset" w:sz="6" w:space="0" w:color="414142"/>
              <w:bottom w:val="outset" w:sz="6" w:space="0" w:color="414142"/>
              <w:right w:val="outset" w:sz="6" w:space="0" w:color="414142"/>
            </w:tcBorders>
            <w:shd w:val="clear" w:color="auto" w:fill="auto"/>
          </w:tcPr>
          <w:p w14:paraId="24938D9C" w14:textId="2846C78D" w:rsidR="00E3666E" w:rsidRPr="00E3666E" w:rsidRDefault="00F359D0" w:rsidP="003255EA">
            <w:pPr>
              <w:spacing w:before="120"/>
              <w:ind w:right="250"/>
              <w:jc w:val="center"/>
              <w:rPr>
                <w:b/>
                <w:sz w:val="24"/>
                <w:szCs w:val="24"/>
                <w:lang w:val="lv-LV"/>
              </w:rPr>
            </w:pPr>
            <w:r>
              <w:rPr>
                <w:iCs/>
                <w:sz w:val="24"/>
                <w:szCs w:val="24"/>
                <w:lang w:val="lv-LV"/>
              </w:rPr>
              <w:t>P</w:t>
            </w:r>
            <w:r w:rsidR="00E3666E" w:rsidRPr="00E3666E">
              <w:rPr>
                <w:iCs/>
                <w:sz w:val="24"/>
                <w:szCs w:val="24"/>
                <w:lang w:val="lv-LV"/>
              </w:rPr>
              <w:t>rojekts</w:t>
            </w:r>
            <w:r w:rsidR="00E3666E" w:rsidRPr="00E3666E" w:rsidDel="003D0F93">
              <w:rPr>
                <w:sz w:val="24"/>
                <w:szCs w:val="24"/>
                <w:lang w:val="lv-LV"/>
              </w:rPr>
              <w:t xml:space="preserve"> </w:t>
            </w:r>
            <w:r w:rsidR="00E3666E" w:rsidRPr="00E3666E">
              <w:rPr>
                <w:sz w:val="24"/>
                <w:szCs w:val="24"/>
                <w:lang w:val="lv-LV"/>
              </w:rPr>
              <w:t>šo jomu neskar.</w:t>
            </w:r>
          </w:p>
        </w:tc>
      </w:tr>
    </w:tbl>
    <w:p w14:paraId="303D2CC2" w14:textId="77777777" w:rsidR="00E3666E" w:rsidRPr="00E3666E" w:rsidRDefault="00E3666E" w:rsidP="00E3666E">
      <w:pPr>
        <w:contextualSpacing/>
        <w:rPr>
          <w:sz w:val="24"/>
          <w:szCs w:val="24"/>
          <w:lang w:val="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240"/>
        <w:gridCol w:w="6804"/>
      </w:tblGrid>
      <w:tr w:rsidR="006F4B13" w:rsidRPr="00E3666E" w14:paraId="7EEC0F00" w14:textId="77777777" w:rsidTr="00240921">
        <w:trPr>
          <w:trHeight w:val="421"/>
        </w:trPr>
        <w:tc>
          <w:tcPr>
            <w:tcW w:w="9356" w:type="dxa"/>
            <w:gridSpan w:val="3"/>
            <w:tcBorders>
              <w:top w:val="single" w:sz="2" w:space="0" w:color="auto"/>
            </w:tcBorders>
            <w:vAlign w:val="center"/>
          </w:tcPr>
          <w:p w14:paraId="7BCCE7F8" w14:textId="77777777" w:rsidR="006F4B13" w:rsidRPr="00E3666E" w:rsidRDefault="006F4B13" w:rsidP="00B043DE">
            <w:pPr>
              <w:ind w:left="57" w:right="57"/>
              <w:contextualSpacing/>
              <w:jc w:val="center"/>
              <w:rPr>
                <w:rFonts w:eastAsia="Times New Roman"/>
                <w:sz w:val="24"/>
                <w:szCs w:val="24"/>
                <w:lang w:val="lv-LV"/>
              </w:rPr>
            </w:pPr>
            <w:r w:rsidRPr="00E3666E">
              <w:rPr>
                <w:rFonts w:eastAsia="Times New Roman"/>
                <w:b/>
                <w:sz w:val="24"/>
                <w:szCs w:val="24"/>
                <w:lang w:val="lv-LV"/>
              </w:rPr>
              <w:t>VI. Sabiedrības līdzdalība un komunikācijas aktivitātes</w:t>
            </w:r>
          </w:p>
        </w:tc>
      </w:tr>
      <w:tr w:rsidR="006F4B13" w:rsidRPr="00E3666E" w14:paraId="6FEF54FD" w14:textId="77777777" w:rsidTr="00E3666E">
        <w:trPr>
          <w:trHeight w:val="553"/>
        </w:trPr>
        <w:tc>
          <w:tcPr>
            <w:tcW w:w="312" w:type="dxa"/>
          </w:tcPr>
          <w:p w14:paraId="41086138" w14:textId="77777777" w:rsidR="006F4B13" w:rsidRPr="00E3666E" w:rsidRDefault="006F4B13" w:rsidP="00B043DE">
            <w:pPr>
              <w:ind w:left="57" w:right="57"/>
              <w:contextualSpacing/>
              <w:jc w:val="both"/>
              <w:rPr>
                <w:sz w:val="24"/>
                <w:szCs w:val="24"/>
                <w:lang w:val="lv-LV"/>
              </w:rPr>
            </w:pPr>
            <w:r w:rsidRPr="00E3666E">
              <w:rPr>
                <w:sz w:val="24"/>
                <w:szCs w:val="24"/>
                <w:lang w:val="lv-LV"/>
              </w:rPr>
              <w:t>1.</w:t>
            </w:r>
          </w:p>
        </w:tc>
        <w:tc>
          <w:tcPr>
            <w:tcW w:w="2240" w:type="dxa"/>
          </w:tcPr>
          <w:p w14:paraId="798682AC" w14:textId="77777777" w:rsidR="006F4B13" w:rsidRPr="00E3666E" w:rsidRDefault="006F4B13" w:rsidP="00B043DE">
            <w:pPr>
              <w:tabs>
                <w:tab w:val="left" w:pos="170"/>
              </w:tabs>
              <w:ind w:left="57" w:right="57"/>
              <w:contextualSpacing/>
              <w:rPr>
                <w:rFonts w:eastAsia="PMingLiU"/>
                <w:sz w:val="24"/>
                <w:szCs w:val="24"/>
                <w:lang w:val="lv-LV" w:eastAsia="ja-JP"/>
              </w:rPr>
            </w:pPr>
            <w:r w:rsidRPr="00E3666E">
              <w:rPr>
                <w:rFonts w:eastAsia="PMingLiU"/>
                <w:sz w:val="24"/>
                <w:szCs w:val="24"/>
                <w:lang w:val="lv-LV" w:eastAsia="ja-JP"/>
              </w:rPr>
              <w:t>Plānotās sabiedrības līdzdalības un komunikācijas aktivitātes saistībā ar projektu</w:t>
            </w:r>
          </w:p>
        </w:tc>
        <w:tc>
          <w:tcPr>
            <w:tcW w:w="6804" w:type="dxa"/>
          </w:tcPr>
          <w:p w14:paraId="355B0E32" w14:textId="18883D31" w:rsidR="0003097F" w:rsidRPr="00E3666E" w:rsidRDefault="00151F22" w:rsidP="00E27939">
            <w:pPr>
              <w:jc w:val="both"/>
              <w:rPr>
                <w:rFonts w:eastAsia="PMingLiU"/>
                <w:sz w:val="24"/>
                <w:szCs w:val="24"/>
                <w:lang w:val="lv-LV" w:eastAsia="ja-JP"/>
              </w:rPr>
            </w:pPr>
            <w:r w:rsidRPr="00E3666E">
              <w:rPr>
                <w:bCs/>
                <w:sz w:val="24"/>
                <w:szCs w:val="24"/>
                <w:lang w:val="lv-LV"/>
              </w:rPr>
              <w:t>Sabiedrības līdzdalība</w:t>
            </w:r>
            <w:r w:rsidR="00E27939" w:rsidRPr="00E3666E">
              <w:rPr>
                <w:bCs/>
                <w:sz w:val="24"/>
                <w:szCs w:val="24"/>
                <w:lang w:val="lv-LV"/>
              </w:rPr>
              <w:t xml:space="preserve"> </w:t>
            </w:r>
            <w:r w:rsidR="00D27E4D" w:rsidRPr="00E3666E">
              <w:rPr>
                <w:rFonts w:eastAsia="PMingLiU"/>
                <w:sz w:val="24"/>
                <w:szCs w:val="24"/>
                <w:lang w:val="lv-LV" w:eastAsia="ja-JP"/>
              </w:rPr>
              <w:t xml:space="preserve">nodrošināta </w:t>
            </w:r>
            <w:r w:rsidR="00E27939" w:rsidRPr="00E3666E">
              <w:rPr>
                <w:rFonts w:eastAsia="PMingLiU"/>
                <w:sz w:val="24"/>
                <w:szCs w:val="24"/>
                <w:lang w:val="lv-LV" w:eastAsia="ja-JP"/>
              </w:rPr>
              <w:t xml:space="preserve">līdz </w:t>
            </w:r>
            <w:r w:rsidR="0003097F" w:rsidRPr="00E3666E">
              <w:rPr>
                <w:rFonts w:eastAsia="PMingLiU"/>
                <w:sz w:val="24"/>
                <w:szCs w:val="24"/>
                <w:lang w:val="lv-LV" w:eastAsia="ja-JP"/>
              </w:rPr>
              <w:t>Ministru kabineta noteikumu projektu par šādu atbalsta programmu grozījumu izstrādi, kas Ministru kabinet</w:t>
            </w:r>
            <w:r w:rsidR="00E3666E">
              <w:rPr>
                <w:rFonts w:eastAsia="PMingLiU"/>
                <w:sz w:val="24"/>
                <w:szCs w:val="24"/>
                <w:lang w:val="lv-LV" w:eastAsia="ja-JP"/>
              </w:rPr>
              <w:t>ā</w:t>
            </w:r>
            <w:r w:rsidR="0003097F" w:rsidRPr="00E3666E">
              <w:rPr>
                <w:rFonts w:eastAsia="PMingLiU"/>
                <w:sz w:val="24"/>
                <w:szCs w:val="24"/>
                <w:lang w:val="lv-LV" w:eastAsia="ja-JP"/>
              </w:rPr>
              <w:t xml:space="preserve"> apstiprināti 2020.gada 17.decembrī:</w:t>
            </w:r>
          </w:p>
          <w:p w14:paraId="013C7460" w14:textId="6D17A4E5" w:rsidR="0003097F" w:rsidRPr="00E3666E" w:rsidRDefault="0003097F" w:rsidP="00E3666E">
            <w:pPr>
              <w:pStyle w:val="ListParagraph"/>
              <w:numPr>
                <w:ilvl w:val="0"/>
                <w:numId w:val="17"/>
              </w:numPr>
              <w:spacing w:before="120"/>
              <w:ind w:right="250"/>
              <w:contextualSpacing w:val="0"/>
              <w:jc w:val="both"/>
              <w:rPr>
                <w:rFonts w:eastAsia="Times New Roman"/>
                <w:color w:val="000000" w:themeColor="text1"/>
                <w:sz w:val="24"/>
                <w:szCs w:val="24"/>
                <w:lang w:val="lv-LV"/>
              </w:rPr>
            </w:pPr>
            <w:r w:rsidRPr="00E3666E">
              <w:rPr>
                <w:color w:val="000000" w:themeColor="text1"/>
                <w:sz w:val="24"/>
                <w:szCs w:val="24"/>
                <w:lang w:val="lv-LV"/>
              </w:rPr>
              <w:t>Krīzes garantiju programma</w:t>
            </w:r>
            <w:r w:rsidRPr="00E3666E">
              <w:rPr>
                <w:color w:val="000000" w:themeColor="text1"/>
                <w:sz w:val="24"/>
                <w:szCs w:val="24"/>
                <w:shd w:val="clear" w:color="auto" w:fill="FFFFFF"/>
                <w:lang w:val="lv-LV"/>
              </w:rPr>
              <w:t xml:space="preserve"> (protokols Nr.84 87.§)</w:t>
            </w:r>
            <w:r w:rsidR="00AD7677" w:rsidRPr="00E3666E">
              <w:rPr>
                <w:color w:val="000000" w:themeColor="text1"/>
                <w:sz w:val="24"/>
                <w:szCs w:val="24"/>
                <w:shd w:val="clear" w:color="auto" w:fill="FFFFFF"/>
                <w:lang w:val="lv-LV"/>
              </w:rPr>
              <w:t>;</w:t>
            </w:r>
          </w:p>
          <w:p w14:paraId="0749430C" w14:textId="7533738A" w:rsidR="0003097F" w:rsidRPr="00E3666E" w:rsidRDefault="00910056" w:rsidP="00E3666E">
            <w:pPr>
              <w:pStyle w:val="ListParagraph"/>
              <w:numPr>
                <w:ilvl w:val="0"/>
                <w:numId w:val="17"/>
              </w:numPr>
              <w:spacing w:before="120"/>
              <w:ind w:right="250"/>
              <w:contextualSpacing w:val="0"/>
              <w:jc w:val="both"/>
              <w:rPr>
                <w:rFonts w:eastAsia="Times New Roman"/>
                <w:color w:val="000000" w:themeColor="text1"/>
                <w:sz w:val="24"/>
                <w:szCs w:val="24"/>
                <w:lang w:val="lv-LV"/>
              </w:rPr>
            </w:pPr>
            <w:r>
              <w:rPr>
                <w:color w:val="000000" w:themeColor="text1"/>
                <w:sz w:val="24"/>
                <w:szCs w:val="24"/>
                <w:shd w:val="clear" w:color="auto" w:fill="FFFFFF"/>
                <w:lang w:val="lv-LV"/>
              </w:rPr>
              <w:t>Krīzes a</w:t>
            </w:r>
            <w:r w:rsidR="0003097F" w:rsidRPr="00E3666E">
              <w:rPr>
                <w:color w:val="000000" w:themeColor="text1"/>
                <w:sz w:val="24"/>
                <w:szCs w:val="24"/>
                <w:shd w:val="clear" w:color="auto" w:fill="FFFFFF"/>
                <w:lang w:val="lv-LV"/>
              </w:rPr>
              <w:t>pgrozāmo līdzekļu aizdevumu programma (protokols Nr.84 88.§)</w:t>
            </w:r>
            <w:r w:rsidR="00AD7677" w:rsidRPr="00E3666E">
              <w:rPr>
                <w:color w:val="000000" w:themeColor="text1"/>
                <w:sz w:val="24"/>
                <w:szCs w:val="24"/>
                <w:shd w:val="clear" w:color="auto" w:fill="FFFFFF"/>
                <w:lang w:val="lv-LV"/>
              </w:rPr>
              <w:t>;</w:t>
            </w:r>
          </w:p>
          <w:p w14:paraId="384FFED0" w14:textId="39E37B11" w:rsidR="00D27E4D" w:rsidRPr="00E3666E" w:rsidRDefault="00910056" w:rsidP="00E3666E">
            <w:pPr>
              <w:pStyle w:val="ListParagraph"/>
              <w:numPr>
                <w:ilvl w:val="0"/>
                <w:numId w:val="17"/>
              </w:numPr>
              <w:spacing w:before="120"/>
              <w:ind w:right="250"/>
              <w:contextualSpacing w:val="0"/>
              <w:jc w:val="both"/>
              <w:rPr>
                <w:rFonts w:eastAsia="Times New Roman"/>
                <w:color w:val="000000" w:themeColor="text1"/>
                <w:sz w:val="24"/>
                <w:szCs w:val="24"/>
                <w:lang w:val="lv-LV"/>
              </w:rPr>
            </w:pPr>
            <w:r>
              <w:rPr>
                <w:color w:val="000000" w:themeColor="text1"/>
                <w:sz w:val="24"/>
                <w:szCs w:val="24"/>
                <w:shd w:val="clear" w:color="auto" w:fill="FFFFFF"/>
                <w:lang w:val="lv-LV"/>
              </w:rPr>
              <w:lastRenderedPageBreak/>
              <w:t>Krīzes ī</w:t>
            </w:r>
            <w:r w:rsidR="0003097F" w:rsidRPr="00E3666E">
              <w:rPr>
                <w:color w:val="000000" w:themeColor="text1"/>
                <w:sz w:val="24"/>
                <w:szCs w:val="24"/>
                <w:shd w:val="clear" w:color="auto" w:fill="FFFFFF"/>
                <w:lang w:val="lv-LV"/>
              </w:rPr>
              <w:t>stermiņa garantiju programma (protokols Nr.84 92.§)</w:t>
            </w:r>
            <w:r w:rsidR="0003097F" w:rsidRPr="00E3666E">
              <w:rPr>
                <w:rFonts w:eastAsiaTheme="minorHAnsi"/>
                <w:color w:val="000000" w:themeColor="text1"/>
                <w:sz w:val="24"/>
                <w:szCs w:val="24"/>
                <w:lang w:val="lv-LV"/>
              </w:rPr>
              <w:t>.</w:t>
            </w:r>
          </w:p>
        </w:tc>
      </w:tr>
      <w:tr w:rsidR="006F4B13" w:rsidRPr="00E3666E" w14:paraId="3F5FD1CD" w14:textId="77777777" w:rsidTr="00E3666E">
        <w:trPr>
          <w:trHeight w:val="339"/>
        </w:trPr>
        <w:tc>
          <w:tcPr>
            <w:tcW w:w="312" w:type="dxa"/>
          </w:tcPr>
          <w:p w14:paraId="4B9C6F89" w14:textId="77777777" w:rsidR="006F4B13" w:rsidRPr="00E3666E" w:rsidRDefault="006F4B13" w:rsidP="00B043DE">
            <w:pPr>
              <w:ind w:left="57" w:right="57"/>
              <w:contextualSpacing/>
              <w:jc w:val="both"/>
              <w:rPr>
                <w:sz w:val="24"/>
                <w:szCs w:val="24"/>
                <w:lang w:val="lv-LV"/>
              </w:rPr>
            </w:pPr>
            <w:r w:rsidRPr="00E3666E">
              <w:rPr>
                <w:sz w:val="24"/>
                <w:szCs w:val="24"/>
                <w:lang w:val="lv-LV"/>
              </w:rPr>
              <w:lastRenderedPageBreak/>
              <w:t>2.</w:t>
            </w:r>
          </w:p>
        </w:tc>
        <w:tc>
          <w:tcPr>
            <w:tcW w:w="2240" w:type="dxa"/>
          </w:tcPr>
          <w:p w14:paraId="4B6FBDE6" w14:textId="77777777" w:rsidR="006F4B13" w:rsidRPr="00E3666E" w:rsidRDefault="006F4B13" w:rsidP="00B043DE">
            <w:pPr>
              <w:ind w:left="57" w:right="57"/>
              <w:contextualSpacing/>
              <w:rPr>
                <w:rFonts w:eastAsia="PMingLiU"/>
                <w:sz w:val="24"/>
                <w:szCs w:val="24"/>
                <w:lang w:val="lv-LV" w:eastAsia="ja-JP"/>
              </w:rPr>
            </w:pPr>
            <w:r w:rsidRPr="00E3666E">
              <w:rPr>
                <w:rFonts w:eastAsia="PMingLiU"/>
                <w:sz w:val="24"/>
                <w:szCs w:val="24"/>
                <w:lang w:val="lv-LV" w:eastAsia="ja-JP"/>
              </w:rPr>
              <w:t>Sabiedrības līdzdalība projekta izstrādē</w:t>
            </w:r>
          </w:p>
        </w:tc>
        <w:tc>
          <w:tcPr>
            <w:tcW w:w="6804" w:type="dxa"/>
          </w:tcPr>
          <w:p w14:paraId="18D5064F" w14:textId="3557A27C" w:rsidR="00777098" w:rsidRPr="00E3666E" w:rsidRDefault="00F359D0" w:rsidP="00151F22">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Projekts šo jomu neskar.</w:t>
            </w:r>
          </w:p>
        </w:tc>
      </w:tr>
      <w:tr w:rsidR="00F359D0" w:rsidRPr="00E3666E" w14:paraId="0F937EA3" w14:textId="77777777" w:rsidTr="00E3666E">
        <w:trPr>
          <w:trHeight w:val="476"/>
        </w:trPr>
        <w:tc>
          <w:tcPr>
            <w:tcW w:w="312" w:type="dxa"/>
          </w:tcPr>
          <w:p w14:paraId="5A007BCA" w14:textId="77777777" w:rsidR="00F359D0" w:rsidRPr="00E3666E" w:rsidRDefault="00F359D0" w:rsidP="00F359D0">
            <w:pPr>
              <w:ind w:left="57" w:right="57"/>
              <w:contextualSpacing/>
              <w:jc w:val="both"/>
              <w:rPr>
                <w:sz w:val="24"/>
                <w:szCs w:val="24"/>
                <w:lang w:val="lv-LV"/>
              </w:rPr>
            </w:pPr>
            <w:r w:rsidRPr="00E3666E">
              <w:rPr>
                <w:sz w:val="24"/>
                <w:szCs w:val="24"/>
                <w:lang w:val="lv-LV"/>
              </w:rPr>
              <w:t>3.</w:t>
            </w:r>
          </w:p>
        </w:tc>
        <w:tc>
          <w:tcPr>
            <w:tcW w:w="2240" w:type="dxa"/>
          </w:tcPr>
          <w:p w14:paraId="5F99D7D0" w14:textId="77777777" w:rsidR="00F359D0" w:rsidRPr="00E3666E" w:rsidRDefault="00F359D0" w:rsidP="00F359D0">
            <w:pPr>
              <w:ind w:left="57" w:right="57"/>
              <w:contextualSpacing/>
              <w:rPr>
                <w:rFonts w:eastAsia="PMingLiU"/>
                <w:sz w:val="24"/>
                <w:szCs w:val="24"/>
                <w:lang w:val="lv-LV" w:eastAsia="ja-JP"/>
              </w:rPr>
            </w:pPr>
            <w:r w:rsidRPr="00E3666E">
              <w:rPr>
                <w:rFonts w:eastAsia="PMingLiU"/>
                <w:sz w:val="24"/>
                <w:szCs w:val="24"/>
                <w:lang w:val="lv-LV" w:eastAsia="ja-JP"/>
              </w:rPr>
              <w:t>Sabiedrības līdzdalības rezultāti</w:t>
            </w:r>
          </w:p>
        </w:tc>
        <w:tc>
          <w:tcPr>
            <w:tcW w:w="6804" w:type="dxa"/>
          </w:tcPr>
          <w:p w14:paraId="2BF921D4" w14:textId="1E190F9C" w:rsidR="00F359D0" w:rsidRPr="00E3666E" w:rsidRDefault="00F359D0" w:rsidP="00F359D0">
            <w:pPr>
              <w:shd w:val="clear" w:color="auto" w:fill="FFFFFF"/>
              <w:ind w:left="57" w:right="113"/>
              <w:contextualSpacing/>
              <w:jc w:val="both"/>
              <w:rPr>
                <w:rFonts w:eastAsia="PMingLiU"/>
                <w:sz w:val="24"/>
                <w:szCs w:val="24"/>
                <w:shd w:val="clear" w:color="auto" w:fill="FFFFFF"/>
                <w:lang w:val="lv-LV" w:eastAsia="ja-JP"/>
              </w:rPr>
            </w:pPr>
            <w:r>
              <w:rPr>
                <w:rFonts w:eastAsia="PMingLiU"/>
                <w:sz w:val="24"/>
                <w:szCs w:val="24"/>
                <w:shd w:val="clear" w:color="auto" w:fill="FFFFFF"/>
                <w:lang w:val="lv-LV" w:eastAsia="ja-JP"/>
              </w:rPr>
              <w:t>Projekts šo jomu neskar.</w:t>
            </w:r>
          </w:p>
        </w:tc>
      </w:tr>
      <w:tr w:rsidR="0003097F" w:rsidRPr="00E3666E" w14:paraId="13638F96" w14:textId="77777777" w:rsidTr="00E3666E">
        <w:trPr>
          <w:trHeight w:val="205"/>
        </w:trPr>
        <w:tc>
          <w:tcPr>
            <w:tcW w:w="312" w:type="dxa"/>
          </w:tcPr>
          <w:p w14:paraId="286DE4AB" w14:textId="77777777" w:rsidR="0003097F" w:rsidRPr="00E3666E" w:rsidRDefault="0003097F" w:rsidP="0003097F">
            <w:pPr>
              <w:ind w:left="57" w:right="57"/>
              <w:contextualSpacing/>
              <w:jc w:val="both"/>
              <w:rPr>
                <w:sz w:val="24"/>
                <w:szCs w:val="24"/>
                <w:lang w:val="lv-LV"/>
              </w:rPr>
            </w:pPr>
            <w:r w:rsidRPr="00E3666E">
              <w:rPr>
                <w:sz w:val="24"/>
                <w:szCs w:val="24"/>
                <w:lang w:val="lv-LV"/>
              </w:rPr>
              <w:t>4.</w:t>
            </w:r>
          </w:p>
        </w:tc>
        <w:tc>
          <w:tcPr>
            <w:tcW w:w="2240" w:type="dxa"/>
          </w:tcPr>
          <w:p w14:paraId="1AEA4978" w14:textId="77777777" w:rsidR="0003097F" w:rsidRPr="00E3666E" w:rsidRDefault="0003097F" w:rsidP="0003097F">
            <w:pPr>
              <w:ind w:left="57" w:right="57"/>
              <w:contextualSpacing/>
              <w:rPr>
                <w:rFonts w:eastAsia="PMingLiU"/>
                <w:sz w:val="24"/>
                <w:szCs w:val="24"/>
                <w:lang w:val="lv-LV" w:eastAsia="ja-JP"/>
              </w:rPr>
            </w:pPr>
            <w:r w:rsidRPr="00E3666E">
              <w:rPr>
                <w:rFonts w:eastAsia="PMingLiU"/>
                <w:sz w:val="24"/>
                <w:szCs w:val="24"/>
                <w:lang w:val="lv-LV" w:eastAsia="ja-JP"/>
              </w:rPr>
              <w:t>Cita informācija</w:t>
            </w:r>
          </w:p>
        </w:tc>
        <w:tc>
          <w:tcPr>
            <w:tcW w:w="6804" w:type="dxa"/>
          </w:tcPr>
          <w:p w14:paraId="29112FCD" w14:textId="5927F71D" w:rsidR="0003097F" w:rsidRPr="00E3666E" w:rsidRDefault="0003097F" w:rsidP="0003097F">
            <w:pPr>
              <w:ind w:left="57" w:right="113"/>
              <w:contextualSpacing/>
              <w:jc w:val="both"/>
              <w:rPr>
                <w:rFonts w:eastAsia="PMingLiU"/>
                <w:sz w:val="24"/>
                <w:szCs w:val="24"/>
                <w:lang w:val="lv-LV" w:eastAsia="ja-JP"/>
              </w:rPr>
            </w:pPr>
            <w:r w:rsidRPr="00E3666E">
              <w:rPr>
                <w:rFonts w:eastAsia="PMingLiU"/>
                <w:sz w:val="24"/>
                <w:szCs w:val="24"/>
                <w:lang w:val="lv-LV" w:eastAsia="ja-JP"/>
              </w:rPr>
              <w:t>Nav</w:t>
            </w:r>
          </w:p>
        </w:tc>
      </w:tr>
    </w:tbl>
    <w:p w14:paraId="07B85D36" w14:textId="1E6EF1D8" w:rsidR="00844176" w:rsidRPr="00E3666E" w:rsidRDefault="00844176" w:rsidP="00B043DE">
      <w:pPr>
        <w:contextualSpacing/>
        <w:rPr>
          <w:rFonts w:eastAsia="Times New Roman"/>
          <w:sz w:val="24"/>
          <w:szCs w:val="24"/>
          <w:lang w:val="lv-LV" w:eastAsia="lv-LV"/>
        </w:rPr>
      </w:pPr>
    </w:p>
    <w:tbl>
      <w:tblPr>
        <w:tblW w:w="934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379"/>
      </w:tblGrid>
      <w:tr w:rsidR="00844176" w:rsidRPr="00E3666E" w14:paraId="72278BCA" w14:textId="77777777" w:rsidTr="00240921">
        <w:trPr>
          <w:trHeight w:val="375"/>
        </w:trPr>
        <w:tc>
          <w:tcPr>
            <w:tcW w:w="9348"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3666E" w:rsidRDefault="00844176" w:rsidP="00B043DE">
            <w:pPr>
              <w:ind w:firstLine="300"/>
              <w:jc w:val="center"/>
              <w:rPr>
                <w:rFonts w:eastAsia="Times New Roman"/>
                <w:sz w:val="24"/>
                <w:szCs w:val="24"/>
                <w:lang w:val="lv-LV" w:eastAsia="lv-LV"/>
              </w:rPr>
            </w:pPr>
            <w:r w:rsidRPr="00E3666E">
              <w:rPr>
                <w:b/>
                <w:sz w:val="24"/>
                <w:szCs w:val="24"/>
                <w:lang w:val="lv-LV"/>
              </w:rPr>
              <w:t>VII. Tiesību akta projekta izpildes nodrošināšana un tās ietekme uz institūcijām</w:t>
            </w:r>
          </w:p>
        </w:tc>
      </w:tr>
      <w:tr w:rsidR="00844176" w:rsidRPr="00E3666E" w14:paraId="3BE578E7" w14:textId="77777777" w:rsidTr="00240921">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3666E" w:rsidRDefault="00844176" w:rsidP="00B043DE">
            <w:pPr>
              <w:contextualSpacing/>
              <w:rPr>
                <w:rFonts w:eastAsia="Times New Roman"/>
                <w:sz w:val="24"/>
                <w:szCs w:val="24"/>
                <w:lang w:val="lv-LV" w:eastAsia="lv-LV"/>
              </w:rPr>
            </w:pPr>
            <w:r w:rsidRPr="00E3666E">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3666E" w:rsidRDefault="00844176" w:rsidP="00B043DE">
            <w:pPr>
              <w:ind w:right="112"/>
              <w:contextualSpacing/>
              <w:jc w:val="both"/>
              <w:rPr>
                <w:sz w:val="24"/>
                <w:szCs w:val="24"/>
                <w:lang w:val="lv-LV"/>
              </w:rPr>
            </w:pPr>
            <w:r w:rsidRPr="00E3666E">
              <w:rPr>
                <w:sz w:val="24"/>
                <w:szCs w:val="24"/>
                <w:lang w:val="lv-LV"/>
              </w:rPr>
              <w:t>Projekta izpildē iesaistītās institūcijas</w:t>
            </w:r>
          </w:p>
        </w:tc>
        <w:tc>
          <w:tcPr>
            <w:tcW w:w="6379" w:type="dxa"/>
            <w:tcBorders>
              <w:top w:val="outset" w:sz="6" w:space="0" w:color="414142"/>
              <w:left w:val="outset" w:sz="6" w:space="0" w:color="414142"/>
              <w:bottom w:val="outset" w:sz="6" w:space="0" w:color="414142"/>
              <w:right w:val="outset" w:sz="6" w:space="0" w:color="414142"/>
            </w:tcBorders>
            <w:hideMark/>
          </w:tcPr>
          <w:p w14:paraId="4C10CF17" w14:textId="6A4240BB" w:rsidR="00844176" w:rsidRPr="00E3666E" w:rsidRDefault="00844176" w:rsidP="00B043DE">
            <w:pPr>
              <w:ind w:left="82" w:right="161"/>
              <w:contextualSpacing/>
              <w:jc w:val="both"/>
              <w:rPr>
                <w:sz w:val="24"/>
                <w:szCs w:val="24"/>
                <w:lang w:val="lv-LV"/>
              </w:rPr>
            </w:pPr>
            <w:r w:rsidRPr="00E3666E">
              <w:rPr>
                <w:sz w:val="24"/>
                <w:szCs w:val="24"/>
                <w:lang w:val="lv-LV"/>
              </w:rPr>
              <w:t>E</w:t>
            </w:r>
            <w:r w:rsidR="00733C32" w:rsidRPr="00E3666E">
              <w:rPr>
                <w:sz w:val="24"/>
                <w:szCs w:val="24"/>
                <w:lang w:val="lv-LV"/>
              </w:rPr>
              <w:t>konomikas ministrija</w:t>
            </w:r>
            <w:r w:rsidR="0074545C" w:rsidRPr="00E3666E">
              <w:rPr>
                <w:sz w:val="24"/>
                <w:szCs w:val="24"/>
                <w:lang w:val="lv-LV"/>
              </w:rPr>
              <w:t>, sabiedrība</w:t>
            </w:r>
            <w:r w:rsidR="00733C32" w:rsidRPr="00E3666E">
              <w:rPr>
                <w:sz w:val="24"/>
                <w:szCs w:val="24"/>
                <w:lang w:val="lv-LV"/>
              </w:rPr>
              <w:t xml:space="preserve"> “Altum”</w:t>
            </w:r>
            <w:r w:rsidR="00E3666E" w:rsidRPr="00E3666E">
              <w:rPr>
                <w:sz w:val="24"/>
                <w:szCs w:val="24"/>
                <w:lang w:val="lv-LV"/>
              </w:rPr>
              <w:t>.</w:t>
            </w:r>
          </w:p>
        </w:tc>
      </w:tr>
      <w:tr w:rsidR="00844176" w:rsidRPr="00E3666E" w14:paraId="2CF2C3EA" w14:textId="77777777" w:rsidTr="00240921">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3666E" w:rsidRDefault="00844176" w:rsidP="00B043DE">
            <w:pPr>
              <w:contextualSpacing/>
              <w:rPr>
                <w:rFonts w:eastAsia="Times New Roman"/>
                <w:sz w:val="24"/>
                <w:szCs w:val="24"/>
                <w:lang w:val="lv-LV" w:eastAsia="lv-LV"/>
              </w:rPr>
            </w:pPr>
            <w:r w:rsidRPr="00E3666E">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3666E" w:rsidRDefault="00844176" w:rsidP="00B043DE">
            <w:pPr>
              <w:ind w:right="112"/>
              <w:contextualSpacing/>
              <w:jc w:val="both"/>
              <w:rPr>
                <w:sz w:val="24"/>
                <w:szCs w:val="24"/>
                <w:lang w:val="lv-LV"/>
              </w:rPr>
            </w:pPr>
            <w:r w:rsidRPr="00E3666E">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379" w:type="dxa"/>
            <w:tcBorders>
              <w:top w:val="outset" w:sz="6" w:space="0" w:color="414142"/>
              <w:left w:val="outset" w:sz="6" w:space="0" w:color="414142"/>
              <w:bottom w:val="outset" w:sz="6" w:space="0" w:color="414142"/>
              <w:right w:val="outset" w:sz="6" w:space="0" w:color="414142"/>
            </w:tcBorders>
            <w:hideMark/>
          </w:tcPr>
          <w:p w14:paraId="5F5A7977" w14:textId="64849E98" w:rsidR="00844176" w:rsidRPr="00E3666E" w:rsidRDefault="00E30940" w:rsidP="00B043DE">
            <w:pPr>
              <w:ind w:left="82" w:right="161"/>
              <w:contextualSpacing/>
              <w:jc w:val="both"/>
              <w:rPr>
                <w:sz w:val="24"/>
                <w:szCs w:val="24"/>
                <w:lang w:val="lv-LV"/>
              </w:rPr>
            </w:pPr>
            <w:r>
              <w:rPr>
                <w:rFonts w:eastAsia="Times New Roman"/>
                <w:iCs/>
                <w:sz w:val="24"/>
                <w:szCs w:val="24"/>
                <w:lang w:val="lv-LV"/>
              </w:rPr>
              <w:t>P</w:t>
            </w:r>
            <w:r w:rsidR="003D0F93" w:rsidRPr="00E3666E">
              <w:rPr>
                <w:rFonts w:eastAsia="Times New Roman"/>
                <w:iCs/>
                <w:sz w:val="24"/>
                <w:szCs w:val="24"/>
                <w:lang w:val="lv-LV"/>
              </w:rPr>
              <w:t>rojekt</w:t>
            </w:r>
            <w:r w:rsidR="00D06C14" w:rsidRPr="00E3666E">
              <w:rPr>
                <w:rFonts w:eastAsia="Times New Roman"/>
                <w:iCs/>
                <w:sz w:val="24"/>
                <w:szCs w:val="24"/>
                <w:lang w:val="lv-LV"/>
              </w:rPr>
              <w:t>a</w:t>
            </w:r>
            <w:r w:rsidR="003D0F93" w:rsidRPr="00E3666E" w:rsidDel="003D0F93">
              <w:rPr>
                <w:sz w:val="24"/>
                <w:szCs w:val="24"/>
                <w:lang w:val="lv-LV"/>
              </w:rPr>
              <w:t xml:space="preserve"> </w:t>
            </w:r>
            <w:r w:rsidR="00733C32" w:rsidRPr="00E3666E">
              <w:rPr>
                <w:sz w:val="24"/>
                <w:szCs w:val="24"/>
                <w:lang w:val="lv-LV"/>
              </w:rPr>
              <w:t>izpilde tiks nodrošināta Ekonomikas ministrijas</w:t>
            </w:r>
            <w:r w:rsidR="00844176" w:rsidRPr="00E3666E">
              <w:rPr>
                <w:sz w:val="24"/>
                <w:szCs w:val="24"/>
                <w:lang w:val="lv-LV"/>
              </w:rPr>
              <w:t xml:space="preserve"> un </w:t>
            </w:r>
            <w:r w:rsidR="0074545C" w:rsidRPr="00E3666E">
              <w:rPr>
                <w:sz w:val="24"/>
                <w:szCs w:val="24"/>
                <w:lang w:val="lv-LV"/>
              </w:rPr>
              <w:t>sabiedrības</w:t>
            </w:r>
            <w:r w:rsidR="00733C32" w:rsidRPr="00E3666E">
              <w:rPr>
                <w:sz w:val="24"/>
                <w:szCs w:val="24"/>
                <w:lang w:val="lv-LV"/>
              </w:rPr>
              <w:t xml:space="preserve"> “Altum” </w:t>
            </w:r>
            <w:r w:rsidR="00844176" w:rsidRPr="00E3666E">
              <w:rPr>
                <w:sz w:val="24"/>
                <w:szCs w:val="24"/>
                <w:lang w:val="lv-LV"/>
              </w:rPr>
              <w:t xml:space="preserve">esošo funkciju </w:t>
            </w:r>
            <w:r w:rsidR="002B7681" w:rsidRPr="00E3666E">
              <w:rPr>
                <w:sz w:val="24"/>
                <w:szCs w:val="24"/>
                <w:lang w:val="lv-LV"/>
              </w:rPr>
              <w:t xml:space="preserve">un cilvēkresursu </w:t>
            </w:r>
            <w:r w:rsidR="00844176" w:rsidRPr="00E3666E">
              <w:rPr>
                <w:sz w:val="24"/>
                <w:szCs w:val="24"/>
                <w:lang w:val="lv-LV"/>
              </w:rPr>
              <w:t>ietvaros</w:t>
            </w:r>
            <w:r w:rsidR="002B7681" w:rsidRPr="00E3666E">
              <w:rPr>
                <w:sz w:val="24"/>
                <w:szCs w:val="24"/>
                <w:lang w:val="lv-LV"/>
              </w:rPr>
              <w:t>, kā arī nav paredzēta jaunu institūciju izveide, esošu institūciju likvidācija vai reorganizācija</w:t>
            </w:r>
            <w:r w:rsidR="00844176" w:rsidRPr="00E3666E">
              <w:rPr>
                <w:sz w:val="24"/>
                <w:szCs w:val="24"/>
                <w:lang w:val="lv-LV"/>
              </w:rPr>
              <w:t>.</w:t>
            </w:r>
          </w:p>
        </w:tc>
      </w:tr>
      <w:tr w:rsidR="00844176" w:rsidRPr="00E3666E" w14:paraId="2EBACAF6" w14:textId="77777777" w:rsidTr="00240921">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3666E" w:rsidRDefault="00844176" w:rsidP="00B043DE">
            <w:pPr>
              <w:contextualSpacing/>
              <w:rPr>
                <w:rFonts w:eastAsia="Times New Roman"/>
                <w:sz w:val="24"/>
                <w:szCs w:val="24"/>
                <w:lang w:val="lv-LV" w:eastAsia="lv-LV"/>
              </w:rPr>
            </w:pPr>
            <w:r w:rsidRPr="00E3666E">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3666E" w:rsidRDefault="00844176" w:rsidP="00B043DE">
            <w:pPr>
              <w:contextualSpacing/>
              <w:jc w:val="both"/>
              <w:rPr>
                <w:rFonts w:eastAsia="Times New Roman"/>
                <w:sz w:val="24"/>
                <w:szCs w:val="24"/>
                <w:lang w:val="lv-LV" w:eastAsia="lv-LV"/>
              </w:rPr>
            </w:pPr>
            <w:r w:rsidRPr="00E3666E">
              <w:rPr>
                <w:rFonts w:eastAsia="Times New Roman"/>
                <w:sz w:val="24"/>
                <w:szCs w:val="24"/>
                <w:lang w:val="lv-LV" w:eastAsia="lv-LV"/>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E3666E" w:rsidRDefault="00844176" w:rsidP="00B043DE">
            <w:pPr>
              <w:contextualSpacing/>
              <w:jc w:val="both"/>
              <w:rPr>
                <w:rFonts w:eastAsia="Times New Roman"/>
                <w:sz w:val="24"/>
                <w:szCs w:val="24"/>
                <w:lang w:val="lv-LV" w:eastAsia="lv-LV"/>
              </w:rPr>
            </w:pPr>
            <w:r w:rsidRPr="00E3666E">
              <w:rPr>
                <w:rFonts w:eastAsia="Times New Roman"/>
                <w:sz w:val="24"/>
                <w:szCs w:val="24"/>
                <w:lang w:val="lv-LV" w:eastAsia="lv-LV"/>
              </w:rPr>
              <w:t>Nav</w:t>
            </w:r>
          </w:p>
        </w:tc>
      </w:tr>
    </w:tbl>
    <w:p w14:paraId="3C97E095" w14:textId="77777777" w:rsidR="00FA4414" w:rsidRPr="00E3666E" w:rsidRDefault="00FA4414" w:rsidP="003D0F93">
      <w:pPr>
        <w:ind w:firstLine="709"/>
        <w:jc w:val="both"/>
        <w:rPr>
          <w:sz w:val="24"/>
          <w:szCs w:val="24"/>
          <w:lang w:val="lv-LV"/>
        </w:rPr>
      </w:pPr>
    </w:p>
    <w:p w14:paraId="67755341" w14:textId="7B99A8B0" w:rsidR="003D0F93" w:rsidRPr="00E3666E" w:rsidRDefault="003D0F93" w:rsidP="003D0F93">
      <w:pPr>
        <w:ind w:firstLine="709"/>
        <w:jc w:val="both"/>
        <w:rPr>
          <w:b/>
          <w:bCs/>
          <w:sz w:val="24"/>
          <w:szCs w:val="24"/>
          <w:lang w:val="lv-LV"/>
        </w:rPr>
      </w:pPr>
      <w:r w:rsidRPr="00E3666E">
        <w:rPr>
          <w:b/>
          <w:bCs/>
          <w:sz w:val="24"/>
          <w:szCs w:val="24"/>
          <w:lang w:val="lv-LV"/>
        </w:rPr>
        <w:t>Ekonomikas ministrs</w:t>
      </w:r>
      <w:r w:rsidRPr="00E3666E">
        <w:rPr>
          <w:b/>
          <w:bCs/>
          <w:sz w:val="24"/>
          <w:szCs w:val="24"/>
          <w:lang w:val="lv-LV"/>
        </w:rPr>
        <w:tab/>
      </w:r>
      <w:r w:rsidRPr="00E3666E">
        <w:rPr>
          <w:b/>
          <w:bCs/>
          <w:sz w:val="24"/>
          <w:szCs w:val="24"/>
          <w:lang w:val="lv-LV"/>
        </w:rPr>
        <w:tab/>
      </w:r>
      <w:r w:rsidRPr="00E3666E">
        <w:rPr>
          <w:b/>
          <w:bCs/>
          <w:sz w:val="24"/>
          <w:szCs w:val="24"/>
          <w:lang w:val="lv-LV"/>
        </w:rPr>
        <w:tab/>
      </w:r>
      <w:r w:rsidRPr="00E3666E">
        <w:rPr>
          <w:b/>
          <w:bCs/>
          <w:sz w:val="24"/>
          <w:szCs w:val="24"/>
          <w:lang w:val="lv-LV"/>
        </w:rPr>
        <w:tab/>
      </w:r>
      <w:r w:rsidRPr="00E3666E">
        <w:rPr>
          <w:b/>
          <w:bCs/>
          <w:sz w:val="24"/>
          <w:szCs w:val="24"/>
          <w:lang w:val="lv-LV"/>
        </w:rPr>
        <w:tab/>
        <w:t>Jānis Vitenbergs</w:t>
      </w:r>
    </w:p>
    <w:p w14:paraId="7EA4A4E0" w14:textId="54602C65" w:rsidR="003D0F93" w:rsidRPr="00E3666E" w:rsidRDefault="003D0F93" w:rsidP="00777098">
      <w:pPr>
        <w:rPr>
          <w:sz w:val="24"/>
          <w:szCs w:val="24"/>
          <w:lang w:val="lv-LV"/>
        </w:rPr>
      </w:pPr>
      <w:r w:rsidRPr="00E3666E">
        <w:rPr>
          <w:sz w:val="24"/>
          <w:szCs w:val="24"/>
          <w:lang w:val="lv-LV"/>
        </w:rPr>
        <w:tab/>
        <w:t>Vīza:</w:t>
      </w:r>
      <w:r w:rsidR="000E46A4" w:rsidRPr="00E3666E">
        <w:rPr>
          <w:sz w:val="24"/>
          <w:szCs w:val="24"/>
          <w:lang w:val="lv-LV"/>
        </w:rPr>
        <w:tab/>
      </w:r>
    </w:p>
    <w:p w14:paraId="0B7FC0B1" w14:textId="2AB1A1D1" w:rsidR="003D0F93" w:rsidRPr="00E3666E" w:rsidRDefault="0058713E" w:rsidP="006900EA">
      <w:pPr>
        <w:tabs>
          <w:tab w:val="left" w:pos="6237"/>
        </w:tabs>
        <w:ind w:left="709"/>
        <w:rPr>
          <w:sz w:val="24"/>
          <w:szCs w:val="24"/>
          <w:lang w:val="lv-LV"/>
        </w:rPr>
      </w:pPr>
      <w:bookmarkStart w:id="12" w:name="_Hlk41558316"/>
      <w:r w:rsidRPr="00E3666E">
        <w:rPr>
          <w:b/>
          <w:bCs/>
          <w:sz w:val="24"/>
          <w:szCs w:val="24"/>
          <w:lang w:val="lv-LV"/>
        </w:rPr>
        <w:t>Valsts sekretā</w:t>
      </w:r>
      <w:r w:rsidR="0003097F" w:rsidRPr="00E3666E">
        <w:rPr>
          <w:b/>
          <w:bCs/>
          <w:sz w:val="24"/>
          <w:szCs w:val="24"/>
          <w:lang w:val="lv-LV"/>
        </w:rPr>
        <w:t>rs</w:t>
      </w:r>
      <w:r w:rsidRPr="00E3666E">
        <w:rPr>
          <w:b/>
          <w:bCs/>
          <w:sz w:val="24"/>
          <w:szCs w:val="24"/>
          <w:lang w:val="lv-LV"/>
        </w:rPr>
        <w:tab/>
      </w:r>
      <w:r w:rsidRPr="00E3666E">
        <w:rPr>
          <w:b/>
          <w:bCs/>
          <w:sz w:val="24"/>
          <w:szCs w:val="24"/>
          <w:lang w:val="lv-LV"/>
        </w:rPr>
        <w:tab/>
      </w:r>
      <w:bookmarkEnd w:id="12"/>
      <w:r w:rsidR="0003097F" w:rsidRPr="00E3666E">
        <w:rPr>
          <w:b/>
          <w:bCs/>
          <w:sz w:val="24"/>
          <w:szCs w:val="24"/>
          <w:lang w:val="lv-LV"/>
        </w:rPr>
        <w:t>Edmunds Valantis</w:t>
      </w:r>
      <w:r w:rsidR="003D0F93" w:rsidRPr="00E3666E">
        <w:rPr>
          <w:sz w:val="24"/>
          <w:szCs w:val="24"/>
          <w:lang w:val="lv-LV"/>
        </w:rPr>
        <w:tab/>
      </w:r>
    </w:p>
    <w:sectPr w:rsidR="003D0F93" w:rsidRPr="00E3666E" w:rsidSect="006900EA">
      <w:headerReference w:type="default" r:id="rId8"/>
      <w:footerReference w:type="default" r:id="rId9"/>
      <w:footerReference w:type="first" r:id="rId10"/>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CC096" w14:textId="77777777" w:rsidR="00B82BA7" w:rsidRDefault="00B82BA7" w:rsidP="006B2FEF">
      <w:r>
        <w:separator/>
      </w:r>
    </w:p>
  </w:endnote>
  <w:endnote w:type="continuationSeparator" w:id="0">
    <w:p w14:paraId="1B2D182C" w14:textId="77777777" w:rsidR="00B82BA7" w:rsidRDefault="00B82BA7" w:rsidP="006B2FEF">
      <w:r>
        <w:continuationSeparator/>
      </w:r>
    </w:p>
  </w:endnote>
  <w:endnote w:type="continuationNotice" w:id="1">
    <w:p w14:paraId="5AEC0ECD" w14:textId="77777777" w:rsidR="00B82BA7" w:rsidRDefault="00B82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4F74" w14:textId="49333AC3" w:rsidR="004259BC" w:rsidRPr="000E46A4" w:rsidRDefault="000E46A4" w:rsidP="000E46A4">
    <w:pPr>
      <w:pStyle w:val="Footer"/>
      <w:jc w:val="both"/>
      <w:rPr>
        <w:lang w:val="lv-LV"/>
      </w:rPr>
    </w:pPr>
    <w:r w:rsidRPr="0014051E">
      <w:rPr>
        <w:lang w:val="lv-LV"/>
      </w:rPr>
      <w:t>EM</w:t>
    </w:r>
    <w:r>
      <w:rPr>
        <w:lang w:val="lv-LV"/>
      </w:rPr>
      <w:t>An</w:t>
    </w:r>
    <w:r w:rsidRPr="0014051E">
      <w:rPr>
        <w:lang w:val="lv-LV"/>
      </w:rPr>
      <w:t>ot_</w:t>
    </w:r>
    <w:r w:rsidR="00CD21F4">
      <w:rPr>
        <w:lang w:val="lv-LV"/>
      </w:rPr>
      <w:t>0202</w:t>
    </w:r>
    <w:r w:rsidR="0003097F">
      <w:rPr>
        <w:lang w:val="lv-LV"/>
      </w:rPr>
      <w:t>21_pardale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8AF59" w14:textId="6041F39E" w:rsidR="004259BC" w:rsidRPr="0003097F" w:rsidRDefault="0003097F" w:rsidP="0003097F">
    <w:pPr>
      <w:pStyle w:val="Footer"/>
      <w:jc w:val="both"/>
      <w:rPr>
        <w:lang w:val="lv-LV"/>
      </w:rPr>
    </w:pPr>
    <w:r w:rsidRPr="0014051E">
      <w:rPr>
        <w:lang w:val="lv-LV"/>
      </w:rPr>
      <w:t>EM</w:t>
    </w:r>
    <w:r>
      <w:rPr>
        <w:lang w:val="lv-LV"/>
      </w:rPr>
      <w:t>An</w:t>
    </w:r>
    <w:r w:rsidRPr="0014051E">
      <w:rPr>
        <w:lang w:val="lv-LV"/>
      </w:rPr>
      <w:t>ot_</w:t>
    </w:r>
    <w:r w:rsidR="00CD21F4">
      <w:rPr>
        <w:lang w:val="lv-LV"/>
      </w:rPr>
      <w:t>0202</w:t>
    </w:r>
    <w:r>
      <w:rPr>
        <w:lang w:val="lv-LV"/>
      </w:rPr>
      <w:t>21_pardale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4F1A" w14:textId="77777777" w:rsidR="00B82BA7" w:rsidRDefault="00B82BA7" w:rsidP="006B2FEF">
      <w:r>
        <w:separator/>
      </w:r>
    </w:p>
  </w:footnote>
  <w:footnote w:type="continuationSeparator" w:id="0">
    <w:p w14:paraId="55323FF6" w14:textId="77777777" w:rsidR="00B82BA7" w:rsidRDefault="00B82BA7" w:rsidP="006B2FEF">
      <w:r>
        <w:continuationSeparator/>
      </w:r>
    </w:p>
  </w:footnote>
  <w:footnote w:type="continuationNotice" w:id="1">
    <w:p w14:paraId="5CB4A45F" w14:textId="77777777" w:rsidR="00B82BA7" w:rsidRDefault="00B82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CA29690" w:rsidR="004259BC" w:rsidRPr="005A1518" w:rsidRDefault="004259BC"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7</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3C8"/>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 w15:restartNumberingAfterBreak="0">
    <w:nsid w:val="04433CA5"/>
    <w:multiLevelType w:val="hybridMultilevel"/>
    <w:tmpl w:val="A9CA5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CC0D3F"/>
    <w:multiLevelType w:val="hybridMultilevel"/>
    <w:tmpl w:val="0D06DB20"/>
    <w:lvl w:ilvl="0" w:tplc="33E8D8DC">
      <w:start w:val="2020"/>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0AF6BC5"/>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9"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0" w15:restartNumberingAfterBreak="0">
    <w:nsid w:val="650A6C2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1" w15:restartNumberingAfterBreak="0">
    <w:nsid w:val="69CE54EA"/>
    <w:multiLevelType w:val="hybridMultilevel"/>
    <w:tmpl w:val="DBECA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D9A0D5B"/>
    <w:multiLevelType w:val="hybridMultilevel"/>
    <w:tmpl w:val="268E5ABE"/>
    <w:lvl w:ilvl="0" w:tplc="A9AEE2D8">
      <w:start w:val="2020"/>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6E685A78"/>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14"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6"/>
  </w:num>
  <w:num w:numId="6">
    <w:abstractNumId w:val="15"/>
  </w:num>
  <w:num w:numId="7">
    <w:abstractNumId w:val="12"/>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9"/>
  </w:num>
  <w:num w:numId="14">
    <w:abstractNumId w:val="13"/>
  </w:num>
  <w:num w:numId="15">
    <w:abstractNumId w:val="1"/>
  </w:num>
  <w:num w:numId="16">
    <w:abstractNumId w:val="10"/>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B9C"/>
    <w:rsid w:val="000058AA"/>
    <w:rsid w:val="0000653D"/>
    <w:rsid w:val="00007491"/>
    <w:rsid w:val="0001048C"/>
    <w:rsid w:val="00013B61"/>
    <w:rsid w:val="00014B9F"/>
    <w:rsid w:val="000158B3"/>
    <w:rsid w:val="00016159"/>
    <w:rsid w:val="0002003C"/>
    <w:rsid w:val="000231D2"/>
    <w:rsid w:val="000240CA"/>
    <w:rsid w:val="00024ACB"/>
    <w:rsid w:val="00024D9D"/>
    <w:rsid w:val="00024EF9"/>
    <w:rsid w:val="0002596F"/>
    <w:rsid w:val="00026F18"/>
    <w:rsid w:val="00026FBB"/>
    <w:rsid w:val="0003012D"/>
    <w:rsid w:val="0003097F"/>
    <w:rsid w:val="00030B7E"/>
    <w:rsid w:val="0003245D"/>
    <w:rsid w:val="00032471"/>
    <w:rsid w:val="0003265E"/>
    <w:rsid w:val="00033F5A"/>
    <w:rsid w:val="00035C7B"/>
    <w:rsid w:val="000430AC"/>
    <w:rsid w:val="0004380E"/>
    <w:rsid w:val="00044683"/>
    <w:rsid w:val="00044743"/>
    <w:rsid w:val="00045B58"/>
    <w:rsid w:val="00045E27"/>
    <w:rsid w:val="00045F86"/>
    <w:rsid w:val="00047095"/>
    <w:rsid w:val="00047962"/>
    <w:rsid w:val="000527A4"/>
    <w:rsid w:val="00064B6E"/>
    <w:rsid w:val="000665BC"/>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515E"/>
    <w:rsid w:val="00085640"/>
    <w:rsid w:val="00091668"/>
    <w:rsid w:val="00091F4F"/>
    <w:rsid w:val="0009324B"/>
    <w:rsid w:val="00094B1E"/>
    <w:rsid w:val="00095280"/>
    <w:rsid w:val="00096060"/>
    <w:rsid w:val="000964C6"/>
    <w:rsid w:val="0009743E"/>
    <w:rsid w:val="000A0059"/>
    <w:rsid w:val="000A14E3"/>
    <w:rsid w:val="000A3654"/>
    <w:rsid w:val="000A37C3"/>
    <w:rsid w:val="000A38DA"/>
    <w:rsid w:val="000A44CE"/>
    <w:rsid w:val="000A4B5A"/>
    <w:rsid w:val="000A5D04"/>
    <w:rsid w:val="000A6486"/>
    <w:rsid w:val="000A7E05"/>
    <w:rsid w:val="000B0748"/>
    <w:rsid w:val="000B1926"/>
    <w:rsid w:val="000B1B64"/>
    <w:rsid w:val="000B20D2"/>
    <w:rsid w:val="000B2C54"/>
    <w:rsid w:val="000B3449"/>
    <w:rsid w:val="000B3FAB"/>
    <w:rsid w:val="000B492B"/>
    <w:rsid w:val="000B71B4"/>
    <w:rsid w:val="000C090A"/>
    <w:rsid w:val="000C33C1"/>
    <w:rsid w:val="000C4418"/>
    <w:rsid w:val="000C7F31"/>
    <w:rsid w:val="000D1EA5"/>
    <w:rsid w:val="000D2474"/>
    <w:rsid w:val="000D3D56"/>
    <w:rsid w:val="000D43D9"/>
    <w:rsid w:val="000D74B9"/>
    <w:rsid w:val="000E257B"/>
    <w:rsid w:val="000E46A4"/>
    <w:rsid w:val="000E53C3"/>
    <w:rsid w:val="000E56F8"/>
    <w:rsid w:val="000E5DD2"/>
    <w:rsid w:val="000E63F3"/>
    <w:rsid w:val="000F0A62"/>
    <w:rsid w:val="000F0E0E"/>
    <w:rsid w:val="000F1D22"/>
    <w:rsid w:val="000F25D2"/>
    <w:rsid w:val="000F2EA7"/>
    <w:rsid w:val="000F4230"/>
    <w:rsid w:val="000F5401"/>
    <w:rsid w:val="001001F5"/>
    <w:rsid w:val="00102922"/>
    <w:rsid w:val="00102B0D"/>
    <w:rsid w:val="00102B1D"/>
    <w:rsid w:val="00104BDD"/>
    <w:rsid w:val="00105A7C"/>
    <w:rsid w:val="00105D17"/>
    <w:rsid w:val="00110128"/>
    <w:rsid w:val="001133E7"/>
    <w:rsid w:val="0011606F"/>
    <w:rsid w:val="0012177A"/>
    <w:rsid w:val="0012624C"/>
    <w:rsid w:val="0013024B"/>
    <w:rsid w:val="00130C79"/>
    <w:rsid w:val="00131C9F"/>
    <w:rsid w:val="00137388"/>
    <w:rsid w:val="00137F96"/>
    <w:rsid w:val="0014051E"/>
    <w:rsid w:val="00142C3C"/>
    <w:rsid w:val="00143BB6"/>
    <w:rsid w:val="00145366"/>
    <w:rsid w:val="00146697"/>
    <w:rsid w:val="00146D17"/>
    <w:rsid w:val="00151BBD"/>
    <w:rsid w:val="00151F22"/>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DBF"/>
    <w:rsid w:val="00180E2B"/>
    <w:rsid w:val="00183B65"/>
    <w:rsid w:val="00183C0A"/>
    <w:rsid w:val="00186A4D"/>
    <w:rsid w:val="00187140"/>
    <w:rsid w:val="00190B3D"/>
    <w:rsid w:val="001935C8"/>
    <w:rsid w:val="001946C8"/>
    <w:rsid w:val="00195D43"/>
    <w:rsid w:val="001A120C"/>
    <w:rsid w:val="001A1322"/>
    <w:rsid w:val="001A1368"/>
    <w:rsid w:val="001A1439"/>
    <w:rsid w:val="001A2748"/>
    <w:rsid w:val="001A38EA"/>
    <w:rsid w:val="001A3ED2"/>
    <w:rsid w:val="001A7C3A"/>
    <w:rsid w:val="001A7E1D"/>
    <w:rsid w:val="001B6AC0"/>
    <w:rsid w:val="001B70CA"/>
    <w:rsid w:val="001B7454"/>
    <w:rsid w:val="001C0801"/>
    <w:rsid w:val="001C0FE6"/>
    <w:rsid w:val="001C143C"/>
    <w:rsid w:val="001C1B72"/>
    <w:rsid w:val="001C2832"/>
    <w:rsid w:val="001C362D"/>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3778"/>
    <w:rsid w:val="00224E84"/>
    <w:rsid w:val="002267E7"/>
    <w:rsid w:val="00227BC3"/>
    <w:rsid w:val="00227F25"/>
    <w:rsid w:val="00232596"/>
    <w:rsid w:val="00232844"/>
    <w:rsid w:val="0023582E"/>
    <w:rsid w:val="00237878"/>
    <w:rsid w:val="00240921"/>
    <w:rsid w:val="002438ED"/>
    <w:rsid w:val="00244A9E"/>
    <w:rsid w:val="002453A1"/>
    <w:rsid w:val="00246849"/>
    <w:rsid w:val="00247A0B"/>
    <w:rsid w:val="00250127"/>
    <w:rsid w:val="0025023B"/>
    <w:rsid w:val="00252260"/>
    <w:rsid w:val="00252EEF"/>
    <w:rsid w:val="00253B6C"/>
    <w:rsid w:val="00254651"/>
    <w:rsid w:val="00254901"/>
    <w:rsid w:val="0025543B"/>
    <w:rsid w:val="00255BAC"/>
    <w:rsid w:val="0025654B"/>
    <w:rsid w:val="00256ACE"/>
    <w:rsid w:val="00257981"/>
    <w:rsid w:val="002601C7"/>
    <w:rsid w:val="00261B97"/>
    <w:rsid w:val="002651EA"/>
    <w:rsid w:val="0027369F"/>
    <w:rsid w:val="00273700"/>
    <w:rsid w:val="00273B21"/>
    <w:rsid w:val="00274E8B"/>
    <w:rsid w:val="00277D9D"/>
    <w:rsid w:val="00281C0B"/>
    <w:rsid w:val="00282251"/>
    <w:rsid w:val="0028288E"/>
    <w:rsid w:val="00290EE2"/>
    <w:rsid w:val="00292062"/>
    <w:rsid w:val="002932D2"/>
    <w:rsid w:val="00294593"/>
    <w:rsid w:val="00294DDB"/>
    <w:rsid w:val="00294DF3"/>
    <w:rsid w:val="002957B7"/>
    <w:rsid w:val="002965D2"/>
    <w:rsid w:val="002A0435"/>
    <w:rsid w:val="002A0BC1"/>
    <w:rsid w:val="002A166A"/>
    <w:rsid w:val="002A1AA4"/>
    <w:rsid w:val="002A2C52"/>
    <w:rsid w:val="002A3287"/>
    <w:rsid w:val="002A3EC2"/>
    <w:rsid w:val="002A6400"/>
    <w:rsid w:val="002B071C"/>
    <w:rsid w:val="002B133E"/>
    <w:rsid w:val="002B24D2"/>
    <w:rsid w:val="002B3EAE"/>
    <w:rsid w:val="002B4900"/>
    <w:rsid w:val="002B6364"/>
    <w:rsid w:val="002B7681"/>
    <w:rsid w:val="002B7F82"/>
    <w:rsid w:val="002C15A0"/>
    <w:rsid w:val="002C22CF"/>
    <w:rsid w:val="002C3E23"/>
    <w:rsid w:val="002C3E51"/>
    <w:rsid w:val="002C504B"/>
    <w:rsid w:val="002C743D"/>
    <w:rsid w:val="002D339C"/>
    <w:rsid w:val="002D43A2"/>
    <w:rsid w:val="002D6A10"/>
    <w:rsid w:val="002D6BDB"/>
    <w:rsid w:val="002D744A"/>
    <w:rsid w:val="002D7D0E"/>
    <w:rsid w:val="002E024D"/>
    <w:rsid w:val="002E1075"/>
    <w:rsid w:val="002E5019"/>
    <w:rsid w:val="002E5643"/>
    <w:rsid w:val="002E678E"/>
    <w:rsid w:val="002E708A"/>
    <w:rsid w:val="002E7635"/>
    <w:rsid w:val="002F06CE"/>
    <w:rsid w:val="002F21A8"/>
    <w:rsid w:val="002F5587"/>
    <w:rsid w:val="002F5FB0"/>
    <w:rsid w:val="002F741D"/>
    <w:rsid w:val="00300B84"/>
    <w:rsid w:val="00301A6D"/>
    <w:rsid w:val="0030247A"/>
    <w:rsid w:val="00303955"/>
    <w:rsid w:val="00303F18"/>
    <w:rsid w:val="00304810"/>
    <w:rsid w:val="003048C5"/>
    <w:rsid w:val="003055C3"/>
    <w:rsid w:val="003061FB"/>
    <w:rsid w:val="00306270"/>
    <w:rsid w:val="0031008A"/>
    <w:rsid w:val="00310924"/>
    <w:rsid w:val="0031259B"/>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54ABE"/>
    <w:rsid w:val="00356159"/>
    <w:rsid w:val="00356492"/>
    <w:rsid w:val="00357C6C"/>
    <w:rsid w:val="00360657"/>
    <w:rsid w:val="00366AFE"/>
    <w:rsid w:val="00367B98"/>
    <w:rsid w:val="00370711"/>
    <w:rsid w:val="00371757"/>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911D7"/>
    <w:rsid w:val="0039139B"/>
    <w:rsid w:val="003913FB"/>
    <w:rsid w:val="00391F87"/>
    <w:rsid w:val="003926B4"/>
    <w:rsid w:val="00392998"/>
    <w:rsid w:val="00393026"/>
    <w:rsid w:val="0039319E"/>
    <w:rsid w:val="00393E8A"/>
    <w:rsid w:val="003949F0"/>
    <w:rsid w:val="00395460"/>
    <w:rsid w:val="00396152"/>
    <w:rsid w:val="003962D9"/>
    <w:rsid w:val="00397D0E"/>
    <w:rsid w:val="003A1D77"/>
    <w:rsid w:val="003A24AD"/>
    <w:rsid w:val="003A2C91"/>
    <w:rsid w:val="003A3887"/>
    <w:rsid w:val="003A3B51"/>
    <w:rsid w:val="003A40AD"/>
    <w:rsid w:val="003A66B2"/>
    <w:rsid w:val="003A6A32"/>
    <w:rsid w:val="003A6B7C"/>
    <w:rsid w:val="003A7D7E"/>
    <w:rsid w:val="003B1693"/>
    <w:rsid w:val="003B32EC"/>
    <w:rsid w:val="003B3488"/>
    <w:rsid w:val="003B42F1"/>
    <w:rsid w:val="003B5E55"/>
    <w:rsid w:val="003B5F6A"/>
    <w:rsid w:val="003B623A"/>
    <w:rsid w:val="003B62B5"/>
    <w:rsid w:val="003B63BE"/>
    <w:rsid w:val="003B7B62"/>
    <w:rsid w:val="003C072B"/>
    <w:rsid w:val="003C3D3D"/>
    <w:rsid w:val="003C5836"/>
    <w:rsid w:val="003C585E"/>
    <w:rsid w:val="003C7796"/>
    <w:rsid w:val="003D0189"/>
    <w:rsid w:val="003D0448"/>
    <w:rsid w:val="003D0D82"/>
    <w:rsid w:val="003D0F93"/>
    <w:rsid w:val="003D0FB7"/>
    <w:rsid w:val="003D1A86"/>
    <w:rsid w:val="003D3252"/>
    <w:rsid w:val="003D3CA2"/>
    <w:rsid w:val="003D3E7E"/>
    <w:rsid w:val="003D72E9"/>
    <w:rsid w:val="003D7F0B"/>
    <w:rsid w:val="003E06DF"/>
    <w:rsid w:val="003E145E"/>
    <w:rsid w:val="003E171B"/>
    <w:rsid w:val="003E3100"/>
    <w:rsid w:val="003E4132"/>
    <w:rsid w:val="003E5276"/>
    <w:rsid w:val="003E58C7"/>
    <w:rsid w:val="003E5A6D"/>
    <w:rsid w:val="003E5B81"/>
    <w:rsid w:val="003E5D7B"/>
    <w:rsid w:val="003E637A"/>
    <w:rsid w:val="003E78C2"/>
    <w:rsid w:val="003F0341"/>
    <w:rsid w:val="003F0484"/>
    <w:rsid w:val="003F288B"/>
    <w:rsid w:val="003F2AC0"/>
    <w:rsid w:val="003F2B20"/>
    <w:rsid w:val="003F2C34"/>
    <w:rsid w:val="003F2DF0"/>
    <w:rsid w:val="003F30FC"/>
    <w:rsid w:val="003F45CD"/>
    <w:rsid w:val="003F4CC7"/>
    <w:rsid w:val="003F7C94"/>
    <w:rsid w:val="004004ED"/>
    <w:rsid w:val="00401397"/>
    <w:rsid w:val="004022E2"/>
    <w:rsid w:val="004038BC"/>
    <w:rsid w:val="00406AE2"/>
    <w:rsid w:val="0041036A"/>
    <w:rsid w:val="0041316A"/>
    <w:rsid w:val="004139E4"/>
    <w:rsid w:val="004158F6"/>
    <w:rsid w:val="00415A66"/>
    <w:rsid w:val="00416547"/>
    <w:rsid w:val="00416A31"/>
    <w:rsid w:val="00417136"/>
    <w:rsid w:val="00417240"/>
    <w:rsid w:val="0041770B"/>
    <w:rsid w:val="004205F6"/>
    <w:rsid w:val="00420760"/>
    <w:rsid w:val="00420CFF"/>
    <w:rsid w:val="004224C2"/>
    <w:rsid w:val="00423B46"/>
    <w:rsid w:val="00424376"/>
    <w:rsid w:val="004259BC"/>
    <w:rsid w:val="00425AA9"/>
    <w:rsid w:val="00426250"/>
    <w:rsid w:val="00426A69"/>
    <w:rsid w:val="00426B77"/>
    <w:rsid w:val="00430F61"/>
    <w:rsid w:val="00431019"/>
    <w:rsid w:val="00432155"/>
    <w:rsid w:val="00433EC2"/>
    <w:rsid w:val="00434856"/>
    <w:rsid w:val="00434CD9"/>
    <w:rsid w:val="004352F7"/>
    <w:rsid w:val="0043554A"/>
    <w:rsid w:val="0043619D"/>
    <w:rsid w:val="004362D3"/>
    <w:rsid w:val="0043788C"/>
    <w:rsid w:val="00442A8B"/>
    <w:rsid w:val="00442D1E"/>
    <w:rsid w:val="00443016"/>
    <w:rsid w:val="00444344"/>
    <w:rsid w:val="00445945"/>
    <w:rsid w:val="00450691"/>
    <w:rsid w:val="00450D9C"/>
    <w:rsid w:val="00452140"/>
    <w:rsid w:val="00453BB3"/>
    <w:rsid w:val="004545A3"/>
    <w:rsid w:val="00454695"/>
    <w:rsid w:val="00454D95"/>
    <w:rsid w:val="004569B2"/>
    <w:rsid w:val="00457427"/>
    <w:rsid w:val="00457C1C"/>
    <w:rsid w:val="004619FE"/>
    <w:rsid w:val="00462679"/>
    <w:rsid w:val="00463574"/>
    <w:rsid w:val="00464762"/>
    <w:rsid w:val="004666F3"/>
    <w:rsid w:val="00467343"/>
    <w:rsid w:val="0046742A"/>
    <w:rsid w:val="0047031A"/>
    <w:rsid w:val="00471A6D"/>
    <w:rsid w:val="0047322E"/>
    <w:rsid w:val="004741BD"/>
    <w:rsid w:val="004757CE"/>
    <w:rsid w:val="00475FA3"/>
    <w:rsid w:val="00476F80"/>
    <w:rsid w:val="00480F68"/>
    <w:rsid w:val="00481C20"/>
    <w:rsid w:val="00483B86"/>
    <w:rsid w:val="00484AE1"/>
    <w:rsid w:val="00485293"/>
    <w:rsid w:val="00485E47"/>
    <w:rsid w:val="00490499"/>
    <w:rsid w:val="00497AB8"/>
    <w:rsid w:val="004A0C09"/>
    <w:rsid w:val="004A2EE3"/>
    <w:rsid w:val="004A4356"/>
    <w:rsid w:val="004A5EEF"/>
    <w:rsid w:val="004B0B1D"/>
    <w:rsid w:val="004B3711"/>
    <w:rsid w:val="004B3C41"/>
    <w:rsid w:val="004B4797"/>
    <w:rsid w:val="004B61CF"/>
    <w:rsid w:val="004B6792"/>
    <w:rsid w:val="004C0738"/>
    <w:rsid w:val="004C0D20"/>
    <w:rsid w:val="004C0FE6"/>
    <w:rsid w:val="004C20F1"/>
    <w:rsid w:val="004C212C"/>
    <w:rsid w:val="004C253C"/>
    <w:rsid w:val="004C2FC4"/>
    <w:rsid w:val="004C30C9"/>
    <w:rsid w:val="004D0B68"/>
    <w:rsid w:val="004D0F95"/>
    <w:rsid w:val="004D232B"/>
    <w:rsid w:val="004D3010"/>
    <w:rsid w:val="004D3527"/>
    <w:rsid w:val="004D3ABB"/>
    <w:rsid w:val="004D4A6B"/>
    <w:rsid w:val="004E1476"/>
    <w:rsid w:val="004E4946"/>
    <w:rsid w:val="004E5D38"/>
    <w:rsid w:val="004E603B"/>
    <w:rsid w:val="004E626B"/>
    <w:rsid w:val="004E6C7D"/>
    <w:rsid w:val="004F13BD"/>
    <w:rsid w:val="004F478F"/>
    <w:rsid w:val="004F7784"/>
    <w:rsid w:val="00501246"/>
    <w:rsid w:val="0050230D"/>
    <w:rsid w:val="0050364D"/>
    <w:rsid w:val="00503D17"/>
    <w:rsid w:val="00504D00"/>
    <w:rsid w:val="00504D6E"/>
    <w:rsid w:val="005116FB"/>
    <w:rsid w:val="0051173D"/>
    <w:rsid w:val="0051378F"/>
    <w:rsid w:val="00514390"/>
    <w:rsid w:val="00514B75"/>
    <w:rsid w:val="00515D44"/>
    <w:rsid w:val="00523C60"/>
    <w:rsid w:val="00526473"/>
    <w:rsid w:val="00527164"/>
    <w:rsid w:val="00531AFF"/>
    <w:rsid w:val="00532875"/>
    <w:rsid w:val="00534305"/>
    <w:rsid w:val="00535A41"/>
    <w:rsid w:val="0053691B"/>
    <w:rsid w:val="00537FF8"/>
    <w:rsid w:val="00542913"/>
    <w:rsid w:val="0054467E"/>
    <w:rsid w:val="005464E6"/>
    <w:rsid w:val="00546938"/>
    <w:rsid w:val="00547ACF"/>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049"/>
    <w:rsid w:val="00573FFE"/>
    <w:rsid w:val="00575FC3"/>
    <w:rsid w:val="0057625C"/>
    <w:rsid w:val="00576743"/>
    <w:rsid w:val="005771D5"/>
    <w:rsid w:val="0058066B"/>
    <w:rsid w:val="0058099B"/>
    <w:rsid w:val="00580B98"/>
    <w:rsid w:val="00581784"/>
    <w:rsid w:val="005836A3"/>
    <w:rsid w:val="00583CBA"/>
    <w:rsid w:val="00584453"/>
    <w:rsid w:val="0058713E"/>
    <w:rsid w:val="00591838"/>
    <w:rsid w:val="00592809"/>
    <w:rsid w:val="00593343"/>
    <w:rsid w:val="00594A83"/>
    <w:rsid w:val="005A0C78"/>
    <w:rsid w:val="005A1518"/>
    <w:rsid w:val="005A4807"/>
    <w:rsid w:val="005A5A80"/>
    <w:rsid w:val="005B0FC7"/>
    <w:rsid w:val="005B2674"/>
    <w:rsid w:val="005B297A"/>
    <w:rsid w:val="005B29EF"/>
    <w:rsid w:val="005B2DA5"/>
    <w:rsid w:val="005B476F"/>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6955"/>
    <w:rsid w:val="005F24C4"/>
    <w:rsid w:val="005F3196"/>
    <w:rsid w:val="005F32D1"/>
    <w:rsid w:val="005F3FC6"/>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1611E"/>
    <w:rsid w:val="006231D7"/>
    <w:rsid w:val="00624A71"/>
    <w:rsid w:val="00626031"/>
    <w:rsid w:val="00630C6C"/>
    <w:rsid w:val="00630ED2"/>
    <w:rsid w:val="00631935"/>
    <w:rsid w:val="006342EF"/>
    <w:rsid w:val="00636B91"/>
    <w:rsid w:val="006373FF"/>
    <w:rsid w:val="00637833"/>
    <w:rsid w:val="00641AC4"/>
    <w:rsid w:val="00645C88"/>
    <w:rsid w:val="00646A6F"/>
    <w:rsid w:val="0065132D"/>
    <w:rsid w:val="00653397"/>
    <w:rsid w:val="006535C3"/>
    <w:rsid w:val="006553CD"/>
    <w:rsid w:val="006559F5"/>
    <w:rsid w:val="0065752A"/>
    <w:rsid w:val="00661782"/>
    <w:rsid w:val="00662C11"/>
    <w:rsid w:val="006640AA"/>
    <w:rsid w:val="0066570F"/>
    <w:rsid w:val="00672822"/>
    <w:rsid w:val="006729D2"/>
    <w:rsid w:val="00673B07"/>
    <w:rsid w:val="00673BC6"/>
    <w:rsid w:val="00674F84"/>
    <w:rsid w:val="006775B3"/>
    <w:rsid w:val="00681434"/>
    <w:rsid w:val="006815C5"/>
    <w:rsid w:val="00684808"/>
    <w:rsid w:val="0068483E"/>
    <w:rsid w:val="00684B94"/>
    <w:rsid w:val="00687967"/>
    <w:rsid w:val="006900EA"/>
    <w:rsid w:val="00690F72"/>
    <w:rsid w:val="0069237F"/>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03EB"/>
    <w:rsid w:val="006E2082"/>
    <w:rsid w:val="006E3BE5"/>
    <w:rsid w:val="006E5D5B"/>
    <w:rsid w:val="006E67BA"/>
    <w:rsid w:val="006F2362"/>
    <w:rsid w:val="006F47EB"/>
    <w:rsid w:val="006F4B13"/>
    <w:rsid w:val="006F4DE9"/>
    <w:rsid w:val="006F61B5"/>
    <w:rsid w:val="006F681A"/>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172E6"/>
    <w:rsid w:val="00720C35"/>
    <w:rsid w:val="00720E7B"/>
    <w:rsid w:val="0072232C"/>
    <w:rsid w:val="007262F0"/>
    <w:rsid w:val="00726398"/>
    <w:rsid w:val="00727BE9"/>
    <w:rsid w:val="007314F1"/>
    <w:rsid w:val="00731BE9"/>
    <w:rsid w:val="00731DFA"/>
    <w:rsid w:val="00731E2B"/>
    <w:rsid w:val="00733C32"/>
    <w:rsid w:val="007366D2"/>
    <w:rsid w:val="007420D7"/>
    <w:rsid w:val="0074545C"/>
    <w:rsid w:val="00745C4D"/>
    <w:rsid w:val="0074742D"/>
    <w:rsid w:val="00752DBC"/>
    <w:rsid w:val="00753FF4"/>
    <w:rsid w:val="0075411D"/>
    <w:rsid w:val="0075462B"/>
    <w:rsid w:val="00755531"/>
    <w:rsid w:val="00755CB1"/>
    <w:rsid w:val="00756116"/>
    <w:rsid w:val="00756F8A"/>
    <w:rsid w:val="00757367"/>
    <w:rsid w:val="007601AF"/>
    <w:rsid w:val="00760295"/>
    <w:rsid w:val="007603B4"/>
    <w:rsid w:val="00760998"/>
    <w:rsid w:val="00760B97"/>
    <w:rsid w:val="00762675"/>
    <w:rsid w:val="00762FC8"/>
    <w:rsid w:val="00765825"/>
    <w:rsid w:val="007700D3"/>
    <w:rsid w:val="00770970"/>
    <w:rsid w:val="0077131C"/>
    <w:rsid w:val="0077138B"/>
    <w:rsid w:val="00774B70"/>
    <w:rsid w:val="0077534E"/>
    <w:rsid w:val="00777098"/>
    <w:rsid w:val="00777133"/>
    <w:rsid w:val="0077733C"/>
    <w:rsid w:val="0078045E"/>
    <w:rsid w:val="00780B70"/>
    <w:rsid w:val="00782502"/>
    <w:rsid w:val="007827A4"/>
    <w:rsid w:val="00782847"/>
    <w:rsid w:val="00783777"/>
    <w:rsid w:val="00783D20"/>
    <w:rsid w:val="00785232"/>
    <w:rsid w:val="0078549A"/>
    <w:rsid w:val="007862D0"/>
    <w:rsid w:val="00791D8D"/>
    <w:rsid w:val="0079247D"/>
    <w:rsid w:val="00792559"/>
    <w:rsid w:val="00794E33"/>
    <w:rsid w:val="00794F2D"/>
    <w:rsid w:val="007954D3"/>
    <w:rsid w:val="00796159"/>
    <w:rsid w:val="00797AAD"/>
    <w:rsid w:val="007A2F02"/>
    <w:rsid w:val="007A5127"/>
    <w:rsid w:val="007A5C51"/>
    <w:rsid w:val="007B25FF"/>
    <w:rsid w:val="007B2A03"/>
    <w:rsid w:val="007B41D7"/>
    <w:rsid w:val="007B671D"/>
    <w:rsid w:val="007B70B5"/>
    <w:rsid w:val="007C0DB7"/>
    <w:rsid w:val="007C1585"/>
    <w:rsid w:val="007C1A7D"/>
    <w:rsid w:val="007C1F6C"/>
    <w:rsid w:val="007C4094"/>
    <w:rsid w:val="007C415F"/>
    <w:rsid w:val="007C45C5"/>
    <w:rsid w:val="007C5945"/>
    <w:rsid w:val="007C608D"/>
    <w:rsid w:val="007D1EA6"/>
    <w:rsid w:val="007D29EC"/>
    <w:rsid w:val="007D4E04"/>
    <w:rsid w:val="007D50AE"/>
    <w:rsid w:val="007D516C"/>
    <w:rsid w:val="007E1EA6"/>
    <w:rsid w:val="007E2FDE"/>
    <w:rsid w:val="007E4C1F"/>
    <w:rsid w:val="007E50CC"/>
    <w:rsid w:val="007E6491"/>
    <w:rsid w:val="007E6851"/>
    <w:rsid w:val="007E6943"/>
    <w:rsid w:val="007E6E32"/>
    <w:rsid w:val="007F0204"/>
    <w:rsid w:val="007F11B0"/>
    <w:rsid w:val="007F3879"/>
    <w:rsid w:val="007F5C3C"/>
    <w:rsid w:val="007F5C58"/>
    <w:rsid w:val="007F6449"/>
    <w:rsid w:val="007F6674"/>
    <w:rsid w:val="0080630B"/>
    <w:rsid w:val="00806AB5"/>
    <w:rsid w:val="00807142"/>
    <w:rsid w:val="008074E3"/>
    <w:rsid w:val="00807802"/>
    <w:rsid w:val="0080799C"/>
    <w:rsid w:val="00810C18"/>
    <w:rsid w:val="008139A1"/>
    <w:rsid w:val="00814421"/>
    <w:rsid w:val="00814AFC"/>
    <w:rsid w:val="00814B22"/>
    <w:rsid w:val="00822862"/>
    <w:rsid w:val="0082350A"/>
    <w:rsid w:val="008235D3"/>
    <w:rsid w:val="00823765"/>
    <w:rsid w:val="0082597B"/>
    <w:rsid w:val="00831A5D"/>
    <w:rsid w:val="00831DB4"/>
    <w:rsid w:val="00832D85"/>
    <w:rsid w:val="008356E8"/>
    <w:rsid w:val="008365EC"/>
    <w:rsid w:val="00837390"/>
    <w:rsid w:val="00840A7F"/>
    <w:rsid w:val="00840A8F"/>
    <w:rsid w:val="00844176"/>
    <w:rsid w:val="00844A32"/>
    <w:rsid w:val="00846A9D"/>
    <w:rsid w:val="008503CA"/>
    <w:rsid w:val="008513A9"/>
    <w:rsid w:val="00852BA6"/>
    <w:rsid w:val="0085308E"/>
    <w:rsid w:val="0085318D"/>
    <w:rsid w:val="008540A7"/>
    <w:rsid w:val="008565FB"/>
    <w:rsid w:val="00857188"/>
    <w:rsid w:val="008577FA"/>
    <w:rsid w:val="00862580"/>
    <w:rsid w:val="00862834"/>
    <w:rsid w:val="00862C0C"/>
    <w:rsid w:val="00870E97"/>
    <w:rsid w:val="00871516"/>
    <w:rsid w:val="00871540"/>
    <w:rsid w:val="00871E2F"/>
    <w:rsid w:val="00876284"/>
    <w:rsid w:val="008764DD"/>
    <w:rsid w:val="00877499"/>
    <w:rsid w:val="00877FE5"/>
    <w:rsid w:val="008814E9"/>
    <w:rsid w:val="00883C37"/>
    <w:rsid w:val="008841EB"/>
    <w:rsid w:val="008854B0"/>
    <w:rsid w:val="0088688D"/>
    <w:rsid w:val="008910B2"/>
    <w:rsid w:val="00891622"/>
    <w:rsid w:val="00891C00"/>
    <w:rsid w:val="008921BE"/>
    <w:rsid w:val="00895E41"/>
    <w:rsid w:val="0089734D"/>
    <w:rsid w:val="008A0A32"/>
    <w:rsid w:val="008A1056"/>
    <w:rsid w:val="008A2376"/>
    <w:rsid w:val="008A50CB"/>
    <w:rsid w:val="008A7CC5"/>
    <w:rsid w:val="008B0720"/>
    <w:rsid w:val="008B1C5A"/>
    <w:rsid w:val="008B1CC3"/>
    <w:rsid w:val="008B206C"/>
    <w:rsid w:val="008B34AA"/>
    <w:rsid w:val="008B4335"/>
    <w:rsid w:val="008B5413"/>
    <w:rsid w:val="008B56DF"/>
    <w:rsid w:val="008B5B2C"/>
    <w:rsid w:val="008B5EFB"/>
    <w:rsid w:val="008B69DC"/>
    <w:rsid w:val="008C01BC"/>
    <w:rsid w:val="008C1990"/>
    <w:rsid w:val="008C4728"/>
    <w:rsid w:val="008C7959"/>
    <w:rsid w:val="008C7CA6"/>
    <w:rsid w:val="008D3653"/>
    <w:rsid w:val="008D4F09"/>
    <w:rsid w:val="008D539E"/>
    <w:rsid w:val="008D65D5"/>
    <w:rsid w:val="008D75EB"/>
    <w:rsid w:val="008D7F23"/>
    <w:rsid w:val="008E12FB"/>
    <w:rsid w:val="008E1F57"/>
    <w:rsid w:val="008E5D85"/>
    <w:rsid w:val="008E71BC"/>
    <w:rsid w:val="008E751B"/>
    <w:rsid w:val="008F2FCB"/>
    <w:rsid w:val="008F40FA"/>
    <w:rsid w:val="008F5CF9"/>
    <w:rsid w:val="00900C33"/>
    <w:rsid w:val="0090193D"/>
    <w:rsid w:val="009034C7"/>
    <w:rsid w:val="00904815"/>
    <w:rsid w:val="00906ABE"/>
    <w:rsid w:val="00907D1C"/>
    <w:rsid w:val="00907DD7"/>
    <w:rsid w:val="00910056"/>
    <w:rsid w:val="00910252"/>
    <w:rsid w:val="00910BBC"/>
    <w:rsid w:val="0091182D"/>
    <w:rsid w:val="00911DA2"/>
    <w:rsid w:val="009120EC"/>
    <w:rsid w:val="00915081"/>
    <w:rsid w:val="009165D6"/>
    <w:rsid w:val="00917D6F"/>
    <w:rsid w:val="00921504"/>
    <w:rsid w:val="00921E12"/>
    <w:rsid w:val="00922352"/>
    <w:rsid w:val="0092710C"/>
    <w:rsid w:val="0093112B"/>
    <w:rsid w:val="0093298F"/>
    <w:rsid w:val="009354F2"/>
    <w:rsid w:val="009370A3"/>
    <w:rsid w:val="00937BB0"/>
    <w:rsid w:val="0094022B"/>
    <w:rsid w:val="00941E05"/>
    <w:rsid w:val="00942D63"/>
    <w:rsid w:val="0094437B"/>
    <w:rsid w:val="009455DB"/>
    <w:rsid w:val="00945DB2"/>
    <w:rsid w:val="009511D6"/>
    <w:rsid w:val="00951ED7"/>
    <w:rsid w:val="0095349E"/>
    <w:rsid w:val="00954428"/>
    <w:rsid w:val="00954541"/>
    <w:rsid w:val="00954C0F"/>
    <w:rsid w:val="009550A3"/>
    <w:rsid w:val="00956218"/>
    <w:rsid w:val="00956C4B"/>
    <w:rsid w:val="00957E64"/>
    <w:rsid w:val="00961605"/>
    <w:rsid w:val="009620C5"/>
    <w:rsid w:val="00963C88"/>
    <w:rsid w:val="00965995"/>
    <w:rsid w:val="00966814"/>
    <w:rsid w:val="00970D58"/>
    <w:rsid w:val="00973167"/>
    <w:rsid w:val="00980174"/>
    <w:rsid w:val="00981A42"/>
    <w:rsid w:val="00984822"/>
    <w:rsid w:val="00985A6C"/>
    <w:rsid w:val="009921E3"/>
    <w:rsid w:val="0099282E"/>
    <w:rsid w:val="00992E0E"/>
    <w:rsid w:val="00993596"/>
    <w:rsid w:val="009A00EB"/>
    <w:rsid w:val="009A6766"/>
    <w:rsid w:val="009A692C"/>
    <w:rsid w:val="009A7E10"/>
    <w:rsid w:val="009B1CEB"/>
    <w:rsid w:val="009B2576"/>
    <w:rsid w:val="009B3508"/>
    <w:rsid w:val="009B3AE3"/>
    <w:rsid w:val="009B430C"/>
    <w:rsid w:val="009B43EB"/>
    <w:rsid w:val="009B584C"/>
    <w:rsid w:val="009B6613"/>
    <w:rsid w:val="009B6674"/>
    <w:rsid w:val="009B7000"/>
    <w:rsid w:val="009B75D4"/>
    <w:rsid w:val="009B7A15"/>
    <w:rsid w:val="009C0178"/>
    <w:rsid w:val="009C030C"/>
    <w:rsid w:val="009C061A"/>
    <w:rsid w:val="009C108E"/>
    <w:rsid w:val="009C1FE8"/>
    <w:rsid w:val="009C228A"/>
    <w:rsid w:val="009C282F"/>
    <w:rsid w:val="009C2E2D"/>
    <w:rsid w:val="009C3257"/>
    <w:rsid w:val="009C5640"/>
    <w:rsid w:val="009C7F6E"/>
    <w:rsid w:val="009D0A96"/>
    <w:rsid w:val="009D1051"/>
    <w:rsid w:val="009D2037"/>
    <w:rsid w:val="009D3F87"/>
    <w:rsid w:val="009D43B2"/>
    <w:rsid w:val="009E03F3"/>
    <w:rsid w:val="009E2629"/>
    <w:rsid w:val="009E29C1"/>
    <w:rsid w:val="009E3364"/>
    <w:rsid w:val="009E5C84"/>
    <w:rsid w:val="009F0FC9"/>
    <w:rsid w:val="009F1A7E"/>
    <w:rsid w:val="009F5156"/>
    <w:rsid w:val="00A03E32"/>
    <w:rsid w:val="00A075B0"/>
    <w:rsid w:val="00A11259"/>
    <w:rsid w:val="00A11710"/>
    <w:rsid w:val="00A12B76"/>
    <w:rsid w:val="00A13FC8"/>
    <w:rsid w:val="00A14369"/>
    <w:rsid w:val="00A154D5"/>
    <w:rsid w:val="00A16CCF"/>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537A"/>
    <w:rsid w:val="00A37CD5"/>
    <w:rsid w:val="00A40FC4"/>
    <w:rsid w:val="00A41FB2"/>
    <w:rsid w:val="00A43105"/>
    <w:rsid w:val="00A43A02"/>
    <w:rsid w:val="00A468F1"/>
    <w:rsid w:val="00A471D7"/>
    <w:rsid w:val="00A50812"/>
    <w:rsid w:val="00A541ED"/>
    <w:rsid w:val="00A5551D"/>
    <w:rsid w:val="00A562DC"/>
    <w:rsid w:val="00A56E9B"/>
    <w:rsid w:val="00A56F27"/>
    <w:rsid w:val="00A57518"/>
    <w:rsid w:val="00A60C80"/>
    <w:rsid w:val="00A62D53"/>
    <w:rsid w:val="00A656FE"/>
    <w:rsid w:val="00A658C7"/>
    <w:rsid w:val="00A66DC5"/>
    <w:rsid w:val="00A66F1F"/>
    <w:rsid w:val="00A71824"/>
    <w:rsid w:val="00A718EE"/>
    <w:rsid w:val="00A73448"/>
    <w:rsid w:val="00A74203"/>
    <w:rsid w:val="00A76C0A"/>
    <w:rsid w:val="00A82313"/>
    <w:rsid w:val="00A86F1C"/>
    <w:rsid w:val="00A87100"/>
    <w:rsid w:val="00A9174A"/>
    <w:rsid w:val="00A92A07"/>
    <w:rsid w:val="00A93054"/>
    <w:rsid w:val="00A94B68"/>
    <w:rsid w:val="00A969CC"/>
    <w:rsid w:val="00A96C8D"/>
    <w:rsid w:val="00A9708B"/>
    <w:rsid w:val="00AA34A6"/>
    <w:rsid w:val="00AA3A72"/>
    <w:rsid w:val="00AA45BA"/>
    <w:rsid w:val="00AA6E88"/>
    <w:rsid w:val="00AA71C4"/>
    <w:rsid w:val="00AB3EB4"/>
    <w:rsid w:val="00AB4677"/>
    <w:rsid w:val="00AB6AE8"/>
    <w:rsid w:val="00AB7C59"/>
    <w:rsid w:val="00AC105D"/>
    <w:rsid w:val="00AC16D2"/>
    <w:rsid w:val="00AC24BD"/>
    <w:rsid w:val="00AC5779"/>
    <w:rsid w:val="00AC6178"/>
    <w:rsid w:val="00AD3D79"/>
    <w:rsid w:val="00AD48AA"/>
    <w:rsid w:val="00AD5B91"/>
    <w:rsid w:val="00AD5C75"/>
    <w:rsid w:val="00AD6AEF"/>
    <w:rsid w:val="00AD7677"/>
    <w:rsid w:val="00AE0055"/>
    <w:rsid w:val="00AE091D"/>
    <w:rsid w:val="00AE3B88"/>
    <w:rsid w:val="00AE4C8F"/>
    <w:rsid w:val="00AE5675"/>
    <w:rsid w:val="00AE57EC"/>
    <w:rsid w:val="00AE64F9"/>
    <w:rsid w:val="00AF1C04"/>
    <w:rsid w:val="00AF21BE"/>
    <w:rsid w:val="00AF2547"/>
    <w:rsid w:val="00AF254A"/>
    <w:rsid w:val="00AF36C9"/>
    <w:rsid w:val="00AF5DF5"/>
    <w:rsid w:val="00AF755E"/>
    <w:rsid w:val="00B0174E"/>
    <w:rsid w:val="00B02EDD"/>
    <w:rsid w:val="00B039A0"/>
    <w:rsid w:val="00B043DE"/>
    <w:rsid w:val="00B04603"/>
    <w:rsid w:val="00B0569D"/>
    <w:rsid w:val="00B1092B"/>
    <w:rsid w:val="00B10B94"/>
    <w:rsid w:val="00B111A5"/>
    <w:rsid w:val="00B117F2"/>
    <w:rsid w:val="00B13379"/>
    <w:rsid w:val="00B13C6F"/>
    <w:rsid w:val="00B14D75"/>
    <w:rsid w:val="00B15DBA"/>
    <w:rsid w:val="00B16A95"/>
    <w:rsid w:val="00B2297A"/>
    <w:rsid w:val="00B230F6"/>
    <w:rsid w:val="00B26202"/>
    <w:rsid w:val="00B300C7"/>
    <w:rsid w:val="00B30CFE"/>
    <w:rsid w:val="00B31DDF"/>
    <w:rsid w:val="00B32793"/>
    <w:rsid w:val="00B33D89"/>
    <w:rsid w:val="00B34F7D"/>
    <w:rsid w:val="00B355D9"/>
    <w:rsid w:val="00B404B6"/>
    <w:rsid w:val="00B408C5"/>
    <w:rsid w:val="00B414FF"/>
    <w:rsid w:val="00B4164D"/>
    <w:rsid w:val="00B450C4"/>
    <w:rsid w:val="00B457C4"/>
    <w:rsid w:val="00B462F7"/>
    <w:rsid w:val="00B4697F"/>
    <w:rsid w:val="00B46A16"/>
    <w:rsid w:val="00B47747"/>
    <w:rsid w:val="00B47E34"/>
    <w:rsid w:val="00B50D88"/>
    <w:rsid w:val="00B51099"/>
    <w:rsid w:val="00B51427"/>
    <w:rsid w:val="00B5564B"/>
    <w:rsid w:val="00B55A30"/>
    <w:rsid w:val="00B56674"/>
    <w:rsid w:val="00B56A48"/>
    <w:rsid w:val="00B56B47"/>
    <w:rsid w:val="00B618A9"/>
    <w:rsid w:val="00B621AF"/>
    <w:rsid w:val="00B63C0B"/>
    <w:rsid w:val="00B652FE"/>
    <w:rsid w:val="00B65A0A"/>
    <w:rsid w:val="00B65CF6"/>
    <w:rsid w:val="00B700CC"/>
    <w:rsid w:val="00B72365"/>
    <w:rsid w:val="00B74B38"/>
    <w:rsid w:val="00B759C4"/>
    <w:rsid w:val="00B762A0"/>
    <w:rsid w:val="00B77E56"/>
    <w:rsid w:val="00B80371"/>
    <w:rsid w:val="00B8269F"/>
    <w:rsid w:val="00B82BA7"/>
    <w:rsid w:val="00B837AE"/>
    <w:rsid w:val="00B83EED"/>
    <w:rsid w:val="00B85597"/>
    <w:rsid w:val="00B85A89"/>
    <w:rsid w:val="00B868AD"/>
    <w:rsid w:val="00B86DD0"/>
    <w:rsid w:val="00B91B04"/>
    <w:rsid w:val="00B9742D"/>
    <w:rsid w:val="00BA131A"/>
    <w:rsid w:val="00BA2274"/>
    <w:rsid w:val="00BA31BC"/>
    <w:rsid w:val="00BA388D"/>
    <w:rsid w:val="00BA5070"/>
    <w:rsid w:val="00BB0042"/>
    <w:rsid w:val="00BB0BAA"/>
    <w:rsid w:val="00BB1455"/>
    <w:rsid w:val="00BB1EA2"/>
    <w:rsid w:val="00BB480B"/>
    <w:rsid w:val="00BB4E62"/>
    <w:rsid w:val="00BB55EA"/>
    <w:rsid w:val="00BB6326"/>
    <w:rsid w:val="00BB7389"/>
    <w:rsid w:val="00BB7D03"/>
    <w:rsid w:val="00BC31E7"/>
    <w:rsid w:val="00BC37E0"/>
    <w:rsid w:val="00BC38A7"/>
    <w:rsid w:val="00BC608E"/>
    <w:rsid w:val="00BC69DC"/>
    <w:rsid w:val="00BC6CA5"/>
    <w:rsid w:val="00BC7045"/>
    <w:rsid w:val="00BD07F2"/>
    <w:rsid w:val="00BD1C32"/>
    <w:rsid w:val="00BD20AE"/>
    <w:rsid w:val="00BD746F"/>
    <w:rsid w:val="00BD7AE1"/>
    <w:rsid w:val="00BE0E6C"/>
    <w:rsid w:val="00BE15E4"/>
    <w:rsid w:val="00BE6127"/>
    <w:rsid w:val="00BE786E"/>
    <w:rsid w:val="00BF13E6"/>
    <w:rsid w:val="00BF15B9"/>
    <w:rsid w:val="00BF2AA4"/>
    <w:rsid w:val="00BF742F"/>
    <w:rsid w:val="00BF7BD9"/>
    <w:rsid w:val="00BF7D60"/>
    <w:rsid w:val="00C017FE"/>
    <w:rsid w:val="00C03273"/>
    <w:rsid w:val="00C0447C"/>
    <w:rsid w:val="00C04CAF"/>
    <w:rsid w:val="00C050AF"/>
    <w:rsid w:val="00C054A9"/>
    <w:rsid w:val="00C05EF2"/>
    <w:rsid w:val="00C0600E"/>
    <w:rsid w:val="00C063A2"/>
    <w:rsid w:val="00C07585"/>
    <w:rsid w:val="00C11685"/>
    <w:rsid w:val="00C1189F"/>
    <w:rsid w:val="00C11F32"/>
    <w:rsid w:val="00C12263"/>
    <w:rsid w:val="00C12CF8"/>
    <w:rsid w:val="00C136CD"/>
    <w:rsid w:val="00C13D67"/>
    <w:rsid w:val="00C14903"/>
    <w:rsid w:val="00C151DF"/>
    <w:rsid w:val="00C1563D"/>
    <w:rsid w:val="00C15EB7"/>
    <w:rsid w:val="00C1626D"/>
    <w:rsid w:val="00C17A3E"/>
    <w:rsid w:val="00C212B4"/>
    <w:rsid w:val="00C2172F"/>
    <w:rsid w:val="00C21746"/>
    <w:rsid w:val="00C220E6"/>
    <w:rsid w:val="00C23427"/>
    <w:rsid w:val="00C23F73"/>
    <w:rsid w:val="00C25016"/>
    <w:rsid w:val="00C2517F"/>
    <w:rsid w:val="00C26333"/>
    <w:rsid w:val="00C264E6"/>
    <w:rsid w:val="00C26E37"/>
    <w:rsid w:val="00C271E6"/>
    <w:rsid w:val="00C27354"/>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0883"/>
    <w:rsid w:val="00C62D9D"/>
    <w:rsid w:val="00C6333E"/>
    <w:rsid w:val="00C633A8"/>
    <w:rsid w:val="00C64DE5"/>
    <w:rsid w:val="00C65AAE"/>
    <w:rsid w:val="00C66A4D"/>
    <w:rsid w:val="00C67534"/>
    <w:rsid w:val="00C712C4"/>
    <w:rsid w:val="00C7141D"/>
    <w:rsid w:val="00C72945"/>
    <w:rsid w:val="00C74D5C"/>
    <w:rsid w:val="00C75E3A"/>
    <w:rsid w:val="00C76077"/>
    <w:rsid w:val="00C77378"/>
    <w:rsid w:val="00C77C68"/>
    <w:rsid w:val="00C82E0E"/>
    <w:rsid w:val="00C85115"/>
    <w:rsid w:val="00C86896"/>
    <w:rsid w:val="00C86AE5"/>
    <w:rsid w:val="00C921F5"/>
    <w:rsid w:val="00C933DE"/>
    <w:rsid w:val="00C95D2F"/>
    <w:rsid w:val="00CA082C"/>
    <w:rsid w:val="00CA0BCB"/>
    <w:rsid w:val="00CA130E"/>
    <w:rsid w:val="00CA373F"/>
    <w:rsid w:val="00CB237D"/>
    <w:rsid w:val="00CB2A80"/>
    <w:rsid w:val="00CB2F00"/>
    <w:rsid w:val="00CB48BB"/>
    <w:rsid w:val="00CB5A26"/>
    <w:rsid w:val="00CB6AC4"/>
    <w:rsid w:val="00CC10D3"/>
    <w:rsid w:val="00CC2DAC"/>
    <w:rsid w:val="00CC4858"/>
    <w:rsid w:val="00CC6970"/>
    <w:rsid w:val="00CD00B0"/>
    <w:rsid w:val="00CD1C12"/>
    <w:rsid w:val="00CD1D66"/>
    <w:rsid w:val="00CD1F7F"/>
    <w:rsid w:val="00CD21F4"/>
    <w:rsid w:val="00CD2774"/>
    <w:rsid w:val="00CD433A"/>
    <w:rsid w:val="00CD57A7"/>
    <w:rsid w:val="00CD5FCA"/>
    <w:rsid w:val="00CD7CCA"/>
    <w:rsid w:val="00CE0AC5"/>
    <w:rsid w:val="00CE1DD6"/>
    <w:rsid w:val="00CE261F"/>
    <w:rsid w:val="00CE35E1"/>
    <w:rsid w:val="00CE5541"/>
    <w:rsid w:val="00CE5C53"/>
    <w:rsid w:val="00CF0573"/>
    <w:rsid w:val="00CF4607"/>
    <w:rsid w:val="00CF6767"/>
    <w:rsid w:val="00CF747C"/>
    <w:rsid w:val="00D00576"/>
    <w:rsid w:val="00D0207F"/>
    <w:rsid w:val="00D02CD4"/>
    <w:rsid w:val="00D04299"/>
    <w:rsid w:val="00D0506F"/>
    <w:rsid w:val="00D05A7A"/>
    <w:rsid w:val="00D06C14"/>
    <w:rsid w:val="00D06F0E"/>
    <w:rsid w:val="00D07B78"/>
    <w:rsid w:val="00D12B80"/>
    <w:rsid w:val="00D13BD0"/>
    <w:rsid w:val="00D13D6F"/>
    <w:rsid w:val="00D165F4"/>
    <w:rsid w:val="00D1668E"/>
    <w:rsid w:val="00D167C5"/>
    <w:rsid w:val="00D16C33"/>
    <w:rsid w:val="00D177EA"/>
    <w:rsid w:val="00D20CC5"/>
    <w:rsid w:val="00D217AC"/>
    <w:rsid w:val="00D23B02"/>
    <w:rsid w:val="00D27E4D"/>
    <w:rsid w:val="00D30BE4"/>
    <w:rsid w:val="00D31BE1"/>
    <w:rsid w:val="00D35B96"/>
    <w:rsid w:val="00D35CE6"/>
    <w:rsid w:val="00D37973"/>
    <w:rsid w:val="00D40EAC"/>
    <w:rsid w:val="00D41F46"/>
    <w:rsid w:val="00D4222D"/>
    <w:rsid w:val="00D42754"/>
    <w:rsid w:val="00D455A4"/>
    <w:rsid w:val="00D47946"/>
    <w:rsid w:val="00D51DD0"/>
    <w:rsid w:val="00D5265D"/>
    <w:rsid w:val="00D60415"/>
    <w:rsid w:val="00D62E09"/>
    <w:rsid w:val="00D64101"/>
    <w:rsid w:val="00D64FFD"/>
    <w:rsid w:val="00D671F5"/>
    <w:rsid w:val="00D67CE9"/>
    <w:rsid w:val="00D67F89"/>
    <w:rsid w:val="00D70AAA"/>
    <w:rsid w:val="00D7105E"/>
    <w:rsid w:val="00D710DA"/>
    <w:rsid w:val="00D71684"/>
    <w:rsid w:val="00D72D32"/>
    <w:rsid w:val="00D7671C"/>
    <w:rsid w:val="00D767E6"/>
    <w:rsid w:val="00D76D7C"/>
    <w:rsid w:val="00D77835"/>
    <w:rsid w:val="00D77A0C"/>
    <w:rsid w:val="00D8131B"/>
    <w:rsid w:val="00D81D94"/>
    <w:rsid w:val="00D8420C"/>
    <w:rsid w:val="00D84DE0"/>
    <w:rsid w:val="00D852A4"/>
    <w:rsid w:val="00D85764"/>
    <w:rsid w:val="00D863D0"/>
    <w:rsid w:val="00D90CAE"/>
    <w:rsid w:val="00D96FBA"/>
    <w:rsid w:val="00D97622"/>
    <w:rsid w:val="00DA1B53"/>
    <w:rsid w:val="00DA1FCE"/>
    <w:rsid w:val="00DA239C"/>
    <w:rsid w:val="00DA3088"/>
    <w:rsid w:val="00DA433D"/>
    <w:rsid w:val="00DA58AF"/>
    <w:rsid w:val="00DA7141"/>
    <w:rsid w:val="00DA744D"/>
    <w:rsid w:val="00DB1E78"/>
    <w:rsid w:val="00DB3228"/>
    <w:rsid w:val="00DB3721"/>
    <w:rsid w:val="00DB3D04"/>
    <w:rsid w:val="00DB57B4"/>
    <w:rsid w:val="00DC07AE"/>
    <w:rsid w:val="00DC10A1"/>
    <w:rsid w:val="00DC15CB"/>
    <w:rsid w:val="00DC1AC5"/>
    <w:rsid w:val="00DC3534"/>
    <w:rsid w:val="00DC499A"/>
    <w:rsid w:val="00DC64F8"/>
    <w:rsid w:val="00DC72F1"/>
    <w:rsid w:val="00DD00BE"/>
    <w:rsid w:val="00DD02D4"/>
    <w:rsid w:val="00DD0953"/>
    <w:rsid w:val="00DD0F2E"/>
    <w:rsid w:val="00DD1CB9"/>
    <w:rsid w:val="00DD1F77"/>
    <w:rsid w:val="00DD226B"/>
    <w:rsid w:val="00DD23E0"/>
    <w:rsid w:val="00DD2637"/>
    <w:rsid w:val="00DD2F35"/>
    <w:rsid w:val="00DD696D"/>
    <w:rsid w:val="00DD7872"/>
    <w:rsid w:val="00DE0896"/>
    <w:rsid w:val="00DE0AD5"/>
    <w:rsid w:val="00DE592E"/>
    <w:rsid w:val="00DE7E62"/>
    <w:rsid w:val="00DF1C2B"/>
    <w:rsid w:val="00DF2F6B"/>
    <w:rsid w:val="00DF3993"/>
    <w:rsid w:val="00DF4EB1"/>
    <w:rsid w:val="00DF6E16"/>
    <w:rsid w:val="00E00218"/>
    <w:rsid w:val="00E018E1"/>
    <w:rsid w:val="00E0333C"/>
    <w:rsid w:val="00E0484E"/>
    <w:rsid w:val="00E07AC4"/>
    <w:rsid w:val="00E10305"/>
    <w:rsid w:val="00E105CB"/>
    <w:rsid w:val="00E1062C"/>
    <w:rsid w:val="00E1136D"/>
    <w:rsid w:val="00E116BA"/>
    <w:rsid w:val="00E11D27"/>
    <w:rsid w:val="00E11D29"/>
    <w:rsid w:val="00E140A6"/>
    <w:rsid w:val="00E15447"/>
    <w:rsid w:val="00E15B7B"/>
    <w:rsid w:val="00E20773"/>
    <w:rsid w:val="00E2107F"/>
    <w:rsid w:val="00E23059"/>
    <w:rsid w:val="00E231E0"/>
    <w:rsid w:val="00E231F4"/>
    <w:rsid w:val="00E27939"/>
    <w:rsid w:val="00E30352"/>
    <w:rsid w:val="00E30940"/>
    <w:rsid w:val="00E32516"/>
    <w:rsid w:val="00E33146"/>
    <w:rsid w:val="00E3666E"/>
    <w:rsid w:val="00E374D1"/>
    <w:rsid w:val="00E37F50"/>
    <w:rsid w:val="00E40942"/>
    <w:rsid w:val="00E50D80"/>
    <w:rsid w:val="00E50E6F"/>
    <w:rsid w:val="00E51035"/>
    <w:rsid w:val="00E53438"/>
    <w:rsid w:val="00E539B3"/>
    <w:rsid w:val="00E55EC8"/>
    <w:rsid w:val="00E56469"/>
    <w:rsid w:val="00E56D02"/>
    <w:rsid w:val="00E57209"/>
    <w:rsid w:val="00E5727D"/>
    <w:rsid w:val="00E57FAB"/>
    <w:rsid w:val="00E66893"/>
    <w:rsid w:val="00E670D3"/>
    <w:rsid w:val="00E713A7"/>
    <w:rsid w:val="00E72404"/>
    <w:rsid w:val="00E73990"/>
    <w:rsid w:val="00E74A15"/>
    <w:rsid w:val="00E7567F"/>
    <w:rsid w:val="00E81F3E"/>
    <w:rsid w:val="00E85807"/>
    <w:rsid w:val="00E86211"/>
    <w:rsid w:val="00E86ACB"/>
    <w:rsid w:val="00E900E0"/>
    <w:rsid w:val="00E90628"/>
    <w:rsid w:val="00E90D4F"/>
    <w:rsid w:val="00E9122B"/>
    <w:rsid w:val="00E93CFE"/>
    <w:rsid w:val="00E953B9"/>
    <w:rsid w:val="00EA0D43"/>
    <w:rsid w:val="00EA0EBB"/>
    <w:rsid w:val="00EA1619"/>
    <w:rsid w:val="00EA49CE"/>
    <w:rsid w:val="00EA4CBA"/>
    <w:rsid w:val="00EA6CD3"/>
    <w:rsid w:val="00EA7EDF"/>
    <w:rsid w:val="00EB184B"/>
    <w:rsid w:val="00EB27FB"/>
    <w:rsid w:val="00EB4B7B"/>
    <w:rsid w:val="00EC03E6"/>
    <w:rsid w:val="00EC218F"/>
    <w:rsid w:val="00EC5935"/>
    <w:rsid w:val="00ED053C"/>
    <w:rsid w:val="00ED0911"/>
    <w:rsid w:val="00ED0A46"/>
    <w:rsid w:val="00ED18C9"/>
    <w:rsid w:val="00ED2979"/>
    <w:rsid w:val="00ED377A"/>
    <w:rsid w:val="00ED39FF"/>
    <w:rsid w:val="00ED4255"/>
    <w:rsid w:val="00ED5CF7"/>
    <w:rsid w:val="00ED603E"/>
    <w:rsid w:val="00EE44FE"/>
    <w:rsid w:val="00EE4A54"/>
    <w:rsid w:val="00EE4C51"/>
    <w:rsid w:val="00EE61BD"/>
    <w:rsid w:val="00EE7BA0"/>
    <w:rsid w:val="00EF17FD"/>
    <w:rsid w:val="00EF2696"/>
    <w:rsid w:val="00EF55B6"/>
    <w:rsid w:val="00F00E88"/>
    <w:rsid w:val="00F01691"/>
    <w:rsid w:val="00F019FA"/>
    <w:rsid w:val="00F02EB7"/>
    <w:rsid w:val="00F03FAA"/>
    <w:rsid w:val="00F0662E"/>
    <w:rsid w:val="00F066C5"/>
    <w:rsid w:val="00F06F21"/>
    <w:rsid w:val="00F12B39"/>
    <w:rsid w:val="00F1504D"/>
    <w:rsid w:val="00F15773"/>
    <w:rsid w:val="00F1588A"/>
    <w:rsid w:val="00F205D5"/>
    <w:rsid w:val="00F23C9C"/>
    <w:rsid w:val="00F25C34"/>
    <w:rsid w:val="00F2652E"/>
    <w:rsid w:val="00F27363"/>
    <w:rsid w:val="00F2791C"/>
    <w:rsid w:val="00F30608"/>
    <w:rsid w:val="00F30A0A"/>
    <w:rsid w:val="00F32129"/>
    <w:rsid w:val="00F32822"/>
    <w:rsid w:val="00F32ADC"/>
    <w:rsid w:val="00F3414C"/>
    <w:rsid w:val="00F352DD"/>
    <w:rsid w:val="00F35567"/>
    <w:rsid w:val="00F359D0"/>
    <w:rsid w:val="00F378E2"/>
    <w:rsid w:val="00F40716"/>
    <w:rsid w:val="00F40762"/>
    <w:rsid w:val="00F40F20"/>
    <w:rsid w:val="00F418C2"/>
    <w:rsid w:val="00F42208"/>
    <w:rsid w:val="00F449A8"/>
    <w:rsid w:val="00F44B3E"/>
    <w:rsid w:val="00F51164"/>
    <w:rsid w:val="00F53042"/>
    <w:rsid w:val="00F5311D"/>
    <w:rsid w:val="00F53217"/>
    <w:rsid w:val="00F53508"/>
    <w:rsid w:val="00F53B91"/>
    <w:rsid w:val="00F542FA"/>
    <w:rsid w:val="00F545E1"/>
    <w:rsid w:val="00F54E7A"/>
    <w:rsid w:val="00F5586F"/>
    <w:rsid w:val="00F626F8"/>
    <w:rsid w:val="00F64D33"/>
    <w:rsid w:val="00F652EB"/>
    <w:rsid w:val="00F669EB"/>
    <w:rsid w:val="00F66C35"/>
    <w:rsid w:val="00F70443"/>
    <w:rsid w:val="00F7097D"/>
    <w:rsid w:val="00F716EF"/>
    <w:rsid w:val="00F77D50"/>
    <w:rsid w:val="00F81A0A"/>
    <w:rsid w:val="00F838F0"/>
    <w:rsid w:val="00F858D1"/>
    <w:rsid w:val="00F85A24"/>
    <w:rsid w:val="00F86C74"/>
    <w:rsid w:val="00F9016C"/>
    <w:rsid w:val="00F929ED"/>
    <w:rsid w:val="00F9305D"/>
    <w:rsid w:val="00F94D89"/>
    <w:rsid w:val="00F9522F"/>
    <w:rsid w:val="00F96902"/>
    <w:rsid w:val="00FA2346"/>
    <w:rsid w:val="00FA37DC"/>
    <w:rsid w:val="00FA3AB1"/>
    <w:rsid w:val="00FA3B62"/>
    <w:rsid w:val="00FA4414"/>
    <w:rsid w:val="00FA4EC5"/>
    <w:rsid w:val="00FA5EE1"/>
    <w:rsid w:val="00FB1472"/>
    <w:rsid w:val="00FB228A"/>
    <w:rsid w:val="00FC3C5A"/>
    <w:rsid w:val="00FC3C7A"/>
    <w:rsid w:val="00FC4BE9"/>
    <w:rsid w:val="00FC6839"/>
    <w:rsid w:val="00FC6FCC"/>
    <w:rsid w:val="00FD01FC"/>
    <w:rsid w:val="00FD061B"/>
    <w:rsid w:val="00FD31D4"/>
    <w:rsid w:val="00FD3A79"/>
    <w:rsid w:val="00FD5F34"/>
    <w:rsid w:val="00FD5FEF"/>
    <w:rsid w:val="00FD6027"/>
    <w:rsid w:val="00FE2D33"/>
    <w:rsid w:val="00FE3D8C"/>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table" w:styleId="TableGrid">
    <w:name w:val="Table Grid"/>
    <w:basedOn w:val="TableNormal"/>
    <w:uiPriority w:val="59"/>
    <w:rsid w:val="00FE3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5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6491">
      <w:bodyDiv w:val="1"/>
      <w:marLeft w:val="0"/>
      <w:marRight w:val="0"/>
      <w:marTop w:val="0"/>
      <w:marBottom w:val="0"/>
      <w:divBdr>
        <w:top w:val="none" w:sz="0" w:space="0" w:color="auto"/>
        <w:left w:val="none" w:sz="0" w:space="0" w:color="auto"/>
        <w:bottom w:val="none" w:sz="0" w:space="0" w:color="auto"/>
        <w:right w:val="none" w:sz="0" w:space="0" w:color="auto"/>
      </w:divBdr>
    </w:div>
    <w:div w:id="7709289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237112">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52602839">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4219981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9295725">
      <w:bodyDiv w:val="1"/>
      <w:marLeft w:val="0"/>
      <w:marRight w:val="0"/>
      <w:marTop w:val="0"/>
      <w:marBottom w:val="0"/>
      <w:divBdr>
        <w:top w:val="none" w:sz="0" w:space="0" w:color="auto"/>
        <w:left w:val="none" w:sz="0" w:space="0" w:color="auto"/>
        <w:bottom w:val="none" w:sz="0" w:space="0" w:color="auto"/>
        <w:right w:val="none" w:sz="0" w:space="0" w:color="auto"/>
      </w:divBdr>
    </w:div>
    <w:div w:id="107898722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25799909">
      <w:bodyDiv w:val="1"/>
      <w:marLeft w:val="0"/>
      <w:marRight w:val="0"/>
      <w:marTop w:val="0"/>
      <w:marBottom w:val="0"/>
      <w:divBdr>
        <w:top w:val="none" w:sz="0" w:space="0" w:color="auto"/>
        <w:left w:val="none" w:sz="0" w:space="0" w:color="auto"/>
        <w:bottom w:val="none" w:sz="0" w:space="0" w:color="auto"/>
        <w:right w:val="none" w:sz="0" w:space="0" w:color="auto"/>
      </w:divBdr>
      <w:divsChild>
        <w:div w:id="1129712428">
          <w:marLeft w:val="1440"/>
          <w:marRight w:val="0"/>
          <w:marTop w:val="240"/>
          <w:marBottom w:val="0"/>
          <w:divBdr>
            <w:top w:val="none" w:sz="0" w:space="0" w:color="auto"/>
            <w:left w:val="none" w:sz="0" w:space="0" w:color="auto"/>
            <w:bottom w:val="none" w:sz="0" w:space="0" w:color="auto"/>
            <w:right w:val="none" w:sz="0" w:space="0" w:color="auto"/>
          </w:divBdr>
        </w:div>
        <w:div w:id="1685665072">
          <w:marLeft w:val="1440"/>
          <w:marRight w:val="0"/>
          <w:marTop w:val="240"/>
          <w:marBottom w:val="0"/>
          <w:divBdr>
            <w:top w:val="none" w:sz="0" w:space="0" w:color="auto"/>
            <w:left w:val="none" w:sz="0" w:space="0" w:color="auto"/>
            <w:bottom w:val="none" w:sz="0" w:space="0" w:color="auto"/>
            <w:right w:val="none" w:sz="0" w:space="0" w:color="auto"/>
          </w:divBdr>
        </w:div>
        <w:div w:id="1937595867">
          <w:marLeft w:val="1440"/>
          <w:marRight w:val="0"/>
          <w:marTop w:val="240"/>
          <w:marBottom w:val="0"/>
          <w:divBdr>
            <w:top w:val="none" w:sz="0" w:space="0" w:color="auto"/>
            <w:left w:val="none" w:sz="0" w:space="0" w:color="auto"/>
            <w:bottom w:val="none" w:sz="0" w:space="0" w:color="auto"/>
            <w:right w:val="none" w:sz="0" w:space="0" w:color="auto"/>
          </w:divBdr>
        </w:div>
      </w:divsChild>
    </w:div>
    <w:div w:id="1307128749">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0592230">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41358515">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68903836">
      <w:bodyDiv w:val="1"/>
      <w:marLeft w:val="0"/>
      <w:marRight w:val="0"/>
      <w:marTop w:val="0"/>
      <w:marBottom w:val="0"/>
      <w:divBdr>
        <w:top w:val="none" w:sz="0" w:space="0" w:color="auto"/>
        <w:left w:val="none" w:sz="0" w:space="0" w:color="auto"/>
        <w:bottom w:val="none" w:sz="0" w:space="0" w:color="auto"/>
        <w:right w:val="none" w:sz="0" w:space="0" w:color="auto"/>
      </w:divBdr>
      <w:divsChild>
        <w:div w:id="762530543">
          <w:marLeft w:val="1800"/>
          <w:marRight w:val="0"/>
          <w:marTop w:val="240"/>
          <w:marBottom w:val="0"/>
          <w:divBdr>
            <w:top w:val="none" w:sz="0" w:space="0" w:color="auto"/>
            <w:left w:val="none" w:sz="0" w:space="0" w:color="auto"/>
            <w:bottom w:val="none" w:sz="0" w:space="0" w:color="auto"/>
            <w:right w:val="none" w:sz="0" w:space="0" w:color="auto"/>
          </w:divBdr>
        </w:div>
        <w:div w:id="505362658">
          <w:marLeft w:val="1800"/>
          <w:marRight w:val="0"/>
          <w:marTop w:val="240"/>
          <w:marBottom w:val="0"/>
          <w:divBdr>
            <w:top w:val="none" w:sz="0" w:space="0" w:color="auto"/>
            <w:left w:val="none" w:sz="0" w:space="0" w:color="auto"/>
            <w:bottom w:val="none" w:sz="0" w:space="0" w:color="auto"/>
            <w:right w:val="none" w:sz="0" w:space="0" w:color="auto"/>
          </w:divBdr>
        </w:div>
        <w:div w:id="830177265">
          <w:marLeft w:val="1080"/>
          <w:marRight w:val="0"/>
          <w:marTop w:val="240"/>
          <w:marBottom w:val="0"/>
          <w:divBdr>
            <w:top w:val="none" w:sz="0" w:space="0" w:color="auto"/>
            <w:left w:val="none" w:sz="0" w:space="0" w:color="auto"/>
            <w:bottom w:val="none" w:sz="0" w:space="0" w:color="auto"/>
            <w:right w:val="none" w:sz="0" w:space="0" w:color="auto"/>
          </w:divBdr>
        </w:div>
        <w:div w:id="1577931630">
          <w:marLeft w:val="1080"/>
          <w:marRight w:val="0"/>
          <w:marTop w:val="240"/>
          <w:marBottom w:val="0"/>
          <w:divBdr>
            <w:top w:val="none" w:sz="0" w:space="0" w:color="auto"/>
            <w:left w:val="none" w:sz="0" w:space="0" w:color="auto"/>
            <w:bottom w:val="none" w:sz="0" w:space="0" w:color="auto"/>
            <w:right w:val="none" w:sz="0" w:space="0" w:color="auto"/>
          </w:divBdr>
        </w:div>
        <w:div w:id="1328359019">
          <w:marLeft w:val="1080"/>
          <w:marRight w:val="0"/>
          <w:marTop w:val="240"/>
          <w:marBottom w:val="0"/>
          <w:divBdr>
            <w:top w:val="none" w:sz="0" w:space="0" w:color="auto"/>
            <w:left w:val="none" w:sz="0" w:space="0" w:color="auto"/>
            <w:bottom w:val="none" w:sz="0" w:space="0" w:color="auto"/>
            <w:right w:val="none" w:sz="0" w:space="0" w:color="auto"/>
          </w:divBdr>
        </w:div>
      </w:divsChild>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12487128">
      <w:bodyDiv w:val="1"/>
      <w:marLeft w:val="0"/>
      <w:marRight w:val="0"/>
      <w:marTop w:val="0"/>
      <w:marBottom w:val="0"/>
      <w:divBdr>
        <w:top w:val="none" w:sz="0" w:space="0" w:color="auto"/>
        <w:left w:val="none" w:sz="0" w:space="0" w:color="auto"/>
        <w:bottom w:val="none" w:sz="0" w:space="0" w:color="auto"/>
        <w:right w:val="none" w:sz="0" w:space="0" w:color="auto"/>
      </w:divBdr>
    </w:div>
    <w:div w:id="178573031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33665253">
      <w:bodyDiv w:val="1"/>
      <w:marLeft w:val="0"/>
      <w:marRight w:val="0"/>
      <w:marTop w:val="0"/>
      <w:marBottom w:val="0"/>
      <w:divBdr>
        <w:top w:val="none" w:sz="0" w:space="0" w:color="auto"/>
        <w:left w:val="none" w:sz="0" w:space="0" w:color="auto"/>
        <w:bottom w:val="none" w:sz="0" w:space="0" w:color="auto"/>
        <w:right w:val="none" w:sz="0" w:space="0" w:color="auto"/>
      </w:divBdr>
      <w:divsChild>
        <w:div w:id="977491932">
          <w:marLeft w:val="720"/>
          <w:marRight w:val="0"/>
          <w:marTop w:val="240"/>
          <w:marBottom w:val="0"/>
          <w:divBdr>
            <w:top w:val="none" w:sz="0" w:space="0" w:color="auto"/>
            <w:left w:val="none" w:sz="0" w:space="0" w:color="auto"/>
            <w:bottom w:val="none" w:sz="0" w:space="0" w:color="auto"/>
            <w:right w:val="none" w:sz="0" w:space="0" w:color="auto"/>
          </w:divBdr>
        </w:div>
        <w:div w:id="1217009295">
          <w:marLeft w:val="720"/>
          <w:marRight w:val="0"/>
          <w:marTop w:val="240"/>
          <w:marBottom w:val="0"/>
          <w:divBdr>
            <w:top w:val="none" w:sz="0" w:space="0" w:color="auto"/>
            <w:left w:val="none" w:sz="0" w:space="0" w:color="auto"/>
            <w:bottom w:val="none" w:sz="0" w:space="0" w:color="auto"/>
            <w:right w:val="none" w:sz="0" w:space="0" w:color="auto"/>
          </w:divBdr>
        </w:div>
        <w:div w:id="49422607">
          <w:marLeft w:val="547"/>
          <w:marRight w:val="0"/>
          <w:marTop w:val="240"/>
          <w:marBottom w:val="0"/>
          <w:divBdr>
            <w:top w:val="none" w:sz="0" w:space="0" w:color="auto"/>
            <w:left w:val="none" w:sz="0" w:space="0" w:color="auto"/>
            <w:bottom w:val="none" w:sz="0" w:space="0" w:color="auto"/>
            <w:right w:val="none" w:sz="0" w:space="0" w:color="auto"/>
          </w:divBdr>
        </w:div>
        <w:div w:id="2124028753">
          <w:marLeft w:val="720"/>
          <w:marRight w:val="0"/>
          <w:marTop w:val="240"/>
          <w:marBottom w:val="0"/>
          <w:divBdr>
            <w:top w:val="none" w:sz="0" w:space="0" w:color="auto"/>
            <w:left w:val="none" w:sz="0" w:space="0" w:color="auto"/>
            <w:bottom w:val="none" w:sz="0" w:space="0" w:color="auto"/>
            <w:right w:val="none" w:sz="0" w:space="0" w:color="auto"/>
          </w:divBdr>
        </w:div>
      </w:divsChild>
    </w:div>
    <w:div w:id="1946770081">
      <w:bodyDiv w:val="1"/>
      <w:marLeft w:val="0"/>
      <w:marRight w:val="0"/>
      <w:marTop w:val="0"/>
      <w:marBottom w:val="0"/>
      <w:divBdr>
        <w:top w:val="none" w:sz="0" w:space="0" w:color="auto"/>
        <w:left w:val="none" w:sz="0" w:space="0" w:color="auto"/>
        <w:bottom w:val="none" w:sz="0" w:space="0" w:color="auto"/>
        <w:right w:val="none" w:sz="0" w:space="0" w:color="auto"/>
      </w:divBdr>
    </w:div>
    <w:div w:id="2093306620">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1F43-C812-44BD-B09D-F71A350B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5888</Words>
  <Characters>3357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10</cp:revision>
  <cp:lastPrinted>2020-05-15T11:33:00Z</cp:lastPrinted>
  <dcterms:created xsi:type="dcterms:W3CDTF">2021-02-01T19:41:00Z</dcterms:created>
  <dcterms:modified xsi:type="dcterms:W3CDTF">2021-02-03T18:51:00Z</dcterms:modified>
</cp:coreProperties>
</file>