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58257330" w:rsidR="00310924" w:rsidRPr="00582B51"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582B51">
        <w:rPr>
          <w:b/>
          <w:color w:val="000000" w:themeColor="text1"/>
          <w:sz w:val="26"/>
          <w:szCs w:val="26"/>
          <w:lang w:val="lv-LV"/>
        </w:rPr>
        <w:t xml:space="preserve">Ministru kabineta noteikumu projekta </w:t>
      </w:r>
      <w:bookmarkStart w:id="3" w:name="_Hlk58447217"/>
      <w:r w:rsidR="003D3CA2" w:rsidRPr="00582B51">
        <w:rPr>
          <w:b/>
          <w:bCs/>
          <w:color w:val="000000" w:themeColor="text1"/>
          <w:sz w:val="26"/>
          <w:szCs w:val="26"/>
          <w:lang w:val="lv-LV"/>
        </w:rPr>
        <w:t>“</w:t>
      </w:r>
      <w:r w:rsidR="00DA440E" w:rsidRPr="00582B51">
        <w:rPr>
          <w:b/>
          <w:bCs/>
          <w:sz w:val="26"/>
          <w:szCs w:val="26"/>
          <w:lang w:val="lv-LV"/>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582B51">
        <w:rPr>
          <w:b/>
          <w:bCs/>
          <w:color w:val="000000" w:themeColor="text1"/>
          <w:sz w:val="26"/>
          <w:szCs w:val="26"/>
          <w:lang w:val="lv-LV"/>
        </w:rPr>
        <w:t>”</w:t>
      </w:r>
      <w:r w:rsidR="000972D6" w:rsidRPr="00582B51">
        <w:rPr>
          <w:b/>
          <w:bCs/>
          <w:color w:val="000000" w:themeColor="text1"/>
          <w:sz w:val="26"/>
          <w:szCs w:val="26"/>
          <w:lang w:val="lv-LV"/>
        </w:rPr>
        <w:t xml:space="preserve"> </w:t>
      </w:r>
      <w:bookmarkEnd w:id="3"/>
      <w:r w:rsidRPr="00582B51">
        <w:rPr>
          <w:b/>
          <w:bCs/>
          <w:color w:val="000000" w:themeColor="text1"/>
          <w:sz w:val="26"/>
          <w:szCs w:val="26"/>
          <w:lang w:val="lv-LV"/>
        </w:rPr>
        <w:t>sākotnējās ietekmes novērtējuma ziņojums (anotācija)</w:t>
      </w:r>
    </w:p>
    <w:p w14:paraId="286653D2" w14:textId="77777777" w:rsidR="00032471" w:rsidRPr="00582B51" w:rsidRDefault="00032471" w:rsidP="006064F8">
      <w:pPr>
        <w:contextualSpacing/>
        <w:rPr>
          <w:b/>
          <w:color w:val="000000" w:themeColor="text1"/>
          <w:sz w:val="26"/>
          <w:szCs w:val="26"/>
          <w:highlight w:val="yellow"/>
          <w:lang w:val="lv-LV"/>
        </w:rPr>
      </w:pPr>
    </w:p>
    <w:tbl>
      <w:tblPr>
        <w:tblStyle w:val="TableGrid"/>
        <w:tblW w:w="9209" w:type="dxa"/>
        <w:tblLook w:val="04A0" w:firstRow="1" w:lastRow="0" w:firstColumn="1" w:lastColumn="0" w:noHBand="0" w:noVBand="1"/>
      </w:tblPr>
      <w:tblGrid>
        <w:gridCol w:w="2689"/>
        <w:gridCol w:w="6520"/>
      </w:tblGrid>
      <w:tr w:rsidR="00AA0717" w:rsidRPr="00582B51" w14:paraId="0B7C3FC0" w14:textId="77777777" w:rsidTr="003524DB">
        <w:tc>
          <w:tcPr>
            <w:tcW w:w="9209" w:type="dxa"/>
            <w:gridSpan w:val="2"/>
            <w:vAlign w:val="center"/>
          </w:tcPr>
          <w:bookmarkEnd w:id="0"/>
          <w:bookmarkEnd w:id="1"/>
          <w:bookmarkEnd w:id="2"/>
          <w:p w14:paraId="721ADC24" w14:textId="17D6B029" w:rsidR="00AA0717" w:rsidRPr="00582B51" w:rsidRDefault="00AA0717" w:rsidP="00AA0717">
            <w:pPr>
              <w:tabs>
                <w:tab w:val="right" w:pos="9072"/>
              </w:tabs>
              <w:contextualSpacing/>
              <w:jc w:val="both"/>
              <w:rPr>
                <w:color w:val="000000" w:themeColor="text1"/>
                <w:sz w:val="26"/>
                <w:szCs w:val="26"/>
                <w:highlight w:val="yellow"/>
                <w:lang w:val="lv-LV"/>
              </w:rPr>
            </w:pPr>
            <w:r w:rsidRPr="00582B51">
              <w:rPr>
                <w:rFonts w:eastAsia="Times New Roman"/>
                <w:b/>
                <w:bCs/>
                <w:iCs/>
                <w:color w:val="000000" w:themeColor="text1"/>
                <w:sz w:val="26"/>
                <w:szCs w:val="26"/>
                <w:lang w:val="lv-LV" w:eastAsia="lv-LV"/>
              </w:rPr>
              <w:t>Tiesību akta projekta anotācijas kopsavilkums</w:t>
            </w:r>
          </w:p>
        </w:tc>
      </w:tr>
      <w:tr w:rsidR="00AA0717" w:rsidRPr="00582B51" w14:paraId="06CE1657" w14:textId="77777777" w:rsidTr="00562501">
        <w:tc>
          <w:tcPr>
            <w:tcW w:w="2689" w:type="dxa"/>
          </w:tcPr>
          <w:p w14:paraId="62D09BDC" w14:textId="31315135" w:rsidR="00AA0717" w:rsidRPr="00582B51" w:rsidRDefault="00AA0717" w:rsidP="00AA0717">
            <w:pPr>
              <w:tabs>
                <w:tab w:val="right" w:pos="9072"/>
              </w:tabs>
              <w:contextualSpacing/>
              <w:jc w:val="both"/>
              <w:rPr>
                <w:color w:val="000000" w:themeColor="text1"/>
                <w:sz w:val="26"/>
                <w:szCs w:val="26"/>
                <w:highlight w:val="yellow"/>
                <w:lang w:val="lv-LV"/>
              </w:rPr>
            </w:pPr>
            <w:r w:rsidRPr="00582B51">
              <w:rPr>
                <w:rFonts w:eastAsia="Times New Roman"/>
                <w:iCs/>
                <w:color w:val="000000" w:themeColor="text1"/>
                <w:sz w:val="26"/>
                <w:szCs w:val="26"/>
                <w:lang w:val="lv-LV" w:eastAsia="lv-LV"/>
              </w:rPr>
              <w:t xml:space="preserve">Mērķis, risinājums un projekta spēkā stāšanās laiks </w:t>
            </w:r>
          </w:p>
        </w:tc>
        <w:tc>
          <w:tcPr>
            <w:tcW w:w="6520" w:type="dxa"/>
          </w:tcPr>
          <w:p w14:paraId="278DBFC1" w14:textId="4E82135E" w:rsidR="00AA0717" w:rsidRPr="00F2361F" w:rsidRDefault="00AA0717" w:rsidP="00AA0717">
            <w:pPr>
              <w:shd w:val="clear" w:color="auto" w:fill="FFFFFF"/>
              <w:tabs>
                <w:tab w:val="left" w:pos="142"/>
                <w:tab w:val="left" w:pos="1134"/>
              </w:tabs>
              <w:spacing w:before="120"/>
              <w:jc w:val="both"/>
              <w:rPr>
                <w:rFonts w:eastAsia="Times New Roman"/>
                <w:bCs/>
                <w:color w:val="000000" w:themeColor="text1"/>
                <w:sz w:val="26"/>
                <w:szCs w:val="26"/>
                <w:lang w:val="lv-LV" w:eastAsia="lv-LV"/>
              </w:rPr>
            </w:pPr>
            <w:r w:rsidRPr="00F2361F">
              <w:rPr>
                <w:bCs/>
                <w:color w:val="000000" w:themeColor="text1"/>
                <w:sz w:val="26"/>
                <w:szCs w:val="26"/>
                <w:lang w:val="lv-LV"/>
              </w:rPr>
              <w:t>Ministru kabineta noteikumu “</w:t>
            </w:r>
            <w:r w:rsidRPr="00F2361F">
              <w:rPr>
                <w:bCs/>
                <w:sz w:val="26"/>
                <w:szCs w:val="26"/>
                <w:lang w:val="lv-LV"/>
              </w:rPr>
              <w:t xml:space="preserve">Grozījumi Ministru kabineta 2016.gada 1.marta </w:t>
            </w:r>
            <w:r w:rsidRPr="003524DB">
              <w:rPr>
                <w:bCs/>
                <w:sz w:val="26"/>
                <w:szCs w:val="26"/>
                <w:lang w:val="lv-LV"/>
              </w:rPr>
              <w:t>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3524DB">
              <w:rPr>
                <w:rFonts w:eastAsia="Times New Roman"/>
                <w:bCs/>
                <w:iCs/>
                <w:color w:val="000000" w:themeColor="text1"/>
                <w:sz w:val="26"/>
                <w:szCs w:val="26"/>
                <w:lang w:val="lv-LV"/>
              </w:rPr>
              <w:t xml:space="preserve"> </w:t>
            </w:r>
            <w:r w:rsidRPr="003524DB">
              <w:rPr>
                <w:bCs/>
                <w:color w:val="000000" w:themeColor="text1"/>
                <w:sz w:val="26"/>
                <w:szCs w:val="26"/>
                <w:lang w:val="lv-LV"/>
              </w:rPr>
              <w:t xml:space="preserve">projekts </w:t>
            </w:r>
            <w:r w:rsidRPr="003524DB">
              <w:rPr>
                <w:rFonts w:eastAsia="Times New Roman"/>
                <w:bCs/>
                <w:iCs/>
                <w:color w:val="000000" w:themeColor="text1"/>
                <w:sz w:val="26"/>
                <w:szCs w:val="26"/>
                <w:lang w:val="lv-LV"/>
              </w:rPr>
              <w:t>(turpmāk – MK noteikumu projekts)</w:t>
            </w:r>
            <w:r w:rsidRPr="00582B51">
              <w:rPr>
                <w:rFonts w:eastAsia="Times New Roman"/>
                <w:bCs/>
                <w:iCs/>
                <w:color w:val="000000" w:themeColor="text1"/>
                <w:sz w:val="26"/>
                <w:szCs w:val="26"/>
                <w:lang w:val="lv-LV"/>
              </w:rPr>
              <w:t xml:space="preserve"> sagatavots, lai sniegtu papildus atbalstu sīkajiem, mazajiem un vidējiem uzņēmumiem Covid-19 seku mazināšanai</w:t>
            </w:r>
            <w:r w:rsidR="0052346C" w:rsidRPr="00582B51">
              <w:rPr>
                <w:rFonts w:eastAsia="Times New Roman"/>
                <w:bCs/>
                <w:iCs/>
                <w:color w:val="000000" w:themeColor="text1"/>
                <w:sz w:val="26"/>
                <w:szCs w:val="26"/>
                <w:lang w:val="lv-LV"/>
              </w:rPr>
              <w:t xml:space="preserve">, kā arī veiktu </w:t>
            </w:r>
            <w:bookmarkStart w:id="4" w:name="_Hlk58348545"/>
            <w:r w:rsidR="0052346C" w:rsidRPr="00582B51">
              <w:rPr>
                <w:sz w:val="26"/>
                <w:szCs w:val="26"/>
                <w:lang w:val="lv-LV"/>
              </w:rPr>
              <w:t xml:space="preserve">akciju sabiedrības „Attīstības finanšu institūcija Altum” </w:t>
            </w:r>
            <w:bookmarkEnd w:id="4"/>
            <w:r w:rsidR="0052346C" w:rsidRPr="00582B51">
              <w:rPr>
                <w:sz w:val="26"/>
                <w:szCs w:val="26"/>
                <w:lang w:val="lv-LV"/>
              </w:rPr>
              <w:t>(turpmāk – sabiedrība “Altum”) pāreju no vadības izmaksu kompensācijas uz vadības maksu, tādējādi mazinot administratīvo slogu valsts atbalsta programmu īstenošanā</w:t>
            </w:r>
            <w:r w:rsidR="0052346C" w:rsidRPr="00F2361F">
              <w:rPr>
                <w:sz w:val="26"/>
                <w:szCs w:val="26"/>
                <w:lang w:val="lv-LV"/>
              </w:rPr>
              <w:t>.</w:t>
            </w:r>
          </w:p>
          <w:p w14:paraId="77F82C72" w14:textId="04020511" w:rsidR="00AA0717" w:rsidRPr="00F2361F" w:rsidRDefault="00AA0717" w:rsidP="00AA0717">
            <w:pPr>
              <w:tabs>
                <w:tab w:val="right" w:pos="9072"/>
              </w:tabs>
              <w:contextualSpacing/>
              <w:jc w:val="both"/>
              <w:rPr>
                <w:color w:val="000000" w:themeColor="text1"/>
                <w:sz w:val="26"/>
                <w:szCs w:val="26"/>
                <w:highlight w:val="yellow"/>
                <w:lang w:val="lv-LV"/>
              </w:rPr>
            </w:pPr>
            <w:r w:rsidRPr="00F2361F">
              <w:rPr>
                <w:iCs/>
                <w:color w:val="000000" w:themeColor="text1"/>
                <w:sz w:val="26"/>
                <w:szCs w:val="26"/>
                <w:lang w:val="lv-LV"/>
              </w:rPr>
              <w:t>MK Noteikumu projekts stāsies spēkā nākamajā dienā pēc tā publicēšanas oficiālajā izdevumā “Latvijas Vēstnesis”.</w:t>
            </w:r>
            <w:r w:rsidRPr="00F2361F">
              <w:rPr>
                <w:rFonts w:eastAsia="Times New Roman"/>
                <w:bCs/>
                <w:iCs/>
                <w:color w:val="000000" w:themeColor="text1"/>
                <w:sz w:val="26"/>
                <w:szCs w:val="26"/>
                <w:lang w:val="lv-LV"/>
              </w:rPr>
              <w:t xml:space="preserve"> </w:t>
            </w:r>
          </w:p>
        </w:tc>
      </w:tr>
    </w:tbl>
    <w:p w14:paraId="00447F19" w14:textId="437AFCA8" w:rsidR="009A00EB" w:rsidRPr="00582B51" w:rsidRDefault="009A00EB" w:rsidP="009A00EB">
      <w:pPr>
        <w:contextualSpacing/>
        <w:rPr>
          <w:rFonts w:eastAsia="Times New Roman"/>
          <w:color w:val="000000" w:themeColor="text1"/>
          <w:sz w:val="26"/>
          <w:szCs w:val="26"/>
          <w:highlight w:val="yellow"/>
          <w:lang w:val="lv-LV" w:eastAsia="lv-LV"/>
        </w:rPr>
      </w:pPr>
    </w:p>
    <w:tbl>
      <w:tblPr>
        <w:tblStyle w:val="TableGrid"/>
        <w:tblW w:w="9209" w:type="dxa"/>
        <w:tblLook w:val="04A0" w:firstRow="1" w:lastRow="0" w:firstColumn="1" w:lastColumn="0" w:noHBand="0" w:noVBand="1"/>
      </w:tblPr>
      <w:tblGrid>
        <w:gridCol w:w="558"/>
        <w:gridCol w:w="2094"/>
        <w:gridCol w:w="6557"/>
      </w:tblGrid>
      <w:tr w:rsidR="00AA0717" w:rsidRPr="00582B51" w14:paraId="5C05423E" w14:textId="77777777" w:rsidTr="003524DB">
        <w:tc>
          <w:tcPr>
            <w:tcW w:w="9209" w:type="dxa"/>
            <w:gridSpan w:val="3"/>
          </w:tcPr>
          <w:p w14:paraId="3903A608" w14:textId="725EAAE8" w:rsidR="00AA0717" w:rsidRPr="00582B51" w:rsidRDefault="00AA0717" w:rsidP="009A00EB">
            <w:pPr>
              <w:contextualSpacing/>
              <w:rPr>
                <w:rFonts w:eastAsia="Times New Roman"/>
                <w:color w:val="000000" w:themeColor="text1"/>
                <w:sz w:val="26"/>
                <w:szCs w:val="26"/>
                <w:highlight w:val="yellow"/>
                <w:lang w:val="lv-LV" w:eastAsia="lv-LV"/>
              </w:rPr>
            </w:pPr>
            <w:r w:rsidRPr="00582B51">
              <w:rPr>
                <w:b/>
                <w:color w:val="000000" w:themeColor="text1"/>
                <w:sz w:val="26"/>
                <w:szCs w:val="26"/>
                <w:lang w:val="lv-LV"/>
              </w:rPr>
              <w:t>I. Tiesību akta projekta izstrādes nepieciešamība</w:t>
            </w:r>
          </w:p>
        </w:tc>
      </w:tr>
      <w:tr w:rsidR="00AA0717" w:rsidRPr="00582B51" w14:paraId="102323F9" w14:textId="77777777" w:rsidTr="00562501">
        <w:tc>
          <w:tcPr>
            <w:tcW w:w="562" w:type="dxa"/>
          </w:tcPr>
          <w:p w14:paraId="50CB2D59" w14:textId="476A47D9"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1.</w:t>
            </w:r>
          </w:p>
        </w:tc>
        <w:tc>
          <w:tcPr>
            <w:tcW w:w="1985" w:type="dxa"/>
          </w:tcPr>
          <w:p w14:paraId="1D978D98" w14:textId="53533AD4"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Pamatojums</w:t>
            </w:r>
          </w:p>
        </w:tc>
        <w:tc>
          <w:tcPr>
            <w:tcW w:w="6662" w:type="dxa"/>
          </w:tcPr>
          <w:p w14:paraId="5A1FC706" w14:textId="05F1711C" w:rsidR="00AA0717" w:rsidRPr="00582B51" w:rsidRDefault="00AA0717" w:rsidP="0052346C">
            <w:pPr>
              <w:contextualSpacing/>
              <w:jc w:val="both"/>
              <w:rPr>
                <w:rFonts w:eastAsia="Times New Roman"/>
                <w:color w:val="000000" w:themeColor="text1"/>
                <w:sz w:val="26"/>
                <w:szCs w:val="26"/>
                <w:highlight w:val="yellow"/>
                <w:lang w:val="lv-LV" w:eastAsia="lv-LV"/>
              </w:rPr>
            </w:pPr>
            <w:r w:rsidRPr="00F2361F">
              <w:rPr>
                <w:iCs/>
                <w:color w:val="000000" w:themeColor="text1"/>
                <w:sz w:val="26"/>
                <w:szCs w:val="26"/>
                <w:lang w:val="lv-LV"/>
              </w:rPr>
              <w:t xml:space="preserve">MK Noteikumu projekts pēc Ekonomikas ministrijas iniciatīvas </w:t>
            </w:r>
            <w:r w:rsidRPr="003524DB">
              <w:rPr>
                <w:color w:val="000000" w:themeColor="text1"/>
                <w:sz w:val="26"/>
                <w:szCs w:val="26"/>
                <w:lang w:val="lv-LV"/>
              </w:rPr>
              <w:t>izstrādāts</w:t>
            </w:r>
            <w:r w:rsidRPr="003524DB">
              <w:rPr>
                <w:iCs/>
                <w:color w:val="000000" w:themeColor="text1"/>
                <w:sz w:val="26"/>
                <w:szCs w:val="26"/>
                <w:lang w:val="lv-LV"/>
              </w:rPr>
              <w:t xml:space="preserve">, </w:t>
            </w:r>
            <w:r w:rsidRPr="003524DB">
              <w:rPr>
                <w:color w:val="000000" w:themeColor="text1"/>
                <w:sz w:val="26"/>
                <w:szCs w:val="26"/>
                <w:lang w:val="lv-LV"/>
              </w:rPr>
              <w:t xml:space="preserve">saskaņā ar </w:t>
            </w:r>
            <w:r w:rsidRPr="003524DB">
              <w:rPr>
                <w:rFonts w:eastAsia="Times New Roman"/>
                <w:color w:val="000000" w:themeColor="text1"/>
                <w:sz w:val="26"/>
                <w:szCs w:val="26"/>
                <w:lang w:val="lv-LV" w:eastAsia="lv-LV"/>
              </w:rPr>
              <w:t>Eiropas Savienības struktūrfondu un Kohēzijas fonda 2014.–2020. gada plānošanas perioda vadības likuma 20. panta 14.punktu</w:t>
            </w:r>
            <w:r w:rsidRPr="003524DB">
              <w:rPr>
                <w:color w:val="000000" w:themeColor="text1"/>
                <w:sz w:val="26"/>
                <w:szCs w:val="26"/>
                <w:lang w:val="lv-LV"/>
              </w:rPr>
              <w:t xml:space="preserve">, lai </w:t>
            </w:r>
            <w:bookmarkStart w:id="5" w:name="_Hlk42162230"/>
            <w:r w:rsidRPr="003524DB">
              <w:rPr>
                <w:color w:val="000000" w:themeColor="text1"/>
                <w:sz w:val="26"/>
                <w:szCs w:val="26"/>
                <w:lang w:val="lv-LV"/>
              </w:rPr>
              <w:t xml:space="preserve">sekmētu sīko, mazo (t.sk., </w:t>
            </w:r>
            <w:proofErr w:type="spellStart"/>
            <w:r w:rsidRPr="003524DB">
              <w:rPr>
                <w:color w:val="000000" w:themeColor="text1"/>
                <w:sz w:val="26"/>
                <w:szCs w:val="26"/>
                <w:lang w:val="lv-LV"/>
              </w:rPr>
              <w:t>jaunuzņēmumu</w:t>
            </w:r>
            <w:proofErr w:type="spellEnd"/>
            <w:r w:rsidRPr="003524DB">
              <w:rPr>
                <w:color w:val="000000" w:themeColor="text1"/>
                <w:sz w:val="26"/>
                <w:szCs w:val="26"/>
                <w:lang w:val="lv-LV"/>
              </w:rPr>
              <w:t>) un vidējo uzņēmumu attīstību un veicinātu Latvijas tautsaimniecības ilgtspējīgu attīstību</w:t>
            </w:r>
            <w:bookmarkEnd w:id="5"/>
            <w:r w:rsidRPr="00582B51">
              <w:rPr>
                <w:color w:val="000000" w:themeColor="text1"/>
                <w:sz w:val="26"/>
                <w:szCs w:val="26"/>
                <w:lang w:val="lv-LV"/>
              </w:rPr>
              <w:t xml:space="preserve">, mazinot </w:t>
            </w:r>
            <w:r w:rsidRPr="00582B51">
              <w:rPr>
                <w:rFonts w:eastAsia="Times New Roman"/>
                <w:bCs/>
                <w:iCs/>
                <w:color w:val="000000" w:themeColor="text1"/>
                <w:sz w:val="26"/>
                <w:szCs w:val="26"/>
                <w:lang w:val="lv-LV"/>
              </w:rPr>
              <w:t>Covid-19 seku izplatību uz saimniecisko darbību</w:t>
            </w:r>
            <w:r w:rsidR="0052346C" w:rsidRPr="00582B51">
              <w:rPr>
                <w:rFonts w:eastAsia="Times New Roman"/>
                <w:bCs/>
                <w:iCs/>
                <w:color w:val="000000" w:themeColor="text1"/>
                <w:sz w:val="26"/>
                <w:szCs w:val="26"/>
                <w:lang w:val="lv-LV"/>
              </w:rPr>
              <w:t xml:space="preserve">, vienlaikus </w:t>
            </w:r>
            <w:r w:rsidR="0052346C" w:rsidRPr="00582B51">
              <w:rPr>
                <w:sz w:val="26"/>
                <w:szCs w:val="26"/>
                <w:lang w:val="lv-LV"/>
              </w:rPr>
              <w:t>mazinot sabiedrības “Altum” administratīvo slogu valsts atbalsta programmu īstenošanā</w:t>
            </w:r>
            <w:r w:rsidRPr="00582B51">
              <w:rPr>
                <w:rFonts w:eastAsia="Times New Roman"/>
                <w:bCs/>
                <w:iCs/>
                <w:color w:val="000000" w:themeColor="text1"/>
                <w:sz w:val="26"/>
                <w:szCs w:val="26"/>
                <w:lang w:val="lv-LV"/>
              </w:rPr>
              <w:t>.</w:t>
            </w:r>
          </w:p>
        </w:tc>
      </w:tr>
      <w:tr w:rsidR="00AA0717" w:rsidRPr="00582B51" w14:paraId="60B776A7" w14:textId="77777777" w:rsidTr="00562501">
        <w:tc>
          <w:tcPr>
            <w:tcW w:w="562" w:type="dxa"/>
          </w:tcPr>
          <w:p w14:paraId="2F27C56D" w14:textId="4034F9E2"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2.</w:t>
            </w:r>
          </w:p>
        </w:tc>
        <w:tc>
          <w:tcPr>
            <w:tcW w:w="1985" w:type="dxa"/>
          </w:tcPr>
          <w:p w14:paraId="4B632A65" w14:textId="77777777" w:rsidR="00AA0717" w:rsidRPr="00582B51" w:rsidRDefault="00AA0717" w:rsidP="00AA0717">
            <w:pPr>
              <w:contextualSpacing/>
              <w:rPr>
                <w:color w:val="000000" w:themeColor="text1"/>
                <w:sz w:val="26"/>
                <w:szCs w:val="26"/>
                <w:lang w:val="lv-LV"/>
              </w:rPr>
            </w:pPr>
            <w:r w:rsidRPr="00582B51">
              <w:rPr>
                <w:color w:val="000000" w:themeColor="text1"/>
                <w:sz w:val="26"/>
                <w:szCs w:val="26"/>
                <w:lang w:val="lv-LV"/>
              </w:rPr>
              <w:t xml:space="preserve">Pašreizējā situācija un problēmas, kuru risināšanai tiesību akta projekts izstrādāts, tiesiskā </w:t>
            </w:r>
            <w:r w:rsidRPr="00582B51">
              <w:rPr>
                <w:color w:val="000000" w:themeColor="text1"/>
                <w:sz w:val="26"/>
                <w:szCs w:val="26"/>
                <w:lang w:val="lv-LV"/>
              </w:rPr>
              <w:lastRenderedPageBreak/>
              <w:t>regulējuma mērķis un būtība</w:t>
            </w:r>
          </w:p>
          <w:p w14:paraId="365E2F9F" w14:textId="77777777" w:rsidR="00AA0717" w:rsidRPr="00F2361F" w:rsidRDefault="00AA0717" w:rsidP="00AA0717">
            <w:pPr>
              <w:rPr>
                <w:rFonts w:eastAsia="Times New Roman"/>
                <w:color w:val="000000" w:themeColor="text1"/>
                <w:sz w:val="26"/>
                <w:szCs w:val="26"/>
                <w:lang w:val="lv-LV" w:eastAsia="lv-LV"/>
              </w:rPr>
            </w:pPr>
          </w:p>
          <w:p w14:paraId="5655B2D0" w14:textId="77777777" w:rsidR="00AA0717" w:rsidRPr="003524DB" w:rsidRDefault="00AA0717" w:rsidP="00AA0717">
            <w:pPr>
              <w:rPr>
                <w:rFonts w:eastAsia="Times New Roman"/>
                <w:color w:val="000000" w:themeColor="text1"/>
                <w:sz w:val="26"/>
                <w:szCs w:val="26"/>
                <w:lang w:val="lv-LV" w:eastAsia="lv-LV"/>
              </w:rPr>
            </w:pPr>
          </w:p>
          <w:p w14:paraId="30B9BD6A" w14:textId="77777777" w:rsidR="00AA0717" w:rsidRPr="003524DB" w:rsidRDefault="00AA0717" w:rsidP="00AA0717">
            <w:pPr>
              <w:rPr>
                <w:rFonts w:eastAsia="Times New Roman"/>
                <w:color w:val="000000" w:themeColor="text1"/>
                <w:sz w:val="26"/>
                <w:szCs w:val="26"/>
                <w:lang w:val="lv-LV" w:eastAsia="lv-LV"/>
              </w:rPr>
            </w:pPr>
          </w:p>
          <w:p w14:paraId="60A45BE7" w14:textId="77777777" w:rsidR="00AA0717" w:rsidRPr="003524DB" w:rsidRDefault="00AA0717" w:rsidP="00AA0717">
            <w:pPr>
              <w:rPr>
                <w:rFonts w:eastAsia="Times New Roman"/>
                <w:color w:val="000000" w:themeColor="text1"/>
                <w:sz w:val="26"/>
                <w:szCs w:val="26"/>
                <w:lang w:val="lv-LV" w:eastAsia="lv-LV"/>
              </w:rPr>
            </w:pPr>
          </w:p>
          <w:p w14:paraId="1C66A94D" w14:textId="77777777" w:rsidR="00AA0717" w:rsidRPr="003524DB" w:rsidRDefault="00AA0717" w:rsidP="00AA0717">
            <w:pPr>
              <w:rPr>
                <w:rFonts w:eastAsia="Times New Roman"/>
                <w:color w:val="000000" w:themeColor="text1"/>
                <w:sz w:val="26"/>
                <w:szCs w:val="26"/>
                <w:lang w:val="lv-LV" w:eastAsia="lv-LV"/>
              </w:rPr>
            </w:pPr>
          </w:p>
          <w:p w14:paraId="2979B688" w14:textId="77777777" w:rsidR="00AA0717" w:rsidRPr="00582B51" w:rsidRDefault="00AA0717" w:rsidP="006933D1">
            <w:pPr>
              <w:ind w:firstLine="720"/>
              <w:rPr>
                <w:rFonts w:eastAsia="Times New Roman"/>
                <w:color w:val="000000" w:themeColor="text1"/>
                <w:sz w:val="26"/>
                <w:szCs w:val="26"/>
                <w:lang w:val="lv-LV" w:eastAsia="lv-LV"/>
              </w:rPr>
            </w:pPr>
          </w:p>
          <w:p w14:paraId="3D5C44CA" w14:textId="77777777" w:rsidR="00AA0717" w:rsidRPr="00582B51" w:rsidRDefault="00AA0717" w:rsidP="00AA0717">
            <w:pPr>
              <w:rPr>
                <w:rFonts w:eastAsia="Times New Roman"/>
                <w:color w:val="000000" w:themeColor="text1"/>
                <w:sz w:val="26"/>
                <w:szCs w:val="26"/>
                <w:lang w:val="lv-LV" w:eastAsia="lv-LV"/>
              </w:rPr>
            </w:pPr>
          </w:p>
          <w:p w14:paraId="17C7DADE" w14:textId="77777777" w:rsidR="00AA0717" w:rsidRPr="00582B51" w:rsidRDefault="00AA0717" w:rsidP="00AA0717">
            <w:pPr>
              <w:rPr>
                <w:rFonts w:eastAsia="Times New Roman"/>
                <w:color w:val="000000" w:themeColor="text1"/>
                <w:sz w:val="26"/>
                <w:szCs w:val="26"/>
                <w:lang w:val="lv-LV" w:eastAsia="lv-LV"/>
              </w:rPr>
            </w:pPr>
          </w:p>
          <w:p w14:paraId="6924362F" w14:textId="77777777" w:rsidR="00AA0717" w:rsidRPr="00582B51" w:rsidRDefault="00AA0717" w:rsidP="00AA0717">
            <w:pPr>
              <w:rPr>
                <w:rFonts w:eastAsia="Times New Roman"/>
                <w:color w:val="000000" w:themeColor="text1"/>
                <w:sz w:val="26"/>
                <w:szCs w:val="26"/>
                <w:lang w:val="lv-LV" w:eastAsia="lv-LV"/>
              </w:rPr>
            </w:pPr>
          </w:p>
          <w:p w14:paraId="2D3FAA7A" w14:textId="77777777" w:rsidR="00AA0717" w:rsidRPr="00582B51" w:rsidRDefault="00AA0717" w:rsidP="00AA0717">
            <w:pPr>
              <w:rPr>
                <w:rFonts w:eastAsia="Times New Roman"/>
                <w:color w:val="000000" w:themeColor="text1"/>
                <w:sz w:val="26"/>
                <w:szCs w:val="26"/>
                <w:lang w:val="lv-LV" w:eastAsia="lv-LV"/>
              </w:rPr>
            </w:pPr>
          </w:p>
          <w:p w14:paraId="7E7BD864" w14:textId="77777777" w:rsidR="00AA0717" w:rsidRPr="00582B51" w:rsidRDefault="00AA0717" w:rsidP="00AA0717">
            <w:pPr>
              <w:rPr>
                <w:rFonts w:eastAsia="Times New Roman"/>
                <w:color w:val="000000" w:themeColor="text1"/>
                <w:sz w:val="26"/>
                <w:szCs w:val="26"/>
                <w:lang w:val="lv-LV" w:eastAsia="lv-LV"/>
              </w:rPr>
            </w:pPr>
          </w:p>
          <w:p w14:paraId="70297EDE" w14:textId="77777777" w:rsidR="00AA0717" w:rsidRPr="00582B51" w:rsidRDefault="00AA0717" w:rsidP="00AA0717">
            <w:pPr>
              <w:rPr>
                <w:rFonts w:eastAsia="Times New Roman"/>
                <w:color w:val="000000" w:themeColor="text1"/>
                <w:sz w:val="26"/>
                <w:szCs w:val="26"/>
                <w:lang w:val="lv-LV" w:eastAsia="lv-LV"/>
              </w:rPr>
            </w:pPr>
          </w:p>
          <w:p w14:paraId="02F5054F" w14:textId="77777777" w:rsidR="00AA0717" w:rsidRPr="00582B51" w:rsidRDefault="00AA0717" w:rsidP="00AA0717">
            <w:pPr>
              <w:rPr>
                <w:rFonts w:eastAsia="Times New Roman"/>
                <w:color w:val="000000" w:themeColor="text1"/>
                <w:sz w:val="26"/>
                <w:szCs w:val="26"/>
                <w:lang w:val="lv-LV" w:eastAsia="lv-LV"/>
              </w:rPr>
            </w:pPr>
          </w:p>
          <w:p w14:paraId="0CD96884" w14:textId="77777777" w:rsidR="00AA0717" w:rsidRPr="00582B51" w:rsidRDefault="00AA0717" w:rsidP="00AA0717">
            <w:pPr>
              <w:rPr>
                <w:rFonts w:eastAsia="Times New Roman"/>
                <w:color w:val="000000" w:themeColor="text1"/>
                <w:sz w:val="26"/>
                <w:szCs w:val="26"/>
                <w:lang w:val="lv-LV" w:eastAsia="lv-LV"/>
              </w:rPr>
            </w:pPr>
          </w:p>
          <w:p w14:paraId="0B8B4801" w14:textId="77777777" w:rsidR="00AA0717" w:rsidRPr="00582B51" w:rsidRDefault="00AA0717" w:rsidP="00AA0717">
            <w:pPr>
              <w:rPr>
                <w:rFonts w:eastAsia="Times New Roman"/>
                <w:color w:val="000000" w:themeColor="text1"/>
                <w:sz w:val="26"/>
                <w:szCs w:val="26"/>
                <w:lang w:val="lv-LV" w:eastAsia="lv-LV"/>
              </w:rPr>
            </w:pPr>
          </w:p>
          <w:p w14:paraId="795613BC" w14:textId="77777777" w:rsidR="00AA0717" w:rsidRPr="00582B51" w:rsidRDefault="00AA0717" w:rsidP="00AA0717">
            <w:pPr>
              <w:rPr>
                <w:rFonts w:eastAsia="Times New Roman"/>
                <w:color w:val="000000" w:themeColor="text1"/>
                <w:sz w:val="26"/>
                <w:szCs w:val="26"/>
                <w:lang w:val="lv-LV" w:eastAsia="lv-LV"/>
              </w:rPr>
            </w:pPr>
          </w:p>
          <w:p w14:paraId="76400BE2" w14:textId="77777777" w:rsidR="00AA0717" w:rsidRPr="00582B51" w:rsidRDefault="00AA0717" w:rsidP="00AA0717">
            <w:pPr>
              <w:rPr>
                <w:rFonts w:eastAsia="Times New Roman"/>
                <w:color w:val="000000" w:themeColor="text1"/>
                <w:sz w:val="26"/>
                <w:szCs w:val="26"/>
                <w:lang w:val="lv-LV" w:eastAsia="lv-LV"/>
              </w:rPr>
            </w:pPr>
          </w:p>
          <w:p w14:paraId="1214C854" w14:textId="77777777" w:rsidR="00AA0717" w:rsidRPr="00582B51" w:rsidRDefault="00AA0717" w:rsidP="00AA0717">
            <w:pPr>
              <w:rPr>
                <w:rFonts w:eastAsia="Times New Roman"/>
                <w:color w:val="000000" w:themeColor="text1"/>
                <w:sz w:val="26"/>
                <w:szCs w:val="26"/>
                <w:lang w:val="lv-LV" w:eastAsia="lv-LV"/>
              </w:rPr>
            </w:pPr>
          </w:p>
          <w:p w14:paraId="4255EF4B" w14:textId="77777777" w:rsidR="00AA0717" w:rsidRPr="00582B51" w:rsidRDefault="00AA0717" w:rsidP="00AA0717">
            <w:pPr>
              <w:rPr>
                <w:rFonts w:eastAsia="Times New Roman"/>
                <w:color w:val="000000" w:themeColor="text1"/>
                <w:sz w:val="26"/>
                <w:szCs w:val="26"/>
                <w:lang w:val="lv-LV" w:eastAsia="lv-LV"/>
              </w:rPr>
            </w:pPr>
          </w:p>
          <w:p w14:paraId="75C9F399" w14:textId="77777777" w:rsidR="00AA0717" w:rsidRPr="00582B51" w:rsidRDefault="00AA0717" w:rsidP="00AA0717">
            <w:pPr>
              <w:rPr>
                <w:rFonts w:eastAsia="Times New Roman"/>
                <w:color w:val="000000" w:themeColor="text1"/>
                <w:sz w:val="26"/>
                <w:szCs w:val="26"/>
                <w:lang w:val="lv-LV" w:eastAsia="lv-LV"/>
              </w:rPr>
            </w:pPr>
          </w:p>
          <w:p w14:paraId="23CDA264" w14:textId="77777777" w:rsidR="00AA0717" w:rsidRPr="00582B51" w:rsidRDefault="00AA0717" w:rsidP="00AA0717">
            <w:pPr>
              <w:contextualSpacing/>
              <w:rPr>
                <w:rFonts w:eastAsia="Times New Roman"/>
                <w:color w:val="000000" w:themeColor="text1"/>
                <w:sz w:val="26"/>
                <w:szCs w:val="26"/>
                <w:highlight w:val="yellow"/>
                <w:lang w:val="lv-LV" w:eastAsia="lv-LV"/>
              </w:rPr>
            </w:pPr>
          </w:p>
        </w:tc>
        <w:tc>
          <w:tcPr>
            <w:tcW w:w="6662" w:type="dxa"/>
          </w:tcPr>
          <w:p w14:paraId="5F932F3D" w14:textId="77777777" w:rsidR="00AA0717" w:rsidRPr="00582B51" w:rsidRDefault="00AA0717" w:rsidP="00AA0717">
            <w:pPr>
              <w:spacing w:before="120"/>
              <w:jc w:val="both"/>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lastRenderedPageBreak/>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p>
          <w:p w14:paraId="2C881E57" w14:textId="710AB807" w:rsidR="00AA0717" w:rsidRPr="00582B51" w:rsidRDefault="00183E77" w:rsidP="00AA0717">
            <w:pPr>
              <w:spacing w:before="120"/>
              <w:jc w:val="both"/>
              <w:rPr>
                <w:color w:val="000000" w:themeColor="text1"/>
                <w:sz w:val="26"/>
                <w:szCs w:val="26"/>
                <w:lang w:val="lv-LV"/>
              </w:rPr>
            </w:pPr>
            <w:r w:rsidRPr="00582B51">
              <w:rPr>
                <w:color w:val="000000"/>
                <w:sz w:val="26"/>
                <w:szCs w:val="26"/>
                <w:lang w:val="lv-LV" w:eastAsia="lv-LV"/>
              </w:rPr>
              <w:lastRenderedPageBreak/>
              <w:t>Ieilgstot Covid-19 izraisītajai nedrošība un atkārtoti noteiktajiem ierobežojumiem Covid-19 izplatības mazināšanai tirgos turpmākajos mēnešos krasi ietekmēs uzņēmumu finanšu plūsmu un spēju veikt saimniecisko darbību</w:t>
            </w:r>
            <w:r w:rsidR="00AA0717" w:rsidRPr="00582B51">
              <w:rPr>
                <w:color w:val="000000" w:themeColor="text1"/>
                <w:sz w:val="26"/>
                <w:szCs w:val="26"/>
                <w:lang w:val="lv-LV"/>
              </w:rPr>
              <w:t>. Tiek ierobežota ne tikai uzņēmumu pelnīt spēja, tāpat tiek kavēta lēmumu pieņemšana par jaunu biznesa projektu uzsākšanu un īstenošanu. Turklāt jāņem vērā, ka Covid-19 ietekme ir ne tikai tūrisma sektorā, bet arī kopējā mazo un vidējo uzņēmumu (turpmāk - MVU) saimnieciskās darbības līmenī.</w:t>
            </w:r>
          </w:p>
          <w:p w14:paraId="7D00A7A6" w14:textId="3B8C4598" w:rsidR="00AA0717" w:rsidRPr="003524DB" w:rsidRDefault="00AA0717" w:rsidP="00AA0717">
            <w:pPr>
              <w:spacing w:before="120"/>
              <w:jc w:val="both"/>
              <w:rPr>
                <w:iCs/>
                <w:sz w:val="26"/>
                <w:szCs w:val="26"/>
                <w:lang w:val="lv-LV"/>
              </w:rPr>
            </w:pPr>
            <w:r w:rsidRPr="00F2361F">
              <w:rPr>
                <w:color w:val="000000" w:themeColor="text1"/>
                <w:sz w:val="26"/>
                <w:szCs w:val="26"/>
                <w:lang w:val="lv-LV"/>
              </w:rPr>
              <w:t>Attiecīgi MK Noteikumu projekts paredz 60 milj. EUR pārdali (</w:t>
            </w:r>
            <w:r w:rsidRPr="00F2361F">
              <w:rPr>
                <w:iCs/>
                <w:sz w:val="26"/>
                <w:szCs w:val="26"/>
                <w:lang w:val="lv-LV"/>
              </w:rPr>
              <w:t xml:space="preserve">MK 2020.gada 2.jūnija sēdes  prot. Nr.38 49.§ piešķirto finansējumu – informatīvā ziņojuma pielikuma 8.rinda – ES fondu pārdales 35 milj. </w:t>
            </w:r>
            <w:r w:rsidRPr="003524DB">
              <w:rPr>
                <w:iCs/>
                <w:sz w:val="26"/>
                <w:szCs w:val="26"/>
                <w:lang w:val="lv-LV"/>
              </w:rPr>
              <w:t xml:space="preserve">EUR apmērā, un 5.rinda – ES fondu virssaistības 25 milj. EUR apmērā) </w:t>
            </w:r>
            <w:r w:rsidRPr="003524DB">
              <w:rPr>
                <w:color w:val="000000" w:themeColor="text1"/>
                <w:sz w:val="26"/>
                <w:szCs w:val="26"/>
                <w:lang w:val="lv-LV"/>
              </w:rPr>
              <w:t>trīs atbalsta programmām:</w:t>
            </w:r>
          </w:p>
          <w:p w14:paraId="1D2C866A" w14:textId="537C750A" w:rsidR="00AA0717" w:rsidRPr="003524DB" w:rsidRDefault="00AA0717" w:rsidP="00AA0717">
            <w:pPr>
              <w:pStyle w:val="ListParagraph"/>
              <w:numPr>
                <w:ilvl w:val="0"/>
                <w:numId w:val="20"/>
              </w:numPr>
              <w:spacing w:before="120"/>
              <w:ind w:left="388"/>
              <w:contextualSpacing w:val="0"/>
              <w:rPr>
                <w:rFonts w:eastAsia="Times New Roman"/>
                <w:color w:val="000000" w:themeColor="text1"/>
                <w:sz w:val="26"/>
                <w:szCs w:val="26"/>
                <w:lang w:val="lv-LV"/>
              </w:rPr>
            </w:pPr>
            <w:r w:rsidRPr="003524DB">
              <w:rPr>
                <w:rFonts w:eastAsia="Times New Roman"/>
                <w:color w:val="000000" w:themeColor="text1"/>
                <w:sz w:val="26"/>
                <w:szCs w:val="26"/>
                <w:lang w:val="lv-LV"/>
              </w:rPr>
              <w:t xml:space="preserve">starta aizdevumiem - </w:t>
            </w:r>
            <w:bookmarkStart w:id="6" w:name="_Hlk50472517"/>
            <w:r w:rsidRPr="003524DB">
              <w:rPr>
                <w:rFonts w:eastAsia="Times New Roman"/>
                <w:color w:val="000000" w:themeColor="text1"/>
                <w:sz w:val="26"/>
                <w:szCs w:val="26"/>
                <w:lang w:val="lv-LV"/>
              </w:rPr>
              <w:t xml:space="preserve">10 milj. </w:t>
            </w:r>
            <w:r w:rsidRPr="009C31E2">
              <w:rPr>
                <w:rFonts w:eastAsia="Times New Roman"/>
                <w:color w:val="000000" w:themeColor="text1"/>
                <w:sz w:val="26"/>
                <w:szCs w:val="26"/>
                <w:lang w:val="lv-LV"/>
              </w:rPr>
              <w:t xml:space="preserve">EUR (no 35 milj. EUR </w:t>
            </w:r>
            <w:bookmarkStart w:id="7" w:name="_Hlk58454595"/>
            <w:r w:rsidR="009C31E2" w:rsidRPr="009C31E2">
              <w:rPr>
                <w:sz w:val="26"/>
                <w:szCs w:val="26"/>
                <w:lang w:val="lv-LV"/>
              </w:rPr>
              <w:t xml:space="preserve">Eiropas Reģionālā attīstības fonda </w:t>
            </w:r>
            <w:bookmarkEnd w:id="7"/>
            <w:r w:rsidR="009C31E2" w:rsidRPr="009C31E2">
              <w:rPr>
                <w:sz w:val="26"/>
                <w:szCs w:val="26"/>
                <w:lang w:val="lv-LV"/>
              </w:rPr>
              <w:t>(turpmāk – ERAF</w:t>
            </w:r>
            <w:r w:rsidRPr="009C31E2">
              <w:rPr>
                <w:rFonts w:eastAsia="Times New Roman"/>
                <w:color w:val="000000" w:themeColor="text1"/>
                <w:sz w:val="26"/>
                <w:szCs w:val="26"/>
                <w:lang w:val="lv-LV"/>
              </w:rPr>
              <w:t>)</w:t>
            </w:r>
            <w:bookmarkEnd w:id="6"/>
            <w:r w:rsidRPr="009C31E2">
              <w:rPr>
                <w:rFonts w:eastAsia="Times New Roman"/>
                <w:color w:val="000000" w:themeColor="text1"/>
                <w:sz w:val="26"/>
                <w:szCs w:val="26"/>
                <w:lang w:val="lv-LV"/>
              </w:rPr>
              <w:t>;</w:t>
            </w:r>
          </w:p>
          <w:p w14:paraId="502D54C4" w14:textId="77777777" w:rsidR="00AA0717" w:rsidRPr="00582B51" w:rsidRDefault="00AA0717" w:rsidP="00AA0717">
            <w:pPr>
              <w:pStyle w:val="ListParagraph"/>
              <w:numPr>
                <w:ilvl w:val="0"/>
                <w:numId w:val="20"/>
              </w:numPr>
              <w:spacing w:before="120"/>
              <w:ind w:left="388"/>
              <w:contextualSpacing w:val="0"/>
              <w:jc w:val="both"/>
              <w:rPr>
                <w:rFonts w:eastAsia="Times New Roman"/>
                <w:color w:val="000000" w:themeColor="text1"/>
                <w:sz w:val="26"/>
                <w:szCs w:val="26"/>
                <w:lang w:val="lv-LV"/>
              </w:rPr>
            </w:pPr>
            <w:bookmarkStart w:id="8" w:name="_Hlk50472616"/>
            <w:r w:rsidRPr="00582B51">
              <w:rPr>
                <w:rFonts w:eastAsia="Times New Roman"/>
                <w:color w:val="000000" w:themeColor="text1"/>
                <w:sz w:val="26"/>
                <w:szCs w:val="26"/>
                <w:lang w:val="lv-LV"/>
              </w:rPr>
              <w:t xml:space="preserve">MVU tiešie aizdevumiem - 32 milj. EUR (25 milj. EUR no 35 milj. EUR ERAF un 7 milj. EUR no 25 milj. EUR </w:t>
            </w:r>
            <w:proofErr w:type="spellStart"/>
            <w:r w:rsidRPr="00582B51">
              <w:rPr>
                <w:rFonts w:eastAsia="Times New Roman"/>
                <w:color w:val="000000" w:themeColor="text1"/>
                <w:sz w:val="26"/>
                <w:szCs w:val="26"/>
                <w:lang w:val="lv-LV"/>
              </w:rPr>
              <w:t>virssaistībām</w:t>
            </w:r>
            <w:proofErr w:type="spellEnd"/>
            <w:r w:rsidRPr="00582B51">
              <w:rPr>
                <w:rFonts w:eastAsia="Times New Roman"/>
                <w:color w:val="000000" w:themeColor="text1"/>
                <w:sz w:val="26"/>
                <w:szCs w:val="26"/>
                <w:lang w:val="lv-LV"/>
              </w:rPr>
              <w:t>);</w:t>
            </w:r>
          </w:p>
          <w:p w14:paraId="7619CF3F" w14:textId="77777777" w:rsidR="00AA0717" w:rsidRPr="00582B51" w:rsidRDefault="00AA0717" w:rsidP="00AA0717">
            <w:pPr>
              <w:pStyle w:val="ListParagraph"/>
              <w:numPr>
                <w:ilvl w:val="0"/>
                <w:numId w:val="20"/>
              </w:numPr>
              <w:spacing w:before="120"/>
              <w:ind w:left="388"/>
              <w:contextualSpacing w:val="0"/>
              <w:jc w:val="both"/>
              <w:rPr>
                <w:color w:val="000000" w:themeColor="text1"/>
                <w:sz w:val="26"/>
                <w:szCs w:val="26"/>
                <w:lang w:val="lv-LV"/>
              </w:rPr>
            </w:pPr>
            <w:bookmarkStart w:id="9" w:name="_Hlk50472807"/>
            <w:bookmarkEnd w:id="8"/>
            <w:r w:rsidRPr="00582B51">
              <w:rPr>
                <w:rFonts w:eastAsia="Times New Roman"/>
                <w:color w:val="000000" w:themeColor="text1"/>
                <w:sz w:val="26"/>
                <w:szCs w:val="26"/>
                <w:lang w:val="lv-LV"/>
              </w:rPr>
              <w:t xml:space="preserve">garantijas tūrisma operatoriem - 18 milj. EUR (18 milj. EUR no 25 milj. EUR </w:t>
            </w:r>
            <w:proofErr w:type="spellStart"/>
            <w:r w:rsidRPr="00582B51">
              <w:rPr>
                <w:rFonts w:eastAsia="Times New Roman"/>
                <w:color w:val="000000" w:themeColor="text1"/>
                <w:sz w:val="26"/>
                <w:szCs w:val="26"/>
                <w:lang w:val="lv-LV"/>
              </w:rPr>
              <w:t>virssaistībām</w:t>
            </w:r>
            <w:proofErr w:type="spellEnd"/>
            <w:r w:rsidRPr="00582B51">
              <w:rPr>
                <w:rFonts w:eastAsia="Times New Roman"/>
                <w:color w:val="000000" w:themeColor="text1"/>
                <w:sz w:val="26"/>
                <w:szCs w:val="26"/>
                <w:lang w:val="lv-LV"/>
              </w:rPr>
              <w:t xml:space="preserve">). </w:t>
            </w:r>
          </w:p>
          <w:bookmarkEnd w:id="9"/>
          <w:p w14:paraId="5730A13E" w14:textId="7209B00E" w:rsidR="00AA0717" w:rsidRPr="00582B51" w:rsidRDefault="00AA0717" w:rsidP="00AA0717">
            <w:pPr>
              <w:spacing w:before="120"/>
              <w:jc w:val="both"/>
              <w:rPr>
                <w:color w:val="000000" w:themeColor="text1"/>
                <w:sz w:val="26"/>
                <w:szCs w:val="26"/>
                <w:lang w:val="lv-LV"/>
              </w:rPr>
            </w:pPr>
            <w:r w:rsidRPr="00582B51">
              <w:rPr>
                <w:color w:val="000000" w:themeColor="text1"/>
                <w:sz w:val="26"/>
                <w:szCs w:val="26"/>
                <w:lang w:val="lv-LV"/>
              </w:rPr>
              <w:t>MK Noteikumu projekts paredz palielināt līdz ar piešķirto finansējumu saistītos specifiskā atbalsta mērķa rādītājus</w:t>
            </w:r>
            <w:r w:rsidR="0078278D" w:rsidRPr="00582B51">
              <w:rPr>
                <w:color w:val="000000" w:themeColor="text1"/>
                <w:sz w:val="26"/>
                <w:szCs w:val="26"/>
                <w:lang w:val="lv-LV"/>
              </w:rPr>
              <w:t xml:space="preserve"> gan ERAF finansējumam, gan virssaistību finansējumam</w:t>
            </w:r>
            <w:r w:rsidRPr="00582B51">
              <w:rPr>
                <w:color w:val="000000" w:themeColor="text1"/>
                <w:sz w:val="26"/>
                <w:szCs w:val="26"/>
                <w:lang w:val="lv-LV"/>
              </w:rPr>
              <w:t>.</w:t>
            </w:r>
          </w:p>
          <w:p w14:paraId="78B40EE8" w14:textId="418E55DF" w:rsidR="0052346C" w:rsidRPr="00582B51" w:rsidRDefault="0052346C" w:rsidP="00AA0717">
            <w:pPr>
              <w:spacing w:before="120"/>
              <w:jc w:val="both"/>
              <w:rPr>
                <w:color w:val="000000" w:themeColor="text1"/>
                <w:sz w:val="26"/>
                <w:szCs w:val="26"/>
                <w:lang w:val="lv-LV"/>
              </w:rPr>
            </w:pPr>
            <w:r w:rsidRPr="00582B51">
              <w:rPr>
                <w:color w:val="000000" w:themeColor="text1"/>
                <w:sz w:val="26"/>
                <w:szCs w:val="26"/>
                <w:lang w:val="lv-LV"/>
              </w:rPr>
              <w:t>Rādītāji noteikti, ņemot vērā līdz šim Starta aizdevumu, MVU tiešo aizdevumu un garantiju programmās ietverto un atbalsta programmu īstenošanas apguvi, ņemot vērā atbalstīto unikālo komersantu skaitu un nosakot rādītāju minimālo apmēru, ievērojot</w:t>
            </w:r>
            <w:r w:rsidR="00206331">
              <w:rPr>
                <w:color w:val="000000" w:themeColor="text1"/>
                <w:sz w:val="26"/>
                <w:szCs w:val="26"/>
                <w:lang w:val="lv-LV"/>
              </w:rPr>
              <w:t xml:space="preserve"> Darbības programmas “Izaugsmei un nodarbinātībai”</w:t>
            </w:r>
            <w:r w:rsidRPr="00582B51">
              <w:rPr>
                <w:color w:val="000000" w:themeColor="text1"/>
                <w:sz w:val="26"/>
                <w:szCs w:val="26"/>
                <w:lang w:val="lv-LV"/>
              </w:rPr>
              <w:t xml:space="preserve"> nosacījumus par rādītāju apguvi.</w:t>
            </w:r>
          </w:p>
          <w:p w14:paraId="1941B09C" w14:textId="1C090F2C" w:rsidR="00182EDF" w:rsidRPr="00582B51" w:rsidRDefault="00182EDF" w:rsidP="00AA0717">
            <w:pPr>
              <w:pStyle w:val="Default"/>
              <w:spacing w:before="120"/>
              <w:jc w:val="both"/>
              <w:rPr>
                <w:rFonts w:ascii="Times New Roman" w:hAnsi="Times New Roman" w:cs="Times New Roman"/>
                <w:sz w:val="26"/>
                <w:szCs w:val="26"/>
              </w:rPr>
            </w:pPr>
            <w:r w:rsidRPr="00582B51">
              <w:rPr>
                <w:rFonts w:ascii="Times New Roman" w:hAnsi="Times New Roman" w:cs="Times New Roman"/>
                <w:sz w:val="26"/>
                <w:szCs w:val="26"/>
              </w:rPr>
              <w:t xml:space="preserve">Ņemot vērā, ka MK Noteikumu projekts paredz ERAF finansējuma pārdali 35 milj. EUR apmērā, </w:t>
            </w:r>
            <w:r w:rsidR="0052346C" w:rsidRPr="00582B51">
              <w:rPr>
                <w:rFonts w:ascii="Times New Roman" w:hAnsi="Times New Roman" w:cs="Times New Roman"/>
                <w:sz w:val="26"/>
                <w:szCs w:val="26"/>
              </w:rPr>
              <w:t xml:space="preserve">Fondu fonda </w:t>
            </w:r>
            <w:r w:rsidRPr="00582B51">
              <w:rPr>
                <w:rFonts w:ascii="Times New Roman" w:hAnsi="Times New Roman" w:cs="Times New Roman"/>
                <w:sz w:val="26"/>
                <w:szCs w:val="26"/>
              </w:rPr>
              <w:t xml:space="preserve">ietvaros veiktais ERAF  līdzekļu ieguldījums sabiedrībā “Altum” nepārsniegs Eiropas Komisijas 2015.gada 9.jūnija lēmumā “Par valsts atbalstu SA.36904 (2014/N) 24.punktā noteikto ieguldījuma apjomu. </w:t>
            </w:r>
          </w:p>
          <w:p w14:paraId="2297D025" w14:textId="5EDDBBBE" w:rsidR="00582B51" w:rsidRPr="00206331" w:rsidRDefault="00582B51" w:rsidP="00AA0717">
            <w:pPr>
              <w:pStyle w:val="Default"/>
              <w:spacing w:before="120"/>
              <w:jc w:val="both"/>
              <w:rPr>
                <w:rFonts w:ascii="Times New Roman" w:hAnsi="Times New Roman" w:cs="Times New Roman"/>
                <w:sz w:val="26"/>
                <w:szCs w:val="26"/>
              </w:rPr>
            </w:pPr>
            <w:r w:rsidRPr="00582B51">
              <w:rPr>
                <w:rFonts w:ascii="Times New Roman" w:hAnsi="Times New Roman"/>
                <w:sz w:val="26"/>
                <w:szCs w:val="26"/>
              </w:rPr>
              <w:t xml:space="preserve">Šajos noteikumos piešķirtais </w:t>
            </w:r>
            <w:r w:rsidRPr="00582B51">
              <w:rPr>
                <w:rFonts w:ascii="Times New Roman" w:hAnsi="Times New Roman" w:cs="Times New Roman"/>
                <w:sz w:val="26"/>
                <w:szCs w:val="26"/>
              </w:rPr>
              <w:t xml:space="preserve">ERAF finansējums </w:t>
            </w:r>
            <w:r w:rsidRPr="00582B51">
              <w:rPr>
                <w:rFonts w:ascii="Times New Roman" w:hAnsi="Times New Roman"/>
                <w:sz w:val="26"/>
                <w:szCs w:val="26"/>
              </w:rPr>
              <w:t>finanšu instrumentiem un Fondu fondam</w:t>
            </w:r>
            <w:r w:rsidRPr="00582B51">
              <w:rPr>
                <w:rFonts w:ascii="Times New Roman" w:hAnsi="Times New Roman" w:cs="Times New Roman"/>
                <w:sz w:val="26"/>
                <w:szCs w:val="26"/>
              </w:rPr>
              <w:t xml:space="preserve"> būs pieejams</w:t>
            </w:r>
            <w:r w:rsidR="008B3C04">
              <w:rPr>
                <w:rFonts w:ascii="Times New Roman" w:hAnsi="Times New Roman" w:cs="Times New Roman"/>
                <w:sz w:val="26"/>
                <w:szCs w:val="26"/>
              </w:rPr>
              <w:t xml:space="preserve"> un ar MK Noteikumu ietverot normu par papildus pieejamo</w:t>
            </w:r>
            <w:r w:rsidR="008B3C04" w:rsidRPr="00582B51">
              <w:rPr>
                <w:rFonts w:ascii="Times New Roman" w:hAnsi="Times New Roman" w:cs="Times New Roman"/>
                <w:sz w:val="26"/>
                <w:szCs w:val="26"/>
              </w:rPr>
              <w:t xml:space="preserve"> finansējum</w:t>
            </w:r>
            <w:r w:rsidR="008B3C04">
              <w:rPr>
                <w:rFonts w:ascii="Times New Roman" w:hAnsi="Times New Roman" w:cs="Times New Roman"/>
                <w:sz w:val="26"/>
                <w:szCs w:val="26"/>
              </w:rPr>
              <w:t>u attiecināšana tiks nodrošināta</w:t>
            </w:r>
            <w:r w:rsidRPr="00582B51">
              <w:rPr>
                <w:rFonts w:ascii="Times New Roman" w:hAnsi="Times New Roman" w:cs="Times New Roman"/>
                <w:sz w:val="26"/>
                <w:szCs w:val="26"/>
              </w:rPr>
              <w:t xml:space="preserve"> tikai pēc D</w:t>
            </w:r>
            <w:r w:rsidRPr="00582B51">
              <w:rPr>
                <w:rFonts w:ascii="Times New Roman" w:hAnsi="Times New Roman"/>
                <w:sz w:val="26"/>
                <w:szCs w:val="26"/>
              </w:rPr>
              <w:t>arbības programmas</w:t>
            </w:r>
            <w:r w:rsidRPr="00582B51">
              <w:rPr>
                <w:rFonts w:ascii="Times New Roman" w:hAnsi="Times New Roman" w:cs="Times New Roman"/>
                <w:sz w:val="26"/>
                <w:szCs w:val="26"/>
              </w:rPr>
              <w:t xml:space="preserve"> </w:t>
            </w:r>
            <w:r w:rsidR="00206331" w:rsidRPr="00206331">
              <w:rPr>
                <w:rFonts w:ascii="Times New Roman" w:hAnsi="Times New Roman" w:cs="Times New Roman"/>
                <w:color w:val="000000" w:themeColor="text1"/>
                <w:sz w:val="26"/>
                <w:szCs w:val="26"/>
              </w:rPr>
              <w:t xml:space="preserve">“Izaugsmei un nodarbinātībai” </w:t>
            </w:r>
            <w:r w:rsidRPr="00206331">
              <w:rPr>
                <w:rFonts w:ascii="Times New Roman" w:hAnsi="Times New Roman" w:cs="Times New Roman"/>
                <w:sz w:val="26"/>
                <w:szCs w:val="26"/>
              </w:rPr>
              <w:t>grozījumu saskaņošanas ar Eiropas Komisiju</w:t>
            </w:r>
            <w:r w:rsidR="00330F5A" w:rsidRPr="00206331">
              <w:rPr>
                <w:rFonts w:ascii="Times New Roman" w:hAnsi="Times New Roman" w:cs="Times New Roman"/>
                <w:sz w:val="26"/>
                <w:szCs w:val="26"/>
              </w:rPr>
              <w:t>.</w:t>
            </w:r>
          </w:p>
          <w:p w14:paraId="39A4AF94" w14:textId="7C6D5B68" w:rsidR="00330F5A" w:rsidRPr="00582B51" w:rsidRDefault="00330F5A" w:rsidP="00AA0717">
            <w:pPr>
              <w:pStyle w:val="Default"/>
              <w:spacing w:before="120"/>
              <w:jc w:val="both"/>
              <w:rPr>
                <w:rFonts w:ascii="Times New Roman" w:hAnsi="Times New Roman" w:cs="Times New Roman"/>
                <w:sz w:val="26"/>
                <w:szCs w:val="26"/>
              </w:rPr>
            </w:pPr>
            <w:r>
              <w:rPr>
                <w:rFonts w:ascii="Times New Roman" w:hAnsi="Times New Roman"/>
                <w:sz w:val="26"/>
                <w:szCs w:val="26"/>
              </w:rPr>
              <w:lastRenderedPageBreak/>
              <w:t>Sabiedrība “Altum” ir informēta</w:t>
            </w:r>
            <w:r w:rsidR="008B3C04">
              <w:rPr>
                <w:rFonts w:ascii="Times New Roman" w:hAnsi="Times New Roman"/>
                <w:sz w:val="26"/>
                <w:szCs w:val="26"/>
              </w:rPr>
              <w:t xml:space="preserve"> un attiecīgi nodrošinās</w:t>
            </w:r>
            <w:r>
              <w:rPr>
                <w:rFonts w:ascii="Times New Roman" w:hAnsi="Times New Roman"/>
                <w:sz w:val="26"/>
                <w:szCs w:val="26"/>
              </w:rPr>
              <w:t>, ka esošais finansējums, ka arī papildus novirzītais ERAF finansējums ir jāinvestē gala saņēmējos līdz ERAF attiecināmības periodam, t.i. 2023.gada 31.decembrim</w:t>
            </w:r>
            <w:r w:rsidR="00206331">
              <w:rPr>
                <w:rFonts w:ascii="Times New Roman" w:hAnsi="Times New Roman"/>
                <w:sz w:val="26"/>
                <w:szCs w:val="26"/>
              </w:rPr>
              <w:t>.</w:t>
            </w:r>
          </w:p>
          <w:p w14:paraId="7FA69D03" w14:textId="74F04AAC" w:rsidR="00AA0717" w:rsidRPr="00582B51" w:rsidRDefault="00206331" w:rsidP="00AA0717">
            <w:pPr>
              <w:pStyle w:val="Default"/>
              <w:spacing w:before="120"/>
              <w:jc w:val="both"/>
              <w:rPr>
                <w:rFonts w:ascii="Times New Roman" w:hAnsi="Times New Roman" w:cs="Times New Roman"/>
                <w:sz w:val="26"/>
                <w:szCs w:val="26"/>
              </w:rPr>
            </w:pPr>
            <w:r>
              <w:rPr>
                <w:rFonts w:ascii="Times New Roman" w:hAnsi="Times New Roman" w:cs="Times New Roman"/>
                <w:sz w:val="26"/>
                <w:szCs w:val="26"/>
              </w:rPr>
              <w:t>S</w:t>
            </w:r>
            <w:r w:rsidR="00AA0717" w:rsidRPr="00582B51">
              <w:rPr>
                <w:rFonts w:ascii="Times New Roman" w:hAnsi="Times New Roman" w:cs="Times New Roman"/>
                <w:sz w:val="26"/>
                <w:szCs w:val="26"/>
              </w:rPr>
              <w:t xml:space="preserve">abiedrība </w:t>
            </w:r>
            <w:r w:rsidR="00AA0717" w:rsidRPr="003524DB">
              <w:rPr>
                <w:rFonts w:ascii="Times New Roman" w:hAnsi="Times New Roman" w:cs="Times New Roman"/>
                <w:sz w:val="26"/>
                <w:szCs w:val="26"/>
              </w:rPr>
              <w:t xml:space="preserve">“Altum” ievieš Fondu </w:t>
            </w:r>
            <w:proofErr w:type="spellStart"/>
            <w:r w:rsidR="00AA0717" w:rsidRPr="003524DB">
              <w:rPr>
                <w:rFonts w:ascii="Times New Roman" w:hAnsi="Times New Roman" w:cs="Times New Roman"/>
                <w:sz w:val="26"/>
                <w:szCs w:val="26"/>
              </w:rPr>
              <w:t>fondu</w:t>
            </w:r>
            <w:proofErr w:type="spellEnd"/>
            <w:r w:rsidR="00AA0717" w:rsidRPr="003524DB">
              <w:rPr>
                <w:rFonts w:ascii="Times New Roman" w:hAnsi="Times New Roman" w:cs="Times New Roman"/>
                <w:sz w:val="26"/>
                <w:szCs w:val="26"/>
              </w:rPr>
              <w:t xml:space="preserve"> un atbilstošos finanšu instrumentus no 2016. gada 8. jūnija, atbilstoši Finansēšanas nolīgumam, kas noslēgts starp Centrālo finanšu un līgumu aģentūru (turpmāk – CFLA</w:t>
            </w:r>
            <w:r w:rsidR="00AA0717" w:rsidRPr="00582B51">
              <w:rPr>
                <w:rFonts w:ascii="Times New Roman" w:hAnsi="Times New Roman" w:cs="Times New Roman"/>
                <w:sz w:val="26"/>
                <w:szCs w:val="26"/>
              </w:rPr>
              <w:t xml:space="preserve">) un sabiedrību “Altum”. </w:t>
            </w:r>
            <w:bookmarkStart w:id="10" w:name="_Hlk55472805"/>
            <w:r>
              <w:rPr>
                <w:rFonts w:ascii="Times New Roman" w:hAnsi="Times New Roman" w:cs="Times New Roman"/>
                <w:sz w:val="26"/>
                <w:szCs w:val="26"/>
              </w:rPr>
              <w:t>S</w:t>
            </w:r>
            <w:r w:rsidRPr="00582B51">
              <w:rPr>
                <w:rFonts w:ascii="Times New Roman" w:hAnsi="Times New Roman" w:cs="Times New Roman"/>
                <w:sz w:val="26"/>
                <w:szCs w:val="26"/>
              </w:rPr>
              <w:t xml:space="preserve">abiedrība </w:t>
            </w:r>
            <w:r w:rsidRPr="003524DB">
              <w:rPr>
                <w:rFonts w:ascii="Times New Roman" w:hAnsi="Times New Roman" w:cs="Times New Roman"/>
                <w:sz w:val="26"/>
                <w:szCs w:val="26"/>
              </w:rPr>
              <w:t xml:space="preserve">“Altum” </w:t>
            </w:r>
            <w:r w:rsidR="00AA0717" w:rsidRPr="00582B51">
              <w:rPr>
                <w:rFonts w:ascii="Times New Roman" w:hAnsi="Times New Roman" w:cs="Times New Roman"/>
                <w:sz w:val="26"/>
                <w:szCs w:val="26"/>
              </w:rPr>
              <w:t xml:space="preserve">ir noteikta kā Fondu fonda ieviesējs saskaņā ar Regulas 1303/2013 38.panta 4.apakšpunkta b) daļas iii)apakšpunktu, nepiemērojot iepirkuma procedūru, kas atbilstoši struktūrfondu regulējumam, ļauj vienoties par vadības izmaksu kompensēšanas kārtību. </w:t>
            </w:r>
          </w:p>
          <w:bookmarkEnd w:id="10"/>
          <w:p w14:paraId="35E285F5" w14:textId="5CFDAAAF" w:rsidR="00AA0717" w:rsidRPr="00582B51" w:rsidRDefault="00AA0717" w:rsidP="00AA0717">
            <w:pPr>
              <w:spacing w:before="120"/>
              <w:jc w:val="both"/>
              <w:rPr>
                <w:sz w:val="26"/>
                <w:szCs w:val="26"/>
                <w:lang w:val="lv-LV"/>
              </w:rPr>
            </w:pPr>
            <w:r w:rsidRPr="00582B51">
              <w:rPr>
                <w:color w:val="000000" w:themeColor="text1"/>
                <w:sz w:val="26"/>
                <w:szCs w:val="26"/>
                <w:lang w:val="lv-LV"/>
              </w:rPr>
              <w:t xml:space="preserve">MK Noteikumu projekta </w:t>
            </w:r>
            <w:r w:rsidR="00206331">
              <w:rPr>
                <w:sz w:val="26"/>
                <w:szCs w:val="26"/>
                <w:lang w:val="lv-LV"/>
              </w:rPr>
              <w:t>uzdevums</w:t>
            </w:r>
            <w:r w:rsidRPr="00582B51">
              <w:rPr>
                <w:sz w:val="26"/>
                <w:szCs w:val="26"/>
                <w:lang w:val="lv-LV"/>
              </w:rPr>
              <w:t xml:space="preserve"> ir mazināt administratīvo slogu valsts atbalsta programmu īstenošanā, pārejot no vadības izmaksu kompensācijas uz vadības maksu</w:t>
            </w:r>
            <w:r w:rsidR="00330F5A">
              <w:rPr>
                <w:sz w:val="26"/>
                <w:szCs w:val="26"/>
                <w:lang w:val="lv-LV"/>
              </w:rPr>
              <w:t xml:space="preserve">, kas paredzētu </w:t>
            </w:r>
            <w:proofErr w:type="spellStart"/>
            <w:r w:rsidR="00206331">
              <w:rPr>
                <w:sz w:val="26"/>
                <w:szCs w:val="26"/>
              </w:rPr>
              <w:t>s</w:t>
            </w:r>
            <w:r w:rsidR="00206331" w:rsidRPr="00582B51">
              <w:rPr>
                <w:sz w:val="26"/>
                <w:szCs w:val="26"/>
              </w:rPr>
              <w:t>abiedrība</w:t>
            </w:r>
            <w:r w:rsidR="00206331">
              <w:rPr>
                <w:sz w:val="26"/>
                <w:szCs w:val="26"/>
              </w:rPr>
              <w:t>s</w:t>
            </w:r>
            <w:proofErr w:type="spellEnd"/>
            <w:r w:rsidR="00206331" w:rsidRPr="00582B51">
              <w:rPr>
                <w:sz w:val="26"/>
                <w:szCs w:val="26"/>
              </w:rPr>
              <w:t xml:space="preserve"> </w:t>
            </w:r>
            <w:r w:rsidR="00206331" w:rsidRPr="003524DB">
              <w:rPr>
                <w:sz w:val="26"/>
                <w:szCs w:val="26"/>
              </w:rPr>
              <w:t xml:space="preserve">“Altum” </w:t>
            </w:r>
            <w:r w:rsidR="00330F5A">
              <w:rPr>
                <w:sz w:val="26"/>
                <w:szCs w:val="26"/>
                <w:lang w:val="lv-LV"/>
              </w:rPr>
              <w:t xml:space="preserve">maksājuma pieprasījumos CFLA </w:t>
            </w:r>
            <w:r w:rsidR="00B91718">
              <w:rPr>
                <w:sz w:val="26"/>
                <w:szCs w:val="26"/>
                <w:lang w:val="lv-LV"/>
              </w:rPr>
              <w:t xml:space="preserve">attiecināšanai vadības izdevumus, ievērojot noteiktās robežvērtības, bet  </w:t>
            </w:r>
            <w:proofErr w:type="spellStart"/>
            <w:r w:rsidR="00B91718" w:rsidRPr="009F26D8">
              <w:rPr>
                <w:sz w:val="26"/>
                <w:szCs w:val="26"/>
                <w:lang w:val="lv-LV"/>
              </w:rPr>
              <w:t>ne</w:t>
            </w:r>
            <w:r w:rsidR="00B91718">
              <w:rPr>
                <w:sz w:val="26"/>
                <w:szCs w:val="26"/>
                <w:lang w:val="lv-LV"/>
              </w:rPr>
              <w:t>nenorādot</w:t>
            </w:r>
            <w:proofErr w:type="spellEnd"/>
            <w:r w:rsidR="00B91718" w:rsidRPr="009F26D8">
              <w:rPr>
                <w:sz w:val="26"/>
                <w:szCs w:val="26"/>
                <w:lang w:val="lv-LV"/>
              </w:rPr>
              <w:t xml:space="preserve"> visus ar programmu vadību saistīto izdevumu rēķinus un šo rēķinu proporcionālās daļas sadalījumā pa finanšu instrumentiem</w:t>
            </w:r>
            <w:r w:rsidRPr="00582B51">
              <w:rPr>
                <w:sz w:val="26"/>
                <w:szCs w:val="26"/>
                <w:lang w:val="lv-LV"/>
              </w:rPr>
              <w:t xml:space="preserve">. </w:t>
            </w:r>
          </w:p>
          <w:p w14:paraId="4E39EA3C" w14:textId="180EFC7D" w:rsidR="00AA0717" w:rsidRDefault="00AA0717" w:rsidP="00AA0717">
            <w:pPr>
              <w:pStyle w:val="xxxmsonormal"/>
              <w:spacing w:before="120"/>
              <w:jc w:val="both"/>
              <w:rPr>
                <w:rFonts w:ascii="Times New Roman" w:hAnsi="Times New Roman" w:cs="Times New Roman"/>
                <w:sz w:val="26"/>
                <w:szCs w:val="26"/>
              </w:rPr>
            </w:pPr>
            <w:r w:rsidRPr="00582B51">
              <w:rPr>
                <w:rFonts w:ascii="Times New Roman" w:hAnsi="Times New Roman" w:cs="Times New Roman"/>
                <w:sz w:val="26"/>
                <w:szCs w:val="26"/>
              </w:rPr>
              <w:t xml:space="preserve">Būtiskākā atšķirība vadības izdevumu segšanā starp </w:t>
            </w:r>
            <w:r w:rsidRPr="00F2361F">
              <w:rPr>
                <w:rFonts w:ascii="Times New Roman" w:hAnsi="Times New Roman" w:cs="Times New Roman"/>
                <w:sz w:val="26"/>
                <w:szCs w:val="26"/>
              </w:rPr>
              <w:t>vadības izmaksu kompensēšanu un vadības maksu ir tajā, cik detalizēti ieviesēja institūcijai sabiedrībai “Altum”</w:t>
            </w:r>
            <w:r w:rsidR="00CE0C3B" w:rsidRPr="00F2361F">
              <w:rPr>
                <w:rFonts w:ascii="Times New Roman" w:hAnsi="Times New Roman" w:cs="Times New Roman"/>
                <w:sz w:val="26"/>
                <w:szCs w:val="26"/>
              </w:rPr>
              <w:t xml:space="preserve"> </w:t>
            </w:r>
            <w:r w:rsidRPr="003524DB">
              <w:rPr>
                <w:rFonts w:ascii="Times New Roman" w:hAnsi="Times New Roman" w:cs="Times New Roman"/>
                <w:sz w:val="26"/>
                <w:szCs w:val="26"/>
              </w:rPr>
              <w:t xml:space="preserve">izdevumu attiecināšanai ir jāpamato un CFLA jāpārbauda vadības izdevumu rašanās. </w:t>
            </w:r>
          </w:p>
          <w:p w14:paraId="1EDBDEA9" w14:textId="7614A583" w:rsidR="00AA0717" w:rsidRPr="00582B51" w:rsidRDefault="00330F5A" w:rsidP="00AA0717">
            <w:pPr>
              <w:pStyle w:val="xxxmsonormal"/>
              <w:spacing w:before="120"/>
              <w:jc w:val="both"/>
              <w:rPr>
                <w:rFonts w:ascii="Times New Roman" w:hAnsi="Times New Roman" w:cs="Times New Roman"/>
                <w:sz w:val="26"/>
                <w:szCs w:val="26"/>
              </w:rPr>
            </w:pPr>
            <w:r w:rsidRPr="003524DB">
              <w:rPr>
                <w:rFonts w:ascii="Times New Roman" w:hAnsi="Times New Roman" w:cs="Times New Roman"/>
                <w:sz w:val="26"/>
                <w:szCs w:val="26"/>
              </w:rPr>
              <w:t>Regulas Nr. 1303/2013 42. panta 5. punkts nosaka, ka izmaksas kompensē</w:t>
            </w:r>
            <w:r w:rsidR="00206331">
              <w:rPr>
                <w:rFonts w:ascii="Times New Roman" w:hAnsi="Times New Roman" w:cs="Times New Roman"/>
                <w:sz w:val="26"/>
                <w:szCs w:val="26"/>
              </w:rPr>
              <w:t>,</w:t>
            </w:r>
            <w:r w:rsidRPr="003524DB">
              <w:rPr>
                <w:rFonts w:ascii="Times New Roman" w:hAnsi="Times New Roman" w:cs="Times New Roman"/>
                <w:sz w:val="26"/>
                <w:szCs w:val="26"/>
              </w:rPr>
              <w:t xml:space="preserve"> atbilstoši izdevumu pamatojumam, bet maksu nosaka atbilstīgi saskaņotai sniegto pakalpojumu cenai. Sabiedrība “Altum” ir </w:t>
            </w:r>
            <w:r w:rsidRPr="00206331">
              <w:rPr>
                <w:rFonts w:ascii="Times New Roman" w:hAnsi="Times New Roman" w:cs="Times New Roman"/>
                <w:sz w:val="26"/>
                <w:szCs w:val="26"/>
              </w:rPr>
              <w:t xml:space="preserve">izstrādājusi vadības maksas apmēru, pamatojoties uz </w:t>
            </w:r>
            <w:r w:rsidR="003050F9">
              <w:rPr>
                <w:rFonts w:ascii="Times New Roman" w:hAnsi="Times New Roman" w:cs="Times New Roman"/>
                <w:sz w:val="26"/>
                <w:szCs w:val="26"/>
              </w:rPr>
              <w:t>F</w:t>
            </w:r>
            <w:r w:rsidRPr="00206331">
              <w:rPr>
                <w:rFonts w:ascii="Times New Roman" w:hAnsi="Times New Roman" w:cs="Times New Roman"/>
                <w:sz w:val="26"/>
                <w:szCs w:val="26"/>
              </w:rPr>
              <w:t>ondu fonda un MK noteikumos</w:t>
            </w:r>
            <w:r w:rsidR="00206331" w:rsidRPr="00206331">
              <w:rPr>
                <w:rFonts w:ascii="Times New Roman" w:hAnsi="Times New Roman" w:cs="Times New Roman"/>
                <w:bCs/>
                <w:sz w:val="26"/>
                <w:szCs w:val="26"/>
              </w:rPr>
              <w:t xml:space="preserve"> Nr.118 </w:t>
            </w:r>
            <w:r w:rsidRPr="00206331">
              <w:rPr>
                <w:rFonts w:ascii="Times New Roman" w:hAnsi="Times New Roman" w:cs="Times New Roman"/>
                <w:sz w:val="26"/>
                <w:szCs w:val="26"/>
              </w:rPr>
              <w:t xml:space="preserve"> minēto programmu vēsturiskiem izmaksu datiem, kas ir atbilstoši CFLA nolīgumā noteiktai</w:t>
            </w:r>
            <w:r>
              <w:rPr>
                <w:rFonts w:ascii="Times New Roman" w:hAnsi="Times New Roman" w:cs="Times New Roman"/>
                <w:sz w:val="26"/>
                <w:szCs w:val="26"/>
              </w:rPr>
              <w:t xml:space="preserve"> kārtībai iesniegti un CFLA pārbaudīti un</w:t>
            </w:r>
            <w:r w:rsidRPr="00582B51">
              <w:rPr>
                <w:rFonts w:ascii="Times New Roman" w:hAnsi="Times New Roman" w:cs="Times New Roman"/>
                <w:sz w:val="26"/>
                <w:szCs w:val="26"/>
              </w:rPr>
              <w:t xml:space="preserve"> apstiprināt</w:t>
            </w:r>
            <w:r>
              <w:rPr>
                <w:rFonts w:ascii="Times New Roman" w:hAnsi="Times New Roman" w:cs="Times New Roman"/>
                <w:sz w:val="26"/>
                <w:szCs w:val="26"/>
              </w:rPr>
              <w:t>i</w:t>
            </w:r>
            <w:r w:rsidRPr="00582B51">
              <w:rPr>
                <w:rFonts w:ascii="Times New Roman" w:hAnsi="Times New Roman" w:cs="Times New Roman"/>
                <w:sz w:val="26"/>
                <w:szCs w:val="26"/>
              </w:rPr>
              <w:t xml:space="preserve"> Maksājumu pieprasījum</w:t>
            </w:r>
            <w:r>
              <w:rPr>
                <w:rFonts w:ascii="Times New Roman" w:hAnsi="Times New Roman" w:cs="Times New Roman"/>
                <w:sz w:val="26"/>
                <w:szCs w:val="26"/>
              </w:rPr>
              <w:t>os</w:t>
            </w:r>
            <w:r w:rsidRPr="00582B51">
              <w:rPr>
                <w:rFonts w:ascii="Times New Roman" w:hAnsi="Times New Roman" w:cs="Times New Roman"/>
                <w:sz w:val="26"/>
                <w:szCs w:val="26"/>
              </w:rPr>
              <w:t xml:space="preserve"> par termiņu līdz 2020.gada 30.jūnijam</w:t>
            </w:r>
            <w:r w:rsidR="0078278D" w:rsidRPr="00582B51">
              <w:rPr>
                <w:rFonts w:ascii="Times New Roman" w:hAnsi="Times New Roman" w:cs="Times New Roman"/>
                <w:sz w:val="26"/>
                <w:szCs w:val="26"/>
              </w:rPr>
              <w:t>.</w:t>
            </w:r>
          </w:p>
          <w:p w14:paraId="73F9AB38" w14:textId="77777777" w:rsidR="00AA0717" w:rsidRPr="00582B51" w:rsidRDefault="00AA0717" w:rsidP="00AA0717">
            <w:pPr>
              <w:spacing w:before="120"/>
              <w:jc w:val="both"/>
              <w:rPr>
                <w:sz w:val="26"/>
                <w:szCs w:val="26"/>
                <w:lang w:val="lv-LV"/>
              </w:rPr>
            </w:pPr>
            <w:r w:rsidRPr="00582B51">
              <w:rPr>
                <w:sz w:val="26"/>
                <w:szCs w:val="26"/>
                <w:lang w:val="lv-LV"/>
              </w:rPr>
              <w:t xml:space="preserve">Izmaiņas ļaus ietaupīt administratīvos izdevumus, attiecinot programmu vadības izmaksas: </w:t>
            </w:r>
          </w:p>
          <w:p w14:paraId="4C2A7B87" w14:textId="77777777" w:rsidR="00AA0717" w:rsidRPr="00582B51" w:rsidRDefault="00AA0717" w:rsidP="00AA0717">
            <w:pPr>
              <w:pStyle w:val="ListParagraph"/>
              <w:numPr>
                <w:ilvl w:val="0"/>
                <w:numId w:val="21"/>
              </w:numPr>
              <w:spacing w:before="120"/>
              <w:ind w:left="388"/>
              <w:jc w:val="both"/>
              <w:rPr>
                <w:sz w:val="26"/>
                <w:szCs w:val="26"/>
                <w:lang w:val="lv-LV"/>
              </w:rPr>
            </w:pPr>
            <w:r w:rsidRPr="00582B51">
              <w:rPr>
                <w:sz w:val="26"/>
                <w:szCs w:val="26"/>
                <w:lang w:val="lv-LV"/>
              </w:rPr>
              <w:t xml:space="preserve">sabiedrība “Altum” maksājumu pieprasījumos CFLA, neuzskaitot visus ar programmu vadību saistīto izdevumu rēķinus un šo rēķinu proporcionālās daļas, sadalījumā pa finanšu instrumentiem, kas nereti ir dažu desmitu centu apmērā un rada noapaļošanas problēmas; </w:t>
            </w:r>
          </w:p>
          <w:p w14:paraId="14D1D15F" w14:textId="77777777" w:rsidR="00AA0717" w:rsidRPr="00582B51" w:rsidRDefault="00AA0717" w:rsidP="00AA0717">
            <w:pPr>
              <w:pStyle w:val="ListParagraph"/>
              <w:numPr>
                <w:ilvl w:val="0"/>
                <w:numId w:val="21"/>
              </w:numPr>
              <w:spacing w:before="120"/>
              <w:ind w:left="388"/>
              <w:jc w:val="both"/>
              <w:rPr>
                <w:sz w:val="26"/>
                <w:szCs w:val="26"/>
                <w:lang w:val="lv-LV"/>
              </w:rPr>
            </w:pPr>
            <w:r w:rsidRPr="00582B51">
              <w:rPr>
                <w:sz w:val="26"/>
                <w:szCs w:val="26"/>
                <w:lang w:val="lv-LV"/>
              </w:rPr>
              <w:t xml:space="preserve">CFLA, īstenojot kontroli neveicot rēķinu un to sadalījuma pa finanšu instrumentiem pārbaudi. </w:t>
            </w:r>
          </w:p>
          <w:p w14:paraId="5059EF7E" w14:textId="418E9312" w:rsidR="00AA0717" w:rsidRPr="00582B51" w:rsidRDefault="00AA0717" w:rsidP="00AA0717">
            <w:pPr>
              <w:spacing w:before="120"/>
              <w:jc w:val="both"/>
              <w:rPr>
                <w:sz w:val="26"/>
                <w:szCs w:val="26"/>
                <w:lang w:val="lv-LV"/>
              </w:rPr>
            </w:pPr>
            <w:r w:rsidRPr="00582B51">
              <w:rPr>
                <w:sz w:val="26"/>
                <w:szCs w:val="26"/>
                <w:lang w:val="lv-LV"/>
              </w:rPr>
              <w:lastRenderedPageBreak/>
              <w:t xml:space="preserve">Iepriekš sabiedrības “Altum” iesniegtajos maksājumu pieprasījumos tika norādīti ap 8000 rēķini un ar tiem saistītie ieraksti. Jāatzīmē, ka Fondu fonda programmās, kuru pieteikšanās jau ir noslēgusies un kurās jauni aizdevumi vairs netiek piešķirti, saņemtā vadības izmaksu kompensācija, ņemot vērā regulā Nr. 480/2014 noteikto robežvērtību ierobežojumus, ir būtiski mazāka par maksājumu pieprasījumos iekļauto attiecināmo izdevumu rēķinu kopsummām: Mikro aizdevumu programmai 4 reizes, Starta programmai 2,1 reizi. </w:t>
            </w:r>
            <w:r w:rsidR="00206331">
              <w:rPr>
                <w:sz w:val="26"/>
                <w:szCs w:val="26"/>
                <w:lang w:val="lv-LV"/>
              </w:rPr>
              <w:t>T</w:t>
            </w:r>
            <w:r w:rsidRPr="00582B51">
              <w:rPr>
                <w:sz w:val="26"/>
                <w:szCs w:val="26"/>
                <w:lang w:val="lv-LV"/>
              </w:rPr>
              <w:t xml:space="preserve">as uzskatāmi pamato MK noteikumu </w:t>
            </w:r>
            <w:r w:rsidR="00206331">
              <w:rPr>
                <w:sz w:val="26"/>
                <w:szCs w:val="26"/>
                <w:lang w:val="lv-LV"/>
              </w:rPr>
              <w:t>projektā</w:t>
            </w:r>
            <w:r w:rsidRPr="00582B51">
              <w:rPr>
                <w:sz w:val="26"/>
                <w:szCs w:val="26"/>
                <w:lang w:val="lv-LV"/>
              </w:rPr>
              <w:t xml:space="preserve"> noteikto vadības maksas limita apmēru.</w:t>
            </w:r>
          </w:p>
          <w:p w14:paraId="439D13E9" w14:textId="7510DA6B" w:rsidR="0078278D" w:rsidRPr="00F2361F" w:rsidRDefault="0078278D" w:rsidP="00AA0717">
            <w:pPr>
              <w:spacing w:before="120"/>
              <w:jc w:val="both"/>
              <w:rPr>
                <w:sz w:val="26"/>
                <w:szCs w:val="26"/>
                <w:lang w:val="lv-LV"/>
              </w:rPr>
            </w:pPr>
            <w:r w:rsidRPr="00582B51">
              <w:rPr>
                <w:sz w:val="26"/>
                <w:szCs w:val="26"/>
                <w:lang w:val="lv-LV"/>
              </w:rPr>
              <w:t xml:space="preserve">Izmaksu metode tika piemērota </w:t>
            </w:r>
            <w:r w:rsidR="005447AB">
              <w:rPr>
                <w:sz w:val="26"/>
                <w:szCs w:val="26"/>
                <w:lang w:val="lv-LV"/>
              </w:rPr>
              <w:t xml:space="preserve">no 2015.gada 30.aprīļa </w:t>
            </w:r>
            <w:r w:rsidRPr="00582B51">
              <w:rPr>
                <w:sz w:val="26"/>
                <w:szCs w:val="26"/>
                <w:lang w:val="lv-LV"/>
              </w:rPr>
              <w:t>līdz 2020.gada 30.jūnijam, apstiprinot MK noteikumu projektu, no 2020.gada 1.jūlija tiks piemērota vadības maksu metode</w:t>
            </w:r>
            <w:r w:rsidRPr="00F2361F">
              <w:rPr>
                <w:sz w:val="26"/>
                <w:szCs w:val="26"/>
                <w:lang w:val="lv-LV"/>
              </w:rPr>
              <w:t>.</w:t>
            </w:r>
          </w:p>
          <w:p w14:paraId="2545A7A4" w14:textId="0D181112" w:rsidR="00AA0717" w:rsidRDefault="00AA0717" w:rsidP="00AA0717">
            <w:pPr>
              <w:spacing w:before="120"/>
              <w:jc w:val="both"/>
              <w:rPr>
                <w:sz w:val="26"/>
                <w:szCs w:val="26"/>
                <w:lang w:val="lv-LV"/>
              </w:rPr>
            </w:pPr>
            <w:r w:rsidRPr="00F2361F">
              <w:rPr>
                <w:sz w:val="26"/>
                <w:szCs w:val="26"/>
                <w:lang w:val="lv-LV"/>
              </w:rPr>
              <w:t>Arī pēc MK Noteikumu projekta pieņemšanas, piemērojot vadības maks</w:t>
            </w:r>
            <w:r w:rsidRPr="003524DB">
              <w:rPr>
                <w:sz w:val="26"/>
                <w:szCs w:val="26"/>
                <w:lang w:val="lv-LV"/>
              </w:rPr>
              <w:t>u, sabiedrības “Altum” vadības maksas tiks noteiktas ievērojot regulas Nr. 480/2014 13. pantā noteikt</w:t>
            </w:r>
            <w:r w:rsidR="008F4EA3">
              <w:rPr>
                <w:sz w:val="26"/>
                <w:szCs w:val="26"/>
                <w:lang w:val="lv-LV"/>
              </w:rPr>
              <w:t>o kārtību un</w:t>
            </w:r>
            <w:r w:rsidRPr="003524DB">
              <w:rPr>
                <w:sz w:val="26"/>
                <w:szCs w:val="26"/>
                <w:lang w:val="lv-LV"/>
              </w:rPr>
              <w:t xml:space="preserve"> robežvērtības. Nosacījuma izpildi kontrolē CFLA, pārbaudot iesniegtos maksājumu pieprasījumus. </w:t>
            </w:r>
          </w:p>
          <w:p w14:paraId="0E7B670C" w14:textId="1ECAFE10" w:rsidR="00330F5A" w:rsidRDefault="00AA0717" w:rsidP="00AA0717">
            <w:pPr>
              <w:spacing w:before="120"/>
              <w:jc w:val="both"/>
              <w:rPr>
                <w:sz w:val="26"/>
                <w:szCs w:val="26"/>
                <w:lang w:val="lv-LV"/>
              </w:rPr>
            </w:pPr>
            <w:r w:rsidRPr="003524DB">
              <w:rPr>
                <w:sz w:val="26"/>
                <w:szCs w:val="26"/>
                <w:lang w:val="lv-LV"/>
              </w:rPr>
              <w:t>Pēc MK Noteikumu projekta pieņemšanas vadības maks</w:t>
            </w:r>
            <w:r w:rsidRPr="00582B51">
              <w:rPr>
                <w:sz w:val="26"/>
                <w:szCs w:val="26"/>
                <w:lang w:val="lv-LV"/>
              </w:rPr>
              <w:t xml:space="preserve">as piemērošana vadības izdevumu attiecināšanai tiks paredzēta Finansēšanas nolīgumā par Fondu fonda un finanšu instrumentu īstenošanu starp CFLA un </w:t>
            </w:r>
            <w:r w:rsidR="00206331">
              <w:rPr>
                <w:sz w:val="26"/>
                <w:szCs w:val="26"/>
                <w:lang w:val="lv-LV"/>
              </w:rPr>
              <w:t>sabiedrību “</w:t>
            </w:r>
            <w:r w:rsidRPr="00582B51">
              <w:rPr>
                <w:sz w:val="26"/>
                <w:szCs w:val="26"/>
                <w:lang w:val="lv-LV"/>
              </w:rPr>
              <w:t>Altum</w:t>
            </w:r>
            <w:r w:rsidR="00206331">
              <w:rPr>
                <w:sz w:val="26"/>
                <w:szCs w:val="26"/>
                <w:lang w:val="lv-LV"/>
              </w:rPr>
              <w:t>”</w:t>
            </w:r>
            <w:r w:rsidR="00330F5A">
              <w:rPr>
                <w:sz w:val="26"/>
                <w:szCs w:val="26"/>
                <w:lang w:val="lv-LV"/>
              </w:rPr>
              <w:t>.</w:t>
            </w:r>
          </w:p>
          <w:p w14:paraId="7C3D0382" w14:textId="29464B67" w:rsidR="00AA0717" w:rsidRPr="00582B51" w:rsidRDefault="00B91718" w:rsidP="00AA0717">
            <w:pPr>
              <w:spacing w:before="120"/>
              <w:jc w:val="both"/>
              <w:rPr>
                <w:sz w:val="26"/>
                <w:szCs w:val="26"/>
                <w:lang w:val="lv-LV"/>
              </w:rPr>
            </w:pPr>
            <w:r>
              <w:rPr>
                <w:sz w:val="26"/>
                <w:szCs w:val="26"/>
                <w:lang w:val="lv-LV"/>
              </w:rPr>
              <w:t xml:space="preserve">Sabiedrībā “Altum” veiktie aprēķini, pamatojoties </w:t>
            </w:r>
            <w:r w:rsidRPr="00AB19F3">
              <w:rPr>
                <w:sz w:val="26"/>
                <w:szCs w:val="26"/>
                <w:lang w:val="lv-LV"/>
              </w:rPr>
              <w:t xml:space="preserve">uz vēsturiskiem datiem, atbilstoši CFLA apstiprinātajiem </w:t>
            </w:r>
            <w:r>
              <w:rPr>
                <w:sz w:val="26"/>
                <w:szCs w:val="26"/>
                <w:lang w:val="lv-LV"/>
              </w:rPr>
              <w:t>m</w:t>
            </w:r>
            <w:r w:rsidRPr="00AB19F3">
              <w:rPr>
                <w:sz w:val="26"/>
                <w:szCs w:val="26"/>
                <w:lang w:val="lv-LV"/>
              </w:rPr>
              <w:t>aksājumu pieprasījumiem par termiņu līdz 2020.</w:t>
            </w:r>
            <w:r>
              <w:rPr>
                <w:sz w:val="26"/>
                <w:szCs w:val="26"/>
                <w:lang w:val="lv-LV"/>
              </w:rPr>
              <w:t xml:space="preserve"> </w:t>
            </w:r>
            <w:r w:rsidRPr="00AB19F3">
              <w:rPr>
                <w:sz w:val="26"/>
                <w:szCs w:val="26"/>
                <w:lang w:val="lv-LV"/>
              </w:rPr>
              <w:t>gada 30.</w:t>
            </w:r>
            <w:r>
              <w:rPr>
                <w:sz w:val="26"/>
                <w:szCs w:val="26"/>
                <w:lang w:val="lv-LV"/>
              </w:rPr>
              <w:t xml:space="preserve"> </w:t>
            </w:r>
            <w:r w:rsidRPr="00AB19F3">
              <w:rPr>
                <w:sz w:val="26"/>
                <w:szCs w:val="26"/>
                <w:lang w:val="lv-LV"/>
              </w:rPr>
              <w:t>jūnijam</w:t>
            </w:r>
            <w:r>
              <w:rPr>
                <w:sz w:val="26"/>
                <w:szCs w:val="26"/>
                <w:lang w:val="lv-LV"/>
              </w:rPr>
              <w:t>, liecina, ka pēc pārejas</w:t>
            </w:r>
            <w:r w:rsidRPr="00F03098">
              <w:rPr>
                <w:lang w:val="lv-LV"/>
              </w:rPr>
              <w:t xml:space="preserve"> </w:t>
            </w:r>
            <w:r w:rsidRPr="00AB19F3">
              <w:rPr>
                <w:sz w:val="26"/>
                <w:szCs w:val="26"/>
                <w:lang w:val="lv-LV"/>
              </w:rPr>
              <w:t>no vadības izmaksām (</w:t>
            </w:r>
            <w:r>
              <w:rPr>
                <w:sz w:val="26"/>
                <w:szCs w:val="26"/>
                <w:lang w:val="lv-LV"/>
              </w:rPr>
              <w:t xml:space="preserve">ko īsteno </w:t>
            </w:r>
            <w:r w:rsidRPr="00AB19F3">
              <w:rPr>
                <w:sz w:val="26"/>
                <w:szCs w:val="26"/>
                <w:lang w:val="lv-LV"/>
              </w:rPr>
              <w:t>līdz 2020.</w:t>
            </w:r>
            <w:r>
              <w:rPr>
                <w:sz w:val="26"/>
                <w:szCs w:val="26"/>
                <w:lang w:val="lv-LV"/>
              </w:rPr>
              <w:t xml:space="preserve"> </w:t>
            </w:r>
            <w:r w:rsidRPr="00AB19F3">
              <w:rPr>
                <w:sz w:val="26"/>
                <w:szCs w:val="26"/>
                <w:lang w:val="lv-LV"/>
              </w:rPr>
              <w:t>gada 30.</w:t>
            </w:r>
            <w:r>
              <w:rPr>
                <w:sz w:val="26"/>
                <w:szCs w:val="26"/>
                <w:lang w:val="lv-LV"/>
              </w:rPr>
              <w:t xml:space="preserve"> </w:t>
            </w:r>
            <w:r w:rsidRPr="00AB19F3">
              <w:rPr>
                <w:sz w:val="26"/>
                <w:szCs w:val="26"/>
                <w:lang w:val="lv-LV"/>
              </w:rPr>
              <w:t>jūnijam) uz vadības maksām (no 2020.</w:t>
            </w:r>
            <w:r>
              <w:rPr>
                <w:sz w:val="26"/>
                <w:szCs w:val="26"/>
                <w:lang w:val="lv-LV"/>
              </w:rPr>
              <w:t xml:space="preserve"> </w:t>
            </w:r>
            <w:r w:rsidRPr="00AB19F3">
              <w:rPr>
                <w:sz w:val="26"/>
                <w:szCs w:val="26"/>
                <w:lang w:val="lv-LV"/>
              </w:rPr>
              <w:t>gada 1.</w:t>
            </w:r>
            <w:r>
              <w:rPr>
                <w:sz w:val="26"/>
                <w:szCs w:val="26"/>
                <w:lang w:val="lv-LV"/>
              </w:rPr>
              <w:t xml:space="preserve"> </w:t>
            </w:r>
            <w:r w:rsidRPr="00AB19F3">
              <w:rPr>
                <w:sz w:val="26"/>
                <w:szCs w:val="26"/>
                <w:lang w:val="lv-LV"/>
              </w:rPr>
              <w:t>jūlija)</w:t>
            </w:r>
            <w:r>
              <w:rPr>
                <w:sz w:val="26"/>
                <w:szCs w:val="26"/>
                <w:lang w:val="lv-LV"/>
              </w:rPr>
              <w:t>, kopējais plānotais saņemto maksu apjoms nemainīsies, jo abos gadījumos saņemamo maksājumu apjomu ierobežo</w:t>
            </w:r>
            <w:r w:rsidRPr="00AB19F3">
              <w:rPr>
                <w:sz w:val="26"/>
                <w:szCs w:val="26"/>
                <w:lang w:val="lv-LV"/>
              </w:rPr>
              <w:t xml:space="preserve"> robežvērtības</w:t>
            </w:r>
            <w:r>
              <w:rPr>
                <w:sz w:val="26"/>
                <w:szCs w:val="26"/>
                <w:lang w:val="lv-LV"/>
              </w:rPr>
              <w:t>, kas tiek aprēķinātas saskaņā ar</w:t>
            </w:r>
            <w:r w:rsidRPr="00AB19F3">
              <w:rPr>
                <w:sz w:val="26"/>
                <w:szCs w:val="26"/>
                <w:lang w:val="lv-LV"/>
              </w:rPr>
              <w:t xml:space="preserve"> regulas Nr. 480/2014 13. pantā noteikt</w:t>
            </w:r>
            <w:r>
              <w:rPr>
                <w:sz w:val="26"/>
                <w:szCs w:val="26"/>
                <w:lang w:val="lv-LV"/>
              </w:rPr>
              <w:t>o</w:t>
            </w:r>
            <w:r w:rsidRPr="00AB19F3">
              <w:rPr>
                <w:sz w:val="26"/>
                <w:szCs w:val="26"/>
                <w:lang w:val="lv-LV"/>
              </w:rPr>
              <w:t>.</w:t>
            </w:r>
            <w:r>
              <w:rPr>
                <w:sz w:val="26"/>
                <w:szCs w:val="26"/>
                <w:lang w:val="lv-LV"/>
              </w:rPr>
              <w:t xml:space="preserve"> Pēc pārejas uz jauno kārtību sabiedrība “</w:t>
            </w:r>
            <w:r w:rsidRPr="00582B51">
              <w:rPr>
                <w:sz w:val="26"/>
                <w:szCs w:val="26"/>
                <w:lang w:val="lv-LV"/>
              </w:rPr>
              <w:t>Altum</w:t>
            </w:r>
            <w:r>
              <w:rPr>
                <w:sz w:val="26"/>
                <w:szCs w:val="26"/>
                <w:lang w:val="lv-LV"/>
              </w:rPr>
              <w:t xml:space="preserve">” iesniegs CFLA maksājumu pieprasījumus nedetalizējot tajos </w:t>
            </w:r>
            <w:r w:rsidRPr="00013A91">
              <w:rPr>
                <w:sz w:val="26"/>
                <w:szCs w:val="26"/>
                <w:lang w:val="lv-LV"/>
              </w:rPr>
              <w:t>visus ar programmu vadību saistīto izdevumu rēķinus un šo rēķinu proporcionālās daļas</w:t>
            </w:r>
            <w:r w:rsidRPr="00AB2D93">
              <w:rPr>
                <w:sz w:val="26"/>
                <w:szCs w:val="26"/>
                <w:lang w:val="lv-LV"/>
              </w:rPr>
              <w:t xml:space="preserve"> sadalījum</w:t>
            </w:r>
            <w:r>
              <w:rPr>
                <w:sz w:val="26"/>
                <w:szCs w:val="26"/>
                <w:lang w:val="lv-LV"/>
              </w:rPr>
              <w:t>ā</w:t>
            </w:r>
            <w:r w:rsidRPr="00AB2D93">
              <w:rPr>
                <w:sz w:val="26"/>
                <w:szCs w:val="26"/>
                <w:lang w:val="lv-LV"/>
              </w:rPr>
              <w:t xml:space="preserve"> pa finanšu instrumentiem</w:t>
            </w:r>
            <w:r>
              <w:rPr>
                <w:sz w:val="26"/>
                <w:szCs w:val="26"/>
                <w:lang w:val="lv-LV"/>
              </w:rPr>
              <w:t>, bet norādot vadības maksas apmēru, kas aprēķināts saskaņā ar apstiprinātajām likmēm.</w:t>
            </w:r>
            <w:r>
              <w:t xml:space="preserve"> </w:t>
            </w:r>
            <w:r w:rsidRPr="00A17088">
              <w:rPr>
                <w:sz w:val="26"/>
                <w:szCs w:val="26"/>
                <w:lang w:val="lv-LV"/>
              </w:rPr>
              <w:t>Pēc pārejas uz jauno kārtību sabiedrība “Altum” iesniegs CFLA maksājumu pieprasījumus nedetalizējot tajos visus ar programmu vadību saistīto izdevumu rēķinus un šo rēķinu proporcionālās daļas sadalījumā pa finanšu instrumentiem, bet norādot vadības maksas apmēru,</w:t>
            </w:r>
            <w:r>
              <w:rPr>
                <w:sz w:val="26"/>
                <w:szCs w:val="26"/>
                <w:lang w:val="lv-LV"/>
              </w:rPr>
              <w:t xml:space="preserve"> saskaņā ar </w:t>
            </w:r>
            <w:r w:rsidRPr="00A17088">
              <w:rPr>
                <w:sz w:val="26"/>
                <w:szCs w:val="26"/>
                <w:lang w:val="lv-LV"/>
              </w:rPr>
              <w:t xml:space="preserve"> </w:t>
            </w:r>
            <w:r>
              <w:rPr>
                <w:sz w:val="26"/>
                <w:szCs w:val="26"/>
                <w:lang w:val="lv-LV"/>
              </w:rPr>
              <w:t>likmēm</w:t>
            </w:r>
            <w:r w:rsidRPr="00B91718">
              <w:rPr>
                <w:sz w:val="26"/>
                <w:szCs w:val="26"/>
                <w:lang w:val="lv-LV"/>
              </w:rPr>
              <w:t>, par kurām, pamatojoties uz vēsturiskiem datiem programmu īstenošanā, tiks panākta savstarpējā vienošanās ar CFLA, bet kas nepārsniedz</w:t>
            </w:r>
            <w:r w:rsidR="005447AB">
              <w:rPr>
                <w:sz w:val="26"/>
                <w:szCs w:val="26"/>
                <w:lang w:val="lv-LV"/>
              </w:rPr>
              <w:t xml:space="preserve"> Komisijas</w:t>
            </w:r>
            <w:r w:rsidRPr="00B91718">
              <w:rPr>
                <w:sz w:val="26"/>
                <w:szCs w:val="26"/>
                <w:lang w:val="lv-LV"/>
              </w:rPr>
              <w:t xml:space="preserve"> </w:t>
            </w:r>
            <w:r w:rsidR="005447AB" w:rsidRPr="003524DB">
              <w:rPr>
                <w:sz w:val="26"/>
                <w:szCs w:val="26"/>
                <w:lang w:val="lv-LV"/>
              </w:rPr>
              <w:t xml:space="preserve">regulas Nr. 480/2014 13. pantā </w:t>
            </w:r>
            <w:r w:rsidRPr="00B91718">
              <w:rPr>
                <w:sz w:val="26"/>
                <w:szCs w:val="26"/>
                <w:lang w:val="lv-LV"/>
              </w:rPr>
              <w:t>noteiktās likmes.</w:t>
            </w:r>
            <w:r>
              <w:rPr>
                <w:sz w:val="26"/>
                <w:szCs w:val="26"/>
                <w:lang w:val="lv-LV"/>
              </w:rPr>
              <w:t xml:space="preserve"> Sabiedrībai “Altum” CFLA iesniedzamajos maksājumu </w:t>
            </w:r>
            <w:r>
              <w:rPr>
                <w:sz w:val="26"/>
                <w:szCs w:val="26"/>
                <w:lang w:val="lv-LV"/>
              </w:rPr>
              <w:lastRenderedPageBreak/>
              <w:t>pieprasījumos neiekļaujot informāciju par rēķiniem tiks ietaupīti Altum un CFLA administratīvie resursi</w:t>
            </w:r>
            <w:r w:rsidR="00AA0717" w:rsidRPr="008F4EA3">
              <w:rPr>
                <w:sz w:val="26"/>
                <w:szCs w:val="26"/>
                <w:lang w:val="lv-LV"/>
              </w:rPr>
              <w:t xml:space="preserve">. </w:t>
            </w:r>
            <w:r w:rsidR="008F4EA3" w:rsidRPr="008F4EA3">
              <w:rPr>
                <w:sz w:val="26"/>
                <w:szCs w:val="26"/>
                <w:lang w:val="lv-LV"/>
              </w:rPr>
              <w:t>Vie</w:t>
            </w:r>
            <w:r w:rsidR="008F4EA3">
              <w:rPr>
                <w:sz w:val="26"/>
                <w:szCs w:val="26"/>
                <w:lang w:val="lv-LV"/>
              </w:rPr>
              <w:t>n</w:t>
            </w:r>
            <w:r w:rsidR="008F4EA3" w:rsidRPr="008F4EA3">
              <w:rPr>
                <w:sz w:val="26"/>
                <w:szCs w:val="26"/>
                <w:lang w:val="lv-LV"/>
              </w:rPr>
              <w:t xml:space="preserve">laikus arī jaunās </w:t>
            </w:r>
            <w:r w:rsidR="005447AB">
              <w:rPr>
                <w:sz w:val="26"/>
                <w:szCs w:val="26"/>
                <w:lang w:val="lv-LV"/>
              </w:rPr>
              <w:t>p</w:t>
            </w:r>
            <w:r w:rsidR="008F4EA3" w:rsidRPr="008F4EA3">
              <w:rPr>
                <w:sz w:val="26"/>
                <w:szCs w:val="26"/>
                <w:lang w:val="lv-LV"/>
              </w:rPr>
              <w:t>ieejas pamatā ir aprēķins un dati, kas pamato izmaksu procentuālo apjomu</w:t>
            </w:r>
            <w:r w:rsidR="005447AB">
              <w:rPr>
                <w:sz w:val="26"/>
                <w:szCs w:val="26"/>
                <w:lang w:val="lv-LV"/>
              </w:rPr>
              <w:t>, kas tiek noformēts kā finanšu nolīguma pielikums</w:t>
            </w:r>
            <w:r w:rsidR="008F4EA3" w:rsidRPr="008F4EA3">
              <w:rPr>
                <w:sz w:val="26"/>
                <w:szCs w:val="26"/>
                <w:lang w:val="lv-LV"/>
              </w:rPr>
              <w:t>.</w:t>
            </w:r>
          </w:p>
          <w:p w14:paraId="22DBAE39" w14:textId="79651A55" w:rsidR="00AA0717" w:rsidRPr="00582B51" w:rsidRDefault="00AA0717" w:rsidP="00AA0717">
            <w:pPr>
              <w:contextualSpacing/>
              <w:rPr>
                <w:rFonts w:eastAsia="Times New Roman"/>
                <w:color w:val="000000" w:themeColor="text1"/>
                <w:sz w:val="26"/>
                <w:szCs w:val="26"/>
                <w:highlight w:val="yellow"/>
                <w:lang w:val="lv-LV" w:eastAsia="lv-LV"/>
              </w:rPr>
            </w:pPr>
          </w:p>
        </w:tc>
      </w:tr>
      <w:tr w:rsidR="00AA0717" w:rsidRPr="00582B51" w14:paraId="45FA94FD" w14:textId="77777777" w:rsidTr="00562501">
        <w:tc>
          <w:tcPr>
            <w:tcW w:w="562" w:type="dxa"/>
          </w:tcPr>
          <w:p w14:paraId="794FDC7A" w14:textId="54D1FF01"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lastRenderedPageBreak/>
              <w:t>3.</w:t>
            </w:r>
          </w:p>
        </w:tc>
        <w:tc>
          <w:tcPr>
            <w:tcW w:w="1985" w:type="dxa"/>
          </w:tcPr>
          <w:p w14:paraId="07CA1F2C" w14:textId="17309E43" w:rsidR="00AA0717" w:rsidRPr="00F2361F"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Projekta izstrādē iesaistītās institūcijas un publiskas personas kapitālsabiedrības</w:t>
            </w:r>
          </w:p>
        </w:tc>
        <w:tc>
          <w:tcPr>
            <w:tcW w:w="6662" w:type="dxa"/>
          </w:tcPr>
          <w:p w14:paraId="701A8F5B" w14:textId="3F341C19" w:rsidR="00AA0717" w:rsidRPr="003524DB" w:rsidRDefault="00AA0717" w:rsidP="00AA0717">
            <w:pPr>
              <w:contextualSpacing/>
              <w:rPr>
                <w:rFonts w:eastAsia="Times New Roman"/>
                <w:color w:val="000000" w:themeColor="text1"/>
                <w:sz w:val="26"/>
                <w:szCs w:val="26"/>
                <w:highlight w:val="yellow"/>
                <w:lang w:val="lv-LV" w:eastAsia="lv-LV"/>
              </w:rPr>
            </w:pPr>
            <w:r w:rsidRPr="003524DB">
              <w:rPr>
                <w:color w:val="000000" w:themeColor="text1"/>
                <w:sz w:val="26"/>
                <w:szCs w:val="26"/>
                <w:lang w:val="lv-LV"/>
              </w:rPr>
              <w:t>Ekonomikas ministrija, sabiedrība “Altum”.</w:t>
            </w:r>
          </w:p>
        </w:tc>
      </w:tr>
      <w:tr w:rsidR="00AA0717" w:rsidRPr="00582B51" w14:paraId="5C284387" w14:textId="77777777" w:rsidTr="00562501">
        <w:tc>
          <w:tcPr>
            <w:tcW w:w="562" w:type="dxa"/>
          </w:tcPr>
          <w:p w14:paraId="39327C5C" w14:textId="6DFB63F5"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4.</w:t>
            </w:r>
          </w:p>
        </w:tc>
        <w:tc>
          <w:tcPr>
            <w:tcW w:w="1985" w:type="dxa"/>
          </w:tcPr>
          <w:p w14:paraId="60D9B614" w14:textId="60369AE0" w:rsidR="00AA0717" w:rsidRPr="00582B51" w:rsidRDefault="00AA0717" w:rsidP="00AA0717">
            <w:pPr>
              <w:contextualSpacing/>
              <w:rPr>
                <w:rFonts w:eastAsia="Times New Roman"/>
                <w:color w:val="000000" w:themeColor="text1"/>
                <w:sz w:val="26"/>
                <w:szCs w:val="26"/>
                <w:highlight w:val="yellow"/>
                <w:lang w:val="lv-LV" w:eastAsia="lv-LV"/>
              </w:rPr>
            </w:pPr>
            <w:r w:rsidRPr="00582B51">
              <w:rPr>
                <w:color w:val="000000" w:themeColor="text1"/>
                <w:sz w:val="26"/>
                <w:szCs w:val="26"/>
                <w:lang w:val="lv-LV"/>
              </w:rPr>
              <w:t>Cita informācija</w:t>
            </w:r>
          </w:p>
        </w:tc>
        <w:tc>
          <w:tcPr>
            <w:tcW w:w="6662" w:type="dxa"/>
          </w:tcPr>
          <w:p w14:paraId="1B2B033F" w14:textId="29E05A5E" w:rsidR="00AA0717" w:rsidRPr="00F2361F" w:rsidRDefault="00AA0717" w:rsidP="00AA0717">
            <w:pPr>
              <w:contextualSpacing/>
              <w:rPr>
                <w:rFonts w:eastAsia="Times New Roman"/>
                <w:color w:val="000000" w:themeColor="text1"/>
                <w:sz w:val="26"/>
                <w:szCs w:val="26"/>
                <w:highlight w:val="yellow"/>
                <w:lang w:val="lv-LV" w:eastAsia="lv-LV"/>
              </w:rPr>
            </w:pPr>
            <w:r w:rsidRPr="00F2361F">
              <w:rPr>
                <w:color w:val="000000" w:themeColor="text1"/>
                <w:sz w:val="26"/>
                <w:szCs w:val="26"/>
                <w:lang w:val="lv-LV"/>
              </w:rPr>
              <w:t xml:space="preserve">Nav </w:t>
            </w:r>
          </w:p>
        </w:tc>
      </w:tr>
    </w:tbl>
    <w:p w14:paraId="603B9C29" w14:textId="69E2B6A5" w:rsidR="00365FD0" w:rsidRPr="00582B51" w:rsidRDefault="00365FD0" w:rsidP="009A00EB">
      <w:pPr>
        <w:contextualSpacing/>
        <w:rPr>
          <w:rFonts w:eastAsia="Times New Roman"/>
          <w:color w:val="000000" w:themeColor="text1"/>
          <w:sz w:val="26"/>
          <w:szCs w:val="26"/>
          <w:highlight w:val="yellow"/>
          <w:lang w:val="lv-LV" w:eastAsia="lv-LV"/>
        </w:rPr>
      </w:pPr>
    </w:p>
    <w:p w14:paraId="3985CB68" w14:textId="77777777" w:rsidR="00365FD0" w:rsidRPr="00582B51" w:rsidRDefault="00365FD0" w:rsidP="009A00EB">
      <w:pPr>
        <w:contextualSpacing/>
        <w:rPr>
          <w:rFonts w:eastAsia="Times New Roman"/>
          <w:color w:val="000000" w:themeColor="text1"/>
          <w:sz w:val="26"/>
          <w:szCs w:val="26"/>
          <w:highlight w:val="yellow"/>
          <w:lang w:val="lv-LV" w:eastAsia="lv-LV"/>
        </w:rPr>
      </w:pPr>
    </w:p>
    <w:tbl>
      <w:tblPr>
        <w:tblW w:w="9244"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194"/>
      </w:tblGrid>
      <w:tr w:rsidR="004F0BE2" w:rsidRPr="00582B51" w14:paraId="5271E387" w14:textId="77777777" w:rsidTr="003524DB">
        <w:trPr>
          <w:gridBefore w:val="1"/>
          <w:wBefore w:w="26" w:type="dxa"/>
          <w:trHeight w:val="555"/>
        </w:trPr>
        <w:tc>
          <w:tcPr>
            <w:tcW w:w="9218" w:type="dxa"/>
            <w:gridSpan w:val="10"/>
            <w:tcBorders>
              <w:top w:val="single" w:sz="4" w:space="0" w:color="auto"/>
              <w:left w:val="single" w:sz="4" w:space="0" w:color="auto"/>
              <w:bottom w:val="single" w:sz="4" w:space="0" w:color="auto"/>
              <w:right w:val="single" w:sz="4" w:space="0" w:color="auto"/>
            </w:tcBorders>
            <w:hideMark/>
          </w:tcPr>
          <w:p w14:paraId="4DC32511" w14:textId="2050B5AE" w:rsidR="00844176" w:rsidRPr="00F2361F" w:rsidRDefault="009A00EB" w:rsidP="003D3252">
            <w:pPr>
              <w:contextualSpacing/>
              <w:jc w:val="center"/>
              <w:rPr>
                <w:rFonts w:eastAsia="Times New Roman"/>
                <w:color w:val="000000" w:themeColor="text1"/>
                <w:sz w:val="26"/>
                <w:szCs w:val="26"/>
                <w:lang w:val="lv-LV" w:eastAsia="lv-LV"/>
              </w:rPr>
            </w:pPr>
            <w:r w:rsidRPr="00F2361F">
              <w:rPr>
                <w:rFonts w:eastAsia="Times New Roman"/>
                <w:b/>
                <w:bCs/>
                <w:color w:val="000000" w:themeColor="text1"/>
                <w:sz w:val="26"/>
                <w:szCs w:val="26"/>
                <w:lang w:val="lv-LV" w:eastAsia="lv-LV"/>
              </w:rPr>
              <w:t>II. Tiesību akta projekta ietekme uz sabiedrību, tautsaimniecības attīstību un administratīvo slogu</w:t>
            </w:r>
          </w:p>
        </w:tc>
      </w:tr>
      <w:tr w:rsidR="004F0BE2" w:rsidRPr="00582B51" w14:paraId="7F8630C6" w14:textId="77777777" w:rsidTr="003524DB">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F2361F"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 xml:space="preserve">Sabiedrības </w:t>
            </w:r>
            <w:proofErr w:type="spellStart"/>
            <w:r w:rsidRPr="00582B51">
              <w:rPr>
                <w:rFonts w:eastAsia="Times New Roman"/>
                <w:color w:val="000000" w:themeColor="text1"/>
                <w:sz w:val="26"/>
                <w:szCs w:val="26"/>
                <w:lang w:val="lv-LV" w:eastAsia="lv-LV"/>
              </w:rPr>
              <w:t>mērķgrupas</w:t>
            </w:r>
            <w:proofErr w:type="spellEnd"/>
            <w:r w:rsidRPr="00582B51">
              <w:rPr>
                <w:rFonts w:eastAsia="Times New Roman"/>
                <w:color w:val="000000" w:themeColor="text1"/>
                <w:sz w:val="26"/>
                <w:szCs w:val="26"/>
                <w:lang w:val="lv-LV" w:eastAsia="lv-LV"/>
              </w:rPr>
              <w:t>, kuras tiesiskais regulējums ietekmē vai varētu ietekmēt</w:t>
            </w:r>
          </w:p>
        </w:tc>
        <w:tc>
          <w:tcPr>
            <w:tcW w:w="6466" w:type="dxa"/>
            <w:gridSpan w:val="7"/>
            <w:tcBorders>
              <w:top w:val="single" w:sz="4" w:space="0" w:color="auto"/>
              <w:left w:val="outset" w:sz="6" w:space="0" w:color="414142"/>
              <w:bottom w:val="outset" w:sz="6" w:space="0" w:color="414142"/>
              <w:right w:val="outset" w:sz="6" w:space="0" w:color="414142"/>
            </w:tcBorders>
            <w:hideMark/>
          </w:tcPr>
          <w:p w14:paraId="3D68FB87" w14:textId="328B47B4" w:rsidR="009A00EB" w:rsidRPr="003524DB" w:rsidRDefault="00AA0717" w:rsidP="005F3196">
            <w:pPr>
              <w:ind w:right="201"/>
              <w:contextualSpacing/>
              <w:jc w:val="both"/>
              <w:rPr>
                <w:color w:val="000000" w:themeColor="text1"/>
                <w:sz w:val="26"/>
                <w:szCs w:val="26"/>
                <w:lang w:val="lv-LV"/>
              </w:rPr>
            </w:pPr>
            <w:r w:rsidRPr="003524DB">
              <w:rPr>
                <w:color w:val="000000" w:themeColor="text1"/>
                <w:sz w:val="26"/>
                <w:szCs w:val="26"/>
                <w:lang w:val="lv-LV"/>
              </w:rPr>
              <w:t>Latvijā reģistrēti mazie un vidējie komersanti (</w:t>
            </w:r>
            <w:r w:rsidR="003050F9">
              <w:rPr>
                <w:color w:val="000000" w:themeColor="text1"/>
                <w:sz w:val="26"/>
                <w:szCs w:val="26"/>
                <w:lang w:val="lv-LV"/>
              </w:rPr>
              <w:t xml:space="preserve">ar papildus piešķirto finansējumu </w:t>
            </w:r>
            <w:r w:rsidRPr="003524DB">
              <w:rPr>
                <w:color w:val="000000" w:themeColor="text1"/>
                <w:sz w:val="26"/>
                <w:szCs w:val="26"/>
                <w:lang w:val="lv-LV"/>
              </w:rPr>
              <w:t>tiks atbalstīti vismaz papildus 400 komersanti), sabiedrība “Altum”</w:t>
            </w:r>
            <w:r w:rsidR="00692482" w:rsidRPr="003524DB">
              <w:rPr>
                <w:color w:val="000000" w:themeColor="text1"/>
                <w:sz w:val="26"/>
                <w:szCs w:val="26"/>
                <w:lang w:val="lv-LV"/>
              </w:rPr>
              <w:t>.</w:t>
            </w:r>
          </w:p>
        </w:tc>
      </w:tr>
      <w:tr w:rsidR="004F0BE2" w:rsidRPr="00582B51" w14:paraId="718E705D" w14:textId="77777777" w:rsidTr="003524DB">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Tiesiskā regulējuma ietekme uz tautsaimniecību un administratīvo slogu</w:t>
            </w:r>
          </w:p>
        </w:tc>
        <w:tc>
          <w:tcPr>
            <w:tcW w:w="6466" w:type="dxa"/>
            <w:gridSpan w:val="7"/>
            <w:tcBorders>
              <w:top w:val="outset" w:sz="6" w:space="0" w:color="414142"/>
              <w:left w:val="outset" w:sz="6" w:space="0" w:color="414142"/>
              <w:bottom w:val="outset" w:sz="6" w:space="0" w:color="414142"/>
              <w:right w:val="outset" w:sz="6" w:space="0" w:color="414142"/>
            </w:tcBorders>
            <w:hideMark/>
          </w:tcPr>
          <w:p w14:paraId="33918B01" w14:textId="4927D3EB" w:rsidR="009A00EB" w:rsidRPr="00D66367" w:rsidRDefault="00D66367" w:rsidP="00203D20">
            <w:pPr>
              <w:spacing w:before="100" w:beforeAutospacing="1" w:after="100" w:afterAutospacing="1"/>
              <w:jc w:val="both"/>
              <w:rPr>
                <w:rFonts w:ascii="Segoe UI" w:eastAsia="Times New Roman" w:hAnsi="Segoe UI" w:cs="Segoe UI"/>
                <w:sz w:val="21"/>
                <w:szCs w:val="21"/>
                <w:lang w:val="lv-LV" w:eastAsia="lv-LV"/>
              </w:rPr>
            </w:pPr>
            <w:r w:rsidRPr="00203D20">
              <w:rPr>
                <w:rFonts w:eastAsia="Times New Roman"/>
                <w:sz w:val="26"/>
                <w:szCs w:val="26"/>
                <w:lang w:val="lv-LV" w:eastAsia="lv-LV"/>
              </w:rPr>
              <w:t>MK Noteikumu projektam ir labvēlīga ietekme uz ekonomiku kopumā, jo tas paredz mazināt Covid-19 izraisītas krīzes sekas un veicina ekonomisko aktivitāti. Sabiedrības mērķgrupām un institūcijām projekta tiesiskais regulējums nemaina tiesības un pienākumus, kā arī veicamās darbības.</w:t>
            </w:r>
          </w:p>
        </w:tc>
      </w:tr>
      <w:tr w:rsidR="004F0BE2" w:rsidRPr="00582B51" w14:paraId="6AF18C8D" w14:textId="77777777" w:rsidTr="003524DB">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Administratīvo izmaksu monetārs novērtējums</w:t>
            </w:r>
          </w:p>
        </w:tc>
        <w:tc>
          <w:tcPr>
            <w:tcW w:w="6466" w:type="dxa"/>
            <w:gridSpan w:val="7"/>
            <w:tcBorders>
              <w:top w:val="outset" w:sz="6" w:space="0" w:color="414142"/>
              <w:left w:val="outset" w:sz="6" w:space="0" w:color="414142"/>
              <w:bottom w:val="outset" w:sz="6" w:space="0" w:color="414142"/>
              <w:right w:val="outset" w:sz="6" w:space="0" w:color="414142"/>
            </w:tcBorders>
            <w:hideMark/>
          </w:tcPr>
          <w:p w14:paraId="1C2C4F79" w14:textId="17F9C5ED" w:rsidR="009A00EB" w:rsidRPr="003524DB" w:rsidRDefault="001F5AB0" w:rsidP="005F3196">
            <w:pPr>
              <w:pStyle w:val="BodyText"/>
              <w:ind w:right="201"/>
              <w:contextualSpacing/>
              <w:rPr>
                <w:rFonts w:eastAsia="Calibri"/>
                <w:color w:val="000000" w:themeColor="text1"/>
                <w:sz w:val="26"/>
                <w:szCs w:val="26"/>
                <w:lang w:eastAsia="en-US"/>
              </w:rPr>
            </w:pPr>
            <w:r w:rsidRPr="00F2361F">
              <w:rPr>
                <w:bCs/>
                <w:iCs/>
                <w:color w:val="000000" w:themeColor="text1"/>
                <w:sz w:val="26"/>
                <w:szCs w:val="26"/>
              </w:rPr>
              <w:t>MK noteikumu projekts</w:t>
            </w:r>
            <w:r w:rsidRPr="00F2361F">
              <w:rPr>
                <w:rFonts w:eastAsia="Calibri"/>
                <w:color w:val="000000" w:themeColor="text1"/>
                <w:sz w:val="26"/>
                <w:szCs w:val="26"/>
                <w:lang w:eastAsia="en-US"/>
              </w:rPr>
              <w:t xml:space="preserve"> </w:t>
            </w:r>
            <w:r w:rsidR="009A00EB" w:rsidRPr="00F2361F">
              <w:rPr>
                <w:rFonts w:eastAsia="Calibri"/>
                <w:color w:val="000000" w:themeColor="text1"/>
                <w:sz w:val="26"/>
                <w:szCs w:val="26"/>
                <w:lang w:eastAsia="en-US"/>
              </w:rPr>
              <w:t>šo jomu neskar</w:t>
            </w:r>
            <w:r w:rsidR="00203D20">
              <w:rPr>
                <w:rFonts w:eastAsia="Calibri"/>
                <w:color w:val="000000" w:themeColor="text1"/>
                <w:sz w:val="26"/>
                <w:szCs w:val="26"/>
                <w:lang w:eastAsia="en-US"/>
              </w:rPr>
              <w:t>.</w:t>
            </w:r>
          </w:p>
        </w:tc>
      </w:tr>
      <w:tr w:rsidR="004F0BE2" w:rsidRPr="00582B51" w14:paraId="259E0982" w14:textId="77777777" w:rsidTr="003524DB">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Atbilstības izmaksu monetārs novērtējums</w:t>
            </w:r>
          </w:p>
        </w:tc>
        <w:tc>
          <w:tcPr>
            <w:tcW w:w="6466" w:type="dxa"/>
            <w:gridSpan w:val="7"/>
            <w:tcBorders>
              <w:top w:val="outset" w:sz="6" w:space="0" w:color="auto"/>
              <w:left w:val="outset" w:sz="6" w:space="0" w:color="auto"/>
              <w:bottom w:val="outset" w:sz="6" w:space="0" w:color="auto"/>
              <w:right w:val="outset" w:sz="6" w:space="0" w:color="auto"/>
            </w:tcBorders>
          </w:tcPr>
          <w:p w14:paraId="7C60B8CA" w14:textId="642AC99F" w:rsidR="009A00EB" w:rsidRPr="003524DB" w:rsidRDefault="001F5AB0" w:rsidP="005F3196">
            <w:pPr>
              <w:pStyle w:val="BodyText"/>
              <w:ind w:right="201"/>
              <w:contextualSpacing/>
              <w:rPr>
                <w:rFonts w:eastAsia="Calibri"/>
                <w:color w:val="000000" w:themeColor="text1"/>
                <w:sz w:val="26"/>
                <w:szCs w:val="26"/>
                <w:lang w:eastAsia="en-US"/>
              </w:rPr>
            </w:pPr>
            <w:r w:rsidRPr="00F2361F">
              <w:rPr>
                <w:bCs/>
                <w:iCs/>
                <w:color w:val="000000" w:themeColor="text1"/>
                <w:sz w:val="26"/>
                <w:szCs w:val="26"/>
              </w:rPr>
              <w:t>MK noteikumu projekts</w:t>
            </w:r>
            <w:r w:rsidRPr="00F2361F">
              <w:rPr>
                <w:rFonts w:eastAsia="Calibri"/>
                <w:color w:val="000000" w:themeColor="text1"/>
                <w:sz w:val="26"/>
                <w:szCs w:val="26"/>
                <w:lang w:eastAsia="en-US"/>
              </w:rPr>
              <w:t xml:space="preserve"> </w:t>
            </w:r>
            <w:r w:rsidR="009A00EB" w:rsidRPr="00F2361F">
              <w:rPr>
                <w:rFonts w:eastAsia="Calibri"/>
                <w:color w:val="000000" w:themeColor="text1"/>
                <w:sz w:val="26"/>
                <w:szCs w:val="26"/>
                <w:lang w:eastAsia="en-US"/>
              </w:rPr>
              <w:t>šo jomu neskar</w:t>
            </w:r>
            <w:r w:rsidR="00203D20">
              <w:rPr>
                <w:rFonts w:eastAsia="Calibri"/>
                <w:color w:val="000000" w:themeColor="text1"/>
                <w:sz w:val="26"/>
                <w:szCs w:val="26"/>
                <w:lang w:eastAsia="en-US"/>
              </w:rPr>
              <w:t>.</w:t>
            </w:r>
          </w:p>
        </w:tc>
      </w:tr>
      <w:tr w:rsidR="004F0BE2" w:rsidRPr="00582B51" w14:paraId="14FCA979" w14:textId="77777777" w:rsidTr="003524DB">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582B51" w:rsidRDefault="009A00EB" w:rsidP="009A00EB">
            <w:pPr>
              <w:contextualSpacing/>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Cita informācija</w:t>
            </w:r>
          </w:p>
        </w:tc>
        <w:tc>
          <w:tcPr>
            <w:tcW w:w="6466" w:type="dxa"/>
            <w:gridSpan w:val="7"/>
            <w:tcBorders>
              <w:top w:val="outset" w:sz="6" w:space="0" w:color="414142"/>
              <w:left w:val="outset" w:sz="6" w:space="0" w:color="414142"/>
              <w:bottom w:val="outset" w:sz="6" w:space="0" w:color="414142"/>
              <w:right w:val="outset" w:sz="6" w:space="0" w:color="414142"/>
            </w:tcBorders>
            <w:hideMark/>
          </w:tcPr>
          <w:p w14:paraId="7E657313" w14:textId="77777777" w:rsidR="009A00EB" w:rsidRPr="00F2361F" w:rsidRDefault="009A00EB" w:rsidP="005F3196">
            <w:pPr>
              <w:ind w:right="201"/>
              <w:contextualSpacing/>
              <w:jc w:val="both"/>
              <w:rPr>
                <w:color w:val="000000" w:themeColor="text1"/>
                <w:sz w:val="26"/>
                <w:szCs w:val="26"/>
                <w:lang w:val="lv-LV"/>
              </w:rPr>
            </w:pPr>
            <w:r w:rsidRPr="00F2361F">
              <w:rPr>
                <w:color w:val="000000" w:themeColor="text1"/>
                <w:sz w:val="26"/>
                <w:szCs w:val="26"/>
                <w:lang w:val="lv-LV"/>
              </w:rPr>
              <w:t>Nav</w:t>
            </w:r>
          </w:p>
        </w:tc>
      </w:tr>
      <w:tr w:rsidR="00EB7E5F" w:rsidRPr="00582B51" w14:paraId="283DD09C" w14:textId="77777777" w:rsidTr="003524DB">
        <w:trPr>
          <w:gridBefore w:val="1"/>
          <w:wBefore w:w="26" w:type="dxa"/>
          <w:trHeight w:val="345"/>
        </w:trPr>
        <w:tc>
          <w:tcPr>
            <w:tcW w:w="9218" w:type="dxa"/>
            <w:gridSpan w:val="10"/>
            <w:tcBorders>
              <w:top w:val="outset" w:sz="6" w:space="0" w:color="414142"/>
              <w:left w:val="outset" w:sz="6" w:space="0" w:color="414142"/>
              <w:bottom w:val="outset" w:sz="6" w:space="0" w:color="414142"/>
              <w:right w:val="outset" w:sz="6" w:space="0" w:color="414142"/>
            </w:tcBorders>
          </w:tcPr>
          <w:p w14:paraId="1ECFE2D5" w14:textId="77777777" w:rsidR="00EB7E5F" w:rsidRPr="00582B51" w:rsidRDefault="00EB7E5F" w:rsidP="005F3196">
            <w:pPr>
              <w:ind w:right="201"/>
              <w:contextualSpacing/>
              <w:jc w:val="both"/>
              <w:rPr>
                <w:color w:val="000000" w:themeColor="text1"/>
                <w:sz w:val="26"/>
                <w:szCs w:val="26"/>
                <w:lang w:val="lv-LV"/>
              </w:rPr>
            </w:pPr>
          </w:p>
        </w:tc>
      </w:tr>
      <w:tr w:rsidR="004F0BE2" w:rsidRPr="00582B51" w14:paraId="4516D856" w14:textId="77777777" w:rsidTr="003524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26" w:type="dxa"/>
          <w:trHeight w:val="249"/>
        </w:trPr>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582B51" w:rsidRDefault="00E72FF6" w:rsidP="00B070DA">
            <w:pPr>
              <w:contextualSpacing/>
              <w:rPr>
                <w:rFonts w:eastAsia="Times New Roman"/>
                <w:b/>
                <w:bCs/>
                <w:color w:val="000000" w:themeColor="text1"/>
                <w:sz w:val="26"/>
                <w:szCs w:val="26"/>
                <w:lang w:val="lv-LV" w:eastAsia="lv-LV"/>
              </w:rPr>
            </w:pPr>
            <w:r w:rsidRPr="00582B51">
              <w:rPr>
                <w:rFonts w:eastAsia="Times New Roman"/>
                <w:b/>
                <w:bCs/>
                <w:color w:val="000000" w:themeColor="text1"/>
                <w:sz w:val="26"/>
                <w:szCs w:val="26"/>
                <w:lang w:val="lv-LV" w:eastAsia="lv-LV"/>
              </w:rPr>
              <w:t>III. Tiesību akta projekta ietekme uz valsts budžetu un pašvaldību budžetiem</w:t>
            </w:r>
          </w:p>
        </w:tc>
      </w:tr>
      <w:tr w:rsidR="004F0BE2" w:rsidRPr="00582B51" w14:paraId="3B639A60"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582B51" w:rsidRDefault="00E72FF6" w:rsidP="00B070DA">
            <w:pPr>
              <w:jc w:val="center"/>
              <w:rPr>
                <w:bCs/>
                <w:color w:val="000000" w:themeColor="text1"/>
                <w:sz w:val="26"/>
                <w:szCs w:val="26"/>
                <w:lang w:val="lv-LV"/>
              </w:rPr>
            </w:pPr>
            <w:bookmarkStart w:id="11" w:name="_Hlk57025018"/>
            <w:r w:rsidRPr="00582B51">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F2361F" w:rsidRDefault="009F7FFA" w:rsidP="00B070DA">
            <w:pPr>
              <w:jc w:val="center"/>
              <w:rPr>
                <w:bCs/>
                <w:color w:val="000000" w:themeColor="text1"/>
                <w:sz w:val="26"/>
                <w:szCs w:val="26"/>
                <w:lang w:val="lv-LV"/>
              </w:rPr>
            </w:pPr>
            <w:r w:rsidRPr="00582B51">
              <w:rPr>
                <w:bCs/>
                <w:color w:val="000000" w:themeColor="text1"/>
                <w:sz w:val="26"/>
                <w:szCs w:val="26"/>
                <w:lang w:val="lv-LV"/>
              </w:rPr>
              <w:t>2020.</w:t>
            </w:r>
            <w:r w:rsidR="00E72FF6" w:rsidRPr="00582B51">
              <w:rPr>
                <w:bCs/>
                <w:color w:val="000000" w:themeColor="text1"/>
                <w:sz w:val="26"/>
                <w:szCs w:val="26"/>
                <w:lang w:val="lv-LV"/>
              </w:rPr>
              <w:t>gads</w:t>
            </w:r>
          </w:p>
        </w:tc>
        <w:tc>
          <w:tcPr>
            <w:tcW w:w="50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3524DB" w:rsidRDefault="00E72FF6" w:rsidP="00B070DA">
            <w:pPr>
              <w:jc w:val="center"/>
              <w:rPr>
                <w:color w:val="000000" w:themeColor="text1"/>
                <w:sz w:val="26"/>
                <w:szCs w:val="26"/>
                <w:lang w:val="lv-LV"/>
              </w:rPr>
            </w:pPr>
            <w:r w:rsidRPr="00F2361F">
              <w:rPr>
                <w:color w:val="000000" w:themeColor="text1"/>
                <w:sz w:val="26"/>
                <w:szCs w:val="26"/>
                <w:lang w:val="lv-LV"/>
              </w:rPr>
              <w:t>Turpmākie trīs gadi (</w:t>
            </w:r>
            <w:r w:rsidRPr="00F2361F">
              <w:rPr>
                <w:i/>
                <w:iCs/>
                <w:color w:val="000000" w:themeColor="text1"/>
                <w:sz w:val="26"/>
                <w:szCs w:val="26"/>
                <w:lang w:val="lv-LV"/>
              </w:rPr>
              <w:t>euro</w:t>
            </w:r>
            <w:r w:rsidRPr="00F2361F">
              <w:rPr>
                <w:color w:val="000000" w:themeColor="text1"/>
                <w:sz w:val="26"/>
                <w:szCs w:val="26"/>
                <w:lang w:val="lv-LV"/>
              </w:rPr>
              <w:t>)</w:t>
            </w:r>
          </w:p>
        </w:tc>
      </w:tr>
      <w:tr w:rsidR="004F0BE2" w:rsidRPr="00582B51" w14:paraId="4524A607"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3"/>
            <w:vMerge/>
            <w:vAlign w:val="center"/>
            <w:hideMark/>
          </w:tcPr>
          <w:p w14:paraId="7726280B" w14:textId="77777777" w:rsidR="00E72FF6" w:rsidRPr="00582B51"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582B51"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582B51" w:rsidRDefault="009F7FFA" w:rsidP="00B070DA">
            <w:pPr>
              <w:jc w:val="center"/>
              <w:rPr>
                <w:bCs/>
                <w:color w:val="000000" w:themeColor="text1"/>
                <w:sz w:val="26"/>
                <w:szCs w:val="26"/>
                <w:lang w:val="lv-LV"/>
              </w:rPr>
            </w:pPr>
            <w:r w:rsidRPr="00582B51">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582B51" w:rsidRDefault="009F7FFA" w:rsidP="00B070DA">
            <w:pPr>
              <w:jc w:val="center"/>
              <w:rPr>
                <w:bCs/>
                <w:color w:val="000000" w:themeColor="text1"/>
                <w:sz w:val="26"/>
                <w:szCs w:val="26"/>
                <w:lang w:val="lv-LV"/>
              </w:rPr>
            </w:pPr>
            <w:r w:rsidRPr="00582B51">
              <w:rPr>
                <w:bCs/>
                <w:color w:val="000000" w:themeColor="text1"/>
                <w:sz w:val="26"/>
                <w:szCs w:val="26"/>
                <w:lang w:val="lv-LV"/>
              </w:rPr>
              <w:t>2022</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582B51" w:rsidRDefault="009F7FFA" w:rsidP="00B070DA">
            <w:pPr>
              <w:jc w:val="center"/>
              <w:rPr>
                <w:bCs/>
                <w:color w:val="000000" w:themeColor="text1"/>
                <w:sz w:val="26"/>
                <w:szCs w:val="26"/>
                <w:lang w:val="lv-LV"/>
              </w:rPr>
            </w:pPr>
            <w:r w:rsidRPr="00582B51">
              <w:rPr>
                <w:bCs/>
                <w:color w:val="000000" w:themeColor="text1"/>
                <w:sz w:val="26"/>
                <w:szCs w:val="26"/>
                <w:lang w:val="lv-LV"/>
              </w:rPr>
              <w:t>2023</w:t>
            </w:r>
          </w:p>
        </w:tc>
      </w:tr>
      <w:tr w:rsidR="004F0BE2" w:rsidRPr="00582B51" w14:paraId="35AA7B9C"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11" w:type="dxa"/>
            <w:gridSpan w:val="3"/>
            <w:vMerge/>
            <w:vAlign w:val="center"/>
            <w:hideMark/>
          </w:tcPr>
          <w:p w14:paraId="2A02319C" w14:textId="77777777" w:rsidR="00E72FF6" w:rsidRPr="00582B51"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582B51" w:rsidRDefault="00E72FF6" w:rsidP="007623ED">
            <w:pPr>
              <w:jc w:val="center"/>
              <w:rPr>
                <w:color w:val="000000" w:themeColor="text1"/>
                <w:sz w:val="26"/>
                <w:szCs w:val="26"/>
                <w:lang w:val="lv-LV"/>
              </w:rPr>
            </w:pPr>
            <w:r w:rsidRPr="00582B51">
              <w:rPr>
                <w:color w:val="000000" w:themeColor="text1"/>
                <w:sz w:val="26"/>
                <w:szCs w:val="26"/>
                <w:lang w:val="lv-LV"/>
              </w:rPr>
              <w:t xml:space="preserve">izmaiņas, salīdzinot ar vidēja termiņa budžeta ietvaru </w:t>
            </w:r>
            <w:r w:rsidR="007623ED" w:rsidRPr="00582B51">
              <w:rPr>
                <w:color w:val="000000" w:themeColor="text1"/>
                <w:sz w:val="26"/>
                <w:szCs w:val="26"/>
                <w:lang w:val="lv-LV"/>
              </w:rPr>
              <w:t xml:space="preserve">2021. </w:t>
            </w:r>
            <w:r w:rsidRPr="00582B51">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582B51" w:rsidRDefault="00E72FF6" w:rsidP="007623ED">
            <w:pPr>
              <w:jc w:val="center"/>
              <w:rPr>
                <w:color w:val="000000" w:themeColor="text1"/>
                <w:sz w:val="26"/>
                <w:szCs w:val="26"/>
                <w:lang w:val="lv-LV"/>
              </w:rPr>
            </w:pPr>
            <w:r w:rsidRPr="00582B51">
              <w:rPr>
                <w:color w:val="000000" w:themeColor="text1"/>
                <w:sz w:val="26"/>
                <w:szCs w:val="26"/>
                <w:lang w:val="lv-LV"/>
              </w:rPr>
              <w:t xml:space="preserve">izmaiņas, salīdzinot ar vidēja termiņa budžeta ietvaru </w:t>
            </w:r>
            <w:r w:rsidR="007623ED" w:rsidRPr="00582B51">
              <w:rPr>
                <w:color w:val="000000" w:themeColor="text1"/>
                <w:sz w:val="26"/>
                <w:szCs w:val="26"/>
                <w:lang w:val="lv-LV"/>
              </w:rPr>
              <w:t xml:space="preserve">2022. </w:t>
            </w:r>
            <w:r w:rsidRPr="00582B51">
              <w:rPr>
                <w:color w:val="000000" w:themeColor="text1"/>
                <w:sz w:val="26"/>
                <w:szCs w:val="26"/>
                <w:lang w:val="lv-LV"/>
              </w:rPr>
              <w:t>gadam</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582B51" w:rsidRDefault="00E72FF6" w:rsidP="007623ED">
            <w:pPr>
              <w:jc w:val="center"/>
              <w:rPr>
                <w:color w:val="000000" w:themeColor="text1"/>
                <w:sz w:val="26"/>
                <w:szCs w:val="26"/>
                <w:lang w:val="lv-LV"/>
              </w:rPr>
            </w:pPr>
            <w:r w:rsidRPr="00582B51">
              <w:rPr>
                <w:color w:val="000000" w:themeColor="text1"/>
                <w:sz w:val="26"/>
                <w:szCs w:val="26"/>
                <w:lang w:val="lv-LV"/>
              </w:rPr>
              <w:t xml:space="preserve">izmaiņas, salīdzinot ar vidēja termiņa budžeta ietvaru </w:t>
            </w:r>
            <w:r w:rsidRPr="00582B51">
              <w:rPr>
                <w:color w:val="000000" w:themeColor="text1"/>
                <w:sz w:val="26"/>
                <w:szCs w:val="26"/>
                <w:lang w:val="lv-LV"/>
              </w:rPr>
              <w:br/>
            </w:r>
            <w:r w:rsidR="007623ED" w:rsidRPr="00582B51">
              <w:rPr>
                <w:color w:val="000000" w:themeColor="text1"/>
                <w:sz w:val="26"/>
                <w:szCs w:val="26"/>
                <w:lang w:val="lv-LV"/>
              </w:rPr>
              <w:t xml:space="preserve">2022. </w:t>
            </w:r>
            <w:r w:rsidRPr="00582B51">
              <w:rPr>
                <w:color w:val="000000" w:themeColor="text1"/>
                <w:sz w:val="26"/>
                <w:szCs w:val="26"/>
                <w:lang w:val="lv-LV"/>
              </w:rPr>
              <w:t>gadam</w:t>
            </w:r>
          </w:p>
        </w:tc>
      </w:tr>
      <w:tr w:rsidR="004F0BE2" w:rsidRPr="00582B51" w14:paraId="31AFE02D"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F2361F" w:rsidRDefault="00E72FF6" w:rsidP="00B070DA">
            <w:pPr>
              <w:jc w:val="center"/>
              <w:rPr>
                <w:color w:val="000000" w:themeColor="text1"/>
                <w:sz w:val="26"/>
                <w:szCs w:val="26"/>
                <w:lang w:val="lv-LV"/>
              </w:rPr>
            </w:pPr>
            <w:r w:rsidRPr="00582B51">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3524DB" w:rsidRDefault="00E72FF6" w:rsidP="00B070DA">
            <w:pPr>
              <w:jc w:val="center"/>
              <w:rPr>
                <w:color w:val="000000" w:themeColor="text1"/>
                <w:sz w:val="26"/>
                <w:szCs w:val="26"/>
                <w:lang w:val="lv-LV"/>
              </w:rPr>
            </w:pPr>
            <w:r w:rsidRPr="003524DB">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3524DB" w:rsidRDefault="00E72FF6" w:rsidP="00B070DA">
            <w:pPr>
              <w:jc w:val="center"/>
              <w:rPr>
                <w:color w:val="000000" w:themeColor="text1"/>
                <w:sz w:val="26"/>
                <w:szCs w:val="26"/>
                <w:lang w:val="lv-LV"/>
              </w:rPr>
            </w:pPr>
            <w:r w:rsidRPr="003524DB">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3524DB" w:rsidRDefault="00E72FF6" w:rsidP="00B070DA">
            <w:pPr>
              <w:jc w:val="center"/>
              <w:rPr>
                <w:color w:val="000000" w:themeColor="text1"/>
                <w:sz w:val="26"/>
                <w:szCs w:val="26"/>
                <w:lang w:val="lv-LV"/>
              </w:rPr>
            </w:pPr>
            <w:r w:rsidRPr="003524DB">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3524DB" w:rsidRDefault="00E72FF6" w:rsidP="00B070DA">
            <w:pPr>
              <w:jc w:val="center"/>
              <w:rPr>
                <w:color w:val="000000" w:themeColor="text1"/>
                <w:sz w:val="26"/>
                <w:szCs w:val="26"/>
                <w:lang w:val="lv-LV"/>
              </w:rPr>
            </w:pPr>
            <w:r w:rsidRPr="003524DB">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3524DB" w:rsidRDefault="00E72FF6" w:rsidP="00B070DA">
            <w:pPr>
              <w:jc w:val="center"/>
              <w:rPr>
                <w:color w:val="000000" w:themeColor="text1"/>
                <w:sz w:val="26"/>
                <w:szCs w:val="26"/>
                <w:lang w:val="lv-LV"/>
              </w:rPr>
            </w:pPr>
            <w:r w:rsidRPr="003524DB">
              <w:rPr>
                <w:color w:val="000000" w:themeColor="text1"/>
                <w:sz w:val="26"/>
                <w:szCs w:val="26"/>
                <w:lang w:val="lv-LV"/>
              </w:rPr>
              <w:t>7</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582B51" w:rsidRDefault="00E72FF6" w:rsidP="00B070DA">
            <w:pPr>
              <w:jc w:val="center"/>
              <w:rPr>
                <w:color w:val="000000" w:themeColor="text1"/>
                <w:sz w:val="26"/>
                <w:szCs w:val="26"/>
                <w:lang w:val="lv-LV"/>
              </w:rPr>
            </w:pPr>
            <w:r w:rsidRPr="00582B51">
              <w:rPr>
                <w:color w:val="000000" w:themeColor="text1"/>
                <w:sz w:val="26"/>
                <w:szCs w:val="26"/>
                <w:lang w:val="lv-LV"/>
              </w:rPr>
              <w:t>8</w:t>
            </w:r>
          </w:p>
        </w:tc>
      </w:tr>
      <w:tr w:rsidR="00D50699" w:rsidRPr="00582B51" w14:paraId="5FF8B6E0"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D50699" w:rsidRPr="00582B51" w:rsidRDefault="00D50699" w:rsidP="00D50699">
            <w:pPr>
              <w:rPr>
                <w:color w:val="000000" w:themeColor="text1"/>
                <w:sz w:val="26"/>
                <w:szCs w:val="26"/>
                <w:lang w:val="lv-LV"/>
              </w:rPr>
            </w:pPr>
            <w:r w:rsidRPr="00582B51">
              <w:rPr>
                <w:color w:val="000000" w:themeColor="text1"/>
                <w:sz w:val="26"/>
                <w:szCs w:val="26"/>
                <w:lang w:val="lv-LV"/>
              </w:rPr>
              <w:lastRenderedPageBreak/>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CF9E3" w14:textId="6ECF8202" w:rsidR="00D50699" w:rsidRPr="00F2361F" w:rsidRDefault="006627BC" w:rsidP="009B386C">
            <w:pPr>
              <w:jc w:val="center"/>
              <w:rPr>
                <w:color w:val="000000" w:themeColor="text1"/>
                <w:sz w:val="18"/>
                <w:szCs w:val="18"/>
                <w:lang w:val="lv-LV"/>
              </w:rPr>
            </w:pPr>
            <w:r w:rsidRPr="00582B51">
              <w:rPr>
                <w:color w:val="000000" w:themeColor="text1"/>
                <w:sz w:val="18"/>
                <w:szCs w:val="18"/>
                <w:lang w:val="lv-LV"/>
              </w:rPr>
              <w:t>23 310 985</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1AFED2D7" w:rsidR="00D50699" w:rsidRPr="003524DB" w:rsidRDefault="006627BC" w:rsidP="00D50699">
            <w:pPr>
              <w:jc w:val="center"/>
              <w:rPr>
                <w:color w:val="000000" w:themeColor="text1"/>
                <w:sz w:val="18"/>
                <w:szCs w:val="18"/>
                <w:lang w:val="lv-LV"/>
              </w:rPr>
            </w:pPr>
            <w:r w:rsidRPr="003524DB">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461BD" w14:textId="14F1A335" w:rsidR="006627BC" w:rsidRPr="003524DB" w:rsidRDefault="006627BC" w:rsidP="00D50699">
            <w:pPr>
              <w:jc w:val="center"/>
              <w:rPr>
                <w:color w:val="000000" w:themeColor="text1"/>
                <w:sz w:val="18"/>
                <w:szCs w:val="18"/>
                <w:lang w:val="lv-LV"/>
              </w:rPr>
            </w:pPr>
            <w:r w:rsidRPr="003524DB">
              <w:rPr>
                <w:color w:val="000000" w:themeColor="text1"/>
                <w:sz w:val="18"/>
                <w:szCs w:val="18"/>
                <w:lang w:val="lv-LV"/>
              </w:rPr>
              <w:t>23 310 913</w:t>
            </w:r>
          </w:p>
          <w:p w14:paraId="1EC80448" w14:textId="6E7A004F" w:rsidR="00D50699" w:rsidRPr="003524DB" w:rsidRDefault="00D50699" w:rsidP="00D50699">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54EE56A8" w:rsidR="00D50699" w:rsidRPr="003524DB" w:rsidRDefault="006627BC" w:rsidP="006627BC">
            <w:pPr>
              <w:jc w:val="center"/>
              <w:rPr>
                <w:color w:val="000000" w:themeColor="text1"/>
                <w:sz w:val="18"/>
                <w:szCs w:val="18"/>
                <w:lang w:val="lv-LV"/>
              </w:rPr>
            </w:pPr>
            <w:r w:rsidRPr="003524DB">
              <w:rPr>
                <w:color w:val="000000" w:themeColor="text1"/>
                <w:sz w:val="18"/>
                <w:szCs w:val="18"/>
                <w:lang w:val="lv-LV"/>
              </w:rPr>
              <w:t>30 000 000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59F0D911" w:rsidR="00D50699" w:rsidRPr="00582B51" w:rsidRDefault="006627BC" w:rsidP="00D50699">
            <w:pPr>
              <w:jc w:val="center"/>
              <w:rPr>
                <w:color w:val="000000" w:themeColor="text1"/>
                <w:sz w:val="18"/>
                <w:szCs w:val="18"/>
                <w:lang w:val="lv-LV"/>
              </w:rPr>
            </w:pPr>
            <w:r w:rsidRPr="00582B51">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6E927C80" w:rsidR="00D50699" w:rsidRPr="00582B51" w:rsidRDefault="00170D12" w:rsidP="00D50699">
            <w:pPr>
              <w:jc w:val="center"/>
              <w:rPr>
                <w:color w:val="000000" w:themeColor="text1"/>
                <w:sz w:val="18"/>
                <w:szCs w:val="18"/>
                <w:lang w:val="lv-LV"/>
              </w:rPr>
            </w:pPr>
            <w:r w:rsidRPr="00582B51">
              <w:rPr>
                <w:color w:val="000000" w:themeColor="text1"/>
                <w:sz w:val="18"/>
                <w:szCs w:val="18"/>
                <w:lang w:val="lv-LV"/>
              </w:rPr>
              <w:t>20 000 000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A1E2AD0" w:rsidR="00D50699" w:rsidRPr="00582B51" w:rsidRDefault="00D50699" w:rsidP="00D50699">
            <w:pPr>
              <w:jc w:val="center"/>
              <w:rPr>
                <w:color w:val="000000" w:themeColor="text1"/>
                <w:sz w:val="18"/>
                <w:szCs w:val="18"/>
                <w:lang w:val="lv-LV"/>
              </w:rPr>
            </w:pPr>
            <w:r w:rsidRPr="00582B51">
              <w:rPr>
                <w:color w:val="000000" w:themeColor="text1"/>
                <w:sz w:val="18"/>
                <w:szCs w:val="18"/>
                <w:lang w:val="lv-LV"/>
              </w:rPr>
              <w:t>10 000 000</w:t>
            </w:r>
          </w:p>
        </w:tc>
      </w:tr>
      <w:bookmarkEnd w:id="11"/>
      <w:tr w:rsidR="006627BC" w:rsidRPr="00582B51" w14:paraId="0A871777"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6627BC" w:rsidRPr="00582B51" w:rsidRDefault="006627BC" w:rsidP="006627BC">
            <w:pPr>
              <w:rPr>
                <w:color w:val="000000" w:themeColor="text1"/>
                <w:sz w:val="26"/>
                <w:szCs w:val="26"/>
                <w:lang w:val="lv-LV"/>
              </w:rPr>
            </w:pPr>
            <w:r w:rsidRPr="00582B51">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177FB828" w:rsidR="006627BC" w:rsidRPr="00F2361F" w:rsidRDefault="006627BC" w:rsidP="006627BC">
            <w:pPr>
              <w:jc w:val="center"/>
              <w:rPr>
                <w:color w:val="000000" w:themeColor="text1"/>
                <w:sz w:val="18"/>
                <w:szCs w:val="18"/>
                <w:lang w:val="lv-LV"/>
              </w:rPr>
            </w:pPr>
            <w:r w:rsidRPr="00582B51">
              <w:rPr>
                <w:color w:val="000000" w:themeColor="text1"/>
                <w:sz w:val="18"/>
                <w:szCs w:val="18"/>
                <w:lang w:val="lv-LV"/>
              </w:rPr>
              <w:t>23 310 985</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5829D5B9"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592B2" w14:textId="275A8B68"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23 310 913</w:t>
            </w:r>
          </w:p>
          <w:p w14:paraId="3A850423" w14:textId="2DEA290D" w:rsidR="006627BC" w:rsidRPr="003524DB" w:rsidRDefault="006627BC" w:rsidP="006627BC">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1831DBFC"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30 000 000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20D21202" w:rsidR="006627BC" w:rsidRPr="00582B51" w:rsidRDefault="008A067A" w:rsidP="006627BC">
            <w:pPr>
              <w:jc w:val="center"/>
              <w:rPr>
                <w:color w:val="000000" w:themeColor="text1"/>
                <w:sz w:val="18"/>
                <w:szCs w:val="18"/>
                <w:lang w:val="lv-LV"/>
              </w:rPr>
            </w:pPr>
            <w:r w:rsidRPr="00582B51">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4A3ABA53" w:rsidR="006627BC" w:rsidRPr="00582B51" w:rsidRDefault="006627BC" w:rsidP="006627BC">
            <w:pPr>
              <w:jc w:val="center"/>
              <w:rPr>
                <w:color w:val="000000" w:themeColor="text1"/>
                <w:sz w:val="18"/>
                <w:szCs w:val="18"/>
                <w:lang w:val="lv-LV"/>
              </w:rPr>
            </w:pPr>
            <w:r w:rsidRPr="00582B51">
              <w:rPr>
                <w:color w:val="000000" w:themeColor="text1"/>
                <w:sz w:val="18"/>
                <w:szCs w:val="18"/>
                <w:lang w:val="lv-LV"/>
              </w:rPr>
              <w:t>20 000 000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287C6E82" w:rsidR="006627BC" w:rsidRPr="00582B51" w:rsidRDefault="006627BC" w:rsidP="006627BC">
            <w:pPr>
              <w:jc w:val="center"/>
              <w:rPr>
                <w:color w:val="000000" w:themeColor="text1"/>
                <w:sz w:val="18"/>
                <w:szCs w:val="18"/>
                <w:lang w:val="lv-LV"/>
              </w:rPr>
            </w:pPr>
            <w:r w:rsidRPr="00582B51">
              <w:rPr>
                <w:color w:val="000000" w:themeColor="text1"/>
                <w:sz w:val="18"/>
                <w:szCs w:val="18"/>
                <w:lang w:val="lv-LV"/>
              </w:rPr>
              <w:t>10 000 000</w:t>
            </w:r>
          </w:p>
        </w:tc>
      </w:tr>
      <w:tr w:rsidR="006627BC" w:rsidRPr="00582B51" w14:paraId="01CBA453"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6627BC" w:rsidRPr="00582B51" w:rsidRDefault="006627BC" w:rsidP="006627BC">
            <w:pPr>
              <w:rPr>
                <w:color w:val="000000" w:themeColor="text1"/>
                <w:sz w:val="26"/>
                <w:szCs w:val="26"/>
                <w:lang w:val="lv-LV"/>
              </w:rPr>
            </w:pPr>
            <w:r w:rsidRPr="00582B51">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4374BFCF" w:rsidR="006627BC" w:rsidRPr="00F2361F" w:rsidRDefault="006627BC" w:rsidP="006627BC">
            <w:pPr>
              <w:jc w:val="center"/>
              <w:rPr>
                <w:color w:val="000000" w:themeColor="text1"/>
                <w:sz w:val="18"/>
                <w:szCs w:val="18"/>
                <w:lang w:val="lv-LV"/>
              </w:rPr>
            </w:pPr>
            <w:r w:rsidRPr="00582B51">
              <w:rPr>
                <w:color w:val="000000" w:themeColor="text1"/>
                <w:sz w:val="18"/>
                <w:szCs w:val="18"/>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D0DA" w14:textId="247ABA2E"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453E8F55"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224D42FA" w:rsidR="006627BC" w:rsidRPr="00582B51" w:rsidRDefault="006627BC" w:rsidP="006627BC">
            <w:pPr>
              <w:jc w:val="center"/>
              <w:rPr>
                <w:color w:val="000000" w:themeColor="text1"/>
                <w:sz w:val="18"/>
                <w:szCs w:val="18"/>
                <w:lang w:val="lv-LV"/>
              </w:rPr>
            </w:pPr>
            <w:r w:rsidRPr="00582B51">
              <w:rPr>
                <w:color w:val="000000" w:themeColor="text1"/>
                <w:sz w:val="18"/>
                <w:szCs w:val="18"/>
                <w:lang w:val="lv-LV"/>
              </w:rPr>
              <w:t>0</w:t>
            </w:r>
          </w:p>
        </w:tc>
      </w:tr>
      <w:tr w:rsidR="006627BC" w:rsidRPr="00582B51" w14:paraId="1AF8A151"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6627BC" w:rsidRPr="00582B51" w:rsidRDefault="006627BC" w:rsidP="006627BC">
            <w:pPr>
              <w:rPr>
                <w:color w:val="000000" w:themeColor="text1"/>
                <w:sz w:val="26"/>
                <w:szCs w:val="26"/>
                <w:lang w:val="lv-LV"/>
              </w:rPr>
            </w:pPr>
            <w:r w:rsidRPr="00582B51">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6627BC" w:rsidRPr="003524DB" w:rsidRDefault="006627BC" w:rsidP="006627BC">
            <w:pPr>
              <w:jc w:val="center"/>
              <w:rPr>
                <w:color w:val="000000" w:themeColor="text1"/>
                <w:sz w:val="18"/>
                <w:szCs w:val="18"/>
                <w:lang w:val="lv-LV"/>
              </w:rPr>
            </w:pPr>
            <w:r w:rsidRPr="00F2361F">
              <w:rPr>
                <w:color w:val="000000" w:themeColor="text1"/>
                <w:sz w:val="18"/>
                <w:szCs w:val="18"/>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7E2CCC3A" w:rsidR="006627BC" w:rsidRPr="003524DB" w:rsidRDefault="006627BC" w:rsidP="006627BC">
            <w:pPr>
              <w:jc w:val="center"/>
              <w:rPr>
                <w:color w:val="000000" w:themeColor="text1"/>
                <w:sz w:val="18"/>
                <w:szCs w:val="18"/>
                <w:lang w:val="lv-LV"/>
              </w:rPr>
            </w:pPr>
            <w:r w:rsidRPr="003524DB">
              <w:rPr>
                <w:color w:val="000000" w:themeColor="text1"/>
                <w:sz w:val="18"/>
                <w:szCs w:val="18"/>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6627BC" w:rsidRPr="00582B51" w:rsidRDefault="006627BC" w:rsidP="006627BC">
            <w:pPr>
              <w:jc w:val="center"/>
              <w:rPr>
                <w:color w:val="000000" w:themeColor="text1"/>
                <w:sz w:val="18"/>
                <w:szCs w:val="18"/>
                <w:lang w:val="lv-LV"/>
              </w:rPr>
            </w:pPr>
            <w:r w:rsidRPr="00582B51">
              <w:rPr>
                <w:color w:val="000000" w:themeColor="text1"/>
                <w:sz w:val="18"/>
                <w:szCs w:val="18"/>
                <w:lang w:val="lv-LV"/>
              </w:rPr>
              <w:t>0</w:t>
            </w:r>
          </w:p>
        </w:tc>
      </w:tr>
      <w:tr w:rsidR="008A067A" w:rsidRPr="00582B51" w14:paraId="42F8B414"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8A067A" w:rsidRPr="00582B51" w:rsidRDefault="008A067A" w:rsidP="008A067A">
            <w:pPr>
              <w:rPr>
                <w:color w:val="000000" w:themeColor="text1"/>
                <w:sz w:val="26"/>
                <w:szCs w:val="26"/>
                <w:lang w:val="lv-LV"/>
              </w:rPr>
            </w:pPr>
            <w:r w:rsidRPr="00582B51">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27B664CA" w:rsidR="008A067A" w:rsidRPr="00F2361F" w:rsidRDefault="008A067A" w:rsidP="008A067A">
            <w:pPr>
              <w:jc w:val="center"/>
              <w:rPr>
                <w:color w:val="000000" w:themeColor="text1"/>
                <w:sz w:val="18"/>
                <w:szCs w:val="18"/>
                <w:lang w:val="lv-LV"/>
              </w:rPr>
            </w:pPr>
            <w:r w:rsidRPr="00582B51">
              <w:rPr>
                <w:color w:val="000000" w:themeColor="text1"/>
                <w:sz w:val="18"/>
                <w:szCs w:val="18"/>
                <w:lang w:val="lv-LV"/>
              </w:rPr>
              <w:t>23 310 985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B0F482E" w14:textId="77777777" w:rsidR="008A067A" w:rsidRPr="003524DB" w:rsidRDefault="008A067A" w:rsidP="008A067A">
            <w:pPr>
              <w:jc w:val="center"/>
              <w:rPr>
                <w:sz w:val="18"/>
                <w:szCs w:val="18"/>
                <w:lang w:val="lv-LV"/>
              </w:rPr>
            </w:pPr>
          </w:p>
          <w:p w14:paraId="4075C92F" w14:textId="2650E85B" w:rsidR="008A067A" w:rsidRPr="003524DB" w:rsidRDefault="008A067A" w:rsidP="008A067A">
            <w:pPr>
              <w:jc w:val="center"/>
              <w:rPr>
                <w:color w:val="000000" w:themeColor="text1"/>
                <w:sz w:val="18"/>
                <w:szCs w:val="18"/>
                <w:lang w:val="lv-LV"/>
              </w:rPr>
            </w:pPr>
            <w:r w:rsidRPr="003524DB">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1B48" w14:textId="0D412F69" w:rsidR="008A067A" w:rsidRPr="003524DB" w:rsidRDefault="008A067A" w:rsidP="008A067A">
            <w:pPr>
              <w:jc w:val="center"/>
              <w:rPr>
                <w:color w:val="000000" w:themeColor="text1"/>
                <w:sz w:val="18"/>
                <w:szCs w:val="18"/>
                <w:lang w:val="lv-LV"/>
              </w:rPr>
            </w:pPr>
            <w:r w:rsidRPr="003524DB">
              <w:rPr>
                <w:color w:val="000000" w:themeColor="text1"/>
                <w:sz w:val="18"/>
                <w:szCs w:val="18"/>
                <w:lang w:val="lv-LV"/>
              </w:rPr>
              <w:t>23 310 913</w:t>
            </w:r>
          </w:p>
          <w:p w14:paraId="01B3EC51" w14:textId="61E8E1E6" w:rsidR="008A067A" w:rsidRPr="003524DB" w:rsidRDefault="008A067A" w:rsidP="008A067A">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3411905F" w:rsidR="008A067A" w:rsidRPr="00582B51" w:rsidRDefault="008A067A" w:rsidP="008A067A">
            <w:pPr>
              <w:jc w:val="center"/>
              <w:rPr>
                <w:color w:val="000000" w:themeColor="text1"/>
                <w:sz w:val="18"/>
                <w:szCs w:val="18"/>
                <w:lang w:val="lv-LV"/>
              </w:rPr>
            </w:pPr>
            <w:r w:rsidRPr="003524DB">
              <w:rPr>
                <w:color w:val="000000" w:themeColor="text1"/>
                <w:sz w:val="18"/>
                <w:szCs w:val="18"/>
                <w:lang w:val="lv-LV"/>
              </w:rPr>
              <w:t>30 000 </w:t>
            </w:r>
            <w:r w:rsidRPr="00582B51">
              <w:rPr>
                <w:color w:val="000000" w:themeColor="text1"/>
                <w:sz w:val="18"/>
                <w:szCs w:val="18"/>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45A75387"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0319C206"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20 000 000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19AAEA91"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10 000 000</w:t>
            </w:r>
          </w:p>
        </w:tc>
      </w:tr>
      <w:tr w:rsidR="008A067A" w:rsidRPr="00582B51" w14:paraId="7F14BEE7"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8A067A" w:rsidRPr="00582B51" w:rsidRDefault="008A067A" w:rsidP="008A067A">
            <w:pPr>
              <w:rPr>
                <w:color w:val="000000" w:themeColor="text1"/>
                <w:sz w:val="26"/>
                <w:szCs w:val="26"/>
                <w:lang w:val="lv-LV"/>
              </w:rPr>
            </w:pPr>
            <w:r w:rsidRPr="00582B51">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698E0848" w:rsidR="008A067A" w:rsidRPr="00F2361F" w:rsidRDefault="008A067A" w:rsidP="008A067A">
            <w:pPr>
              <w:jc w:val="center"/>
              <w:rPr>
                <w:color w:val="000000" w:themeColor="text1"/>
                <w:sz w:val="18"/>
                <w:szCs w:val="18"/>
                <w:lang w:val="lv-LV"/>
              </w:rPr>
            </w:pPr>
            <w:r w:rsidRPr="00582B51">
              <w:rPr>
                <w:color w:val="000000" w:themeColor="text1"/>
                <w:sz w:val="18"/>
                <w:szCs w:val="18"/>
                <w:lang w:val="lv-LV"/>
              </w:rPr>
              <w:t>23 310 985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46DCED14" w:rsidR="008A067A" w:rsidRPr="003524DB" w:rsidRDefault="008A067A" w:rsidP="008A067A">
            <w:pPr>
              <w:jc w:val="center"/>
              <w:rPr>
                <w:color w:val="000000" w:themeColor="text1"/>
                <w:sz w:val="18"/>
                <w:szCs w:val="18"/>
                <w:lang w:val="lv-LV"/>
              </w:rPr>
            </w:pPr>
            <w:r w:rsidRPr="003524DB">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6F2B" w14:textId="4A45DF3D" w:rsidR="008A067A" w:rsidRPr="003524DB" w:rsidRDefault="008A067A" w:rsidP="008A067A">
            <w:pPr>
              <w:jc w:val="center"/>
              <w:rPr>
                <w:color w:val="000000" w:themeColor="text1"/>
                <w:sz w:val="18"/>
                <w:szCs w:val="18"/>
                <w:lang w:val="lv-LV"/>
              </w:rPr>
            </w:pPr>
            <w:r w:rsidRPr="003524DB">
              <w:rPr>
                <w:color w:val="000000" w:themeColor="text1"/>
                <w:sz w:val="18"/>
                <w:szCs w:val="18"/>
                <w:lang w:val="lv-LV"/>
              </w:rPr>
              <w:t>23 310 913</w:t>
            </w:r>
          </w:p>
          <w:p w14:paraId="699ED966" w14:textId="4745B577" w:rsidR="008A067A" w:rsidRPr="003524DB" w:rsidRDefault="008A067A" w:rsidP="008A067A">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1E11DE52" w:rsidR="008A067A" w:rsidRPr="003524DB" w:rsidRDefault="008A067A" w:rsidP="008A067A">
            <w:pPr>
              <w:jc w:val="center"/>
              <w:rPr>
                <w:color w:val="000000" w:themeColor="text1"/>
                <w:sz w:val="18"/>
                <w:szCs w:val="18"/>
                <w:lang w:val="lv-LV"/>
              </w:rPr>
            </w:pPr>
            <w:r w:rsidRPr="003524DB">
              <w:rPr>
                <w:color w:val="000000" w:themeColor="text1"/>
                <w:sz w:val="18"/>
                <w:szCs w:val="18"/>
                <w:lang w:val="lv-LV"/>
              </w:rPr>
              <w:t>30 000 000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047622EA"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2B511D84"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20 000 000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43A5029C" w:rsidR="008A067A" w:rsidRPr="00582B51" w:rsidRDefault="008A067A" w:rsidP="008A067A">
            <w:pPr>
              <w:jc w:val="center"/>
              <w:rPr>
                <w:color w:val="000000" w:themeColor="text1"/>
                <w:sz w:val="18"/>
                <w:szCs w:val="18"/>
                <w:lang w:val="lv-LV"/>
              </w:rPr>
            </w:pPr>
            <w:r w:rsidRPr="00582B51">
              <w:rPr>
                <w:color w:val="000000" w:themeColor="text1"/>
                <w:sz w:val="18"/>
                <w:szCs w:val="18"/>
                <w:lang w:val="lv-LV"/>
              </w:rPr>
              <w:t>10 000 000</w:t>
            </w:r>
          </w:p>
        </w:tc>
      </w:tr>
      <w:tr w:rsidR="006627BC" w:rsidRPr="00582B51" w14:paraId="450A7D90"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6627BC" w:rsidRPr="00F2361F" w:rsidRDefault="006627BC" w:rsidP="006627BC">
            <w:pPr>
              <w:jc w:val="center"/>
              <w:rPr>
                <w:color w:val="000000" w:themeColor="text1"/>
                <w:lang w:val="lv-LV"/>
              </w:rPr>
            </w:pPr>
            <w:r w:rsidRPr="00582B51">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16104F02"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6627BC" w:rsidRPr="003524DB" w:rsidRDefault="006627BC" w:rsidP="006627BC">
            <w:pPr>
              <w:jc w:val="center"/>
              <w:rPr>
                <w:color w:val="000000" w:themeColor="text1"/>
                <w:lang w:val="lv-LV"/>
              </w:rPr>
            </w:pPr>
            <w:r w:rsidRPr="00F2361F">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47265989"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6627BC" w:rsidRPr="00F2361F" w:rsidRDefault="006627BC" w:rsidP="006627BC">
            <w:pPr>
              <w:jc w:val="center"/>
              <w:rPr>
                <w:color w:val="000000" w:themeColor="text1"/>
                <w:lang w:val="lv-LV"/>
              </w:rPr>
            </w:pPr>
            <w:r w:rsidRPr="00582B51">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605CB9AA"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7041CF3E"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6627BC" w:rsidRPr="00F2361F" w:rsidRDefault="006627BC" w:rsidP="006627BC">
            <w:pPr>
              <w:jc w:val="center"/>
              <w:rPr>
                <w:color w:val="000000" w:themeColor="text1"/>
                <w:lang w:val="lv-LV"/>
              </w:rPr>
            </w:pPr>
            <w:r w:rsidRPr="00582B51">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573CC8CC" w:rsidR="006627BC" w:rsidRPr="003524DB" w:rsidRDefault="006627BC" w:rsidP="006627BC">
            <w:pPr>
              <w:pStyle w:val="ListParagraph"/>
              <w:tabs>
                <w:tab w:val="left" w:pos="196"/>
                <w:tab w:val="left" w:pos="361"/>
              </w:tabs>
              <w:ind w:left="0"/>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006945FF"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6627BC" w:rsidRPr="00F2361F" w:rsidRDefault="006627BC" w:rsidP="006627BC">
            <w:pPr>
              <w:jc w:val="center"/>
              <w:rPr>
                <w:color w:val="000000" w:themeColor="text1"/>
                <w:lang w:val="lv-LV"/>
              </w:rPr>
            </w:pPr>
            <w:r w:rsidRPr="00582B51">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22D7CB38"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6627BC" w:rsidRPr="00F2361F" w:rsidRDefault="006627BC" w:rsidP="006627BC">
            <w:pPr>
              <w:jc w:val="center"/>
              <w:rPr>
                <w:color w:val="000000" w:themeColor="text1"/>
                <w:lang w:val="lv-LV"/>
              </w:rPr>
            </w:pPr>
            <w:r w:rsidRPr="00582B51">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2AABB97A"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6627BC" w:rsidRPr="00F2361F" w:rsidRDefault="006627BC" w:rsidP="006627BC">
            <w:pPr>
              <w:rPr>
                <w:color w:val="000000" w:themeColor="text1"/>
                <w:sz w:val="26"/>
                <w:szCs w:val="26"/>
                <w:lang w:val="lv-LV"/>
              </w:rPr>
            </w:pPr>
            <w:r w:rsidRPr="00582B51">
              <w:rPr>
                <w:color w:val="000000" w:themeColor="text1"/>
                <w:sz w:val="26"/>
                <w:szCs w:val="26"/>
                <w:lang w:val="lv-LV"/>
              </w:rPr>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21D81BD4" w:rsidR="006627BC" w:rsidRPr="003524DB" w:rsidRDefault="006627BC" w:rsidP="006627BC">
            <w:pPr>
              <w:jc w:val="center"/>
              <w:rPr>
                <w:color w:val="000000" w:themeColor="text1"/>
                <w:lang w:val="lv-LV"/>
              </w:rPr>
            </w:pPr>
            <w:r w:rsidRPr="003524DB">
              <w:rPr>
                <w:color w:val="000000" w:themeColor="text1"/>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035C75E4"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59C74685" w:rsidR="006627BC" w:rsidRPr="003524DB" w:rsidRDefault="006627BC" w:rsidP="006627BC">
            <w:pPr>
              <w:jc w:val="center"/>
              <w:rPr>
                <w:color w:val="000000" w:themeColor="text1"/>
                <w:lang w:val="lv-LV"/>
              </w:rPr>
            </w:pPr>
            <w:r w:rsidRPr="003524DB">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2A7BE672" w:rsidR="006627BC" w:rsidRPr="003524DB" w:rsidRDefault="006627BC" w:rsidP="006627BC">
            <w:pPr>
              <w:jc w:val="center"/>
              <w:rPr>
                <w:color w:val="000000" w:themeColor="text1"/>
                <w:lang w:val="lv-LV"/>
              </w:rPr>
            </w:pPr>
            <w:r w:rsidRPr="003524DB">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6627BC" w:rsidRPr="00582B51" w:rsidRDefault="006627BC" w:rsidP="006627BC">
            <w:pPr>
              <w:jc w:val="center"/>
              <w:rPr>
                <w:color w:val="000000" w:themeColor="text1"/>
                <w:lang w:val="lv-LV"/>
              </w:rPr>
            </w:pPr>
            <w:r w:rsidRPr="00582B51">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7EA90108"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5. Precizēta finansiālā ietekme</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51E5568C" w:rsidR="006627BC" w:rsidRPr="00582B51" w:rsidRDefault="006627BC" w:rsidP="006627BC">
            <w:pPr>
              <w:jc w:val="center"/>
              <w:rPr>
                <w:color w:val="000000" w:themeColor="text1"/>
                <w:lang w:val="lv-LV"/>
              </w:rPr>
            </w:pPr>
            <w:r w:rsidRPr="00582B51">
              <w:rPr>
                <w:color w:val="000000" w:themeColor="text1"/>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6627BC" w:rsidRPr="00F2361F" w:rsidRDefault="006627BC" w:rsidP="006627BC">
            <w:pPr>
              <w:jc w:val="center"/>
              <w:rPr>
                <w:color w:val="000000" w:themeColor="text1"/>
                <w:lang w:val="lv-LV"/>
              </w:rPr>
            </w:pPr>
            <w:r w:rsidRPr="00F2361F">
              <w:rPr>
                <w:color w:val="000000" w:themeColor="text1"/>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4430266C" w:rsidR="006627BC" w:rsidRPr="003524DB" w:rsidRDefault="006627BC" w:rsidP="006627BC">
            <w:pPr>
              <w:jc w:val="center"/>
              <w:rPr>
                <w:color w:val="000000" w:themeColor="text1"/>
                <w:lang w:val="lv-LV"/>
              </w:rPr>
            </w:pPr>
            <w:r w:rsidRPr="003524DB">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6627BC" w:rsidRPr="003524DB" w:rsidRDefault="006627BC" w:rsidP="006627BC">
            <w:pPr>
              <w:jc w:val="center"/>
              <w:rPr>
                <w:color w:val="000000" w:themeColor="text1"/>
                <w:lang w:val="lv-LV"/>
              </w:rPr>
            </w:pPr>
            <w:r w:rsidRPr="003524DB">
              <w:rPr>
                <w:color w:val="000000" w:themeColor="text1"/>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34747E13" w:rsidR="006627BC" w:rsidRPr="003524DB" w:rsidRDefault="006627BC" w:rsidP="006627BC">
            <w:pPr>
              <w:jc w:val="center"/>
              <w:rPr>
                <w:color w:val="000000" w:themeColor="text1"/>
                <w:lang w:val="lv-LV"/>
              </w:rPr>
            </w:pPr>
            <w:r w:rsidRPr="003524DB">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6627BC" w:rsidRPr="003524DB" w:rsidRDefault="006627BC" w:rsidP="006627BC">
            <w:pPr>
              <w:jc w:val="center"/>
              <w:rPr>
                <w:color w:val="000000" w:themeColor="text1"/>
                <w:lang w:val="lv-LV"/>
              </w:rPr>
            </w:pPr>
            <w:r w:rsidRPr="003524DB">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6627BC" w:rsidRPr="003524DB" w:rsidRDefault="006627BC" w:rsidP="006627BC">
            <w:pPr>
              <w:jc w:val="center"/>
              <w:rPr>
                <w:color w:val="000000" w:themeColor="text1"/>
                <w:lang w:val="lv-LV"/>
              </w:rPr>
            </w:pPr>
            <w:r w:rsidRPr="003524DB">
              <w:rPr>
                <w:color w:val="000000" w:themeColor="text1"/>
                <w:lang w:val="lv-LV"/>
              </w:rPr>
              <w:t>0</w:t>
            </w:r>
          </w:p>
        </w:tc>
      </w:tr>
      <w:tr w:rsidR="006627BC" w:rsidRPr="00582B51" w14:paraId="659AFA43"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5.1. valsts pamatbudžets</w:t>
            </w:r>
          </w:p>
        </w:tc>
        <w:tc>
          <w:tcPr>
            <w:tcW w:w="1112" w:type="dxa"/>
            <w:gridSpan w:val="2"/>
            <w:vMerge/>
            <w:vAlign w:val="center"/>
            <w:hideMark/>
          </w:tcPr>
          <w:p w14:paraId="04793A0F" w14:textId="77777777" w:rsidR="006627BC" w:rsidRPr="00582B51"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6EBBFE97"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7AE80B95"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6627BC" w:rsidRPr="00582B51" w:rsidRDefault="006627BC" w:rsidP="006627BC">
            <w:pPr>
              <w:jc w:val="center"/>
              <w:rPr>
                <w:color w:val="000000" w:themeColor="text1"/>
                <w:lang w:val="lv-LV"/>
              </w:rPr>
            </w:pPr>
            <w:r w:rsidRPr="00582B51">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01F2B34E"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5.2. speciālais budžets</w:t>
            </w:r>
          </w:p>
        </w:tc>
        <w:tc>
          <w:tcPr>
            <w:tcW w:w="1112" w:type="dxa"/>
            <w:gridSpan w:val="2"/>
            <w:vMerge/>
            <w:vAlign w:val="center"/>
            <w:hideMark/>
          </w:tcPr>
          <w:p w14:paraId="129BF06F" w14:textId="77777777" w:rsidR="006627BC" w:rsidRPr="00582B51"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1CC8D2DF"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5EB20D94"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6627BC" w:rsidRPr="00582B51" w:rsidRDefault="006627BC" w:rsidP="006627BC">
            <w:pPr>
              <w:jc w:val="center"/>
              <w:rPr>
                <w:color w:val="000000" w:themeColor="text1"/>
                <w:lang w:val="lv-LV"/>
              </w:rPr>
            </w:pPr>
            <w:r w:rsidRPr="00582B51">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34A3C239"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5.3. pašvaldību budžets</w:t>
            </w:r>
          </w:p>
        </w:tc>
        <w:tc>
          <w:tcPr>
            <w:tcW w:w="1112" w:type="dxa"/>
            <w:gridSpan w:val="2"/>
            <w:vMerge/>
            <w:vAlign w:val="center"/>
            <w:hideMark/>
          </w:tcPr>
          <w:p w14:paraId="53922932" w14:textId="77777777" w:rsidR="006627BC" w:rsidRPr="00582B51"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12B92A5A"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6627BC" w:rsidRPr="00582B51" w:rsidRDefault="006627BC" w:rsidP="006627BC">
            <w:pPr>
              <w:jc w:val="center"/>
              <w:rPr>
                <w:color w:val="000000" w:themeColor="text1"/>
                <w:lang w:val="lv-LV"/>
              </w:rPr>
            </w:pPr>
            <w:r w:rsidRPr="00582B51">
              <w:rPr>
                <w:color w:val="000000" w:themeColor="text1"/>
                <w:lang w:val="lv-LV"/>
              </w:rPr>
              <w:t>0</w:t>
            </w:r>
          </w:p>
        </w:tc>
        <w:tc>
          <w:tcPr>
            <w:tcW w:w="867" w:type="dxa"/>
            <w:vMerge/>
            <w:vAlign w:val="center"/>
            <w:hideMark/>
          </w:tcPr>
          <w:p w14:paraId="1282A606" w14:textId="77777777" w:rsidR="006627BC" w:rsidRPr="00582B51"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6627BC" w:rsidRPr="00582B51" w:rsidRDefault="006627BC" w:rsidP="006627BC">
            <w:pPr>
              <w:jc w:val="center"/>
              <w:rPr>
                <w:color w:val="000000" w:themeColor="text1"/>
                <w:lang w:val="lv-LV"/>
              </w:rPr>
            </w:pPr>
            <w:r w:rsidRPr="00582B51">
              <w:rPr>
                <w:color w:val="000000" w:themeColor="text1"/>
                <w:lang w:val="lv-LV"/>
              </w:rPr>
              <w:t>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6627BC" w:rsidRPr="00582B51" w:rsidRDefault="006627BC" w:rsidP="006627BC">
            <w:pPr>
              <w:jc w:val="center"/>
              <w:rPr>
                <w:color w:val="000000" w:themeColor="text1"/>
                <w:lang w:val="lv-LV"/>
              </w:rPr>
            </w:pPr>
            <w:r w:rsidRPr="00582B51">
              <w:rPr>
                <w:color w:val="000000" w:themeColor="text1"/>
                <w:lang w:val="lv-LV"/>
              </w:rPr>
              <w:t>0</w:t>
            </w:r>
          </w:p>
        </w:tc>
      </w:tr>
      <w:tr w:rsidR="006627BC" w:rsidRPr="00582B51" w14:paraId="05463ACF"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lastRenderedPageBreak/>
              <w:t>6. Detalizēts ieņēmumu un izdevumu aprēķins (ja nepieciešams, detalizētu ieņēmumu un izdevumu aprēķinu var pievienot anotācijas pielikumā)</w:t>
            </w:r>
          </w:p>
        </w:tc>
        <w:tc>
          <w:tcPr>
            <w:tcW w:w="753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E8913" w14:textId="5CA1B137" w:rsidR="006627BC" w:rsidRPr="00F2361F" w:rsidRDefault="00183E77" w:rsidP="006627BC">
            <w:pPr>
              <w:spacing w:before="120"/>
              <w:jc w:val="both"/>
              <w:rPr>
                <w:iCs/>
                <w:sz w:val="26"/>
                <w:szCs w:val="26"/>
                <w:lang w:val="lv-LV"/>
              </w:rPr>
            </w:pPr>
            <w:r w:rsidRPr="00582B51">
              <w:rPr>
                <w:color w:val="000000"/>
                <w:sz w:val="26"/>
                <w:szCs w:val="26"/>
                <w:lang w:val="lv-LV" w:eastAsia="lv-LV"/>
              </w:rPr>
              <w:t xml:space="preserve">Programmas nepieciešamais </w:t>
            </w:r>
            <w:r w:rsidRPr="00582B51">
              <w:rPr>
                <w:sz w:val="26"/>
                <w:szCs w:val="26"/>
                <w:lang w:val="lv-LV" w:eastAsia="lv-LV"/>
              </w:rPr>
              <w:t>papildus</w:t>
            </w:r>
            <w:r w:rsidRPr="00582B51">
              <w:rPr>
                <w:color w:val="FF0000"/>
                <w:sz w:val="26"/>
                <w:szCs w:val="26"/>
                <w:lang w:val="lv-LV" w:eastAsia="lv-LV"/>
              </w:rPr>
              <w:t xml:space="preserve"> </w:t>
            </w:r>
            <w:r w:rsidRPr="00582B51">
              <w:rPr>
                <w:color w:val="000000"/>
                <w:sz w:val="26"/>
                <w:szCs w:val="26"/>
                <w:lang w:val="lv-LV" w:eastAsia="lv-LV"/>
              </w:rPr>
              <w:t>finansējums tiks nodrošināts</w:t>
            </w:r>
            <w:r w:rsidRPr="00582B51">
              <w:rPr>
                <w:color w:val="000000"/>
                <w:sz w:val="24"/>
                <w:szCs w:val="24"/>
                <w:lang w:val="lv-LV" w:eastAsia="lv-LV"/>
              </w:rPr>
              <w:t xml:space="preserve"> </w:t>
            </w:r>
            <w:r w:rsidR="006627BC" w:rsidRPr="00582B51">
              <w:rPr>
                <w:color w:val="000000" w:themeColor="text1"/>
                <w:sz w:val="26"/>
                <w:szCs w:val="26"/>
                <w:lang w:val="lv-LV"/>
              </w:rPr>
              <w:t xml:space="preserve">no informatīvā ziņojuma “Par pasākumiem Covid-19 krīzes pārvarēšanai un ekonomikas atlabšanai” (MK 2020.gada 2.jūnija sēdes protokola Nr.38, 49.§) pielikuma </w:t>
            </w:r>
            <w:r w:rsidR="006627BC" w:rsidRPr="00582B51">
              <w:rPr>
                <w:iCs/>
                <w:sz w:val="26"/>
                <w:szCs w:val="26"/>
                <w:lang w:val="lv-LV"/>
              </w:rPr>
              <w:t>8.rinda – ES fondu pārdales 35 milj. EUR apmērā, un 5.rinda – ES fondu virssaistības 25 milj. EUR apmērā</w:t>
            </w:r>
            <w:r w:rsidR="006627BC" w:rsidRPr="00582B51">
              <w:rPr>
                <w:color w:val="000000" w:themeColor="text1"/>
                <w:sz w:val="26"/>
                <w:szCs w:val="26"/>
                <w:lang w:val="lv-LV"/>
              </w:rPr>
              <w:t xml:space="preserve"> – trīs atbalsta programmām:</w:t>
            </w:r>
          </w:p>
          <w:p w14:paraId="651D7CFC" w14:textId="77777777" w:rsidR="006627BC" w:rsidRPr="003524DB" w:rsidRDefault="006627BC" w:rsidP="006627BC">
            <w:pPr>
              <w:pStyle w:val="ListParagraph"/>
              <w:numPr>
                <w:ilvl w:val="0"/>
                <w:numId w:val="23"/>
              </w:numPr>
              <w:spacing w:before="120"/>
              <w:ind w:left="418"/>
              <w:contextualSpacing w:val="0"/>
              <w:rPr>
                <w:rFonts w:eastAsia="Times New Roman"/>
                <w:color w:val="000000" w:themeColor="text1"/>
                <w:sz w:val="26"/>
                <w:szCs w:val="26"/>
                <w:lang w:val="lv-LV"/>
              </w:rPr>
            </w:pPr>
            <w:r w:rsidRPr="003524DB">
              <w:rPr>
                <w:rFonts w:eastAsia="Times New Roman"/>
                <w:color w:val="000000" w:themeColor="text1"/>
                <w:sz w:val="26"/>
                <w:szCs w:val="26"/>
                <w:lang w:val="lv-LV"/>
              </w:rPr>
              <w:t>starta aizdevumiem - 10 milj. EUR (no 35 milj. EUR ERAF);</w:t>
            </w:r>
          </w:p>
          <w:p w14:paraId="3750BCA5" w14:textId="77777777" w:rsidR="006627BC" w:rsidRPr="003524DB" w:rsidRDefault="006627BC" w:rsidP="006627BC">
            <w:pPr>
              <w:pStyle w:val="ListParagraph"/>
              <w:numPr>
                <w:ilvl w:val="0"/>
                <w:numId w:val="23"/>
              </w:numPr>
              <w:spacing w:before="120"/>
              <w:ind w:left="418"/>
              <w:contextualSpacing w:val="0"/>
              <w:jc w:val="both"/>
              <w:rPr>
                <w:rFonts w:eastAsia="Times New Roman"/>
                <w:color w:val="000000" w:themeColor="text1"/>
                <w:sz w:val="26"/>
                <w:szCs w:val="26"/>
                <w:lang w:val="lv-LV"/>
              </w:rPr>
            </w:pPr>
            <w:r w:rsidRPr="003524DB">
              <w:rPr>
                <w:rFonts w:eastAsia="Times New Roman"/>
                <w:color w:val="000000" w:themeColor="text1"/>
                <w:sz w:val="26"/>
                <w:szCs w:val="26"/>
                <w:lang w:val="lv-LV"/>
              </w:rPr>
              <w:t xml:space="preserve">MVU tiešie aizdevumiem - 32 milj. EUR (25 milj. EUR no 35 milj. EUR ERAF un 7 milj. EUR no 25 milj. EUR </w:t>
            </w:r>
            <w:proofErr w:type="spellStart"/>
            <w:r w:rsidRPr="003524DB">
              <w:rPr>
                <w:rFonts w:eastAsia="Times New Roman"/>
                <w:color w:val="000000" w:themeColor="text1"/>
                <w:sz w:val="26"/>
                <w:szCs w:val="26"/>
                <w:lang w:val="lv-LV"/>
              </w:rPr>
              <w:t>virssaistībām</w:t>
            </w:r>
            <w:proofErr w:type="spellEnd"/>
            <w:r w:rsidRPr="003524DB">
              <w:rPr>
                <w:rFonts w:eastAsia="Times New Roman"/>
                <w:color w:val="000000" w:themeColor="text1"/>
                <w:sz w:val="26"/>
                <w:szCs w:val="26"/>
                <w:lang w:val="lv-LV"/>
              </w:rPr>
              <w:t>);</w:t>
            </w:r>
          </w:p>
          <w:p w14:paraId="55C4F081" w14:textId="3ACB0A51" w:rsidR="006627BC" w:rsidRPr="003524DB" w:rsidRDefault="006627BC" w:rsidP="00322165">
            <w:pPr>
              <w:pStyle w:val="ListParagraph"/>
              <w:numPr>
                <w:ilvl w:val="0"/>
                <w:numId w:val="23"/>
              </w:numPr>
              <w:spacing w:before="120"/>
              <w:ind w:left="418"/>
              <w:contextualSpacing w:val="0"/>
              <w:jc w:val="both"/>
              <w:rPr>
                <w:color w:val="000000" w:themeColor="text1"/>
                <w:sz w:val="26"/>
                <w:szCs w:val="26"/>
                <w:lang w:val="lv-LV"/>
              </w:rPr>
            </w:pPr>
            <w:r w:rsidRPr="003524DB">
              <w:rPr>
                <w:rFonts w:eastAsia="Times New Roman"/>
                <w:color w:val="000000" w:themeColor="text1"/>
                <w:sz w:val="26"/>
                <w:szCs w:val="26"/>
                <w:lang w:val="lv-LV"/>
              </w:rPr>
              <w:t xml:space="preserve">garantijas tūrisma operatoriem - 18 milj. EUR (18 milj. EUR no 25 milj. EUR </w:t>
            </w:r>
            <w:proofErr w:type="spellStart"/>
            <w:r w:rsidRPr="003524DB">
              <w:rPr>
                <w:rFonts w:eastAsia="Times New Roman"/>
                <w:color w:val="000000" w:themeColor="text1"/>
                <w:sz w:val="26"/>
                <w:szCs w:val="26"/>
                <w:lang w:val="lv-LV"/>
              </w:rPr>
              <w:t>virssaistībām</w:t>
            </w:r>
            <w:proofErr w:type="spellEnd"/>
            <w:r w:rsidRPr="003524DB">
              <w:rPr>
                <w:rFonts w:eastAsia="Times New Roman"/>
                <w:color w:val="000000" w:themeColor="text1"/>
                <w:sz w:val="26"/>
                <w:szCs w:val="26"/>
                <w:lang w:val="lv-LV"/>
              </w:rPr>
              <w:t xml:space="preserve">). </w:t>
            </w:r>
          </w:p>
          <w:p w14:paraId="432533EF" w14:textId="3BD39D6B" w:rsidR="006627BC" w:rsidRPr="003524DB" w:rsidRDefault="006627BC" w:rsidP="006627BC">
            <w:pPr>
              <w:shd w:val="clear" w:color="auto" w:fill="FFFFFF"/>
              <w:contextualSpacing/>
              <w:jc w:val="both"/>
              <w:rPr>
                <w:rFonts w:eastAsia="Times New Roman"/>
                <w:sz w:val="26"/>
                <w:szCs w:val="26"/>
                <w:lang w:val="lv-LV"/>
              </w:rPr>
            </w:pPr>
            <w:r w:rsidRPr="003524DB">
              <w:rPr>
                <w:rFonts w:eastAsia="Times New Roman"/>
                <w:sz w:val="26"/>
                <w:szCs w:val="26"/>
                <w:lang w:val="lv-LV"/>
              </w:rPr>
              <w:t>Finansējuma sadalījums pa gadiem ir norādīts indikatīvi un var tikt precizēts pēc atsevišķu pasākumu ieviešanas.</w:t>
            </w:r>
          </w:p>
        </w:tc>
      </w:tr>
      <w:tr w:rsidR="006627BC" w:rsidRPr="00582B51" w14:paraId="40D53CBC"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6.1. detalizēts ieņēmumu aprēķins</w:t>
            </w:r>
          </w:p>
        </w:tc>
        <w:tc>
          <w:tcPr>
            <w:tcW w:w="7533" w:type="dxa"/>
            <w:gridSpan w:val="8"/>
            <w:vMerge/>
            <w:vAlign w:val="center"/>
            <w:hideMark/>
          </w:tcPr>
          <w:p w14:paraId="3A008403" w14:textId="77777777" w:rsidR="006627BC" w:rsidRPr="00582B51" w:rsidRDefault="006627BC" w:rsidP="006627BC">
            <w:pPr>
              <w:jc w:val="center"/>
              <w:rPr>
                <w:color w:val="000000" w:themeColor="text1"/>
                <w:sz w:val="26"/>
                <w:szCs w:val="26"/>
                <w:lang w:val="lv-LV"/>
              </w:rPr>
            </w:pPr>
          </w:p>
        </w:tc>
      </w:tr>
      <w:tr w:rsidR="006627BC" w:rsidRPr="00582B51" w14:paraId="2889E4E5"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6.2. detalizēts izdevumu aprēķins</w:t>
            </w:r>
          </w:p>
        </w:tc>
        <w:tc>
          <w:tcPr>
            <w:tcW w:w="7533" w:type="dxa"/>
            <w:gridSpan w:val="8"/>
            <w:vMerge/>
            <w:vAlign w:val="center"/>
            <w:hideMark/>
          </w:tcPr>
          <w:p w14:paraId="265F13DE" w14:textId="77777777" w:rsidR="006627BC" w:rsidRPr="00582B51" w:rsidRDefault="006627BC" w:rsidP="006627BC">
            <w:pPr>
              <w:jc w:val="center"/>
              <w:rPr>
                <w:color w:val="000000" w:themeColor="text1"/>
                <w:sz w:val="26"/>
                <w:szCs w:val="26"/>
                <w:lang w:val="lv-LV"/>
              </w:rPr>
            </w:pPr>
          </w:p>
        </w:tc>
      </w:tr>
      <w:tr w:rsidR="006627BC" w:rsidRPr="00582B51" w14:paraId="240A1F3D"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7. Amata vietu skaita izmaiņas</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6627BC" w:rsidRPr="00F2361F" w:rsidRDefault="006627BC" w:rsidP="006627BC">
            <w:pPr>
              <w:jc w:val="both"/>
              <w:rPr>
                <w:rFonts w:eastAsia="Times New Roman"/>
                <w:color w:val="000000" w:themeColor="text1"/>
                <w:sz w:val="26"/>
                <w:szCs w:val="26"/>
                <w:lang w:val="lv-LV" w:eastAsia="lv-LV"/>
              </w:rPr>
            </w:pPr>
            <w:r w:rsidRPr="00F2361F">
              <w:rPr>
                <w:rFonts w:eastAsia="Times New Roman"/>
                <w:bCs/>
                <w:iCs/>
                <w:color w:val="000000" w:themeColor="text1"/>
                <w:sz w:val="26"/>
                <w:szCs w:val="26"/>
                <w:lang w:val="lv-LV"/>
              </w:rPr>
              <w:t>MK noteikumu projekts</w:t>
            </w:r>
            <w:r w:rsidRPr="00F2361F">
              <w:rPr>
                <w:rFonts w:eastAsia="Times New Roman"/>
                <w:color w:val="000000" w:themeColor="text1"/>
                <w:sz w:val="26"/>
                <w:szCs w:val="26"/>
                <w:lang w:val="lv-LV" w:eastAsia="lv-LV"/>
              </w:rPr>
              <w:t xml:space="preserve"> šo jomu neskar.</w:t>
            </w:r>
          </w:p>
          <w:p w14:paraId="3C83B6D7" w14:textId="77777777" w:rsidR="006627BC" w:rsidRPr="003524DB" w:rsidRDefault="006627BC" w:rsidP="006627BC">
            <w:pPr>
              <w:rPr>
                <w:color w:val="000000" w:themeColor="text1"/>
                <w:sz w:val="26"/>
                <w:szCs w:val="26"/>
                <w:lang w:val="lv-LV"/>
              </w:rPr>
            </w:pPr>
          </w:p>
        </w:tc>
      </w:tr>
      <w:tr w:rsidR="006627BC" w:rsidRPr="00582B51" w14:paraId="071435FC" w14:textId="77777777" w:rsidTr="00352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6627BC" w:rsidRPr="00582B51" w:rsidRDefault="006627BC" w:rsidP="006627BC">
            <w:pPr>
              <w:rPr>
                <w:color w:val="000000" w:themeColor="text1"/>
                <w:sz w:val="26"/>
                <w:szCs w:val="26"/>
                <w:lang w:val="lv-LV"/>
              </w:rPr>
            </w:pPr>
            <w:r w:rsidRPr="00582B51">
              <w:rPr>
                <w:color w:val="000000" w:themeColor="text1"/>
                <w:sz w:val="26"/>
                <w:szCs w:val="26"/>
                <w:lang w:val="lv-LV"/>
              </w:rPr>
              <w:t>8. Cita informācija</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D15E1B" w14:textId="3C7A684A" w:rsidR="006627BC" w:rsidRPr="003524DB" w:rsidRDefault="00322165" w:rsidP="006627BC">
            <w:pPr>
              <w:jc w:val="both"/>
              <w:rPr>
                <w:rFonts w:eastAsia="Times New Roman"/>
                <w:color w:val="000000" w:themeColor="text1"/>
                <w:sz w:val="26"/>
                <w:szCs w:val="26"/>
                <w:lang w:val="lv-LV" w:eastAsia="lv-LV"/>
              </w:rPr>
            </w:pPr>
            <w:r w:rsidRPr="00582B51">
              <w:rPr>
                <w:color w:val="000000" w:themeColor="text1"/>
                <w:sz w:val="26"/>
                <w:szCs w:val="26"/>
                <w:lang w:val="lv-LV"/>
              </w:rPr>
              <w:t>Nepieciešamo finansējumu Finanšu ministrija</w:t>
            </w:r>
            <w:r w:rsidRPr="00F2361F">
              <w:rPr>
                <w:color w:val="000000" w:themeColor="text1"/>
                <w:sz w:val="26"/>
                <w:szCs w:val="26"/>
                <w:lang w:val="lv-LV"/>
              </w:rPr>
              <w:t xml:space="preserve"> lūgs pārdalīt no 80.00.00 programmas „Nesadalītais finansējums Eiropas Savienības politiku instrumentu un pārējās ārvalstu finanšu palīdzības līdzfinansēto projektu un pasākumu īstenošanai”, sākot ar 2021. gadu.</w:t>
            </w:r>
          </w:p>
        </w:tc>
      </w:tr>
    </w:tbl>
    <w:p w14:paraId="2A21AD4B" w14:textId="459FCB6F" w:rsidR="00844176" w:rsidRPr="00582B51" w:rsidRDefault="00844176" w:rsidP="00370711">
      <w:pPr>
        <w:contextualSpacing/>
        <w:rPr>
          <w:rFonts w:eastAsia="Times New Roman"/>
          <w:color w:val="000000" w:themeColor="text1"/>
          <w:sz w:val="26"/>
          <w:szCs w:val="26"/>
          <w:highlight w:val="yellow"/>
          <w:lang w:val="lv-LV"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6094"/>
      </w:tblGrid>
      <w:tr w:rsidR="00734792" w:rsidRPr="00582B51" w14:paraId="58063272" w14:textId="77777777" w:rsidTr="003524D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5A6A0" w14:textId="77777777" w:rsidR="00734792" w:rsidRPr="00F2361F" w:rsidRDefault="00734792" w:rsidP="00734792">
            <w:pPr>
              <w:spacing w:before="100" w:beforeAutospacing="1" w:after="100" w:afterAutospacing="1" w:line="315" w:lineRule="atLeast"/>
              <w:jc w:val="center"/>
              <w:rPr>
                <w:rFonts w:eastAsia="Times New Roman"/>
                <w:b/>
                <w:bCs/>
                <w:color w:val="000000" w:themeColor="text1"/>
                <w:sz w:val="26"/>
                <w:szCs w:val="26"/>
                <w:lang w:val="lv-LV" w:eastAsia="lv-LV"/>
              </w:rPr>
            </w:pPr>
            <w:r w:rsidRPr="00582B51">
              <w:rPr>
                <w:rFonts w:eastAsia="Times New Roman"/>
                <w:b/>
                <w:bCs/>
                <w:color w:val="000000" w:themeColor="text1"/>
                <w:sz w:val="26"/>
                <w:szCs w:val="26"/>
                <w:lang w:val="lv-LV" w:eastAsia="lv-LV"/>
              </w:rPr>
              <w:t>IV. Tiesību akta projekta ietekme uz spēkā esošo tiesību normu sistēmu</w:t>
            </w:r>
          </w:p>
        </w:tc>
      </w:tr>
      <w:tr w:rsidR="00734792" w:rsidRPr="00582B51" w14:paraId="09998AFF" w14:textId="77777777" w:rsidTr="003524DB">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00CA35F4" w14:textId="77777777" w:rsidR="00734792" w:rsidRPr="00582B51"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582B51">
              <w:rPr>
                <w:rFonts w:eastAsia="Times New Roman"/>
                <w:color w:val="000000" w:themeColor="text1"/>
                <w:sz w:val="21"/>
                <w:szCs w:val="21"/>
                <w:lang w:val="lv-LV" w:eastAsia="lv-LV"/>
              </w:rPr>
              <w:t>1.</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688492C0" w14:textId="77777777" w:rsidR="00734792" w:rsidRPr="00582B51" w:rsidRDefault="00734792" w:rsidP="00734792">
            <w:pPr>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0929A778" w14:textId="43D04FCE" w:rsidR="00EB7E5F" w:rsidRPr="003524DB"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F2361F">
              <w:rPr>
                <w:color w:val="000000" w:themeColor="text1"/>
                <w:sz w:val="26"/>
                <w:szCs w:val="26"/>
                <w:shd w:val="clear" w:color="auto" w:fill="FFFFFF"/>
                <w:lang w:val="lv-LV"/>
              </w:rPr>
              <w:t>G</w:t>
            </w:r>
            <w:r w:rsidRPr="00F2361F">
              <w:rPr>
                <w:color w:val="000000" w:themeColor="text1"/>
                <w:sz w:val="26"/>
                <w:szCs w:val="26"/>
                <w:lang w:val="lv-LV"/>
              </w:rPr>
              <w:t>rozījumi MK 2016.gada 31.maija noteikumos Nr.328 “</w:t>
            </w:r>
            <w:r w:rsidRPr="003524DB">
              <w:rPr>
                <w:color w:val="000000" w:themeColor="text1"/>
                <w:sz w:val="26"/>
                <w:szCs w:val="26"/>
                <w:shd w:val="clear" w:color="auto" w:fill="FFFFFF"/>
                <w:lang w:val="lv-LV"/>
              </w:rPr>
              <w:t xml:space="preserve">Noteikumi par </w:t>
            </w:r>
            <w:proofErr w:type="spellStart"/>
            <w:r w:rsidRPr="003524DB">
              <w:rPr>
                <w:color w:val="000000" w:themeColor="text1"/>
                <w:sz w:val="26"/>
                <w:szCs w:val="26"/>
                <w:shd w:val="clear" w:color="auto" w:fill="FFFFFF"/>
                <w:lang w:val="lv-LV"/>
              </w:rPr>
              <w:t>mikroaizdevumiem</w:t>
            </w:r>
            <w:proofErr w:type="spellEnd"/>
            <w:r w:rsidRPr="003524DB">
              <w:rPr>
                <w:color w:val="000000" w:themeColor="text1"/>
                <w:sz w:val="26"/>
                <w:szCs w:val="26"/>
                <w:shd w:val="clear" w:color="auto" w:fill="FFFFFF"/>
                <w:lang w:val="lv-LV"/>
              </w:rPr>
              <w:t xml:space="preserve"> un starta aizdevumiem”</w:t>
            </w:r>
            <w:r w:rsidR="00EB7E5F" w:rsidRPr="003524DB">
              <w:rPr>
                <w:color w:val="000000" w:themeColor="text1"/>
                <w:sz w:val="26"/>
                <w:szCs w:val="26"/>
                <w:shd w:val="clear" w:color="auto" w:fill="FFFFFF"/>
                <w:lang w:val="lv-LV"/>
              </w:rPr>
              <w:t xml:space="preserve"> (</w:t>
            </w:r>
            <w:r w:rsidR="00C64A96">
              <w:rPr>
                <w:color w:val="000000" w:themeColor="text1"/>
                <w:sz w:val="26"/>
                <w:szCs w:val="26"/>
                <w:shd w:val="clear" w:color="auto" w:fill="FFFFFF"/>
                <w:lang w:val="lv-LV"/>
              </w:rPr>
              <w:t>VSS-921</w:t>
            </w:r>
            <w:r w:rsidR="00EB7E5F" w:rsidRPr="003524DB">
              <w:rPr>
                <w:color w:val="000000" w:themeColor="text1"/>
                <w:sz w:val="26"/>
                <w:szCs w:val="26"/>
                <w:shd w:val="clear" w:color="auto" w:fill="FFFFFF"/>
                <w:lang w:val="lv-LV"/>
              </w:rPr>
              <w:t>);</w:t>
            </w:r>
          </w:p>
          <w:p w14:paraId="3BDE573C" w14:textId="6EBE5A19" w:rsidR="00734792" w:rsidRPr="00582B51"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3524DB">
              <w:rPr>
                <w:color w:val="000000" w:themeColor="text1"/>
                <w:sz w:val="26"/>
                <w:szCs w:val="26"/>
                <w:shd w:val="clear" w:color="auto" w:fill="FFFFFF"/>
                <w:lang w:val="lv-LV"/>
              </w:rPr>
              <w:t>Grozījumi</w:t>
            </w:r>
            <w:r w:rsidRPr="003524DB">
              <w:rPr>
                <w:color w:val="000000" w:themeColor="text1"/>
                <w:sz w:val="26"/>
                <w:szCs w:val="26"/>
                <w:lang w:val="lv-LV"/>
              </w:rPr>
              <w:t xml:space="preserve"> MK 2009.gada 15.septembra noteikumos Nr.1065 “</w:t>
            </w:r>
            <w:r w:rsidRPr="00582B51">
              <w:rPr>
                <w:color w:val="000000" w:themeColor="text1"/>
                <w:sz w:val="26"/>
                <w:szCs w:val="26"/>
                <w:shd w:val="clear" w:color="auto" w:fill="FFFFFF"/>
                <w:lang w:val="lv-LV"/>
              </w:rPr>
              <w:t>Noteikumi par aizdevumiem sīko (mikro), mazo un vidējo saimnieciskās darbības veicēju un lauksaimniecības un mežsaimniecības pakalpojumu kooperatīvo sabiedrību attīstības veicināšanai”</w:t>
            </w:r>
            <w:r w:rsidR="00EB7E5F" w:rsidRPr="00582B51">
              <w:rPr>
                <w:color w:val="000000" w:themeColor="text1"/>
                <w:sz w:val="26"/>
                <w:szCs w:val="26"/>
                <w:shd w:val="clear" w:color="auto" w:fill="FFFFFF"/>
                <w:lang w:val="lv-LV"/>
              </w:rPr>
              <w:t xml:space="preserve"> (</w:t>
            </w:r>
            <w:r w:rsidR="00C64A96">
              <w:rPr>
                <w:color w:val="000000" w:themeColor="text1"/>
                <w:sz w:val="26"/>
                <w:szCs w:val="26"/>
                <w:shd w:val="clear" w:color="auto" w:fill="FFFFFF"/>
                <w:lang w:val="lv-LV"/>
              </w:rPr>
              <w:t>VSS-925</w:t>
            </w:r>
            <w:r w:rsidR="00EB7E5F" w:rsidRPr="00582B51">
              <w:rPr>
                <w:color w:val="000000" w:themeColor="text1"/>
                <w:sz w:val="26"/>
                <w:szCs w:val="26"/>
                <w:shd w:val="clear" w:color="auto" w:fill="FFFFFF"/>
                <w:lang w:val="lv-LV"/>
              </w:rPr>
              <w:t>);</w:t>
            </w:r>
          </w:p>
          <w:p w14:paraId="40FECA09" w14:textId="179366DF" w:rsidR="00734792" w:rsidRPr="00582B51" w:rsidRDefault="00734792" w:rsidP="00EB7E5F">
            <w:pPr>
              <w:pStyle w:val="ListParagraph"/>
              <w:numPr>
                <w:ilvl w:val="0"/>
                <w:numId w:val="24"/>
              </w:numPr>
              <w:spacing w:before="120"/>
              <w:ind w:left="310" w:hanging="357"/>
              <w:contextualSpacing w:val="0"/>
              <w:jc w:val="both"/>
              <w:rPr>
                <w:rFonts w:eastAsia="Times New Roman"/>
                <w:color w:val="000000" w:themeColor="text1"/>
                <w:sz w:val="26"/>
                <w:szCs w:val="26"/>
                <w:lang w:val="lv-LV" w:eastAsia="lv-LV"/>
              </w:rPr>
            </w:pPr>
            <w:r w:rsidRPr="00582B51">
              <w:rPr>
                <w:color w:val="000000" w:themeColor="text1"/>
                <w:sz w:val="26"/>
                <w:szCs w:val="26"/>
                <w:lang w:val="lv-LV"/>
              </w:rPr>
              <w:t>Grozījumi</w:t>
            </w:r>
            <w:r w:rsidR="00EB7E5F" w:rsidRPr="00582B51">
              <w:rPr>
                <w:color w:val="000000" w:themeColor="text1"/>
                <w:sz w:val="26"/>
                <w:szCs w:val="26"/>
                <w:shd w:val="clear" w:color="auto" w:fill="FFFFFF"/>
                <w:lang w:val="lv-LV"/>
              </w:rPr>
              <w:t xml:space="preserve"> Ministru kabineta 2020. gada 16. jūnija noteikumos Nr. 383</w:t>
            </w:r>
            <w:r w:rsidRPr="00582B51">
              <w:rPr>
                <w:color w:val="000000" w:themeColor="text1"/>
                <w:sz w:val="26"/>
                <w:szCs w:val="26"/>
                <w:lang w:val="lv-LV"/>
              </w:rPr>
              <w:t xml:space="preserve"> </w:t>
            </w:r>
            <w:r w:rsidR="00EB7E5F" w:rsidRPr="00582B51">
              <w:rPr>
                <w:color w:val="000000" w:themeColor="text1"/>
                <w:sz w:val="26"/>
                <w:szCs w:val="26"/>
                <w:shd w:val="clear" w:color="auto" w:fill="FFFFFF"/>
                <w:lang w:val="lv-LV"/>
              </w:rPr>
              <w:t>“Noteikumi par garantijām saimnieciskās darbības veicējiem konkurētspējas uzlabošanai” (VSS-924).</w:t>
            </w:r>
          </w:p>
        </w:tc>
      </w:tr>
      <w:tr w:rsidR="00734792" w:rsidRPr="00582B51" w14:paraId="1463BBBF" w14:textId="77777777" w:rsidTr="003524DB">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6276164D" w14:textId="77777777" w:rsidR="00734792" w:rsidRPr="00582B51"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582B51">
              <w:rPr>
                <w:rFonts w:eastAsia="Times New Roman"/>
                <w:color w:val="000000" w:themeColor="text1"/>
                <w:sz w:val="21"/>
                <w:szCs w:val="21"/>
                <w:lang w:val="lv-LV" w:eastAsia="lv-LV"/>
              </w:rPr>
              <w:t>2.</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6742749E" w14:textId="77777777" w:rsidR="00734792" w:rsidRPr="00582B51" w:rsidRDefault="00734792" w:rsidP="00734792">
            <w:pPr>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B80B9C5" w14:textId="06DA2412" w:rsidR="00734792" w:rsidRPr="00F2361F" w:rsidRDefault="00734792" w:rsidP="00734792">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Ekonomikas ministrija</w:t>
            </w:r>
          </w:p>
        </w:tc>
      </w:tr>
      <w:tr w:rsidR="00734792" w:rsidRPr="00582B51" w14:paraId="6F2FFC53" w14:textId="77777777" w:rsidTr="003524DB">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5126478E" w14:textId="77777777" w:rsidR="00734792" w:rsidRPr="00582B51"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582B51">
              <w:rPr>
                <w:rFonts w:eastAsia="Times New Roman"/>
                <w:color w:val="000000" w:themeColor="text1"/>
                <w:sz w:val="21"/>
                <w:szCs w:val="21"/>
                <w:lang w:val="lv-LV" w:eastAsia="lv-LV"/>
              </w:rPr>
              <w:t>3.</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44940321" w14:textId="77777777" w:rsidR="00734792" w:rsidRPr="00582B51" w:rsidRDefault="00734792" w:rsidP="00734792">
            <w:pPr>
              <w:rPr>
                <w:rFonts w:eastAsia="Times New Roman"/>
                <w:color w:val="000000" w:themeColor="text1"/>
                <w:sz w:val="26"/>
                <w:szCs w:val="26"/>
                <w:lang w:val="lv-LV" w:eastAsia="lv-LV"/>
              </w:rPr>
            </w:pPr>
            <w:r w:rsidRPr="00582B51">
              <w:rPr>
                <w:rFonts w:eastAsia="Times New Roman"/>
                <w:color w:val="000000" w:themeColor="text1"/>
                <w:sz w:val="26"/>
                <w:szCs w:val="26"/>
                <w:lang w:val="lv-LV" w:eastAsia="lv-LV"/>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D48DC15" w14:textId="713CFDC3" w:rsidR="00734792" w:rsidRPr="00F2361F" w:rsidRDefault="00734792" w:rsidP="00734792">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Nav.</w:t>
            </w:r>
          </w:p>
        </w:tc>
      </w:tr>
    </w:tbl>
    <w:p w14:paraId="1E4C438F" w14:textId="6EC87D71" w:rsidR="00734792" w:rsidRPr="00582B51" w:rsidRDefault="00734792" w:rsidP="00370711">
      <w:pPr>
        <w:contextualSpacing/>
        <w:rPr>
          <w:rFonts w:eastAsia="Times New Roman"/>
          <w:color w:val="000000" w:themeColor="text1"/>
          <w:sz w:val="26"/>
          <w:szCs w:val="26"/>
          <w:highlight w:val="yellow"/>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126"/>
        <w:gridCol w:w="6379"/>
      </w:tblGrid>
      <w:tr w:rsidR="00582B51" w:rsidRPr="00F2361F" w14:paraId="51605A59" w14:textId="77777777" w:rsidTr="003050F9">
        <w:tc>
          <w:tcPr>
            <w:tcW w:w="9206" w:type="dxa"/>
            <w:gridSpan w:val="3"/>
            <w:tcBorders>
              <w:top w:val="outset" w:sz="6" w:space="0" w:color="414142"/>
              <w:left w:val="outset" w:sz="6" w:space="0" w:color="414142"/>
              <w:bottom w:val="outset" w:sz="6" w:space="0" w:color="414142"/>
              <w:right w:val="outset" w:sz="6" w:space="0" w:color="414142"/>
            </w:tcBorders>
          </w:tcPr>
          <w:p w14:paraId="7C4A81BE" w14:textId="77777777" w:rsidR="00582B51" w:rsidRPr="00F2361F" w:rsidRDefault="00582B51" w:rsidP="003050F9">
            <w:pPr>
              <w:contextualSpacing/>
              <w:jc w:val="center"/>
              <w:rPr>
                <w:rFonts w:eastAsia="Times New Roman"/>
                <w:sz w:val="26"/>
                <w:szCs w:val="26"/>
                <w:lang w:val="lv-LV" w:eastAsia="lv-LV"/>
              </w:rPr>
            </w:pPr>
            <w:r w:rsidRPr="00F2361F">
              <w:rPr>
                <w:b/>
                <w:sz w:val="26"/>
                <w:szCs w:val="26"/>
                <w:lang w:val="lv-LV"/>
              </w:rPr>
              <w:t>V. Tiesību akta projekta atbilstība Latvijas Republikas starptautiskajām saistībām</w:t>
            </w:r>
          </w:p>
        </w:tc>
      </w:tr>
      <w:tr w:rsidR="00582B51" w:rsidRPr="00F2361F" w14:paraId="74B91EF1" w14:textId="77777777" w:rsidTr="003050F9">
        <w:tc>
          <w:tcPr>
            <w:tcW w:w="701" w:type="dxa"/>
            <w:tcBorders>
              <w:top w:val="outset" w:sz="6" w:space="0" w:color="414142"/>
              <w:left w:val="outset" w:sz="6" w:space="0" w:color="414142"/>
              <w:bottom w:val="outset" w:sz="6" w:space="0" w:color="414142"/>
              <w:right w:val="outset" w:sz="6" w:space="0" w:color="414142"/>
            </w:tcBorders>
          </w:tcPr>
          <w:p w14:paraId="7876D9C7"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lastRenderedPageBreak/>
              <w:t>1.</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028D9225"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Saistības pret Eiropas Savienību</w:t>
            </w:r>
          </w:p>
        </w:tc>
        <w:tc>
          <w:tcPr>
            <w:tcW w:w="6379" w:type="dxa"/>
            <w:tcBorders>
              <w:top w:val="outset" w:sz="6" w:space="0" w:color="414142"/>
              <w:left w:val="outset" w:sz="6" w:space="0" w:color="414142"/>
              <w:bottom w:val="outset" w:sz="6" w:space="0" w:color="414142"/>
              <w:right w:val="outset" w:sz="6" w:space="0" w:color="414142"/>
            </w:tcBorders>
            <w:shd w:val="clear" w:color="auto" w:fill="auto"/>
            <w:hideMark/>
          </w:tcPr>
          <w:p w14:paraId="5CF7F4B4" w14:textId="702AE57A" w:rsidR="00F2361F" w:rsidRPr="003524DB" w:rsidRDefault="003524DB" w:rsidP="003050F9">
            <w:pPr>
              <w:pStyle w:val="ListParagraph"/>
              <w:ind w:left="105"/>
              <w:jc w:val="both"/>
              <w:rPr>
                <w:rFonts w:eastAsia="Times New Roman"/>
                <w:color w:val="000000" w:themeColor="text1"/>
                <w:sz w:val="26"/>
                <w:szCs w:val="26"/>
                <w:lang w:val="lv-LV" w:eastAsia="lv-LV"/>
              </w:rPr>
            </w:pPr>
            <w:r w:rsidRPr="003524DB">
              <w:rPr>
                <w:color w:val="000000" w:themeColor="text1"/>
                <w:sz w:val="26"/>
                <w:szCs w:val="26"/>
                <w:shd w:val="clear" w:color="auto" w:fill="FFFFFF"/>
                <w:lang w:val="lv-LV"/>
              </w:rPr>
              <w:t>Eiropas Parlamenta un Padomes 2013. gada 17. decembr</w:t>
            </w:r>
            <w:r>
              <w:rPr>
                <w:color w:val="000000" w:themeColor="text1"/>
                <w:sz w:val="26"/>
                <w:szCs w:val="26"/>
                <w:shd w:val="clear" w:color="auto" w:fill="FFFFFF"/>
                <w:lang w:val="lv-LV"/>
              </w:rPr>
              <w:t>a</w:t>
            </w:r>
            <w:r w:rsidRPr="003524DB">
              <w:rPr>
                <w:color w:val="000000" w:themeColor="text1"/>
                <w:sz w:val="26"/>
                <w:szCs w:val="26"/>
                <w:shd w:val="clear" w:color="auto" w:fill="FFFFFF"/>
                <w:lang w:val="lv-LV"/>
              </w:rPr>
              <w:t xml:space="preserve">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3524DB">
              <w:rPr>
                <w:rFonts w:eastAsia="Times New Roman"/>
                <w:color w:val="000000" w:themeColor="text1"/>
                <w:sz w:val="26"/>
                <w:szCs w:val="26"/>
                <w:lang w:val="lv-LV" w:eastAsia="lv-LV"/>
              </w:rPr>
              <w:t xml:space="preserve"> (turpmāk </w:t>
            </w:r>
            <w:r w:rsidRPr="003524DB">
              <w:rPr>
                <w:color w:val="000000" w:themeColor="text1"/>
                <w:sz w:val="26"/>
                <w:szCs w:val="26"/>
                <w:shd w:val="clear" w:color="auto" w:fill="FFFFFF"/>
                <w:lang w:val="lv-LV"/>
              </w:rPr>
              <w:t xml:space="preserve">– </w:t>
            </w:r>
            <w:r w:rsidRPr="003524DB">
              <w:rPr>
                <w:rFonts w:eastAsia="Times New Roman"/>
                <w:color w:val="000000" w:themeColor="text1"/>
                <w:sz w:val="26"/>
                <w:szCs w:val="26"/>
                <w:lang w:val="lv-LV" w:eastAsia="lv-LV"/>
              </w:rPr>
              <w:t>Komisijas Regula Nr. </w:t>
            </w:r>
            <w:hyperlink r:id="rId8" w:tgtFrame="_blank" w:history="1">
              <w:r w:rsidRPr="003524DB">
                <w:rPr>
                  <w:rFonts w:eastAsia="Times New Roman"/>
                  <w:color w:val="000000" w:themeColor="text1"/>
                  <w:sz w:val="26"/>
                  <w:szCs w:val="26"/>
                  <w:lang w:val="lv-LV" w:eastAsia="lv-LV"/>
                </w:rPr>
                <w:t>1303/2013</w:t>
              </w:r>
            </w:hyperlink>
            <w:r w:rsidRPr="003524DB">
              <w:rPr>
                <w:rFonts w:eastAsia="Times New Roman"/>
                <w:color w:val="000000" w:themeColor="text1"/>
                <w:sz w:val="26"/>
                <w:szCs w:val="26"/>
                <w:lang w:val="lv-LV" w:eastAsia="lv-LV"/>
              </w:rPr>
              <w:t>)</w:t>
            </w:r>
            <w:r>
              <w:rPr>
                <w:rFonts w:eastAsia="Times New Roman"/>
                <w:color w:val="000000" w:themeColor="text1"/>
                <w:sz w:val="26"/>
                <w:szCs w:val="26"/>
                <w:lang w:val="lv-LV" w:eastAsia="lv-LV"/>
              </w:rPr>
              <w:t>.</w:t>
            </w:r>
            <w:r w:rsidRPr="003524DB">
              <w:rPr>
                <w:rFonts w:eastAsia="Times New Roman"/>
                <w:color w:val="000000" w:themeColor="text1"/>
                <w:sz w:val="26"/>
                <w:szCs w:val="26"/>
                <w:lang w:val="lv-LV" w:eastAsia="lv-LV"/>
              </w:rPr>
              <w:t> </w:t>
            </w:r>
          </w:p>
          <w:p w14:paraId="40115A11" w14:textId="3AA50A08" w:rsidR="00582B51" w:rsidRPr="00F2361F" w:rsidRDefault="003524DB" w:rsidP="003050F9">
            <w:pPr>
              <w:pStyle w:val="ListParagraph"/>
              <w:ind w:left="105"/>
              <w:jc w:val="both"/>
              <w:rPr>
                <w:sz w:val="26"/>
                <w:szCs w:val="26"/>
                <w:lang w:val="lv-LV"/>
              </w:rPr>
            </w:pPr>
            <w:r w:rsidRPr="003524DB">
              <w:rPr>
                <w:color w:val="000000" w:themeColor="text1"/>
                <w:sz w:val="26"/>
                <w:szCs w:val="26"/>
                <w:shd w:val="clear" w:color="auto" w:fill="FFFFFF"/>
                <w:lang w:val="lv-LV"/>
              </w:rPr>
              <w:t>Komisijas 2014. gada 3. mart</w:t>
            </w:r>
            <w:r>
              <w:rPr>
                <w:color w:val="000000" w:themeColor="text1"/>
                <w:sz w:val="26"/>
                <w:szCs w:val="26"/>
                <w:shd w:val="clear" w:color="auto" w:fill="FFFFFF"/>
                <w:lang w:val="lv-LV"/>
              </w:rPr>
              <w:t>a</w:t>
            </w:r>
            <w:r w:rsidRPr="003524DB">
              <w:rPr>
                <w:color w:val="000000" w:themeColor="text1"/>
                <w:sz w:val="26"/>
                <w:szCs w:val="26"/>
                <w:shd w:val="clear" w:color="auto" w:fill="FFFFFF"/>
                <w:lang w:val="lv-LV"/>
              </w:rPr>
              <w:t xml:space="preserve">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F2361F" w:rsidRPr="003524DB">
              <w:rPr>
                <w:rFonts w:eastAsia="Times New Roman"/>
                <w:color w:val="000000" w:themeColor="text1"/>
                <w:sz w:val="26"/>
                <w:szCs w:val="26"/>
                <w:lang w:val="lv-LV" w:eastAsia="lv-LV"/>
              </w:rPr>
              <w:t>Komisijas Regulas Nr. </w:t>
            </w:r>
            <w:hyperlink r:id="rId9" w:tgtFrame="_blank" w:history="1">
              <w:r w:rsidR="00F2361F" w:rsidRPr="003524DB">
                <w:rPr>
                  <w:rFonts w:eastAsia="Times New Roman"/>
                  <w:color w:val="000000" w:themeColor="text1"/>
                  <w:sz w:val="26"/>
                  <w:szCs w:val="26"/>
                  <w:lang w:val="lv-LV" w:eastAsia="lv-LV"/>
                </w:rPr>
                <w:t>480/2014</w:t>
              </w:r>
            </w:hyperlink>
            <w:r w:rsidRPr="003524DB">
              <w:rPr>
                <w:rFonts w:eastAsia="Times New Roman"/>
                <w:color w:val="000000" w:themeColor="text1"/>
                <w:sz w:val="26"/>
                <w:szCs w:val="26"/>
                <w:lang w:val="lv-LV" w:eastAsia="lv-LV"/>
              </w:rPr>
              <w:t>)</w:t>
            </w:r>
            <w:r>
              <w:rPr>
                <w:rFonts w:eastAsia="Times New Roman"/>
                <w:color w:val="000000" w:themeColor="text1"/>
                <w:sz w:val="26"/>
                <w:szCs w:val="26"/>
                <w:lang w:val="lv-LV" w:eastAsia="lv-LV"/>
              </w:rPr>
              <w:t>.</w:t>
            </w:r>
            <w:r w:rsidR="00F2361F" w:rsidRPr="003524DB">
              <w:rPr>
                <w:rFonts w:eastAsia="Times New Roman"/>
                <w:color w:val="000000" w:themeColor="text1"/>
                <w:sz w:val="26"/>
                <w:szCs w:val="26"/>
                <w:lang w:eastAsia="lv-LV"/>
              </w:rPr>
              <w:t> </w:t>
            </w:r>
          </w:p>
        </w:tc>
      </w:tr>
      <w:tr w:rsidR="00582B51" w:rsidRPr="00F2361F" w14:paraId="6A150F70" w14:textId="77777777" w:rsidTr="003050F9">
        <w:tc>
          <w:tcPr>
            <w:tcW w:w="701" w:type="dxa"/>
            <w:tcBorders>
              <w:top w:val="outset" w:sz="6" w:space="0" w:color="414142"/>
              <w:left w:val="outset" w:sz="6" w:space="0" w:color="414142"/>
              <w:bottom w:val="outset" w:sz="6" w:space="0" w:color="414142"/>
              <w:right w:val="outset" w:sz="6" w:space="0" w:color="414142"/>
            </w:tcBorders>
          </w:tcPr>
          <w:p w14:paraId="7CE5071F"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2.</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794F2EF6"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Citas starptautiskās saistības</w:t>
            </w:r>
          </w:p>
        </w:tc>
        <w:tc>
          <w:tcPr>
            <w:tcW w:w="6379" w:type="dxa"/>
            <w:tcBorders>
              <w:top w:val="outset" w:sz="6" w:space="0" w:color="414142"/>
              <w:left w:val="outset" w:sz="6" w:space="0" w:color="414142"/>
              <w:bottom w:val="outset" w:sz="6" w:space="0" w:color="414142"/>
              <w:right w:val="outset" w:sz="6" w:space="0" w:color="414142"/>
            </w:tcBorders>
            <w:shd w:val="clear" w:color="auto" w:fill="auto"/>
            <w:hideMark/>
          </w:tcPr>
          <w:p w14:paraId="6DC99990"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Projekts šo jomu neskar.</w:t>
            </w:r>
          </w:p>
        </w:tc>
      </w:tr>
      <w:tr w:rsidR="00582B51" w:rsidRPr="00F2361F" w14:paraId="1276DB42" w14:textId="77777777" w:rsidTr="003050F9">
        <w:tc>
          <w:tcPr>
            <w:tcW w:w="701" w:type="dxa"/>
            <w:tcBorders>
              <w:top w:val="outset" w:sz="6" w:space="0" w:color="414142"/>
              <w:left w:val="outset" w:sz="6" w:space="0" w:color="414142"/>
              <w:bottom w:val="outset" w:sz="6" w:space="0" w:color="414142"/>
              <w:right w:val="outset" w:sz="6" w:space="0" w:color="414142"/>
            </w:tcBorders>
          </w:tcPr>
          <w:p w14:paraId="44FE2BB5"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3.</w:t>
            </w:r>
          </w:p>
        </w:tc>
        <w:tc>
          <w:tcPr>
            <w:tcW w:w="2126" w:type="dxa"/>
            <w:tcBorders>
              <w:top w:val="outset" w:sz="6" w:space="0" w:color="414142"/>
              <w:left w:val="outset" w:sz="6" w:space="0" w:color="414142"/>
              <w:bottom w:val="outset" w:sz="6" w:space="0" w:color="414142"/>
              <w:right w:val="outset" w:sz="6" w:space="0" w:color="414142"/>
            </w:tcBorders>
            <w:shd w:val="clear" w:color="auto" w:fill="auto"/>
            <w:hideMark/>
          </w:tcPr>
          <w:p w14:paraId="65DF876F"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shd w:val="clear" w:color="auto" w:fill="auto"/>
            <w:hideMark/>
          </w:tcPr>
          <w:p w14:paraId="4B5B8E81" w14:textId="77777777" w:rsidR="00582B51" w:rsidRPr="00F2361F" w:rsidRDefault="00582B51" w:rsidP="003050F9">
            <w:pPr>
              <w:contextualSpacing/>
              <w:jc w:val="both"/>
              <w:rPr>
                <w:rFonts w:eastAsia="Times New Roman"/>
                <w:sz w:val="26"/>
                <w:szCs w:val="26"/>
                <w:lang w:val="lv-LV" w:eastAsia="lv-LV"/>
              </w:rPr>
            </w:pPr>
            <w:r w:rsidRPr="00F2361F">
              <w:rPr>
                <w:rFonts w:eastAsia="Times New Roman"/>
                <w:sz w:val="26"/>
                <w:szCs w:val="26"/>
                <w:lang w:val="lv-LV" w:eastAsia="lv-LV"/>
              </w:rPr>
              <w:t>Nav</w:t>
            </w:r>
          </w:p>
        </w:tc>
      </w:tr>
    </w:tbl>
    <w:p w14:paraId="74C63822" w14:textId="77777777" w:rsidR="00582B51" w:rsidRPr="00F2361F" w:rsidRDefault="00582B51" w:rsidP="00582B51">
      <w:pPr>
        <w:contextualSpacing/>
        <w:rPr>
          <w:sz w:val="26"/>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6"/>
        <w:gridCol w:w="1778"/>
        <w:gridCol w:w="2228"/>
        <w:gridCol w:w="2373"/>
      </w:tblGrid>
      <w:tr w:rsidR="00582B51" w:rsidRPr="00F2361F" w14:paraId="6D42004C" w14:textId="77777777" w:rsidTr="003050F9">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4634A" w14:textId="77777777" w:rsidR="00582B51" w:rsidRPr="00F2361F" w:rsidRDefault="00582B51" w:rsidP="003050F9">
            <w:pPr>
              <w:jc w:val="center"/>
              <w:rPr>
                <w:rFonts w:eastAsia="Times New Roman"/>
                <w:b/>
                <w:bCs/>
                <w:color w:val="000000" w:themeColor="text1"/>
                <w:sz w:val="26"/>
                <w:szCs w:val="26"/>
                <w:lang w:val="lv-LV" w:eastAsia="lv-LV"/>
              </w:rPr>
            </w:pPr>
            <w:r w:rsidRPr="00F2361F">
              <w:rPr>
                <w:rFonts w:eastAsia="Times New Roman"/>
                <w:b/>
                <w:bCs/>
                <w:color w:val="000000" w:themeColor="text1"/>
                <w:sz w:val="26"/>
                <w:szCs w:val="26"/>
                <w:lang w:val="lv-LV" w:eastAsia="lv-LV"/>
              </w:rPr>
              <w:t>1. tabula</w:t>
            </w:r>
            <w:r w:rsidRPr="00F2361F">
              <w:rPr>
                <w:rFonts w:eastAsia="Times New Roman"/>
                <w:b/>
                <w:bCs/>
                <w:color w:val="000000" w:themeColor="text1"/>
                <w:sz w:val="26"/>
                <w:szCs w:val="26"/>
                <w:lang w:val="lv-LV" w:eastAsia="lv-LV"/>
              </w:rPr>
              <w:br/>
              <w:t>Tiesību akta projekta atbilstība ES tiesību aktiem</w:t>
            </w:r>
          </w:p>
        </w:tc>
      </w:tr>
      <w:tr w:rsidR="00582B51" w:rsidRPr="00F2361F" w14:paraId="13EAD86C" w14:textId="77777777" w:rsidTr="003050F9">
        <w:tc>
          <w:tcPr>
            <w:tcW w:w="1535" w:type="pct"/>
            <w:tcBorders>
              <w:top w:val="outset" w:sz="6" w:space="0" w:color="414142"/>
              <w:left w:val="outset" w:sz="6" w:space="0" w:color="414142"/>
              <w:bottom w:val="outset" w:sz="6" w:space="0" w:color="414142"/>
              <w:right w:val="outset" w:sz="6" w:space="0" w:color="414142"/>
            </w:tcBorders>
            <w:shd w:val="clear" w:color="auto" w:fill="FFFFFF"/>
            <w:hideMark/>
          </w:tcPr>
          <w:p w14:paraId="18124B8A" w14:textId="77777777" w:rsidR="00582B51" w:rsidRPr="00F2361F" w:rsidRDefault="00582B51" w:rsidP="003050F9">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Attiecīgā ES tiesību akta datums, numurs un nosaukums</w:t>
            </w:r>
          </w:p>
        </w:tc>
        <w:tc>
          <w:tcPr>
            <w:tcW w:w="34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8E7A44D" w14:textId="3AFAAEBB" w:rsidR="00582B51" w:rsidRPr="00F2361F" w:rsidRDefault="00582B51" w:rsidP="00F2361F">
            <w:pPr>
              <w:pStyle w:val="naiskr"/>
              <w:spacing w:before="0" w:after="0"/>
              <w:jc w:val="both"/>
              <w:rPr>
                <w:color w:val="000000" w:themeColor="text1"/>
                <w:sz w:val="26"/>
                <w:szCs w:val="26"/>
              </w:rPr>
            </w:pPr>
            <w:r w:rsidRPr="00F2361F">
              <w:rPr>
                <w:color w:val="000000" w:themeColor="text1"/>
                <w:sz w:val="26"/>
                <w:szCs w:val="26"/>
              </w:rPr>
              <w:t xml:space="preserve">Ar </w:t>
            </w:r>
            <w:r w:rsidR="003524DB">
              <w:rPr>
                <w:color w:val="000000" w:themeColor="text1"/>
                <w:sz w:val="26"/>
                <w:szCs w:val="26"/>
              </w:rPr>
              <w:t xml:space="preserve">MK </w:t>
            </w:r>
            <w:r w:rsidRPr="00F2361F">
              <w:rPr>
                <w:color w:val="000000" w:themeColor="text1"/>
                <w:sz w:val="26"/>
                <w:szCs w:val="26"/>
              </w:rPr>
              <w:t>Noteikumu projektu tiek ieviestas šādas Eiropas Savienības tiesību aktu prasības:</w:t>
            </w:r>
          </w:p>
          <w:p w14:paraId="4AA8ADF5" w14:textId="797920B0" w:rsidR="00F2361F" w:rsidRPr="00F2361F" w:rsidRDefault="00F2361F" w:rsidP="00F2361F">
            <w:pPr>
              <w:pStyle w:val="naiskr"/>
              <w:numPr>
                <w:ilvl w:val="0"/>
                <w:numId w:val="26"/>
              </w:numPr>
              <w:spacing w:before="0" w:after="0"/>
              <w:jc w:val="both"/>
              <w:rPr>
                <w:color w:val="000000" w:themeColor="text1"/>
                <w:sz w:val="26"/>
                <w:szCs w:val="26"/>
              </w:rPr>
            </w:pPr>
            <w:r w:rsidRPr="00F2361F">
              <w:rPr>
                <w:sz w:val="26"/>
                <w:szCs w:val="26"/>
              </w:rPr>
              <w:t xml:space="preserve">Komisijas Regula </w:t>
            </w:r>
            <w:r w:rsidRPr="00F2361F">
              <w:rPr>
                <w:color w:val="000000" w:themeColor="text1"/>
                <w:sz w:val="26"/>
                <w:szCs w:val="26"/>
              </w:rPr>
              <w:t>Nr. </w:t>
            </w:r>
            <w:hyperlink r:id="rId10" w:tgtFrame="_blank" w:history="1">
              <w:r w:rsidRPr="00F2361F">
                <w:rPr>
                  <w:color w:val="000000" w:themeColor="text1"/>
                  <w:sz w:val="26"/>
                  <w:szCs w:val="26"/>
                </w:rPr>
                <w:t>1303/2013</w:t>
              </w:r>
            </w:hyperlink>
            <w:r w:rsidRPr="00F2361F">
              <w:rPr>
                <w:color w:val="000000" w:themeColor="text1"/>
                <w:sz w:val="26"/>
                <w:szCs w:val="26"/>
              </w:rPr>
              <w:t>;</w:t>
            </w:r>
          </w:p>
          <w:p w14:paraId="34434640" w14:textId="36E7F367" w:rsidR="00F2361F" w:rsidRPr="00F2361F" w:rsidRDefault="00F2361F" w:rsidP="00F2361F">
            <w:pPr>
              <w:pStyle w:val="naiskr"/>
              <w:numPr>
                <w:ilvl w:val="0"/>
                <w:numId w:val="26"/>
              </w:numPr>
              <w:spacing w:before="0" w:after="0"/>
              <w:jc w:val="both"/>
              <w:rPr>
                <w:color w:val="000000" w:themeColor="text1"/>
                <w:sz w:val="26"/>
                <w:szCs w:val="26"/>
              </w:rPr>
            </w:pPr>
            <w:r w:rsidRPr="00F2361F">
              <w:rPr>
                <w:sz w:val="26"/>
                <w:szCs w:val="26"/>
              </w:rPr>
              <w:t xml:space="preserve">Komisijas Regula </w:t>
            </w:r>
            <w:r w:rsidRPr="00F2361F">
              <w:rPr>
                <w:color w:val="000000" w:themeColor="text1"/>
                <w:sz w:val="26"/>
                <w:szCs w:val="26"/>
              </w:rPr>
              <w:t>Nr. </w:t>
            </w:r>
            <w:hyperlink r:id="rId11" w:tgtFrame="_blank" w:history="1">
              <w:r w:rsidRPr="00F2361F">
                <w:rPr>
                  <w:color w:val="000000" w:themeColor="text1"/>
                  <w:sz w:val="26"/>
                  <w:szCs w:val="26"/>
                </w:rPr>
                <w:t>480/2014</w:t>
              </w:r>
            </w:hyperlink>
            <w:r w:rsidRPr="00F2361F">
              <w:rPr>
                <w:color w:val="000000" w:themeColor="text1"/>
                <w:sz w:val="26"/>
                <w:szCs w:val="26"/>
              </w:rPr>
              <w:t>. </w:t>
            </w:r>
          </w:p>
        </w:tc>
      </w:tr>
      <w:tr w:rsidR="00582B51" w:rsidRPr="00F2361F" w14:paraId="16B8FE7F" w14:textId="77777777" w:rsidTr="003050F9">
        <w:tc>
          <w:tcPr>
            <w:tcW w:w="153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337D728A" w14:textId="77777777" w:rsidR="00582B51" w:rsidRPr="00F2361F" w:rsidRDefault="00582B51" w:rsidP="003050F9">
            <w:pPr>
              <w:jc w:val="cente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A</w:t>
            </w:r>
          </w:p>
        </w:tc>
        <w:tc>
          <w:tcPr>
            <w:tcW w:w="96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E9FE0A9" w14:textId="77777777" w:rsidR="00582B51" w:rsidRPr="00F2361F" w:rsidRDefault="00582B51" w:rsidP="003050F9">
            <w:pPr>
              <w:jc w:val="center"/>
              <w:rPr>
                <w:rFonts w:eastAsia="Times New Roman"/>
                <w:color w:val="414142"/>
                <w:sz w:val="26"/>
                <w:szCs w:val="26"/>
                <w:lang w:val="lv-LV" w:eastAsia="lv-LV"/>
              </w:rPr>
            </w:pPr>
            <w:r w:rsidRPr="00F2361F">
              <w:rPr>
                <w:rFonts w:eastAsia="Times New Roman"/>
                <w:color w:val="414142"/>
                <w:sz w:val="26"/>
                <w:szCs w:val="26"/>
                <w:lang w:val="lv-LV" w:eastAsia="lv-LV"/>
              </w:rPr>
              <w:t>B</w:t>
            </w:r>
          </w:p>
        </w:tc>
        <w:tc>
          <w:tcPr>
            <w:tcW w:w="121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67AAD02" w14:textId="77777777" w:rsidR="00582B51" w:rsidRPr="00F2361F" w:rsidRDefault="00582B51" w:rsidP="003050F9">
            <w:pPr>
              <w:jc w:val="center"/>
              <w:rPr>
                <w:rFonts w:eastAsia="Times New Roman"/>
                <w:color w:val="414142"/>
                <w:sz w:val="26"/>
                <w:szCs w:val="26"/>
                <w:lang w:val="lv-LV" w:eastAsia="lv-LV"/>
              </w:rPr>
            </w:pPr>
            <w:r w:rsidRPr="00F2361F">
              <w:rPr>
                <w:rFonts w:eastAsia="Times New Roman"/>
                <w:color w:val="414142"/>
                <w:sz w:val="26"/>
                <w:szCs w:val="26"/>
                <w:lang w:val="lv-LV" w:eastAsia="lv-LV"/>
              </w:rPr>
              <w:t>C</w:t>
            </w:r>
          </w:p>
        </w:tc>
        <w:tc>
          <w:tcPr>
            <w:tcW w:w="128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B4BD1B6" w14:textId="77777777" w:rsidR="00582B51" w:rsidRPr="00F2361F" w:rsidRDefault="00582B51" w:rsidP="003050F9">
            <w:pPr>
              <w:jc w:val="center"/>
              <w:rPr>
                <w:rFonts w:eastAsia="Times New Roman"/>
                <w:color w:val="414142"/>
                <w:sz w:val="26"/>
                <w:szCs w:val="26"/>
                <w:lang w:val="lv-LV" w:eastAsia="lv-LV"/>
              </w:rPr>
            </w:pPr>
            <w:r w:rsidRPr="00F2361F">
              <w:rPr>
                <w:rFonts w:eastAsia="Times New Roman"/>
                <w:color w:val="414142"/>
                <w:sz w:val="26"/>
                <w:szCs w:val="26"/>
                <w:lang w:val="lv-LV" w:eastAsia="lv-LV"/>
              </w:rPr>
              <w:t>D</w:t>
            </w:r>
          </w:p>
        </w:tc>
      </w:tr>
      <w:tr w:rsidR="00582B51" w:rsidRPr="00F2361F" w14:paraId="72CC7A57" w14:textId="77777777" w:rsidTr="003050F9">
        <w:tc>
          <w:tcPr>
            <w:tcW w:w="1535" w:type="pct"/>
            <w:tcBorders>
              <w:top w:val="single" w:sz="4" w:space="0" w:color="auto"/>
              <w:left w:val="outset" w:sz="6" w:space="0" w:color="414142"/>
              <w:bottom w:val="single" w:sz="4" w:space="0" w:color="auto"/>
              <w:right w:val="outset" w:sz="6" w:space="0" w:color="414142"/>
            </w:tcBorders>
            <w:shd w:val="clear" w:color="auto" w:fill="FFFFFF"/>
          </w:tcPr>
          <w:p w14:paraId="07506D41" w14:textId="2228A181" w:rsidR="00582B51" w:rsidRPr="00B765A1" w:rsidRDefault="00F2361F" w:rsidP="003050F9">
            <w:pPr>
              <w:rPr>
                <w:i/>
                <w:iCs/>
                <w:color w:val="000000" w:themeColor="text1"/>
                <w:sz w:val="26"/>
                <w:szCs w:val="26"/>
                <w:lang w:val="lv-LV"/>
              </w:rPr>
            </w:pPr>
            <w:r w:rsidRPr="00B765A1">
              <w:rPr>
                <w:rFonts w:eastAsia="Times New Roman"/>
                <w:sz w:val="26"/>
                <w:szCs w:val="26"/>
                <w:lang w:val="lv-LV" w:eastAsia="lv-LV"/>
              </w:rPr>
              <w:t>Komisijas Regula</w:t>
            </w:r>
            <w:r w:rsidR="00203D20" w:rsidRPr="00B765A1">
              <w:rPr>
                <w:rFonts w:eastAsia="Times New Roman"/>
                <w:sz w:val="26"/>
                <w:szCs w:val="26"/>
                <w:lang w:val="lv-LV" w:eastAsia="lv-LV"/>
              </w:rPr>
              <w:t>s</w:t>
            </w:r>
            <w:r w:rsidRPr="00B765A1">
              <w:rPr>
                <w:rFonts w:eastAsia="Times New Roman"/>
                <w:sz w:val="26"/>
                <w:szCs w:val="26"/>
                <w:lang w:val="lv-LV" w:eastAsia="lv-LV"/>
              </w:rPr>
              <w:t xml:space="preserve"> </w:t>
            </w:r>
            <w:r w:rsidRPr="00B765A1">
              <w:rPr>
                <w:rFonts w:eastAsia="Times New Roman"/>
                <w:color w:val="000000" w:themeColor="text1"/>
                <w:sz w:val="26"/>
                <w:szCs w:val="26"/>
                <w:lang w:val="lv-LV" w:eastAsia="lv-LV"/>
              </w:rPr>
              <w:t>Nr. </w:t>
            </w:r>
            <w:hyperlink r:id="rId12" w:tgtFrame="_blank" w:history="1">
              <w:r w:rsidRPr="00B765A1">
                <w:rPr>
                  <w:rFonts w:eastAsia="Times New Roman"/>
                  <w:color w:val="000000" w:themeColor="text1"/>
                  <w:sz w:val="26"/>
                  <w:szCs w:val="26"/>
                  <w:lang w:val="lv-LV" w:eastAsia="lv-LV"/>
                </w:rPr>
                <w:t>1303/2013</w:t>
              </w:r>
            </w:hyperlink>
            <w:r w:rsidRPr="00B765A1">
              <w:rPr>
                <w:rFonts w:eastAsia="Times New Roman"/>
                <w:color w:val="000000" w:themeColor="text1"/>
                <w:sz w:val="26"/>
                <w:szCs w:val="26"/>
                <w:lang w:val="lv-LV" w:eastAsia="lv-LV"/>
              </w:rPr>
              <w:t> 42. panta 1. punkta "</w:t>
            </w:r>
            <w:r w:rsidR="003050F9" w:rsidRPr="00B765A1">
              <w:rPr>
                <w:rFonts w:eastAsia="Times New Roman"/>
                <w:color w:val="000000" w:themeColor="text1"/>
                <w:sz w:val="26"/>
                <w:szCs w:val="26"/>
                <w:lang w:val="lv-LV" w:eastAsia="lv-LV"/>
              </w:rPr>
              <w:t>b</w:t>
            </w:r>
            <w:r w:rsidRPr="00B765A1">
              <w:rPr>
                <w:rFonts w:eastAsia="Times New Roman"/>
                <w:color w:val="000000" w:themeColor="text1"/>
                <w:sz w:val="26"/>
                <w:szCs w:val="26"/>
                <w:lang w:val="lv-LV" w:eastAsia="lv-LV"/>
              </w:rPr>
              <w:t xml:space="preserve">" </w:t>
            </w:r>
            <w:r w:rsidR="003050F9" w:rsidRPr="00B765A1">
              <w:rPr>
                <w:rFonts w:eastAsia="Times New Roman"/>
                <w:color w:val="000000" w:themeColor="text1"/>
                <w:sz w:val="26"/>
                <w:szCs w:val="26"/>
                <w:lang w:val="lv-LV" w:eastAsia="lv-LV"/>
              </w:rPr>
              <w:t xml:space="preserve">un “c” </w:t>
            </w:r>
            <w:r w:rsidRPr="00B765A1">
              <w:rPr>
                <w:rFonts w:eastAsia="Times New Roman"/>
                <w:color w:val="000000" w:themeColor="text1"/>
                <w:sz w:val="26"/>
                <w:szCs w:val="26"/>
                <w:lang w:val="lv-LV" w:eastAsia="lv-LV"/>
              </w:rPr>
              <w:t>apakšpunkt</w:t>
            </w:r>
            <w:r w:rsidR="00203D20" w:rsidRPr="00B765A1">
              <w:rPr>
                <w:rFonts w:eastAsia="Times New Roman"/>
                <w:color w:val="000000" w:themeColor="text1"/>
                <w:sz w:val="26"/>
                <w:szCs w:val="26"/>
                <w:lang w:val="lv-LV" w:eastAsia="lv-LV"/>
              </w:rPr>
              <w:t>s,</w:t>
            </w:r>
            <w:r w:rsidRPr="00B765A1">
              <w:rPr>
                <w:rFonts w:eastAsia="Times New Roman"/>
                <w:color w:val="000000" w:themeColor="text1"/>
                <w:sz w:val="26"/>
                <w:szCs w:val="26"/>
                <w:lang w:val="lv-LV" w:eastAsia="lv-LV"/>
              </w:rPr>
              <w:t xml:space="preserve"> </w:t>
            </w:r>
            <w:r w:rsidRPr="00B765A1">
              <w:rPr>
                <w:rFonts w:eastAsia="Times New Roman"/>
                <w:sz w:val="26"/>
                <w:szCs w:val="26"/>
                <w:lang w:val="lv-LV" w:eastAsia="lv-LV"/>
              </w:rPr>
              <w:t xml:space="preserve">Komisijas Regula </w:t>
            </w:r>
            <w:r w:rsidRPr="00B765A1">
              <w:rPr>
                <w:rFonts w:eastAsia="Times New Roman"/>
                <w:color w:val="000000" w:themeColor="text1"/>
                <w:sz w:val="26"/>
                <w:szCs w:val="26"/>
                <w:lang w:val="lv-LV" w:eastAsia="lv-LV"/>
              </w:rPr>
              <w:t>Nr. </w:t>
            </w:r>
            <w:hyperlink r:id="rId13" w:tgtFrame="_blank" w:history="1">
              <w:r w:rsidRPr="00B765A1">
                <w:rPr>
                  <w:rFonts w:eastAsia="Times New Roman"/>
                  <w:color w:val="000000" w:themeColor="text1"/>
                  <w:sz w:val="26"/>
                  <w:szCs w:val="26"/>
                  <w:lang w:val="lv-LV" w:eastAsia="lv-LV"/>
                </w:rPr>
                <w:t>480/2014</w:t>
              </w:r>
            </w:hyperlink>
            <w:r w:rsidRPr="00B765A1">
              <w:rPr>
                <w:rFonts w:eastAsia="Times New Roman"/>
                <w:color w:val="000000" w:themeColor="text1"/>
                <w:sz w:val="26"/>
                <w:szCs w:val="26"/>
                <w:lang w:val="lv-LV" w:eastAsia="lv-LV"/>
              </w:rPr>
              <w:t> </w:t>
            </w:r>
            <w:r w:rsidR="003050F9" w:rsidRPr="00B765A1">
              <w:rPr>
                <w:rFonts w:eastAsia="Times New Roman"/>
                <w:color w:val="000000" w:themeColor="text1"/>
                <w:sz w:val="26"/>
                <w:szCs w:val="26"/>
                <w:lang w:val="lv-LV" w:eastAsia="lv-LV"/>
              </w:rPr>
              <w:t>8.</w:t>
            </w:r>
            <w:r w:rsidR="00B765A1" w:rsidRPr="00B765A1">
              <w:rPr>
                <w:rFonts w:eastAsia="Times New Roman"/>
                <w:color w:val="000000" w:themeColor="text1"/>
                <w:sz w:val="26"/>
                <w:szCs w:val="26"/>
                <w:lang w:val="lv-LV" w:eastAsia="lv-LV"/>
              </w:rPr>
              <w:t xml:space="preserve"> </w:t>
            </w:r>
            <w:r w:rsidR="003050F9" w:rsidRPr="00B765A1">
              <w:rPr>
                <w:rFonts w:eastAsia="Times New Roman"/>
                <w:color w:val="000000" w:themeColor="text1"/>
                <w:sz w:val="26"/>
                <w:szCs w:val="26"/>
                <w:lang w:val="lv-LV" w:eastAsia="lv-LV"/>
              </w:rPr>
              <w:t xml:space="preserve">pants, </w:t>
            </w:r>
            <w:r w:rsidR="003524DB" w:rsidRPr="00B765A1">
              <w:rPr>
                <w:rFonts w:eastAsia="Times New Roman"/>
                <w:color w:val="000000" w:themeColor="text1"/>
                <w:sz w:val="26"/>
                <w:szCs w:val="26"/>
                <w:lang w:val="lv-LV" w:eastAsia="lv-LV"/>
              </w:rPr>
              <w:t>11. pants</w:t>
            </w:r>
            <w:r w:rsidRPr="00B765A1">
              <w:rPr>
                <w:rFonts w:eastAsia="Times New Roman"/>
                <w:color w:val="000000" w:themeColor="text1"/>
                <w:sz w:val="26"/>
                <w:szCs w:val="26"/>
                <w:lang w:val="lv-LV" w:eastAsia="lv-LV"/>
              </w:rPr>
              <w:t xml:space="preserve">, </w:t>
            </w:r>
            <w:r w:rsidR="008045EE" w:rsidRPr="00B765A1">
              <w:rPr>
                <w:rFonts w:eastAsia="Times New Roman"/>
                <w:color w:val="000000" w:themeColor="text1"/>
                <w:sz w:val="26"/>
                <w:szCs w:val="26"/>
                <w:lang w:val="lv-LV" w:eastAsia="lv-LV"/>
              </w:rPr>
              <w:t xml:space="preserve">12. pants </w:t>
            </w:r>
            <w:r w:rsidRPr="00B765A1">
              <w:rPr>
                <w:rFonts w:eastAsia="Times New Roman"/>
                <w:color w:val="000000" w:themeColor="text1"/>
                <w:sz w:val="26"/>
                <w:szCs w:val="26"/>
                <w:lang w:val="lv-LV" w:eastAsia="lv-LV"/>
              </w:rPr>
              <w:t>13.</w:t>
            </w:r>
            <w:r w:rsidR="003524DB" w:rsidRPr="00B765A1">
              <w:rPr>
                <w:rFonts w:eastAsia="Times New Roman"/>
                <w:color w:val="000000" w:themeColor="text1"/>
                <w:sz w:val="26"/>
                <w:szCs w:val="26"/>
                <w:lang w:val="lv-LV" w:eastAsia="lv-LV"/>
              </w:rPr>
              <w:t xml:space="preserve"> </w:t>
            </w:r>
            <w:r w:rsidRPr="00B765A1">
              <w:rPr>
                <w:rFonts w:eastAsia="Times New Roman"/>
                <w:color w:val="000000" w:themeColor="text1"/>
                <w:sz w:val="26"/>
                <w:szCs w:val="26"/>
                <w:lang w:val="lv-LV" w:eastAsia="lv-LV"/>
              </w:rPr>
              <w:t>pants</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37C1781" w14:textId="2405FAFB" w:rsidR="00582B51" w:rsidRPr="00B765A1" w:rsidRDefault="003524DB" w:rsidP="003050F9">
            <w:pPr>
              <w:rPr>
                <w:color w:val="000000"/>
                <w:sz w:val="26"/>
                <w:szCs w:val="26"/>
                <w:lang w:val="lv-LV"/>
              </w:rPr>
            </w:pPr>
            <w:r w:rsidRPr="00B765A1">
              <w:rPr>
                <w:color w:val="000000" w:themeColor="text1"/>
                <w:sz w:val="26"/>
                <w:szCs w:val="26"/>
                <w:lang w:val="lv-LV"/>
              </w:rPr>
              <w:t xml:space="preserve">MK </w:t>
            </w:r>
            <w:r w:rsidR="00582B51" w:rsidRPr="00B765A1">
              <w:rPr>
                <w:color w:val="000000"/>
                <w:sz w:val="26"/>
                <w:szCs w:val="26"/>
                <w:lang w:val="lv-LV"/>
              </w:rPr>
              <w:t>Noteikumu projekta 5. punkts</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A9E6EE1" w14:textId="77777777" w:rsidR="00582B51" w:rsidRPr="00B765A1" w:rsidRDefault="00582B51" w:rsidP="003050F9">
            <w:pPr>
              <w:rPr>
                <w:color w:val="000000"/>
                <w:sz w:val="26"/>
                <w:szCs w:val="26"/>
                <w:lang w:val="lv-LV"/>
              </w:rPr>
            </w:pPr>
            <w:r w:rsidRPr="00B765A1">
              <w:rPr>
                <w:color w:val="000000"/>
                <w:sz w:val="26"/>
                <w:szCs w:val="26"/>
                <w:lang w:val="lv-LV"/>
              </w:rPr>
              <w:t>Ieviests pilnībā</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B107E5C" w14:textId="77777777" w:rsidR="00582B51" w:rsidRPr="00B765A1" w:rsidRDefault="00582B51" w:rsidP="003050F9">
            <w:pPr>
              <w:rPr>
                <w:color w:val="000000"/>
                <w:sz w:val="26"/>
                <w:szCs w:val="26"/>
                <w:lang w:val="lv-LV"/>
              </w:rPr>
            </w:pPr>
            <w:r w:rsidRPr="00B765A1">
              <w:rPr>
                <w:color w:val="000000"/>
                <w:sz w:val="26"/>
                <w:szCs w:val="26"/>
                <w:lang w:val="lv-LV"/>
              </w:rPr>
              <w:t>Neparedz stingrākas prasības.</w:t>
            </w:r>
          </w:p>
        </w:tc>
      </w:tr>
      <w:tr w:rsidR="00F2361F" w:rsidRPr="00F2361F" w14:paraId="5AA949F9" w14:textId="77777777" w:rsidTr="003050F9">
        <w:tc>
          <w:tcPr>
            <w:tcW w:w="1535" w:type="pct"/>
            <w:tcBorders>
              <w:top w:val="single" w:sz="4" w:space="0" w:color="auto"/>
              <w:left w:val="outset" w:sz="6" w:space="0" w:color="414142"/>
              <w:bottom w:val="single" w:sz="4" w:space="0" w:color="auto"/>
              <w:right w:val="outset" w:sz="6" w:space="0" w:color="414142"/>
            </w:tcBorders>
            <w:shd w:val="clear" w:color="auto" w:fill="FFFFFF"/>
          </w:tcPr>
          <w:p w14:paraId="2261F35A" w14:textId="3711BD54" w:rsidR="00F2361F" w:rsidRPr="00B765A1" w:rsidRDefault="00F2361F" w:rsidP="00F2361F">
            <w:pPr>
              <w:rPr>
                <w:color w:val="000000" w:themeColor="text1"/>
                <w:sz w:val="26"/>
                <w:szCs w:val="26"/>
                <w:shd w:val="clear" w:color="auto" w:fill="FFFFFF"/>
                <w:lang w:val="lv-LV"/>
              </w:rPr>
            </w:pPr>
            <w:r w:rsidRPr="00B765A1">
              <w:rPr>
                <w:rFonts w:eastAsia="Times New Roman"/>
                <w:sz w:val="26"/>
                <w:szCs w:val="26"/>
                <w:lang w:val="lv-LV" w:eastAsia="lv-LV"/>
              </w:rPr>
              <w:t>Komisijas Regula</w:t>
            </w:r>
            <w:r w:rsidR="00203D20" w:rsidRPr="00B765A1">
              <w:rPr>
                <w:rFonts w:eastAsia="Times New Roman"/>
                <w:sz w:val="26"/>
                <w:szCs w:val="26"/>
                <w:lang w:val="lv-LV" w:eastAsia="lv-LV"/>
              </w:rPr>
              <w:t>s</w:t>
            </w:r>
            <w:r w:rsidRPr="00B765A1">
              <w:rPr>
                <w:rFonts w:eastAsia="Times New Roman"/>
                <w:sz w:val="26"/>
                <w:szCs w:val="26"/>
                <w:lang w:val="lv-LV" w:eastAsia="lv-LV"/>
              </w:rPr>
              <w:t xml:space="preserve"> </w:t>
            </w:r>
            <w:r w:rsidRPr="00B765A1">
              <w:rPr>
                <w:color w:val="000000" w:themeColor="text1"/>
                <w:sz w:val="26"/>
                <w:szCs w:val="26"/>
                <w:shd w:val="clear" w:color="auto" w:fill="FFFFFF"/>
                <w:lang w:val="lv-LV"/>
              </w:rPr>
              <w:t>Nr. </w:t>
            </w:r>
            <w:hyperlink r:id="rId14" w:tgtFrame="_blank" w:history="1">
              <w:r w:rsidRPr="00B765A1">
                <w:rPr>
                  <w:rStyle w:val="Hyperlink"/>
                  <w:color w:val="000000" w:themeColor="text1"/>
                  <w:sz w:val="26"/>
                  <w:szCs w:val="26"/>
                  <w:u w:val="none"/>
                  <w:shd w:val="clear" w:color="auto" w:fill="FFFFFF"/>
                  <w:lang w:val="lv-LV"/>
                </w:rPr>
                <w:t>1303/2013</w:t>
              </w:r>
            </w:hyperlink>
            <w:r w:rsidRPr="00B765A1">
              <w:rPr>
                <w:color w:val="000000" w:themeColor="text1"/>
                <w:sz w:val="26"/>
                <w:szCs w:val="26"/>
                <w:shd w:val="clear" w:color="auto" w:fill="FFFFFF"/>
                <w:lang w:val="lv-LV"/>
              </w:rPr>
              <w:t> 42. panta 2. un 3. punkts</w:t>
            </w:r>
            <w:r w:rsidR="008045EE">
              <w:rPr>
                <w:color w:val="000000" w:themeColor="text1"/>
                <w:sz w:val="26"/>
                <w:szCs w:val="26"/>
                <w:shd w:val="clear" w:color="auto" w:fill="FFFFFF"/>
                <w:lang w:val="lv-LV"/>
              </w:rPr>
              <w:t>,</w:t>
            </w:r>
            <w:r w:rsidR="008045EE" w:rsidRPr="00B765A1">
              <w:rPr>
                <w:rFonts w:eastAsia="Times New Roman"/>
                <w:color w:val="000000" w:themeColor="text1"/>
                <w:sz w:val="26"/>
                <w:szCs w:val="26"/>
                <w:lang w:val="lv-LV" w:eastAsia="lv-LV"/>
              </w:rPr>
              <w:t xml:space="preserve"> 44. pants un 45. pants</w:t>
            </w:r>
          </w:p>
          <w:p w14:paraId="42DD2348" w14:textId="3BAFBB1C" w:rsidR="00F2361F" w:rsidRPr="00B765A1" w:rsidRDefault="00F2361F" w:rsidP="00F2361F">
            <w:pPr>
              <w:rPr>
                <w:rFonts w:eastAsia="Times New Roman"/>
                <w:sz w:val="26"/>
                <w:szCs w:val="26"/>
                <w:lang w:val="lv-LV" w:eastAsia="lv-LV"/>
              </w:rPr>
            </w:pPr>
            <w:r w:rsidRPr="00B765A1">
              <w:rPr>
                <w:color w:val="000000" w:themeColor="text1"/>
                <w:sz w:val="26"/>
                <w:szCs w:val="26"/>
                <w:shd w:val="clear" w:color="auto" w:fill="FFFFFF"/>
                <w:lang w:val="lv-LV"/>
              </w:rPr>
              <w:t xml:space="preserve"> </w:t>
            </w:r>
            <w:r w:rsidRPr="00B765A1">
              <w:rPr>
                <w:rFonts w:eastAsia="Times New Roman"/>
                <w:sz w:val="26"/>
                <w:szCs w:val="26"/>
                <w:lang w:val="lv-LV" w:eastAsia="lv-LV"/>
              </w:rPr>
              <w:t>Komisijas Regula</w:t>
            </w:r>
            <w:r w:rsidR="00203D20" w:rsidRPr="00B765A1">
              <w:rPr>
                <w:rFonts w:eastAsia="Times New Roman"/>
                <w:sz w:val="26"/>
                <w:szCs w:val="26"/>
                <w:lang w:val="lv-LV" w:eastAsia="lv-LV"/>
              </w:rPr>
              <w:t>s</w:t>
            </w:r>
            <w:r w:rsidRPr="00B765A1">
              <w:rPr>
                <w:rFonts w:eastAsia="Times New Roman"/>
                <w:sz w:val="26"/>
                <w:szCs w:val="26"/>
                <w:lang w:val="lv-LV" w:eastAsia="lv-LV"/>
              </w:rPr>
              <w:t xml:space="preserve"> </w:t>
            </w:r>
            <w:r w:rsidRPr="00B765A1">
              <w:rPr>
                <w:color w:val="000000" w:themeColor="text1"/>
                <w:sz w:val="26"/>
                <w:szCs w:val="26"/>
                <w:shd w:val="clear" w:color="auto" w:fill="FFFFFF"/>
                <w:lang w:val="lv-LV"/>
              </w:rPr>
              <w:t>Nr. </w:t>
            </w:r>
            <w:hyperlink r:id="rId15" w:tgtFrame="_blank" w:history="1">
              <w:r w:rsidRPr="00B765A1">
                <w:rPr>
                  <w:rStyle w:val="Hyperlink"/>
                  <w:color w:val="000000" w:themeColor="text1"/>
                  <w:sz w:val="26"/>
                  <w:szCs w:val="26"/>
                  <w:u w:val="none"/>
                  <w:shd w:val="clear" w:color="auto" w:fill="FFFFFF"/>
                  <w:lang w:val="lv-LV"/>
                </w:rPr>
                <w:t>480/2014</w:t>
              </w:r>
            </w:hyperlink>
            <w:r w:rsidRPr="00B765A1">
              <w:rPr>
                <w:color w:val="000000" w:themeColor="text1"/>
                <w:sz w:val="26"/>
                <w:szCs w:val="26"/>
                <w:shd w:val="clear" w:color="auto" w:fill="FFFFFF"/>
                <w:lang w:val="lv-LV"/>
              </w:rPr>
              <w:t> 14. pants</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89F5AC5" w14:textId="2F847D0E" w:rsidR="00F2361F" w:rsidRPr="00B765A1" w:rsidRDefault="003524DB" w:rsidP="00F2361F">
            <w:pPr>
              <w:rPr>
                <w:color w:val="000000"/>
                <w:sz w:val="26"/>
                <w:szCs w:val="26"/>
                <w:lang w:val="lv-LV"/>
              </w:rPr>
            </w:pPr>
            <w:r w:rsidRPr="00B765A1">
              <w:rPr>
                <w:color w:val="000000" w:themeColor="text1"/>
                <w:sz w:val="26"/>
                <w:szCs w:val="26"/>
                <w:lang w:val="lv-LV"/>
              </w:rPr>
              <w:t xml:space="preserve">MK </w:t>
            </w:r>
            <w:r w:rsidR="00F2361F" w:rsidRPr="00B765A1">
              <w:rPr>
                <w:color w:val="000000"/>
                <w:sz w:val="26"/>
                <w:szCs w:val="26"/>
                <w:lang w:val="lv-LV"/>
              </w:rPr>
              <w:t>Noteikumu projekta 8. punkts</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6A1AB2" w14:textId="342D9F69" w:rsidR="00F2361F" w:rsidRPr="00B765A1" w:rsidRDefault="00F2361F" w:rsidP="00F2361F">
            <w:pPr>
              <w:rPr>
                <w:color w:val="000000"/>
                <w:sz w:val="26"/>
                <w:szCs w:val="26"/>
                <w:lang w:val="lv-LV"/>
              </w:rPr>
            </w:pPr>
            <w:r w:rsidRPr="00B765A1">
              <w:rPr>
                <w:color w:val="000000"/>
                <w:sz w:val="26"/>
                <w:szCs w:val="26"/>
                <w:lang w:val="lv-LV"/>
              </w:rPr>
              <w:t>Ieviests pilnībā</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058F046C" w14:textId="55494367" w:rsidR="00F2361F" w:rsidRPr="00B765A1" w:rsidRDefault="00F2361F" w:rsidP="00F2361F">
            <w:pPr>
              <w:rPr>
                <w:color w:val="000000"/>
                <w:sz w:val="26"/>
                <w:szCs w:val="26"/>
                <w:lang w:val="lv-LV"/>
              </w:rPr>
            </w:pPr>
            <w:r w:rsidRPr="00B765A1">
              <w:rPr>
                <w:color w:val="000000"/>
                <w:sz w:val="26"/>
                <w:szCs w:val="26"/>
                <w:lang w:val="lv-LV"/>
              </w:rPr>
              <w:t>Neparedz stingrākas prasības.</w:t>
            </w:r>
          </w:p>
        </w:tc>
      </w:tr>
      <w:tr w:rsidR="003050F9" w:rsidRPr="00F2361F" w14:paraId="0242BDC7" w14:textId="77777777" w:rsidTr="003050F9">
        <w:tc>
          <w:tcPr>
            <w:tcW w:w="1535" w:type="pct"/>
            <w:tcBorders>
              <w:top w:val="single" w:sz="4" w:space="0" w:color="auto"/>
              <w:left w:val="outset" w:sz="6" w:space="0" w:color="414142"/>
              <w:bottom w:val="outset" w:sz="6" w:space="0" w:color="414142"/>
              <w:right w:val="outset" w:sz="6" w:space="0" w:color="414142"/>
            </w:tcBorders>
            <w:shd w:val="clear" w:color="auto" w:fill="FFFFFF"/>
            <w:hideMark/>
          </w:tcPr>
          <w:p w14:paraId="297E639A" w14:textId="77777777" w:rsidR="003050F9" w:rsidRPr="00F2361F" w:rsidRDefault="003050F9" w:rsidP="003050F9">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 xml:space="preserve">Kā ir izmantota ES tiesību aktā paredzētā rīcības </w:t>
            </w:r>
            <w:r w:rsidRPr="00F2361F">
              <w:rPr>
                <w:rFonts w:eastAsia="Times New Roman"/>
                <w:color w:val="000000" w:themeColor="text1"/>
                <w:sz w:val="26"/>
                <w:szCs w:val="26"/>
                <w:lang w:val="lv-LV" w:eastAsia="lv-LV"/>
              </w:rPr>
              <w:lastRenderedPageBreak/>
              <w:t>brīvība dalībvalstij pārņemt vai ieviest noteiktas ES tiesību akta normas? Kādēļ?</w:t>
            </w:r>
          </w:p>
        </w:tc>
        <w:tc>
          <w:tcPr>
            <w:tcW w:w="3465" w:type="pct"/>
            <w:gridSpan w:val="3"/>
            <w:tcBorders>
              <w:top w:val="single" w:sz="4" w:space="0" w:color="auto"/>
              <w:left w:val="single" w:sz="4" w:space="0" w:color="auto"/>
              <w:bottom w:val="single" w:sz="4" w:space="0" w:color="auto"/>
              <w:right w:val="single" w:sz="4" w:space="0" w:color="auto"/>
            </w:tcBorders>
            <w:hideMark/>
          </w:tcPr>
          <w:p w14:paraId="70BFD87E" w14:textId="77777777" w:rsidR="003050F9" w:rsidRPr="00F2361F" w:rsidRDefault="003050F9" w:rsidP="003050F9">
            <w:pPr>
              <w:rPr>
                <w:rFonts w:eastAsia="Times New Roman"/>
                <w:color w:val="414142"/>
                <w:sz w:val="26"/>
                <w:szCs w:val="26"/>
                <w:lang w:val="lv-LV" w:eastAsia="lv-LV"/>
              </w:rPr>
            </w:pPr>
            <w:r w:rsidRPr="00F2361F">
              <w:rPr>
                <w:rFonts w:eastAsia="Times New Roman"/>
                <w:sz w:val="26"/>
                <w:szCs w:val="26"/>
                <w:lang w:val="lv-LV"/>
              </w:rPr>
              <w:lastRenderedPageBreak/>
              <w:t>Projekts šo jomu neskar.</w:t>
            </w:r>
            <w:r w:rsidRPr="00F2361F">
              <w:rPr>
                <w:i/>
                <w:iCs/>
                <w:color w:val="000000"/>
                <w:sz w:val="26"/>
                <w:szCs w:val="26"/>
                <w:lang w:val="lv-LV"/>
              </w:rPr>
              <w:t xml:space="preserve"> </w:t>
            </w:r>
          </w:p>
          <w:p w14:paraId="0AE159E8" w14:textId="77777777" w:rsidR="003050F9" w:rsidRPr="00F2361F" w:rsidRDefault="003050F9" w:rsidP="003050F9">
            <w:pPr>
              <w:rPr>
                <w:rFonts w:eastAsia="Times New Roman"/>
                <w:color w:val="414142"/>
                <w:sz w:val="26"/>
                <w:szCs w:val="26"/>
                <w:lang w:val="lv-LV" w:eastAsia="lv-LV"/>
              </w:rPr>
            </w:pPr>
          </w:p>
        </w:tc>
      </w:tr>
      <w:tr w:rsidR="003050F9" w:rsidRPr="00F2361F" w14:paraId="59BA39D6" w14:textId="77777777" w:rsidTr="003050F9">
        <w:tc>
          <w:tcPr>
            <w:tcW w:w="1535" w:type="pct"/>
            <w:tcBorders>
              <w:top w:val="outset" w:sz="6" w:space="0" w:color="414142"/>
              <w:left w:val="outset" w:sz="6" w:space="0" w:color="414142"/>
              <w:bottom w:val="outset" w:sz="6" w:space="0" w:color="414142"/>
              <w:right w:val="outset" w:sz="6" w:space="0" w:color="414142"/>
            </w:tcBorders>
            <w:shd w:val="clear" w:color="auto" w:fill="FFFFFF"/>
            <w:hideMark/>
          </w:tcPr>
          <w:p w14:paraId="55771A03" w14:textId="77777777" w:rsidR="003050F9" w:rsidRPr="00F2361F" w:rsidRDefault="003050F9" w:rsidP="003050F9">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65" w:type="pct"/>
            <w:gridSpan w:val="3"/>
            <w:tcBorders>
              <w:top w:val="single" w:sz="4" w:space="0" w:color="auto"/>
              <w:left w:val="single" w:sz="4" w:space="0" w:color="auto"/>
              <w:bottom w:val="single" w:sz="4" w:space="0" w:color="auto"/>
              <w:right w:val="single" w:sz="4" w:space="0" w:color="auto"/>
            </w:tcBorders>
            <w:hideMark/>
          </w:tcPr>
          <w:p w14:paraId="552DD110" w14:textId="77777777" w:rsidR="003050F9" w:rsidRPr="00F2361F" w:rsidRDefault="003050F9" w:rsidP="003050F9">
            <w:pPr>
              <w:rPr>
                <w:rFonts w:eastAsia="Times New Roman"/>
                <w:color w:val="414142"/>
                <w:sz w:val="26"/>
                <w:szCs w:val="26"/>
                <w:lang w:val="lv-LV" w:eastAsia="lv-LV"/>
              </w:rPr>
            </w:pPr>
            <w:r w:rsidRPr="00F2361F">
              <w:rPr>
                <w:rFonts w:eastAsia="Times New Roman"/>
                <w:sz w:val="26"/>
                <w:szCs w:val="26"/>
                <w:lang w:val="lv-LV"/>
              </w:rPr>
              <w:t>Projekts šo jomu neskar.</w:t>
            </w:r>
            <w:r w:rsidRPr="00F2361F">
              <w:rPr>
                <w:i/>
                <w:iCs/>
                <w:color w:val="000000"/>
                <w:sz w:val="26"/>
                <w:szCs w:val="26"/>
                <w:lang w:val="lv-LV"/>
              </w:rPr>
              <w:t xml:space="preserve"> </w:t>
            </w:r>
          </w:p>
        </w:tc>
      </w:tr>
      <w:tr w:rsidR="003050F9" w:rsidRPr="00F2361F" w14:paraId="6FCEB68C" w14:textId="77777777" w:rsidTr="003050F9">
        <w:tc>
          <w:tcPr>
            <w:tcW w:w="1535" w:type="pct"/>
            <w:tcBorders>
              <w:top w:val="outset" w:sz="6" w:space="0" w:color="414142"/>
              <w:left w:val="outset" w:sz="6" w:space="0" w:color="414142"/>
              <w:bottom w:val="outset" w:sz="6" w:space="0" w:color="414142"/>
              <w:right w:val="outset" w:sz="6" w:space="0" w:color="414142"/>
            </w:tcBorders>
            <w:shd w:val="clear" w:color="auto" w:fill="FFFFFF"/>
            <w:hideMark/>
          </w:tcPr>
          <w:p w14:paraId="5849BD94" w14:textId="77777777" w:rsidR="003050F9" w:rsidRPr="00F2361F" w:rsidRDefault="003050F9" w:rsidP="003050F9">
            <w:pPr>
              <w:rPr>
                <w:rFonts w:eastAsia="Times New Roman"/>
                <w:color w:val="000000" w:themeColor="text1"/>
                <w:sz w:val="26"/>
                <w:szCs w:val="26"/>
                <w:lang w:val="lv-LV" w:eastAsia="lv-LV"/>
              </w:rPr>
            </w:pPr>
            <w:r w:rsidRPr="00F2361F">
              <w:rPr>
                <w:rFonts w:eastAsia="Times New Roman"/>
                <w:color w:val="000000" w:themeColor="text1"/>
                <w:sz w:val="26"/>
                <w:szCs w:val="26"/>
                <w:lang w:val="lv-LV" w:eastAsia="lv-LV"/>
              </w:rPr>
              <w:t>Cita informācija</w:t>
            </w:r>
          </w:p>
        </w:tc>
        <w:tc>
          <w:tcPr>
            <w:tcW w:w="3465" w:type="pct"/>
            <w:gridSpan w:val="3"/>
            <w:tcBorders>
              <w:top w:val="single" w:sz="4" w:space="0" w:color="auto"/>
              <w:left w:val="single" w:sz="4" w:space="0" w:color="auto"/>
              <w:bottom w:val="single" w:sz="4" w:space="0" w:color="auto"/>
              <w:right w:val="single" w:sz="4" w:space="0" w:color="auto"/>
            </w:tcBorders>
            <w:hideMark/>
          </w:tcPr>
          <w:p w14:paraId="1FFAB3C1" w14:textId="5D9FF394" w:rsidR="003050F9" w:rsidRPr="00F2361F" w:rsidRDefault="003050F9" w:rsidP="003050F9">
            <w:pPr>
              <w:jc w:val="both"/>
              <w:rPr>
                <w:rFonts w:eastAsia="Times New Roman"/>
                <w:color w:val="414142"/>
                <w:sz w:val="26"/>
                <w:szCs w:val="26"/>
                <w:lang w:val="lv-LV" w:eastAsia="lv-LV"/>
              </w:rPr>
            </w:pPr>
            <w:r w:rsidRPr="00F2361F">
              <w:rPr>
                <w:rFonts w:eastAsia="Times New Roman"/>
                <w:sz w:val="26"/>
                <w:szCs w:val="26"/>
                <w:lang w:val="lv-LV"/>
              </w:rPr>
              <w:t>Projekts šo jomu neskar.</w:t>
            </w:r>
          </w:p>
        </w:tc>
      </w:tr>
    </w:tbl>
    <w:p w14:paraId="700F72FD" w14:textId="77777777" w:rsidR="00582B51" w:rsidRPr="00582B51" w:rsidRDefault="00582B51" w:rsidP="00AE6FA4">
      <w:pPr>
        <w:contextualSpacing/>
        <w:rPr>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AE6FA4" w:rsidRPr="00582B51" w14:paraId="2D7E9F2D" w14:textId="77777777" w:rsidTr="003524DB">
        <w:trPr>
          <w:trHeight w:val="421"/>
        </w:trPr>
        <w:tc>
          <w:tcPr>
            <w:tcW w:w="9214" w:type="dxa"/>
            <w:gridSpan w:val="3"/>
            <w:tcBorders>
              <w:top w:val="single" w:sz="2" w:space="0" w:color="auto"/>
            </w:tcBorders>
            <w:vAlign w:val="center"/>
          </w:tcPr>
          <w:p w14:paraId="28B11BA7" w14:textId="77777777" w:rsidR="00AE6FA4" w:rsidRPr="00582B51" w:rsidRDefault="00AE6FA4" w:rsidP="003050F9">
            <w:pPr>
              <w:ind w:left="57" w:right="57"/>
              <w:contextualSpacing/>
              <w:jc w:val="center"/>
              <w:rPr>
                <w:rFonts w:eastAsia="Times New Roman"/>
                <w:sz w:val="26"/>
                <w:szCs w:val="26"/>
                <w:lang w:val="lv-LV"/>
              </w:rPr>
            </w:pPr>
            <w:r w:rsidRPr="00582B51">
              <w:rPr>
                <w:rFonts w:eastAsia="Times New Roman"/>
                <w:b/>
                <w:sz w:val="26"/>
                <w:szCs w:val="26"/>
                <w:lang w:val="lv-LV"/>
              </w:rPr>
              <w:t>VI. Sabiedrības līdzdalība un komunikācijas aktivitātes</w:t>
            </w:r>
          </w:p>
        </w:tc>
      </w:tr>
      <w:tr w:rsidR="00AE6FA4" w:rsidRPr="00582B51" w14:paraId="181558A5" w14:textId="77777777" w:rsidTr="00C64A96">
        <w:trPr>
          <w:trHeight w:val="553"/>
        </w:trPr>
        <w:tc>
          <w:tcPr>
            <w:tcW w:w="426" w:type="dxa"/>
          </w:tcPr>
          <w:p w14:paraId="6DAD3C17" w14:textId="77777777" w:rsidR="00AE6FA4" w:rsidRPr="00582B51" w:rsidRDefault="00AE6FA4" w:rsidP="003050F9">
            <w:pPr>
              <w:ind w:left="57" w:right="57"/>
              <w:contextualSpacing/>
              <w:jc w:val="both"/>
              <w:rPr>
                <w:sz w:val="26"/>
                <w:szCs w:val="26"/>
                <w:lang w:val="lv-LV"/>
              </w:rPr>
            </w:pPr>
            <w:r w:rsidRPr="00582B51">
              <w:rPr>
                <w:sz w:val="26"/>
                <w:szCs w:val="26"/>
                <w:lang w:val="lv-LV"/>
              </w:rPr>
              <w:t>1.</w:t>
            </w:r>
          </w:p>
        </w:tc>
        <w:tc>
          <w:tcPr>
            <w:tcW w:w="2551" w:type="dxa"/>
          </w:tcPr>
          <w:p w14:paraId="29E727C8" w14:textId="77777777" w:rsidR="00AE6FA4" w:rsidRPr="00582B51" w:rsidRDefault="00AE6FA4" w:rsidP="003050F9">
            <w:pPr>
              <w:tabs>
                <w:tab w:val="left" w:pos="170"/>
              </w:tabs>
              <w:ind w:left="57" w:right="57"/>
              <w:contextualSpacing/>
              <w:rPr>
                <w:rFonts w:eastAsia="PMingLiU"/>
                <w:sz w:val="26"/>
                <w:szCs w:val="26"/>
                <w:lang w:val="lv-LV" w:eastAsia="ja-JP"/>
              </w:rPr>
            </w:pPr>
            <w:r w:rsidRPr="00582B51">
              <w:rPr>
                <w:rFonts w:eastAsia="PMingLiU"/>
                <w:sz w:val="26"/>
                <w:szCs w:val="26"/>
                <w:lang w:val="lv-LV" w:eastAsia="ja-JP"/>
              </w:rPr>
              <w:t>Plānotās sabiedrības līdzdalības un komunikācijas aktivitātes saistībā ar projektu</w:t>
            </w:r>
          </w:p>
        </w:tc>
        <w:tc>
          <w:tcPr>
            <w:tcW w:w="6237" w:type="dxa"/>
          </w:tcPr>
          <w:p w14:paraId="23EDED03" w14:textId="77777777" w:rsidR="00AE6FA4" w:rsidRPr="00F2361F" w:rsidRDefault="00AE6FA4" w:rsidP="003050F9">
            <w:pPr>
              <w:jc w:val="both"/>
              <w:rPr>
                <w:bCs/>
                <w:sz w:val="26"/>
                <w:szCs w:val="26"/>
                <w:lang w:val="lv-LV"/>
              </w:rPr>
            </w:pPr>
            <w:r w:rsidRPr="00F2361F">
              <w:rPr>
                <w:bCs/>
                <w:sz w:val="26"/>
                <w:szCs w:val="26"/>
                <w:lang w:val="lv-LV"/>
              </w:rPr>
              <w:t>Sabiedrības līdzdalība MK Noteikumu projekta izstrādē tiek īstenota atbilstoši Ministru kabineta 2009. gada 25. augusta noteikumiem Nr. 970 “Sabiedrības līdzdalības kārtība attīstības plānošanas procesā” 7.4.</w:t>
            </w:r>
            <w:r w:rsidRPr="00F2361F">
              <w:rPr>
                <w:sz w:val="26"/>
                <w:szCs w:val="26"/>
                <w:vertAlign w:val="superscript"/>
                <w:lang w:val="lv-LV"/>
              </w:rPr>
              <w:t xml:space="preserve"> 1</w:t>
            </w:r>
            <w:r w:rsidRPr="00F2361F">
              <w:rPr>
                <w:bCs/>
                <w:sz w:val="26"/>
                <w:szCs w:val="26"/>
                <w:lang w:val="lv-LV"/>
              </w:rPr>
              <w:t xml:space="preserve"> apakšpunktā, proti, sabiedrības pārstāvjiem tiek dota iespēja rakstiski sniegt viedokli par Noteikumu projektu tā izstrādes stadijā.</w:t>
            </w:r>
          </w:p>
          <w:p w14:paraId="342A80BE" w14:textId="2A488608" w:rsidR="00AA0717" w:rsidRPr="00F2361F" w:rsidRDefault="00AE6FA4" w:rsidP="00AA0717">
            <w:pPr>
              <w:shd w:val="clear" w:color="auto" w:fill="FFFFFF"/>
              <w:ind w:right="113"/>
              <w:contextualSpacing/>
              <w:jc w:val="both"/>
              <w:rPr>
                <w:rFonts w:eastAsia="PMingLiU"/>
                <w:sz w:val="26"/>
                <w:szCs w:val="26"/>
                <w:lang w:val="lv-LV" w:eastAsia="ja-JP"/>
              </w:rPr>
            </w:pPr>
            <w:r w:rsidRPr="00F2361F">
              <w:rPr>
                <w:rFonts w:eastAsia="PMingLiU"/>
                <w:sz w:val="26"/>
                <w:szCs w:val="26"/>
                <w:lang w:val="lv-LV" w:eastAsia="ja-JP"/>
              </w:rPr>
              <w:t>Sabiedrības līdzdalība nodrošināta no 2020.gada 13.novembra līdz 24.</w:t>
            </w:r>
            <w:r w:rsidR="00AA0717" w:rsidRPr="00F2361F">
              <w:rPr>
                <w:rFonts w:eastAsia="PMingLiU"/>
                <w:sz w:val="26"/>
                <w:szCs w:val="26"/>
                <w:lang w:val="lv-LV" w:eastAsia="ja-JP"/>
              </w:rPr>
              <w:t xml:space="preserve"> novembrim, ievietojot </w:t>
            </w:r>
            <w:r w:rsidR="00AA0717" w:rsidRPr="00F2361F">
              <w:rPr>
                <w:bCs/>
                <w:sz w:val="26"/>
                <w:szCs w:val="26"/>
                <w:lang w:val="lv-LV"/>
              </w:rPr>
              <w:t>MK Noteikumu projektu</w:t>
            </w:r>
            <w:r w:rsidR="00AA0717" w:rsidRPr="00F2361F">
              <w:rPr>
                <w:rFonts w:eastAsia="PMingLiU"/>
                <w:sz w:val="26"/>
                <w:szCs w:val="26"/>
                <w:lang w:val="lv-LV" w:eastAsia="ja-JP"/>
              </w:rPr>
              <w:t>:</w:t>
            </w:r>
          </w:p>
          <w:p w14:paraId="5D99B6C3" w14:textId="77777777" w:rsidR="00AA0717" w:rsidRPr="00582B51" w:rsidRDefault="00AA0717" w:rsidP="00AA0717">
            <w:pPr>
              <w:pStyle w:val="ListParagraph"/>
              <w:numPr>
                <w:ilvl w:val="0"/>
                <w:numId w:val="25"/>
              </w:numPr>
              <w:shd w:val="clear" w:color="auto" w:fill="FFFFFF"/>
              <w:ind w:right="113"/>
              <w:jc w:val="both"/>
              <w:rPr>
                <w:rStyle w:val="Hyperlink"/>
                <w:rFonts w:eastAsia="PMingLiU"/>
                <w:color w:val="auto"/>
                <w:sz w:val="26"/>
                <w:szCs w:val="26"/>
                <w:u w:val="none"/>
                <w:shd w:val="clear" w:color="auto" w:fill="FFFFFF"/>
                <w:lang w:val="lv-LV" w:eastAsia="ja-JP"/>
              </w:rPr>
            </w:pPr>
            <w:r w:rsidRPr="00F2361F">
              <w:rPr>
                <w:rFonts w:eastAsia="PMingLiU"/>
                <w:sz w:val="26"/>
                <w:szCs w:val="26"/>
                <w:shd w:val="clear" w:color="auto" w:fill="FFFFFF"/>
                <w:lang w:val="lv-LV" w:eastAsia="ja-JP"/>
              </w:rPr>
              <w:t xml:space="preserve">Ekonomikas ministrijas mājas lapā: </w:t>
            </w:r>
            <w:hyperlink r:id="rId16" w:history="1">
              <w:r w:rsidRPr="00582B51">
                <w:rPr>
                  <w:rStyle w:val="Hyperlink"/>
                  <w:rFonts w:eastAsia="PMingLiU"/>
                  <w:sz w:val="26"/>
                  <w:szCs w:val="26"/>
                  <w:shd w:val="clear" w:color="auto" w:fill="FFFFFF"/>
                  <w:lang w:val="lv-LV" w:eastAsia="ja-JP"/>
                </w:rPr>
                <w:t>https://em.gov.lv/lv/Ministrija/sabiedribas_lidzdaliba/diskusiju_dokumenti/</w:t>
              </w:r>
            </w:hyperlink>
            <w:r w:rsidRPr="00582B51">
              <w:rPr>
                <w:rStyle w:val="Hyperlink"/>
                <w:rFonts w:eastAsia="PMingLiU"/>
                <w:sz w:val="26"/>
                <w:szCs w:val="26"/>
                <w:shd w:val="clear" w:color="auto" w:fill="FFFFFF"/>
                <w:lang w:val="lv-LV" w:eastAsia="ja-JP"/>
              </w:rPr>
              <w:t>;</w:t>
            </w:r>
          </w:p>
          <w:p w14:paraId="6D054A74" w14:textId="77777777" w:rsidR="00AA0717" w:rsidRPr="00582B51" w:rsidRDefault="00AA0717" w:rsidP="00AA0717">
            <w:pPr>
              <w:pStyle w:val="ListParagraph"/>
              <w:numPr>
                <w:ilvl w:val="0"/>
                <w:numId w:val="25"/>
              </w:numPr>
              <w:shd w:val="clear" w:color="auto" w:fill="FFFFFF"/>
              <w:ind w:right="113"/>
              <w:jc w:val="both"/>
              <w:rPr>
                <w:rFonts w:eastAsia="PMingLiU"/>
                <w:sz w:val="26"/>
                <w:szCs w:val="26"/>
                <w:shd w:val="clear" w:color="auto" w:fill="FFFFFF"/>
                <w:lang w:val="lv-LV" w:eastAsia="ja-JP"/>
              </w:rPr>
            </w:pPr>
            <w:r w:rsidRPr="00582B51">
              <w:rPr>
                <w:rFonts w:eastAsia="PMingLiU"/>
                <w:sz w:val="26"/>
                <w:szCs w:val="26"/>
                <w:shd w:val="clear" w:color="auto" w:fill="FFFFFF"/>
                <w:lang w:val="lv-LV" w:eastAsia="ja-JP"/>
              </w:rPr>
              <w:t>Valts kancelejas mājas lapā:</w:t>
            </w:r>
          </w:p>
          <w:p w14:paraId="79AA5F42" w14:textId="7F062864" w:rsidR="00AE6FA4" w:rsidRPr="00582B51" w:rsidRDefault="00555A68" w:rsidP="00AA0717">
            <w:pPr>
              <w:shd w:val="clear" w:color="auto" w:fill="FFFFFF"/>
              <w:ind w:right="113"/>
              <w:contextualSpacing/>
              <w:jc w:val="both"/>
              <w:rPr>
                <w:rFonts w:eastAsia="PMingLiU"/>
                <w:sz w:val="26"/>
                <w:szCs w:val="26"/>
                <w:lang w:val="lv-LV" w:eastAsia="ja-JP"/>
              </w:rPr>
            </w:pPr>
            <w:hyperlink r:id="rId17" w:history="1">
              <w:r w:rsidR="00AA0717" w:rsidRPr="00582B51">
                <w:rPr>
                  <w:rStyle w:val="Hyperlink"/>
                  <w:rFonts w:eastAsia="PMingLiU"/>
                  <w:sz w:val="26"/>
                  <w:szCs w:val="26"/>
                  <w:shd w:val="clear" w:color="auto" w:fill="FFFFFF"/>
                  <w:lang w:val="lv-LV" w:eastAsia="ja-JP"/>
                </w:rPr>
                <w:t>https://www.mk.gov.lv/lv/content/sabiedribas-lidzdaliba</w:t>
              </w:r>
            </w:hyperlink>
            <w:r w:rsidR="00AE6FA4" w:rsidRPr="00582B51">
              <w:rPr>
                <w:rFonts w:eastAsia="PMingLiU"/>
                <w:sz w:val="26"/>
                <w:szCs w:val="26"/>
                <w:lang w:val="lv-LV" w:eastAsia="ja-JP"/>
              </w:rPr>
              <w:t xml:space="preserve">. </w:t>
            </w:r>
          </w:p>
        </w:tc>
      </w:tr>
      <w:tr w:rsidR="00AE6FA4" w:rsidRPr="00582B51" w14:paraId="2F5220AE" w14:textId="77777777" w:rsidTr="00C64A96">
        <w:trPr>
          <w:trHeight w:val="339"/>
        </w:trPr>
        <w:tc>
          <w:tcPr>
            <w:tcW w:w="426" w:type="dxa"/>
          </w:tcPr>
          <w:p w14:paraId="05F67A8D" w14:textId="77777777" w:rsidR="00AE6FA4" w:rsidRPr="00582B51" w:rsidRDefault="00AE6FA4" w:rsidP="003050F9">
            <w:pPr>
              <w:ind w:left="57" w:right="57"/>
              <w:contextualSpacing/>
              <w:jc w:val="both"/>
              <w:rPr>
                <w:sz w:val="26"/>
                <w:szCs w:val="26"/>
                <w:lang w:val="lv-LV"/>
              </w:rPr>
            </w:pPr>
            <w:r w:rsidRPr="00582B51">
              <w:rPr>
                <w:sz w:val="26"/>
                <w:szCs w:val="26"/>
                <w:lang w:val="lv-LV"/>
              </w:rPr>
              <w:t>2.</w:t>
            </w:r>
          </w:p>
        </w:tc>
        <w:tc>
          <w:tcPr>
            <w:tcW w:w="2551" w:type="dxa"/>
          </w:tcPr>
          <w:p w14:paraId="5BC82712" w14:textId="77777777" w:rsidR="00AE6FA4" w:rsidRPr="00582B51" w:rsidRDefault="00AE6FA4" w:rsidP="003050F9">
            <w:pPr>
              <w:ind w:left="57" w:right="57"/>
              <w:contextualSpacing/>
              <w:rPr>
                <w:rFonts w:eastAsia="PMingLiU"/>
                <w:sz w:val="26"/>
                <w:szCs w:val="26"/>
                <w:lang w:val="lv-LV" w:eastAsia="ja-JP"/>
              </w:rPr>
            </w:pPr>
            <w:r w:rsidRPr="00582B51">
              <w:rPr>
                <w:rFonts w:eastAsia="PMingLiU"/>
                <w:sz w:val="26"/>
                <w:szCs w:val="26"/>
                <w:lang w:val="lv-LV" w:eastAsia="ja-JP"/>
              </w:rPr>
              <w:t>Sabiedrības līdzdalība projekta izstrādē</w:t>
            </w:r>
          </w:p>
        </w:tc>
        <w:tc>
          <w:tcPr>
            <w:tcW w:w="6237" w:type="dxa"/>
          </w:tcPr>
          <w:p w14:paraId="5958661C" w14:textId="31C5FB1C" w:rsidR="00AE6FA4" w:rsidRPr="003524DB" w:rsidRDefault="006933D1" w:rsidP="003050F9">
            <w:pPr>
              <w:shd w:val="clear" w:color="auto" w:fill="FFFFFF"/>
              <w:ind w:left="57" w:right="113"/>
              <w:contextualSpacing/>
              <w:jc w:val="both"/>
              <w:rPr>
                <w:rFonts w:eastAsia="PMingLiU"/>
                <w:sz w:val="26"/>
                <w:szCs w:val="26"/>
                <w:shd w:val="clear" w:color="auto" w:fill="FFFFFF"/>
                <w:lang w:val="lv-LV" w:eastAsia="ja-JP"/>
              </w:rPr>
            </w:pPr>
            <w:r w:rsidRPr="00F2361F">
              <w:rPr>
                <w:rFonts w:eastAsia="PMingLiU"/>
                <w:sz w:val="26"/>
                <w:szCs w:val="26"/>
                <w:shd w:val="clear" w:color="auto" w:fill="FFFFFF"/>
                <w:lang w:val="lv-LV" w:eastAsia="ja-JP"/>
              </w:rPr>
              <w:t>Saņemti Finanšu ministrijas komentāri attiecībā uz projekta papildināšanu ar normām par sabiedrības “Altum” pāreju no vadības izmaksām uz vadības maksu un rādītāju izdalīšanu virssaistību finansējuma apguvei</w:t>
            </w:r>
            <w:r w:rsidR="00AA0717" w:rsidRPr="003524DB">
              <w:rPr>
                <w:rFonts w:eastAsia="PMingLiU"/>
                <w:sz w:val="26"/>
                <w:szCs w:val="26"/>
                <w:shd w:val="clear" w:color="auto" w:fill="FFFFFF"/>
                <w:lang w:val="lv-LV" w:eastAsia="ja-JP"/>
              </w:rPr>
              <w:t>.</w:t>
            </w:r>
          </w:p>
        </w:tc>
      </w:tr>
      <w:tr w:rsidR="00AE6FA4" w:rsidRPr="00582B51" w14:paraId="22A35FBB" w14:textId="77777777" w:rsidTr="00C64A96">
        <w:trPr>
          <w:trHeight w:val="476"/>
        </w:trPr>
        <w:tc>
          <w:tcPr>
            <w:tcW w:w="426" w:type="dxa"/>
          </w:tcPr>
          <w:p w14:paraId="7CBC8B40" w14:textId="77777777" w:rsidR="00AE6FA4" w:rsidRPr="00582B51" w:rsidRDefault="00AE6FA4" w:rsidP="003050F9">
            <w:pPr>
              <w:ind w:left="57" w:right="57"/>
              <w:contextualSpacing/>
              <w:jc w:val="both"/>
              <w:rPr>
                <w:sz w:val="26"/>
                <w:szCs w:val="26"/>
                <w:lang w:val="lv-LV"/>
              </w:rPr>
            </w:pPr>
            <w:r w:rsidRPr="00582B51">
              <w:rPr>
                <w:sz w:val="26"/>
                <w:szCs w:val="26"/>
                <w:lang w:val="lv-LV"/>
              </w:rPr>
              <w:t>3.</w:t>
            </w:r>
          </w:p>
        </w:tc>
        <w:tc>
          <w:tcPr>
            <w:tcW w:w="2551" w:type="dxa"/>
          </w:tcPr>
          <w:p w14:paraId="6837007F" w14:textId="77777777" w:rsidR="00AE6FA4" w:rsidRPr="00582B51" w:rsidRDefault="00AE6FA4" w:rsidP="003050F9">
            <w:pPr>
              <w:ind w:left="57" w:right="57"/>
              <w:contextualSpacing/>
              <w:rPr>
                <w:rFonts w:eastAsia="PMingLiU"/>
                <w:sz w:val="26"/>
                <w:szCs w:val="26"/>
                <w:lang w:val="lv-LV" w:eastAsia="ja-JP"/>
              </w:rPr>
            </w:pPr>
            <w:r w:rsidRPr="00582B51">
              <w:rPr>
                <w:rFonts w:eastAsia="PMingLiU"/>
                <w:sz w:val="26"/>
                <w:szCs w:val="26"/>
                <w:lang w:val="lv-LV" w:eastAsia="ja-JP"/>
              </w:rPr>
              <w:t>Sabiedrības līdzdalības rezultāti</w:t>
            </w:r>
          </w:p>
        </w:tc>
        <w:tc>
          <w:tcPr>
            <w:tcW w:w="6237" w:type="dxa"/>
          </w:tcPr>
          <w:p w14:paraId="211AF7DB" w14:textId="07E3E183" w:rsidR="00AE6FA4" w:rsidRPr="00F2361F" w:rsidRDefault="006933D1" w:rsidP="003050F9">
            <w:pPr>
              <w:shd w:val="clear" w:color="auto" w:fill="FFFFFF"/>
              <w:ind w:left="57" w:right="113"/>
              <w:contextualSpacing/>
              <w:jc w:val="both"/>
              <w:rPr>
                <w:rFonts w:eastAsia="PMingLiU"/>
                <w:sz w:val="26"/>
                <w:szCs w:val="26"/>
                <w:shd w:val="clear" w:color="auto" w:fill="FFFFFF"/>
                <w:lang w:val="lv-LV" w:eastAsia="ja-JP"/>
              </w:rPr>
            </w:pPr>
            <w:r w:rsidRPr="00F2361F">
              <w:rPr>
                <w:rFonts w:eastAsia="PMingLiU"/>
                <w:sz w:val="26"/>
                <w:szCs w:val="26"/>
                <w:shd w:val="clear" w:color="auto" w:fill="FFFFFF"/>
                <w:lang w:val="lv-LV" w:eastAsia="ja-JP"/>
              </w:rPr>
              <w:t>Ņemti vērā Finanšu ministrijas komentāri un precizēts MK Noteikumu projekts</w:t>
            </w:r>
            <w:r w:rsidR="00AE6FA4" w:rsidRPr="00F2361F">
              <w:rPr>
                <w:rFonts w:eastAsia="PMingLiU"/>
                <w:sz w:val="26"/>
                <w:szCs w:val="26"/>
                <w:shd w:val="clear" w:color="auto" w:fill="FFFFFF"/>
                <w:lang w:val="lv-LV" w:eastAsia="ja-JP"/>
              </w:rPr>
              <w:t>.</w:t>
            </w:r>
          </w:p>
        </w:tc>
      </w:tr>
      <w:tr w:rsidR="00AE6FA4" w:rsidRPr="00582B51" w14:paraId="67C31221" w14:textId="77777777" w:rsidTr="00C64A96">
        <w:trPr>
          <w:trHeight w:val="205"/>
        </w:trPr>
        <w:tc>
          <w:tcPr>
            <w:tcW w:w="426" w:type="dxa"/>
          </w:tcPr>
          <w:p w14:paraId="709C543C" w14:textId="77777777" w:rsidR="00AE6FA4" w:rsidRPr="00582B51" w:rsidRDefault="00AE6FA4" w:rsidP="003050F9">
            <w:pPr>
              <w:ind w:left="57" w:right="57"/>
              <w:contextualSpacing/>
              <w:jc w:val="both"/>
              <w:rPr>
                <w:sz w:val="26"/>
                <w:szCs w:val="26"/>
                <w:lang w:val="lv-LV"/>
              </w:rPr>
            </w:pPr>
            <w:r w:rsidRPr="00582B51">
              <w:rPr>
                <w:sz w:val="26"/>
                <w:szCs w:val="26"/>
                <w:lang w:val="lv-LV"/>
              </w:rPr>
              <w:t>4.</w:t>
            </w:r>
          </w:p>
        </w:tc>
        <w:tc>
          <w:tcPr>
            <w:tcW w:w="2551" w:type="dxa"/>
          </w:tcPr>
          <w:p w14:paraId="385870B1" w14:textId="77777777" w:rsidR="00AE6FA4" w:rsidRPr="00582B51" w:rsidRDefault="00AE6FA4" w:rsidP="003050F9">
            <w:pPr>
              <w:ind w:left="57" w:right="57"/>
              <w:contextualSpacing/>
              <w:rPr>
                <w:rFonts w:eastAsia="PMingLiU"/>
                <w:sz w:val="26"/>
                <w:szCs w:val="26"/>
                <w:lang w:val="lv-LV" w:eastAsia="ja-JP"/>
              </w:rPr>
            </w:pPr>
            <w:r w:rsidRPr="00582B51">
              <w:rPr>
                <w:rFonts w:eastAsia="PMingLiU"/>
                <w:sz w:val="26"/>
                <w:szCs w:val="26"/>
                <w:lang w:val="lv-LV" w:eastAsia="ja-JP"/>
              </w:rPr>
              <w:t>Cita informācija</w:t>
            </w:r>
          </w:p>
        </w:tc>
        <w:tc>
          <w:tcPr>
            <w:tcW w:w="6237" w:type="dxa"/>
          </w:tcPr>
          <w:p w14:paraId="33E8098C" w14:textId="0F16408F" w:rsidR="00AE6FA4" w:rsidRPr="00203D20" w:rsidRDefault="00203D20" w:rsidP="003050F9">
            <w:pPr>
              <w:ind w:left="57" w:right="113"/>
              <w:contextualSpacing/>
              <w:jc w:val="both"/>
              <w:rPr>
                <w:rFonts w:eastAsia="PMingLiU"/>
                <w:sz w:val="26"/>
                <w:szCs w:val="26"/>
                <w:lang w:val="lv-LV" w:eastAsia="ja-JP"/>
              </w:rPr>
            </w:pPr>
            <w:r w:rsidRPr="00203D20">
              <w:rPr>
                <w:sz w:val="26"/>
                <w:szCs w:val="26"/>
                <w:lang w:val="lv-LV"/>
              </w:rPr>
              <w:t>Valsts sekretāru sanāksmē Projektu</w:t>
            </w:r>
            <w:r>
              <w:rPr>
                <w:sz w:val="26"/>
                <w:szCs w:val="26"/>
                <w:lang w:val="lv-LV"/>
              </w:rPr>
              <w:t xml:space="preserve"> (VSS-1016)</w:t>
            </w:r>
            <w:r w:rsidRPr="00203D20">
              <w:rPr>
                <w:sz w:val="26"/>
                <w:szCs w:val="26"/>
                <w:lang w:val="lv-LV"/>
              </w:rPr>
              <w:t xml:space="preserve"> uzdots saskaņot ar </w:t>
            </w:r>
            <w:r w:rsidRPr="00203D20">
              <w:rPr>
                <w:color w:val="000000"/>
                <w:sz w:val="26"/>
                <w:szCs w:val="26"/>
                <w:lang w:val="lv-LV"/>
              </w:rPr>
              <w:t xml:space="preserve">Finanšu ministriju; Tieslietu ministriju, Zemkopības ministriju, Latvijas Tirdzniecības un rūpniecības kameru, Latvijas Darba devēju konfederāciju, Latvijas brīvo arodbiedrību savienību, </w:t>
            </w:r>
            <w:r w:rsidRPr="00203D20">
              <w:rPr>
                <w:color w:val="000000"/>
                <w:sz w:val="26"/>
                <w:szCs w:val="26"/>
                <w:shd w:val="clear" w:color="auto" w:fill="FFFFFF"/>
                <w:lang w:val="lv-LV"/>
              </w:rPr>
              <w:t>Finanšu nozaru asociāciju, Pārresoru koordinācijas centru, Labklājības ministriju, Valsts kanceleju</w:t>
            </w:r>
            <w:r>
              <w:rPr>
                <w:color w:val="000000"/>
                <w:sz w:val="26"/>
                <w:szCs w:val="26"/>
                <w:shd w:val="clear" w:color="auto" w:fill="FFFFFF"/>
                <w:lang w:val="lv-LV"/>
              </w:rPr>
              <w:t>. Visi iebildumi</w:t>
            </w:r>
            <w:r w:rsidR="00B765A1">
              <w:rPr>
                <w:color w:val="000000"/>
                <w:sz w:val="26"/>
                <w:szCs w:val="26"/>
                <w:shd w:val="clear" w:color="auto" w:fill="FFFFFF"/>
                <w:lang w:val="lv-LV"/>
              </w:rPr>
              <w:t xml:space="preserve"> un priekšlikumi</w:t>
            </w:r>
            <w:r>
              <w:rPr>
                <w:color w:val="000000"/>
                <w:sz w:val="26"/>
                <w:szCs w:val="26"/>
                <w:shd w:val="clear" w:color="auto" w:fill="FFFFFF"/>
                <w:lang w:val="lv-LV"/>
              </w:rPr>
              <w:t xml:space="preserve"> no valsts pārvaldes iestādēm ir ņemti vērā, </w:t>
            </w:r>
            <w:r w:rsidR="005846DB">
              <w:rPr>
                <w:color w:val="000000"/>
                <w:sz w:val="26"/>
                <w:szCs w:val="26"/>
                <w:shd w:val="clear" w:color="auto" w:fill="FFFFFF"/>
                <w:lang w:val="lv-LV"/>
              </w:rPr>
              <w:lastRenderedPageBreak/>
              <w:t xml:space="preserve">savukārt </w:t>
            </w:r>
            <w:r>
              <w:rPr>
                <w:color w:val="000000"/>
                <w:sz w:val="26"/>
                <w:szCs w:val="26"/>
                <w:shd w:val="clear" w:color="auto" w:fill="FFFFFF"/>
                <w:lang w:val="lv-LV"/>
              </w:rPr>
              <w:t>uzņēmēju pārstāvošās organizācijas un sadarbības partneri atbalsta MK Noteikumu projekta tālāku virzību bez iebildumiem.</w:t>
            </w:r>
          </w:p>
        </w:tc>
      </w:tr>
    </w:tbl>
    <w:p w14:paraId="419B66C3" w14:textId="77777777" w:rsidR="00AE6FA4" w:rsidRPr="00582B51" w:rsidRDefault="00AE6FA4" w:rsidP="00AE6FA4">
      <w:pPr>
        <w:contextualSpacing/>
        <w:rPr>
          <w:rFonts w:eastAsia="Times New Roman"/>
          <w:sz w:val="26"/>
          <w:szCs w:val="26"/>
          <w:highlight w:val="yellow"/>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AE6FA4" w:rsidRPr="00582B51" w14:paraId="0E7DEF9F" w14:textId="77777777" w:rsidTr="003524DB">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01C21A77" w14:textId="77777777" w:rsidR="00AE6FA4" w:rsidRPr="00582B51" w:rsidRDefault="00AE6FA4" w:rsidP="003050F9">
            <w:pPr>
              <w:ind w:firstLine="300"/>
              <w:jc w:val="center"/>
              <w:rPr>
                <w:rFonts w:eastAsia="Times New Roman"/>
                <w:sz w:val="26"/>
                <w:szCs w:val="26"/>
                <w:lang w:val="lv-LV" w:eastAsia="lv-LV"/>
              </w:rPr>
            </w:pPr>
            <w:r w:rsidRPr="00582B51">
              <w:rPr>
                <w:b/>
                <w:sz w:val="26"/>
                <w:szCs w:val="26"/>
                <w:lang w:val="lv-LV"/>
              </w:rPr>
              <w:t>VII. Tiesību akta projekta izpildes nodrošināšana un tās ietekme uz institūcijām</w:t>
            </w:r>
          </w:p>
        </w:tc>
      </w:tr>
      <w:tr w:rsidR="00AE6FA4" w:rsidRPr="00582B51" w14:paraId="37A1494A" w14:textId="77777777" w:rsidTr="003524DB">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105E5692" w14:textId="77777777" w:rsidR="00AE6FA4" w:rsidRPr="00582B51" w:rsidRDefault="00AE6FA4" w:rsidP="003050F9">
            <w:pPr>
              <w:contextualSpacing/>
              <w:rPr>
                <w:rFonts w:eastAsia="Times New Roman"/>
                <w:sz w:val="26"/>
                <w:szCs w:val="26"/>
                <w:lang w:val="lv-LV" w:eastAsia="lv-LV"/>
              </w:rPr>
            </w:pPr>
            <w:r w:rsidRPr="00582B51">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0E2BE52D" w14:textId="77777777" w:rsidR="00AE6FA4" w:rsidRPr="00582B51" w:rsidRDefault="00AE6FA4" w:rsidP="003050F9">
            <w:pPr>
              <w:ind w:right="112"/>
              <w:contextualSpacing/>
              <w:jc w:val="both"/>
              <w:rPr>
                <w:sz w:val="26"/>
                <w:szCs w:val="26"/>
                <w:lang w:val="lv-LV"/>
              </w:rPr>
            </w:pPr>
            <w:r w:rsidRPr="00582B5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503A36C" w14:textId="77777777" w:rsidR="00AE6FA4" w:rsidRPr="00F2361F" w:rsidRDefault="00AE6FA4" w:rsidP="003050F9">
            <w:pPr>
              <w:ind w:left="82" w:right="161"/>
              <w:contextualSpacing/>
              <w:jc w:val="both"/>
              <w:rPr>
                <w:sz w:val="26"/>
                <w:szCs w:val="26"/>
                <w:lang w:val="lv-LV"/>
              </w:rPr>
            </w:pPr>
            <w:r w:rsidRPr="00F2361F">
              <w:rPr>
                <w:sz w:val="26"/>
                <w:szCs w:val="26"/>
                <w:lang w:val="lv-LV"/>
              </w:rPr>
              <w:t>Ekonomikas ministrija, sabiedrība “Altum”</w:t>
            </w:r>
          </w:p>
        </w:tc>
      </w:tr>
      <w:tr w:rsidR="00AE6FA4" w:rsidRPr="00582B51" w14:paraId="6EE8BD98" w14:textId="77777777" w:rsidTr="003524DB">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41857AAB" w14:textId="77777777" w:rsidR="00AE6FA4" w:rsidRPr="00582B51" w:rsidRDefault="00AE6FA4" w:rsidP="003050F9">
            <w:pPr>
              <w:contextualSpacing/>
              <w:rPr>
                <w:rFonts w:eastAsia="Times New Roman"/>
                <w:sz w:val="26"/>
                <w:szCs w:val="26"/>
                <w:lang w:val="lv-LV" w:eastAsia="lv-LV"/>
              </w:rPr>
            </w:pPr>
            <w:r w:rsidRPr="00582B51">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38BFC358" w14:textId="77777777" w:rsidR="00AE6FA4" w:rsidRPr="00582B51" w:rsidRDefault="00AE6FA4" w:rsidP="003050F9">
            <w:pPr>
              <w:ind w:right="112"/>
              <w:contextualSpacing/>
              <w:jc w:val="both"/>
              <w:rPr>
                <w:sz w:val="26"/>
                <w:szCs w:val="26"/>
                <w:lang w:val="lv-LV"/>
              </w:rPr>
            </w:pPr>
            <w:r w:rsidRPr="00582B5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2FB5DCEA" w14:textId="77777777" w:rsidR="00AE6FA4" w:rsidRPr="003524DB" w:rsidRDefault="00AE6FA4" w:rsidP="003050F9">
            <w:pPr>
              <w:ind w:left="82" w:right="161"/>
              <w:contextualSpacing/>
              <w:jc w:val="both"/>
              <w:rPr>
                <w:sz w:val="26"/>
                <w:szCs w:val="26"/>
                <w:lang w:val="lv-LV"/>
              </w:rPr>
            </w:pPr>
            <w:r w:rsidRPr="00F2361F">
              <w:rPr>
                <w:rFonts w:eastAsia="Times New Roman"/>
                <w:iCs/>
                <w:sz w:val="26"/>
                <w:szCs w:val="26"/>
                <w:lang w:val="lv-LV"/>
              </w:rPr>
              <w:t>MK Noteikumu projekta</w:t>
            </w:r>
            <w:r w:rsidRPr="00F2361F" w:rsidDel="003D0F93">
              <w:rPr>
                <w:sz w:val="26"/>
                <w:szCs w:val="26"/>
                <w:lang w:val="lv-LV"/>
              </w:rPr>
              <w:t xml:space="preserve"> </w:t>
            </w:r>
            <w:r w:rsidRPr="00F2361F">
              <w:rPr>
                <w:sz w:val="26"/>
                <w:szCs w:val="26"/>
                <w:lang w:val="lv-LV"/>
              </w:rPr>
              <w:t>izpilde tiks nodrošināta Ekonomikas</w:t>
            </w:r>
            <w:r w:rsidRPr="003524DB">
              <w:rPr>
                <w:sz w:val="26"/>
                <w:szCs w:val="26"/>
                <w:lang w:val="lv-LV"/>
              </w:rPr>
              <w:t xml:space="preserve"> ministrijas un sabiedrības “Altum” esošo funkciju un cilvēkresursu ietvaros, kā arī nav paredzēta jaunu institūciju izveide, esošu institūciju likvidācija vai reorganizācija.</w:t>
            </w:r>
          </w:p>
        </w:tc>
      </w:tr>
      <w:tr w:rsidR="00AE6FA4" w:rsidRPr="00582B51" w14:paraId="2F0ACB45" w14:textId="77777777" w:rsidTr="003524DB">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1BE6016" w14:textId="77777777" w:rsidR="00AE6FA4" w:rsidRPr="00582B51" w:rsidRDefault="00AE6FA4" w:rsidP="003050F9">
            <w:pPr>
              <w:contextualSpacing/>
              <w:rPr>
                <w:rFonts w:eastAsia="Times New Roman"/>
                <w:sz w:val="26"/>
                <w:szCs w:val="26"/>
                <w:lang w:val="lv-LV" w:eastAsia="lv-LV"/>
              </w:rPr>
            </w:pPr>
            <w:r w:rsidRPr="00582B51">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2F790D2D" w14:textId="77777777" w:rsidR="00AE6FA4" w:rsidRPr="00582B51" w:rsidRDefault="00AE6FA4" w:rsidP="003050F9">
            <w:pPr>
              <w:contextualSpacing/>
              <w:jc w:val="both"/>
              <w:rPr>
                <w:rFonts w:eastAsia="Times New Roman"/>
                <w:sz w:val="26"/>
                <w:szCs w:val="26"/>
                <w:lang w:val="lv-LV" w:eastAsia="lv-LV"/>
              </w:rPr>
            </w:pPr>
            <w:r w:rsidRPr="00582B5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1FB4173" w14:textId="77777777" w:rsidR="00AE6FA4" w:rsidRPr="00F2361F" w:rsidRDefault="00AE6FA4" w:rsidP="003050F9">
            <w:pPr>
              <w:contextualSpacing/>
              <w:jc w:val="both"/>
              <w:rPr>
                <w:rFonts w:eastAsia="Times New Roman"/>
                <w:sz w:val="26"/>
                <w:szCs w:val="26"/>
                <w:lang w:val="lv-LV" w:eastAsia="lv-LV"/>
              </w:rPr>
            </w:pPr>
            <w:r w:rsidRPr="00F2361F">
              <w:rPr>
                <w:rFonts w:eastAsia="Times New Roman"/>
                <w:sz w:val="26"/>
                <w:szCs w:val="26"/>
                <w:lang w:val="lv-LV" w:eastAsia="lv-LV"/>
              </w:rPr>
              <w:t>Nav</w:t>
            </w:r>
          </w:p>
        </w:tc>
      </w:tr>
    </w:tbl>
    <w:p w14:paraId="4C24DE86" w14:textId="77777777" w:rsidR="00AE6FA4" w:rsidRPr="00582B51" w:rsidRDefault="00AE6FA4" w:rsidP="00AE6FA4">
      <w:pPr>
        <w:contextualSpacing/>
        <w:jc w:val="both"/>
        <w:rPr>
          <w:rFonts w:eastAsia="Times New Roman"/>
          <w:iCs/>
          <w:sz w:val="26"/>
          <w:szCs w:val="26"/>
          <w:lang w:val="lv-LV"/>
        </w:rPr>
      </w:pPr>
    </w:p>
    <w:p w14:paraId="03EE94B5" w14:textId="20A97082" w:rsidR="00862580" w:rsidRPr="00582B51" w:rsidRDefault="00862580" w:rsidP="00282251">
      <w:pPr>
        <w:contextualSpacing/>
        <w:jc w:val="both"/>
        <w:rPr>
          <w:color w:val="000000" w:themeColor="text1"/>
          <w:sz w:val="26"/>
          <w:szCs w:val="26"/>
          <w:lang w:val="lv-LV"/>
        </w:rPr>
      </w:pPr>
    </w:p>
    <w:p w14:paraId="4C73C105" w14:textId="77777777" w:rsidR="00320B22" w:rsidRPr="00F2361F" w:rsidRDefault="00320B22" w:rsidP="00282251">
      <w:pPr>
        <w:contextualSpacing/>
        <w:jc w:val="both"/>
        <w:rPr>
          <w:color w:val="000000" w:themeColor="text1"/>
          <w:sz w:val="26"/>
          <w:szCs w:val="26"/>
          <w:lang w:val="lv-LV"/>
        </w:rPr>
      </w:pPr>
    </w:p>
    <w:p w14:paraId="6452CC80" w14:textId="62DBE709" w:rsidR="00DA1B53" w:rsidRPr="009338BF" w:rsidRDefault="00DA1B53" w:rsidP="00DA1B53">
      <w:pPr>
        <w:ind w:firstLine="709"/>
        <w:jc w:val="both"/>
        <w:rPr>
          <w:color w:val="000000" w:themeColor="text1"/>
          <w:sz w:val="26"/>
          <w:szCs w:val="26"/>
          <w:lang w:val="lv-LV"/>
        </w:rPr>
      </w:pPr>
      <w:bookmarkStart w:id="12" w:name="_Hlk40807714"/>
      <w:r w:rsidRPr="009338BF">
        <w:rPr>
          <w:color w:val="000000" w:themeColor="text1"/>
          <w:sz w:val="26"/>
          <w:szCs w:val="26"/>
          <w:lang w:val="lv-LV"/>
        </w:rPr>
        <w:t>Ekonomikas ministr</w:t>
      </w:r>
      <w:r w:rsidR="003F0B47" w:rsidRPr="009338BF">
        <w:rPr>
          <w:color w:val="000000" w:themeColor="text1"/>
          <w:sz w:val="26"/>
          <w:szCs w:val="26"/>
          <w:lang w:val="lv-LV"/>
        </w:rPr>
        <w:t>s</w:t>
      </w:r>
      <w:r w:rsidR="003F0B47" w:rsidRPr="009338BF">
        <w:rPr>
          <w:color w:val="000000" w:themeColor="text1"/>
          <w:sz w:val="26"/>
          <w:szCs w:val="26"/>
          <w:lang w:val="lv-LV"/>
        </w:rPr>
        <w:tab/>
      </w:r>
      <w:r w:rsidR="003F0B47" w:rsidRPr="009338BF">
        <w:rPr>
          <w:color w:val="000000" w:themeColor="text1"/>
          <w:sz w:val="26"/>
          <w:szCs w:val="26"/>
          <w:lang w:val="lv-LV"/>
        </w:rPr>
        <w:tab/>
      </w:r>
      <w:r w:rsidR="003F0B47" w:rsidRPr="009338BF">
        <w:rPr>
          <w:color w:val="000000" w:themeColor="text1"/>
          <w:sz w:val="26"/>
          <w:szCs w:val="26"/>
          <w:lang w:val="lv-LV"/>
        </w:rPr>
        <w:tab/>
      </w:r>
      <w:r w:rsidR="003F0B47" w:rsidRPr="009338BF">
        <w:rPr>
          <w:color w:val="000000" w:themeColor="text1"/>
          <w:sz w:val="26"/>
          <w:szCs w:val="26"/>
          <w:lang w:val="lv-LV"/>
        </w:rPr>
        <w:tab/>
      </w:r>
      <w:r w:rsidR="003F0B47" w:rsidRPr="009338BF">
        <w:rPr>
          <w:color w:val="000000" w:themeColor="text1"/>
          <w:sz w:val="26"/>
          <w:szCs w:val="26"/>
          <w:lang w:val="lv-LV"/>
        </w:rPr>
        <w:tab/>
        <w:t>Jānis Vitenbergs</w:t>
      </w:r>
    </w:p>
    <w:p w14:paraId="77E70993" w14:textId="65F38BE2" w:rsidR="00232596" w:rsidRPr="009338BF" w:rsidRDefault="00102B0D" w:rsidP="00A2429F">
      <w:pPr>
        <w:rPr>
          <w:color w:val="000000" w:themeColor="text1"/>
          <w:sz w:val="26"/>
          <w:szCs w:val="26"/>
          <w:lang w:val="lv-LV"/>
        </w:rPr>
      </w:pPr>
      <w:r w:rsidRPr="009338BF">
        <w:rPr>
          <w:color w:val="000000" w:themeColor="text1"/>
          <w:sz w:val="26"/>
          <w:szCs w:val="26"/>
          <w:lang w:val="lv-LV"/>
        </w:rPr>
        <w:tab/>
      </w:r>
    </w:p>
    <w:p w14:paraId="186DE79D" w14:textId="77777777" w:rsidR="00102B0D" w:rsidRPr="009338BF" w:rsidRDefault="00862580" w:rsidP="00102B0D">
      <w:pPr>
        <w:tabs>
          <w:tab w:val="left" w:pos="6237"/>
        </w:tabs>
        <w:ind w:firstLine="720"/>
        <w:contextualSpacing/>
        <w:rPr>
          <w:color w:val="000000" w:themeColor="text1"/>
          <w:sz w:val="26"/>
          <w:szCs w:val="26"/>
          <w:lang w:val="lv-LV"/>
        </w:rPr>
      </w:pPr>
      <w:r w:rsidRPr="009338BF">
        <w:rPr>
          <w:color w:val="000000" w:themeColor="text1"/>
          <w:sz w:val="26"/>
          <w:szCs w:val="26"/>
          <w:lang w:val="lv-LV"/>
        </w:rPr>
        <w:t>Vīza</w:t>
      </w:r>
      <w:r w:rsidR="00102B0D" w:rsidRPr="009338BF">
        <w:rPr>
          <w:color w:val="000000" w:themeColor="text1"/>
          <w:sz w:val="26"/>
          <w:szCs w:val="26"/>
          <w:lang w:val="lv-LV"/>
        </w:rPr>
        <w:t>:</w:t>
      </w:r>
    </w:p>
    <w:bookmarkEnd w:id="12"/>
    <w:p w14:paraId="1479C298" w14:textId="6C698EAB" w:rsidR="00DF7086" w:rsidRPr="009338BF" w:rsidRDefault="007920C4" w:rsidP="009338BF">
      <w:pPr>
        <w:tabs>
          <w:tab w:val="left" w:pos="6237"/>
        </w:tabs>
        <w:ind w:firstLine="720"/>
        <w:contextualSpacing/>
        <w:rPr>
          <w:noProof/>
          <w:sz w:val="26"/>
          <w:szCs w:val="26"/>
          <w:lang w:val="lv-LV"/>
        </w:rPr>
      </w:pPr>
      <w:r w:rsidRPr="009338BF">
        <w:rPr>
          <w:noProof/>
          <w:sz w:val="26"/>
          <w:szCs w:val="26"/>
          <w:lang w:val="lv-LV"/>
        </w:rPr>
        <w:t>Valsts sekretār</w:t>
      </w:r>
      <w:r w:rsidR="009338BF" w:rsidRPr="009338BF">
        <w:rPr>
          <w:noProof/>
          <w:sz w:val="26"/>
          <w:szCs w:val="26"/>
          <w:lang w:val="lv-LV"/>
        </w:rPr>
        <w:t>s</w:t>
      </w:r>
      <w:r w:rsidR="009338BF" w:rsidRPr="009338BF">
        <w:rPr>
          <w:noProof/>
          <w:sz w:val="26"/>
          <w:szCs w:val="26"/>
          <w:lang w:val="lv-LV"/>
        </w:rPr>
        <w:tab/>
        <w:t>Edmunds Valantis</w:t>
      </w:r>
    </w:p>
    <w:p w14:paraId="6158E8B9" w14:textId="2AE4FA98" w:rsidR="00AA0717" w:rsidRPr="009338BF" w:rsidRDefault="00AA0717" w:rsidP="00AA0717">
      <w:pPr>
        <w:rPr>
          <w:sz w:val="26"/>
          <w:szCs w:val="26"/>
          <w:lang w:val="lv-LV"/>
        </w:rPr>
      </w:pPr>
    </w:p>
    <w:p w14:paraId="2D6E5696" w14:textId="7CFC8943" w:rsidR="00AA0717" w:rsidRPr="00582B51" w:rsidRDefault="00AA0717" w:rsidP="00AA0717">
      <w:pPr>
        <w:rPr>
          <w:sz w:val="26"/>
          <w:szCs w:val="26"/>
          <w:lang w:val="lv-LV"/>
        </w:rPr>
      </w:pPr>
    </w:p>
    <w:p w14:paraId="7F2AC832" w14:textId="274F25EB" w:rsidR="00AA0717" w:rsidRPr="00F2361F" w:rsidRDefault="00AA0717" w:rsidP="00AA0717">
      <w:pPr>
        <w:rPr>
          <w:sz w:val="26"/>
          <w:szCs w:val="26"/>
          <w:lang w:val="lv-LV"/>
        </w:rPr>
      </w:pPr>
      <w:bookmarkStart w:id="13" w:name="_GoBack"/>
      <w:bookmarkEnd w:id="13"/>
    </w:p>
    <w:sectPr w:rsidR="00AA0717" w:rsidRPr="00F2361F" w:rsidSect="00136B18">
      <w:headerReference w:type="default" r:id="rId18"/>
      <w:footerReference w:type="default" r:id="rId19"/>
      <w:footerReference w:type="first" r:id="rId20"/>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5D04" w14:textId="77777777" w:rsidR="00555A68" w:rsidRDefault="00555A68" w:rsidP="006B2FEF">
      <w:r>
        <w:separator/>
      </w:r>
    </w:p>
  </w:endnote>
  <w:endnote w:type="continuationSeparator" w:id="0">
    <w:p w14:paraId="0965C320" w14:textId="77777777" w:rsidR="00555A68" w:rsidRDefault="00555A68" w:rsidP="006B2FEF">
      <w:r>
        <w:continuationSeparator/>
      </w:r>
    </w:p>
  </w:endnote>
  <w:endnote w:type="continuationNotice" w:id="1">
    <w:p w14:paraId="096AA661" w14:textId="77777777" w:rsidR="00555A68" w:rsidRDefault="0055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altName w:val="Calibri"/>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5980DB86" w:rsidR="003050F9" w:rsidRPr="00AE6FA4" w:rsidRDefault="003050F9" w:rsidP="00AE6FA4">
    <w:pPr>
      <w:pStyle w:val="Footer"/>
      <w:jc w:val="both"/>
      <w:rPr>
        <w:lang w:val="lv-LV"/>
      </w:rPr>
    </w:pPr>
    <w:r w:rsidRPr="005F4CFC">
      <w:rPr>
        <w:lang w:val="lv-LV"/>
      </w:rPr>
      <w:t>EMAnot_</w:t>
    </w:r>
    <w:r w:rsidR="001D4E5A">
      <w:rPr>
        <w:lang w:val="lv-LV"/>
      </w:rPr>
      <w:t>15</w:t>
    </w:r>
    <w:r>
      <w:rPr>
        <w:lang w:val="lv-LV"/>
      </w:rPr>
      <w:t>12</w:t>
    </w:r>
    <w:r w:rsidRPr="005F4CFC">
      <w:rPr>
        <w:lang w:val="lv-LV"/>
      </w:rPr>
      <w:t>20_</w:t>
    </w:r>
    <w:r>
      <w:rPr>
        <w:lang w:val="lv-LV"/>
      </w:rPr>
      <w:t>Groz118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6CDA37FF" w:rsidR="003050F9" w:rsidRPr="005F4CFC" w:rsidRDefault="003050F9" w:rsidP="005F4CFC">
    <w:pPr>
      <w:pStyle w:val="Footer"/>
      <w:jc w:val="both"/>
      <w:rPr>
        <w:lang w:val="lv-LV"/>
      </w:rPr>
    </w:pPr>
    <w:r w:rsidRPr="005F4CFC">
      <w:rPr>
        <w:lang w:val="lv-LV"/>
      </w:rPr>
      <w:t>EMAnot_</w:t>
    </w:r>
    <w:r w:rsidR="001D4E5A">
      <w:rPr>
        <w:lang w:val="lv-LV"/>
      </w:rPr>
      <w:t>15</w:t>
    </w:r>
    <w:r>
      <w:rPr>
        <w:lang w:val="lv-LV"/>
      </w:rPr>
      <w:t>12</w:t>
    </w:r>
    <w:r w:rsidRPr="005F4CFC">
      <w:rPr>
        <w:lang w:val="lv-LV"/>
      </w:rPr>
      <w:t>20_</w:t>
    </w:r>
    <w:r>
      <w:rPr>
        <w:lang w:val="lv-LV"/>
      </w:rPr>
      <w:t>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61B3" w14:textId="77777777" w:rsidR="00555A68" w:rsidRDefault="00555A68" w:rsidP="006B2FEF">
      <w:r>
        <w:separator/>
      </w:r>
    </w:p>
  </w:footnote>
  <w:footnote w:type="continuationSeparator" w:id="0">
    <w:p w14:paraId="3806B50F" w14:textId="77777777" w:rsidR="00555A68" w:rsidRDefault="00555A68" w:rsidP="006B2FEF">
      <w:r>
        <w:continuationSeparator/>
      </w:r>
    </w:p>
  </w:footnote>
  <w:footnote w:type="continuationNotice" w:id="1">
    <w:p w14:paraId="2588E496" w14:textId="77777777" w:rsidR="00555A68" w:rsidRDefault="00555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3050F9" w:rsidRPr="005A1518" w:rsidRDefault="003050F9"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FC"/>
    <w:multiLevelType w:val="hybridMultilevel"/>
    <w:tmpl w:val="6D98C5BE"/>
    <w:lvl w:ilvl="0" w:tplc="1F4E631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77009"/>
    <w:multiLevelType w:val="hybridMultilevel"/>
    <w:tmpl w:val="9A98477E"/>
    <w:lvl w:ilvl="0" w:tplc="E56E35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6BE30A5"/>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94C1CD6"/>
    <w:multiLevelType w:val="hybridMultilevel"/>
    <w:tmpl w:val="0ABAC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9"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156C56"/>
    <w:multiLevelType w:val="hybridMultilevel"/>
    <w:tmpl w:val="32F42ED4"/>
    <w:lvl w:ilvl="0" w:tplc="25D2562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4"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AD600A"/>
    <w:multiLevelType w:val="hybridMultilevel"/>
    <w:tmpl w:val="5E9033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23"/>
  </w:num>
  <w:num w:numId="5">
    <w:abstractNumId w:val="24"/>
  </w:num>
  <w:num w:numId="6">
    <w:abstractNumId w:val="18"/>
  </w:num>
  <w:num w:numId="7">
    <w:abstractNumId w:val="19"/>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5"/>
  </w:num>
  <w:num w:numId="12">
    <w:abstractNumId w:val="17"/>
  </w:num>
  <w:num w:numId="13">
    <w:abstractNumId w:val="13"/>
  </w:num>
  <w:num w:numId="14">
    <w:abstractNumId w:val="21"/>
  </w:num>
  <w:num w:numId="15">
    <w:abstractNumId w:val="8"/>
  </w:num>
  <w:num w:numId="16">
    <w:abstractNumId w:val="9"/>
  </w:num>
  <w:num w:numId="17">
    <w:abstractNumId w:val="1"/>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7"/>
  </w:num>
  <w:num w:numId="24">
    <w:abstractNumId w:val="20"/>
  </w:num>
  <w:num w:numId="25">
    <w:abstractNumId w:val="3"/>
  </w:num>
  <w:num w:numId="2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FC2"/>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7B4"/>
    <w:rsid w:val="00073914"/>
    <w:rsid w:val="00074090"/>
    <w:rsid w:val="00075EC8"/>
    <w:rsid w:val="0007733E"/>
    <w:rsid w:val="000773A5"/>
    <w:rsid w:val="00077712"/>
    <w:rsid w:val="00077D13"/>
    <w:rsid w:val="0008002B"/>
    <w:rsid w:val="000800A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01D3"/>
    <w:rsid w:val="000A14E3"/>
    <w:rsid w:val="000A27EF"/>
    <w:rsid w:val="000A2ABB"/>
    <w:rsid w:val="000A37C3"/>
    <w:rsid w:val="000A38DA"/>
    <w:rsid w:val="000A44CE"/>
    <w:rsid w:val="000A640F"/>
    <w:rsid w:val="000B07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11B8"/>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6D3"/>
    <w:rsid w:val="0011196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37E7"/>
    <w:rsid w:val="00156067"/>
    <w:rsid w:val="00156C28"/>
    <w:rsid w:val="0016143E"/>
    <w:rsid w:val="00161BA7"/>
    <w:rsid w:val="001633A3"/>
    <w:rsid w:val="00163787"/>
    <w:rsid w:val="00164E20"/>
    <w:rsid w:val="001650AC"/>
    <w:rsid w:val="001655DD"/>
    <w:rsid w:val="00165747"/>
    <w:rsid w:val="00165F5E"/>
    <w:rsid w:val="0016668A"/>
    <w:rsid w:val="00166A8B"/>
    <w:rsid w:val="0016744E"/>
    <w:rsid w:val="00167597"/>
    <w:rsid w:val="00167676"/>
    <w:rsid w:val="00170D12"/>
    <w:rsid w:val="00172082"/>
    <w:rsid w:val="00176AB2"/>
    <w:rsid w:val="00177250"/>
    <w:rsid w:val="00177882"/>
    <w:rsid w:val="00177A1E"/>
    <w:rsid w:val="00177C69"/>
    <w:rsid w:val="00180E2B"/>
    <w:rsid w:val="00182EDF"/>
    <w:rsid w:val="001830E7"/>
    <w:rsid w:val="00183A56"/>
    <w:rsid w:val="00183B65"/>
    <w:rsid w:val="00183C0A"/>
    <w:rsid w:val="00183E77"/>
    <w:rsid w:val="00184926"/>
    <w:rsid w:val="00186A4D"/>
    <w:rsid w:val="00187140"/>
    <w:rsid w:val="00190B3D"/>
    <w:rsid w:val="001935C8"/>
    <w:rsid w:val="001943B1"/>
    <w:rsid w:val="001946C8"/>
    <w:rsid w:val="00195D43"/>
    <w:rsid w:val="001A04ED"/>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4E5A"/>
    <w:rsid w:val="001D6EFA"/>
    <w:rsid w:val="001D7397"/>
    <w:rsid w:val="001D7DC1"/>
    <w:rsid w:val="001E023A"/>
    <w:rsid w:val="001E1B0F"/>
    <w:rsid w:val="001E3588"/>
    <w:rsid w:val="001E4C2F"/>
    <w:rsid w:val="001E5643"/>
    <w:rsid w:val="001E5FBC"/>
    <w:rsid w:val="001E76BE"/>
    <w:rsid w:val="001F2BA2"/>
    <w:rsid w:val="001F5AB0"/>
    <w:rsid w:val="001F5F46"/>
    <w:rsid w:val="001F6DBE"/>
    <w:rsid w:val="001F7086"/>
    <w:rsid w:val="001F7AAD"/>
    <w:rsid w:val="00200E7D"/>
    <w:rsid w:val="00201D17"/>
    <w:rsid w:val="00203D20"/>
    <w:rsid w:val="0020468C"/>
    <w:rsid w:val="00205B6F"/>
    <w:rsid w:val="00206331"/>
    <w:rsid w:val="002107BF"/>
    <w:rsid w:val="00210E64"/>
    <w:rsid w:val="00211315"/>
    <w:rsid w:val="00214E1D"/>
    <w:rsid w:val="002157CB"/>
    <w:rsid w:val="00215A5A"/>
    <w:rsid w:val="00215C6A"/>
    <w:rsid w:val="0021738A"/>
    <w:rsid w:val="002174C4"/>
    <w:rsid w:val="002177B0"/>
    <w:rsid w:val="00217DA5"/>
    <w:rsid w:val="00217F5B"/>
    <w:rsid w:val="00220C45"/>
    <w:rsid w:val="00222457"/>
    <w:rsid w:val="00223778"/>
    <w:rsid w:val="00224E84"/>
    <w:rsid w:val="002253C8"/>
    <w:rsid w:val="002267E7"/>
    <w:rsid w:val="00227BC3"/>
    <w:rsid w:val="00227F25"/>
    <w:rsid w:val="00231BFD"/>
    <w:rsid w:val="00232596"/>
    <w:rsid w:val="00234EDE"/>
    <w:rsid w:val="0023582E"/>
    <w:rsid w:val="002373EA"/>
    <w:rsid w:val="00237878"/>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2A7C"/>
    <w:rsid w:val="002A3287"/>
    <w:rsid w:val="002A3EC2"/>
    <w:rsid w:val="002A6400"/>
    <w:rsid w:val="002A669D"/>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810"/>
    <w:rsid w:val="003050F9"/>
    <w:rsid w:val="003055C3"/>
    <w:rsid w:val="003061FB"/>
    <w:rsid w:val="00306270"/>
    <w:rsid w:val="003075D3"/>
    <w:rsid w:val="0031008A"/>
    <w:rsid w:val="00310924"/>
    <w:rsid w:val="0031259B"/>
    <w:rsid w:val="00312AC2"/>
    <w:rsid w:val="003132CE"/>
    <w:rsid w:val="00314298"/>
    <w:rsid w:val="0031471E"/>
    <w:rsid w:val="00316B12"/>
    <w:rsid w:val="003176D3"/>
    <w:rsid w:val="00320B22"/>
    <w:rsid w:val="00321683"/>
    <w:rsid w:val="00322165"/>
    <w:rsid w:val="003228DE"/>
    <w:rsid w:val="003238F7"/>
    <w:rsid w:val="00323C8A"/>
    <w:rsid w:val="00326096"/>
    <w:rsid w:val="00326AE5"/>
    <w:rsid w:val="00326BCF"/>
    <w:rsid w:val="00330421"/>
    <w:rsid w:val="00330F5A"/>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24DB"/>
    <w:rsid w:val="00354ABE"/>
    <w:rsid w:val="00356492"/>
    <w:rsid w:val="003577DB"/>
    <w:rsid w:val="00357C6C"/>
    <w:rsid w:val="00360657"/>
    <w:rsid w:val="00362B12"/>
    <w:rsid w:val="003642CF"/>
    <w:rsid w:val="0036591D"/>
    <w:rsid w:val="00365FD0"/>
    <w:rsid w:val="00366AFE"/>
    <w:rsid w:val="00367B98"/>
    <w:rsid w:val="00367DBA"/>
    <w:rsid w:val="00370711"/>
    <w:rsid w:val="00371757"/>
    <w:rsid w:val="00372E81"/>
    <w:rsid w:val="00373F39"/>
    <w:rsid w:val="00374946"/>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4AD"/>
    <w:rsid w:val="003A2C91"/>
    <w:rsid w:val="003A3623"/>
    <w:rsid w:val="003A3B51"/>
    <w:rsid w:val="003A40AD"/>
    <w:rsid w:val="003A5DC7"/>
    <w:rsid w:val="003A62EB"/>
    <w:rsid w:val="003A6532"/>
    <w:rsid w:val="003A66B2"/>
    <w:rsid w:val="003A6A32"/>
    <w:rsid w:val="003A6B7C"/>
    <w:rsid w:val="003A7D7E"/>
    <w:rsid w:val="003B1693"/>
    <w:rsid w:val="003B1F27"/>
    <w:rsid w:val="003B32EC"/>
    <w:rsid w:val="003B3488"/>
    <w:rsid w:val="003B5E55"/>
    <w:rsid w:val="003B5F6A"/>
    <w:rsid w:val="003B623A"/>
    <w:rsid w:val="003B63BE"/>
    <w:rsid w:val="003B7B62"/>
    <w:rsid w:val="003C072B"/>
    <w:rsid w:val="003C15D8"/>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6AE2"/>
    <w:rsid w:val="0041036A"/>
    <w:rsid w:val="00412C91"/>
    <w:rsid w:val="0041316A"/>
    <w:rsid w:val="004158F6"/>
    <w:rsid w:val="00415A66"/>
    <w:rsid w:val="00416A31"/>
    <w:rsid w:val="00417136"/>
    <w:rsid w:val="00417240"/>
    <w:rsid w:val="0041770B"/>
    <w:rsid w:val="004205F6"/>
    <w:rsid w:val="00420760"/>
    <w:rsid w:val="00420CFF"/>
    <w:rsid w:val="004224C2"/>
    <w:rsid w:val="00422F8F"/>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5F36"/>
    <w:rsid w:val="00457427"/>
    <w:rsid w:val="0045789E"/>
    <w:rsid w:val="00457C1C"/>
    <w:rsid w:val="004619FE"/>
    <w:rsid w:val="00462679"/>
    <w:rsid w:val="00462B45"/>
    <w:rsid w:val="00463574"/>
    <w:rsid w:val="00464762"/>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D776A"/>
    <w:rsid w:val="004E1476"/>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D6E"/>
    <w:rsid w:val="005116FB"/>
    <w:rsid w:val="00511D6F"/>
    <w:rsid w:val="00512576"/>
    <w:rsid w:val="00514B75"/>
    <w:rsid w:val="00515D44"/>
    <w:rsid w:val="0052346C"/>
    <w:rsid w:val="00531AFF"/>
    <w:rsid w:val="00532875"/>
    <w:rsid w:val="00534305"/>
    <w:rsid w:val="0053691B"/>
    <w:rsid w:val="00536AEE"/>
    <w:rsid w:val="00537BA3"/>
    <w:rsid w:val="00537DFB"/>
    <w:rsid w:val="00537FF8"/>
    <w:rsid w:val="00540ED5"/>
    <w:rsid w:val="00542913"/>
    <w:rsid w:val="005430E0"/>
    <w:rsid w:val="00543516"/>
    <w:rsid w:val="005447AB"/>
    <w:rsid w:val="005464E6"/>
    <w:rsid w:val="00546938"/>
    <w:rsid w:val="00547962"/>
    <w:rsid w:val="00547ACF"/>
    <w:rsid w:val="00551C58"/>
    <w:rsid w:val="005525C7"/>
    <w:rsid w:val="00552639"/>
    <w:rsid w:val="00554D3F"/>
    <w:rsid w:val="00555557"/>
    <w:rsid w:val="00555A68"/>
    <w:rsid w:val="00557927"/>
    <w:rsid w:val="00557AA8"/>
    <w:rsid w:val="00557B17"/>
    <w:rsid w:val="00561126"/>
    <w:rsid w:val="00561296"/>
    <w:rsid w:val="00562501"/>
    <w:rsid w:val="005663BC"/>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2B51"/>
    <w:rsid w:val="005836A3"/>
    <w:rsid w:val="00583CBA"/>
    <w:rsid w:val="00584453"/>
    <w:rsid w:val="005846DB"/>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5443"/>
    <w:rsid w:val="005D688E"/>
    <w:rsid w:val="005D6B98"/>
    <w:rsid w:val="005D6F53"/>
    <w:rsid w:val="005D794E"/>
    <w:rsid w:val="005E2FF9"/>
    <w:rsid w:val="005E30B2"/>
    <w:rsid w:val="005E39B3"/>
    <w:rsid w:val="005E4164"/>
    <w:rsid w:val="005F24C4"/>
    <w:rsid w:val="005F2CF4"/>
    <w:rsid w:val="005F3196"/>
    <w:rsid w:val="005F32D1"/>
    <w:rsid w:val="005F3E9D"/>
    <w:rsid w:val="005F3FC6"/>
    <w:rsid w:val="005F4CFC"/>
    <w:rsid w:val="005F4DD3"/>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6B91"/>
    <w:rsid w:val="006373FF"/>
    <w:rsid w:val="00637833"/>
    <w:rsid w:val="00641AC4"/>
    <w:rsid w:val="006423DF"/>
    <w:rsid w:val="00643F8E"/>
    <w:rsid w:val="006440CF"/>
    <w:rsid w:val="0064541C"/>
    <w:rsid w:val="00646237"/>
    <w:rsid w:val="00646A6F"/>
    <w:rsid w:val="00653397"/>
    <w:rsid w:val="006535C3"/>
    <w:rsid w:val="00653BA7"/>
    <w:rsid w:val="006553CD"/>
    <w:rsid w:val="006559F5"/>
    <w:rsid w:val="0065752A"/>
    <w:rsid w:val="00657CE4"/>
    <w:rsid w:val="00660C99"/>
    <w:rsid w:val="00661782"/>
    <w:rsid w:val="006627BC"/>
    <w:rsid w:val="00662C11"/>
    <w:rsid w:val="0066570F"/>
    <w:rsid w:val="00666065"/>
    <w:rsid w:val="00672822"/>
    <w:rsid w:val="006729D2"/>
    <w:rsid w:val="00673B07"/>
    <w:rsid w:val="00673BC6"/>
    <w:rsid w:val="00674D70"/>
    <w:rsid w:val="006775B3"/>
    <w:rsid w:val="00684808"/>
    <w:rsid w:val="0068483E"/>
    <w:rsid w:val="00685B85"/>
    <w:rsid w:val="00687967"/>
    <w:rsid w:val="00690F72"/>
    <w:rsid w:val="00692482"/>
    <w:rsid w:val="006933D1"/>
    <w:rsid w:val="00694B7D"/>
    <w:rsid w:val="00695FE4"/>
    <w:rsid w:val="006A0F95"/>
    <w:rsid w:val="006A23BF"/>
    <w:rsid w:val="006A427F"/>
    <w:rsid w:val="006A46ED"/>
    <w:rsid w:val="006A516C"/>
    <w:rsid w:val="006A6B80"/>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16769"/>
    <w:rsid w:val="00720C35"/>
    <w:rsid w:val="00720E7B"/>
    <w:rsid w:val="007211D2"/>
    <w:rsid w:val="0072232C"/>
    <w:rsid w:val="00725676"/>
    <w:rsid w:val="007262F0"/>
    <w:rsid w:val="00727602"/>
    <w:rsid w:val="00727BE9"/>
    <w:rsid w:val="00730FAE"/>
    <w:rsid w:val="007314F1"/>
    <w:rsid w:val="00731BE9"/>
    <w:rsid w:val="00731E2B"/>
    <w:rsid w:val="00733C32"/>
    <w:rsid w:val="00734792"/>
    <w:rsid w:val="007366D2"/>
    <w:rsid w:val="00736B34"/>
    <w:rsid w:val="007420D7"/>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2502"/>
    <w:rsid w:val="0078278D"/>
    <w:rsid w:val="00782847"/>
    <w:rsid w:val="00783777"/>
    <w:rsid w:val="00783D20"/>
    <w:rsid w:val="00785232"/>
    <w:rsid w:val="0078549A"/>
    <w:rsid w:val="007862D0"/>
    <w:rsid w:val="00786300"/>
    <w:rsid w:val="00787100"/>
    <w:rsid w:val="00787CDA"/>
    <w:rsid w:val="00791047"/>
    <w:rsid w:val="007920C4"/>
    <w:rsid w:val="0079247D"/>
    <w:rsid w:val="00794F2D"/>
    <w:rsid w:val="007954D3"/>
    <w:rsid w:val="00796159"/>
    <w:rsid w:val="00797AAD"/>
    <w:rsid w:val="007A2F02"/>
    <w:rsid w:val="007A5127"/>
    <w:rsid w:val="007A5C51"/>
    <w:rsid w:val="007A68C0"/>
    <w:rsid w:val="007B12C5"/>
    <w:rsid w:val="007B1C32"/>
    <w:rsid w:val="007B25FF"/>
    <w:rsid w:val="007B2A03"/>
    <w:rsid w:val="007B2D5B"/>
    <w:rsid w:val="007B41D7"/>
    <w:rsid w:val="007B70B5"/>
    <w:rsid w:val="007C0DB7"/>
    <w:rsid w:val="007C1A7D"/>
    <w:rsid w:val="007C1F6C"/>
    <w:rsid w:val="007C4094"/>
    <w:rsid w:val="007C45C5"/>
    <w:rsid w:val="007C608D"/>
    <w:rsid w:val="007D2317"/>
    <w:rsid w:val="007D29EC"/>
    <w:rsid w:val="007D50AE"/>
    <w:rsid w:val="007D516C"/>
    <w:rsid w:val="007E1EA6"/>
    <w:rsid w:val="007E2FDE"/>
    <w:rsid w:val="007E43EA"/>
    <w:rsid w:val="007E4C1F"/>
    <w:rsid w:val="007E50CC"/>
    <w:rsid w:val="007E6851"/>
    <w:rsid w:val="007E6943"/>
    <w:rsid w:val="007F0204"/>
    <w:rsid w:val="007F0E24"/>
    <w:rsid w:val="007F15FD"/>
    <w:rsid w:val="007F3879"/>
    <w:rsid w:val="007F5C3C"/>
    <w:rsid w:val="007F5C58"/>
    <w:rsid w:val="007F6449"/>
    <w:rsid w:val="007F6674"/>
    <w:rsid w:val="00801CA5"/>
    <w:rsid w:val="008045EE"/>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276"/>
    <w:rsid w:val="008503CA"/>
    <w:rsid w:val="00852BA6"/>
    <w:rsid w:val="0085308E"/>
    <w:rsid w:val="0085318D"/>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67A"/>
    <w:rsid w:val="008A0A32"/>
    <w:rsid w:val="008A0D08"/>
    <w:rsid w:val="008A1056"/>
    <w:rsid w:val="008A3637"/>
    <w:rsid w:val="008A4BF8"/>
    <w:rsid w:val="008A50CB"/>
    <w:rsid w:val="008A7CC5"/>
    <w:rsid w:val="008A7E11"/>
    <w:rsid w:val="008B0720"/>
    <w:rsid w:val="008B1C5A"/>
    <w:rsid w:val="008B1CC3"/>
    <w:rsid w:val="008B1DB2"/>
    <w:rsid w:val="008B206C"/>
    <w:rsid w:val="008B34AA"/>
    <w:rsid w:val="008B3C04"/>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01FE"/>
    <w:rsid w:val="008F4EA3"/>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38B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6814"/>
    <w:rsid w:val="00967939"/>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2576"/>
    <w:rsid w:val="009B3508"/>
    <w:rsid w:val="009B386C"/>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1E2"/>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4E55"/>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41ED"/>
    <w:rsid w:val="00A5551D"/>
    <w:rsid w:val="00A562DC"/>
    <w:rsid w:val="00A56810"/>
    <w:rsid w:val="00A56E11"/>
    <w:rsid w:val="00A56E9B"/>
    <w:rsid w:val="00A56F27"/>
    <w:rsid w:val="00A57518"/>
    <w:rsid w:val="00A57E77"/>
    <w:rsid w:val="00A60C80"/>
    <w:rsid w:val="00A61231"/>
    <w:rsid w:val="00A66F1F"/>
    <w:rsid w:val="00A71824"/>
    <w:rsid w:val="00A718EE"/>
    <w:rsid w:val="00A73448"/>
    <w:rsid w:val="00A76C0A"/>
    <w:rsid w:val="00A82EF2"/>
    <w:rsid w:val="00A8518E"/>
    <w:rsid w:val="00A8623A"/>
    <w:rsid w:val="00A86F1C"/>
    <w:rsid w:val="00A9174A"/>
    <w:rsid w:val="00A92A07"/>
    <w:rsid w:val="00A93054"/>
    <w:rsid w:val="00A9317F"/>
    <w:rsid w:val="00A93A17"/>
    <w:rsid w:val="00A94B68"/>
    <w:rsid w:val="00A95FAB"/>
    <w:rsid w:val="00A969CC"/>
    <w:rsid w:val="00A96C8D"/>
    <w:rsid w:val="00A9708B"/>
    <w:rsid w:val="00AA0717"/>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D79"/>
    <w:rsid w:val="00AD4417"/>
    <w:rsid w:val="00AD48AA"/>
    <w:rsid w:val="00AD5B91"/>
    <w:rsid w:val="00AD5C75"/>
    <w:rsid w:val="00AD6AEF"/>
    <w:rsid w:val="00AE0055"/>
    <w:rsid w:val="00AE091D"/>
    <w:rsid w:val="00AE3B88"/>
    <w:rsid w:val="00AE4C8F"/>
    <w:rsid w:val="00AE5675"/>
    <w:rsid w:val="00AE57EC"/>
    <w:rsid w:val="00AE64F9"/>
    <w:rsid w:val="00AE6FA4"/>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2E10"/>
    <w:rsid w:val="00B63A88"/>
    <w:rsid w:val="00B652FE"/>
    <w:rsid w:val="00B65A0A"/>
    <w:rsid w:val="00B65CF6"/>
    <w:rsid w:val="00B65FCF"/>
    <w:rsid w:val="00B66C55"/>
    <w:rsid w:val="00B700CC"/>
    <w:rsid w:val="00B70CE2"/>
    <w:rsid w:val="00B7213C"/>
    <w:rsid w:val="00B7247E"/>
    <w:rsid w:val="00B74B38"/>
    <w:rsid w:val="00B758FC"/>
    <w:rsid w:val="00B762A0"/>
    <w:rsid w:val="00B765A1"/>
    <w:rsid w:val="00B76FBA"/>
    <w:rsid w:val="00B77E56"/>
    <w:rsid w:val="00B80371"/>
    <w:rsid w:val="00B8269F"/>
    <w:rsid w:val="00B837AE"/>
    <w:rsid w:val="00B83EED"/>
    <w:rsid w:val="00B85597"/>
    <w:rsid w:val="00B85A89"/>
    <w:rsid w:val="00B868AD"/>
    <w:rsid w:val="00B86DD0"/>
    <w:rsid w:val="00B90822"/>
    <w:rsid w:val="00B90DFE"/>
    <w:rsid w:val="00B91718"/>
    <w:rsid w:val="00B91B04"/>
    <w:rsid w:val="00B91C8A"/>
    <w:rsid w:val="00B9742D"/>
    <w:rsid w:val="00BA1043"/>
    <w:rsid w:val="00BA131A"/>
    <w:rsid w:val="00BA2274"/>
    <w:rsid w:val="00BA2DAF"/>
    <w:rsid w:val="00BA4C8B"/>
    <w:rsid w:val="00BA611C"/>
    <w:rsid w:val="00BB0042"/>
    <w:rsid w:val="00BB0BAA"/>
    <w:rsid w:val="00BB1EA2"/>
    <w:rsid w:val="00BB480B"/>
    <w:rsid w:val="00BB4E62"/>
    <w:rsid w:val="00BB55EA"/>
    <w:rsid w:val="00BB6326"/>
    <w:rsid w:val="00BB7389"/>
    <w:rsid w:val="00BB7D03"/>
    <w:rsid w:val="00BC1411"/>
    <w:rsid w:val="00BC31E7"/>
    <w:rsid w:val="00BC384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6A5"/>
    <w:rsid w:val="00C45150"/>
    <w:rsid w:val="00C46737"/>
    <w:rsid w:val="00C52004"/>
    <w:rsid w:val="00C56C9E"/>
    <w:rsid w:val="00C62D9D"/>
    <w:rsid w:val="00C6333E"/>
    <w:rsid w:val="00C633A8"/>
    <w:rsid w:val="00C64A96"/>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0C3B"/>
    <w:rsid w:val="00CE1DD6"/>
    <w:rsid w:val="00CE261F"/>
    <w:rsid w:val="00CE35E1"/>
    <w:rsid w:val="00CE399B"/>
    <w:rsid w:val="00CE5541"/>
    <w:rsid w:val="00CE5C53"/>
    <w:rsid w:val="00CF0573"/>
    <w:rsid w:val="00CF24BB"/>
    <w:rsid w:val="00CF460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50699"/>
    <w:rsid w:val="00D51DD0"/>
    <w:rsid w:val="00D5265D"/>
    <w:rsid w:val="00D52D6B"/>
    <w:rsid w:val="00D60415"/>
    <w:rsid w:val="00D610AA"/>
    <w:rsid w:val="00D62E09"/>
    <w:rsid w:val="00D64101"/>
    <w:rsid w:val="00D64FFD"/>
    <w:rsid w:val="00D66367"/>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DE0"/>
    <w:rsid w:val="00D854E6"/>
    <w:rsid w:val="00D85E59"/>
    <w:rsid w:val="00D90CAE"/>
    <w:rsid w:val="00D9189D"/>
    <w:rsid w:val="00D93A48"/>
    <w:rsid w:val="00D96FBA"/>
    <w:rsid w:val="00D97622"/>
    <w:rsid w:val="00DA1B53"/>
    <w:rsid w:val="00DA1FCE"/>
    <w:rsid w:val="00DA2048"/>
    <w:rsid w:val="00DA239C"/>
    <w:rsid w:val="00DA433D"/>
    <w:rsid w:val="00DA440E"/>
    <w:rsid w:val="00DA58AF"/>
    <w:rsid w:val="00DA7141"/>
    <w:rsid w:val="00DA744D"/>
    <w:rsid w:val="00DA7DEB"/>
    <w:rsid w:val="00DB14CA"/>
    <w:rsid w:val="00DB3228"/>
    <w:rsid w:val="00DB3721"/>
    <w:rsid w:val="00DB3D04"/>
    <w:rsid w:val="00DB4337"/>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5E0"/>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7D8"/>
    <w:rsid w:val="00E16ACD"/>
    <w:rsid w:val="00E20773"/>
    <w:rsid w:val="00E2107F"/>
    <w:rsid w:val="00E22628"/>
    <w:rsid w:val="00E22EA4"/>
    <w:rsid w:val="00E23059"/>
    <w:rsid w:val="00E231E0"/>
    <w:rsid w:val="00E233A4"/>
    <w:rsid w:val="00E30352"/>
    <w:rsid w:val="00E33146"/>
    <w:rsid w:val="00E374D1"/>
    <w:rsid w:val="00E37F50"/>
    <w:rsid w:val="00E40942"/>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146C"/>
    <w:rsid w:val="00E72404"/>
    <w:rsid w:val="00E72FF6"/>
    <w:rsid w:val="00E73990"/>
    <w:rsid w:val="00E74A15"/>
    <w:rsid w:val="00E7567F"/>
    <w:rsid w:val="00E8184B"/>
    <w:rsid w:val="00E81F3E"/>
    <w:rsid w:val="00E85807"/>
    <w:rsid w:val="00E86211"/>
    <w:rsid w:val="00E86ACB"/>
    <w:rsid w:val="00E87B47"/>
    <w:rsid w:val="00E900E0"/>
    <w:rsid w:val="00E90628"/>
    <w:rsid w:val="00E9122B"/>
    <w:rsid w:val="00E93CFE"/>
    <w:rsid w:val="00E94580"/>
    <w:rsid w:val="00E953B9"/>
    <w:rsid w:val="00EA0D43"/>
    <w:rsid w:val="00EA0EBB"/>
    <w:rsid w:val="00EA1619"/>
    <w:rsid w:val="00EA49CE"/>
    <w:rsid w:val="00EA4CBA"/>
    <w:rsid w:val="00EA6CD3"/>
    <w:rsid w:val="00EA7EDF"/>
    <w:rsid w:val="00EB184B"/>
    <w:rsid w:val="00EB27FB"/>
    <w:rsid w:val="00EB47F3"/>
    <w:rsid w:val="00EB4F62"/>
    <w:rsid w:val="00EB7E5F"/>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1650"/>
    <w:rsid w:val="00EE279E"/>
    <w:rsid w:val="00EE44FE"/>
    <w:rsid w:val="00EE4A54"/>
    <w:rsid w:val="00EE4C51"/>
    <w:rsid w:val="00EE59DE"/>
    <w:rsid w:val="00EE5F2B"/>
    <w:rsid w:val="00EE61BD"/>
    <w:rsid w:val="00EE7BA0"/>
    <w:rsid w:val="00EE7F7D"/>
    <w:rsid w:val="00EF2696"/>
    <w:rsid w:val="00EF55B6"/>
    <w:rsid w:val="00EF6678"/>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61F"/>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1A04"/>
    <w:rsid w:val="00F42208"/>
    <w:rsid w:val="00F449A8"/>
    <w:rsid w:val="00F44B3E"/>
    <w:rsid w:val="00F509C9"/>
    <w:rsid w:val="00F51164"/>
    <w:rsid w:val="00F5297D"/>
    <w:rsid w:val="00F53042"/>
    <w:rsid w:val="00F53217"/>
    <w:rsid w:val="00F53508"/>
    <w:rsid w:val="00F53B91"/>
    <w:rsid w:val="00F542FA"/>
    <w:rsid w:val="00F544F1"/>
    <w:rsid w:val="00F5586F"/>
    <w:rsid w:val="00F61E24"/>
    <w:rsid w:val="00F64D33"/>
    <w:rsid w:val="00F652EB"/>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xxxmsonormal">
    <w:name w:val="x_x_xmsonormal"/>
    <w:basedOn w:val="Normal"/>
    <w:rsid w:val="00DA440E"/>
    <w:rPr>
      <w:rFonts w:ascii="Calibri" w:eastAsiaTheme="minorHAnsi" w:hAnsi="Calibri" w:cs="Calibri"/>
      <w:sz w:val="22"/>
      <w:szCs w:val="22"/>
      <w:lang w:val="lv-LV" w:eastAsia="lv-LV"/>
    </w:rPr>
  </w:style>
  <w:style w:type="paragraph" w:customStyle="1" w:styleId="tvhtml">
    <w:name w:val="tv_html"/>
    <w:basedOn w:val="Normal"/>
    <w:rsid w:val="00734792"/>
    <w:pPr>
      <w:spacing w:before="100" w:beforeAutospacing="1" w:after="100" w:afterAutospacing="1"/>
    </w:pPr>
    <w:rPr>
      <w:rFonts w:eastAsia="Times New Roman"/>
      <w:sz w:val="24"/>
      <w:szCs w:val="24"/>
      <w:lang w:val="lv-LV" w:eastAsia="lv-LV"/>
    </w:rPr>
  </w:style>
  <w:style w:type="table" w:styleId="TableGrid">
    <w:name w:val="Table Grid"/>
    <w:basedOn w:val="TableNormal"/>
    <w:uiPriority w:val="59"/>
    <w:rsid w:val="00A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97846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48993201">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1920481">
      <w:bodyDiv w:val="1"/>
      <w:marLeft w:val="0"/>
      <w:marRight w:val="0"/>
      <w:marTop w:val="0"/>
      <w:marBottom w:val="0"/>
      <w:divBdr>
        <w:top w:val="none" w:sz="0" w:space="0" w:color="auto"/>
        <w:left w:val="none" w:sz="0" w:space="0" w:color="auto"/>
        <w:bottom w:val="none" w:sz="0" w:space="0" w:color="auto"/>
        <w:right w:val="none" w:sz="0" w:space="0" w:color="auto"/>
      </w:divBdr>
      <w:divsChild>
        <w:div w:id="793332810">
          <w:marLeft w:val="0"/>
          <w:marRight w:val="30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39007661">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01340218">
      <w:bodyDiv w:val="1"/>
      <w:marLeft w:val="0"/>
      <w:marRight w:val="0"/>
      <w:marTop w:val="0"/>
      <w:marBottom w:val="0"/>
      <w:divBdr>
        <w:top w:val="none" w:sz="0" w:space="0" w:color="auto"/>
        <w:left w:val="none" w:sz="0" w:space="0" w:color="auto"/>
        <w:bottom w:val="none" w:sz="0" w:space="0" w:color="auto"/>
        <w:right w:val="none" w:sz="0" w:space="0" w:color="auto"/>
      </w:divBdr>
      <w:divsChild>
        <w:div w:id="1960145577">
          <w:marLeft w:val="0"/>
          <w:marRight w:val="0"/>
          <w:marTop w:val="0"/>
          <w:marBottom w:val="0"/>
          <w:divBdr>
            <w:top w:val="none" w:sz="0" w:space="0" w:color="auto"/>
            <w:left w:val="none" w:sz="0" w:space="0" w:color="auto"/>
            <w:bottom w:val="none" w:sz="0" w:space="0" w:color="auto"/>
            <w:right w:val="none" w:sz="0" w:space="0" w:color="auto"/>
          </w:divBdr>
          <w:divsChild>
            <w:div w:id="650059277">
              <w:marLeft w:val="0"/>
              <w:marRight w:val="0"/>
              <w:marTop w:val="0"/>
              <w:marBottom w:val="0"/>
              <w:divBdr>
                <w:top w:val="none" w:sz="0" w:space="0" w:color="auto"/>
                <w:left w:val="none" w:sz="0" w:space="0" w:color="auto"/>
                <w:bottom w:val="none" w:sz="0" w:space="0" w:color="auto"/>
                <w:right w:val="none" w:sz="0" w:space="0" w:color="auto"/>
              </w:divBdr>
              <w:divsChild>
                <w:div w:id="755327748">
                  <w:marLeft w:val="0"/>
                  <w:marRight w:val="0"/>
                  <w:marTop w:val="0"/>
                  <w:marBottom w:val="0"/>
                  <w:divBdr>
                    <w:top w:val="none" w:sz="0" w:space="0" w:color="auto"/>
                    <w:left w:val="none" w:sz="0" w:space="0" w:color="auto"/>
                    <w:bottom w:val="none" w:sz="0" w:space="0" w:color="auto"/>
                    <w:right w:val="none" w:sz="0" w:space="0" w:color="auto"/>
                  </w:divBdr>
                  <w:divsChild>
                    <w:div w:id="1041857012">
                      <w:marLeft w:val="0"/>
                      <w:marRight w:val="0"/>
                      <w:marTop w:val="0"/>
                      <w:marBottom w:val="0"/>
                      <w:divBdr>
                        <w:top w:val="none" w:sz="0" w:space="0" w:color="auto"/>
                        <w:left w:val="none" w:sz="0" w:space="0" w:color="auto"/>
                        <w:bottom w:val="none" w:sz="0" w:space="0" w:color="auto"/>
                        <w:right w:val="none" w:sz="0" w:space="0" w:color="auto"/>
                      </w:divBdr>
                      <w:divsChild>
                        <w:div w:id="325741961">
                          <w:marLeft w:val="0"/>
                          <w:marRight w:val="0"/>
                          <w:marTop w:val="0"/>
                          <w:marBottom w:val="0"/>
                          <w:divBdr>
                            <w:top w:val="none" w:sz="0" w:space="0" w:color="auto"/>
                            <w:left w:val="none" w:sz="0" w:space="0" w:color="auto"/>
                            <w:bottom w:val="none" w:sz="0" w:space="0" w:color="auto"/>
                            <w:right w:val="none" w:sz="0" w:space="0" w:color="auto"/>
                          </w:divBdr>
                          <w:divsChild>
                            <w:div w:id="118838378">
                              <w:marLeft w:val="0"/>
                              <w:marRight w:val="0"/>
                              <w:marTop w:val="0"/>
                              <w:marBottom w:val="0"/>
                              <w:divBdr>
                                <w:top w:val="none" w:sz="0" w:space="0" w:color="auto"/>
                                <w:left w:val="none" w:sz="0" w:space="0" w:color="auto"/>
                                <w:bottom w:val="none" w:sz="0" w:space="0" w:color="auto"/>
                                <w:right w:val="none" w:sz="0" w:space="0" w:color="auto"/>
                              </w:divBdr>
                              <w:divsChild>
                                <w:div w:id="57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21153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yperlink" Target="http://eur-lex.europa.eu/eli/reg_del/2014/480/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303/oj/?locale=LV" TargetMode="External"/><Relationship Id="rId17" Type="http://schemas.openxmlformats.org/officeDocument/2006/relationships/hyperlink" Target="https://www.mk.gov.lv/lv/content/sabiedribas-lidzdaliba" TargetMode="External"/><Relationship Id="rId2" Type="http://schemas.openxmlformats.org/officeDocument/2006/relationships/numbering" Target="numbering.xml"/><Relationship Id="rId16" Type="http://schemas.openxmlformats.org/officeDocument/2006/relationships/hyperlink" Target="https://em.gov.lv/lv/Ministrija/sabiedribas_lidzdaliba/diskusiju_dokumen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4/480/oj/?locale=LV" TargetMode="External"/><Relationship Id="rId5" Type="http://schemas.openxmlformats.org/officeDocument/2006/relationships/webSettings" Target="webSettings.xml"/><Relationship Id="rId15" Type="http://schemas.openxmlformats.org/officeDocument/2006/relationships/hyperlink" Target="http://eur-lex.europa.eu/eli/reg_del/2014/480/oj/?locale=LV" TargetMode="External"/><Relationship Id="rId10" Type="http://schemas.openxmlformats.org/officeDocument/2006/relationships/hyperlink" Target="http://eur-lex.europa.eu/eli/reg/2013/1303/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_del/2014/480/oj/?locale=LV" TargetMode="External"/><Relationship Id="rId14" Type="http://schemas.openxmlformats.org/officeDocument/2006/relationships/hyperlink" Target="http://eur-lex.europa.eu/eli/reg/2013/1303/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7A2C-58E1-4606-9FE6-BE42B5EE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12964</Words>
  <Characters>7390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9</cp:revision>
  <cp:lastPrinted>2020-05-15T10:54:00Z</cp:lastPrinted>
  <dcterms:created xsi:type="dcterms:W3CDTF">2020-12-11T10:07:00Z</dcterms:created>
  <dcterms:modified xsi:type="dcterms:W3CDTF">2020-12-15T16:45:00Z</dcterms:modified>
</cp:coreProperties>
</file>