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B9593" w14:textId="77777777" w:rsidR="00C03AAD" w:rsidRPr="00FF3FBD" w:rsidRDefault="00C03AAD" w:rsidP="00C03AAD">
      <w:pPr>
        <w:jc w:val="right"/>
        <w:rPr>
          <w:rFonts w:ascii="Times New Roman" w:hAnsi="Times New Roman" w:cs="Times New Roman"/>
          <w:i/>
          <w:iCs/>
          <w:sz w:val="24"/>
          <w:szCs w:val="24"/>
        </w:rPr>
      </w:pPr>
      <w:bookmarkStart w:id="0" w:name="_GoBack"/>
      <w:bookmarkEnd w:id="0"/>
      <w:r>
        <w:rPr>
          <w:rFonts w:ascii="Times New Roman" w:hAnsi="Times New Roman" w:cs="Times New Roman"/>
          <w:i/>
          <w:iCs/>
          <w:sz w:val="24"/>
          <w:szCs w:val="24"/>
        </w:rPr>
        <w:t>Projekts</w:t>
      </w:r>
    </w:p>
    <w:p w14:paraId="5AD5EA6A" w14:textId="77777777" w:rsidR="00C03AAD" w:rsidRDefault="00C03AAD" w:rsidP="00C03AAD">
      <w:pPr>
        <w:jc w:val="center"/>
        <w:rPr>
          <w:rFonts w:ascii="Times New Roman" w:hAnsi="Times New Roman" w:cs="Times New Roman"/>
          <w:b/>
          <w:bCs/>
          <w:sz w:val="24"/>
          <w:szCs w:val="24"/>
        </w:rPr>
      </w:pPr>
      <w:r>
        <w:rPr>
          <w:rFonts w:ascii="Times New Roman" w:hAnsi="Times New Roman" w:cs="Times New Roman"/>
          <w:b/>
          <w:bCs/>
          <w:sz w:val="24"/>
          <w:szCs w:val="24"/>
        </w:rPr>
        <w:t>Informatīvais</w:t>
      </w:r>
      <w:r w:rsidRPr="0A220E77">
        <w:rPr>
          <w:rFonts w:ascii="Times New Roman" w:hAnsi="Times New Roman" w:cs="Times New Roman"/>
          <w:b/>
          <w:bCs/>
          <w:sz w:val="24"/>
          <w:szCs w:val="24"/>
        </w:rPr>
        <w:t xml:space="preserve"> ziņojums </w:t>
      </w:r>
    </w:p>
    <w:p w14:paraId="5B8EBF52" w14:textId="08B9A28C" w:rsidR="00C03AAD" w:rsidRDefault="00C03AAD" w:rsidP="00C03AAD">
      <w:pPr>
        <w:jc w:val="center"/>
        <w:rPr>
          <w:rFonts w:ascii="Times New Roman" w:hAnsi="Times New Roman" w:cs="Times New Roman"/>
          <w:b/>
          <w:bCs/>
          <w:sz w:val="24"/>
          <w:szCs w:val="24"/>
        </w:rPr>
      </w:pPr>
      <w:r w:rsidRPr="0A220E77">
        <w:rPr>
          <w:rFonts w:ascii="Times New Roman" w:hAnsi="Times New Roman" w:cs="Times New Roman"/>
          <w:b/>
          <w:bCs/>
          <w:sz w:val="24"/>
          <w:szCs w:val="24"/>
        </w:rPr>
        <w:t>“</w:t>
      </w:r>
      <w:bookmarkStart w:id="1" w:name="_Hlk64973564"/>
      <w:r>
        <w:rPr>
          <w:rFonts w:ascii="Times New Roman" w:hAnsi="Times New Roman" w:cs="Times New Roman"/>
          <w:b/>
          <w:bCs/>
          <w:sz w:val="24"/>
          <w:szCs w:val="24"/>
        </w:rPr>
        <w:t>Kompleksa atbalsta sistēma biometāna ražošanai un izmantošanai transportā</w:t>
      </w:r>
      <w:bookmarkEnd w:id="1"/>
      <w:r w:rsidRPr="0A220E77">
        <w:rPr>
          <w:rFonts w:ascii="Times New Roman" w:hAnsi="Times New Roman" w:cs="Times New Roman"/>
          <w:b/>
          <w:bCs/>
          <w:sz w:val="24"/>
          <w:szCs w:val="24"/>
        </w:rPr>
        <w:t>”</w:t>
      </w:r>
    </w:p>
    <w:p w14:paraId="0E4E8C53" w14:textId="77777777" w:rsidR="00C03AAD" w:rsidRPr="00ED2D06" w:rsidRDefault="00C03AAD" w:rsidP="00C03AAD">
      <w:pPr>
        <w:pStyle w:val="tvhtml"/>
        <w:shd w:val="clear" w:color="auto" w:fill="FFFFFF"/>
        <w:spacing w:line="293" w:lineRule="atLeast"/>
        <w:ind w:firstLine="300"/>
        <w:jc w:val="center"/>
        <w:rPr>
          <w:b/>
          <w:bCs/>
          <w:lang w:val="lv-LV"/>
        </w:rPr>
      </w:pPr>
      <w:r w:rsidRPr="00ED2D06">
        <w:rPr>
          <w:b/>
          <w:bCs/>
          <w:lang w:val="lv-LV"/>
        </w:rPr>
        <w:t xml:space="preserve">I. </w:t>
      </w:r>
      <w:r>
        <w:rPr>
          <w:b/>
          <w:bCs/>
          <w:lang w:val="lv-LV"/>
        </w:rPr>
        <w:t>Ievads</w:t>
      </w:r>
    </w:p>
    <w:p w14:paraId="766A1654" w14:textId="77777777" w:rsidR="00C03AAD" w:rsidRDefault="00C03AAD" w:rsidP="00C03AAD">
      <w:pPr>
        <w:pStyle w:val="tvhtml"/>
        <w:shd w:val="clear" w:color="auto" w:fill="FFFFFF" w:themeFill="background1"/>
        <w:spacing w:line="293" w:lineRule="atLeast"/>
        <w:jc w:val="both"/>
        <w:rPr>
          <w:lang w:val="lv-LV"/>
        </w:rPr>
      </w:pPr>
      <w:r>
        <w:rPr>
          <w:lang w:val="lv-LV"/>
        </w:rPr>
        <w:t xml:space="preserve">Informatīvā ziņojuma mērķis ir izvērtēt iespējamo rīcību un atbalsta mehānismus, lai veicinātu biogāzes koģenerācijas staciju pāreju uz biometāna ražošanu transporta vajadzībām, lai veicinātu Nacionālā enerģētikas un klimata plāna 2021. - 2030.gadam (turpmāk – NEKP) mērķu sasniegšanu. Sākotnēji Ekonomikas ministrija izstrādāja konceptuālo ziņojumu, lai salīdzinātu dažādus iespējamos atbalsta mehānismus, bet, izvērtējot sabiedriskajā apspriešanā saņemtās atbildes, šobrīd tiek piedāvāts viens komplekss risinājums, kas ietver vairākus savstarpēji saistītus atbalsta mehānismus. </w:t>
      </w:r>
    </w:p>
    <w:p w14:paraId="5EE78DF9" w14:textId="77777777" w:rsidR="00C03AAD" w:rsidRDefault="00C03AAD" w:rsidP="00C03AAD">
      <w:pPr>
        <w:pStyle w:val="tvhtml"/>
        <w:shd w:val="clear" w:color="auto" w:fill="FFFFFF" w:themeFill="background1"/>
        <w:spacing w:line="293" w:lineRule="atLeast"/>
        <w:jc w:val="both"/>
        <w:rPr>
          <w:lang w:val="lv-LV"/>
        </w:rPr>
      </w:pPr>
      <w:r w:rsidRPr="4BDC72F9">
        <w:rPr>
          <w:lang w:val="lv-LV"/>
        </w:rPr>
        <w:t>Eiropas Savienības klimata un enerģētikas politika – saistošie mērķi 2030, kā arī tālākā virzība uz klimatneitralitāti, prasa dalībvalstīm noteikt savus mērķus un rīcīb</w:t>
      </w:r>
      <w:r>
        <w:rPr>
          <w:lang w:val="lv-LV"/>
        </w:rPr>
        <w:t>u</w:t>
      </w:r>
      <w:r w:rsidRPr="4BDC72F9">
        <w:rPr>
          <w:lang w:val="lv-LV"/>
        </w:rPr>
        <w:t>. Latvijas vidēja termiņa mērķi noteikti NEKP un šie mērķi ietver gan siltumnīcefekta gāzu emisiju samazinājumu, gan saistošus mērķus atjaunojamo energoresursu (</w:t>
      </w:r>
      <w:r>
        <w:rPr>
          <w:lang w:val="lv-LV"/>
        </w:rPr>
        <w:t xml:space="preserve">turpmāk - </w:t>
      </w:r>
      <w:r w:rsidRPr="4BDC72F9">
        <w:rPr>
          <w:lang w:val="lv-LV"/>
        </w:rPr>
        <w:t xml:space="preserve">AER) izmantošanā kopējā gala patēriņā, gan specifiskus mērķus AER gala patēriņā transporta sektorā. NEKP analītiskajā daļā izstrādāts mērķa scenārijs, kā visus ES un Latvijas noteiktos mērķus sasniegt ar optimālām izmaksām. Šajā scenārijā būtiska loma ir biometāna izmantošanai transporta sektorā. Biometānu iegūst attīrot biogāzi līdz dabasgāzes kvalitātei. Transporta sektorā ir iespējami arī citi risinājumi mērķu sasniegšanai, kā elektromobilitāte, tīrais ūdeņradis vai otrās paaudzes šķidrās biodegvielas. Mērķu sasniegšana nevar balstīties tikai uz vienu tehnoloģiju. Tomēr vidējā termiņā un jo īpaši </w:t>
      </w:r>
      <w:r>
        <w:rPr>
          <w:lang w:val="lv-LV"/>
        </w:rPr>
        <w:t>kravas transportlīdzekļu,</w:t>
      </w:r>
      <w:r w:rsidRPr="4BDC72F9">
        <w:rPr>
          <w:lang w:val="lv-LV"/>
        </w:rPr>
        <w:t xml:space="preserve"> </w:t>
      </w:r>
      <w:r>
        <w:rPr>
          <w:lang w:val="lv-LV"/>
        </w:rPr>
        <w:t xml:space="preserve">pasažieru </w:t>
      </w:r>
      <w:r w:rsidRPr="4BDC72F9">
        <w:rPr>
          <w:lang w:val="lv-LV"/>
        </w:rPr>
        <w:t>autobusu</w:t>
      </w:r>
      <w:r>
        <w:rPr>
          <w:lang w:val="lv-LV"/>
        </w:rPr>
        <w:t>, komunālo un operatīvo transportlīdzekļu, kā arī lauksaimniecības tehnikas</w:t>
      </w:r>
      <w:r w:rsidRPr="4BDC72F9">
        <w:rPr>
          <w:lang w:val="lv-LV"/>
        </w:rPr>
        <w:t xml:space="preserve"> segment</w:t>
      </w:r>
      <w:r>
        <w:rPr>
          <w:lang w:val="lv-LV"/>
        </w:rPr>
        <w:t>os</w:t>
      </w:r>
      <w:r w:rsidRPr="4BDC72F9">
        <w:rPr>
          <w:lang w:val="lv-LV"/>
        </w:rPr>
        <w:t xml:space="preserve">  biometānam saskaņā ar NEKP mērķa scenāriju paredzēta būtiska loma 2030 mērķu sasniegšanā. Kopumā NEKP 4. pielikuma H5</w:t>
      </w:r>
      <w:r>
        <w:rPr>
          <w:lang w:val="lv-LV"/>
        </w:rPr>
        <w:t>.</w:t>
      </w:r>
      <w:r w:rsidRPr="4BDC72F9">
        <w:rPr>
          <w:lang w:val="lv-LV"/>
        </w:rPr>
        <w:t xml:space="preserve">punkts paredz biogāzes un biometāna ražošanas un infrastruktūras atbalstam 130 mij. EUR. </w:t>
      </w:r>
    </w:p>
    <w:p w14:paraId="743E743A" w14:textId="77777777" w:rsidR="00C03AAD" w:rsidRDefault="00C03AAD" w:rsidP="00C03AAD">
      <w:pPr>
        <w:pStyle w:val="tvhtml"/>
        <w:shd w:val="clear" w:color="auto" w:fill="FFFFFF" w:themeFill="background1"/>
        <w:spacing w:line="293" w:lineRule="atLeast"/>
        <w:ind w:firstLine="300"/>
        <w:jc w:val="both"/>
        <w:rPr>
          <w:lang w:val="lv-LV"/>
        </w:rPr>
      </w:pPr>
      <w:r w:rsidRPr="6F18BF8B">
        <w:rPr>
          <w:lang w:val="lv-LV"/>
        </w:rPr>
        <w:t xml:space="preserve">Biometāna izmantošana transportā ir saistīta ar dabasgāzes uzpildes infrastruktūras attīstību (dabasgāze un biometāns ir savstarpēji aizvietojami produkti, tomēr biometāna pašizmaksa ir un arī pārskatāmā nākotnē būs </w:t>
      </w:r>
      <w:r>
        <w:rPr>
          <w:lang w:val="lv-LV"/>
        </w:rPr>
        <w:t xml:space="preserve">ievērojami </w:t>
      </w:r>
      <w:r w:rsidRPr="6F18BF8B">
        <w:rPr>
          <w:lang w:val="lv-LV"/>
        </w:rPr>
        <w:t xml:space="preserve">augstāka kā dabasgāzei), kā arī ar </w:t>
      </w:r>
      <w:r>
        <w:rPr>
          <w:lang w:val="lv-LV"/>
        </w:rPr>
        <w:t>saspiestu gāzi darbināmu</w:t>
      </w:r>
      <w:r w:rsidRPr="6F18BF8B">
        <w:rPr>
          <w:lang w:val="lv-LV"/>
        </w:rPr>
        <w:t xml:space="preserve"> transportlīdzekļu skaita pieaugumu. Šie ir savstarpēji saistīti jautājumi, ja ir maz attiecīgo transportlīdzekļu uzņēmējiem</w:t>
      </w:r>
      <w:r>
        <w:rPr>
          <w:lang w:val="lv-LV"/>
        </w:rPr>
        <w:t>,</w:t>
      </w:r>
      <w:r w:rsidRPr="6F18BF8B">
        <w:rPr>
          <w:lang w:val="lv-LV"/>
        </w:rPr>
        <w:t xml:space="preserve"> nav izdevīgi investēt infrastruktūrā, savukārt infrastruktūras trūkums kavē izvēli par labu šiem transportlīdzekļiem. Tirgus nepilnības iespējams koriģēt ar atbalsta pasākumiem. Papildus problēma, ka, lai politika būtu sekmīga, ar atbalsta pasākumiem ir jāpanāk laika ziņā sabalansēts pieaugums gan biometāna ražošanā, gan tā patēriņā. </w:t>
      </w:r>
    </w:p>
    <w:p w14:paraId="1AFDCF0E" w14:textId="77777777" w:rsidR="00C03AAD" w:rsidRDefault="00C03AAD" w:rsidP="00C03AAD">
      <w:pPr>
        <w:pStyle w:val="tvhtml"/>
        <w:shd w:val="clear" w:color="auto" w:fill="FFFFFF" w:themeFill="background1"/>
        <w:spacing w:line="293" w:lineRule="atLeast"/>
        <w:ind w:firstLine="300"/>
        <w:jc w:val="both"/>
        <w:rPr>
          <w:lang w:val="lv-LV"/>
        </w:rPr>
      </w:pPr>
      <w:r w:rsidRPr="6F18BF8B">
        <w:rPr>
          <w:lang w:val="lv-LV"/>
        </w:rPr>
        <w:t xml:space="preserve">Saražoto biometānu iespējams ievadīt dabasgāzes pārvades </w:t>
      </w:r>
      <w:r>
        <w:rPr>
          <w:lang w:val="lv-LV"/>
        </w:rPr>
        <w:t xml:space="preserve">vai sadales </w:t>
      </w:r>
      <w:r w:rsidRPr="6F18BF8B">
        <w:rPr>
          <w:lang w:val="lv-LV"/>
        </w:rPr>
        <w:t xml:space="preserve">tīklos, tā ievadīto un arī patērēto daudzumu iezīmējot un kontrolējot ar izcelsmes </w:t>
      </w:r>
      <w:r>
        <w:rPr>
          <w:lang w:val="lv-LV"/>
        </w:rPr>
        <w:t>apliecinājumu</w:t>
      </w:r>
      <w:r w:rsidRPr="6F18BF8B">
        <w:rPr>
          <w:lang w:val="lv-LV"/>
        </w:rPr>
        <w:t xml:space="preserve"> palīdzību. </w:t>
      </w:r>
      <w:r>
        <w:rPr>
          <w:lang w:val="lv-LV"/>
        </w:rPr>
        <w:t xml:space="preserve">Izcelsmes apliecinājumiem jāattiecas arī uz biometānu, ko neievada gāzes tīklos, bet tiešā veidā izmanto patēriņā. </w:t>
      </w:r>
      <w:r>
        <w:rPr>
          <w:iCs/>
          <w:lang w:val="lv-LV"/>
        </w:rPr>
        <w:t xml:space="preserve">Paredzēts, ka izcelsmes apliecinājumus izsniedz dabasgāzes pārvades sistēmas operators </w:t>
      </w:r>
      <w:r w:rsidRPr="00252DA3">
        <w:rPr>
          <w:iCs/>
          <w:lang w:val="lv-LV"/>
        </w:rPr>
        <w:t>AS „Conexus Baltic Grid”</w:t>
      </w:r>
      <w:r>
        <w:rPr>
          <w:iCs/>
          <w:lang w:val="lv-LV"/>
        </w:rPr>
        <w:t xml:space="preserve">. </w:t>
      </w:r>
      <w:r>
        <w:rPr>
          <w:lang w:val="lv-LV"/>
        </w:rPr>
        <w:t xml:space="preserve"> B</w:t>
      </w:r>
      <w:r w:rsidRPr="6F18BF8B">
        <w:rPr>
          <w:lang w:val="lv-LV"/>
        </w:rPr>
        <w:t xml:space="preserve">iometānam jāatbilst noteiktiem kvalitātes kritērijiem, tāpat arī šiem </w:t>
      </w:r>
      <w:r w:rsidRPr="6F18BF8B">
        <w:rPr>
          <w:lang w:val="lv-LV"/>
        </w:rPr>
        <w:lastRenderedPageBreak/>
        <w:t xml:space="preserve">kritērijiem jābūt harmonizētiem ar </w:t>
      </w:r>
      <w:r>
        <w:rPr>
          <w:lang w:val="lv-LV"/>
        </w:rPr>
        <w:t>ES standartiem,</w:t>
      </w:r>
      <w:r w:rsidRPr="6F18BF8B">
        <w:rPr>
          <w:lang w:val="lv-LV"/>
        </w:rPr>
        <w:t xml:space="preserve"> ņemot vērā savienotos dabasgāzes tīklus. </w:t>
      </w:r>
      <w:r>
        <w:rPr>
          <w:lang w:val="lv-LV"/>
        </w:rPr>
        <w:t>Nepieciešams</w:t>
      </w:r>
      <w:r w:rsidRPr="6F18BF8B">
        <w:rPr>
          <w:lang w:val="lv-LV"/>
        </w:rPr>
        <w:t xml:space="preserve"> nodrošināt pienācīgu atjaunojamās enerģijas uzskaiti, lai būtu iespējams veikt pārrobežu tirdzniecību. Latvijā saražoto biometānu var eksportēt uz citām valstīm (gan fiziski, gan izmantojot izcelsmes apliecinājumus), tomēr tādā gadījumā biometāns nodrošinās citu valstu, nevis Latvijas atjaunojamās enerģijas mērķu sasniegšanu. </w:t>
      </w:r>
      <w:r>
        <w:rPr>
          <w:lang w:val="lv-LV"/>
        </w:rPr>
        <w:t>I</w:t>
      </w:r>
      <w:r w:rsidRPr="6F18BF8B">
        <w:rPr>
          <w:lang w:val="lv-LV"/>
        </w:rPr>
        <w:t xml:space="preserve">zcelsmes apliecinājumu sistēma </w:t>
      </w:r>
      <w:r>
        <w:rPr>
          <w:lang w:val="lv-LV"/>
        </w:rPr>
        <w:t>jāattiecina arī uz</w:t>
      </w:r>
      <w:r w:rsidRPr="6F18BF8B">
        <w:rPr>
          <w:lang w:val="lv-LV"/>
        </w:rPr>
        <w:t xml:space="preserve"> ūdeņradi, ko iegūst no atjaunojamiem resursiem (ar atjaunojamiem energoresursiem iegūta elektroenerģija, vai arī biometāns). Ne visas esošās biogāzes stacijas atrodas pietiekoši tuvu dabasgāzes pārvades tīklam, lai saražoto biometānu būtu ekonomiski pamatoti ar cauruļvadiem nogādāt līdz dabasgāzes tīklam. Biometānu var patērēt uz vietas tieši ražošanas vietā, ja uz vietas ir iespējams nodrošināt pietiekošu patēriņu. Jāņem vērā, ka ražojot mazā apmērā, gala produkta vienas vienības izmaksas ir lielākas. Vēl pastāv biometāna (bet ne biogāzes) konteinerpārvadājumu iespēja, kas šobrīd salīdzinoši veiksmīgi tiek realizēta Igaunijā. </w:t>
      </w:r>
      <w:r>
        <w:rPr>
          <w:lang w:val="lv-LV"/>
        </w:rPr>
        <w:t>I</w:t>
      </w:r>
      <w:r w:rsidRPr="6F18BF8B">
        <w:rPr>
          <w:lang w:val="lv-LV"/>
        </w:rPr>
        <w:t xml:space="preserve">r iespējams saražoto biometānu saspiest gāzes konteineros vai balonos un ar kravas autotransportu nogādāt līdz biometāna </w:t>
      </w:r>
      <w:r>
        <w:rPr>
          <w:lang w:val="lv-LV"/>
        </w:rPr>
        <w:t>izmantošanas vietai</w:t>
      </w:r>
      <w:r w:rsidRPr="6F18BF8B">
        <w:rPr>
          <w:lang w:val="lv-LV"/>
        </w:rPr>
        <w:t xml:space="preserve">. Taču </w:t>
      </w:r>
      <w:r>
        <w:rPr>
          <w:lang w:val="lv-LV"/>
        </w:rPr>
        <w:t>izmaksas pārvadājumiem ir lielākas, kā ievadot biometānu gāzes tīklā</w:t>
      </w:r>
      <w:r w:rsidRPr="6F18BF8B">
        <w:rPr>
          <w:lang w:val="lv-LV"/>
        </w:rPr>
        <w:t>. Igaunijā biometāna atbalsta politika ir bijusi sekmīga</w:t>
      </w:r>
      <w:r>
        <w:rPr>
          <w:lang w:val="lv-LV"/>
        </w:rPr>
        <w:t xml:space="preserve">, </w:t>
      </w:r>
      <w:r w:rsidRPr="6F18BF8B">
        <w:rPr>
          <w:lang w:val="lv-LV"/>
        </w:rPr>
        <w:t xml:space="preserve">izmantojot ļoti augstu biometāna atbalsta subsīdiju apjomu, kas nebūtu optimāla politika Latvijas gadījumā. </w:t>
      </w:r>
    </w:p>
    <w:p w14:paraId="15FD1AD7" w14:textId="77777777" w:rsidR="00C03AAD" w:rsidRDefault="00C03AAD" w:rsidP="00C03AAD">
      <w:pPr>
        <w:pStyle w:val="tvhtml"/>
        <w:shd w:val="clear" w:color="auto" w:fill="FFFFFF"/>
        <w:spacing w:line="293" w:lineRule="atLeast"/>
        <w:ind w:firstLine="300"/>
        <w:jc w:val="both"/>
        <w:rPr>
          <w:iCs/>
          <w:lang w:val="lv-LV"/>
        </w:rPr>
      </w:pPr>
      <w:r w:rsidRPr="0046225D">
        <w:rPr>
          <w:b/>
          <w:bCs/>
          <w:iCs/>
          <w:lang w:val="lv-LV"/>
        </w:rPr>
        <w:t>Šajā informatīvajā  ziņojumā ir apskatīti biometāna atbalsta mehānismi un to iespējamās kombinācijas, kā arī nepieciešamās izmaiņas normatīvajā regulējumā, lai iespējami efektīvā veidā sasniegtu NEKP mērķus un virzītos uz nākotnē pastiprinātiem mērķiem klimata neitralitātes sasniegšanā.</w:t>
      </w:r>
      <w:r>
        <w:rPr>
          <w:iCs/>
          <w:lang w:val="lv-LV"/>
        </w:rPr>
        <w:t xml:space="preserve"> Būtiski ir, lai izvēlētā atbalsta sistēma neradītu pārliecīgu slogu patērētājiem, lai tā būtu taisnīga – par transporta mērķiem maksā transporta izmantotājs,  lai, cik iespējams, būtu līdzsvarota ražošanas un patēriņa attīstība, lai politika būtu ilgtspējīga, proti – uzņēmēji varētu rēķināties, ka nenotiks straujas politikas izmaiņas , lai varētu pārvarēt tirgus nepilnības un nākotnē darbotos uz tirgus principiem.</w:t>
      </w:r>
    </w:p>
    <w:p w14:paraId="29FB59E9" w14:textId="77777777" w:rsidR="00C03AAD" w:rsidRDefault="00C03AAD" w:rsidP="00C03AAD">
      <w:pPr>
        <w:pStyle w:val="tvhtml"/>
        <w:shd w:val="clear" w:color="auto" w:fill="FFFFFF" w:themeFill="background1"/>
        <w:spacing w:line="293" w:lineRule="atLeast"/>
        <w:ind w:firstLine="300"/>
        <w:jc w:val="both"/>
        <w:rPr>
          <w:lang w:val="lv-LV"/>
        </w:rPr>
      </w:pPr>
      <w:r w:rsidRPr="6F18BF8B">
        <w:rPr>
          <w:lang w:val="lv-LV"/>
        </w:rPr>
        <w:t>Transporta enerģijas likumprojekts</w:t>
      </w:r>
      <w:r>
        <w:rPr>
          <w:lang w:val="lv-LV"/>
        </w:rPr>
        <w:t xml:space="preserve">, kura izstrāde un virzība notiek paralēli šim ziņojumam, </w:t>
      </w:r>
      <w:r w:rsidRPr="6F18BF8B">
        <w:rPr>
          <w:lang w:val="lv-LV"/>
        </w:rPr>
        <w:t xml:space="preserve"> paredz pienākumu degvielas tirgotājiem nodrošināt AER īpatsvaru gala patēriņā (</w:t>
      </w:r>
      <w:r>
        <w:rPr>
          <w:lang w:val="lv-LV"/>
        </w:rPr>
        <w:t>turpmāk -</w:t>
      </w:r>
      <w:r w:rsidRPr="6F18BF8B">
        <w:rPr>
          <w:lang w:val="lv-LV"/>
        </w:rPr>
        <w:t xml:space="preserve">pienākuma shēma). Šādai pieejai vajadzētu nodrošināt izmaksu ziņā efektīvāko ceļu uz AER mērķa sasniegšanu. Tomēr situācija, kad tirgū nav piemērotu  transportlīdzekļu, </w:t>
      </w:r>
      <w:r>
        <w:rPr>
          <w:lang w:val="lv-LV"/>
        </w:rPr>
        <w:t xml:space="preserve">kas darbināmi ar saspiesto dabasgāzi (biometāns ķīmiskā ziņā ir ekvivalents saspiestai dabasgāzei), </w:t>
      </w:r>
      <w:r w:rsidRPr="6F18BF8B">
        <w:rPr>
          <w:lang w:val="lv-LV"/>
        </w:rPr>
        <w:t>rada šķēršļus. Tāpat arī sākotnēji pienākuma shēmas prasības pienākuma shēmā aptvertajam enerģijas gala patēriņam būs nelielas, kas dos nepietiekamu stimulu biometāna ražošanas attīstībai. Pienākumu shēmas prasības</w:t>
      </w:r>
      <w:r>
        <w:rPr>
          <w:lang w:val="lv-LV"/>
        </w:rPr>
        <w:t>,</w:t>
      </w:r>
      <w:r w:rsidRPr="6F18BF8B">
        <w:rPr>
          <w:lang w:val="lv-LV"/>
        </w:rPr>
        <w:t xml:space="preserve"> </w:t>
      </w:r>
      <w:r>
        <w:rPr>
          <w:lang w:val="lv-LV"/>
        </w:rPr>
        <w:t xml:space="preserve">atbilstoši NEKP mērķiem, </w:t>
      </w:r>
      <w:r w:rsidRPr="6F18BF8B">
        <w:rPr>
          <w:lang w:val="lv-LV"/>
        </w:rPr>
        <w:t>būtiski palielināsies 2030. gadā – tomēr bez atbalsta pasākumiem vairums biogāzes staciju jau tuvākajos gados var tikt slēgtas</w:t>
      </w:r>
      <w:r>
        <w:rPr>
          <w:lang w:val="lv-LV"/>
        </w:rPr>
        <w:t>. Ga</w:t>
      </w:r>
      <w:r w:rsidRPr="6F18BF8B">
        <w:rPr>
          <w:lang w:val="lv-LV"/>
        </w:rPr>
        <w:t>dījumā, ka šīs stacijas izmanto kūtsmēslus vai atkritumus</w:t>
      </w:r>
      <w:r>
        <w:rPr>
          <w:lang w:val="lv-LV"/>
        </w:rPr>
        <w:t xml:space="preserve"> un citus atlikumproduktus</w:t>
      </w:r>
      <w:r w:rsidRPr="6F18BF8B">
        <w:rPr>
          <w:lang w:val="lv-LV"/>
        </w:rPr>
        <w:t xml:space="preserve">, tas negatīvi ietekmēs Latvijas klimata mērķus, kā arī radīs problēmas Eiropas Savienības prasību ievērošanā </w:t>
      </w:r>
      <w:r>
        <w:rPr>
          <w:lang w:val="lv-LV"/>
        </w:rPr>
        <w:t>gaisa aizsardzības</w:t>
      </w:r>
      <w:r w:rsidRPr="6F18BF8B">
        <w:rPr>
          <w:lang w:val="lv-LV"/>
        </w:rPr>
        <w:t xml:space="preserve"> un atkritumu apsaimniekošanas jomās. Nosacījumus moderno biodegvielu un modernās biogāzes gala patēriņam var sasniegt arī ar šķidrajām otrās paaudzes biodegvielām. Šķidro otrās paaudzes biodegvielu gadījumā speciāli aprīkoti transportlīdzekļi nebūtu nepieciešami un varētu izmantot piejaukumus dīzeļdegvielai un benzīnam. Tomēr ņemot vērā, ka šīs modernās šķidrās biodegvielas tirgū šobrīd kopumā ir nelielā apmērā, šāda pieeja vien varētu sadārdzināt kopējā AER īpatsvara līmeņa sasniegšanu. Jāņem vērā, ka biometāns arī būtu ražots Latvijā, kamēr šķidrās biodegvielas </w:t>
      </w:r>
      <w:r w:rsidRPr="6F18BF8B">
        <w:rPr>
          <w:lang w:val="lv-LV"/>
        </w:rPr>
        <w:lastRenderedPageBreak/>
        <w:t xml:space="preserve">šobrīd Latvijā ražo tikai ļoti ierobežotā apmērā. Tāpēc nepieciešams </w:t>
      </w:r>
      <w:r>
        <w:rPr>
          <w:lang w:val="lv-LV"/>
        </w:rPr>
        <w:t>īstenot</w:t>
      </w:r>
      <w:r w:rsidRPr="6F18BF8B">
        <w:rPr>
          <w:lang w:val="lv-LV"/>
        </w:rPr>
        <w:t xml:space="preserve"> biometāna atbalsta pasākumus, lai pārvarētu tirgus barjeras. </w:t>
      </w:r>
    </w:p>
    <w:p w14:paraId="2AB51524" w14:textId="77777777" w:rsidR="00C03AAD" w:rsidRPr="0046225D" w:rsidRDefault="00C03AAD" w:rsidP="00C03AAD">
      <w:pPr>
        <w:pStyle w:val="tvhtml"/>
        <w:shd w:val="clear" w:color="auto" w:fill="FFFFFF"/>
        <w:spacing w:line="293" w:lineRule="atLeast"/>
        <w:ind w:firstLine="300"/>
        <w:jc w:val="both"/>
        <w:rPr>
          <w:b/>
          <w:bCs/>
          <w:iCs/>
          <w:lang w:val="lv-LV"/>
        </w:rPr>
      </w:pPr>
      <w:r w:rsidRPr="0046225D">
        <w:rPr>
          <w:b/>
          <w:bCs/>
          <w:lang w:val="lv-LV"/>
        </w:rPr>
        <w:t>Informatīvajā ziņojumā apskatīti un analizēti dažādi biometāna ražošanas un atbalsta pasākumi, ņemot vērā citu valstu pieredzi:</w:t>
      </w:r>
      <w:r w:rsidRPr="0046225D">
        <w:rPr>
          <w:b/>
          <w:bCs/>
          <w:iCs/>
          <w:lang w:val="lv-LV"/>
        </w:rPr>
        <w:t xml:space="preserve"> </w:t>
      </w:r>
    </w:p>
    <w:p w14:paraId="7FF8C337" w14:textId="77777777" w:rsidR="00C03AAD" w:rsidRDefault="00C03AAD" w:rsidP="00C03AAD">
      <w:pPr>
        <w:pStyle w:val="tvhtml"/>
        <w:shd w:val="clear" w:color="auto" w:fill="FFFFFF"/>
        <w:spacing w:line="293" w:lineRule="atLeast"/>
        <w:jc w:val="both"/>
        <w:rPr>
          <w:lang w:val="lv-LV"/>
        </w:rPr>
      </w:pPr>
      <w:r>
        <w:rPr>
          <w:lang w:val="lv-LV"/>
        </w:rPr>
        <w:t xml:space="preserve">1) </w:t>
      </w:r>
      <w:r w:rsidRPr="003A73C0">
        <w:rPr>
          <w:b/>
          <w:bCs/>
          <w:lang w:val="lv-LV"/>
        </w:rPr>
        <w:t>Investīciju atbalsts biometāna ražošanai</w:t>
      </w:r>
      <w:r>
        <w:rPr>
          <w:lang w:val="lv-LV"/>
        </w:rPr>
        <w:t xml:space="preserve"> (jeb biogāzes attīrīšanai), tai skaitā kompresoru iegādei biometāna ievadīšanai dabasgāzes sadales vai pārvades tīklos</w:t>
      </w:r>
      <w:r w:rsidRPr="00683319">
        <w:rPr>
          <w:lang w:val="lv-LV"/>
        </w:rPr>
        <w:t xml:space="preserve"> un transportēšanai</w:t>
      </w:r>
      <w:r>
        <w:rPr>
          <w:lang w:val="lv-LV"/>
        </w:rPr>
        <w:t>,</w:t>
      </w:r>
      <w:r w:rsidRPr="00683319">
        <w:rPr>
          <w:lang w:val="lv-LV"/>
        </w:rPr>
        <w:t xml:space="preserve"> </w:t>
      </w:r>
      <w:r>
        <w:rPr>
          <w:lang w:val="lv-LV"/>
        </w:rPr>
        <w:t>no nākamā perioda</w:t>
      </w:r>
      <w:r w:rsidRPr="00683319">
        <w:rPr>
          <w:lang w:val="lv-LV"/>
        </w:rPr>
        <w:t xml:space="preserve"> ES fondu programma</w:t>
      </w:r>
      <w:r>
        <w:rPr>
          <w:lang w:val="lv-LV"/>
        </w:rPr>
        <w:t xml:space="preserve">s. </w:t>
      </w:r>
      <w:r w:rsidRPr="00683319">
        <w:rPr>
          <w:lang w:val="lv-LV"/>
        </w:rPr>
        <w:t xml:space="preserve"> </w:t>
      </w:r>
      <w:r>
        <w:rPr>
          <w:lang w:val="lv-LV"/>
        </w:rPr>
        <w:t xml:space="preserve">Šobrīd šādam investīciju atbalstam ir iezīmēti </w:t>
      </w:r>
      <w:r w:rsidRPr="000755C7">
        <w:rPr>
          <w:lang w:val="lv-LV"/>
        </w:rPr>
        <w:t xml:space="preserve">21,75 </w:t>
      </w:r>
      <w:r>
        <w:rPr>
          <w:lang w:val="lv-LV"/>
        </w:rPr>
        <w:t xml:space="preserve">MEUR.  </w:t>
      </w:r>
      <w:r w:rsidRPr="00CE1C52">
        <w:rPr>
          <w:lang w:val="lv-LV"/>
        </w:rPr>
        <w:t>N</w:t>
      </w:r>
      <w:r>
        <w:rPr>
          <w:lang w:val="lv-LV"/>
        </w:rPr>
        <w:t xml:space="preserve">ākotnē papildus iespējams piesaistīt vēl citus investīciju avotus. </w:t>
      </w:r>
    </w:p>
    <w:p w14:paraId="05661D94" w14:textId="77777777" w:rsidR="00C03AAD" w:rsidRDefault="00C03AAD" w:rsidP="00C03AAD">
      <w:pPr>
        <w:pStyle w:val="tvhtml"/>
        <w:shd w:val="clear" w:color="auto" w:fill="FFFFFF"/>
        <w:spacing w:line="293" w:lineRule="atLeast"/>
        <w:jc w:val="both"/>
        <w:rPr>
          <w:lang w:val="lv-LV"/>
        </w:rPr>
      </w:pPr>
      <w:r>
        <w:rPr>
          <w:lang w:val="lv-LV"/>
        </w:rPr>
        <w:t xml:space="preserve">2) </w:t>
      </w:r>
      <w:r w:rsidRPr="003A73C0">
        <w:rPr>
          <w:b/>
          <w:bCs/>
          <w:lang w:val="lv-LV"/>
        </w:rPr>
        <w:t>Subsīdija biometānam kā piemaksa virs dabasgāzes cenas</w:t>
      </w:r>
      <w:r w:rsidRPr="00FD54C5">
        <w:rPr>
          <w:lang w:val="lv-LV"/>
        </w:rPr>
        <w:t xml:space="preserve">. Šī subsīdija varētu būt laikā </w:t>
      </w:r>
      <w:r w:rsidRPr="005241D4">
        <w:rPr>
          <w:lang w:val="lv-LV"/>
        </w:rPr>
        <w:t>terminēta vai ar laiku samazināties.</w:t>
      </w:r>
      <w:r w:rsidRPr="00343CBD">
        <w:rPr>
          <w:lang w:val="lv-LV"/>
        </w:rPr>
        <w:t xml:space="preserve"> Iespējams, ka subsidē tikai tādu biometāna apjomu, ko reāli patērē transporta sektorā. </w:t>
      </w:r>
      <w:r w:rsidRPr="006A586A">
        <w:rPr>
          <w:lang w:val="lv-LV"/>
        </w:rPr>
        <w:t xml:space="preserve">Ņemot vērā līdzšinējo negatīvo pieredzi ar subsīdijām elektroenerģijai (OIK), </w:t>
      </w:r>
      <w:r w:rsidRPr="003B6C81">
        <w:rPr>
          <w:lang w:val="lv-LV"/>
        </w:rPr>
        <w:t xml:space="preserve">subsīdijas biometāna ražošanai </w:t>
      </w:r>
      <w:r w:rsidRPr="000C57F9">
        <w:rPr>
          <w:lang w:val="lv-LV"/>
        </w:rPr>
        <w:t xml:space="preserve">šajā ziņojumā netiek piedāvātas. </w:t>
      </w:r>
    </w:p>
    <w:p w14:paraId="39896F56" w14:textId="77777777" w:rsidR="00C03AAD" w:rsidRDefault="00C03AAD" w:rsidP="00C03AAD">
      <w:pPr>
        <w:pStyle w:val="tvhtml"/>
        <w:shd w:val="clear" w:color="auto" w:fill="FFFFFF"/>
        <w:spacing w:line="293" w:lineRule="atLeast"/>
        <w:jc w:val="both"/>
        <w:rPr>
          <w:lang w:val="lv-LV"/>
        </w:rPr>
      </w:pPr>
      <w:r>
        <w:rPr>
          <w:lang w:val="lv-LV"/>
        </w:rPr>
        <w:t xml:space="preserve">3) </w:t>
      </w:r>
      <w:r w:rsidRPr="003A73C0">
        <w:rPr>
          <w:b/>
          <w:bCs/>
          <w:lang w:val="lv-LV"/>
        </w:rPr>
        <w:t>Biometāna obligātais pienākums dabasgāzes piegādātājiem.</w:t>
      </w:r>
      <w:r w:rsidRPr="00FD54C5">
        <w:rPr>
          <w:lang w:val="lv-LV"/>
        </w:rPr>
        <w:t xml:space="preserve"> Pašreizējā visa biogāzes</w:t>
      </w:r>
      <w:r w:rsidRPr="00AE2D6B">
        <w:rPr>
          <w:lang w:val="lv-LV"/>
        </w:rPr>
        <w:t xml:space="preserve"> jauda (50 MW) spētu aizstāt </w:t>
      </w:r>
      <w:r>
        <w:rPr>
          <w:lang w:val="lv-LV"/>
        </w:rPr>
        <w:t xml:space="preserve">līdz </w:t>
      </w:r>
      <w:r w:rsidRPr="00AE2D6B">
        <w:rPr>
          <w:lang w:val="lv-LV"/>
        </w:rPr>
        <w:t>6% dabasgāzes patēriņa</w:t>
      </w:r>
      <w:r>
        <w:rPr>
          <w:lang w:val="lv-LV"/>
        </w:rPr>
        <w:t>.</w:t>
      </w:r>
      <w:r w:rsidRPr="005241D4">
        <w:rPr>
          <w:lang w:val="lv-LV"/>
        </w:rPr>
        <w:t xml:space="preserve"> Piejaukuma minimālo apmēru no</w:t>
      </w:r>
      <w:r>
        <w:rPr>
          <w:lang w:val="lv-LV"/>
        </w:rPr>
        <w:t>teiktu</w:t>
      </w:r>
      <w:r w:rsidRPr="005241D4">
        <w:rPr>
          <w:lang w:val="lv-LV"/>
        </w:rPr>
        <w:t xml:space="preserve"> Ministru kabinets atbilstoši NEKP mērķu sasniegšanas trajektorijai, biometāna pieejamībai tirgū un tā patēriņam transporta sektorā. Pārvades sistēmas operators</w:t>
      </w:r>
      <w:r w:rsidRPr="00343CBD">
        <w:rPr>
          <w:lang w:val="lv-LV"/>
        </w:rPr>
        <w:t>, vai cits komersants nodrošina biog</w:t>
      </w:r>
      <w:r w:rsidRPr="006A586A">
        <w:rPr>
          <w:lang w:val="lv-LV"/>
        </w:rPr>
        <w:t xml:space="preserve">āzes attīrīšanu </w:t>
      </w:r>
      <w:r w:rsidRPr="00FD54C5">
        <w:rPr>
          <w:lang w:val="lv-LV"/>
        </w:rPr>
        <w:t xml:space="preserve">un saražotais biometāns ir pieejams dabasgāzes piegādātājiem. Vienlaikus dabasgāzes piegādātājiem nav ierobežojumu pašiem nodrošināt atbilstošas kvalitātes biometānu. </w:t>
      </w:r>
      <w:r w:rsidRPr="00343CBD">
        <w:rPr>
          <w:lang w:val="lv-LV"/>
        </w:rPr>
        <w:t xml:space="preserve">Ņemot vērā, ka no politikas </w:t>
      </w:r>
      <w:r w:rsidRPr="006A586A">
        <w:rPr>
          <w:lang w:val="lv-LV"/>
        </w:rPr>
        <w:t xml:space="preserve">veidošanas viedokļa tomēr nebūtu pareizi, ka visi patērētāji apmaksā transporta mērķu sasniegšanu, </w:t>
      </w:r>
      <w:r w:rsidRPr="003B6C81">
        <w:rPr>
          <w:lang w:val="lv-LV"/>
        </w:rPr>
        <w:t>sarežģīto administrēšanu, kā arī ievēro</w:t>
      </w:r>
      <w:r w:rsidRPr="009916FB">
        <w:rPr>
          <w:lang w:val="lv-LV"/>
        </w:rPr>
        <w:t>jot negatīvo OIK pieredzi, šā</w:t>
      </w:r>
      <w:r w:rsidRPr="009409A5">
        <w:rPr>
          <w:lang w:val="lv-LV"/>
        </w:rPr>
        <w:t>ds risinājums ne</w:t>
      </w:r>
      <w:r w:rsidRPr="006A30B5">
        <w:rPr>
          <w:lang w:val="lv-LV"/>
        </w:rPr>
        <w:t xml:space="preserve">tiek piedāvāts </w:t>
      </w:r>
      <w:r>
        <w:rPr>
          <w:lang w:val="lv-LV"/>
        </w:rPr>
        <w:t>šajā ziņojumā</w:t>
      </w:r>
      <w:r w:rsidRPr="006A30B5">
        <w:rPr>
          <w:lang w:val="lv-LV"/>
        </w:rPr>
        <w:t xml:space="preserve">. </w:t>
      </w:r>
    </w:p>
    <w:p w14:paraId="68811566" w14:textId="77777777" w:rsidR="00C03AAD" w:rsidRDefault="00C03AAD" w:rsidP="00C03AAD">
      <w:pPr>
        <w:pStyle w:val="tvhtml"/>
        <w:shd w:val="clear" w:color="auto" w:fill="FFFFFF"/>
        <w:spacing w:line="293" w:lineRule="atLeast"/>
        <w:jc w:val="both"/>
        <w:rPr>
          <w:lang w:val="lv-LV"/>
        </w:rPr>
      </w:pPr>
      <w:r>
        <w:rPr>
          <w:lang w:val="lv-LV"/>
        </w:rPr>
        <w:t xml:space="preserve">4) </w:t>
      </w:r>
      <w:r w:rsidRPr="003A73C0">
        <w:rPr>
          <w:b/>
          <w:bCs/>
          <w:lang w:val="lv-LV"/>
        </w:rPr>
        <w:t>Moderno biodegvielu un biometāna pienākumu shēma degvielas tirgotājiem.</w:t>
      </w:r>
      <w:r w:rsidRPr="00C343F9">
        <w:rPr>
          <w:lang w:val="lv-LV"/>
        </w:rPr>
        <w:t xml:space="preserve"> Transporta enerģijas likumprojekts (</w:t>
      </w:r>
      <w:r>
        <w:rPr>
          <w:lang w:val="lv-LV"/>
        </w:rPr>
        <w:t>turpmāk -</w:t>
      </w:r>
      <w:r w:rsidRPr="00C343F9">
        <w:rPr>
          <w:lang w:val="lv-LV"/>
        </w:rPr>
        <w:t>TEL) nosaka modernās biodegvielas (biometāna un modernās šķidrās biodegvielas mērķus) atbilstoši NEKP mērķiem. Vienlaikus TEL pašreizējās redakcijas pārejas noteikumi paredz, ka: Ministru kabinets laika posmā no 2023. gada 1. janvāra līdz 2023. gada 1. maijam atkārtoti izvērtē likumā noteiktos līdzdalības mehānisma ietvaros degvielas piegādātājiem noteiktos pienākumus un, ja nepieciešams tos mainīt, līdz 2023. gada 31. augustam iesniedz likumdevēja noteiktajā kārtībā attiecīgus grozījumus. Ņemot vērā minētos termiņus, jauni augstāki moderno biodegvielu un biometāna mērķi varētu stāties spēkā ne ātrāk par 2025. gadu. Pašreizējie NEKP un TEL likumprojekta mērķi nenodrošina pietiekamu pieprasījumu modernajai biodegvielai. Tomēr, ņemot vērā tiesisko paļāvību, jauni pienākumi degvielas tirgotājiem, tāpat arī atteikšanās no biodegvielas obligātā piejaukuma, to aizstājot ar paaugstinātu pienākumu shēmu</w:t>
      </w:r>
      <w:r>
        <w:rPr>
          <w:lang w:val="lv-LV"/>
        </w:rPr>
        <w:t>,</w:t>
      </w:r>
      <w:r w:rsidRPr="00C343F9">
        <w:rPr>
          <w:lang w:val="lv-LV"/>
        </w:rPr>
        <w:t xml:space="preserve"> nevar stāties spēkā ātrāk par TEL likumā un šajā ziņojumā minētajiem termiņiem. </w:t>
      </w:r>
    </w:p>
    <w:p w14:paraId="3B1EDE1F" w14:textId="77777777" w:rsidR="00C03AAD" w:rsidRPr="00C343F9" w:rsidRDefault="00C03AAD" w:rsidP="00C03AAD">
      <w:pPr>
        <w:pStyle w:val="tvhtml"/>
        <w:shd w:val="clear" w:color="auto" w:fill="FFFFFF"/>
        <w:spacing w:line="293" w:lineRule="atLeast"/>
        <w:jc w:val="both"/>
        <w:rPr>
          <w:iCs/>
          <w:lang w:val="lv-LV"/>
        </w:rPr>
      </w:pPr>
      <w:r>
        <w:rPr>
          <w:lang w:val="lv-LV"/>
        </w:rPr>
        <w:t xml:space="preserve">5) </w:t>
      </w:r>
      <w:r w:rsidRPr="003A73C0">
        <w:rPr>
          <w:b/>
          <w:bCs/>
          <w:lang w:val="lv-LV"/>
        </w:rPr>
        <w:t>Nodokļu politika.</w:t>
      </w:r>
      <w:r>
        <w:rPr>
          <w:lang w:val="lv-LV"/>
        </w:rPr>
        <w:t xml:space="preserve"> </w:t>
      </w:r>
      <w:r w:rsidRPr="00C343F9">
        <w:rPr>
          <w:lang w:val="lv-LV"/>
        </w:rPr>
        <w:t xml:space="preserve">Izmantojot nodokļu politiku – </w:t>
      </w:r>
      <w:r>
        <w:rPr>
          <w:lang w:val="lv-LV"/>
        </w:rPr>
        <w:t xml:space="preserve">atšķirīgu </w:t>
      </w:r>
      <w:r w:rsidRPr="00C343F9">
        <w:rPr>
          <w:lang w:val="lv-LV"/>
        </w:rPr>
        <w:t xml:space="preserve">akcīzes nodokli, iespējams celt biometāna izdevīgumu attiecībā pret dabasgāzi. Tomēr šīs politikas iespējas ir ierobežotas, ņemot vērā būtisko atšķirību </w:t>
      </w:r>
      <w:r>
        <w:rPr>
          <w:lang w:val="lv-LV"/>
        </w:rPr>
        <w:t xml:space="preserve">biometāna un dabasgāzes </w:t>
      </w:r>
      <w:r w:rsidRPr="00C343F9">
        <w:rPr>
          <w:lang w:val="lv-LV"/>
        </w:rPr>
        <w:t>pašizmaksā</w:t>
      </w:r>
      <w:r>
        <w:rPr>
          <w:lang w:val="lv-LV"/>
        </w:rPr>
        <w:t>.</w:t>
      </w:r>
      <w:r w:rsidRPr="00C343F9">
        <w:rPr>
          <w:lang w:val="lv-LV"/>
        </w:rPr>
        <w:t xml:space="preserve"> </w:t>
      </w:r>
      <w:r>
        <w:rPr>
          <w:lang w:val="lv-LV"/>
        </w:rPr>
        <w:t>N</w:t>
      </w:r>
      <w:r w:rsidRPr="00C343F9">
        <w:rPr>
          <w:lang w:val="lv-LV"/>
        </w:rPr>
        <w:t xml:space="preserve">odokļu slogam dabasgāzei transportā vajadzētu būt tādam, lai </w:t>
      </w:r>
      <w:r>
        <w:rPr>
          <w:lang w:val="lv-LV"/>
        </w:rPr>
        <w:t>veicinātu ar saspiesto dabasgāzi darbināmu transportlīdzekļu ienākšanu tirgū, jo to emisijas ir mazākas kā dīzeļdegvielai vai benzīnam</w:t>
      </w:r>
      <w:r w:rsidRPr="00C343F9">
        <w:rPr>
          <w:lang w:val="lv-LV"/>
        </w:rPr>
        <w:t xml:space="preserve">. </w:t>
      </w:r>
      <w:r>
        <w:rPr>
          <w:lang w:val="lv-LV"/>
        </w:rPr>
        <w:t xml:space="preserve">Tāpat arī šādu </w:t>
      </w:r>
      <w:r>
        <w:rPr>
          <w:lang w:val="lv-LV"/>
        </w:rPr>
        <w:lastRenderedPageBreak/>
        <w:t>transportlīdzekļu ienākšana tirgū nākotnē ļaus palielināt biometāna izmantošanu. Vidējā termiņā</w:t>
      </w:r>
      <w:r w:rsidRPr="00C343F9">
        <w:rPr>
          <w:lang w:val="lv-LV"/>
        </w:rPr>
        <w:t xml:space="preserve">– ja akcīzes nodoklis dabasgāzei transportā būtiski pieaug – nodokļu politikas efektivitāte </w:t>
      </w:r>
      <w:r>
        <w:rPr>
          <w:lang w:val="lv-LV"/>
        </w:rPr>
        <w:t xml:space="preserve">biometāna patēriņa veicināšanai </w:t>
      </w:r>
      <w:r w:rsidRPr="00C343F9">
        <w:rPr>
          <w:lang w:val="lv-LV"/>
        </w:rPr>
        <w:t>var būt lielāka</w:t>
      </w:r>
      <w:r>
        <w:rPr>
          <w:lang w:val="lv-LV"/>
        </w:rPr>
        <w:t>, tomēr joprojām būs nepieciešami papildus atbalsta pasākumi</w:t>
      </w:r>
      <w:r w:rsidRPr="00C343F9">
        <w:rPr>
          <w:lang w:val="lv-LV"/>
        </w:rPr>
        <w:t xml:space="preserve">. </w:t>
      </w:r>
    </w:p>
    <w:p w14:paraId="2A3C0C9A" w14:textId="77777777" w:rsidR="00C03AAD" w:rsidRPr="00C343F9" w:rsidRDefault="00C03AAD" w:rsidP="00C03AAD">
      <w:pPr>
        <w:pStyle w:val="tvhtml"/>
        <w:shd w:val="clear" w:color="auto" w:fill="FFFFFF"/>
        <w:spacing w:line="293" w:lineRule="atLeast"/>
        <w:jc w:val="both"/>
        <w:rPr>
          <w:iCs/>
          <w:lang w:val="lv-LV"/>
        </w:rPr>
      </w:pPr>
      <w:r>
        <w:rPr>
          <w:lang w:val="lv-LV"/>
        </w:rPr>
        <w:t xml:space="preserve">6) </w:t>
      </w:r>
      <w:r w:rsidRPr="00FC5E15">
        <w:rPr>
          <w:b/>
          <w:bCs/>
          <w:lang w:val="lv-LV"/>
        </w:rPr>
        <w:t>Investīciju atbalsts biometāna uzpildes iekārtām.</w:t>
      </w:r>
      <w:r w:rsidRPr="00C343F9">
        <w:rPr>
          <w:lang w:val="lv-LV"/>
        </w:rPr>
        <w:t xml:space="preserve"> Šāds investīciju atbalsts </w:t>
      </w:r>
      <w:r>
        <w:rPr>
          <w:lang w:val="lv-LV"/>
        </w:rPr>
        <w:t xml:space="preserve">tika </w:t>
      </w:r>
      <w:r w:rsidRPr="00C343F9">
        <w:rPr>
          <w:lang w:val="lv-LV"/>
        </w:rPr>
        <w:t xml:space="preserve">izmantots Igaunijā. Tomēr, ja citi atbalsta pasākumi nodrošina pietiekamu patēriņa apjomu, šāds investīciju atbalsts varētu nebūt nepieciešams un komersanti paši ir gatavi nodrošināt </w:t>
      </w:r>
      <w:r>
        <w:rPr>
          <w:lang w:val="lv-LV"/>
        </w:rPr>
        <w:t xml:space="preserve">publisko </w:t>
      </w:r>
      <w:r w:rsidRPr="00C343F9">
        <w:rPr>
          <w:lang w:val="lv-LV"/>
        </w:rPr>
        <w:t xml:space="preserve">uzpildes staciju izveidi. </w:t>
      </w:r>
      <w:r>
        <w:rPr>
          <w:lang w:val="lv-LV"/>
        </w:rPr>
        <w:t>Investīciju atbalsts komersantu uzpildes iekārtām (piemēram, autobusu parkiem) izvērtējams</w:t>
      </w:r>
      <w:r w:rsidRPr="00C343F9">
        <w:rPr>
          <w:lang w:val="lv-LV"/>
        </w:rPr>
        <w:t xml:space="preserve">, </w:t>
      </w:r>
      <w:r>
        <w:rPr>
          <w:lang w:val="lv-LV"/>
        </w:rPr>
        <w:t>nosakot</w:t>
      </w:r>
      <w:r w:rsidRPr="00C343F9">
        <w:rPr>
          <w:lang w:val="lv-LV"/>
        </w:rPr>
        <w:t xml:space="preserve"> atba</w:t>
      </w:r>
      <w:r>
        <w:rPr>
          <w:lang w:val="lv-LV"/>
        </w:rPr>
        <w:t>l</w:t>
      </w:r>
      <w:r w:rsidRPr="00C343F9">
        <w:rPr>
          <w:lang w:val="lv-LV"/>
        </w:rPr>
        <w:t>stām</w:t>
      </w:r>
      <w:r>
        <w:rPr>
          <w:lang w:val="lv-LV"/>
        </w:rPr>
        <w:t>ā</w:t>
      </w:r>
      <w:r w:rsidRPr="00C343F9">
        <w:rPr>
          <w:lang w:val="lv-LV"/>
        </w:rPr>
        <w:t>s darbības investīciju programmām</w:t>
      </w:r>
      <w:r>
        <w:rPr>
          <w:lang w:val="lv-LV"/>
        </w:rPr>
        <w:t>.</w:t>
      </w:r>
      <w:r w:rsidRPr="00C343F9">
        <w:rPr>
          <w:lang w:val="lv-LV"/>
        </w:rPr>
        <w:t xml:space="preserve"> </w:t>
      </w:r>
    </w:p>
    <w:p w14:paraId="5CBC3268" w14:textId="77777777" w:rsidR="00C03AAD" w:rsidRDefault="00C03AAD" w:rsidP="00C03AAD">
      <w:pPr>
        <w:pStyle w:val="tvhtml"/>
        <w:shd w:val="clear" w:color="auto" w:fill="FFFFFF"/>
        <w:spacing w:line="293" w:lineRule="atLeast"/>
        <w:jc w:val="both"/>
        <w:rPr>
          <w:iCs/>
          <w:lang w:val="lv-LV"/>
        </w:rPr>
      </w:pPr>
      <w:r>
        <w:rPr>
          <w:lang w:val="lv-LV"/>
        </w:rPr>
        <w:t xml:space="preserve">7) </w:t>
      </w:r>
      <w:r w:rsidRPr="00B12352">
        <w:rPr>
          <w:b/>
          <w:bCs/>
          <w:lang w:val="lv-LV"/>
        </w:rPr>
        <w:t>Investīciju atbalsts</w:t>
      </w:r>
      <w:r>
        <w:rPr>
          <w:b/>
          <w:bCs/>
          <w:lang w:val="lv-LV"/>
        </w:rPr>
        <w:t xml:space="preserve"> biometāna</w:t>
      </w:r>
      <w:r w:rsidRPr="00B12352">
        <w:rPr>
          <w:b/>
          <w:bCs/>
          <w:lang w:val="lv-LV"/>
        </w:rPr>
        <w:t xml:space="preserve"> patēriņam</w:t>
      </w:r>
      <w:r w:rsidRPr="009D26CC">
        <w:rPr>
          <w:lang w:val="lv-LV"/>
        </w:rPr>
        <w:t xml:space="preserve"> – sabiedriskā transporta iegādei, </w:t>
      </w:r>
      <w:r>
        <w:rPr>
          <w:lang w:val="lv-LV"/>
        </w:rPr>
        <w:t xml:space="preserve">pašvaldību </w:t>
      </w:r>
      <w:r w:rsidRPr="009D26CC">
        <w:rPr>
          <w:lang w:val="lv-LV"/>
        </w:rPr>
        <w:t>komunālo</w:t>
      </w:r>
      <w:r>
        <w:rPr>
          <w:lang w:val="lv-LV"/>
        </w:rPr>
        <w:t>, valsts un pašvaldību operatīvo</w:t>
      </w:r>
      <w:r w:rsidRPr="009D26CC">
        <w:rPr>
          <w:lang w:val="lv-LV"/>
        </w:rPr>
        <w:t xml:space="preserve"> transportlīdzekļu iegādei</w:t>
      </w:r>
      <w:r>
        <w:rPr>
          <w:lang w:val="lv-LV"/>
        </w:rPr>
        <w:t>, komerctransportam un lauksaimniecības tehnikai. Šāda atbalsta sniegšanai iespējams piesaistīt dažādus f</w:t>
      </w:r>
      <w:r w:rsidRPr="009D26CC">
        <w:rPr>
          <w:lang w:val="lv-LV"/>
        </w:rPr>
        <w:t xml:space="preserve">inanšu </w:t>
      </w:r>
      <w:r>
        <w:rPr>
          <w:lang w:val="lv-LV"/>
        </w:rPr>
        <w:t>avotus</w:t>
      </w:r>
      <w:r w:rsidRPr="009D26CC">
        <w:rPr>
          <w:lang w:val="lv-LV"/>
        </w:rPr>
        <w:t xml:space="preserve"> </w:t>
      </w:r>
      <w:r>
        <w:rPr>
          <w:lang w:val="lv-LV"/>
        </w:rPr>
        <w:t xml:space="preserve">– Atjaunošanās un noturības mehānisms finansējums un iespējamais nākotnes atbalsts - klimata finansējums Emisiju kvotu izsoles instruments (EKII) vai Modernizācijas fonds. Jāņem vērā, ka privātajam sektoram atbalsta apjomu nosaka normatīvajos aktos noteiktie komercdarbības atbalsta ierobežojumi.  </w:t>
      </w:r>
    </w:p>
    <w:p w14:paraId="3AE69E0B" w14:textId="77777777" w:rsidR="00C03AAD" w:rsidRDefault="00C03AAD" w:rsidP="00C03AAD">
      <w:pPr>
        <w:pStyle w:val="tvhtml"/>
        <w:shd w:val="clear" w:color="auto" w:fill="FFFFFF"/>
        <w:spacing w:line="293" w:lineRule="atLeast"/>
        <w:jc w:val="both"/>
        <w:rPr>
          <w:lang w:val="lv-LV"/>
        </w:rPr>
      </w:pPr>
      <w:r>
        <w:rPr>
          <w:iCs/>
          <w:lang w:val="lv-LV"/>
        </w:rPr>
        <w:t xml:space="preserve"> </w:t>
      </w:r>
      <w:r>
        <w:rPr>
          <w:lang w:val="lv-LV"/>
        </w:rPr>
        <w:t>Informatīvajā  ziņojumā piedāvāts komplekss scenārijs biometāna ražošanas un izmantošanai transportā atbalstam. Nav piedāvāti izskatīšanai tarifu atbalsta risinājumi biometāna ražošanai, kaut arī citu valstu pieredze rāda, ka atbalsta tarifi efektīvi veicina biometāna patēriņu. Tāpat netiek piedāvāts biometāna obligātais piejaukums, kas attiektos uz visiem dabasgāzes patērētājiem.</w:t>
      </w:r>
    </w:p>
    <w:p w14:paraId="3C49D2CE" w14:textId="77777777" w:rsidR="00C03AAD" w:rsidRDefault="00C03AAD" w:rsidP="00C03AAD">
      <w:pPr>
        <w:pStyle w:val="tvhtml"/>
        <w:shd w:val="clear" w:color="auto" w:fill="FFFFFF"/>
        <w:spacing w:line="293" w:lineRule="atLeast"/>
        <w:ind w:firstLine="300"/>
        <w:jc w:val="center"/>
        <w:rPr>
          <w:b/>
          <w:bCs/>
          <w:lang w:val="lv-LV"/>
        </w:rPr>
      </w:pPr>
      <w:r w:rsidRPr="009A2581">
        <w:rPr>
          <w:b/>
          <w:bCs/>
          <w:lang w:val="lv-LV"/>
        </w:rPr>
        <w:t>II. Problēmas vai situācijas apraksts</w:t>
      </w:r>
    </w:p>
    <w:p w14:paraId="7728F542" w14:textId="77777777" w:rsidR="00C03AAD" w:rsidRDefault="00C03AAD" w:rsidP="00C03AAD">
      <w:pPr>
        <w:pStyle w:val="tvhtml"/>
        <w:shd w:val="clear" w:color="auto" w:fill="FFFFFF"/>
        <w:spacing w:line="293" w:lineRule="atLeast"/>
        <w:ind w:firstLine="300"/>
        <w:rPr>
          <w:b/>
          <w:bCs/>
          <w:sz w:val="22"/>
          <w:szCs w:val="22"/>
          <w:lang w:val="lv-LV"/>
        </w:rPr>
      </w:pPr>
      <w:r w:rsidRPr="00B6396D">
        <w:rPr>
          <w:b/>
          <w:bCs/>
          <w:sz w:val="22"/>
          <w:szCs w:val="22"/>
          <w:lang w:val="lv-LV"/>
        </w:rPr>
        <w:t xml:space="preserve">2.1. Elektroenerģijas atbalsta sistēma Latvijā un ar to saistītās problēmas </w:t>
      </w:r>
    </w:p>
    <w:p w14:paraId="7955EFAA" w14:textId="77777777" w:rsidR="00C03AAD" w:rsidRDefault="00C03AAD" w:rsidP="00C03AAD">
      <w:pPr>
        <w:pStyle w:val="tvhtml"/>
        <w:shd w:val="clear" w:color="auto" w:fill="FFFFFF" w:themeFill="background1"/>
        <w:spacing w:line="293" w:lineRule="atLeast"/>
        <w:ind w:firstLine="300"/>
        <w:jc w:val="both"/>
        <w:rPr>
          <w:lang w:val="lv-LV"/>
        </w:rPr>
      </w:pPr>
      <w:r w:rsidRPr="6F18BF8B">
        <w:rPr>
          <w:lang w:val="lv-LV"/>
        </w:rPr>
        <w:t xml:space="preserve">2019. gadā  Latvijā uz valsts atbalstu obligātā iepirkuma ietvaros varēja pretendēt 54 biogāzes koģenerācijas stacijas. Pārsvarā biogāzes koģenerācijas staciju uzstādītā elektriskā jauda ir 0,5 - 2 MW robežās un biogāzes staciju izvietojums labi korelē ar lielo zemnieku saimniecību atrašanās vietām, tomēr vislielākā biogāzes stacija Latvijā ir izvietota atkritumu poligonā un tās uzstādītā elektriskā jauda ir 6,3 MW. No biogāzes saražoto elektroenerģiju valstī noteiktā kārtībā iepērk AS "Enerģijas publiskais tirgotājs" </w:t>
      </w:r>
      <w:r w:rsidRPr="001B5B7D">
        <w:rPr>
          <w:lang w:val="lv-LV"/>
        </w:rPr>
        <w:t>(turpmāk – publiskais tirgotājs),</w:t>
      </w:r>
      <w:r w:rsidRPr="6F18BF8B">
        <w:rPr>
          <w:lang w:val="lv-LV"/>
        </w:rPr>
        <w:t xml:space="preserve"> veicot tās tālāku tirdzniecību  elektroenerģijas biržā par Nord Pool Latvijas tirdzniecības apgabala stundas cenām. 2019. gadā biogāzes sektorā </w:t>
      </w:r>
      <w:r>
        <w:rPr>
          <w:lang w:val="lv-LV"/>
        </w:rPr>
        <w:t>obligātā</w:t>
      </w:r>
      <w:r w:rsidRPr="6F18BF8B">
        <w:rPr>
          <w:lang w:val="lv-LV"/>
        </w:rPr>
        <w:t xml:space="preserve"> </w:t>
      </w:r>
      <w:r>
        <w:rPr>
          <w:lang w:val="lv-LV"/>
        </w:rPr>
        <w:t xml:space="preserve">iepirkuma </w:t>
      </w:r>
      <w:r w:rsidRPr="6F18BF8B">
        <w:rPr>
          <w:lang w:val="lv-LV"/>
        </w:rPr>
        <w:t xml:space="preserve">ietvaros virs kompensācijās tika izmaksāti vairāk kā 40 milj. EUR, kurus daļēji sedz elektroenerģijas patērētāji </w:t>
      </w:r>
      <w:r>
        <w:rPr>
          <w:lang w:val="lv-LV"/>
        </w:rPr>
        <w:t xml:space="preserve"> caur obligātā iepirkuma komponenti (turpmāk –</w:t>
      </w:r>
      <w:r w:rsidRPr="6F18BF8B">
        <w:rPr>
          <w:lang w:val="lv-LV"/>
        </w:rPr>
        <w:t>OIK</w:t>
      </w:r>
      <w:r>
        <w:rPr>
          <w:lang w:val="lv-LV"/>
        </w:rPr>
        <w:t>)</w:t>
      </w:r>
      <w:r w:rsidRPr="6F18BF8B">
        <w:rPr>
          <w:lang w:val="lv-LV"/>
        </w:rPr>
        <w:t xml:space="preserve">, daļēji valsts budžets. Ņemot vērā paaugstināto elektroenerģijas izmaksu negatīvo ekonomisko un sociālo ietekmi, šīs subsīdijas nepieciešams mazināt. </w:t>
      </w:r>
      <w:r>
        <w:rPr>
          <w:lang w:val="lv-LV"/>
        </w:rPr>
        <w:t>Obligātais iepirkums</w:t>
      </w:r>
      <w:r w:rsidRPr="6F18BF8B">
        <w:rPr>
          <w:lang w:val="lv-LV"/>
        </w:rPr>
        <w:t xml:space="preserve"> ir terminēt</w:t>
      </w:r>
      <w:r>
        <w:rPr>
          <w:lang w:val="lv-LV"/>
        </w:rPr>
        <w:t>s</w:t>
      </w:r>
      <w:r w:rsidRPr="6F18BF8B">
        <w:rPr>
          <w:lang w:val="lv-LV"/>
        </w:rPr>
        <w:t xml:space="preserve"> laikā, tas nozīmē, ka pakāpeniski negatīvās ietekmes mazināsies arī neīstenojot papildu </w:t>
      </w:r>
      <w:r>
        <w:rPr>
          <w:lang w:val="lv-LV"/>
        </w:rPr>
        <w:t>pasākumus</w:t>
      </w:r>
      <w:r w:rsidRPr="6F18BF8B">
        <w:rPr>
          <w:lang w:val="lv-LV"/>
        </w:rPr>
        <w:t>. Biogāzes ražošana un izmantošana elektroenerģijas ražošanā bez subsīdijas nav ekonomiski pamatota</w:t>
      </w:r>
      <w:r>
        <w:rPr>
          <w:rStyle w:val="FootnoteReference"/>
          <w:lang w:val="lv-LV"/>
        </w:rPr>
        <w:footnoteReference w:id="1"/>
      </w:r>
      <w:r w:rsidRPr="6F18BF8B">
        <w:rPr>
          <w:lang w:val="lv-LV"/>
        </w:rPr>
        <w:t xml:space="preserve">. Tas nozīmē, ka šīs iekārtas </w:t>
      </w:r>
      <w:r>
        <w:rPr>
          <w:lang w:val="lv-LV"/>
        </w:rPr>
        <w:t xml:space="preserve">pēc atbalsta perioda beigām </w:t>
      </w:r>
      <w:r w:rsidRPr="6F18BF8B">
        <w:rPr>
          <w:lang w:val="lv-LV"/>
        </w:rPr>
        <w:t xml:space="preserve">tiktu slēgtas, </w:t>
      </w:r>
      <w:r w:rsidRPr="6F18BF8B">
        <w:rPr>
          <w:lang w:val="lv-LV"/>
        </w:rPr>
        <w:lastRenderedPageBreak/>
        <w:t xml:space="preserve">samazinātos no atjaunojamiem energoresursiem iegūtās elektroenerģijas īpatsvars, kā arī pieaugtu siltumnīcefekta gāzu (SEG) emisijas un rastos problēmas īstenot ES nosacījumus atkritumu apsaimniekošanas jomā. </w:t>
      </w:r>
      <w:r>
        <w:rPr>
          <w:lang w:val="lv-LV"/>
        </w:rPr>
        <w:t>A</w:t>
      </w:r>
      <w:r w:rsidRPr="6F18BF8B">
        <w:rPr>
          <w:lang w:val="lv-LV"/>
        </w:rPr>
        <w:t xml:space="preserve">tkritumu jomā </w:t>
      </w:r>
      <w:r>
        <w:rPr>
          <w:lang w:val="lv-LV"/>
        </w:rPr>
        <w:t xml:space="preserve">teorētiski </w:t>
      </w:r>
      <w:r w:rsidRPr="6F18BF8B">
        <w:rPr>
          <w:lang w:val="lv-LV"/>
        </w:rPr>
        <w:t>pastāv iespēja biogāzes ražošanu subsidēt citādi –papildu izmaksas apmaksā atkritumu ražotājs</w:t>
      </w:r>
      <w:r>
        <w:rPr>
          <w:lang w:val="lv-LV"/>
        </w:rPr>
        <w:t xml:space="preserve">, </w:t>
      </w:r>
      <w:r>
        <w:rPr>
          <w:rStyle w:val="FootnoteReference"/>
          <w:lang w:val="lv-LV"/>
        </w:rPr>
        <w:footnoteReference w:id="2"/>
      </w:r>
      <w:r>
        <w:rPr>
          <w:lang w:val="lv-LV"/>
        </w:rPr>
        <w:t>subsidējot biogāzes ražošanu no ieņēmumiem par atkritumiem, tomēr šajā informatīvajā ziņojumā šāds risinājums netiek izvērtēts</w:t>
      </w:r>
      <w:r w:rsidRPr="6F18BF8B">
        <w:rPr>
          <w:lang w:val="lv-LV"/>
        </w:rPr>
        <w:t>. Savukārt ātrāka pāreja uz biometāna ražošanu varētu samazināt OIK maksājumus</w:t>
      </w:r>
      <w:r>
        <w:rPr>
          <w:lang w:val="lv-LV"/>
        </w:rPr>
        <w:t xml:space="preserve"> elektroenerģijas lietotājiem</w:t>
      </w:r>
      <w:r w:rsidRPr="6F18BF8B">
        <w:rPr>
          <w:lang w:val="lv-LV"/>
        </w:rPr>
        <w:t xml:space="preserve">. </w:t>
      </w:r>
    </w:p>
    <w:p w14:paraId="70D85559" w14:textId="77777777" w:rsidR="00C03AAD" w:rsidRDefault="00C03AAD" w:rsidP="00C03AAD">
      <w:pPr>
        <w:spacing w:before="120" w:after="120" w:line="240" w:lineRule="auto"/>
        <w:jc w:val="both"/>
        <w:rPr>
          <w:rFonts w:ascii="Times New Roman" w:hAnsi="Times New Roman"/>
          <w:b/>
          <w:sz w:val="24"/>
          <w:szCs w:val="24"/>
        </w:rPr>
      </w:pPr>
    </w:p>
    <w:p w14:paraId="364F3CA1" w14:textId="77777777" w:rsidR="00C03AAD" w:rsidRPr="0046225D" w:rsidRDefault="00C03AAD" w:rsidP="00C03AAD">
      <w:pPr>
        <w:spacing w:before="120" w:after="120" w:line="240" w:lineRule="auto"/>
        <w:jc w:val="both"/>
        <w:rPr>
          <w:rFonts w:ascii="Times New Roman" w:hAnsi="Times New Roman" w:cs="Times New Roman"/>
          <w:b/>
          <w:sz w:val="24"/>
          <w:szCs w:val="24"/>
        </w:rPr>
      </w:pPr>
      <w:r w:rsidRPr="0046225D">
        <w:rPr>
          <w:rFonts w:ascii="Times New Roman" w:hAnsi="Times New Roman" w:cs="Times New Roman"/>
          <w:b/>
          <w:sz w:val="24"/>
          <w:szCs w:val="24"/>
        </w:rPr>
        <w:t>2.2. Biogāzes staciju attīstības dinamika un potenciāls, biometāna ražošanas iespējas</w:t>
      </w:r>
    </w:p>
    <w:p w14:paraId="18D5CBBA" w14:textId="77777777" w:rsidR="00C03AAD" w:rsidRPr="0046225D" w:rsidRDefault="00C03AAD" w:rsidP="00C03AAD">
      <w:pPr>
        <w:ind w:firstLine="360"/>
        <w:jc w:val="both"/>
        <w:rPr>
          <w:rFonts w:ascii="Times New Roman" w:hAnsi="Times New Roman" w:cs="Times New Roman"/>
          <w:sz w:val="24"/>
          <w:szCs w:val="24"/>
        </w:rPr>
      </w:pPr>
      <w:r w:rsidRPr="0046225D">
        <w:rPr>
          <w:rFonts w:ascii="Times New Roman" w:hAnsi="Times New Roman" w:cs="Times New Roman"/>
          <w:sz w:val="24"/>
          <w:szCs w:val="24"/>
        </w:rPr>
        <w:t xml:space="preserve">Biogāzes iekārtu būvniecība sadzīves atkritumu poligonos un notekūdeņu attīrīšanas iekārtās lielākā apjomā ir uzsākusies 1999. gadā un 2002. gadā uzceltajās iekārtās sāk ražot arī elektroenerģiju.  Izveidojot atbalsta mehānismus 2007. un 2009. gadā, biogāzes attīstība norit straujāk un biogāzes stacijas sāk celt lauksaimniecības atkritumu un biomasas pārstrādei. Taču, ņemot vērā nepieciešamību ierobežot OIK negatīvo ietekmi uz tautsaimniecību un ieviešot dažādus ierobežojumus, tai skaitā, 2012. gadā vispār apturot jaunu ražošanas atļauju izsniegšanu, būvniecības apjomi strauji sarūk un pēdējā jaunā biogāzes stacija tiek uzcelta 2015. gadā. Pēc 2015.gada notiek tikai staciju jaudu palielināšana līdz izsniegtajās atļaujās plānotajām.  Staciju būvniecības un to jaudu dinamika 19 gadu periodā, ieskaitot, jau 2020. gada pirmā pusgada samazinājumu ir attēlota </w:t>
      </w:r>
      <w:r>
        <w:rPr>
          <w:rFonts w:ascii="Times New Roman" w:hAnsi="Times New Roman" w:cs="Times New Roman"/>
          <w:sz w:val="24"/>
          <w:szCs w:val="24"/>
        </w:rPr>
        <w:t>1</w:t>
      </w:r>
      <w:r w:rsidRPr="0046225D">
        <w:rPr>
          <w:rFonts w:ascii="Times New Roman" w:hAnsi="Times New Roman" w:cs="Times New Roman"/>
          <w:sz w:val="24"/>
          <w:szCs w:val="24"/>
        </w:rPr>
        <w:t>. attēlā.</w:t>
      </w:r>
    </w:p>
    <w:p w14:paraId="5CF54CE0" w14:textId="77777777" w:rsidR="00C03AAD" w:rsidRDefault="00C03AAD" w:rsidP="00C03AAD">
      <w:pPr>
        <w:ind w:firstLine="360"/>
        <w:jc w:val="both"/>
        <w:rPr>
          <w:rFonts w:ascii="Times New Roman" w:hAnsi="Times New Roman" w:cs="Times New Roman"/>
        </w:rPr>
      </w:pPr>
      <w:r>
        <w:rPr>
          <w:noProof/>
          <w:lang w:eastAsia="lv-LV"/>
        </w:rPr>
        <w:drawing>
          <wp:inline distT="0" distB="0" distL="0" distR="0" wp14:anchorId="2D4E6099" wp14:editId="32DCA40D">
            <wp:extent cx="5578476" cy="318262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5578476" cy="3182620"/>
                    </a:xfrm>
                    <a:prstGeom prst="rect">
                      <a:avLst/>
                    </a:prstGeom>
                  </pic:spPr>
                </pic:pic>
              </a:graphicData>
            </a:graphic>
          </wp:inline>
        </w:drawing>
      </w:r>
    </w:p>
    <w:p w14:paraId="499310F4" w14:textId="77777777" w:rsidR="00C03AAD" w:rsidRPr="0091693D" w:rsidRDefault="00C03AAD" w:rsidP="00C03AAD">
      <w:pPr>
        <w:pStyle w:val="ListParagraph"/>
        <w:ind w:left="1080"/>
        <w:jc w:val="both"/>
        <w:rPr>
          <w:rFonts w:ascii="Times New Roman" w:hAnsi="Times New Roman" w:cs="Times New Roman"/>
          <w:b/>
        </w:rPr>
      </w:pPr>
      <w:r>
        <w:rPr>
          <w:rFonts w:ascii="Times New Roman" w:hAnsi="Times New Roman" w:cs="Times New Roman"/>
          <w:b/>
        </w:rPr>
        <w:t>1.</w:t>
      </w:r>
      <w:r w:rsidRPr="0091693D">
        <w:rPr>
          <w:rFonts w:ascii="Times New Roman" w:hAnsi="Times New Roman" w:cs="Times New Roman"/>
          <w:b/>
        </w:rPr>
        <w:t>attēls . Biogāzes staciju skaita un uzstādītās jaudas dinamika laika periodā 20</w:t>
      </w:r>
      <w:r>
        <w:rPr>
          <w:rFonts w:ascii="Times New Roman" w:hAnsi="Times New Roman" w:cs="Times New Roman"/>
          <w:b/>
        </w:rPr>
        <w:t>02</w:t>
      </w:r>
      <w:r w:rsidRPr="0091693D">
        <w:rPr>
          <w:rFonts w:ascii="Times New Roman" w:hAnsi="Times New Roman" w:cs="Times New Roman"/>
          <w:b/>
        </w:rPr>
        <w:t>- 2020</w:t>
      </w:r>
    </w:p>
    <w:p w14:paraId="29FE49D7" w14:textId="77777777" w:rsidR="00C03AAD" w:rsidRDefault="00C03AAD" w:rsidP="00C03AAD">
      <w:pPr>
        <w:ind w:firstLine="360"/>
        <w:jc w:val="both"/>
        <w:rPr>
          <w:rFonts w:ascii="Times New Roman" w:hAnsi="Times New Roman" w:cs="Times New Roman"/>
        </w:rPr>
      </w:pPr>
    </w:p>
    <w:p w14:paraId="1B6397D9" w14:textId="77777777" w:rsidR="00C03AAD" w:rsidRPr="0046225D" w:rsidRDefault="00C03AAD" w:rsidP="00C03AAD">
      <w:pPr>
        <w:ind w:firstLine="360"/>
        <w:jc w:val="both"/>
        <w:rPr>
          <w:rFonts w:ascii="Times New Roman" w:hAnsi="Times New Roman" w:cs="Times New Roman"/>
          <w:sz w:val="24"/>
          <w:szCs w:val="24"/>
        </w:rPr>
      </w:pPr>
      <w:r w:rsidRPr="0046225D">
        <w:rPr>
          <w:rFonts w:ascii="Times New Roman" w:hAnsi="Times New Roman" w:cs="Times New Roman"/>
          <w:sz w:val="24"/>
          <w:szCs w:val="24"/>
        </w:rPr>
        <w:lastRenderedPageBreak/>
        <w:t xml:space="preserve">2019. gadā Latvijā darbojās 53 biogāzes stacijas. Elektroenerģiju koģenerācijas režīmā no biogāzes ražoja 52 biogāzes stacijas, bet viena biogāzes stacija (AS “Cēsu alus”) elektroenerģiju neražo, bet visu saražoto biogāzi sadedzina gāzes apkures katlā un iegūto siltumu izmanto savā ražošanā. </w:t>
      </w:r>
    </w:p>
    <w:p w14:paraId="56C51208" w14:textId="77777777" w:rsidR="00C03AAD" w:rsidRPr="0046225D" w:rsidRDefault="00C03AAD" w:rsidP="00C03AAD">
      <w:pPr>
        <w:jc w:val="both"/>
        <w:rPr>
          <w:rFonts w:ascii="Times New Roman" w:hAnsi="Times New Roman" w:cs="Times New Roman"/>
          <w:sz w:val="24"/>
          <w:szCs w:val="24"/>
        </w:rPr>
      </w:pPr>
      <w:r w:rsidRPr="0046225D">
        <w:rPr>
          <w:rFonts w:ascii="Times New Roman" w:hAnsi="Times New Roman" w:cs="Times New Roman"/>
          <w:sz w:val="24"/>
          <w:szCs w:val="24"/>
        </w:rPr>
        <w:t>Pēc biogāzes ražošanas izejvielu bāzes šīs 53 stacijas var iedalīt četrās nosacītās grupās:</w:t>
      </w:r>
    </w:p>
    <w:p w14:paraId="6151B191" w14:textId="77777777" w:rsidR="00C03AAD" w:rsidRPr="0046225D" w:rsidRDefault="00C03AAD" w:rsidP="00C03AAD">
      <w:pPr>
        <w:pStyle w:val="ListParagraph"/>
        <w:numPr>
          <w:ilvl w:val="0"/>
          <w:numId w:val="2"/>
        </w:numPr>
        <w:jc w:val="both"/>
        <w:rPr>
          <w:rFonts w:ascii="Times New Roman" w:hAnsi="Times New Roman" w:cs="Times New Roman"/>
          <w:sz w:val="24"/>
          <w:szCs w:val="24"/>
        </w:rPr>
      </w:pPr>
      <w:r w:rsidRPr="0046225D">
        <w:rPr>
          <w:rFonts w:ascii="Times New Roman" w:hAnsi="Times New Roman" w:cs="Times New Roman"/>
          <w:sz w:val="24"/>
          <w:szCs w:val="24"/>
        </w:rPr>
        <w:t>cieto sadzīves atkritumu uzglabāšanas poligoni – 5 stacijas;</w:t>
      </w:r>
    </w:p>
    <w:p w14:paraId="161600C3" w14:textId="77777777" w:rsidR="00C03AAD" w:rsidRPr="0046225D" w:rsidRDefault="00C03AAD" w:rsidP="00C03AAD">
      <w:pPr>
        <w:pStyle w:val="ListParagraph"/>
        <w:numPr>
          <w:ilvl w:val="0"/>
          <w:numId w:val="2"/>
        </w:numPr>
        <w:jc w:val="both"/>
        <w:rPr>
          <w:rFonts w:ascii="Times New Roman" w:hAnsi="Times New Roman" w:cs="Times New Roman"/>
          <w:sz w:val="24"/>
          <w:szCs w:val="24"/>
        </w:rPr>
      </w:pPr>
      <w:r w:rsidRPr="0046225D">
        <w:rPr>
          <w:rFonts w:ascii="Times New Roman" w:hAnsi="Times New Roman" w:cs="Times New Roman"/>
          <w:sz w:val="24"/>
          <w:szCs w:val="24"/>
        </w:rPr>
        <w:t>sadzīves notekūdeņu attīrīšanas iekārtas – 1 stacija;</w:t>
      </w:r>
    </w:p>
    <w:p w14:paraId="652800B2" w14:textId="77777777" w:rsidR="00C03AAD" w:rsidRPr="0046225D" w:rsidRDefault="00C03AAD" w:rsidP="00C03AAD">
      <w:pPr>
        <w:pStyle w:val="ListParagraph"/>
        <w:numPr>
          <w:ilvl w:val="0"/>
          <w:numId w:val="2"/>
        </w:numPr>
        <w:jc w:val="both"/>
        <w:rPr>
          <w:rFonts w:ascii="Times New Roman" w:hAnsi="Times New Roman" w:cs="Times New Roman"/>
          <w:sz w:val="24"/>
          <w:szCs w:val="24"/>
        </w:rPr>
      </w:pPr>
      <w:r w:rsidRPr="0046225D">
        <w:rPr>
          <w:rFonts w:ascii="Times New Roman" w:hAnsi="Times New Roman" w:cs="Times New Roman"/>
          <w:sz w:val="24"/>
          <w:szCs w:val="24"/>
        </w:rPr>
        <w:t>pārtikas rūpniecības notekūdeņu un ražošanas atlikumu pārstrāde – 3 stacijas;</w:t>
      </w:r>
    </w:p>
    <w:p w14:paraId="4AAF8DEC" w14:textId="77777777" w:rsidR="00C03AAD" w:rsidRPr="0046225D" w:rsidRDefault="00C03AAD" w:rsidP="00C03AAD">
      <w:pPr>
        <w:pStyle w:val="ListParagraph"/>
        <w:numPr>
          <w:ilvl w:val="0"/>
          <w:numId w:val="2"/>
        </w:numPr>
        <w:jc w:val="both"/>
        <w:rPr>
          <w:rFonts w:ascii="Times New Roman" w:hAnsi="Times New Roman" w:cs="Times New Roman"/>
          <w:sz w:val="24"/>
          <w:szCs w:val="24"/>
        </w:rPr>
      </w:pPr>
      <w:r w:rsidRPr="0046225D">
        <w:rPr>
          <w:rFonts w:ascii="Times New Roman" w:hAnsi="Times New Roman" w:cs="Times New Roman"/>
          <w:sz w:val="24"/>
          <w:szCs w:val="24"/>
        </w:rPr>
        <w:t>biogāzes stacijas, tostarp ar lauksaimniecības atkritumu izmantošanu – 44 stacijas.</w:t>
      </w:r>
    </w:p>
    <w:p w14:paraId="4BE467BB" w14:textId="77777777" w:rsidR="00C03AAD" w:rsidRPr="0046225D" w:rsidRDefault="00C03AAD" w:rsidP="00C03AAD">
      <w:pPr>
        <w:jc w:val="both"/>
        <w:rPr>
          <w:rFonts w:ascii="Times New Roman" w:hAnsi="Times New Roman" w:cs="Times New Roman"/>
          <w:sz w:val="24"/>
          <w:szCs w:val="24"/>
        </w:rPr>
      </w:pPr>
      <w:r w:rsidRPr="0046225D">
        <w:rPr>
          <w:rFonts w:ascii="Times New Roman" w:hAnsi="Times New Roman" w:cs="Times New Roman"/>
          <w:sz w:val="24"/>
          <w:szCs w:val="24"/>
        </w:rPr>
        <w:t>Pēc elektroenerģijas ražošanas iespējām (staciju uzstādītā elektriskā jauda, MW) šīs 52 stacijas (neskaitot Cēsu alus staciju) var iedalīt sekojošās grupās:</w:t>
      </w:r>
    </w:p>
    <w:p w14:paraId="146C5856" w14:textId="77777777" w:rsidR="00C03AAD" w:rsidRPr="0046225D" w:rsidRDefault="00C03AAD" w:rsidP="00C03AAD">
      <w:pPr>
        <w:pStyle w:val="ListParagraph"/>
        <w:numPr>
          <w:ilvl w:val="0"/>
          <w:numId w:val="3"/>
        </w:numPr>
        <w:jc w:val="both"/>
        <w:rPr>
          <w:rFonts w:ascii="Times New Roman" w:hAnsi="Times New Roman" w:cs="Times New Roman"/>
          <w:sz w:val="24"/>
          <w:szCs w:val="24"/>
        </w:rPr>
      </w:pPr>
      <w:r w:rsidRPr="0046225D">
        <w:rPr>
          <w:rFonts w:ascii="Times New Roman" w:hAnsi="Times New Roman" w:cs="Times New Roman"/>
          <w:sz w:val="24"/>
          <w:szCs w:val="24"/>
        </w:rPr>
        <w:t xml:space="preserve">līdz 0,5 MW (ieskaitot) jaudai – 11 stacijas. </w:t>
      </w:r>
    </w:p>
    <w:p w14:paraId="1B85A832" w14:textId="77777777" w:rsidR="00C03AAD" w:rsidRPr="0046225D" w:rsidRDefault="00C03AAD" w:rsidP="00C03AAD">
      <w:pPr>
        <w:pStyle w:val="ListParagraph"/>
        <w:numPr>
          <w:ilvl w:val="0"/>
          <w:numId w:val="3"/>
        </w:numPr>
        <w:jc w:val="both"/>
        <w:rPr>
          <w:rFonts w:ascii="Times New Roman" w:hAnsi="Times New Roman" w:cs="Times New Roman"/>
          <w:sz w:val="24"/>
          <w:szCs w:val="24"/>
        </w:rPr>
      </w:pPr>
      <w:r w:rsidRPr="0046225D">
        <w:rPr>
          <w:rFonts w:ascii="Times New Roman" w:hAnsi="Times New Roman" w:cs="Times New Roman"/>
          <w:sz w:val="24"/>
          <w:szCs w:val="24"/>
        </w:rPr>
        <w:t>no 0,5 līdz 1,0 MW (ieskaitot) jaudai – 24 stacijas.</w:t>
      </w:r>
    </w:p>
    <w:p w14:paraId="71924E8B" w14:textId="77777777" w:rsidR="00C03AAD" w:rsidRPr="0046225D" w:rsidRDefault="00C03AAD" w:rsidP="00C03AAD">
      <w:pPr>
        <w:pStyle w:val="ListParagraph"/>
        <w:numPr>
          <w:ilvl w:val="0"/>
          <w:numId w:val="3"/>
        </w:numPr>
        <w:jc w:val="both"/>
        <w:rPr>
          <w:rFonts w:ascii="Times New Roman" w:hAnsi="Times New Roman" w:cs="Times New Roman"/>
          <w:sz w:val="24"/>
          <w:szCs w:val="24"/>
        </w:rPr>
      </w:pPr>
      <w:r w:rsidRPr="0046225D">
        <w:rPr>
          <w:rFonts w:ascii="Times New Roman" w:hAnsi="Times New Roman" w:cs="Times New Roman"/>
          <w:sz w:val="24"/>
          <w:szCs w:val="24"/>
        </w:rPr>
        <w:t>stacijas ar jaudu virs 1 MW – 17 stacijas.</w:t>
      </w:r>
    </w:p>
    <w:p w14:paraId="14DC162C" w14:textId="77777777" w:rsidR="00C03AAD" w:rsidRPr="0046225D" w:rsidRDefault="00C03AAD" w:rsidP="00C03AAD">
      <w:pPr>
        <w:jc w:val="both"/>
        <w:rPr>
          <w:rFonts w:ascii="Times New Roman" w:hAnsi="Times New Roman" w:cs="Times New Roman"/>
          <w:sz w:val="24"/>
          <w:szCs w:val="24"/>
        </w:rPr>
      </w:pPr>
      <w:r w:rsidRPr="0046225D">
        <w:rPr>
          <w:rFonts w:ascii="Times New Roman" w:hAnsi="Times New Roman" w:cs="Times New Roman"/>
          <w:sz w:val="24"/>
          <w:szCs w:val="24"/>
        </w:rPr>
        <w:t xml:space="preserve">Kopējā uzstādītā elektroenerģijas ražošanas jauda šai 51 stacijai ir </w:t>
      </w:r>
      <w:bookmarkStart w:id="2" w:name="_Hlk24705710"/>
      <w:r w:rsidRPr="0046225D">
        <w:rPr>
          <w:rFonts w:ascii="Times New Roman" w:hAnsi="Times New Roman" w:cs="Times New Roman"/>
          <w:sz w:val="24"/>
          <w:szCs w:val="24"/>
        </w:rPr>
        <w:t xml:space="preserve">60,536 </w:t>
      </w:r>
      <w:bookmarkEnd w:id="2"/>
      <w:r w:rsidRPr="0046225D">
        <w:rPr>
          <w:rFonts w:ascii="Times New Roman" w:hAnsi="Times New Roman" w:cs="Times New Roman"/>
          <w:sz w:val="24"/>
          <w:szCs w:val="24"/>
        </w:rPr>
        <w:t xml:space="preserve">MW. </w:t>
      </w:r>
    </w:p>
    <w:p w14:paraId="5A4B4A35" w14:textId="77777777" w:rsidR="00C03AAD" w:rsidRPr="0046225D" w:rsidRDefault="00C03AAD" w:rsidP="00C03AAD">
      <w:pPr>
        <w:jc w:val="both"/>
        <w:rPr>
          <w:rFonts w:ascii="Times New Roman" w:hAnsi="Times New Roman" w:cs="Times New Roman"/>
          <w:sz w:val="24"/>
          <w:szCs w:val="24"/>
        </w:rPr>
      </w:pPr>
      <w:r w:rsidRPr="0046225D">
        <w:rPr>
          <w:rFonts w:ascii="Times New Roman" w:hAnsi="Times New Roman" w:cs="Times New Roman"/>
          <w:sz w:val="24"/>
          <w:szCs w:val="24"/>
        </w:rPr>
        <w:t xml:space="preserve">2019. gadā tika elektroenerģijas publiskajam tirgotājam tika  pārdotas 315, 692 GWh elektroenerģijas, kas nozīmē, ka ir ticis saražots ap 153 milj. m3 biogāzes. Kopumā 2019. gadā valsts atbalstā virs tirgus cenas biogāzes stacijām samaksāts vairāk kā 40 milj. EUR </w:t>
      </w:r>
      <w:r w:rsidRPr="0046225D">
        <w:rPr>
          <w:rStyle w:val="FootnoteReference"/>
          <w:rFonts w:ascii="Times New Roman" w:hAnsi="Times New Roman" w:cs="Times New Roman"/>
          <w:sz w:val="24"/>
          <w:szCs w:val="24"/>
        </w:rPr>
        <w:footnoteReference w:id="3"/>
      </w:r>
    </w:p>
    <w:p w14:paraId="156AC440" w14:textId="77777777" w:rsidR="00C03AAD" w:rsidRPr="0046225D" w:rsidRDefault="00C03AAD" w:rsidP="00C03AAD">
      <w:pPr>
        <w:jc w:val="both"/>
        <w:rPr>
          <w:rFonts w:ascii="Times New Roman" w:hAnsi="Times New Roman" w:cs="Times New Roman"/>
          <w:sz w:val="24"/>
          <w:szCs w:val="24"/>
        </w:rPr>
      </w:pPr>
      <w:r w:rsidRPr="0046225D">
        <w:rPr>
          <w:rFonts w:ascii="Times New Roman" w:hAnsi="Times New Roman" w:cs="Times New Roman"/>
          <w:sz w:val="24"/>
          <w:szCs w:val="24"/>
        </w:rPr>
        <w:t xml:space="preserve">Elektroenerģijas pārdošanas apjomi publiskajam tirgotājam laikā no 2011. līdz 2019. gadam attēloti </w:t>
      </w:r>
      <w:r>
        <w:rPr>
          <w:rFonts w:ascii="Times New Roman" w:hAnsi="Times New Roman" w:cs="Times New Roman"/>
          <w:sz w:val="24"/>
          <w:szCs w:val="24"/>
        </w:rPr>
        <w:t>2</w:t>
      </w:r>
      <w:r w:rsidRPr="0046225D">
        <w:rPr>
          <w:rFonts w:ascii="Times New Roman" w:hAnsi="Times New Roman" w:cs="Times New Roman"/>
          <w:sz w:val="24"/>
          <w:szCs w:val="24"/>
        </w:rPr>
        <w:t>. attēlā.</w:t>
      </w:r>
    </w:p>
    <w:p w14:paraId="3BF77B6E" w14:textId="77777777" w:rsidR="00C03AAD" w:rsidRDefault="00C03AAD" w:rsidP="00C03AAD">
      <w:pPr>
        <w:rPr>
          <w:rFonts w:ascii="Times New Roman" w:hAnsi="Times New Roman" w:cs="Times New Roman"/>
        </w:rPr>
      </w:pPr>
      <w:r>
        <w:rPr>
          <w:noProof/>
          <w:lang w:eastAsia="lv-LV"/>
        </w:rPr>
        <w:lastRenderedPageBreak/>
        <w:drawing>
          <wp:inline distT="0" distB="0" distL="0" distR="0" wp14:anchorId="558E51BA" wp14:editId="4FE21F97">
            <wp:extent cx="4584701" cy="27559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4584701" cy="2755900"/>
                    </a:xfrm>
                    <a:prstGeom prst="rect">
                      <a:avLst/>
                    </a:prstGeom>
                  </pic:spPr>
                </pic:pic>
              </a:graphicData>
            </a:graphic>
          </wp:inline>
        </w:drawing>
      </w:r>
    </w:p>
    <w:p w14:paraId="2046FCEF" w14:textId="77777777" w:rsidR="00C03AAD" w:rsidRPr="00332960" w:rsidRDefault="00C03AAD" w:rsidP="00C03AAD">
      <w:pPr>
        <w:pStyle w:val="ListParagraph"/>
        <w:rPr>
          <w:rFonts w:ascii="Times New Roman" w:hAnsi="Times New Roman" w:cs="Times New Roman"/>
          <w:b/>
        </w:rPr>
      </w:pPr>
      <w:r>
        <w:rPr>
          <w:rFonts w:ascii="Times New Roman" w:hAnsi="Times New Roman" w:cs="Times New Roman"/>
          <w:b/>
        </w:rPr>
        <w:t>2</w:t>
      </w:r>
      <w:r w:rsidRPr="00332960">
        <w:rPr>
          <w:rFonts w:ascii="Times New Roman" w:hAnsi="Times New Roman" w:cs="Times New Roman"/>
          <w:b/>
        </w:rPr>
        <w:t xml:space="preserve">.attēls. Publiskajam </w:t>
      </w:r>
      <w:r>
        <w:rPr>
          <w:rFonts w:ascii="Times New Roman" w:hAnsi="Times New Roman" w:cs="Times New Roman"/>
          <w:b/>
        </w:rPr>
        <w:t xml:space="preserve">tirgotājam </w:t>
      </w:r>
      <w:r w:rsidRPr="00332960">
        <w:rPr>
          <w:rFonts w:ascii="Times New Roman" w:hAnsi="Times New Roman" w:cs="Times New Roman"/>
          <w:b/>
        </w:rPr>
        <w:t xml:space="preserve">pārdotais elektroenerģijas apjoms. </w:t>
      </w:r>
    </w:p>
    <w:p w14:paraId="5E622BB9" w14:textId="77777777" w:rsidR="00C03AAD" w:rsidRPr="0046225D" w:rsidRDefault="00C03AAD" w:rsidP="00C03AAD">
      <w:pPr>
        <w:jc w:val="both"/>
        <w:rPr>
          <w:rFonts w:ascii="Times New Roman" w:hAnsi="Times New Roman" w:cs="Times New Roman"/>
          <w:sz w:val="24"/>
          <w:szCs w:val="24"/>
        </w:rPr>
      </w:pPr>
      <w:r w:rsidRPr="0046225D">
        <w:rPr>
          <w:rFonts w:ascii="Times New Roman" w:hAnsi="Times New Roman" w:cs="Times New Roman"/>
          <w:sz w:val="24"/>
          <w:szCs w:val="24"/>
        </w:rPr>
        <w:t xml:space="preserve">Salīdzinot saražotās elektroenerģijas apjomu ar uzstādītājām jaudām var secināt, ka: 13 stacijas ir  strādājušas ar noslodzi zemāk par 50%, 12 stacijas – ar noslodzi 50-70%, 11 stacijas – ar noslodzi 70-90 %, 11 stacijas – ar noslodzi virs 90% un tikai 5 stacijas ir strādājušas ar pilnu jaudu vai ir pat pārdevušas elektroenerģiju arī brīvajā tirgū. </w:t>
      </w:r>
    </w:p>
    <w:p w14:paraId="77343C4F" w14:textId="77777777" w:rsidR="00C03AAD" w:rsidRPr="0046225D" w:rsidRDefault="00C03AAD" w:rsidP="00C03AAD">
      <w:pPr>
        <w:jc w:val="both"/>
        <w:rPr>
          <w:rFonts w:ascii="Times New Roman" w:hAnsi="Times New Roman" w:cs="Times New Roman"/>
          <w:sz w:val="24"/>
          <w:szCs w:val="24"/>
        </w:rPr>
      </w:pPr>
      <w:r w:rsidRPr="0046225D">
        <w:rPr>
          <w:rFonts w:ascii="Times New Roman" w:hAnsi="Times New Roman" w:cs="Times New Roman"/>
          <w:sz w:val="24"/>
          <w:szCs w:val="24"/>
        </w:rPr>
        <w:t>Iemesli nepilnai noslodzei ir dažādi:</w:t>
      </w:r>
    </w:p>
    <w:p w14:paraId="29FA9651" w14:textId="77777777" w:rsidR="00C03AAD" w:rsidRPr="0046225D" w:rsidRDefault="00C03AAD" w:rsidP="00C03AAD">
      <w:pPr>
        <w:pStyle w:val="ListParagraph"/>
        <w:numPr>
          <w:ilvl w:val="0"/>
          <w:numId w:val="4"/>
        </w:numPr>
        <w:jc w:val="both"/>
        <w:rPr>
          <w:rFonts w:ascii="Times New Roman" w:hAnsi="Times New Roman" w:cs="Times New Roman"/>
          <w:sz w:val="24"/>
          <w:szCs w:val="24"/>
        </w:rPr>
      </w:pPr>
      <w:r w:rsidRPr="0046225D">
        <w:rPr>
          <w:rFonts w:ascii="Times New Roman" w:hAnsi="Times New Roman" w:cs="Times New Roman"/>
          <w:sz w:val="24"/>
          <w:szCs w:val="24"/>
        </w:rPr>
        <w:t>tehnoloģiskie pārtraukumi un iekārtu remonti,</w:t>
      </w:r>
    </w:p>
    <w:p w14:paraId="0D655F65" w14:textId="77777777" w:rsidR="00C03AAD" w:rsidRPr="0046225D" w:rsidRDefault="00C03AAD" w:rsidP="00C03AAD">
      <w:pPr>
        <w:pStyle w:val="ListParagraph"/>
        <w:numPr>
          <w:ilvl w:val="0"/>
          <w:numId w:val="4"/>
        </w:numPr>
        <w:jc w:val="both"/>
        <w:rPr>
          <w:rFonts w:ascii="Times New Roman" w:hAnsi="Times New Roman" w:cs="Times New Roman"/>
          <w:sz w:val="24"/>
          <w:szCs w:val="24"/>
        </w:rPr>
      </w:pPr>
      <w:r w:rsidRPr="0046225D">
        <w:rPr>
          <w:rFonts w:ascii="Times New Roman" w:hAnsi="Times New Roman" w:cs="Times New Roman"/>
          <w:sz w:val="24"/>
          <w:szCs w:val="24"/>
        </w:rPr>
        <w:t>izejvielu trūkums,</w:t>
      </w:r>
    </w:p>
    <w:p w14:paraId="0509617D" w14:textId="77777777" w:rsidR="00C03AAD" w:rsidRPr="0046225D" w:rsidRDefault="00C03AAD" w:rsidP="00C03AAD">
      <w:pPr>
        <w:pStyle w:val="ListParagraph"/>
        <w:numPr>
          <w:ilvl w:val="0"/>
          <w:numId w:val="4"/>
        </w:numPr>
        <w:jc w:val="both"/>
        <w:rPr>
          <w:rFonts w:ascii="Times New Roman" w:hAnsi="Times New Roman" w:cs="Times New Roman"/>
          <w:sz w:val="24"/>
          <w:szCs w:val="24"/>
        </w:rPr>
      </w:pPr>
      <w:r w:rsidRPr="0046225D">
        <w:rPr>
          <w:rFonts w:ascii="Times New Roman" w:hAnsi="Times New Roman" w:cs="Times New Roman"/>
          <w:sz w:val="24"/>
          <w:szCs w:val="24"/>
        </w:rPr>
        <w:t>ar administratīva un juridiska rakstura iemesliem saistītas ražošanas procesa izmaiņas.</w:t>
      </w:r>
    </w:p>
    <w:p w14:paraId="53EDA9F0" w14:textId="77777777" w:rsidR="00C03AAD" w:rsidRPr="0046225D" w:rsidRDefault="00C03AAD" w:rsidP="00C03AAD">
      <w:pPr>
        <w:ind w:firstLine="360"/>
        <w:jc w:val="both"/>
        <w:rPr>
          <w:rFonts w:ascii="Times New Roman" w:hAnsi="Times New Roman" w:cs="Times New Roman"/>
          <w:sz w:val="24"/>
          <w:szCs w:val="24"/>
        </w:rPr>
      </w:pPr>
      <w:r w:rsidRPr="0046225D">
        <w:rPr>
          <w:rFonts w:ascii="Times New Roman" w:hAnsi="Times New Roman" w:cs="Times New Roman"/>
          <w:sz w:val="24"/>
          <w:szCs w:val="24"/>
        </w:rPr>
        <w:t>2020. gada sākumā atsevišķas stacijas ir brīvprātīgi atteikušās no obligātā elektroenerģijas iepirkuma un pārtraukušas darbību. Bez tam, sarežģītās finansiālās un juridiskās situācijas dēļ savu darbību ir apturējusi vēl viena stacija. Uz 2020. gada 1. jūniju faktiski obligātā iepirkuma ietvaros darbojās vairs tikai 49 biogāzes stacijas ar uzstādīto elektrisko jaudu 56,636  MW.</w:t>
      </w:r>
    </w:p>
    <w:p w14:paraId="5F9D387F" w14:textId="77777777" w:rsidR="00C03AAD" w:rsidRPr="0046225D" w:rsidRDefault="00C03AAD" w:rsidP="00C03AAD">
      <w:pPr>
        <w:ind w:firstLine="720"/>
        <w:jc w:val="both"/>
        <w:rPr>
          <w:rFonts w:ascii="Times New Roman" w:hAnsi="Times New Roman" w:cs="Times New Roman"/>
          <w:sz w:val="24"/>
          <w:szCs w:val="24"/>
        </w:rPr>
      </w:pPr>
      <w:r w:rsidRPr="0046225D">
        <w:rPr>
          <w:rFonts w:ascii="Times New Roman" w:hAnsi="Times New Roman" w:cs="Times New Roman"/>
          <w:sz w:val="24"/>
          <w:szCs w:val="24"/>
        </w:rPr>
        <w:t xml:space="preserve">Kā tuvākā iespēja jaunas biogāzes stacijas tapšanā ir jāmin projektēšanas stadijā esošā biogāzes stacija Preiļu novadā pie AS “Preiļu siers” lopkopības kompleksa ar plānoto uzstādīto elektroenerģijas jaudu līdz 1 MW. Tāpat ir noslēgusies projektēšana papildus dūņu anaerobās raudzēšanas iekārtu izbūvei Rīgas attīrīšanas iekārtās, kas ļaus vēl sekmīgāk apstrādāt notekūdeņu dūņas, tās dziļāk noārdīt, tādejādi samazinot atlikušo dūņu daudzumu un par 10-15% palielinot saražotās biogāzes apjomus. Savukārt SIA “Getliņi – Eko” intensīvi norit cieto organisko atkritumu fermentācijas iekārtu izbūve, kas ļaus organiskos sadzīves atkritumus turpmāk nenoglabāt atkritumu kalna biošūnās, bet  intensīvā procesā, apstrādāt relatīvi īsā laika periodā un iegūt kvalitatīvāku biogāzi nekā līdz šim. </w:t>
      </w:r>
    </w:p>
    <w:p w14:paraId="2D8D57F3" w14:textId="77777777" w:rsidR="00C03AAD" w:rsidRPr="0046225D" w:rsidRDefault="00C03AAD" w:rsidP="00C03AAD">
      <w:pPr>
        <w:ind w:firstLine="720"/>
        <w:jc w:val="both"/>
        <w:rPr>
          <w:rFonts w:ascii="Times New Roman" w:hAnsi="Times New Roman" w:cs="Times New Roman"/>
          <w:sz w:val="24"/>
          <w:szCs w:val="24"/>
        </w:rPr>
      </w:pPr>
      <w:r w:rsidRPr="0046225D">
        <w:rPr>
          <w:rFonts w:ascii="Times New Roman" w:hAnsi="Times New Roman" w:cs="Times New Roman"/>
          <w:sz w:val="24"/>
          <w:szCs w:val="24"/>
        </w:rPr>
        <w:t xml:space="preserve">Balstoties uz detalizētu dažādu sektoru potenciāla analīzi Valsts pētījumu programmas ietvaros Rīgas tehniskās universitātes zinātnieki izvērtēja potenciālo biogāzes daudzumu, ko ir </w:t>
      </w:r>
      <w:r w:rsidRPr="0046225D">
        <w:rPr>
          <w:rFonts w:ascii="Times New Roman" w:hAnsi="Times New Roman" w:cs="Times New Roman"/>
          <w:sz w:val="24"/>
          <w:szCs w:val="24"/>
        </w:rPr>
        <w:lastRenderedPageBreak/>
        <w:t xml:space="preserve">iespējams ražot no Latvijā esošajām izejvielām (sk. </w:t>
      </w:r>
      <w:r>
        <w:rPr>
          <w:rFonts w:ascii="Times New Roman" w:hAnsi="Times New Roman" w:cs="Times New Roman"/>
          <w:sz w:val="24"/>
          <w:szCs w:val="24"/>
        </w:rPr>
        <w:t>3</w:t>
      </w:r>
      <w:r w:rsidRPr="0046225D">
        <w:rPr>
          <w:rFonts w:ascii="Times New Roman" w:hAnsi="Times New Roman" w:cs="Times New Roman"/>
          <w:sz w:val="24"/>
          <w:szCs w:val="24"/>
        </w:rPr>
        <w:t>. att</w:t>
      </w:r>
      <w:r>
        <w:rPr>
          <w:rFonts w:ascii="Times New Roman" w:hAnsi="Times New Roman" w:cs="Times New Roman"/>
          <w:sz w:val="24"/>
          <w:szCs w:val="24"/>
        </w:rPr>
        <w:t>ēlu</w:t>
      </w:r>
      <w:r w:rsidRPr="0046225D">
        <w:rPr>
          <w:rFonts w:ascii="Times New Roman" w:hAnsi="Times New Roman" w:cs="Times New Roman"/>
          <w:sz w:val="24"/>
          <w:szCs w:val="24"/>
        </w:rPr>
        <w:t>)</w:t>
      </w:r>
      <w:r w:rsidRPr="0046225D">
        <w:rPr>
          <w:rStyle w:val="FootnoteReference"/>
          <w:rFonts w:ascii="Times New Roman" w:hAnsi="Times New Roman" w:cs="Times New Roman"/>
          <w:sz w:val="24"/>
          <w:szCs w:val="24"/>
        </w:rPr>
        <w:footnoteReference w:id="4"/>
      </w:r>
      <w:r w:rsidRPr="0046225D">
        <w:rPr>
          <w:rFonts w:ascii="Times New Roman" w:hAnsi="Times New Roman" w:cs="Times New Roman"/>
          <w:sz w:val="24"/>
          <w:szCs w:val="24"/>
        </w:rPr>
        <w:t xml:space="preserve"> . Balstoties uz vēsturiskiem datiem, pētījumā secināts, ka laika posmā no 2015. gada līdz 2017. gadam saražotais biogāzes daudzums vidēji veidoja 80 % no kopējā potenciāla no pieejamajām izejvielām. Dati liecina, ka nākotnē ir augsts potenciāls palielināt saražoto biogāzes daudzumu no notekūdeņu dūņām un organiskajiem atkritumiem. Šīm vajadzībām ir jāatrisina vairākas problēmas ar šo izejvielu izmantošanu biogāzes ražošanai.</w:t>
      </w:r>
    </w:p>
    <w:p w14:paraId="2273C9C4" w14:textId="77777777" w:rsidR="00C03AAD" w:rsidRDefault="00C03AAD" w:rsidP="00C03AAD">
      <w:pPr>
        <w:jc w:val="both"/>
        <w:rPr>
          <w:rFonts w:ascii="Times New Roman" w:hAnsi="Times New Roman" w:cs="Times New Roman"/>
        </w:rPr>
      </w:pPr>
    </w:p>
    <w:p w14:paraId="4F10186D" w14:textId="77777777" w:rsidR="00C03AAD" w:rsidRDefault="00C03AAD" w:rsidP="00C03AAD">
      <w:pPr>
        <w:jc w:val="both"/>
        <w:rPr>
          <w:rFonts w:ascii="Times New Roman" w:hAnsi="Times New Roman" w:cs="Times New Roman"/>
        </w:rPr>
      </w:pPr>
      <w:r>
        <w:rPr>
          <w:noProof/>
          <w:lang w:eastAsia="lv-LV"/>
        </w:rPr>
        <w:drawing>
          <wp:inline distT="0" distB="0" distL="0" distR="0" wp14:anchorId="30E2C796" wp14:editId="070F9645">
            <wp:extent cx="5943600" cy="28892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889250"/>
                    </a:xfrm>
                    <a:prstGeom prst="rect">
                      <a:avLst/>
                    </a:prstGeom>
                  </pic:spPr>
                </pic:pic>
              </a:graphicData>
            </a:graphic>
          </wp:inline>
        </w:drawing>
      </w:r>
    </w:p>
    <w:p w14:paraId="3785FE97" w14:textId="77777777" w:rsidR="00C03AAD" w:rsidRPr="00832879" w:rsidRDefault="00C03AAD" w:rsidP="00C03AAD">
      <w:pPr>
        <w:jc w:val="both"/>
        <w:rPr>
          <w:rFonts w:ascii="Times New Roman" w:hAnsi="Times New Roman" w:cs="Times New Roman"/>
          <w:b/>
          <w:bCs/>
        </w:rPr>
      </w:pPr>
      <w:r>
        <w:rPr>
          <w:rFonts w:ascii="Times New Roman" w:hAnsi="Times New Roman" w:cs="Times New Roman"/>
          <w:b/>
          <w:bCs/>
        </w:rPr>
        <w:t>3</w:t>
      </w:r>
      <w:r w:rsidRPr="00832879">
        <w:rPr>
          <w:rFonts w:ascii="Times New Roman" w:hAnsi="Times New Roman" w:cs="Times New Roman"/>
          <w:b/>
          <w:bCs/>
        </w:rPr>
        <w:t>.</w:t>
      </w:r>
      <w:r>
        <w:rPr>
          <w:rFonts w:ascii="Times New Roman" w:hAnsi="Times New Roman" w:cs="Times New Roman"/>
          <w:b/>
          <w:bCs/>
        </w:rPr>
        <w:t xml:space="preserve"> </w:t>
      </w:r>
      <w:r w:rsidRPr="00832879">
        <w:rPr>
          <w:rFonts w:ascii="Times New Roman" w:hAnsi="Times New Roman" w:cs="Times New Roman"/>
          <w:b/>
          <w:bCs/>
        </w:rPr>
        <w:t xml:space="preserve">attēls. </w:t>
      </w:r>
      <w:r w:rsidRPr="0046225D">
        <w:rPr>
          <w:rFonts w:ascii="Times New Roman" w:hAnsi="Times New Roman" w:cs="Times New Roman"/>
          <w:b/>
          <w:bCs/>
        </w:rPr>
        <w:t>Biogāzes potenciāls atkarībā no izejvielas veida (modelēšanas rezultāti) Avots: RTU pētījums</w:t>
      </w:r>
    </w:p>
    <w:p w14:paraId="2A84BD66" w14:textId="77777777" w:rsidR="00C03AAD" w:rsidRDefault="00C03AAD" w:rsidP="00C03AAD">
      <w:pPr>
        <w:jc w:val="both"/>
        <w:rPr>
          <w:rFonts w:ascii="Times New Roman" w:hAnsi="Times New Roman" w:cs="Times New Roman"/>
        </w:rPr>
      </w:pPr>
    </w:p>
    <w:p w14:paraId="4162C407" w14:textId="77777777" w:rsidR="00C03AAD" w:rsidRPr="0046225D" w:rsidRDefault="00C03AAD" w:rsidP="00C03AAD">
      <w:pPr>
        <w:ind w:firstLine="720"/>
        <w:jc w:val="both"/>
        <w:rPr>
          <w:rFonts w:ascii="Times New Roman" w:hAnsi="Times New Roman" w:cs="Times New Roman"/>
          <w:b/>
          <w:sz w:val="24"/>
          <w:szCs w:val="24"/>
        </w:rPr>
      </w:pPr>
      <w:r w:rsidRPr="0046225D">
        <w:rPr>
          <w:rFonts w:ascii="Times New Roman" w:hAnsi="Times New Roman" w:cs="Times New Roman"/>
          <w:sz w:val="24"/>
          <w:szCs w:val="24"/>
        </w:rPr>
        <w:t xml:space="preserve">Biogāzei un no tās ražotam biometānam ir  nozīmīga loma SEG emisiju samazinājumā. Stājoties spēkā Direktīvai 2018/2001 </w:t>
      </w:r>
      <w:r w:rsidRPr="0046225D">
        <w:rPr>
          <w:sz w:val="24"/>
          <w:szCs w:val="24"/>
        </w:rPr>
        <w:t xml:space="preserve"> </w:t>
      </w:r>
      <w:r w:rsidRPr="0046225D">
        <w:rPr>
          <w:rFonts w:ascii="Times New Roman" w:hAnsi="Times New Roman" w:cs="Times New Roman"/>
          <w:sz w:val="24"/>
          <w:szCs w:val="24"/>
        </w:rPr>
        <w:t>par no atjaunojamajiem energoresursiem iegūtas enerģijas izmantošanas veicināšanu 2021. gada jūlijā</w:t>
      </w:r>
      <w:r w:rsidRPr="0046225D">
        <w:rPr>
          <w:rStyle w:val="FootnoteReference"/>
          <w:rFonts w:ascii="Times New Roman" w:hAnsi="Times New Roman" w:cs="Times New Roman"/>
          <w:sz w:val="24"/>
          <w:szCs w:val="24"/>
        </w:rPr>
        <w:footnoteReference w:id="5"/>
      </w:r>
      <w:r w:rsidRPr="0046225D">
        <w:rPr>
          <w:rFonts w:ascii="Times New Roman" w:hAnsi="Times New Roman" w:cs="Times New Roman"/>
          <w:sz w:val="24"/>
          <w:szCs w:val="24"/>
        </w:rPr>
        <w:t>, varēs ar kūtsmēsliem strādājošām biogāzes/biometāna stacijām izmantot standartvērtības SEG emisiju samazināšanai. Piemēram, biometāns, iegūts no kūtsmēsliem rada -103 gCO</w:t>
      </w:r>
      <w:r w:rsidRPr="0046225D">
        <w:rPr>
          <w:rFonts w:ascii="Times New Roman" w:hAnsi="Times New Roman" w:cs="Times New Roman"/>
          <w:sz w:val="24"/>
          <w:szCs w:val="24"/>
          <w:vertAlign w:val="subscript"/>
        </w:rPr>
        <w:t>2</w:t>
      </w:r>
      <w:r w:rsidRPr="0046225D">
        <w:rPr>
          <w:rFonts w:ascii="Times New Roman" w:hAnsi="Times New Roman" w:cs="Times New Roman"/>
          <w:sz w:val="24"/>
          <w:szCs w:val="24"/>
        </w:rPr>
        <w:t>eq/MJ jeb 206% ietaupījumu, salīdzinot ar dīzeļdegvielu. Ja gada laikā 1 MW stacija saražo 19000 MWh vai  68,4 mlj MJ, tad gadā rada  -7045 T CO</w:t>
      </w:r>
      <w:r w:rsidRPr="0046225D">
        <w:rPr>
          <w:rFonts w:ascii="Times New Roman" w:hAnsi="Times New Roman" w:cs="Times New Roman"/>
          <w:sz w:val="24"/>
          <w:szCs w:val="24"/>
          <w:vertAlign w:val="subscript"/>
        </w:rPr>
        <w:t>2</w:t>
      </w:r>
      <w:r w:rsidRPr="0046225D">
        <w:rPr>
          <w:rFonts w:ascii="Times New Roman" w:hAnsi="Times New Roman" w:cs="Times New Roman"/>
          <w:sz w:val="24"/>
          <w:szCs w:val="24"/>
        </w:rPr>
        <w:t>eq  jeb aizstājot dīzeļdegvielu, ietaupīsim 172,6 g CO</w:t>
      </w:r>
      <w:r w:rsidRPr="0046225D">
        <w:rPr>
          <w:rFonts w:ascii="Times New Roman" w:hAnsi="Times New Roman" w:cs="Times New Roman"/>
          <w:sz w:val="24"/>
          <w:szCs w:val="24"/>
          <w:vertAlign w:val="subscript"/>
        </w:rPr>
        <w:t>2</w:t>
      </w:r>
      <w:r w:rsidRPr="0046225D">
        <w:rPr>
          <w:rFonts w:ascii="Times New Roman" w:hAnsi="Times New Roman" w:cs="Times New Roman"/>
          <w:sz w:val="24"/>
          <w:szCs w:val="24"/>
        </w:rPr>
        <w:t>eq/MJ, kas gadā rezultējās 11805 t CO</w:t>
      </w:r>
      <w:r w:rsidRPr="0046225D">
        <w:rPr>
          <w:rFonts w:ascii="Times New Roman" w:hAnsi="Times New Roman" w:cs="Times New Roman"/>
          <w:sz w:val="24"/>
          <w:szCs w:val="24"/>
          <w:vertAlign w:val="subscript"/>
        </w:rPr>
        <w:t>2</w:t>
      </w:r>
      <w:r w:rsidRPr="0046225D">
        <w:rPr>
          <w:rFonts w:ascii="Times New Roman" w:hAnsi="Times New Roman" w:cs="Times New Roman"/>
          <w:sz w:val="24"/>
          <w:szCs w:val="24"/>
        </w:rPr>
        <w:t>eq. Aizstājot dīzeļdegvielu ar moderno biometānu, emisiju ietaupījums ir 43-206%.</w:t>
      </w:r>
    </w:p>
    <w:p w14:paraId="05070F72" w14:textId="77777777" w:rsidR="00C03AAD" w:rsidRPr="0046225D" w:rsidRDefault="00C03AAD" w:rsidP="00C03AAD">
      <w:pPr>
        <w:ind w:firstLine="360"/>
        <w:jc w:val="both"/>
        <w:rPr>
          <w:rFonts w:ascii="Times New Roman" w:hAnsi="Times New Roman" w:cs="Times New Roman"/>
          <w:sz w:val="24"/>
          <w:szCs w:val="24"/>
        </w:rPr>
      </w:pPr>
      <w:r w:rsidRPr="0046225D">
        <w:rPr>
          <w:rFonts w:ascii="Times New Roman" w:hAnsi="Times New Roman" w:cs="Times New Roman"/>
          <w:sz w:val="24"/>
          <w:szCs w:val="24"/>
        </w:rPr>
        <w:t xml:space="preserve">Latvijas biogāzes asociācija (turpmāk - LBA) norāda uz likumdošanas biežas mainības problēmām, kā rezultātā uzņēmēji ir pārtraukuši investēt ražošanas modernizācijā, plānotajos remontos un izmantojamo izejvielu optimizēšanā. LBA norāda, ka neveidojot saprotamu valsts </w:t>
      </w:r>
      <w:r w:rsidRPr="0046225D">
        <w:rPr>
          <w:rFonts w:ascii="Times New Roman" w:hAnsi="Times New Roman" w:cs="Times New Roman"/>
          <w:sz w:val="24"/>
          <w:szCs w:val="24"/>
        </w:rPr>
        <w:lastRenderedPageBreak/>
        <w:t>politiku attiecībā uz atkritumu apsaimniekošanu, SEG emisiju samazināšanu un AER attīstību, un nenosakot biogāzes tehnoloģiju vietu un nozīmi valsts politikas plānu izpildē, nav prognozējams, ka nākotnē varētu palielināties biogāzes iekārtu skaits, kaut arī izejvielu resursi (kūtsmēsli, pārtikas un lauksaimniecības atkritumi, komunālo saimniecību atkritumi un citas organiskas izcelsmes izejvielas) vēl ir pieejami.</w:t>
      </w:r>
    </w:p>
    <w:p w14:paraId="7AE84627" w14:textId="77777777" w:rsidR="00C03AAD" w:rsidRPr="0046225D" w:rsidRDefault="00C03AAD" w:rsidP="00C03AAD">
      <w:pPr>
        <w:ind w:firstLine="360"/>
        <w:jc w:val="both"/>
        <w:rPr>
          <w:rFonts w:ascii="Times New Roman" w:hAnsi="Times New Roman" w:cs="Times New Roman"/>
          <w:sz w:val="24"/>
          <w:szCs w:val="24"/>
        </w:rPr>
      </w:pPr>
      <w:r w:rsidRPr="0046225D">
        <w:rPr>
          <w:rFonts w:ascii="Times New Roman" w:hAnsi="Times New Roman" w:cs="Times New Roman"/>
          <w:sz w:val="24"/>
          <w:szCs w:val="24"/>
        </w:rPr>
        <w:t>Lai biogāzi izmantotu biodegvielas ražošanai vai ievadītu to dabasgāzes tīklā, ir jāizpilda vairāki noteikumi, kas galvenokārt ir saistīti ar biogāzes attīrīšanu līdz atbilstošai kvalitātei, ko nosaka Latvijas Republikas Ministru kabineta noteikumi Nr. 772 “Noteikumi par biodegvielas kvalitātes prasībām, atbilstības novērtēšanu, tirgus uzraudzību un patērētāju informēšanas kārtību</w:t>
      </w:r>
      <w:r w:rsidRPr="0046225D">
        <w:rPr>
          <w:rStyle w:val="FootnoteReference"/>
          <w:rFonts w:ascii="Times New Roman" w:hAnsi="Times New Roman" w:cs="Times New Roman"/>
          <w:sz w:val="24"/>
          <w:szCs w:val="24"/>
        </w:rPr>
        <w:footnoteReference w:id="6"/>
      </w:r>
      <w:r w:rsidRPr="0046225D">
        <w:rPr>
          <w:rFonts w:ascii="Times New Roman" w:hAnsi="Times New Roman" w:cs="Times New Roman"/>
          <w:sz w:val="24"/>
          <w:szCs w:val="24"/>
        </w:rPr>
        <w:t>”, kā arī Ministru kabineta noteikumi Nr. 650 “Prasības biometāna un gāzveida stāvoklī pārvērstas sašķidrinātās dabasgāzes ievadīšanai un transportēšanai dabasgāzes pārvades un sadales sistēmā</w:t>
      </w:r>
      <w:r w:rsidRPr="0046225D">
        <w:rPr>
          <w:rStyle w:val="FootnoteReference"/>
          <w:rFonts w:ascii="Times New Roman" w:hAnsi="Times New Roman" w:cs="Times New Roman"/>
          <w:sz w:val="24"/>
          <w:szCs w:val="24"/>
        </w:rPr>
        <w:footnoteReference w:id="7"/>
      </w:r>
      <w:r w:rsidRPr="0046225D">
        <w:rPr>
          <w:rFonts w:ascii="Times New Roman" w:hAnsi="Times New Roman" w:cs="Times New Roman"/>
          <w:sz w:val="24"/>
          <w:szCs w:val="24"/>
        </w:rPr>
        <w:t>”. Biogāzes enerģijas saturs ir krietni mazāks nekā biometāna enerģijas saturs, kas tiek panākts, pateicoties biogāzes kvalitātes uzlabošanai, lai varētu to izmantot kā biodegvielu. Biometāns pēc savām enerģētiskajām īpašībām neatšķiras no dabasgāzes. Pastāv dažādas tehnoloģiskās metodes, kā saražot biometānu no biogāzes</w:t>
      </w:r>
      <w:r w:rsidRPr="0046225D">
        <w:rPr>
          <w:rStyle w:val="FootnoteReference"/>
          <w:rFonts w:ascii="Times New Roman" w:hAnsi="Times New Roman" w:cs="Times New Roman"/>
          <w:sz w:val="24"/>
          <w:szCs w:val="24"/>
        </w:rPr>
        <w:footnoteReference w:id="8"/>
      </w:r>
      <w:r w:rsidRPr="0046225D">
        <w:rPr>
          <w:rFonts w:ascii="Times New Roman" w:hAnsi="Times New Roman" w:cs="Times New Roman"/>
          <w:sz w:val="24"/>
          <w:szCs w:val="24"/>
        </w:rPr>
        <w:t xml:space="preserve">. </w:t>
      </w:r>
    </w:p>
    <w:p w14:paraId="3BD839C8" w14:textId="77777777" w:rsidR="00C03AAD" w:rsidRPr="0046225D" w:rsidRDefault="00C03AAD" w:rsidP="00C03AAD">
      <w:pPr>
        <w:jc w:val="both"/>
        <w:rPr>
          <w:rFonts w:ascii="Times New Roman" w:hAnsi="Times New Roman" w:cs="Times New Roman"/>
          <w:sz w:val="24"/>
          <w:szCs w:val="24"/>
        </w:rPr>
      </w:pPr>
      <w:r w:rsidRPr="0046225D">
        <w:rPr>
          <w:rFonts w:ascii="Times New Roman" w:hAnsi="Times New Roman" w:cs="Times New Roman"/>
          <w:sz w:val="24"/>
          <w:szCs w:val="24"/>
        </w:rPr>
        <w:tab/>
        <w:t>Vērtējot Latvijas dabasgāzes infrastruktūras tīklu un biogāzes staciju izvietojumu to tuvumā un spēkā esošo likumdošanu, Latvijas biogāzes asociācija ir secinājusi, ka biometāna ražošana un tieša ievadīšana dabasgāzes pārvades tīklā ir iespējama maksimāli 16 vietās, taču arī šajās vietās ir jāvērtē patiesais attālums līdz dabasgāzes pārvades cauruļvadam un nepieciešamās investīcijas biometāna pieslēguma izbūvei. Vērtējot biometāna ievadīšanu dabasgāzes sadales tīklā ir jānovērtē dabasgāzes sadales tīkla patēriņa noslodze gada griezumā. Ja kādā periodā (piemēram, vasarā, kad gāze netiek lietota ēku apkurē) konkrētajā sadales tīkla posmā būs vērojams nepietiekams dabasgāzes patēriņš, tad biometāna ievadīšana sadales tiklā būs ierobežota, un kā rezultātā atmosfērā tiks novadīta biogāze.</w:t>
      </w:r>
    </w:p>
    <w:p w14:paraId="712D91FC" w14:textId="77777777" w:rsidR="00C03AAD" w:rsidRPr="0046225D" w:rsidRDefault="00C03AAD" w:rsidP="00C03AAD">
      <w:pPr>
        <w:jc w:val="both"/>
        <w:rPr>
          <w:rFonts w:ascii="Times New Roman" w:hAnsi="Times New Roman" w:cs="Times New Roman"/>
          <w:sz w:val="24"/>
          <w:szCs w:val="24"/>
        </w:rPr>
      </w:pPr>
      <w:r w:rsidRPr="0046225D">
        <w:rPr>
          <w:rFonts w:ascii="Times New Roman" w:hAnsi="Times New Roman" w:cs="Times New Roman"/>
          <w:sz w:val="24"/>
          <w:szCs w:val="24"/>
        </w:rPr>
        <w:tab/>
        <w:t xml:space="preserve">Izveidojot izcelsmes apliecinājumu sistēmu, kura būs atbilstoša citu reģiona valstu nosacījumiem paredzams, ka veidosies reģionālais biometāna tirgus. Šobrīd nav precīzu datu par potenciālo biometāna cenu šajā tirgū, bet ņemot vērā ekspertu vērtējumu un literatūras datus,  biometāna nākotnes cenas būs koridorā starp 50 un 80 EUR/MWh, investoriem un ražotājiem ir jārēķinās, ka izmaksu efektivitātei būs nozīme, jo pastāvēs konkurence. </w:t>
      </w:r>
    </w:p>
    <w:p w14:paraId="7C4652B3" w14:textId="77777777" w:rsidR="00C03AAD" w:rsidRPr="0046225D" w:rsidRDefault="00C03AAD" w:rsidP="00C03AAD">
      <w:pPr>
        <w:ind w:firstLine="720"/>
        <w:jc w:val="both"/>
        <w:rPr>
          <w:rFonts w:ascii="Times New Roman" w:hAnsi="Times New Roman" w:cs="Times New Roman"/>
          <w:sz w:val="24"/>
          <w:szCs w:val="24"/>
        </w:rPr>
      </w:pPr>
      <w:r w:rsidRPr="0046225D">
        <w:rPr>
          <w:rFonts w:ascii="Times New Roman" w:hAnsi="Times New Roman" w:cs="Times New Roman"/>
          <w:sz w:val="24"/>
          <w:szCs w:val="24"/>
        </w:rPr>
        <w:t xml:space="preserve">Pārvades sistēmas operatora AS „Conexus Baltic Grid” pasūtītā pētījumā secināts, ka optimālākais modelis ir veidot biometāna ražošanas klasterus, kur biogāzi biometāna ražošanas iekārtam pa cauruļvadu tīklu nogādā līdz pārvades gāzesvadam, kur attīrot biogāzi līdz metāna kvalitātei ievada dabasgāzes pārvades tīklā. Latvijā varētu tikt veidoti 8 šādi klasteri, taču ņemot vērā staciju izvietojumu un ražošanas apjomu no izmaksu viedokļa efektīvākie varētu būt divi – Iecavas un Vangažu klasteri. Tomēr veidojot atbalsta programmas biometāna ražošanai, AS </w:t>
      </w:r>
      <w:r w:rsidRPr="0046225D">
        <w:rPr>
          <w:rFonts w:ascii="Times New Roman" w:hAnsi="Times New Roman" w:cs="Times New Roman"/>
          <w:sz w:val="24"/>
          <w:szCs w:val="24"/>
        </w:rPr>
        <w:lastRenderedPageBreak/>
        <w:t xml:space="preserve">„Conexus Baltic Grid”  nevar būt vienīgais piedāvātais risinājums, arī ņemot vērā, ka klasteru izveide prasītu daudz laika. </w:t>
      </w:r>
    </w:p>
    <w:p w14:paraId="30DF9B6F" w14:textId="77777777" w:rsidR="00C03AAD" w:rsidRDefault="00C03AAD" w:rsidP="00C03AAD">
      <w:pPr>
        <w:ind w:firstLine="720"/>
        <w:jc w:val="both"/>
        <w:rPr>
          <w:rFonts w:ascii="Times New Roman" w:hAnsi="Times New Roman" w:cs="Times New Roman"/>
        </w:rPr>
      </w:pPr>
      <w:r w:rsidRPr="0046225D">
        <w:rPr>
          <w:rFonts w:ascii="Times New Roman" w:hAnsi="Times New Roman" w:cs="Times New Roman"/>
          <w:sz w:val="24"/>
          <w:szCs w:val="24"/>
        </w:rPr>
        <w:t>Pastāv arī konteinerpārvadājumu iespēja, kas šobrīd salīdzinoši veiksmīgi tiek realizēts Igaunijā un Skandināvijas valstīs. Tas nozīmē, ka, principā, ir iespējams saražoto biometānu saspiest gāzes konteineros vai balonos un ar kravas autotransportu nogādāt līdz biometāna ievadīšanas punktam. Taču šajā gadījumā arī ir jāvērtē šādas darbības izmaksas, kas spriežot pēc ārvalstu pētījumu pieredzes būs augstākas nekā izmantojot cauruļvadus, taču šī starpība nav tik būtiska, lai šādu iespēju nevērtētu. Daļai biogāzes staciju, kur tuvumā nav gāzes tīklu, konteinerpārvadājumi ir vienīgā iespēja. Ja iespējams precīzi līdzsvarot biometāna ražošanu un patēriņu, tad pastāv iespēja saražoto biometānu uzreiz izmantot transportā, bez pārvadāšanas vai ievadīšanas dabasgāzes tīklā.</w:t>
      </w:r>
    </w:p>
    <w:p w14:paraId="0D5AB54A" w14:textId="77777777" w:rsidR="00C03AAD" w:rsidRPr="00832879" w:rsidRDefault="00C03AAD" w:rsidP="00C03AAD">
      <w:pPr>
        <w:pStyle w:val="tvhtml"/>
        <w:shd w:val="clear" w:color="auto" w:fill="FFFFFF"/>
        <w:spacing w:line="293" w:lineRule="atLeast"/>
        <w:ind w:left="360"/>
        <w:rPr>
          <w:b/>
          <w:lang w:val="lv-LV"/>
        </w:rPr>
      </w:pPr>
      <w:r>
        <w:rPr>
          <w:b/>
          <w:lang w:val="lv-LV"/>
        </w:rPr>
        <w:t xml:space="preserve">2.3. </w:t>
      </w:r>
      <w:r w:rsidRPr="00832879">
        <w:rPr>
          <w:b/>
          <w:lang w:val="lv-LV"/>
        </w:rPr>
        <w:t xml:space="preserve">Nacionālā enerģētikas un klimata plāna mērķi un paredzētie pasākumi </w:t>
      </w:r>
      <w:r>
        <w:rPr>
          <w:b/>
          <w:lang w:val="lv-LV"/>
        </w:rPr>
        <w:t>atjaunojamo energoresursu gala patēriņa veicināšanai</w:t>
      </w:r>
      <w:r w:rsidRPr="00832879">
        <w:rPr>
          <w:b/>
          <w:lang w:val="lv-LV"/>
        </w:rPr>
        <w:t xml:space="preserve"> transporta sektorā </w:t>
      </w:r>
    </w:p>
    <w:p w14:paraId="6BE981B1" w14:textId="77777777" w:rsidR="00C03AAD" w:rsidRPr="00CA5E23" w:rsidRDefault="00C03AAD" w:rsidP="00C03AAD">
      <w:pPr>
        <w:pStyle w:val="tvhtml"/>
        <w:shd w:val="clear" w:color="auto" w:fill="FFFFFF"/>
        <w:spacing w:line="293" w:lineRule="atLeast"/>
        <w:ind w:firstLine="300"/>
        <w:rPr>
          <w:lang w:val="lv-LV"/>
        </w:rPr>
      </w:pPr>
      <w:r w:rsidRPr="00CA5E23">
        <w:rPr>
          <w:lang w:val="lv-LV"/>
        </w:rPr>
        <w:t xml:space="preserve">Nacionālā Enerģētikas un klimata plāna AER </w:t>
      </w:r>
      <w:r>
        <w:rPr>
          <w:lang w:val="lv-LV"/>
        </w:rPr>
        <w:t xml:space="preserve">īpatsvara enerģijas gala patēriņā </w:t>
      </w:r>
      <w:r w:rsidRPr="00CA5E23">
        <w:rPr>
          <w:lang w:val="lv-LV"/>
        </w:rPr>
        <w:t>mērķi, tai skaitā transporta sektorā sasniedzamie mērķi un rezultatīvie rādītāji parādīti 1. tabulā</w:t>
      </w:r>
      <w:r>
        <w:rPr>
          <w:lang w:val="lv-LV"/>
        </w:rPr>
        <w:t>.</w:t>
      </w:r>
    </w:p>
    <w:p w14:paraId="78214AC6" w14:textId="77777777" w:rsidR="00C03AAD" w:rsidRPr="009C6946" w:rsidRDefault="00C03AAD" w:rsidP="00C03AAD">
      <w:pPr>
        <w:pStyle w:val="Caption"/>
        <w:rPr>
          <w:sz w:val="24"/>
          <w:szCs w:val="24"/>
        </w:rPr>
      </w:pPr>
      <w:r w:rsidRPr="009C6946">
        <w:rPr>
          <w:noProof/>
          <w:sz w:val="24"/>
          <w:szCs w:val="24"/>
        </w:rPr>
        <w:t>1.</w:t>
      </w:r>
      <w:r w:rsidRPr="009C6946">
        <w:rPr>
          <w:sz w:val="24"/>
          <w:szCs w:val="24"/>
        </w:rPr>
        <w:t xml:space="preserve"> tabula. Latvijas AER izmantošanas politikas mērķi un to rezultatīvie radītāji</w:t>
      </w: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84"/>
        <w:gridCol w:w="950"/>
        <w:gridCol w:w="913"/>
        <w:gridCol w:w="913"/>
        <w:gridCol w:w="947"/>
        <w:gridCol w:w="947"/>
        <w:gridCol w:w="947"/>
      </w:tblGrid>
      <w:tr w:rsidR="00C03AAD" w:rsidRPr="009C6946" w14:paraId="3220B7E1" w14:textId="77777777" w:rsidTr="00036815">
        <w:trPr>
          <w:trHeight w:val="525"/>
          <w:tblHeader/>
          <w:jc w:val="center"/>
        </w:trPr>
        <w:tc>
          <w:tcPr>
            <w:tcW w:w="4035" w:type="dxa"/>
            <w:vMerge w:val="restart"/>
            <w:shd w:val="clear" w:color="000000" w:fill="F2F2F2"/>
            <w:vAlign w:val="center"/>
            <w:hideMark/>
          </w:tcPr>
          <w:p w14:paraId="303E884A" w14:textId="77777777" w:rsidR="00C03AAD" w:rsidRPr="00E731FC" w:rsidRDefault="00C03AAD" w:rsidP="00036815">
            <w:pPr>
              <w:spacing w:after="0" w:line="240" w:lineRule="auto"/>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Politikas rezultāts dekarbonizācijas dimensijas AER enerģijas apakšdimensijā</w:t>
            </w:r>
          </w:p>
        </w:tc>
        <w:tc>
          <w:tcPr>
            <w:tcW w:w="852" w:type="dxa"/>
            <w:shd w:val="clear" w:color="000000" w:fill="F2F2F2"/>
            <w:vAlign w:val="center"/>
            <w:hideMark/>
          </w:tcPr>
          <w:p w14:paraId="69FF4A2F"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Faktiskā</w:t>
            </w:r>
          </w:p>
          <w:p w14:paraId="01CDDBF9"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vērtība</w:t>
            </w:r>
          </w:p>
        </w:tc>
        <w:tc>
          <w:tcPr>
            <w:tcW w:w="4714" w:type="dxa"/>
            <w:gridSpan w:val="5"/>
            <w:shd w:val="clear" w:color="000000" w:fill="F2F2F2"/>
            <w:vAlign w:val="center"/>
            <w:hideMark/>
          </w:tcPr>
          <w:p w14:paraId="517C8C57"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Mērķa vērtība</w:t>
            </w:r>
          </w:p>
        </w:tc>
      </w:tr>
      <w:tr w:rsidR="00C03AAD" w:rsidRPr="009C6946" w14:paraId="6A810FDF" w14:textId="77777777" w:rsidTr="00036815">
        <w:trPr>
          <w:trHeight w:val="315"/>
          <w:jc w:val="center"/>
        </w:trPr>
        <w:tc>
          <w:tcPr>
            <w:tcW w:w="4035" w:type="dxa"/>
            <w:vMerge/>
            <w:vAlign w:val="center"/>
            <w:hideMark/>
          </w:tcPr>
          <w:p w14:paraId="2C3B0E27" w14:textId="77777777" w:rsidR="00C03AAD" w:rsidRPr="00E731FC" w:rsidRDefault="00C03AAD" w:rsidP="00036815">
            <w:pPr>
              <w:spacing w:after="0" w:line="240" w:lineRule="auto"/>
              <w:rPr>
                <w:rFonts w:ascii="Times New Roman" w:eastAsia="Times New Roman" w:hAnsi="Times New Roman" w:cs="Times New Roman"/>
                <w:b/>
                <w:bCs/>
                <w:color w:val="000000"/>
                <w:sz w:val="24"/>
                <w:szCs w:val="24"/>
                <w:lang w:eastAsia="lv-LV"/>
              </w:rPr>
            </w:pPr>
          </w:p>
        </w:tc>
        <w:tc>
          <w:tcPr>
            <w:tcW w:w="852" w:type="dxa"/>
            <w:shd w:val="clear" w:color="000000" w:fill="F2F2F2"/>
            <w:vAlign w:val="center"/>
            <w:hideMark/>
          </w:tcPr>
          <w:p w14:paraId="709AB8B8"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2017</w:t>
            </w:r>
          </w:p>
        </w:tc>
        <w:tc>
          <w:tcPr>
            <w:tcW w:w="923" w:type="dxa"/>
            <w:shd w:val="clear" w:color="000000" w:fill="F2F2F2"/>
            <w:vAlign w:val="center"/>
            <w:hideMark/>
          </w:tcPr>
          <w:p w14:paraId="7AAD60C7"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2020</w:t>
            </w:r>
          </w:p>
        </w:tc>
        <w:tc>
          <w:tcPr>
            <w:tcW w:w="923" w:type="dxa"/>
            <w:shd w:val="clear" w:color="000000" w:fill="F2F2F2"/>
            <w:vAlign w:val="center"/>
            <w:hideMark/>
          </w:tcPr>
          <w:p w14:paraId="6866AEE6"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2022</w:t>
            </w:r>
          </w:p>
        </w:tc>
        <w:tc>
          <w:tcPr>
            <w:tcW w:w="956" w:type="dxa"/>
            <w:shd w:val="clear" w:color="000000" w:fill="F2F2F2"/>
            <w:vAlign w:val="center"/>
            <w:hideMark/>
          </w:tcPr>
          <w:p w14:paraId="46508A17"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2025</w:t>
            </w:r>
          </w:p>
        </w:tc>
        <w:tc>
          <w:tcPr>
            <w:tcW w:w="956" w:type="dxa"/>
            <w:shd w:val="clear" w:color="000000" w:fill="F2F2F2"/>
            <w:vAlign w:val="center"/>
            <w:hideMark/>
          </w:tcPr>
          <w:p w14:paraId="1ACE7AB6"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2027</w:t>
            </w:r>
          </w:p>
        </w:tc>
        <w:tc>
          <w:tcPr>
            <w:tcW w:w="956" w:type="dxa"/>
            <w:shd w:val="clear" w:color="000000" w:fill="F2F2F2"/>
            <w:vAlign w:val="center"/>
            <w:hideMark/>
          </w:tcPr>
          <w:p w14:paraId="7E46503C"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2030</w:t>
            </w:r>
          </w:p>
        </w:tc>
      </w:tr>
      <w:tr w:rsidR="00C03AAD" w:rsidRPr="009C6946" w14:paraId="2384608E" w14:textId="77777777" w:rsidTr="00036815">
        <w:trPr>
          <w:trHeight w:val="330"/>
          <w:jc w:val="center"/>
        </w:trPr>
        <w:tc>
          <w:tcPr>
            <w:tcW w:w="4035" w:type="dxa"/>
            <w:shd w:val="clear" w:color="auto" w:fill="auto"/>
            <w:vAlign w:val="center"/>
            <w:hideMark/>
          </w:tcPr>
          <w:p w14:paraId="744AC470" w14:textId="77777777" w:rsidR="00C03AAD" w:rsidRPr="00E731FC" w:rsidRDefault="00C03AAD" w:rsidP="00036815">
            <w:pPr>
              <w:spacing w:after="0" w:line="240" w:lineRule="auto"/>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bCs/>
                <w:color w:val="000000" w:themeColor="text1"/>
                <w:sz w:val="24"/>
                <w:szCs w:val="24"/>
                <w:lang w:eastAsia="lv-LV"/>
              </w:rPr>
              <w:t>AE īpatsvars enerģijas galapatēriņā (%)</w:t>
            </w:r>
          </w:p>
        </w:tc>
        <w:tc>
          <w:tcPr>
            <w:tcW w:w="852" w:type="dxa"/>
            <w:shd w:val="clear" w:color="auto" w:fill="auto"/>
            <w:vAlign w:val="center"/>
            <w:hideMark/>
          </w:tcPr>
          <w:p w14:paraId="735EE223"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themeColor="text1"/>
                <w:sz w:val="24"/>
                <w:szCs w:val="24"/>
                <w:lang w:eastAsia="lv-LV"/>
              </w:rPr>
              <w:t>39,01</w:t>
            </w:r>
          </w:p>
        </w:tc>
        <w:tc>
          <w:tcPr>
            <w:tcW w:w="923" w:type="dxa"/>
            <w:shd w:val="clear" w:color="auto" w:fill="auto"/>
            <w:vAlign w:val="center"/>
            <w:hideMark/>
          </w:tcPr>
          <w:p w14:paraId="1A1656D2"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themeColor="text1"/>
                <w:sz w:val="24"/>
                <w:szCs w:val="24"/>
                <w:lang w:eastAsia="lv-LV"/>
              </w:rPr>
              <w:t>40</w:t>
            </w:r>
          </w:p>
        </w:tc>
        <w:tc>
          <w:tcPr>
            <w:tcW w:w="923" w:type="dxa"/>
            <w:shd w:val="clear" w:color="auto" w:fill="auto"/>
            <w:vAlign w:val="center"/>
            <w:hideMark/>
          </w:tcPr>
          <w:p w14:paraId="660D84BD"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sz w:val="24"/>
                <w:szCs w:val="24"/>
                <w:lang w:eastAsia="lv-LV"/>
              </w:rPr>
              <w:t>41,8</w:t>
            </w:r>
          </w:p>
        </w:tc>
        <w:tc>
          <w:tcPr>
            <w:tcW w:w="956" w:type="dxa"/>
            <w:shd w:val="clear" w:color="auto" w:fill="auto"/>
            <w:vAlign w:val="center"/>
            <w:hideMark/>
          </w:tcPr>
          <w:p w14:paraId="2FAA2752"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themeColor="text1"/>
                <w:sz w:val="24"/>
                <w:szCs w:val="24"/>
                <w:lang w:eastAsia="lv-LV"/>
              </w:rPr>
              <w:t>44,3</w:t>
            </w:r>
          </w:p>
        </w:tc>
        <w:tc>
          <w:tcPr>
            <w:tcW w:w="956" w:type="dxa"/>
            <w:shd w:val="clear" w:color="auto" w:fill="auto"/>
            <w:vAlign w:val="center"/>
            <w:hideMark/>
          </w:tcPr>
          <w:p w14:paraId="2DB33468"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themeColor="text1"/>
                <w:sz w:val="24"/>
                <w:szCs w:val="24"/>
                <w:lang w:eastAsia="lv-LV"/>
              </w:rPr>
              <w:t>46,5</w:t>
            </w:r>
          </w:p>
        </w:tc>
        <w:tc>
          <w:tcPr>
            <w:tcW w:w="956" w:type="dxa"/>
            <w:shd w:val="clear" w:color="auto" w:fill="auto"/>
            <w:vAlign w:val="center"/>
            <w:hideMark/>
          </w:tcPr>
          <w:p w14:paraId="4EEE356C"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themeColor="text1"/>
                <w:sz w:val="24"/>
                <w:szCs w:val="24"/>
                <w:lang w:eastAsia="lv-LV"/>
              </w:rPr>
              <w:t>50</w:t>
            </w:r>
          </w:p>
        </w:tc>
      </w:tr>
      <w:tr w:rsidR="00C03AAD" w:rsidRPr="009C6946" w14:paraId="7D35ADB8" w14:textId="77777777" w:rsidTr="00036815">
        <w:trPr>
          <w:trHeight w:val="330"/>
          <w:jc w:val="center"/>
        </w:trPr>
        <w:tc>
          <w:tcPr>
            <w:tcW w:w="4035" w:type="dxa"/>
            <w:shd w:val="clear" w:color="auto" w:fill="auto"/>
            <w:vAlign w:val="center"/>
            <w:hideMark/>
          </w:tcPr>
          <w:p w14:paraId="2878E5C7" w14:textId="77777777" w:rsidR="00C03AAD" w:rsidRPr="00E731FC" w:rsidRDefault="00C03AAD" w:rsidP="00036815">
            <w:pPr>
              <w:spacing w:after="0" w:line="240" w:lineRule="auto"/>
              <w:ind w:left="284"/>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indikatīvais AE īpatsvars elektroenerģijas ražošanā (%)</w:t>
            </w:r>
          </w:p>
        </w:tc>
        <w:tc>
          <w:tcPr>
            <w:tcW w:w="852" w:type="dxa"/>
            <w:shd w:val="clear" w:color="auto" w:fill="auto"/>
            <w:vAlign w:val="center"/>
            <w:hideMark/>
          </w:tcPr>
          <w:p w14:paraId="4113D3FE"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54,36</w:t>
            </w:r>
          </w:p>
        </w:tc>
        <w:tc>
          <w:tcPr>
            <w:tcW w:w="923" w:type="dxa"/>
            <w:shd w:val="clear" w:color="auto" w:fill="auto"/>
            <w:vAlign w:val="center"/>
            <w:hideMark/>
          </w:tcPr>
          <w:p w14:paraId="30B882CD"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59,8</w:t>
            </w:r>
          </w:p>
        </w:tc>
        <w:tc>
          <w:tcPr>
            <w:tcW w:w="923" w:type="dxa"/>
            <w:shd w:val="clear" w:color="auto" w:fill="auto"/>
            <w:vAlign w:val="center"/>
            <w:hideMark/>
          </w:tcPr>
          <w:p w14:paraId="317ECFE9"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 </w:t>
            </w:r>
          </w:p>
        </w:tc>
        <w:tc>
          <w:tcPr>
            <w:tcW w:w="956" w:type="dxa"/>
            <w:shd w:val="clear" w:color="auto" w:fill="auto"/>
            <w:vAlign w:val="center"/>
            <w:hideMark/>
          </w:tcPr>
          <w:p w14:paraId="68FAE486"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 </w:t>
            </w:r>
          </w:p>
        </w:tc>
        <w:tc>
          <w:tcPr>
            <w:tcW w:w="956" w:type="dxa"/>
            <w:shd w:val="clear" w:color="auto" w:fill="auto"/>
            <w:vAlign w:val="center"/>
            <w:hideMark/>
          </w:tcPr>
          <w:p w14:paraId="7C1DE26F"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 </w:t>
            </w:r>
          </w:p>
        </w:tc>
        <w:tc>
          <w:tcPr>
            <w:tcW w:w="956" w:type="dxa"/>
            <w:shd w:val="clear" w:color="auto" w:fill="auto"/>
            <w:vAlign w:val="center"/>
            <w:hideMark/>
          </w:tcPr>
          <w:p w14:paraId="2184C2E6"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themeColor="text1"/>
                <w:sz w:val="24"/>
                <w:szCs w:val="24"/>
                <w:lang w:eastAsia="lv-LV"/>
              </w:rPr>
              <w:t>&gt;60</w:t>
            </w:r>
          </w:p>
        </w:tc>
      </w:tr>
      <w:tr w:rsidR="00C03AAD" w:rsidRPr="009C6946" w14:paraId="02537660" w14:textId="77777777" w:rsidTr="00036815">
        <w:trPr>
          <w:trHeight w:val="330"/>
          <w:jc w:val="center"/>
        </w:trPr>
        <w:tc>
          <w:tcPr>
            <w:tcW w:w="4035" w:type="dxa"/>
            <w:shd w:val="clear" w:color="auto" w:fill="auto"/>
            <w:vAlign w:val="center"/>
            <w:hideMark/>
          </w:tcPr>
          <w:p w14:paraId="0F566694" w14:textId="77777777" w:rsidR="00C03AAD" w:rsidRPr="00E731FC" w:rsidRDefault="00C03AAD" w:rsidP="00036815">
            <w:pPr>
              <w:spacing w:after="0" w:line="240" w:lineRule="auto"/>
              <w:ind w:left="284"/>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indikatīvais AE īpatsvars siltumenerģijas un aukstumenerģijas ražošanā (%)</w:t>
            </w:r>
          </w:p>
        </w:tc>
        <w:tc>
          <w:tcPr>
            <w:tcW w:w="852" w:type="dxa"/>
            <w:shd w:val="clear" w:color="auto" w:fill="auto"/>
            <w:vAlign w:val="center"/>
            <w:hideMark/>
          </w:tcPr>
          <w:p w14:paraId="00AA03A0"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54,58</w:t>
            </w:r>
          </w:p>
        </w:tc>
        <w:tc>
          <w:tcPr>
            <w:tcW w:w="923" w:type="dxa"/>
            <w:shd w:val="clear" w:color="auto" w:fill="auto"/>
            <w:vAlign w:val="center"/>
            <w:hideMark/>
          </w:tcPr>
          <w:p w14:paraId="1559CC06"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53,4</w:t>
            </w:r>
          </w:p>
        </w:tc>
        <w:tc>
          <w:tcPr>
            <w:tcW w:w="923" w:type="dxa"/>
            <w:shd w:val="clear" w:color="auto" w:fill="auto"/>
            <w:vAlign w:val="center"/>
            <w:hideMark/>
          </w:tcPr>
          <w:p w14:paraId="30F4ACD1"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55,2</w:t>
            </w:r>
          </w:p>
        </w:tc>
        <w:tc>
          <w:tcPr>
            <w:tcW w:w="956" w:type="dxa"/>
            <w:shd w:val="clear" w:color="auto" w:fill="auto"/>
            <w:vAlign w:val="center"/>
            <w:hideMark/>
          </w:tcPr>
          <w:p w14:paraId="35969A77"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56,08</w:t>
            </w:r>
          </w:p>
        </w:tc>
        <w:tc>
          <w:tcPr>
            <w:tcW w:w="956" w:type="dxa"/>
            <w:shd w:val="clear" w:color="auto" w:fill="auto"/>
            <w:vAlign w:val="center"/>
            <w:hideMark/>
          </w:tcPr>
          <w:p w14:paraId="6DB0A2D4"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56,69</w:t>
            </w:r>
          </w:p>
        </w:tc>
        <w:tc>
          <w:tcPr>
            <w:tcW w:w="956" w:type="dxa"/>
            <w:shd w:val="clear" w:color="auto" w:fill="auto"/>
            <w:vAlign w:val="center"/>
            <w:hideMark/>
          </w:tcPr>
          <w:p w14:paraId="2C638E36"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themeColor="text1"/>
                <w:sz w:val="24"/>
                <w:szCs w:val="24"/>
                <w:lang w:eastAsia="lv-LV"/>
              </w:rPr>
              <w:t>57,59</w:t>
            </w:r>
          </w:p>
        </w:tc>
      </w:tr>
      <w:tr w:rsidR="00C03AAD" w:rsidRPr="009C6946" w14:paraId="481116BF" w14:textId="77777777" w:rsidTr="00036815">
        <w:trPr>
          <w:trHeight w:val="330"/>
          <w:jc w:val="center"/>
        </w:trPr>
        <w:tc>
          <w:tcPr>
            <w:tcW w:w="4035" w:type="dxa"/>
            <w:shd w:val="clear" w:color="auto" w:fill="auto"/>
            <w:vAlign w:val="center"/>
            <w:hideMark/>
          </w:tcPr>
          <w:p w14:paraId="56F102A9" w14:textId="77777777" w:rsidR="00C03AAD" w:rsidRPr="00E731FC" w:rsidRDefault="00C03AAD" w:rsidP="00036815">
            <w:pPr>
              <w:spacing w:after="0" w:line="240" w:lineRule="auto"/>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AE īpatsvars enerģijas galapatēriņā transportā (%)</w:t>
            </w:r>
            <w:r w:rsidRPr="00E731FC">
              <w:rPr>
                <w:rStyle w:val="FootnoteReference"/>
                <w:rFonts w:ascii="Times New Roman" w:eastAsia="Times New Roman" w:hAnsi="Times New Roman" w:cs="Times New Roman"/>
                <w:color w:val="000000"/>
                <w:sz w:val="24"/>
                <w:szCs w:val="24"/>
                <w:lang w:eastAsia="lv-LV"/>
              </w:rPr>
              <w:footnoteReference w:id="9"/>
            </w:r>
          </w:p>
        </w:tc>
        <w:tc>
          <w:tcPr>
            <w:tcW w:w="852" w:type="dxa"/>
            <w:shd w:val="clear" w:color="auto" w:fill="auto"/>
            <w:vAlign w:val="center"/>
            <w:hideMark/>
          </w:tcPr>
          <w:p w14:paraId="76FFF9AA"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2,5</w:t>
            </w:r>
          </w:p>
        </w:tc>
        <w:tc>
          <w:tcPr>
            <w:tcW w:w="923" w:type="dxa"/>
            <w:shd w:val="clear" w:color="auto" w:fill="auto"/>
            <w:vAlign w:val="center"/>
            <w:hideMark/>
          </w:tcPr>
          <w:p w14:paraId="5519F1A8"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10</w:t>
            </w:r>
          </w:p>
        </w:tc>
        <w:tc>
          <w:tcPr>
            <w:tcW w:w="923" w:type="dxa"/>
            <w:shd w:val="clear" w:color="auto" w:fill="auto"/>
            <w:vAlign w:val="center"/>
            <w:hideMark/>
          </w:tcPr>
          <w:p w14:paraId="5F58A075"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w:t>
            </w:r>
          </w:p>
        </w:tc>
        <w:tc>
          <w:tcPr>
            <w:tcW w:w="956" w:type="dxa"/>
            <w:shd w:val="clear" w:color="auto" w:fill="auto"/>
            <w:vAlign w:val="center"/>
            <w:hideMark/>
          </w:tcPr>
          <w:p w14:paraId="66108DF4"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w:t>
            </w:r>
          </w:p>
        </w:tc>
        <w:tc>
          <w:tcPr>
            <w:tcW w:w="956" w:type="dxa"/>
            <w:shd w:val="clear" w:color="auto" w:fill="auto"/>
            <w:vAlign w:val="center"/>
            <w:hideMark/>
          </w:tcPr>
          <w:p w14:paraId="2422C799"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w:t>
            </w:r>
          </w:p>
        </w:tc>
        <w:tc>
          <w:tcPr>
            <w:tcW w:w="956" w:type="dxa"/>
            <w:shd w:val="clear" w:color="auto" w:fill="auto"/>
            <w:vAlign w:val="center"/>
            <w:hideMark/>
          </w:tcPr>
          <w:p w14:paraId="654FF905" w14:textId="77777777" w:rsidR="00C03AAD" w:rsidRPr="00E731FC" w:rsidRDefault="00C03AAD" w:rsidP="00036815">
            <w:pPr>
              <w:spacing w:after="0" w:line="240" w:lineRule="auto"/>
              <w:jc w:val="center"/>
              <w:rPr>
                <w:rFonts w:ascii="Times New Roman" w:eastAsia="Times New Roman" w:hAnsi="Times New Roman" w:cs="Times New Roman"/>
                <w:b/>
                <w:bCs/>
                <w:color w:val="000000"/>
                <w:sz w:val="24"/>
                <w:szCs w:val="24"/>
                <w:lang w:eastAsia="lv-LV"/>
              </w:rPr>
            </w:pPr>
            <w:r w:rsidRPr="00E731FC">
              <w:rPr>
                <w:rFonts w:ascii="Times New Roman" w:eastAsia="Times New Roman" w:hAnsi="Times New Roman" w:cs="Times New Roman"/>
                <w:b/>
                <w:bCs/>
                <w:color w:val="000000" w:themeColor="text1"/>
                <w:sz w:val="24"/>
                <w:szCs w:val="24"/>
                <w:lang w:eastAsia="lv-LV"/>
              </w:rPr>
              <w:t>7</w:t>
            </w:r>
          </w:p>
        </w:tc>
      </w:tr>
      <w:tr w:rsidR="00C03AAD" w:rsidRPr="009C6946" w14:paraId="5CBBAE3F" w14:textId="77777777" w:rsidTr="00036815">
        <w:trPr>
          <w:trHeight w:val="390"/>
          <w:jc w:val="center"/>
        </w:trPr>
        <w:tc>
          <w:tcPr>
            <w:tcW w:w="4035" w:type="dxa"/>
            <w:shd w:val="clear" w:color="auto" w:fill="auto"/>
            <w:vAlign w:val="center"/>
            <w:hideMark/>
          </w:tcPr>
          <w:p w14:paraId="52A286BC" w14:textId="77777777" w:rsidR="00C03AAD" w:rsidRPr="00E731FC" w:rsidRDefault="00C03AAD" w:rsidP="00036815">
            <w:pPr>
              <w:spacing w:after="0" w:line="240" w:lineRule="auto"/>
              <w:ind w:left="284"/>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moderno biodegvielu un biogāzes īpatsvars enerģijas galapatēriņā transportā</w:t>
            </w:r>
            <w:r w:rsidRPr="00E731FC">
              <w:rPr>
                <w:rFonts w:ascii="Times New Roman" w:eastAsia="Times New Roman" w:hAnsi="Times New Roman" w:cs="Times New Roman"/>
                <w:color w:val="000000"/>
                <w:sz w:val="24"/>
                <w:szCs w:val="24"/>
                <w:vertAlign w:val="superscript"/>
                <w:lang w:eastAsia="lv-LV"/>
              </w:rPr>
              <w:footnoteReference w:id="10"/>
            </w:r>
            <w:r w:rsidRPr="00E731FC">
              <w:rPr>
                <w:rFonts w:ascii="Times New Roman" w:eastAsia="Times New Roman" w:hAnsi="Times New Roman" w:cs="Times New Roman"/>
                <w:color w:val="000000"/>
                <w:sz w:val="24"/>
                <w:szCs w:val="24"/>
                <w:lang w:eastAsia="lv-LV"/>
              </w:rPr>
              <w:t xml:space="preserve"> (%)</w:t>
            </w:r>
          </w:p>
        </w:tc>
        <w:tc>
          <w:tcPr>
            <w:tcW w:w="852" w:type="dxa"/>
            <w:shd w:val="clear" w:color="auto" w:fill="auto"/>
            <w:vAlign w:val="center"/>
            <w:hideMark/>
          </w:tcPr>
          <w:p w14:paraId="4017C2F9"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 0</w:t>
            </w:r>
          </w:p>
        </w:tc>
        <w:tc>
          <w:tcPr>
            <w:tcW w:w="923" w:type="dxa"/>
            <w:shd w:val="clear" w:color="auto" w:fill="auto"/>
            <w:vAlign w:val="center"/>
            <w:hideMark/>
          </w:tcPr>
          <w:p w14:paraId="6A9F9AC7"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w:t>
            </w:r>
          </w:p>
        </w:tc>
        <w:tc>
          <w:tcPr>
            <w:tcW w:w="923" w:type="dxa"/>
            <w:shd w:val="clear" w:color="auto" w:fill="auto"/>
            <w:vAlign w:val="center"/>
            <w:hideMark/>
          </w:tcPr>
          <w:p w14:paraId="0801B9B6"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0,2</w:t>
            </w:r>
          </w:p>
        </w:tc>
        <w:tc>
          <w:tcPr>
            <w:tcW w:w="956" w:type="dxa"/>
            <w:shd w:val="clear" w:color="auto" w:fill="auto"/>
            <w:vAlign w:val="center"/>
            <w:hideMark/>
          </w:tcPr>
          <w:p w14:paraId="453E206E"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1,0</w:t>
            </w:r>
          </w:p>
        </w:tc>
        <w:tc>
          <w:tcPr>
            <w:tcW w:w="956" w:type="dxa"/>
            <w:shd w:val="clear" w:color="auto" w:fill="auto"/>
            <w:vAlign w:val="center"/>
            <w:hideMark/>
          </w:tcPr>
          <w:p w14:paraId="7B6F0754"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w:t>
            </w:r>
          </w:p>
        </w:tc>
        <w:tc>
          <w:tcPr>
            <w:tcW w:w="956" w:type="dxa"/>
            <w:shd w:val="clear" w:color="auto" w:fill="auto"/>
            <w:vAlign w:val="center"/>
            <w:hideMark/>
          </w:tcPr>
          <w:p w14:paraId="6D792CE1" w14:textId="77777777" w:rsidR="00C03AAD" w:rsidRPr="00E731FC" w:rsidRDefault="00C03AAD" w:rsidP="00036815">
            <w:pPr>
              <w:spacing w:after="0" w:line="240" w:lineRule="auto"/>
              <w:jc w:val="center"/>
              <w:rPr>
                <w:rFonts w:ascii="Times New Roman" w:eastAsia="Times New Roman" w:hAnsi="Times New Roman" w:cs="Times New Roman"/>
                <w:color w:val="000000"/>
                <w:sz w:val="24"/>
                <w:szCs w:val="24"/>
                <w:lang w:eastAsia="lv-LV"/>
              </w:rPr>
            </w:pPr>
            <w:r w:rsidRPr="00E731FC">
              <w:rPr>
                <w:rFonts w:ascii="Times New Roman" w:eastAsia="Times New Roman" w:hAnsi="Times New Roman" w:cs="Times New Roman"/>
                <w:color w:val="000000"/>
                <w:sz w:val="24"/>
                <w:szCs w:val="24"/>
                <w:lang w:eastAsia="lv-LV"/>
              </w:rPr>
              <w:t>3,5</w:t>
            </w:r>
          </w:p>
        </w:tc>
      </w:tr>
    </w:tbl>
    <w:p w14:paraId="27188021" w14:textId="77777777" w:rsidR="00C03AAD" w:rsidRPr="00D276E3" w:rsidRDefault="00C03AAD" w:rsidP="00C03AAD">
      <w:pPr>
        <w:pStyle w:val="tvhtml"/>
        <w:shd w:val="clear" w:color="auto" w:fill="FFFFFF"/>
        <w:spacing w:line="293" w:lineRule="atLeast"/>
        <w:ind w:firstLine="300"/>
        <w:jc w:val="both"/>
        <w:rPr>
          <w:lang w:val="lv-LV"/>
        </w:rPr>
      </w:pPr>
      <w:r w:rsidRPr="00D276E3">
        <w:rPr>
          <w:lang w:val="lv-LV"/>
        </w:rPr>
        <w:t>Transporta sektorā Latvija plāno AER īpatsvara pieaugumu vismaz līdz 7% 2030.gadā</w:t>
      </w:r>
      <w:r>
        <w:rPr>
          <w:lang w:val="lv-LV"/>
        </w:rPr>
        <w:t xml:space="preserve"> (rēķinot pēc D</w:t>
      </w:r>
      <w:r w:rsidRPr="0046225D">
        <w:rPr>
          <w:lang w:val="lv-LV"/>
        </w:rPr>
        <w:t>irektīv</w:t>
      </w:r>
      <w:r>
        <w:rPr>
          <w:lang w:val="lv-LV"/>
        </w:rPr>
        <w:t>ā</w:t>
      </w:r>
      <w:r w:rsidRPr="0046225D">
        <w:rPr>
          <w:lang w:val="lv-LV"/>
        </w:rPr>
        <w:t xml:space="preserve"> 2018/2001 </w:t>
      </w:r>
      <w:r>
        <w:rPr>
          <w:lang w:val="lv-LV"/>
        </w:rPr>
        <w:t>noteiktajiem principiem)</w:t>
      </w:r>
      <w:r w:rsidRPr="00D276E3">
        <w:rPr>
          <w:lang w:val="lv-LV"/>
        </w:rPr>
        <w:t xml:space="preserve">, to nodrošinot gan ar moderno biodegvielu un biogāzes izmantojumu, gan veicinot elektroenerģijas izmantošanu transportā. Vienlaikus Latvija </w:t>
      </w:r>
      <w:r>
        <w:rPr>
          <w:lang w:val="lv-LV"/>
        </w:rPr>
        <w:t>atbilstoši D</w:t>
      </w:r>
      <w:r w:rsidRPr="007E19B7">
        <w:rPr>
          <w:lang w:val="lv-LV"/>
        </w:rPr>
        <w:t>irektīv</w:t>
      </w:r>
      <w:r>
        <w:rPr>
          <w:lang w:val="lv-LV"/>
        </w:rPr>
        <w:t>ā</w:t>
      </w:r>
      <w:r w:rsidRPr="007E19B7">
        <w:rPr>
          <w:lang w:val="lv-LV"/>
        </w:rPr>
        <w:t xml:space="preserve"> 2018/2001 </w:t>
      </w:r>
      <w:r>
        <w:rPr>
          <w:lang w:val="lv-LV"/>
        </w:rPr>
        <w:t xml:space="preserve">noteiktajam </w:t>
      </w:r>
      <w:r w:rsidRPr="00D276E3">
        <w:rPr>
          <w:lang w:val="lv-LV"/>
        </w:rPr>
        <w:t>plāno nodrošināt, ka moderno biodegvielu īpatsvars 2022.gadā veido</w:t>
      </w:r>
      <w:r>
        <w:rPr>
          <w:lang w:val="lv-LV"/>
        </w:rPr>
        <w:t xml:space="preserve"> vismaz </w:t>
      </w:r>
      <w:r w:rsidRPr="00D276E3">
        <w:rPr>
          <w:lang w:val="lv-LV"/>
        </w:rPr>
        <w:t xml:space="preserve"> 0,2% no kopējā AER īpatsvara transporta sektorā, tam pieaugot līdz 3,5% </w:t>
      </w:r>
      <w:r w:rsidRPr="00D276E3">
        <w:rPr>
          <w:lang w:val="lv-LV"/>
        </w:rPr>
        <w:lastRenderedPageBreak/>
        <w:t xml:space="preserve">2030.gadā. </w:t>
      </w:r>
      <w:r w:rsidRPr="00CA5E23">
        <w:rPr>
          <w:lang w:val="lv-LV"/>
        </w:rPr>
        <w:t>NEKP mērķa scenārijs – scenārijs, kas paredz visu NEKP mērķu sasniegšanu izmaksu optimālā veidā</w:t>
      </w:r>
      <w:r>
        <w:rPr>
          <w:lang w:val="lv-LV"/>
        </w:rPr>
        <w:t>,</w:t>
      </w:r>
      <w:r w:rsidRPr="00CA5E23">
        <w:rPr>
          <w:lang w:val="lv-LV"/>
        </w:rPr>
        <w:t xml:space="preserve"> paredz ievērojamu biometāna patēriņa pieaugumu, sk. 2. tabulu. Šīs </w:t>
      </w:r>
      <w:r w:rsidRPr="0075343F">
        <w:rPr>
          <w:lang w:val="lv-LV"/>
        </w:rPr>
        <w:t xml:space="preserve">tabulas rādītāji </w:t>
      </w:r>
      <w:r>
        <w:rPr>
          <w:lang w:val="lv-LV"/>
        </w:rPr>
        <w:t>ir indikatīvi</w:t>
      </w:r>
      <w:r w:rsidRPr="0075343F">
        <w:rPr>
          <w:lang w:val="lv-LV"/>
        </w:rPr>
        <w:t xml:space="preserve"> un nepieciešamo AER īpatsvaru var sasniegt arī citādā ceļā – piemēram, ar lielāku moderno šķidro biodegvielu īpatsvaru. Tomēr </w:t>
      </w:r>
      <w:r>
        <w:rPr>
          <w:lang w:val="lv-LV"/>
        </w:rPr>
        <w:t xml:space="preserve">atbilstoši pašreizējai informācijai par nākotnes izmaksām, </w:t>
      </w:r>
      <w:r w:rsidRPr="0075343F">
        <w:rPr>
          <w:lang w:val="lv-LV"/>
        </w:rPr>
        <w:t xml:space="preserve">šāda pieeja kopumā </w:t>
      </w:r>
      <w:r>
        <w:rPr>
          <w:lang w:val="lv-LV"/>
        </w:rPr>
        <w:t xml:space="preserve">sabiedrībai </w:t>
      </w:r>
      <w:r w:rsidRPr="0075343F">
        <w:rPr>
          <w:lang w:val="lv-LV"/>
        </w:rPr>
        <w:t xml:space="preserve">varētu izmaksāt dārgāk. </w:t>
      </w:r>
    </w:p>
    <w:p w14:paraId="71F83246" w14:textId="77777777" w:rsidR="00C03AAD" w:rsidRPr="009C6946" w:rsidRDefault="00C03AAD" w:rsidP="00C03AAD">
      <w:pPr>
        <w:spacing w:after="120" w:line="240" w:lineRule="auto"/>
        <w:ind w:firstLine="851"/>
        <w:jc w:val="both"/>
        <w:rPr>
          <w:rFonts w:ascii="Times New Roman" w:hAnsi="Times New Roman" w:cs="Times New Roman"/>
          <w:b/>
          <w:sz w:val="24"/>
          <w:szCs w:val="24"/>
        </w:rPr>
      </w:pPr>
      <w:r w:rsidRPr="009C6946">
        <w:rPr>
          <w:rFonts w:ascii="Times New Roman" w:hAnsi="Times New Roman" w:cs="Times New Roman"/>
          <w:b/>
          <w:sz w:val="24"/>
          <w:szCs w:val="24"/>
        </w:rPr>
        <w:t>2. tabula. NEKP analītiskās daļas mērķa scenārija projekcijas transporta degvielu attīstībai līdz 2030. gadam (PJ)</w:t>
      </w:r>
    </w:p>
    <w:p w14:paraId="59ADA1C9" w14:textId="77777777" w:rsidR="00C03AAD" w:rsidRPr="009C6946" w:rsidRDefault="00C03AAD" w:rsidP="00C03AAD">
      <w:pPr>
        <w:spacing w:before="120" w:after="120" w:line="240" w:lineRule="auto"/>
        <w:jc w:val="both"/>
        <w:rPr>
          <w:rFonts w:ascii="Times New Roman" w:hAnsi="Times New Roman" w:cs="Times New Roman"/>
          <w:sz w:val="24"/>
          <w:szCs w:val="24"/>
        </w:rPr>
      </w:pPr>
      <w:r w:rsidRPr="009D79E6">
        <w:rPr>
          <w:noProof/>
          <w:lang w:eastAsia="lv-LV"/>
        </w:rPr>
        <w:drawing>
          <wp:anchor distT="0" distB="0" distL="114300" distR="114300" simplePos="0" relativeHeight="251659264" behindDoc="0" locked="0" layoutInCell="1" allowOverlap="1" wp14:anchorId="7C048132" wp14:editId="53DD5AD7">
            <wp:simplePos x="914400" y="913765"/>
            <wp:positionH relativeFrom="column">
              <wp:align>left</wp:align>
            </wp:positionH>
            <wp:positionV relativeFrom="paragraph">
              <wp:align>top</wp:align>
            </wp:positionV>
            <wp:extent cx="5943600" cy="192595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925955"/>
                    </a:xfrm>
                    <a:prstGeom prst="rect">
                      <a:avLst/>
                    </a:prstGeom>
                    <a:noFill/>
                    <a:ln>
                      <a:noFill/>
                    </a:ln>
                  </pic:spPr>
                </pic:pic>
              </a:graphicData>
            </a:graphic>
          </wp:anchor>
        </w:drawing>
      </w:r>
    </w:p>
    <w:p w14:paraId="75248DAF" w14:textId="77777777" w:rsidR="00C03AAD" w:rsidRDefault="00C03AAD" w:rsidP="00C03AAD">
      <w:pPr>
        <w:pStyle w:val="tvhtml"/>
        <w:shd w:val="clear" w:color="auto" w:fill="FFFFFF"/>
        <w:spacing w:line="293" w:lineRule="atLeast"/>
        <w:jc w:val="both"/>
        <w:rPr>
          <w:lang w:val="lv-LV"/>
        </w:rPr>
      </w:pPr>
      <w:r>
        <w:rPr>
          <w:lang w:val="lv-LV"/>
        </w:rPr>
        <w:t xml:space="preserve">2.tabulā iekļautie modelēšanas rezultāti rāda, ka modernais biometāns ieņems nozīmīgu lomu atjaunojamo energoresursu 7% mērķu sasniegšanā. Jāņem gan vērā, ka modelēšanas dati ir pastāvīgi  jāpilnveido – ņemot vērā, ka atbalsta pasākumi vēl nav uzsākti 2020. gadā un arī tuvākajos gados nav sagaidāma biometāna izmantošana transportā tādā apmērā, kā to paredzēja modelis. </w:t>
      </w:r>
    </w:p>
    <w:p w14:paraId="165C6179" w14:textId="77777777" w:rsidR="00C03AAD" w:rsidRPr="0046225D" w:rsidRDefault="00C03AAD" w:rsidP="00C03AAD">
      <w:pPr>
        <w:pStyle w:val="tvhtml"/>
        <w:shd w:val="clear" w:color="auto" w:fill="FFFFFF"/>
        <w:spacing w:line="293" w:lineRule="atLeast"/>
        <w:ind w:firstLine="300"/>
        <w:jc w:val="both"/>
        <w:rPr>
          <w:b/>
          <w:bCs/>
          <w:lang w:val="lv-LV"/>
        </w:rPr>
      </w:pPr>
      <w:r w:rsidRPr="0046225D">
        <w:rPr>
          <w:b/>
          <w:bCs/>
          <w:lang w:val="lv-LV"/>
        </w:rPr>
        <w:t>NEKP 4. pielikumā ir iekļauti vairāki pasākumi, kas var veicināt biometāna ražošanu un patēriņu.</w:t>
      </w:r>
    </w:p>
    <w:p w14:paraId="71140BD6" w14:textId="77777777" w:rsidR="00C03AAD" w:rsidRPr="00640B71" w:rsidRDefault="00C03AAD" w:rsidP="00C03AAD">
      <w:pPr>
        <w:pStyle w:val="tvhtml"/>
        <w:shd w:val="clear" w:color="auto" w:fill="FFFFFF"/>
        <w:spacing w:line="293" w:lineRule="atLeast"/>
        <w:ind w:firstLine="300"/>
        <w:jc w:val="both"/>
        <w:rPr>
          <w:i/>
          <w:lang w:val="lv-LV"/>
        </w:rPr>
      </w:pPr>
      <w:r w:rsidRPr="00640B71">
        <w:rPr>
          <w:i/>
          <w:lang w:val="lv-LV"/>
        </w:rPr>
        <w:t>Pasākumi NEKP biometāna ražošanas atbalstam</w:t>
      </w:r>
    </w:p>
    <w:p w14:paraId="29170961" w14:textId="77777777" w:rsidR="00C03AAD" w:rsidRDefault="00C03AAD" w:rsidP="00C03AAD">
      <w:pPr>
        <w:pStyle w:val="tvhtml"/>
        <w:shd w:val="clear" w:color="auto" w:fill="FFFFFF"/>
        <w:spacing w:line="293" w:lineRule="atLeast"/>
        <w:ind w:firstLine="300"/>
        <w:jc w:val="both"/>
        <w:rPr>
          <w:lang w:val="lv-LV"/>
        </w:rPr>
      </w:pPr>
      <w:r>
        <w:rPr>
          <w:lang w:val="lv-LV"/>
        </w:rPr>
        <w:t>NEKP H.5.1. punkts paredz izstrādāt</w:t>
      </w:r>
      <w:r w:rsidRPr="0052536B">
        <w:rPr>
          <w:lang w:val="lv-LV"/>
        </w:rPr>
        <w:t xml:space="preserve"> tiesību akt</w:t>
      </w:r>
      <w:r>
        <w:rPr>
          <w:lang w:val="lv-LV"/>
        </w:rPr>
        <w:t>us</w:t>
      </w:r>
      <w:r w:rsidRPr="0052536B">
        <w:rPr>
          <w:lang w:val="lv-LV"/>
        </w:rPr>
        <w:t>, lai ES struktūrfondu vai citu finansējuma avotu ietvaros periodā pēc 2021.gada nodrošinātu biogāzes ražošanas un vienlaicīgi biogāzes attīrīšanas (biometāna ražošanas) iekārtu uzstādīšanu lauksaimniecības saimniecībās (1.klastera saimniecībās – indikatīvi 35% slaucamās govis, 50% pārējie liellopi, 15% cūkas un 20% mājputni, kas atrodas 1. klastera saimniecībās), kurās vēl nenotiek biogāzes savākšana (biogāzes ražošana).</w:t>
      </w:r>
      <w:r>
        <w:rPr>
          <w:lang w:val="lv-LV"/>
        </w:rPr>
        <w:t xml:space="preserve"> Šādas atbalsta programmas izveidei NEKP paredz 30 milj. EUR. </w:t>
      </w:r>
    </w:p>
    <w:p w14:paraId="73CF92CB" w14:textId="77777777" w:rsidR="00C03AAD" w:rsidRDefault="00C03AAD" w:rsidP="00C03AAD">
      <w:pPr>
        <w:pStyle w:val="tvhtml"/>
        <w:shd w:val="clear" w:color="auto" w:fill="FFFFFF"/>
        <w:spacing w:line="293" w:lineRule="atLeast"/>
        <w:ind w:firstLine="300"/>
        <w:jc w:val="both"/>
        <w:rPr>
          <w:lang w:val="lv-LV"/>
        </w:rPr>
      </w:pPr>
      <w:r>
        <w:rPr>
          <w:lang w:val="lv-LV"/>
        </w:rPr>
        <w:t xml:space="preserve">NEKP </w:t>
      </w:r>
      <w:r w:rsidRPr="0052536B">
        <w:rPr>
          <w:lang w:val="lv-LV"/>
        </w:rPr>
        <w:t>H.5.</w:t>
      </w:r>
      <w:r>
        <w:rPr>
          <w:lang w:val="lv-LV"/>
        </w:rPr>
        <w:t>2</w:t>
      </w:r>
      <w:r w:rsidRPr="0052536B">
        <w:rPr>
          <w:lang w:val="lv-LV"/>
        </w:rPr>
        <w:t>. punkts paredz</w:t>
      </w:r>
      <w:r>
        <w:rPr>
          <w:lang w:val="lv-LV"/>
        </w:rPr>
        <w:t xml:space="preserve"> izstrādāt</w:t>
      </w:r>
      <w:r w:rsidRPr="0052536B">
        <w:rPr>
          <w:lang w:val="lv-LV"/>
        </w:rPr>
        <w:t xml:space="preserve"> tiesību akt</w:t>
      </w:r>
      <w:r>
        <w:rPr>
          <w:lang w:val="lv-LV"/>
        </w:rPr>
        <w:t>us</w:t>
      </w:r>
      <w:r w:rsidRPr="0052536B">
        <w:rPr>
          <w:lang w:val="lv-LV"/>
        </w:rPr>
        <w:t>, lai</w:t>
      </w:r>
      <w:r w:rsidRPr="00251DAA">
        <w:rPr>
          <w:lang w:val="lv-LV"/>
        </w:rPr>
        <w:t xml:space="preserve"> ES struktūrfondu vai citu finansējuma avotu ietvaros periodā pēc 2021. gada ES struktūrfondu un citu finansējuma avotu ietvaros nodrošinātu biogāzes attīrīšanas (biometāna ražošanas) iekārtu uzstādīšanu</w:t>
      </w:r>
      <w:r>
        <w:rPr>
          <w:lang w:val="lv-LV"/>
        </w:rPr>
        <w:t>. Šādas atbalsta programmas izveidei NEKP paredz 50 milj. EUR.</w:t>
      </w:r>
    </w:p>
    <w:p w14:paraId="7D3F7DAA" w14:textId="77777777" w:rsidR="00C03AAD" w:rsidRDefault="00C03AAD" w:rsidP="00C03AAD">
      <w:pPr>
        <w:pStyle w:val="tvhtml"/>
        <w:shd w:val="clear" w:color="auto" w:fill="FFFFFF"/>
        <w:spacing w:line="293" w:lineRule="atLeast"/>
        <w:ind w:firstLine="300"/>
        <w:jc w:val="both"/>
        <w:rPr>
          <w:lang w:val="lv-LV"/>
        </w:rPr>
      </w:pPr>
      <w:r>
        <w:rPr>
          <w:lang w:val="lv-LV"/>
        </w:rPr>
        <w:lastRenderedPageBreak/>
        <w:t xml:space="preserve">NEKP </w:t>
      </w:r>
      <w:r w:rsidRPr="0052536B">
        <w:rPr>
          <w:lang w:val="lv-LV"/>
        </w:rPr>
        <w:t>H.5.</w:t>
      </w:r>
      <w:r>
        <w:rPr>
          <w:lang w:val="lv-LV"/>
        </w:rPr>
        <w:t>3</w:t>
      </w:r>
      <w:r w:rsidRPr="0052536B">
        <w:rPr>
          <w:lang w:val="lv-LV"/>
        </w:rPr>
        <w:t>. punkts paredz</w:t>
      </w:r>
      <w:r>
        <w:rPr>
          <w:lang w:val="lv-LV"/>
        </w:rPr>
        <w:t xml:space="preserve"> izstrādāt</w:t>
      </w:r>
      <w:r w:rsidRPr="0052536B">
        <w:rPr>
          <w:lang w:val="lv-LV"/>
        </w:rPr>
        <w:t xml:space="preserve"> tiesību akt</w:t>
      </w:r>
      <w:r>
        <w:rPr>
          <w:lang w:val="lv-LV"/>
        </w:rPr>
        <w:t>us</w:t>
      </w:r>
      <w:r w:rsidRPr="0052536B">
        <w:rPr>
          <w:lang w:val="lv-LV"/>
        </w:rPr>
        <w:t>, lai</w:t>
      </w:r>
      <w:r>
        <w:rPr>
          <w:lang w:val="lv-LV"/>
        </w:rPr>
        <w:t xml:space="preserve"> </w:t>
      </w:r>
      <w:r w:rsidRPr="00F54266">
        <w:rPr>
          <w:lang w:val="lv-LV"/>
        </w:rPr>
        <w:t>periodā pēc 2021. gada ES struktūrfondu un citu finansējuma avotu ietvaros nodrošinātu biometāna izmantošanai transportā vai stacionārās sadedzināšanas iekārtās nepieciešamās infrastruktūras izveidi</w:t>
      </w:r>
      <w:r>
        <w:rPr>
          <w:lang w:val="lv-LV"/>
        </w:rPr>
        <w:t>. Šādas atbalsta programmas izveidei NEKP paredz 50 milj. EUR.</w:t>
      </w:r>
    </w:p>
    <w:p w14:paraId="07C4CFC8" w14:textId="77777777" w:rsidR="00C03AAD" w:rsidRPr="00640B71" w:rsidRDefault="00C03AAD" w:rsidP="00C03AAD">
      <w:pPr>
        <w:pStyle w:val="tvhtml"/>
        <w:shd w:val="clear" w:color="auto" w:fill="FFFFFF"/>
        <w:spacing w:line="293" w:lineRule="atLeast"/>
        <w:ind w:firstLine="300"/>
        <w:jc w:val="both"/>
        <w:rPr>
          <w:i/>
          <w:lang w:val="lv-LV"/>
        </w:rPr>
      </w:pPr>
      <w:r w:rsidRPr="00640B71">
        <w:rPr>
          <w:i/>
          <w:lang w:val="lv-LV"/>
        </w:rPr>
        <w:t xml:space="preserve">Pasākumi NEKP biometāna patēriņa veicināšanai </w:t>
      </w:r>
    </w:p>
    <w:p w14:paraId="2463EA39" w14:textId="77777777" w:rsidR="00C03AAD" w:rsidRDefault="00C03AAD" w:rsidP="00C03AAD">
      <w:pPr>
        <w:pStyle w:val="tvhtml"/>
        <w:shd w:val="clear" w:color="auto" w:fill="FFFFFF"/>
        <w:spacing w:line="293" w:lineRule="atLeast"/>
        <w:ind w:firstLine="300"/>
        <w:jc w:val="both"/>
        <w:rPr>
          <w:lang w:val="lv-LV"/>
        </w:rPr>
      </w:pPr>
      <w:r>
        <w:rPr>
          <w:lang w:val="lv-LV"/>
        </w:rPr>
        <w:t xml:space="preserve">NEKP 5.5 punkts paredz noteikt </w:t>
      </w:r>
      <w:r w:rsidRPr="00AC6F62">
        <w:rPr>
          <w:lang w:val="lv-LV"/>
        </w:rPr>
        <w:t>AER realizācijas pienākumu degvielas piegādātājiem, apvienojot to ar pienākumu samazināt aprites cikla SEG emisijas uz vienu piegādāto enerģijas vienību</w:t>
      </w:r>
      <w:r>
        <w:rPr>
          <w:lang w:val="lv-LV"/>
        </w:rPr>
        <w:t>.</w:t>
      </w:r>
    </w:p>
    <w:p w14:paraId="281D59E3" w14:textId="77777777" w:rsidR="00C03AAD" w:rsidRDefault="00C03AAD" w:rsidP="00C03AAD">
      <w:pPr>
        <w:pStyle w:val="tvhtml"/>
        <w:shd w:val="clear" w:color="auto" w:fill="FFFFFF"/>
        <w:spacing w:line="293" w:lineRule="atLeast"/>
        <w:ind w:firstLine="300"/>
        <w:jc w:val="both"/>
        <w:rPr>
          <w:lang w:val="lv-LV"/>
        </w:rPr>
      </w:pPr>
      <w:r>
        <w:rPr>
          <w:lang w:val="lv-LV"/>
        </w:rPr>
        <w:t>NEKP 11.4. punkts paredz: 1.1. izvērtēt iespēju</w:t>
      </w:r>
      <w:r w:rsidRPr="008F6A84">
        <w:rPr>
          <w:lang w:val="lv-LV"/>
        </w:rPr>
        <w:t xml:space="preserve"> nodokļu politikas pamatnostādnēs periodā no 2022.gada biometānam un biodegvielām noteikt pēc iespējas zemāku akcīzes nodokļa likmi, izvērtējot iespēju diferencēt samazinātās likmes pirmās paaudzes biodegvielai un modernām biodegvielām un biogāzei</w:t>
      </w:r>
      <w:r>
        <w:rPr>
          <w:lang w:val="lv-LV"/>
        </w:rPr>
        <w:t>; 1.2. izvērtēt iespēju</w:t>
      </w:r>
      <w:r w:rsidRPr="008F6A84">
        <w:rPr>
          <w:lang w:val="lv-LV"/>
        </w:rPr>
        <w:t xml:space="preserve"> periodā no 2022.gada noteikt samazinātu akcīzes nodokļa likmi (attiecībā pret benzīna un dīzeļdegvielas likmi) citām alternatīvajām degvielām, izvērtējot to ražošanas izmaksas</w:t>
      </w:r>
      <w:r>
        <w:rPr>
          <w:lang w:val="lv-LV"/>
        </w:rPr>
        <w:t>; 1.3. izvērtēt iespēju</w:t>
      </w:r>
      <w:r w:rsidRPr="008F6A84">
        <w:rPr>
          <w:lang w:val="lv-LV"/>
        </w:rPr>
        <w:t xml:space="preserve"> uz noteiktu laiku, bet ne ilgāk kā līdz 2025.gadam samazināt akcīzes nodokli dabasgāzei transportā</w:t>
      </w:r>
      <w:r>
        <w:rPr>
          <w:lang w:val="lv-LV"/>
        </w:rPr>
        <w:t>; 1.4. izvērtēt iespēju</w:t>
      </w:r>
      <w:r w:rsidRPr="008F6A84">
        <w:rPr>
          <w:lang w:val="lv-LV"/>
        </w:rPr>
        <w:t xml:space="preserve"> diferencēt akcīzes nodokļa degvielām likmes un tās noteikt, ņemot vērā CO</w:t>
      </w:r>
      <w:r w:rsidRPr="0046225D">
        <w:rPr>
          <w:vertAlign w:val="subscript"/>
          <w:lang w:val="lv-LV"/>
        </w:rPr>
        <w:t>2</w:t>
      </w:r>
      <w:r w:rsidRPr="008F6A84">
        <w:rPr>
          <w:lang w:val="lv-LV"/>
        </w:rPr>
        <w:t xml:space="preserve"> emisiju ietilpību un radītās gaisu piesārņojošo vielu emisijas</w:t>
      </w:r>
      <w:r>
        <w:rPr>
          <w:lang w:val="lv-LV"/>
        </w:rPr>
        <w:t>.</w:t>
      </w:r>
      <w:r w:rsidRPr="008F6A84">
        <w:rPr>
          <w:lang w:val="lv-LV"/>
        </w:rPr>
        <w:t xml:space="preserve">  </w:t>
      </w:r>
    </w:p>
    <w:p w14:paraId="090E1064" w14:textId="77777777" w:rsidR="00C03AAD" w:rsidRDefault="00C03AAD" w:rsidP="00C03AAD">
      <w:pPr>
        <w:pStyle w:val="tvhtml"/>
        <w:shd w:val="clear" w:color="auto" w:fill="FFFFFF"/>
        <w:spacing w:line="293" w:lineRule="atLeast"/>
        <w:jc w:val="both"/>
        <w:rPr>
          <w:lang w:val="lv-LV"/>
        </w:rPr>
      </w:pPr>
      <w:r>
        <w:rPr>
          <w:lang w:val="lv-LV"/>
        </w:rPr>
        <w:t xml:space="preserve">Ja ar nodokļu politiku veicinātu dabasgāzes izmantošanu transportā, tad tas var palielināt ar dabasgāzi darbināmu transportlīdzekļu izmantošanu, kas uzlabotu iespējas plašāk izmantot arī biometānu, bet vienlaikus palielinātu nepieciešamo atbalsta apjomu biometānam.  </w:t>
      </w:r>
    </w:p>
    <w:p w14:paraId="7B978545" w14:textId="77777777" w:rsidR="00C03AAD" w:rsidRPr="0068193B" w:rsidRDefault="00C03AAD" w:rsidP="00C03AAD">
      <w:pPr>
        <w:pStyle w:val="tvhtml"/>
        <w:shd w:val="clear" w:color="auto" w:fill="FFFFFF"/>
        <w:spacing w:line="293" w:lineRule="atLeast"/>
        <w:ind w:firstLine="300"/>
        <w:jc w:val="both"/>
        <w:rPr>
          <w:i/>
          <w:lang w:val="lv-LV"/>
        </w:rPr>
      </w:pPr>
      <w:r w:rsidRPr="0068193B">
        <w:rPr>
          <w:i/>
          <w:lang w:val="lv-LV"/>
        </w:rPr>
        <w:t>Pasākumi NEKP biometāna patēriņa veicināšanai publiskajā sektorā</w:t>
      </w:r>
    </w:p>
    <w:p w14:paraId="7EE0AA10" w14:textId="77777777" w:rsidR="00C03AAD" w:rsidRDefault="00C03AAD" w:rsidP="00C03AAD">
      <w:pPr>
        <w:pStyle w:val="tvhtml"/>
        <w:shd w:val="clear" w:color="auto" w:fill="FFFFFF"/>
        <w:spacing w:line="293" w:lineRule="atLeast"/>
        <w:ind w:firstLine="300"/>
        <w:jc w:val="both"/>
        <w:rPr>
          <w:lang w:val="lv-LV"/>
        </w:rPr>
      </w:pPr>
      <w:r>
        <w:rPr>
          <w:lang w:val="lv-LV"/>
        </w:rPr>
        <w:t>NEKP 5.3.1. punkts paredz izstrādāt nosacījumus</w:t>
      </w:r>
      <w:r w:rsidRPr="002B0C82">
        <w:rPr>
          <w:lang w:val="lv-LV"/>
        </w:rPr>
        <w:t xml:space="preserve"> ar pienākumu pakalpojumu sniedzējiem lielajās pilsētās, kuru izmantošanas specifika pieļauj nomaiņu vai pārbūvi uz tādiem transportlīdzekļiem, kuros tiek izmantotas alternatīvās degvielas</w:t>
      </w:r>
      <w:r>
        <w:rPr>
          <w:lang w:val="lv-LV"/>
        </w:rPr>
        <w:t xml:space="preserve">. Tomēr šis uzdevums ir sākot ar 2025. gadu un līdz 2021-2025 neietekmēs biometāna patēriņu. </w:t>
      </w:r>
    </w:p>
    <w:p w14:paraId="0BE92DB6" w14:textId="77777777" w:rsidR="00C03AAD" w:rsidRDefault="00C03AAD" w:rsidP="00C03AAD">
      <w:pPr>
        <w:pStyle w:val="tvhtml"/>
        <w:shd w:val="clear" w:color="auto" w:fill="FFFFFF"/>
        <w:spacing w:line="293" w:lineRule="atLeast"/>
        <w:ind w:firstLine="300"/>
        <w:jc w:val="both"/>
        <w:rPr>
          <w:lang w:val="lv-LV"/>
        </w:rPr>
      </w:pPr>
      <w:r>
        <w:rPr>
          <w:lang w:val="lv-LV"/>
        </w:rPr>
        <w:t>NEKP 5.3.1. punkts paredz i</w:t>
      </w:r>
      <w:r w:rsidRPr="002B0C82">
        <w:rPr>
          <w:lang w:val="lv-LV"/>
        </w:rPr>
        <w:t xml:space="preserve">zstrādāt </w:t>
      </w:r>
      <w:r w:rsidRPr="00EA48DC">
        <w:rPr>
          <w:lang w:val="lv-LV"/>
        </w:rPr>
        <w:t>tiesību akt</w:t>
      </w:r>
      <w:r>
        <w:rPr>
          <w:lang w:val="lv-LV"/>
        </w:rPr>
        <w:t>us</w:t>
      </w:r>
      <w:r w:rsidRPr="00EA48DC">
        <w:rPr>
          <w:lang w:val="lv-LV"/>
        </w:rPr>
        <w:t>, kuros noteikts, ka lielajās pilsētās līdz 2030.gadam vismaz 50% no pilsētas sabiedriskajā transportā izmantotās enerģijas ir iegūta no AER vai ir elektroenerģija, paredzot noteiktā mērķa pārskatīšanu, ja pasākums rada nesamērīgu ietekmi uz pakalpojuma cenām sabiedrībai</w:t>
      </w:r>
      <w:r>
        <w:rPr>
          <w:lang w:val="lv-LV"/>
        </w:rPr>
        <w:t xml:space="preserve">. Šis uzdevums varētu veicināt biometāna izmantošanu sabiedriskajā transportā, bet tas stājas spēkā ar 2028. gadu. </w:t>
      </w:r>
    </w:p>
    <w:p w14:paraId="0B8B6960" w14:textId="77777777" w:rsidR="00C03AAD" w:rsidRDefault="00C03AAD" w:rsidP="00C03AAD">
      <w:pPr>
        <w:pStyle w:val="tvhtml"/>
        <w:shd w:val="clear" w:color="auto" w:fill="FFFFFF"/>
        <w:spacing w:line="293" w:lineRule="atLeast"/>
        <w:ind w:firstLine="300"/>
        <w:jc w:val="both"/>
        <w:rPr>
          <w:lang w:val="lv-LV"/>
        </w:rPr>
      </w:pPr>
      <w:r>
        <w:rPr>
          <w:lang w:val="lv-LV"/>
        </w:rPr>
        <w:t xml:space="preserve">NEKP 5.4.3. punktā minētās atbalsta programmas finansēšanai nepieciešamā naudas summa novērtēta 50 MEUR apmērā. Konkrētu iespējamu investīciju projektu novērtējums, ņemot vērā iespējamo patēriņu liecina, ka faktiski nepieciešamais investīciju atbalsts varētu būt nepieciešams lielāks. Nepieciešamais investīciju finansējums ir iespējams no ANM, papildus nepieciešamais finansējums  būtu jāizvērtē no klimata finansējuma EKII vai Modernizācijas fonda. Šāda atbalsta programma atbilst EKII plānotajiem prioritārajiem atbalsta virzieniem. </w:t>
      </w:r>
    </w:p>
    <w:p w14:paraId="7E563B92" w14:textId="77777777" w:rsidR="00C03AAD" w:rsidRPr="000C750B" w:rsidRDefault="00C03AAD" w:rsidP="00C03AAD">
      <w:pPr>
        <w:pStyle w:val="tvhtml"/>
        <w:shd w:val="clear" w:color="auto" w:fill="FFFFFF"/>
        <w:spacing w:line="293" w:lineRule="atLeast"/>
        <w:ind w:firstLine="300"/>
        <w:jc w:val="both"/>
        <w:rPr>
          <w:i/>
          <w:lang w:val="lv-LV"/>
        </w:rPr>
      </w:pPr>
      <w:r w:rsidRPr="000C750B">
        <w:rPr>
          <w:i/>
          <w:lang w:val="lv-LV"/>
        </w:rPr>
        <w:lastRenderedPageBreak/>
        <w:t>Pasākumi NEKP biometāna patēriņa veicināšanai mājsaimniecību (individuālajā) sektorā</w:t>
      </w:r>
    </w:p>
    <w:p w14:paraId="4D385CFB" w14:textId="77777777" w:rsidR="00C03AAD" w:rsidRPr="00CE66AD" w:rsidRDefault="00C03AAD" w:rsidP="00C03AAD">
      <w:pPr>
        <w:pStyle w:val="tvhtml"/>
        <w:shd w:val="clear" w:color="auto" w:fill="FFFFFF"/>
        <w:spacing w:line="293" w:lineRule="atLeast"/>
        <w:ind w:firstLine="300"/>
        <w:jc w:val="both"/>
        <w:rPr>
          <w:lang w:val="lv-LV"/>
        </w:rPr>
      </w:pPr>
      <w:r w:rsidRPr="00CE66AD">
        <w:rPr>
          <w:lang w:val="lv-LV"/>
        </w:rPr>
        <w:t xml:space="preserve">NEKP </w:t>
      </w:r>
      <w:r>
        <w:rPr>
          <w:lang w:val="lv-LV"/>
        </w:rPr>
        <w:t>5.2.3. punkts paredz i</w:t>
      </w:r>
      <w:r w:rsidRPr="00CE66AD">
        <w:rPr>
          <w:lang w:val="lv-LV"/>
        </w:rPr>
        <w:t>zvērtēt prasības komercbanku sektorā, lai veicinātu kvalitatīva finansējuma saņemšanu arī lietotu mazemisiju vai bezemisiju transportlīdzekļa (vecumā līdz 8 gadiem) iegādi privātpersonām un komersantiem (komerctransportam)</w:t>
      </w:r>
      <w:r>
        <w:rPr>
          <w:lang w:val="lv-LV"/>
        </w:rPr>
        <w:t xml:space="preserve">. Ja šāda programma tiktu īstenota, tad tā varētu veicināt arī ar gāzi darbināmu auto pieaugumu privātajā sektorā. </w:t>
      </w:r>
    </w:p>
    <w:p w14:paraId="0653D64A" w14:textId="77777777" w:rsidR="00C03AAD" w:rsidRDefault="00C03AAD" w:rsidP="00C03AAD">
      <w:pPr>
        <w:pStyle w:val="tvhtml"/>
        <w:shd w:val="clear" w:color="auto" w:fill="FFFFFF"/>
        <w:spacing w:line="293" w:lineRule="atLeast"/>
        <w:ind w:left="720"/>
        <w:rPr>
          <w:b/>
          <w:bCs/>
          <w:lang w:val="lv-LV"/>
        </w:rPr>
      </w:pPr>
      <w:r>
        <w:rPr>
          <w:b/>
          <w:bCs/>
          <w:lang w:val="lv-LV"/>
        </w:rPr>
        <w:t>2.4. Biometāna un s</w:t>
      </w:r>
      <w:r w:rsidRPr="0075343F">
        <w:rPr>
          <w:b/>
          <w:bCs/>
          <w:lang w:val="lv-LV"/>
        </w:rPr>
        <w:t xml:space="preserve">aspiestās dabasgāzes izmantošana transportā </w:t>
      </w:r>
    </w:p>
    <w:p w14:paraId="595084D6" w14:textId="77777777" w:rsidR="00C03AAD" w:rsidRDefault="00C03AAD" w:rsidP="00C03AAD">
      <w:pPr>
        <w:pStyle w:val="tvhtml"/>
        <w:shd w:val="clear" w:color="auto" w:fill="FFFFFF" w:themeFill="background1"/>
        <w:spacing w:line="293" w:lineRule="atLeast"/>
        <w:ind w:firstLine="300"/>
        <w:jc w:val="both"/>
        <w:rPr>
          <w:lang w:val="lv-LV"/>
        </w:rPr>
      </w:pPr>
      <w:r w:rsidRPr="263736DB">
        <w:rPr>
          <w:lang w:val="lv-LV"/>
        </w:rPr>
        <w:t>Saspiestā dabasgāze (SDG, angliskais saīsinājums – CNG) ir saspiesta dabasgāze, kas galvenokārt sastāv no metāna. SDG tiek ražota saspiežot dabasgāzi līdz mazāk nekā 1 procentam no</w:t>
      </w:r>
      <w:r>
        <w:rPr>
          <w:lang w:val="lv-LV"/>
        </w:rPr>
        <w:t xml:space="preserve"> sākotnējā</w:t>
      </w:r>
      <w:r w:rsidRPr="263736DB">
        <w:rPr>
          <w:lang w:val="lv-LV"/>
        </w:rPr>
        <w:t xml:space="preserve"> tilpuma</w:t>
      </w:r>
      <w:r>
        <w:rPr>
          <w:lang w:val="lv-LV"/>
        </w:rPr>
        <w:t xml:space="preserve">. </w:t>
      </w:r>
      <w:r w:rsidRPr="263736DB">
        <w:rPr>
          <w:lang w:val="lv-LV"/>
        </w:rPr>
        <w:t>Šādi saspiesta dabasgāze tiek turēta pie 200-230 bar spiediena un ir lietojama kā degviela automašīnu dzinējos. Saspiestajai dabasgāzei ir augstāks enerģijas saturs nekā benzīnam vai dīzeļdegvielai. Tas ir lētāks un tīrāks degvielas veids, kas nodrošina to pašu nobraukuma distanci</w:t>
      </w:r>
      <w:r>
        <w:rPr>
          <w:lang w:val="lv-LV"/>
        </w:rPr>
        <w:t xml:space="preserve"> (sk. 4. attēlu un 3. un 4. tabulu).</w:t>
      </w:r>
    </w:p>
    <w:p w14:paraId="0104E92D" w14:textId="77777777" w:rsidR="00C03AAD" w:rsidRDefault="00C03AAD" w:rsidP="00C03AAD">
      <w:pPr>
        <w:pStyle w:val="tvhtml"/>
        <w:shd w:val="clear" w:color="auto" w:fill="FFFFFF" w:themeFill="background1"/>
        <w:spacing w:line="293" w:lineRule="atLeast"/>
        <w:ind w:firstLine="300"/>
        <w:jc w:val="both"/>
        <w:rPr>
          <w:lang w:val="lv-LV"/>
        </w:rPr>
      </w:pPr>
      <w:r>
        <w:rPr>
          <w:noProof/>
          <w:lang w:val="lv-LV" w:eastAsia="lv-LV"/>
        </w:rPr>
        <w:drawing>
          <wp:inline distT="0" distB="0" distL="0" distR="0" wp14:anchorId="6DF2D7B9" wp14:editId="184ACA72">
            <wp:extent cx="5943600" cy="28467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846705"/>
                    </a:xfrm>
                    <a:prstGeom prst="rect">
                      <a:avLst/>
                    </a:prstGeom>
                  </pic:spPr>
                </pic:pic>
              </a:graphicData>
            </a:graphic>
          </wp:inline>
        </w:drawing>
      </w:r>
    </w:p>
    <w:p w14:paraId="34721840" w14:textId="77777777" w:rsidR="00C03AAD" w:rsidRDefault="00C03AAD" w:rsidP="00C03AAD">
      <w:pPr>
        <w:pStyle w:val="tvhtml"/>
        <w:numPr>
          <w:ilvl w:val="0"/>
          <w:numId w:val="3"/>
        </w:numPr>
        <w:shd w:val="clear" w:color="auto" w:fill="FFFFFF" w:themeFill="background1"/>
        <w:spacing w:line="293" w:lineRule="atLeast"/>
        <w:jc w:val="both"/>
        <w:rPr>
          <w:lang w:val="lv-LV"/>
        </w:rPr>
      </w:pPr>
      <w:r>
        <w:rPr>
          <w:lang w:val="lv-LV"/>
        </w:rPr>
        <w:t xml:space="preserve">attēls. Hipotētisks aprēķins, cik tālu var nobraukt par 10 EUR pie noteiktām degvielas cenām (avots SIA “Virši”) </w:t>
      </w:r>
    </w:p>
    <w:p w14:paraId="18190BDF" w14:textId="77777777" w:rsidR="00C03AAD" w:rsidRDefault="00C03AAD" w:rsidP="00C03AAD">
      <w:pPr>
        <w:pStyle w:val="tvhtml"/>
        <w:shd w:val="clear" w:color="auto" w:fill="FFFFFF" w:themeFill="background1"/>
        <w:spacing w:line="293" w:lineRule="atLeast"/>
        <w:jc w:val="both"/>
        <w:rPr>
          <w:lang w:val="lv-LV"/>
        </w:rPr>
      </w:pPr>
    </w:p>
    <w:p w14:paraId="13E926F8" w14:textId="77777777" w:rsidR="00C03AAD" w:rsidRDefault="00C03AAD" w:rsidP="00C03AAD">
      <w:pPr>
        <w:pStyle w:val="tvhtml"/>
        <w:shd w:val="clear" w:color="auto" w:fill="FFFFFF" w:themeFill="background1"/>
        <w:spacing w:line="293" w:lineRule="atLeast"/>
        <w:jc w:val="both"/>
        <w:rPr>
          <w:lang w:val="lv-LV"/>
        </w:rPr>
      </w:pPr>
    </w:p>
    <w:p w14:paraId="7288B5B8" w14:textId="77777777" w:rsidR="00C03AAD" w:rsidRDefault="00C03AAD" w:rsidP="00C03AAD">
      <w:pPr>
        <w:pStyle w:val="tvhtml"/>
        <w:shd w:val="clear" w:color="auto" w:fill="FFFFFF" w:themeFill="background1"/>
        <w:spacing w:line="293" w:lineRule="atLeast"/>
        <w:jc w:val="both"/>
        <w:rPr>
          <w:lang w:val="lv-LV"/>
        </w:rPr>
      </w:pPr>
    </w:p>
    <w:p w14:paraId="01B05031" w14:textId="77777777" w:rsidR="00C03AAD" w:rsidRDefault="00C03AAD" w:rsidP="00C03AAD">
      <w:pPr>
        <w:pStyle w:val="tvhtml"/>
        <w:shd w:val="clear" w:color="auto" w:fill="FFFFFF" w:themeFill="background1"/>
        <w:spacing w:line="293" w:lineRule="atLeast"/>
        <w:jc w:val="both"/>
        <w:rPr>
          <w:lang w:val="lv-LV"/>
        </w:rPr>
      </w:pPr>
    </w:p>
    <w:p w14:paraId="640118BA" w14:textId="77777777" w:rsidR="00C03AAD" w:rsidRPr="00832879" w:rsidRDefault="00C03AAD" w:rsidP="00C03AAD">
      <w:pPr>
        <w:pStyle w:val="tvhtml"/>
        <w:shd w:val="clear" w:color="auto" w:fill="FFFFFF" w:themeFill="background1"/>
        <w:spacing w:line="293" w:lineRule="atLeast"/>
        <w:ind w:firstLine="300"/>
        <w:jc w:val="right"/>
        <w:rPr>
          <w:b/>
          <w:bCs/>
          <w:lang w:val="lv-LV"/>
        </w:rPr>
      </w:pPr>
      <w:r>
        <w:rPr>
          <w:b/>
          <w:bCs/>
          <w:lang w:val="lv-LV"/>
        </w:rPr>
        <w:lastRenderedPageBreak/>
        <w:t>3. tabula. Hipotētiskā nobraukuma pārrēķins 5. attēlā minētajiem transporta līdzekļiem, ņemot vērā jaunāku informāciju par degvielas cenām un salīdzinājums ar biometānu</w:t>
      </w:r>
    </w:p>
    <w:tbl>
      <w:tblPr>
        <w:tblW w:w="8860" w:type="dxa"/>
        <w:tblCellMar>
          <w:top w:w="15" w:type="dxa"/>
          <w:bottom w:w="15" w:type="dxa"/>
        </w:tblCellMar>
        <w:tblLook w:val="04A0" w:firstRow="1" w:lastRow="0" w:firstColumn="1" w:lastColumn="0" w:noHBand="0" w:noVBand="1"/>
      </w:tblPr>
      <w:tblGrid>
        <w:gridCol w:w="3580"/>
        <w:gridCol w:w="1320"/>
        <w:gridCol w:w="1320"/>
        <w:gridCol w:w="1320"/>
        <w:gridCol w:w="1320"/>
      </w:tblGrid>
      <w:tr w:rsidR="00C03AAD" w:rsidRPr="00F37D3B" w14:paraId="301C2336" w14:textId="77777777" w:rsidTr="00036815">
        <w:trPr>
          <w:trHeight w:val="600"/>
        </w:trPr>
        <w:tc>
          <w:tcPr>
            <w:tcW w:w="3580" w:type="dxa"/>
            <w:tcBorders>
              <w:top w:val="nil"/>
              <w:left w:val="nil"/>
              <w:bottom w:val="nil"/>
              <w:right w:val="nil"/>
            </w:tcBorders>
            <w:vAlign w:val="center"/>
            <w:hideMark/>
          </w:tcPr>
          <w:p w14:paraId="191E88DE" w14:textId="77777777" w:rsidR="00C03AAD" w:rsidRPr="00F37D3B" w:rsidRDefault="00C03AAD" w:rsidP="00036815">
            <w:pPr>
              <w:spacing w:after="0" w:line="240" w:lineRule="auto"/>
              <w:rPr>
                <w:rFonts w:ascii="Times New Roman" w:eastAsia="Times New Roman" w:hAnsi="Times New Roman" w:cs="Times New Roman"/>
                <w:sz w:val="24"/>
                <w:szCs w:val="24"/>
                <w:lang w:eastAsia="lv-LV"/>
              </w:rPr>
            </w:pPr>
          </w:p>
        </w:tc>
        <w:tc>
          <w:tcPr>
            <w:tcW w:w="1320" w:type="dxa"/>
            <w:tcBorders>
              <w:top w:val="nil"/>
              <w:left w:val="nil"/>
              <w:bottom w:val="nil"/>
              <w:right w:val="nil"/>
            </w:tcBorders>
            <w:vAlign w:val="center"/>
            <w:hideMark/>
          </w:tcPr>
          <w:p w14:paraId="43756957" w14:textId="77777777" w:rsidR="00C03AAD" w:rsidRPr="00F37D3B" w:rsidRDefault="00C03AAD" w:rsidP="00036815">
            <w:pPr>
              <w:spacing w:after="0" w:line="240" w:lineRule="auto"/>
              <w:jc w:val="center"/>
              <w:rPr>
                <w:rFonts w:ascii="Calibri" w:eastAsia="Times New Roman" w:hAnsi="Calibri" w:cs="Calibri"/>
                <w:b/>
                <w:bCs/>
                <w:color w:val="000000"/>
                <w:sz w:val="20"/>
                <w:szCs w:val="20"/>
                <w:lang w:eastAsia="lv-LV"/>
              </w:rPr>
            </w:pPr>
            <w:r w:rsidRPr="00F37D3B">
              <w:rPr>
                <w:rFonts w:ascii="Calibri" w:eastAsia="Times New Roman" w:hAnsi="Calibri" w:cs="Calibri"/>
                <w:b/>
                <w:bCs/>
                <w:color w:val="000000"/>
                <w:sz w:val="20"/>
                <w:szCs w:val="20"/>
                <w:lang w:eastAsia="lv-LV"/>
              </w:rPr>
              <w:t>E95</w:t>
            </w:r>
          </w:p>
        </w:tc>
        <w:tc>
          <w:tcPr>
            <w:tcW w:w="1320" w:type="dxa"/>
            <w:tcBorders>
              <w:top w:val="nil"/>
              <w:left w:val="nil"/>
              <w:bottom w:val="nil"/>
              <w:right w:val="nil"/>
            </w:tcBorders>
            <w:vAlign w:val="center"/>
            <w:hideMark/>
          </w:tcPr>
          <w:p w14:paraId="0A570D65" w14:textId="77777777" w:rsidR="00C03AAD" w:rsidRPr="00F37D3B" w:rsidRDefault="00C03AAD" w:rsidP="00036815">
            <w:pPr>
              <w:spacing w:after="0" w:line="240" w:lineRule="auto"/>
              <w:jc w:val="center"/>
              <w:rPr>
                <w:rFonts w:ascii="Calibri" w:eastAsia="Times New Roman" w:hAnsi="Calibri" w:cs="Calibri"/>
                <w:b/>
                <w:bCs/>
                <w:color w:val="000000"/>
                <w:sz w:val="20"/>
                <w:szCs w:val="20"/>
                <w:lang w:eastAsia="lv-LV"/>
              </w:rPr>
            </w:pPr>
            <w:r w:rsidRPr="00F37D3B">
              <w:rPr>
                <w:rFonts w:ascii="Calibri" w:eastAsia="Times New Roman" w:hAnsi="Calibri" w:cs="Calibri"/>
                <w:b/>
                <w:bCs/>
                <w:color w:val="000000"/>
                <w:sz w:val="20"/>
                <w:szCs w:val="20"/>
                <w:lang w:eastAsia="lv-LV"/>
              </w:rPr>
              <w:t>DD</w:t>
            </w:r>
          </w:p>
        </w:tc>
        <w:tc>
          <w:tcPr>
            <w:tcW w:w="1320" w:type="dxa"/>
            <w:tcBorders>
              <w:top w:val="nil"/>
              <w:left w:val="nil"/>
              <w:bottom w:val="nil"/>
              <w:right w:val="nil"/>
            </w:tcBorders>
            <w:vAlign w:val="center"/>
            <w:hideMark/>
          </w:tcPr>
          <w:p w14:paraId="48A9868D" w14:textId="77777777" w:rsidR="00C03AAD" w:rsidRPr="00F37D3B" w:rsidRDefault="00C03AAD" w:rsidP="00036815">
            <w:pPr>
              <w:spacing w:after="0" w:line="240" w:lineRule="auto"/>
              <w:jc w:val="center"/>
              <w:rPr>
                <w:rFonts w:ascii="Calibri" w:eastAsia="Times New Roman" w:hAnsi="Calibri" w:cs="Calibri"/>
                <w:b/>
                <w:bCs/>
                <w:color w:val="000000"/>
                <w:sz w:val="20"/>
                <w:szCs w:val="20"/>
                <w:lang w:eastAsia="lv-LV"/>
              </w:rPr>
            </w:pPr>
            <w:r w:rsidRPr="00F37D3B">
              <w:rPr>
                <w:rFonts w:ascii="Calibri" w:eastAsia="Times New Roman" w:hAnsi="Calibri" w:cs="Calibri"/>
                <w:b/>
                <w:bCs/>
                <w:color w:val="000000"/>
                <w:sz w:val="20"/>
                <w:szCs w:val="20"/>
                <w:lang w:eastAsia="lv-LV"/>
              </w:rPr>
              <w:t>CNG dabasgāze</w:t>
            </w:r>
          </w:p>
        </w:tc>
        <w:tc>
          <w:tcPr>
            <w:tcW w:w="1320" w:type="dxa"/>
            <w:tcBorders>
              <w:top w:val="nil"/>
              <w:left w:val="nil"/>
              <w:bottom w:val="nil"/>
              <w:right w:val="nil"/>
            </w:tcBorders>
            <w:vAlign w:val="center"/>
            <w:hideMark/>
          </w:tcPr>
          <w:p w14:paraId="2A9BA52B" w14:textId="77777777" w:rsidR="00C03AAD" w:rsidRPr="00F37D3B" w:rsidRDefault="00C03AAD" w:rsidP="00036815">
            <w:pPr>
              <w:spacing w:after="0" w:line="240" w:lineRule="auto"/>
              <w:jc w:val="center"/>
              <w:rPr>
                <w:rFonts w:ascii="Calibri" w:eastAsia="Times New Roman" w:hAnsi="Calibri" w:cs="Calibri"/>
                <w:b/>
                <w:bCs/>
                <w:color w:val="000000"/>
                <w:sz w:val="20"/>
                <w:szCs w:val="20"/>
                <w:lang w:eastAsia="lv-LV"/>
              </w:rPr>
            </w:pPr>
            <w:r w:rsidRPr="00F37D3B">
              <w:rPr>
                <w:rFonts w:ascii="Calibri" w:eastAsia="Times New Roman" w:hAnsi="Calibri" w:cs="Calibri"/>
                <w:b/>
                <w:bCs/>
                <w:color w:val="000000"/>
                <w:sz w:val="20"/>
                <w:szCs w:val="20"/>
                <w:lang w:eastAsia="lv-LV"/>
              </w:rPr>
              <w:t>CNG biometāns</w:t>
            </w:r>
          </w:p>
        </w:tc>
      </w:tr>
      <w:tr w:rsidR="00C03AAD" w:rsidRPr="00F37D3B" w14:paraId="3AB1DBB8" w14:textId="77777777" w:rsidTr="00036815">
        <w:trPr>
          <w:trHeight w:val="300"/>
        </w:trPr>
        <w:tc>
          <w:tcPr>
            <w:tcW w:w="3580" w:type="dxa"/>
            <w:tcBorders>
              <w:top w:val="nil"/>
              <w:left w:val="nil"/>
              <w:bottom w:val="nil"/>
              <w:right w:val="nil"/>
            </w:tcBorders>
            <w:noWrap/>
            <w:vAlign w:val="bottom"/>
            <w:hideMark/>
          </w:tcPr>
          <w:p w14:paraId="427F981F" w14:textId="77777777" w:rsidR="00C03AAD" w:rsidRPr="00F37D3B" w:rsidRDefault="00C03AAD" w:rsidP="00036815">
            <w:pPr>
              <w:spacing w:after="0" w:line="240" w:lineRule="auto"/>
              <w:rPr>
                <w:rFonts w:ascii="Calibri" w:eastAsia="Times New Roman" w:hAnsi="Calibri" w:cs="Calibri"/>
                <w:color w:val="000000"/>
                <w:lang w:eastAsia="lv-LV"/>
              </w:rPr>
            </w:pPr>
            <w:r w:rsidRPr="00F37D3B">
              <w:rPr>
                <w:rFonts w:ascii="Calibri" w:eastAsia="Times New Roman" w:hAnsi="Calibri" w:cs="Calibri"/>
                <w:color w:val="000000"/>
                <w:lang w:eastAsia="lv-LV"/>
              </w:rPr>
              <w:t>Modelis</w:t>
            </w:r>
          </w:p>
        </w:tc>
        <w:tc>
          <w:tcPr>
            <w:tcW w:w="1320" w:type="dxa"/>
            <w:tcBorders>
              <w:top w:val="nil"/>
              <w:left w:val="nil"/>
              <w:bottom w:val="nil"/>
              <w:right w:val="nil"/>
            </w:tcBorders>
            <w:noWrap/>
            <w:vAlign w:val="bottom"/>
            <w:hideMark/>
          </w:tcPr>
          <w:p w14:paraId="33FBBE5F" w14:textId="77777777" w:rsidR="00C03AAD" w:rsidRPr="00F37D3B" w:rsidRDefault="00C03AAD" w:rsidP="00036815">
            <w:pPr>
              <w:spacing w:after="0" w:line="240" w:lineRule="auto"/>
              <w:rPr>
                <w:rFonts w:ascii="Calibri" w:eastAsia="Times New Roman" w:hAnsi="Calibri" w:cs="Calibri"/>
                <w:color w:val="000000"/>
                <w:sz w:val="20"/>
                <w:szCs w:val="20"/>
                <w:lang w:eastAsia="lv-LV"/>
              </w:rPr>
            </w:pPr>
            <w:r w:rsidRPr="00F37D3B">
              <w:rPr>
                <w:rFonts w:ascii="Calibri" w:eastAsia="Times New Roman" w:hAnsi="Calibri" w:cs="Calibri"/>
                <w:color w:val="000000"/>
                <w:sz w:val="20"/>
                <w:szCs w:val="20"/>
                <w:lang w:eastAsia="lv-LV"/>
              </w:rPr>
              <w:t>1.6 TDI, 85kw</w:t>
            </w:r>
          </w:p>
        </w:tc>
        <w:tc>
          <w:tcPr>
            <w:tcW w:w="1320" w:type="dxa"/>
            <w:tcBorders>
              <w:top w:val="nil"/>
              <w:left w:val="nil"/>
              <w:bottom w:val="nil"/>
              <w:right w:val="nil"/>
            </w:tcBorders>
            <w:noWrap/>
            <w:vAlign w:val="bottom"/>
            <w:hideMark/>
          </w:tcPr>
          <w:p w14:paraId="5BC30592" w14:textId="77777777" w:rsidR="00C03AAD" w:rsidRPr="00F37D3B" w:rsidRDefault="00C03AAD" w:rsidP="00036815">
            <w:pPr>
              <w:spacing w:after="0" w:line="240" w:lineRule="auto"/>
              <w:rPr>
                <w:rFonts w:ascii="Calibri" w:eastAsia="Times New Roman" w:hAnsi="Calibri" w:cs="Calibri"/>
                <w:color w:val="000000"/>
                <w:sz w:val="20"/>
                <w:szCs w:val="20"/>
                <w:lang w:eastAsia="lv-LV"/>
              </w:rPr>
            </w:pPr>
            <w:r w:rsidRPr="00F37D3B">
              <w:rPr>
                <w:rFonts w:ascii="Calibri" w:eastAsia="Times New Roman" w:hAnsi="Calibri" w:cs="Calibri"/>
                <w:color w:val="000000"/>
                <w:sz w:val="20"/>
                <w:szCs w:val="20"/>
                <w:lang w:eastAsia="lv-LV"/>
              </w:rPr>
              <w:t>1.5 TSI, 110kw</w:t>
            </w:r>
          </w:p>
        </w:tc>
        <w:tc>
          <w:tcPr>
            <w:tcW w:w="1320" w:type="dxa"/>
            <w:tcBorders>
              <w:top w:val="nil"/>
              <w:left w:val="nil"/>
              <w:bottom w:val="nil"/>
              <w:right w:val="nil"/>
            </w:tcBorders>
            <w:noWrap/>
            <w:vAlign w:val="bottom"/>
            <w:hideMark/>
          </w:tcPr>
          <w:p w14:paraId="63B9A1AE" w14:textId="77777777" w:rsidR="00C03AAD" w:rsidRPr="00F37D3B" w:rsidRDefault="00C03AAD" w:rsidP="00036815">
            <w:pPr>
              <w:spacing w:after="0" w:line="240" w:lineRule="auto"/>
              <w:rPr>
                <w:rFonts w:ascii="Calibri" w:eastAsia="Times New Roman" w:hAnsi="Calibri" w:cs="Calibri"/>
                <w:color w:val="000000"/>
                <w:sz w:val="20"/>
                <w:szCs w:val="20"/>
                <w:lang w:eastAsia="lv-LV"/>
              </w:rPr>
            </w:pPr>
            <w:r w:rsidRPr="00F37D3B">
              <w:rPr>
                <w:rFonts w:ascii="Calibri" w:eastAsia="Times New Roman" w:hAnsi="Calibri" w:cs="Calibri"/>
                <w:color w:val="000000"/>
                <w:sz w:val="20"/>
                <w:szCs w:val="20"/>
                <w:lang w:eastAsia="lv-LV"/>
              </w:rPr>
              <w:t>1.5 TGI, 95kw</w:t>
            </w:r>
          </w:p>
        </w:tc>
        <w:tc>
          <w:tcPr>
            <w:tcW w:w="1320" w:type="dxa"/>
            <w:tcBorders>
              <w:top w:val="nil"/>
              <w:left w:val="nil"/>
              <w:bottom w:val="nil"/>
              <w:right w:val="nil"/>
            </w:tcBorders>
            <w:noWrap/>
            <w:vAlign w:val="bottom"/>
            <w:hideMark/>
          </w:tcPr>
          <w:p w14:paraId="637C82C6" w14:textId="77777777" w:rsidR="00C03AAD" w:rsidRPr="00F37D3B" w:rsidRDefault="00C03AAD" w:rsidP="00036815">
            <w:pPr>
              <w:spacing w:after="0" w:line="240" w:lineRule="auto"/>
              <w:rPr>
                <w:rFonts w:ascii="Calibri" w:eastAsia="Times New Roman" w:hAnsi="Calibri" w:cs="Calibri"/>
                <w:color w:val="000000"/>
                <w:sz w:val="20"/>
                <w:szCs w:val="20"/>
                <w:lang w:eastAsia="lv-LV"/>
              </w:rPr>
            </w:pPr>
            <w:r w:rsidRPr="00F37D3B">
              <w:rPr>
                <w:rFonts w:ascii="Calibri" w:eastAsia="Times New Roman" w:hAnsi="Calibri" w:cs="Calibri"/>
                <w:color w:val="000000"/>
                <w:sz w:val="20"/>
                <w:szCs w:val="20"/>
                <w:lang w:eastAsia="lv-LV"/>
              </w:rPr>
              <w:t>1.5 TGI, 95kw</w:t>
            </w:r>
          </w:p>
        </w:tc>
      </w:tr>
      <w:tr w:rsidR="00C03AAD" w:rsidRPr="00F37D3B" w14:paraId="4593CC19" w14:textId="77777777" w:rsidTr="00036815">
        <w:trPr>
          <w:trHeight w:val="300"/>
        </w:trPr>
        <w:tc>
          <w:tcPr>
            <w:tcW w:w="3580" w:type="dxa"/>
            <w:tcBorders>
              <w:top w:val="nil"/>
              <w:left w:val="nil"/>
              <w:bottom w:val="nil"/>
              <w:right w:val="nil"/>
            </w:tcBorders>
            <w:noWrap/>
            <w:vAlign w:val="bottom"/>
            <w:hideMark/>
          </w:tcPr>
          <w:p w14:paraId="5446EA00" w14:textId="77777777" w:rsidR="00C03AAD" w:rsidRPr="00F37D3B" w:rsidRDefault="00C03AAD" w:rsidP="00036815">
            <w:pPr>
              <w:spacing w:after="0" w:line="240" w:lineRule="auto"/>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Patēriņš l/kg/100km</w:t>
            </w:r>
          </w:p>
        </w:tc>
        <w:tc>
          <w:tcPr>
            <w:tcW w:w="1320" w:type="dxa"/>
            <w:tcBorders>
              <w:top w:val="nil"/>
              <w:left w:val="nil"/>
              <w:bottom w:val="nil"/>
              <w:right w:val="nil"/>
            </w:tcBorders>
            <w:noWrap/>
            <w:vAlign w:val="bottom"/>
            <w:hideMark/>
          </w:tcPr>
          <w:p w14:paraId="3F8BD8C4"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6,0</w:t>
            </w:r>
          </w:p>
        </w:tc>
        <w:tc>
          <w:tcPr>
            <w:tcW w:w="1320" w:type="dxa"/>
            <w:tcBorders>
              <w:top w:val="nil"/>
              <w:left w:val="nil"/>
              <w:bottom w:val="nil"/>
              <w:right w:val="nil"/>
            </w:tcBorders>
            <w:noWrap/>
            <w:vAlign w:val="bottom"/>
            <w:hideMark/>
          </w:tcPr>
          <w:p w14:paraId="7307BE14"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5,1</w:t>
            </w:r>
          </w:p>
        </w:tc>
        <w:tc>
          <w:tcPr>
            <w:tcW w:w="1320" w:type="dxa"/>
            <w:tcBorders>
              <w:top w:val="nil"/>
              <w:left w:val="nil"/>
              <w:bottom w:val="nil"/>
              <w:right w:val="nil"/>
            </w:tcBorders>
            <w:noWrap/>
            <w:vAlign w:val="bottom"/>
            <w:hideMark/>
          </w:tcPr>
          <w:p w14:paraId="0B13EE2B"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4,4</w:t>
            </w:r>
          </w:p>
        </w:tc>
        <w:tc>
          <w:tcPr>
            <w:tcW w:w="1320" w:type="dxa"/>
            <w:tcBorders>
              <w:top w:val="nil"/>
              <w:left w:val="nil"/>
              <w:bottom w:val="nil"/>
              <w:right w:val="nil"/>
            </w:tcBorders>
            <w:noWrap/>
            <w:vAlign w:val="bottom"/>
            <w:hideMark/>
          </w:tcPr>
          <w:p w14:paraId="16A4A67D"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4,4</w:t>
            </w:r>
          </w:p>
        </w:tc>
      </w:tr>
      <w:tr w:rsidR="00C03AAD" w:rsidRPr="00F37D3B" w14:paraId="201C49D8" w14:textId="77777777" w:rsidTr="00036815">
        <w:trPr>
          <w:trHeight w:val="300"/>
        </w:trPr>
        <w:tc>
          <w:tcPr>
            <w:tcW w:w="3580" w:type="dxa"/>
            <w:tcBorders>
              <w:top w:val="nil"/>
              <w:left w:val="nil"/>
              <w:bottom w:val="nil"/>
              <w:right w:val="nil"/>
            </w:tcBorders>
            <w:noWrap/>
            <w:vAlign w:val="bottom"/>
            <w:hideMark/>
          </w:tcPr>
          <w:p w14:paraId="5209A7E2" w14:textId="77777777" w:rsidR="00C03AAD" w:rsidRPr="00F37D3B" w:rsidRDefault="00C03AAD" w:rsidP="00036815">
            <w:pPr>
              <w:spacing w:after="0" w:line="240" w:lineRule="auto"/>
              <w:rPr>
                <w:rFonts w:ascii="Calibri" w:eastAsia="Times New Roman" w:hAnsi="Calibri" w:cs="Calibri"/>
                <w:color w:val="000000"/>
                <w:lang w:eastAsia="lv-LV"/>
              </w:rPr>
            </w:pPr>
            <w:r w:rsidRPr="00F37D3B">
              <w:rPr>
                <w:rFonts w:ascii="Calibri" w:eastAsia="Times New Roman" w:hAnsi="Calibri" w:cs="Calibri"/>
                <w:color w:val="000000"/>
                <w:lang w:eastAsia="lv-LV"/>
              </w:rPr>
              <w:t>Degvielas cena EUR/l/kg (piemērā)</w:t>
            </w:r>
          </w:p>
        </w:tc>
        <w:tc>
          <w:tcPr>
            <w:tcW w:w="1320" w:type="dxa"/>
            <w:tcBorders>
              <w:top w:val="nil"/>
              <w:left w:val="nil"/>
              <w:bottom w:val="nil"/>
              <w:right w:val="nil"/>
            </w:tcBorders>
            <w:noWrap/>
            <w:vAlign w:val="bottom"/>
            <w:hideMark/>
          </w:tcPr>
          <w:p w14:paraId="577A69E8"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1,32</w:t>
            </w:r>
          </w:p>
        </w:tc>
        <w:tc>
          <w:tcPr>
            <w:tcW w:w="1320" w:type="dxa"/>
            <w:tcBorders>
              <w:top w:val="nil"/>
              <w:left w:val="nil"/>
              <w:bottom w:val="nil"/>
              <w:right w:val="nil"/>
            </w:tcBorders>
            <w:noWrap/>
            <w:vAlign w:val="bottom"/>
            <w:hideMark/>
          </w:tcPr>
          <w:p w14:paraId="0E3DDD33"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1,25</w:t>
            </w:r>
          </w:p>
        </w:tc>
        <w:tc>
          <w:tcPr>
            <w:tcW w:w="1320" w:type="dxa"/>
            <w:tcBorders>
              <w:top w:val="nil"/>
              <w:left w:val="nil"/>
              <w:bottom w:val="nil"/>
              <w:right w:val="nil"/>
            </w:tcBorders>
            <w:noWrap/>
            <w:vAlign w:val="bottom"/>
            <w:hideMark/>
          </w:tcPr>
          <w:p w14:paraId="765BA0ED"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0,98</w:t>
            </w:r>
          </w:p>
        </w:tc>
        <w:tc>
          <w:tcPr>
            <w:tcW w:w="1320" w:type="dxa"/>
            <w:tcBorders>
              <w:top w:val="nil"/>
              <w:left w:val="nil"/>
              <w:bottom w:val="nil"/>
              <w:right w:val="nil"/>
            </w:tcBorders>
            <w:noWrap/>
            <w:vAlign w:val="bottom"/>
            <w:hideMark/>
          </w:tcPr>
          <w:p w14:paraId="3439952A" w14:textId="77777777" w:rsidR="00C03AAD" w:rsidRPr="00F37D3B" w:rsidRDefault="00C03AAD" w:rsidP="00036815">
            <w:pPr>
              <w:spacing w:after="0" w:line="240" w:lineRule="auto"/>
              <w:jc w:val="right"/>
              <w:rPr>
                <w:rFonts w:ascii="Calibri" w:eastAsia="Times New Roman" w:hAnsi="Calibri" w:cs="Calibri"/>
                <w:color w:val="000000"/>
                <w:lang w:eastAsia="lv-LV"/>
              </w:rPr>
            </w:pPr>
          </w:p>
        </w:tc>
      </w:tr>
      <w:tr w:rsidR="00C03AAD" w:rsidRPr="00F37D3B" w14:paraId="2BE1089D" w14:textId="77777777" w:rsidTr="00036815">
        <w:trPr>
          <w:trHeight w:val="300"/>
        </w:trPr>
        <w:tc>
          <w:tcPr>
            <w:tcW w:w="3580" w:type="dxa"/>
            <w:tcBorders>
              <w:top w:val="nil"/>
              <w:left w:val="nil"/>
              <w:bottom w:val="nil"/>
              <w:right w:val="nil"/>
            </w:tcBorders>
            <w:noWrap/>
            <w:vAlign w:val="bottom"/>
            <w:hideMark/>
          </w:tcPr>
          <w:p w14:paraId="7849B849" w14:textId="77777777" w:rsidR="00C03AAD" w:rsidRPr="00F37D3B" w:rsidRDefault="00C03AAD" w:rsidP="00036815">
            <w:pPr>
              <w:spacing w:after="0" w:line="240" w:lineRule="auto"/>
              <w:rPr>
                <w:rFonts w:ascii="Calibri" w:eastAsia="Times New Roman" w:hAnsi="Calibri" w:cs="Calibri"/>
                <w:color w:val="000000"/>
                <w:lang w:eastAsia="lv-LV"/>
              </w:rPr>
            </w:pPr>
            <w:r w:rsidRPr="00F37D3B">
              <w:rPr>
                <w:rFonts w:ascii="Calibri" w:eastAsia="Times New Roman" w:hAnsi="Calibri" w:cs="Calibri"/>
                <w:color w:val="000000"/>
                <w:lang w:eastAsia="lv-LV"/>
              </w:rPr>
              <w:t>Degvielas cena EUR/l/kg (15.11.2020)</w:t>
            </w:r>
          </w:p>
        </w:tc>
        <w:tc>
          <w:tcPr>
            <w:tcW w:w="1320" w:type="dxa"/>
            <w:tcBorders>
              <w:top w:val="nil"/>
              <w:left w:val="nil"/>
              <w:bottom w:val="nil"/>
              <w:right w:val="nil"/>
            </w:tcBorders>
            <w:noWrap/>
            <w:vAlign w:val="bottom"/>
            <w:hideMark/>
          </w:tcPr>
          <w:p w14:paraId="3F2FBA09"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1,144</w:t>
            </w:r>
          </w:p>
        </w:tc>
        <w:tc>
          <w:tcPr>
            <w:tcW w:w="1320" w:type="dxa"/>
            <w:tcBorders>
              <w:top w:val="nil"/>
              <w:left w:val="nil"/>
              <w:bottom w:val="nil"/>
              <w:right w:val="nil"/>
            </w:tcBorders>
            <w:noWrap/>
            <w:vAlign w:val="bottom"/>
            <w:hideMark/>
          </w:tcPr>
          <w:p w14:paraId="2500CC4E"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1,024</w:t>
            </w:r>
          </w:p>
        </w:tc>
        <w:tc>
          <w:tcPr>
            <w:tcW w:w="1320" w:type="dxa"/>
            <w:tcBorders>
              <w:top w:val="nil"/>
              <w:left w:val="nil"/>
              <w:bottom w:val="nil"/>
              <w:right w:val="nil"/>
            </w:tcBorders>
            <w:noWrap/>
            <w:vAlign w:val="bottom"/>
            <w:hideMark/>
          </w:tcPr>
          <w:p w14:paraId="2AAA886E"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0,9</w:t>
            </w:r>
          </w:p>
        </w:tc>
        <w:tc>
          <w:tcPr>
            <w:tcW w:w="1320" w:type="dxa"/>
            <w:tcBorders>
              <w:top w:val="nil"/>
              <w:left w:val="nil"/>
              <w:bottom w:val="nil"/>
              <w:right w:val="nil"/>
            </w:tcBorders>
            <w:noWrap/>
            <w:vAlign w:val="bottom"/>
            <w:hideMark/>
          </w:tcPr>
          <w:p w14:paraId="6B40B15C"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1,7</w:t>
            </w:r>
          </w:p>
        </w:tc>
      </w:tr>
      <w:tr w:rsidR="00C03AAD" w:rsidRPr="00F37D3B" w14:paraId="2506EB49" w14:textId="77777777" w:rsidTr="00036815">
        <w:trPr>
          <w:trHeight w:val="300"/>
        </w:trPr>
        <w:tc>
          <w:tcPr>
            <w:tcW w:w="3580" w:type="dxa"/>
            <w:tcBorders>
              <w:top w:val="nil"/>
              <w:left w:val="nil"/>
              <w:bottom w:val="nil"/>
              <w:right w:val="nil"/>
            </w:tcBorders>
            <w:noWrap/>
            <w:vAlign w:val="bottom"/>
            <w:hideMark/>
          </w:tcPr>
          <w:p w14:paraId="731441FA" w14:textId="77777777" w:rsidR="00C03AAD" w:rsidRPr="00F37D3B" w:rsidRDefault="00C03AAD" w:rsidP="00036815">
            <w:pPr>
              <w:spacing w:after="0" w:line="240" w:lineRule="auto"/>
              <w:rPr>
                <w:rFonts w:ascii="Calibri" w:eastAsia="Times New Roman" w:hAnsi="Calibri" w:cs="Calibri"/>
                <w:color w:val="000000"/>
                <w:lang w:eastAsia="lv-LV"/>
              </w:rPr>
            </w:pPr>
            <w:r w:rsidRPr="00F37D3B">
              <w:rPr>
                <w:rFonts w:ascii="Calibri" w:eastAsia="Times New Roman" w:hAnsi="Calibri" w:cs="Calibri"/>
                <w:color w:val="000000"/>
                <w:lang w:eastAsia="lv-LV"/>
              </w:rPr>
              <w:t>Degvielas daud. l/10 EUR (piemērā)</w:t>
            </w:r>
          </w:p>
        </w:tc>
        <w:tc>
          <w:tcPr>
            <w:tcW w:w="1320" w:type="dxa"/>
            <w:tcBorders>
              <w:top w:val="nil"/>
              <w:left w:val="nil"/>
              <w:bottom w:val="nil"/>
              <w:right w:val="nil"/>
            </w:tcBorders>
            <w:noWrap/>
            <w:vAlign w:val="bottom"/>
            <w:hideMark/>
          </w:tcPr>
          <w:p w14:paraId="6B3416F1"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7,6</w:t>
            </w:r>
          </w:p>
        </w:tc>
        <w:tc>
          <w:tcPr>
            <w:tcW w:w="1320" w:type="dxa"/>
            <w:tcBorders>
              <w:top w:val="nil"/>
              <w:left w:val="nil"/>
              <w:bottom w:val="nil"/>
              <w:right w:val="nil"/>
            </w:tcBorders>
            <w:noWrap/>
            <w:vAlign w:val="bottom"/>
            <w:hideMark/>
          </w:tcPr>
          <w:p w14:paraId="486116F5"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8,0</w:t>
            </w:r>
          </w:p>
        </w:tc>
        <w:tc>
          <w:tcPr>
            <w:tcW w:w="1320" w:type="dxa"/>
            <w:tcBorders>
              <w:top w:val="nil"/>
              <w:left w:val="nil"/>
              <w:bottom w:val="nil"/>
              <w:right w:val="nil"/>
            </w:tcBorders>
            <w:noWrap/>
            <w:vAlign w:val="bottom"/>
            <w:hideMark/>
          </w:tcPr>
          <w:p w14:paraId="4FBA9523"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10,2</w:t>
            </w:r>
          </w:p>
        </w:tc>
        <w:tc>
          <w:tcPr>
            <w:tcW w:w="1320" w:type="dxa"/>
            <w:tcBorders>
              <w:top w:val="nil"/>
              <w:left w:val="nil"/>
              <w:bottom w:val="nil"/>
              <w:right w:val="nil"/>
            </w:tcBorders>
            <w:noWrap/>
            <w:vAlign w:val="bottom"/>
            <w:hideMark/>
          </w:tcPr>
          <w:p w14:paraId="43F83B47" w14:textId="77777777" w:rsidR="00C03AAD" w:rsidRPr="00F37D3B" w:rsidRDefault="00C03AAD" w:rsidP="00036815">
            <w:pPr>
              <w:spacing w:after="0" w:line="240" w:lineRule="auto"/>
              <w:jc w:val="right"/>
              <w:rPr>
                <w:rFonts w:ascii="Calibri" w:eastAsia="Times New Roman" w:hAnsi="Calibri" w:cs="Calibri"/>
                <w:color w:val="000000"/>
                <w:lang w:eastAsia="lv-LV"/>
              </w:rPr>
            </w:pPr>
          </w:p>
        </w:tc>
      </w:tr>
      <w:tr w:rsidR="00C03AAD" w:rsidRPr="00F37D3B" w14:paraId="27051512" w14:textId="77777777" w:rsidTr="00036815">
        <w:trPr>
          <w:trHeight w:val="300"/>
        </w:trPr>
        <w:tc>
          <w:tcPr>
            <w:tcW w:w="3580" w:type="dxa"/>
            <w:tcBorders>
              <w:top w:val="nil"/>
              <w:left w:val="nil"/>
              <w:bottom w:val="nil"/>
              <w:right w:val="nil"/>
            </w:tcBorders>
            <w:noWrap/>
            <w:vAlign w:val="bottom"/>
            <w:hideMark/>
          </w:tcPr>
          <w:p w14:paraId="157D16DB" w14:textId="77777777" w:rsidR="00C03AAD" w:rsidRPr="00F37D3B" w:rsidRDefault="00C03AAD" w:rsidP="00036815">
            <w:pPr>
              <w:spacing w:after="0" w:line="240" w:lineRule="auto"/>
              <w:rPr>
                <w:rFonts w:ascii="Calibri" w:eastAsia="Times New Roman" w:hAnsi="Calibri" w:cs="Calibri"/>
                <w:color w:val="000000"/>
                <w:lang w:eastAsia="lv-LV"/>
              </w:rPr>
            </w:pPr>
            <w:r w:rsidRPr="00F37D3B">
              <w:rPr>
                <w:rFonts w:ascii="Calibri" w:eastAsia="Times New Roman" w:hAnsi="Calibri" w:cs="Calibri"/>
                <w:color w:val="000000"/>
                <w:lang w:eastAsia="lv-LV"/>
              </w:rPr>
              <w:t>Degvielas daud. l/10 EUR (15.11.2020)</w:t>
            </w:r>
          </w:p>
        </w:tc>
        <w:tc>
          <w:tcPr>
            <w:tcW w:w="1320" w:type="dxa"/>
            <w:tcBorders>
              <w:top w:val="nil"/>
              <w:left w:val="nil"/>
              <w:bottom w:val="nil"/>
              <w:right w:val="nil"/>
            </w:tcBorders>
            <w:noWrap/>
            <w:vAlign w:val="bottom"/>
            <w:hideMark/>
          </w:tcPr>
          <w:p w14:paraId="7AE28009"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8,7</w:t>
            </w:r>
          </w:p>
        </w:tc>
        <w:tc>
          <w:tcPr>
            <w:tcW w:w="1320" w:type="dxa"/>
            <w:tcBorders>
              <w:top w:val="nil"/>
              <w:left w:val="nil"/>
              <w:bottom w:val="nil"/>
              <w:right w:val="nil"/>
            </w:tcBorders>
            <w:noWrap/>
            <w:vAlign w:val="bottom"/>
            <w:hideMark/>
          </w:tcPr>
          <w:p w14:paraId="5E56C71D"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9,8</w:t>
            </w:r>
          </w:p>
        </w:tc>
        <w:tc>
          <w:tcPr>
            <w:tcW w:w="1320" w:type="dxa"/>
            <w:tcBorders>
              <w:top w:val="nil"/>
              <w:left w:val="nil"/>
              <w:bottom w:val="nil"/>
              <w:right w:val="nil"/>
            </w:tcBorders>
            <w:noWrap/>
            <w:vAlign w:val="bottom"/>
            <w:hideMark/>
          </w:tcPr>
          <w:p w14:paraId="42218877"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11,1</w:t>
            </w:r>
          </w:p>
        </w:tc>
        <w:tc>
          <w:tcPr>
            <w:tcW w:w="1320" w:type="dxa"/>
            <w:tcBorders>
              <w:top w:val="nil"/>
              <w:left w:val="nil"/>
              <w:bottom w:val="nil"/>
              <w:right w:val="nil"/>
            </w:tcBorders>
            <w:noWrap/>
            <w:vAlign w:val="bottom"/>
            <w:hideMark/>
          </w:tcPr>
          <w:p w14:paraId="1B7D0A69" w14:textId="77777777" w:rsidR="00C03AAD" w:rsidRPr="00F37D3B" w:rsidRDefault="00C03AAD" w:rsidP="00036815">
            <w:pPr>
              <w:spacing w:after="0" w:line="240" w:lineRule="auto"/>
              <w:jc w:val="right"/>
              <w:rPr>
                <w:rFonts w:ascii="Calibri" w:eastAsia="Times New Roman" w:hAnsi="Calibri" w:cs="Calibri"/>
                <w:color w:val="000000"/>
                <w:lang w:eastAsia="lv-LV"/>
              </w:rPr>
            </w:pPr>
            <w:r w:rsidRPr="00F37D3B">
              <w:rPr>
                <w:rFonts w:ascii="Calibri" w:eastAsia="Times New Roman" w:hAnsi="Calibri" w:cs="Calibri"/>
                <w:color w:val="000000"/>
                <w:lang w:eastAsia="lv-LV"/>
              </w:rPr>
              <w:t>5,8</w:t>
            </w:r>
          </w:p>
        </w:tc>
      </w:tr>
      <w:tr w:rsidR="00C03AAD" w:rsidRPr="00F37D3B" w14:paraId="12F877E2" w14:textId="77777777" w:rsidTr="00036815">
        <w:trPr>
          <w:trHeight w:val="300"/>
        </w:trPr>
        <w:tc>
          <w:tcPr>
            <w:tcW w:w="3580" w:type="dxa"/>
            <w:tcBorders>
              <w:top w:val="nil"/>
              <w:left w:val="nil"/>
              <w:bottom w:val="nil"/>
              <w:right w:val="nil"/>
            </w:tcBorders>
            <w:noWrap/>
            <w:vAlign w:val="bottom"/>
            <w:hideMark/>
          </w:tcPr>
          <w:p w14:paraId="09060C7D" w14:textId="77777777" w:rsidR="00C03AAD" w:rsidRPr="00F37D3B" w:rsidRDefault="00C03AAD" w:rsidP="00036815">
            <w:pPr>
              <w:spacing w:after="0" w:line="240" w:lineRule="auto"/>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Nobraukums km/10 EUR (piemērā)</w:t>
            </w:r>
          </w:p>
        </w:tc>
        <w:tc>
          <w:tcPr>
            <w:tcW w:w="1320" w:type="dxa"/>
            <w:tcBorders>
              <w:top w:val="nil"/>
              <w:left w:val="nil"/>
              <w:bottom w:val="nil"/>
              <w:right w:val="nil"/>
            </w:tcBorders>
            <w:noWrap/>
            <w:vAlign w:val="bottom"/>
            <w:hideMark/>
          </w:tcPr>
          <w:p w14:paraId="4819CCAF"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127</w:t>
            </w:r>
          </w:p>
        </w:tc>
        <w:tc>
          <w:tcPr>
            <w:tcW w:w="1320" w:type="dxa"/>
            <w:tcBorders>
              <w:top w:val="nil"/>
              <w:left w:val="nil"/>
              <w:bottom w:val="nil"/>
              <w:right w:val="nil"/>
            </w:tcBorders>
            <w:noWrap/>
            <w:vAlign w:val="bottom"/>
            <w:hideMark/>
          </w:tcPr>
          <w:p w14:paraId="20CE3509"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156</w:t>
            </w:r>
          </w:p>
        </w:tc>
        <w:tc>
          <w:tcPr>
            <w:tcW w:w="1320" w:type="dxa"/>
            <w:tcBorders>
              <w:top w:val="nil"/>
              <w:left w:val="nil"/>
              <w:bottom w:val="nil"/>
              <w:right w:val="nil"/>
            </w:tcBorders>
            <w:noWrap/>
            <w:vAlign w:val="bottom"/>
            <w:hideMark/>
          </w:tcPr>
          <w:p w14:paraId="21D55D7B"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232</w:t>
            </w:r>
          </w:p>
        </w:tc>
        <w:tc>
          <w:tcPr>
            <w:tcW w:w="1320" w:type="dxa"/>
            <w:tcBorders>
              <w:top w:val="nil"/>
              <w:left w:val="nil"/>
              <w:bottom w:val="nil"/>
              <w:right w:val="nil"/>
            </w:tcBorders>
            <w:noWrap/>
            <w:vAlign w:val="bottom"/>
            <w:hideMark/>
          </w:tcPr>
          <w:p w14:paraId="11700EE7"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p>
        </w:tc>
      </w:tr>
      <w:tr w:rsidR="00C03AAD" w:rsidRPr="00F37D3B" w14:paraId="551E8F33" w14:textId="77777777" w:rsidTr="00036815">
        <w:trPr>
          <w:trHeight w:val="300"/>
        </w:trPr>
        <w:tc>
          <w:tcPr>
            <w:tcW w:w="3580" w:type="dxa"/>
            <w:tcBorders>
              <w:top w:val="nil"/>
              <w:left w:val="nil"/>
              <w:bottom w:val="nil"/>
              <w:right w:val="nil"/>
            </w:tcBorders>
            <w:noWrap/>
            <w:vAlign w:val="bottom"/>
            <w:hideMark/>
          </w:tcPr>
          <w:p w14:paraId="611BC2E9" w14:textId="77777777" w:rsidR="00C03AAD" w:rsidRPr="00F37D3B" w:rsidRDefault="00C03AAD" w:rsidP="00036815">
            <w:pPr>
              <w:spacing w:after="0" w:line="240" w:lineRule="auto"/>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 vs E95</w:t>
            </w:r>
          </w:p>
        </w:tc>
        <w:tc>
          <w:tcPr>
            <w:tcW w:w="1320" w:type="dxa"/>
            <w:tcBorders>
              <w:top w:val="nil"/>
              <w:left w:val="nil"/>
              <w:bottom w:val="nil"/>
              <w:right w:val="nil"/>
            </w:tcBorders>
            <w:noWrap/>
            <w:vAlign w:val="bottom"/>
            <w:hideMark/>
          </w:tcPr>
          <w:p w14:paraId="01114C20" w14:textId="77777777" w:rsidR="00C03AAD" w:rsidRPr="00F37D3B" w:rsidRDefault="00C03AAD" w:rsidP="00036815">
            <w:pPr>
              <w:spacing w:after="0" w:line="240" w:lineRule="auto"/>
              <w:rPr>
                <w:rFonts w:ascii="Calibri" w:eastAsia="Times New Roman" w:hAnsi="Calibri" w:cs="Calibri"/>
                <w:b/>
                <w:bCs/>
                <w:color w:val="000000"/>
                <w:lang w:eastAsia="lv-LV"/>
              </w:rPr>
            </w:pPr>
          </w:p>
        </w:tc>
        <w:tc>
          <w:tcPr>
            <w:tcW w:w="1320" w:type="dxa"/>
            <w:tcBorders>
              <w:top w:val="nil"/>
              <w:left w:val="nil"/>
              <w:bottom w:val="nil"/>
              <w:right w:val="nil"/>
            </w:tcBorders>
            <w:noWrap/>
            <w:vAlign w:val="bottom"/>
            <w:hideMark/>
          </w:tcPr>
          <w:p w14:paraId="0FA2152F"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23%</w:t>
            </w:r>
          </w:p>
        </w:tc>
        <w:tc>
          <w:tcPr>
            <w:tcW w:w="1320" w:type="dxa"/>
            <w:tcBorders>
              <w:top w:val="nil"/>
              <w:left w:val="nil"/>
              <w:bottom w:val="nil"/>
              <w:right w:val="nil"/>
            </w:tcBorders>
            <w:noWrap/>
            <w:vAlign w:val="bottom"/>
            <w:hideMark/>
          </w:tcPr>
          <w:p w14:paraId="58137055"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83%</w:t>
            </w:r>
          </w:p>
        </w:tc>
        <w:tc>
          <w:tcPr>
            <w:tcW w:w="1320" w:type="dxa"/>
            <w:tcBorders>
              <w:top w:val="nil"/>
              <w:left w:val="nil"/>
              <w:bottom w:val="nil"/>
              <w:right w:val="nil"/>
            </w:tcBorders>
            <w:noWrap/>
            <w:vAlign w:val="bottom"/>
            <w:hideMark/>
          </w:tcPr>
          <w:p w14:paraId="7CC9646C"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p>
        </w:tc>
      </w:tr>
      <w:tr w:rsidR="00C03AAD" w:rsidRPr="00F37D3B" w14:paraId="4B82B66F" w14:textId="77777777" w:rsidTr="00036815">
        <w:trPr>
          <w:trHeight w:val="300"/>
        </w:trPr>
        <w:tc>
          <w:tcPr>
            <w:tcW w:w="3580" w:type="dxa"/>
            <w:tcBorders>
              <w:top w:val="nil"/>
              <w:left w:val="nil"/>
              <w:bottom w:val="nil"/>
              <w:right w:val="nil"/>
            </w:tcBorders>
            <w:noWrap/>
            <w:vAlign w:val="bottom"/>
            <w:hideMark/>
          </w:tcPr>
          <w:p w14:paraId="10687D0F" w14:textId="77777777" w:rsidR="00C03AAD" w:rsidRPr="00F37D3B" w:rsidRDefault="00C03AAD" w:rsidP="00036815">
            <w:pPr>
              <w:spacing w:after="0" w:line="240" w:lineRule="auto"/>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Nobraukums km/10 EUR (15.11.2020)</w:t>
            </w:r>
          </w:p>
        </w:tc>
        <w:tc>
          <w:tcPr>
            <w:tcW w:w="1320" w:type="dxa"/>
            <w:tcBorders>
              <w:top w:val="nil"/>
              <w:left w:val="nil"/>
              <w:bottom w:val="nil"/>
              <w:right w:val="nil"/>
            </w:tcBorders>
            <w:noWrap/>
            <w:vAlign w:val="bottom"/>
            <w:hideMark/>
          </w:tcPr>
          <w:p w14:paraId="139260A6"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147</w:t>
            </w:r>
          </w:p>
        </w:tc>
        <w:tc>
          <w:tcPr>
            <w:tcW w:w="1320" w:type="dxa"/>
            <w:tcBorders>
              <w:top w:val="nil"/>
              <w:left w:val="nil"/>
              <w:bottom w:val="nil"/>
              <w:right w:val="nil"/>
            </w:tcBorders>
            <w:noWrap/>
            <w:vAlign w:val="bottom"/>
            <w:hideMark/>
          </w:tcPr>
          <w:p w14:paraId="71927C9F"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190</w:t>
            </w:r>
          </w:p>
        </w:tc>
        <w:tc>
          <w:tcPr>
            <w:tcW w:w="1320" w:type="dxa"/>
            <w:tcBorders>
              <w:top w:val="nil"/>
              <w:left w:val="nil"/>
              <w:bottom w:val="nil"/>
              <w:right w:val="nil"/>
            </w:tcBorders>
            <w:noWrap/>
            <w:vAlign w:val="bottom"/>
            <w:hideMark/>
          </w:tcPr>
          <w:p w14:paraId="1BC3C212"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253</w:t>
            </w:r>
          </w:p>
        </w:tc>
        <w:tc>
          <w:tcPr>
            <w:tcW w:w="1320" w:type="dxa"/>
            <w:tcBorders>
              <w:top w:val="nil"/>
              <w:left w:val="nil"/>
              <w:bottom w:val="nil"/>
              <w:right w:val="nil"/>
            </w:tcBorders>
            <w:noWrap/>
            <w:vAlign w:val="bottom"/>
            <w:hideMark/>
          </w:tcPr>
          <w:p w14:paraId="3FF8EC01"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131</w:t>
            </w:r>
          </w:p>
        </w:tc>
      </w:tr>
      <w:tr w:rsidR="00C03AAD" w:rsidRPr="00F37D3B" w14:paraId="7647DD6D" w14:textId="77777777" w:rsidTr="00036815">
        <w:trPr>
          <w:trHeight w:val="300"/>
        </w:trPr>
        <w:tc>
          <w:tcPr>
            <w:tcW w:w="3580" w:type="dxa"/>
            <w:tcBorders>
              <w:top w:val="nil"/>
              <w:left w:val="nil"/>
              <w:bottom w:val="nil"/>
              <w:right w:val="nil"/>
            </w:tcBorders>
            <w:noWrap/>
            <w:vAlign w:val="bottom"/>
            <w:hideMark/>
          </w:tcPr>
          <w:p w14:paraId="709D9285" w14:textId="77777777" w:rsidR="00C03AAD" w:rsidRPr="00F37D3B" w:rsidRDefault="00C03AAD" w:rsidP="00036815">
            <w:pPr>
              <w:spacing w:after="0" w:line="240" w:lineRule="auto"/>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 vs E95</w:t>
            </w:r>
          </w:p>
        </w:tc>
        <w:tc>
          <w:tcPr>
            <w:tcW w:w="1320" w:type="dxa"/>
            <w:tcBorders>
              <w:top w:val="nil"/>
              <w:left w:val="nil"/>
              <w:bottom w:val="nil"/>
              <w:right w:val="nil"/>
            </w:tcBorders>
            <w:noWrap/>
            <w:vAlign w:val="bottom"/>
            <w:hideMark/>
          </w:tcPr>
          <w:p w14:paraId="680ADC1E" w14:textId="77777777" w:rsidR="00C03AAD" w:rsidRPr="00F37D3B" w:rsidRDefault="00C03AAD" w:rsidP="00036815">
            <w:pPr>
              <w:spacing w:after="0" w:line="240" w:lineRule="auto"/>
              <w:rPr>
                <w:rFonts w:ascii="Calibri" w:eastAsia="Times New Roman" w:hAnsi="Calibri" w:cs="Calibri"/>
                <w:b/>
                <w:bCs/>
                <w:color w:val="000000"/>
                <w:lang w:eastAsia="lv-LV"/>
              </w:rPr>
            </w:pPr>
          </w:p>
        </w:tc>
        <w:tc>
          <w:tcPr>
            <w:tcW w:w="1320" w:type="dxa"/>
            <w:tcBorders>
              <w:top w:val="nil"/>
              <w:left w:val="nil"/>
              <w:bottom w:val="nil"/>
              <w:right w:val="nil"/>
            </w:tcBorders>
            <w:noWrap/>
            <w:vAlign w:val="bottom"/>
            <w:hideMark/>
          </w:tcPr>
          <w:p w14:paraId="03AB6902"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30%</w:t>
            </w:r>
          </w:p>
        </w:tc>
        <w:tc>
          <w:tcPr>
            <w:tcW w:w="1320" w:type="dxa"/>
            <w:tcBorders>
              <w:top w:val="nil"/>
              <w:left w:val="nil"/>
              <w:bottom w:val="nil"/>
              <w:right w:val="nil"/>
            </w:tcBorders>
            <w:noWrap/>
            <w:vAlign w:val="bottom"/>
            <w:hideMark/>
          </w:tcPr>
          <w:p w14:paraId="61E819BD"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72%</w:t>
            </w:r>
          </w:p>
        </w:tc>
        <w:tc>
          <w:tcPr>
            <w:tcW w:w="1320" w:type="dxa"/>
            <w:tcBorders>
              <w:top w:val="nil"/>
              <w:left w:val="nil"/>
              <w:bottom w:val="nil"/>
              <w:right w:val="nil"/>
            </w:tcBorders>
            <w:noWrap/>
            <w:vAlign w:val="bottom"/>
            <w:hideMark/>
          </w:tcPr>
          <w:p w14:paraId="2030415A" w14:textId="77777777" w:rsidR="00C03AAD" w:rsidRPr="00F37D3B" w:rsidRDefault="00C03AAD" w:rsidP="00036815">
            <w:pPr>
              <w:spacing w:after="0" w:line="240" w:lineRule="auto"/>
              <w:jc w:val="right"/>
              <w:rPr>
                <w:rFonts w:ascii="Calibri" w:eastAsia="Times New Roman" w:hAnsi="Calibri" w:cs="Calibri"/>
                <w:b/>
                <w:bCs/>
                <w:color w:val="000000"/>
                <w:lang w:eastAsia="lv-LV"/>
              </w:rPr>
            </w:pPr>
            <w:r w:rsidRPr="00F37D3B">
              <w:rPr>
                <w:rFonts w:ascii="Calibri" w:eastAsia="Times New Roman" w:hAnsi="Calibri" w:cs="Calibri"/>
                <w:b/>
                <w:bCs/>
                <w:color w:val="000000"/>
                <w:lang w:eastAsia="lv-LV"/>
              </w:rPr>
              <w:t>-10%</w:t>
            </w:r>
          </w:p>
        </w:tc>
      </w:tr>
    </w:tbl>
    <w:p w14:paraId="3E06A698" w14:textId="77777777" w:rsidR="00C03AAD" w:rsidRDefault="00C03AAD" w:rsidP="00C03AAD">
      <w:pPr>
        <w:pStyle w:val="tvhtml"/>
        <w:shd w:val="clear" w:color="auto" w:fill="FFFFFF" w:themeFill="background1"/>
        <w:spacing w:line="293" w:lineRule="atLeast"/>
        <w:ind w:firstLine="300"/>
        <w:jc w:val="both"/>
        <w:rPr>
          <w:lang w:val="lv-LV"/>
        </w:rPr>
      </w:pPr>
    </w:p>
    <w:p w14:paraId="2031E2C6" w14:textId="77777777" w:rsidR="00C03AAD" w:rsidRPr="00832879" w:rsidRDefault="00C03AAD" w:rsidP="00C03AAD">
      <w:pPr>
        <w:pStyle w:val="tvhtml"/>
        <w:shd w:val="clear" w:color="auto" w:fill="FFFFFF" w:themeFill="background1"/>
        <w:spacing w:line="293" w:lineRule="atLeast"/>
        <w:ind w:left="810"/>
        <w:jc w:val="right"/>
        <w:rPr>
          <w:b/>
          <w:bCs/>
          <w:lang w:val="lv-LV"/>
        </w:rPr>
      </w:pPr>
      <w:r>
        <w:rPr>
          <w:b/>
          <w:bCs/>
          <w:lang w:val="lv-LV"/>
        </w:rPr>
        <w:t>4.tabula. Potenciālas biometāna cenas aprēķins degvielas uzpildes stacijā.</w:t>
      </w:r>
    </w:p>
    <w:p w14:paraId="34D57955" w14:textId="77777777" w:rsidR="00C03AAD" w:rsidRDefault="00C03AAD" w:rsidP="00C03AAD">
      <w:pPr>
        <w:pStyle w:val="tvhtml"/>
        <w:shd w:val="clear" w:color="auto" w:fill="FFFFFF" w:themeFill="background1"/>
        <w:spacing w:line="293" w:lineRule="atLeast"/>
        <w:ind w:firstLine="300"/>
        <w:jc w:val="both"/>
        <w:rPr>
          <w:lang w:val="lv-LV"/>
        </w:rPr>
      </w:pPr>
      <w:r>
        <w:rPr>
          <w:lang w:val="lv-LV"/>
        </w:rPr>
        <w:t xml:space="preserve"> </w:t>
      </w:r>
      <w:r w:rsidRPr="263736DB">
        <w:rPr>
          <w:lang w:val="lv-LV"/>
        </w:rPr>
        <w:t xml:space="preserve"> </w:t>
      </w:r>
    </w:p>
    <w:tbl>
      <w:tblPr>
        <w:tblW w:w="10280" w:type="dxa"/>
        <w:tblCellMar>
          <w:top w:w="15" w:type="dxa"/>
          <w:bottom w:w="15" w:type="dxa"/>
        </w:tblCellMar>
        <w:tblLook w:val="04A0" w:firstRow="1" w:lastRow="0" w:firstColumn="1" w:lastColumn="0" w:noHBand="0" w:noVBand="1"/>
      </w:tblPr>
      <w:tblGrid>
        <w:gridCol w:w="4280"/>
        <w:gridCol w:w="1500"/>
        <w:gridCol w:w="1500"/>
        <w:gridCol w:w="1500"/>
        <w:gridCol w:w="1500"/>
      </w:tblGrid>
      <w:tr w:rsidR="00C03AAD" w:rsidRPr="00E80796" w14:paraId="3F43A33F" w14:textId="77777777" w:rsidTr="00036815">
        <w:trPr>
          <w:trHeight w:val="645"/>
        </w:trPr>
        <w:tc>
          <w:tcPr>
            <w:tcW w:w="4280" w:type="dxa"/>
            <w:tcBorders>
              <w:top w:val="nil"/>
              <w:left w:val="nil"/>
              <w:bottom w:val="nil"/>
              <w:right w:val="nil"/>
            </w:tcBorders>
            <w:vAlign w:val="center"/>
            <w:hideMark/>
          </w:tcPr>
          <w:p w14:paraId="7C9C7C94" w14:textId="77777777" w:rsidR="00C03AAD" w:rsidRPr="00832879" w:rsidRDefault="00C03AAD" w:rsidP="00036815">
            <w:pPr>
              <w:spacing w:after="0" w:line="240" w:lineRule="auto"/>
              <w:rPr>
                <w:rFonts w:ascii="Times New Roman" w:eastAsia="Times New Roman" w:hAnsi="Times New Roman" w:cs="Times New Roman"/>
                <w:lang w:eastAsia="lv-LV"/>
              </w:rPr>
            </w:pPr>
          </w:p>
        </w:tc>
        <w:tc>
          <w:tcPr>
            <w:tcW w:w="1500" w:type="dxa"/>
            <w:tcBorders>
              <w:top w:val="nil"/>
              <w:left w:val="nil"/>
              <w:bottom w:val="nil"/>
              <w:right w:val="nil"/>
            </w:tcBorders>
            <w:vAlign w:val="center"/>
            <w:hideMark/>
          </w:tcPr>
          <w:p w14:paraId="1A643DA4" w14:textId="77777777" w:rsidR="00C03AAD" w:rsidRPr="00832879" w:rsidRDefault="00C03AAD" w:rsidP="00036815">
            <w:pPr>
              <w:spacing w:after="0" w:line="240" w:lineRule="auto"/>
              <w:jc w:val="center"/>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CNG dabasgāze Virši</w:t>
            </w:r>
          </w:p>
        </w:tc>
        <w:tc>
          <w:tcPr>
            <w:tcW w:w="1500" w:type="dxa"/>
            <w:tcBorders>
              <w:top w:val="nil"/>
              <w:left w:val="nil"/>
              <w:bottom w:val="nil"/>
              <w:right w:val="nil"/>
            </w:tcBorders>
            <w:vAlign w:val="center"/>
            <w:hideMark/>
          </w:tcPr>
          <w:p w14:paraId="129D8A6F" w14:textId="77777777" w:rsidR="00C03AAD" w:rsidRPr="00832879" w:rsidRDefault="00C03AAD" w:rsidP="00036815">
            <w:pPr>
              <w:spacing w:after="0" w:line="240" w:lineRule="auto"/>
              <w:jc w:val="center"/>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CNG dabasgāze</w:t>
            </w:r>
          </w:p>
        </w:tc>
        <w:tc>
          <w:tcPr>
            <w:tcW w:w="1500" w:type="dxa"/>
            <w:tcBorders>
              <w:top w:val="nil"/>
              <w:left w:val="nil"/>
              <w:bottom w:val="nil"/>
              <w:right w:val="nil"/>
            </w:tcBorders>
            <w:vAlign w:val="center"/>
            <w:hideMark/>
          </w:tcPr>
          <w:p w14:paraId="40D46D3C" w14:textId="77777777" w:rsidR="00C03AAD" w:rsidRPr="00832879" w:rsidRDefault="00C03AAD" w:rsidP="00036815">
            <w:pPr>
              <w:spacing w:after="0" w:line="240" w:lineRule="auto"/>
              <w:jc w:val="center"/>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CNG biogāze (ātrā uzpilde)</w:t>
            </w:r>
          </w:p>
        </w:tc>
        <w:tc>
          <w:tcPr>
            <w:tcW w:w="1500" w:type="dxa"/>
            <w:tcBorders>
              <w:top w:val="nil"/>
              <w:left w:val="nil"/>
              <w:bottom w:val="nil"/>
              <w:right w:val="nil"/>
            </w:tcBorders>
            <w:vAlign w:val="center"/>
            <w:hideMark/>
          </w:tcPr>
          <w:p w14:paraId="306F7761" w14:textId="77777777" w:rsidR="00C03AAD" w:rsidRPr="00832879" w:rsidRDefault="00C03AAD" w:rsidP="00036815">
            <w:pPr>
              <w:spacing w:after="0" w:line="240" w:lineRule="auto"/>
              <w:jc w:val="center"/>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CNG biogāze (lēnā uzpilde)</w:t>
            </w:r>
          </w:p>
        </w:tc>
      </w:tr>
      <w:tr w:rsidR="00C03AAD" w:rsidRPr="00E80796" w14:paraId="751FECBE" w14:textId="77777777" w:rsidTr="00036815">
        <w:trPr>
          <w:trHeight w:val="315"/>
        </w:trPr>
        <w:tc>
          <w:tcPr>
            <w:tcW w:w="4280" w:type="dxa"/>
            <w:tcBorders>
              <w:top w:val="nil"/>
              <w:left w:val="nil"/>
              <w:bottom w:val="nil"/>
              <w:right w:val="nil"/>
            </w:tcBorders>
            <w:vAlign w:val="bottom"/>
            <w:hideMark/>
          </w:tcPr>
          <w:p w14:paraId="20DA8E04" w14:textId="77777777" w:rsidR="00C03AAD" w:rsidRPr="00832879" w:rsidRDefault="00C03AAD" w:rsidP="00036815">
            <w:pPr>
              <w:spacing w:after="0" w:line="240" w:lineRule="auto"/>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Biržas peiods</w:t>
            </w:r>
          </w:p>
        </w:tc>
        <w:tc>
          <w:tcPr>
            <w:tcW w:w="1500" w:type="dxa"/>
            <w:tcBorders>
              <w:top w:val="nil"/>
              <w:left w:val="nil"/>
              <w:bottom w:val="nil"/>
              <w:right w:val="nil"/>
            </w:tcBorders>
            <w:noWrap/>
            <w:vAlign w:val="bottom"/>
            <w:hideMark/>
          </w:tcPr>
          <w:p w14:paraId="7B86F908"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Aug.20</w:t>
            </w:r>
          </w:p>
        </w:tc>
        <w:tc>
          <w:tcPr>
            <w:tcW w:w="1500" w:type="dxa"/>
            <w:tcBorders>
              <w:top w:val="nil"/>
              <w:left w:val="nil"/>
              <w:bottom w:val="nil"/>
              <w:right w:val="nil"/>
            </w:tcBorders>
            <w:noWrap/>
            <w:vAlign w:val="bottom"/>
            <w:hideMark/>
          </w:tcPr>
          <w:p w14:paraId="040C8FFC"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p>
        </w:tc>
        <w:tc>
          <w:tcPr>
            <w:tcW w:w="1500" w:type="dxa"/>
            <w:tcBorders>
              <w:top w:val="nil"/>
              <w:left w:val="nil"/>
              <w:bottom w:val="nil"/>
              <w:right w:val="nil"/>
            </w:tcBorders>
            <w:noWrap/>
            <w:vAlign w:val="bottom"/>
            <w:hideMark/>
          </w:tcPr>
          <w:p w14:paraId="70FC758F" w14:textId="77777777" w:rsidR="00C03AAD" w:rsidRPr="00832879" w:rsidRDefault="00C03AAD" w:rsidP="00036815">
            <w:pPr>
              <w:spacing w:after="0" w:line="240" w:lineRule="auto"/>
              <w:jc w:val="right"/>
              <w:rPr>
                <w:rFonts w:ascii="Times New Roman" w:eastAsia="Times New Roman" w:hAnsi="Times New Roman" w:cs="Times New Roman"/>
                <w:lang w:eastAsia="lv-LV"/>
              </w:rPr>
            </w:pPr>
          </w:p>
        </w:tc>
        <w:tc>
          <w:tcPr>
            <w:tcW w:w="1500" w:type="dxa"/>
            <w:tcBorders>
              <w:top w:val="nil"/>
              <w:left w:val="nil"/>
              <w:bottom w:val="nil"/>
              <w:right w:val="nil"/>
            </w:tcBorders>
            <w:noWrap/>
            <w:vAlign w:val="bottom"/>
            <w:hideMark/>
          </w:tcPr>
          <w:p w14:paraId="2036E5F0" w14:textId="77777777" w:rsidR="00C03AAD" w:rsidRPr="00832879" w:rsidRDefault="00C03AAD" w:rsidP="00036815">
            <w:pPr>
              <w:spacing w:after="0" w:line="240" w:lineRule="auto"/>
              <w:jc w:val="right"/>
              <w:rPr>
                <w:rFonts w:ascii="Times New Roman" w:eastAsia="Times New Roman" w:hAnsi="Times New Roman" w:cs="Times New Roman"/>
                <w:lang w:eastAsia="lv-LV"/>
              </w:rPr>
            </w:pPr>
          </w:p>
        </w:tc>
      </w:tr>
      <w:tr w:rsidR="00C03AAD" w:rsidRPr="00E80796" w14:paraId="417B4DAC" w14:textId="77777777" w:rsidTr="00036815">
        <w:trPr>
          <w:trHeight w:val="300"/>
        </w:trPr>
        <w:tc>
          <w:tcPr>
            <w:tcW w:w="4280" w:type="dxa"/>
            <w:tcBorders>
              <w:top w:val="nil"/>
              <w:left w:val="nil"/>
              <w:bottom w:val="nil"/>
              <w:right w:val="nil"/>
            </w:tcBorders>
            <w:noWrap/>
            <w:vAlign w:val="bottom"/>
            <w:hideMark/>
          </w:tcPr>
          <w:p w14:paraId="64CA3CF1" w14:textId="77777777" w:rsidR="00C03AAD" w:rsidRPr="00832879" w:rsidRDefault="00C03AAD" w:rsidP="00036815">
            <w:pPr>
              <w:spacing w:after="0" w:line="240" w:lineRule="auto"/>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Gāzes cena biržā EUR/Mwh</w:t>
            </w:r>
          </w:p>
        </w:tc>
        <w:tc>
          <w:tcPr>
            <w:tcW w:w="1500" w:type="dxa"/>
            <w:tcBorders>
              <w:top w:val="nil"/>
              <w:left w:val="nil"/>
              <w:bottom w:val="nil"/>
              <w:right w:val="nil"/>
            </w:tcBorders>
            <w:shd w:val="clear" w:color="000000" w:fill="FFFFCC"/>
            <w:noWrap/>
            <w:vAlign w:val="bottom"/>
            <w:hideMark/>
          </w:tcPr>
          <w:p w14:paraId="3D90D692"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7,87</w:t>
            </w:r>
          </w:p>
        </w:tc>
        <w:tc>
          <w:tcPr>
            <w:tcW w:w="1500" w:type="dxa"/>
            <w:tcBorders>
              <w:top w:val="nil"/>
              <w:left w:val="nil"/>
              <w:bottom w:val="nil"/>
              <w:right w:val="nil"/>
            </w:tcBorders>
            <w:shd w:val="clear" w:color="000000" w:fill="FFFFCC"/>
            <w:noWrap/>
            <w:vAlign w:val="bottom"/>
            <w:hideMark/>
          </w:tcPr>
          <w:p w14:paraId="788483E4"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20</w:t>
            </w:r>
          </w:p>
        </w:tc>
        <w:tc>
          <w:tcPr>
            <w:tcW w:w="1500" w:type="dxa"/>
            <w:tcBorders>
              <w:top w:val="nil"/>
              <w:left w:val="nil"/>
              <w:bottom w:val="nil"/>
              <w:right w:val="nil"/>
            </w:tcBorders>
            <w:shd w:val="clear" w:color="000000" w:fill="FFFFCC"/>
            <w:noWrap/>
            <w:vAlign w:val="bottom"/>
            <w:hideMark/>
          </w:tcPr>
          <w:p w14:paraId="0EC4AE67"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65</w:t>
            </w:r>
          </w:p>
        </w:tc>
        <w:tc>
          <w:tcPr>
            <w:tcW w:w="1500" w:type="dxa"/>
            <w:tcBorders>
              <w:top w:val="nil"/>
              <w:left w:val="nil"/>
              <w:bottom w:val="nil"/>
              <w:right w:val="nil"/>
            </w:tcBorders>
            <w:shd w:val="clear" w:color="000000" w:fill="FFFFCC"/>
            <w:noWrap/>
            <w:vAlign w:val="bottom"/>
            <w:hideMark/>
          </w:tcPr>
          <w:p w14:paraId="2A63608A"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65</w:t>
            </w:r>
          </w:p>
        </w:tc>
      </w:tr>
      <w:tr w:rsidR="00C03AAD" w:rsidRPr="00E80796" w14:paraId="0444096D" w14:textId="77777777" w:rsidTr="00036815">
        <w:trPr>
          <w:trHeight w:val="300"/>
        </w:trPr>
        <w:tc>
          <w:tcPr>
            <w:tcW w:w="4280" w:type="dxa"/>
            <w:tcBorders>
              <w:top w:val="nil"/>
              <w:left w:val="nil"/>
              <w:bottom w:val="nil"/>
              <w:right w:val="nil"/>
            </w:tcBorders>
            <w:noWrap/>
            <w:vAlign w:val="bottom"/>
            <w:hideMark/>
          </w:tcPr>
          <w:p w14:paraId="325F9A86" w14:textId="77777777" w:rsidR="00C03AAD" w:rsidRPr="00832879" w:rsidRDefault="00C03AAD" w:rsidP="00036815">
            <w:pPr>
              <w:spacing w:after="0" w:line="240" w:lineRule="auto"/>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Gāzes cena biržā EUR/kg</w:t>
            </w:r>
          </w:p>
        </w:tc>
        <w:tc>
          <w:tcPr>
            <w:tcW w:w="1500" w:type="dxa"/>
            <w:tcBorders>
              <w:top w:val="nil"/>
              <w:left w:val="nil"/>
              <w:bottom w:val="nil"/>
              <w:right w:val="nil"/>
            </w:tcBorders>
            <w:noWrap/>
            <w:vAlign w:val="bottom"/>
            <w:hideMark/>
          </w:tcPr>
          <w:p w14:paraId="18B7D4C2" w14:textId="77777777" w:rsidR="00C03AAD" w:rsidRPr="00832879" w:rsidRDefault="00C03AAD" w:rsidP="00036815">
            <w:pPr>
              <w:spacing w:after="0" w:line="240" w:lineRule="auto"/>
              <w:jc w:val="right"/>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0,12</w:t>
            </w:r>
          </w:p>
        </w:tc>
        <w:tc>
          <w:tcPr>
            <w:tcW w:w="1500" w:type="dxa"/>
            <w:tcBorders>
              <w:top w:val="nil"/>
              <w:left w:val="nil"/>
              <w:bottom w:val="nil"/>
              <w:right w:val="nil"/>
            </w:tcBorders>
            <w:noWrap/>
            <w:vAlign w:val="bottom"/>
            <w:hideMark/>
          </w:tcPr>
          <w:p w14:paraId="5F69D44A" w14:textId="77777777" w:rsidR="00C03AAD" w:rsidRPr="00832879" w:rsidRDefault="00C03AAD" w:rsidP="00036815">
            <w:pPr>
              <w:spacing w:after="0" w:line="240" w:lineRule="auto"/>
              <w:jc w:val="right"/>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0,30</w:t>
            </w:r>
          </w:p>
        </w:tc>
        <w:tc>
          <w:tcPr>
            <w:tcW w:w="1500" w:type="dxa"/>
            <w:tcBorders>
              <w:top w:val="nil"/>
              <w:left w:val="nil"/>
              <w:bottom w:val="nil"/>
              <w:right w:val="nil"/>
            </w:tcBorders>
            <w:noWrap/>
            <w:vAlign w:val="bottom"/>
            <w:hideMark/>
          </w:tcPr>
          <w:p w14:paraId="7A021576" w14:textId="77777777" w:rsidR="00C03AAD" w:rsidRPr="00832879" w:rsidRDefault="00C03AAD" w:rsidP="00036815">
            <w:pPr>
              <w:spacing w:after="0" w:line="240" w:lineRule="auto"/>
              <w:jc w:val="right"/>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0,97</w:t>
            </w:r>
          </w:p>
        </w:tc>
        <w:tc>
          <w:tcPr>
            <w:tcW w:w="1500" w:type="dxa"/>
            <w:tcBorders>
              <w:top w:val="nil"/>
              <w:left w:val="nil"/>
              <w:bottom w:val="nil"/>
              <w:right w:val="nil"/>
            </w:tcBorders>
            <w:noWrap/>
            <w:vAlign w:val="bottom"/>
            <w:hideMark/>
          </w:tcPr>
          <w:p w14:paraId="3CFE565D" w14:textId="77777777" w:rsidR="00C03AAD" w:rsidRPr="00832879" w:rsidRDefault="00C03AAD" w:rsidP="00036815">
            <w:pPr>
              <w:spacing w:after="0" w:line="240" w:lineRule="auto"/>
              <w:jc w:val="right"/>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0,97</w:t>
            </w:r>
          </w:p>
        </w:tc>
      </w:tr>
      <w:tr w:rsidR="00C03AAD" w:rsidRPr="00E80796" w14:paraId="5CBBCA93" w14:textId="77777777" w:rsidTr="00036815">
        <w:trPr>
          <w:trHeight w:val="300"/>
        </w:trPr>
        <w:tc>
          <w:tcPr>
            <w:tcW w:w="4280" w:type="dxa"/>
            <w:tcBorders>
              <w:top w:val="nil"/>
              <w:left w:val="nil"/>
              <w:bottom w:val="nil"/>
              <w:right w:val="nil"/>
            </w:tcBorders>
            <w:noWrap/>
            <w:vAlign w:val="bottom"/>
            <w:hideMark/>
          </w:tcPr>
          <w:p w14:paraId="412A53B1" w14:textId="77777777" w:rsidR="00C03AAD" w:rsidRPr="00832879" w:rsidRDefault="00C03AAD" w:rsidP="00036815">
            <w:pPr>
              <w:spacing w:after="0" w:line="240" w:lineRule="auto"/>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Pārvade, sadale, tirgotāja peļņa</w:t>
            </w:r>
          </w:p>
        </w:tc>
        <w:tc>
          <w:tcPr>
            <w:tcW w:w="1500" w:type="dxa"/>
            <w:tcBorders>
              <w:top w:val="nil"/>
              <w:left w:val="nil"/>
              <w:bottom w:val="nil"/>
              <w:right w:val="nil"/>
            </w:tcBorders>
            <w:noWrap/>
            <w:vAlign w:val="bottom"/>
            <w:hideMark/>
          </w:tcPr>
          <w:p w14:paraId="0FD996E1" w14:textId="77777777" w:rsidR="00C03AAD" w:rsidRPr="00832879" w:rsidRDefault="00C03AAD" w:rsidP="00036815">
            <w:pPr>
              <w:spacing w:after="0" w:line="240" w:lineRule="auto"/>
              <w:jc w:val="right"/>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0,64</w:t>
            </w:r>
          </w:p>
        </w:tc>
        <w:tc>
          <w:tcPr>
            <w:tcW w:w="1500" w:type="dxa"/>
            <w:tcBorders>
              <w:top w:val="nil"/>
              <w:left w:val="nil"/>
              <w:bottom w:val="nil"/>
              <w:right w:val="nil"/>
            </w:tcBorders>
            <w:noWrap/>
            <w:vAlign w:val="bottom"/>
            <w:hideMark/>
          </w:tcPr>
          <w:p w14:paraId="297DE698" w14:textId="77777777" w:rsidR="00C03AAD" w:rsidRPr="00832879" w:rsidRDefault="00C03AAD" w:rsidP="00036815">
            <w:pPr>
              <w:spacing w:after="0" w:line="240" w:lineRule="auto"/>
              <w:jc w:val="right"/>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0,46</w:t>
            </w:r>
          </w:p>
        </w:tc>
        <w:tc>
          <w:tcPr>
            <w:tcW w:w="1500" w:type="dxa"/>
            <w:tcBorders>
              <w:top w:val="nil"/>
              <w:left w:val="nil"/>
              <w:bottom w:val="nil"/>
              <w:right w:val="nil"/>
            </w:tcBorders>
            <w:shd w:val="clear" w:color="000000" w:fill="FFFFCC"/>
            <w:noWrap/>
            <w:vAlign w:val="bottom"/>
            <w:hideMark/>
          </w:tcPr>
          <w:p w14:paraId="5E04192D" w14:textId="77777777" w:rsidR="00C03AAD" w:rsidRPr="00832879" w:rsidRDefault="00C03AAD" w:rsidP="00036815">
            <w:pPr>
              <w:spacing w:after="0" w:line="240" w:lineRule="auto"/>
              <w:jc w:val="right"/>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0,46</w:t>
            </w:r>
          </w:p>
        </w:tc>
        <w:tc>
          <w:tcPr>
            <w:tcW w:w="1500" w:type="dxa"/>
            <w:tcBorders>
              <w:top w:val="nil"/>
              <w:left w:val="nil"/>
              <w:bottom w:val="nil"/>
              <w:right w:val="nil"/>
            </w:tcBorders>
            <w:shd w:val="clear" w:color="000000" w:fill="FFFFCC"/>
            <w:noWrap/>
            <w:vAlign w:val="bottom"/>
            <w:hideMark/>
          </w:tcPr>
          <w:p w14:paraId="5E46C9E2" w14:textId="77777777" w:rsidR="00C03AAD" w:rsidRPr="00832879" w:rsidRDefault="00C03AAD" w:rsidP="00036815">
            <w:pPr>
              <w:spacing w:after="0" w:line="240" w:lineRule="auto"/>
              <w:jc w:val="right"/>
              <w:rPr>
                <w:rFonts w:ascii="Times New Roman" w:eastAsia="Times New Roman" w:hAnsi="Times New Roman" w:cs="Times New Roman"/>
                <w:color w:val="000000"/>
                <w:lang w:eastAsia="lv-LV"/>
              </w:rPr>
            </w:pPr>
            <w:r w:rsidRPr="00832879">
              <w:rPr>
                <w:rFonts w:ascii="Times New Roman" w:eastAsia="Times New Roman" w:hAnsi="Times New Roman" w:cs="Times New Roman"/>
                <w:color w:val="000000"/>
                <w:lang w:eastAsia="lv-LV"/>
              </w:rPr>
              <w:t>0,30</w:t>
            </w:r>
          </w:p>
        </w:tc>
      </w:tr>
      <w:tr w:rsidR="00C03AAD" w:rsidRPr="00E80796" w14:paraId="79A1E7E4" w14:textId="77777777" w:rsidTr="00036815">
        <w:trPr>
          <w:trHeight w:val="300"/>
        </w:trPr>
        <w:tc>
          <w:tcPr>
            <w:tcW w:w="4280" w:type="dxa"/>
            <w:tcBorders>
              <w:top w:val="nil"/>
              <w:left w:val="nil"/>
              <w:bottom w:val="nil"/>
              <w:right w:val="nil"/>
            </w:tcBorders>
            <w:noWrap/>
            <w:vAlign w:val="bottom"/>
            <w:hideMark/>
          </w:tcPr>
          <w:p w14:paraId="2B5763B0" w14:textId="77777777" w:rsidR="00C03AAD" w:rsidRPr="00832879" w:rsidRDefault="00C03AAD" w:rsidP="00036815">
            <w:pPr>
              <w:spacing w:after="0" w:line="240" w:lineRule="auto"/>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CNG uzpildes stacijā EUR/kg (PVN t.sk.)</w:t>
            </w:r>
          </w:p>
        </w:tc>
        <w:tc>
          <w:tcPr>
            <w:tcW w:w="1500" w:type="dxa"/>
            <w:tcBorders>
              <w:top w:val="nil"/>
              <w:left w:val="nil"/>
              <w:bottom w:val="nil"/>
              <w:right w:val="nil"/>
            </w:tcBorders>
            <w:noWrap/>
            <w:vAlign w:val="bottom"/>
            <w:hideMark/>
          </w:tcPr>
          <w:p w14:paraId="52981B32"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0,92</w:t>
            </w:r>
          </w:p>
        </w:tc>
        <w:tc>
          <w:tcPr>
            <w:tcW w:w="1500" w:type="dxa"/>
            <w:tcBorders>
              <w:top w:val="nil"/>
              <w:left w:val="nil"/>
              <w:bottom w:val="nil"/>
              <w:right w:val="nil"/>
            </w:tcBorders>
            <w:noWrap/>
            <w:vAlign w:val="bottom"/>
            <w:hideMark/>
          </w:tcPr>
          <w:p w14:paraId="30583936"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0,92</w:t>
            </w:r>
          </w:p>
        </w:tc>
        <w:tc>
          <w:tcPr>
            <w:tcW w:w="1500" w:type="dxa"/>
            <w:tcBorders>
              <w:top w:val="nil"/>
              <w:left w:val="nil"/>
              <w:bottom w:val="nil"/>
              <w:right w:val="nil"/>
            </w:tcBorders>
            <w:noWrap/>
            <w:vAlign w:val="bottom"/>
            <w:hideMark/>
          </w:tcPr>
          <w:p w14:paraId="4397A39C"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1,73</w:t>
            </w:r>
          </w:p>
        </w:tc>
        <w:tc>
          <w:tcPr>
            <w:tcW w:w="1500" w:type="dxa"/>
            <w:tcBorders>
              <w:top w:val="nil"/>
              <w:left w:val="nil"/>
              <w:bottom w:val="nil"/>
              <w:right w:val="nil"/>
            </w:tcBorders>
            <w:noWrap/>
            <w:vAlign w:val="bottom"/>
            <w:hideMark/>
          </w:tcPr>
          <w:p w14:paraId="2B6C6D17"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1,54</w:t>
            </w:r>
          </w:p>
        </w:tc>
      </w:tr>
      <w:tr w:rsidR="00C03AAD" w:rsidRPr="00E80796" w14:paraId="5E01BE6D" w14:textId="77777777" w:rsidTr="00036815">
        <w:trPr>
          <w:trHeight w:val="300"/>
        </w:trPr>
        <w:tc>
          <w:tcPr>
            <w:tcW w:w="4280" w:type="dxa"/>
            <w:tcBorders>
              <w:top w:val="nil"/>
              <w:left w:val="nil"/>
              <w:bottom w:val="nil"/>
              <w:right w:val="nil"/>
            </w:tcBorders>
            <w:noWrap/>
            <w:vAlign w:val="bottom"/>
            <w:hideMark/>
          </w:tcPr>
          <w:p w14:paraId="5349FC2E" w14:textId="77777777" w:rsidR="00C03AAD" w:rsidRPr="00832879" w:rsidRDefault="00C03AAD" w:rsidP="00036815">
            <w:pPr>
              <w:spacing w:after="0" w:line="240" w:lineRule="auto"/>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CNG uzpildes stacijā EUR/kg (bez PVN)</w:t>
            </w:r>
          </w:p>
        </w:tc>
        <w:tc>
          <w:tcPr>
            <w:tcW w:w="1500" w:type="dxa"/>
            <w:tcBorders>
              <w:top w:val="nil"/>
              <w:left w:val="nil"/>
              <w:bottom w:val="nil"/>
              <w:right w:val="nil"/>
            </w:tcBorders>
            <w:noWrap/>
            <w:vAlign w:val="bottom"/>
            <w:hideMark/>
          </w:tcPr>
          <w:p w14:paraId="585C4F58"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0,76</w:t>
            </w:r>
          </w:p>
        </w:tc>
        <w:tc>
          <w:tcPr>
            <w:tcW w:w="1500" w:type="dxa"/>
            <w:tcBorders>
              <w:top w:val="nil"/>
              <w:left w:val="nil"/>
              <w:bottom w:val="nil"/>
              <w:right w:val="nil"/>
            </w:tcBorders>
            <w:noWrap/>
            <w:vAlign w:val="bottom"/>
            <w:hideMark/>
          </w:tcPr>
          <w:p w14:paraId="685CCC9E"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0,76</w:t>
            </w:r>
          </w:p>
        </w:tc>
        <w:tc>
          <w:tcPr>
            <w:tcW w:w="1500" w:type="dxa"/>
            <w:tcBorders>
              <w:top w:val="nil"/>
              <w:left w:val="nil"/>
              <w:bottom w:val="nil"/>
              <w:right w:val="nil"/>
            </w:tcBorders>
            <w:noWrap/>
            <w:vAlign w:val="bottom"/>
            <w:hideMark/>
          </w:tcPr>
          <w:p w14:paraId="4B22A795"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1,43</w:t>
            </w:r>
          </w:p>
        </w:tc>
        <w:tc>
          <w:tcPr>
            <w:tcW w:w="1500" w:type="dxa"/>
            <w:tcBorders>
              <w:top w:val="nil"/>
              <w:left w:val="nil"/>
              <w:bottom w:val="nil"/>
              <w:right w:val="nil"/>
            </w:tcBorders>
            <w:noWrap/>
            <w:vAlign w:val="bottom"/>
            <w:hideMark/>
          </w:tcPr>
          <w:p w14:paraId="0B83E556" w14:textId="77777777" w:rsidR="00C03AAD" w:rsidRPr="00832879" w:rsidRDefault="00C03AAD" w:rsidP="00036815">
            <w:pPr>
              <w:spacing w:after="0" w:line="240" w:lineRule="auto"/>
              <w:jc w:val="right"/>
              <w:rPr>
                <w:rFonts w:ascii="Times New Roman" w:eastAsia="Times New Roman" w:hAnsi="Times New Roman" w:cs="Times New Roman"/>
                <w:b/>
                <w:bCs/>
                <w:color w:val="000000"/>
                <w:lang w:eastAsia="lv-LV"/>
              </w:rPr>
            </w:pPr>
            <w:r w:rsidRPr="00832879">
              <w:rPr>
                <w:rFonts w:ascii="Times New Roman" w:eastAsia="Times New Roman" w:hAnsi="Times New Roman" w:cs="Times New Roman"/>
                <w:b/>
                <w:bCs/>
                <w:color w:val="000000"/>
                <w:lang w:eastAsia="lv-LV"/>
              </w:rPr>
              <w:t>1,27</w:t>
            </w:r>
          </w:p>
        </w:tc>
      </w:tr>
    </w:tbl>
    <w:p w14:paraId="03F33F8E" w14:textId="77777777" w:rsidR="00C03AAD" w:rsidRDefault="00C03AAD" w:rsidP="00C03AAD">
      <w:pPr>
        <w:pStyle w:val="tvhtml"/>
        <w:shd w:val="clear" w:color="auto" w:fill="FFFFFF" w:themeFill="background1"/>
        <w:spacing w:line="293" w:lineRule="atLeast"/>
        <w:ind w:firstLine="300"/>
        <w:jc w:val="both"/>
        <w:rPr>
          <w:lang w:val="lv-LV"/>
        </w:rPr>
      </w:pPr>
    </w:p>
    <w:p w14:paraId="25D9E9E7" w14:textId="77777777" w:rsidR="00C03AAD" w:rsidRDefault="00C03AAD" w:rsidP="00C03AAD">
      <w:pPr>
        <w:pStyle w:val="tvhtml"/>
        <w:shd w:val="clear" w:color="auto" w:fill="FFFFFF" w:themeFill="background1"/>
        <w:spacing w:line="293" w:lineRule="atLeast"/>
        <w:ind w:firstLine="300"/>
        <w:jc w:val="both"/>
        <w:rPr>
          <w:lang w:val="lv-LV"/>
        </w:rPr>
      </w:pPr>
      <w:r w:rsidRPr="263736DB">
        <w:rPr>
          <w:lang w:val="lv-LV"/>
        </w:rPr>
        <w:t xml:space="preserve">Transportlīdzeklis, kas darbojas ar SDG, ir tikpat ātri un viegli uzpildāms kā benzīna vai dīzeļmotora transportlīdzekļi. Saspiestās dabasgāzes automašīnā ir divu degvielu dzinējs – to darbina gan gāze, gan benzīns. Kad gāze beigusies, auto automātiski sāk izmantot benzīnu. Šādas automašīnas tiek ražotas rūpnīcās kopā ar tradicionālajiem transportlīdzekļiem. Pasaulē SDG tiek </w:t>
      </w:r>
      <w:r w:rsidRPr="263736DB">
        <w:rPr>
          <w:lang w:val="lv-LV"/>
        </w:rPr>
        <w:lastRenderedPageBreak/>
        <w:t>plaši izmantots sabiedriskā, kravas un privāto transportlīdzekļu sektoros</w:t>
      </w:r>
      <w:r>
        <w:rPr>
          <w:lang w:val="lv-LV"/>
        </w:rPr>
        <w:t xml:space="preserve"> </w:t>
      </w:r>
      <w:r>
        <w:rPr>
          <w:rStyle w:val="FootnoteReference"/>
          <w:lang w:val="lv-LV"/>
        </w:rPr>
        <w:footnoteReference w:id="11"/>
      </w:r>
      <w:r w:rsidRPr="263736DB">
        <w:rPr>
          <w:lang w:val="lv-LV"/>
        </w:rPr>
        <w:t xml:space="preserve">. </w:t>
      </w:r>
      <w:r w:rsidRPr="263736DB" w:rsidDel="009409A5">
        <w:rPr>
          <w:lang w:val="lv-LV"/>
        </w:rPr>
        <w:t xml:space="preserve"> </w:t>
      </w:r>
      <w:r w:rsidRPr="263736DB">
        <w:rPr>
          <w:lang w:val="lv-LV"/>
        </w:rPr>
        <w:t>SDG ir degviela, kas rada mazāk emisiju nekā benzīns, dīzeļdegviela un sašķidrinātā naftas gāze. Ar SDG darbināts dzinējs rada 23-35% mazāk CO</w:t>
      </w:r>
      <w:r w:rsidRPr="0046225D">
        <w:rPr>
          <w:vertAlign w:val="subscript"/>
          <w:lang w:val="lv-LV"/>
        </w:rPr>
        <w:t>2</w:t>
      </w:r>
      <w:r w:rsidRPr="263736DB">
        <w:rPr>
          <w:lang w:val="lv-LV"/>
        </w:rPr>
        <w:t xml:space="preserve">, par 98% mazāk kaitīgo smalko putekļu un par 87-90% mazāk slāpekļa dioksīda emisijas nekā benzīna vai dīzeļdegvielas dzinēji. Ņemot vērā, ka dabasgāze un biometāns ir pēc </w:t>
      </w:r>
      <w:r>
        <w:rPr>
          <w:lang w:val="lv-LV"/>
        </w:rPr>
        <w:t>enerģētiskās vērtības</w:t>
      </w:r>
      <w:r w:rsidRPr="263736DB">
        <w:rPr>
          <w:lang w:val="lv-LV"/>
        </w:rPr>
        <w:t xml:space="preserve"> produkti</w:t>
      </w:r>
      <w:r>
        <w:rPr>
          <w:lang w:val="lv-LV"/>
        </w:rPr>
        <w:t xml:space="preserve"> ar līdzīgām īpašībām</w:t>
      </w:r>
      <w:r w:rsidRPr="263736DB">
        <w:rPr>
          <w:lang w:val="lv-LV"/>
        </w:rPr>
        <w:t xml:space="preserve">, ir būtiski, cik daudz transportlīdzekļu Latvijā var patērēt dabasgāzi un biometānu. Tehnoloģiski transportlīdzekļi var būt aprīkoti tikai dabasgāzes (biometāna) izmantošanai, vai arī tas var izmantot dabas gāzi (biometānu), kopā ar citu degvielu, piemēram dīzeļdegvielu vai benzīnu. </w:t>
      </w:r>
      <w:r>
        <w:rPr>
          <w:lang w:val="lv-LV"/>
        </w:rPr>
        <w:t>5</w:t>
      </w:r>
      <w:r w:rsidRPr="263736DB">
        <w:rPr>
          <w:lang w:val="lv-LV"/>
        </w:rPr>
        <w:t xml:space="preserve">. tabulā apkopota informācija par Latvijā reģistrētiem transportlīdzekļiem, kas izmanto dabasgāzi (biometānu). Tabulā iekļauti dati par situāciju 1.04. 2020  un 1.01. 2018, kas ļauj analizēt šo transporta līdzekļu attīstības dinamiku. </w:t>
      </w:r>
    </w:p>
    <w:p w14:paraId="33EF090D" w14:textId="77777777" w:rsidR="00C03AAD" w:rsidRDefault="00C03AAD" w:rsidP="00C03AAD">
      <w:pPr>
        <w:pStyle w:val="tvhtml"/>
        <w:shd w:val="clear" w:color="auto" w:fill="FFFFFF"/>
        <w:spacing w:line="293" w:lineRule="atLeast"/>
        <w:ind w:firstLine="300"/>
        <w:jc w:val="right"/>
        <w:rPr>
          <w:lang w:val="lv-LV"/>
        </w:rPr>
      </w:pPr>
      <w:r>
        <w:rPr>
          <w:b/>
          <w:lang w:val="lv-LV"/>
        </w:rPr>
        <w:t>5</w:t>
      </w:r>
      <w:r w:rsidRPr="000C750B">
        <w:rPr>
          <w:b/>
          <w:lang w:val="lv-LV"/>
        </w:rPr>
        <w:t>. tabula. Ceļu satiksmes drošības direkcijā reģistrēto transportlīdzekļu, kuri izmanto dabasgāzi skaits un īpatsvars no kopējā transportlīdzekļu skaita</w:t>
      </w:r>
      <w:r>
        <w:rPr>
          <w:rStyle w:val="FootnoteReference"/>
          <w:lang w:val="lv-LV"/>
        </w:rPr>
        <w:footnoteReference w:id="12"/>
      </w:r>
      <w:r>
        <w:rPr>
          <w:lang w:val="lv-LV"/>
        </w:rPr>
        <w:t xml:space="preserve"> </w:t>
      </w:r>
    </w:p>
    <w:tbl>
      <w:tblPr>
        <w:tblStyle w:val="TableGrid"/>
        <w:tblW w:w="0" w:type="auto"/>
        <w:tblLook w:val="04A0" w:firstRow="1" w:lastRow="0" w:firstColumn="1" w:lastColumn="0" w:noHBand="0" w:noVBand="1"/>
      </w:tblPr>
      <w:tblGrid>
        <w:gridCol w:w="2711"/>
        <w:gridCol w:w="744"/>
        <w:gridCol w:w="916"/>
        <w:gridCol w:w="744"/>
        <w:gridCol w:w="916"/>
        <w:gridCol w:w="744"/>
        <w:gridCol w:w="916"/>
        <w:gridCol w:w="724"/>
        <w:gridCol w:w="935"/>
      </w:tblGrid>
      <w:tr w:rsidR="00C03AAD" w:rsidRPr="002E4D07" w14:paraId="229BAEFA" w14:textId="77777777" w:rsidTr="00036815">
        <w:trPr>
          <w:trHeight w:val="260"/>
        </w:trPr>
        <w:tc>
          <w:tcPr>
            <w:tcW w:w="3240" w:type="dxa"/>
            <w:noWrap/>
            <w:hideMark/>
          </w:tcPr>
          <w:p w14:paraId="743B1229"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Degvielas</w:t>
            </w:r>
          </w:p>
        </w:tc>
        <w:tc>
          <w:tcPr>
            <w:tcW w:w="1920" w:type="dxa"/>
            <w:gridSpan w:val="2"/>
            <w:noWrap/>
            <w:hideMark/>
          </w:tcPr>
          <w:p w14:paraId="193491F4"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Kravas</w:t>
            </w:r>
          </w:p>
        </w:tc>
        <w:tc>
          <w:tcPr>
            <w:tcW w:w="1920" w:type="dxa"/>
            <w:gridSpan w:val="2"/>
            <w:noWrap/>
            <w:hideMark/>
          </w:tcPr>
          <w:p w14:paraId="10CFF637"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Vieglais</w:t>
            </w:r>
          </w:p>
        </w:tc>
        <w:tc>
          <w:tcPr>
            <w:tcW w:w="1920" w:type="dxa"/>
            <w:gridSpan w:val="2"/>
            <w:noWrap/>
            <w:hideMark/>
          </w:tcPr>
          <w:p w14:paraId="152554C7"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Autobuss</w:t>
            </w:r>
          </w:p>
        </w:tc>
        <w:tc>
          <w:tcPr>
            <w:tcW w:w="1920" w:type="dxa"/>
            <w:gridSpan w:val="2"/>
            <w:noWrap/>
            <w:hideMark/>
          </w:tcPr>
          <w:p w14:paraId="543223FE"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Kopā</w:t>
            </w:r>
          </w:p>
        </w:tc>
      </w:tr>
      <w:tr w:rsidR="00C03AAD" w:rsidRPr="002E4D07" w14:paraId="00BA38DF" w14:textId="77777777" w:rsidTr="00036815">
        <w:trPr>
          <w:trHeight w:val="260"/>
        </w:trPr>
        <w:tc>
          <w:tcPr>
            <w:tcW w:w="3240" w:type="dxa"/>
            <w:noWrap/>
            <w:hideMark/>
          </w:tcPr>
          <w:p w14:paraId="49946F48"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veids</w:t>
            </w:r>
          </w:p>
        </w:tc>
        <w:tc>
          <w:tcPr>
            <w:tcW w:w="856" w:type="dxa"/>
            <w:noWrap/>
            <w:hideMark/>
          </w:tcPr>
          <w:p w14:paraId="5E7DFB6A"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skaits</w:t>
            </w:r>
          </w:p>
        </w:tc>
        <w:tc>
          <w:tcPr>
            <w:tcW w:w="1064" w:type="dxa"/>
            <w:noWrap/>
            <w:hideMark/>
          </w:tcPr>
          <w:p w14:paraId="2222FEAE"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w:t>
            </w:r>
          </w:p>
        </w:tc>
        <w:tc>
          <w:tcPr>
            <w:tcW w:w="856" w:type="dxa"/>
            <w:noWrap/>
            <w:hideMark/>
          </w:tcPr>
          <w:p w14:paraId="339125A4"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skaits</w:t>
            </w:r>
          </w:p>
        </w:tc>
        <w:tc>
          <w:tcPr>
            <w:tcW w:w="1064" w:type="dxa"/>
            <w:noWrap/>
            <w:hideMark/>
          </w:tcPr>
          <w:p w14:paraId="625DC28B"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w:t>
            </w:r>
          </w:p>
        </w:tc>
        <w:tc>
          <w:tcPr>
            <w:tcW w:w="856" w:type="dxa"/>
            <w:noWrap/>
            <w:hideMark/>
          </w:tcPr>
          <w:p w14:paraId="41FD30A7"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skaits</w:t>
            </w:r>
          </w:p>
        </w:tc>
        <w:tc>
          <w:tcPr>
            <w:tcW w:w="1064" w:type="dxa"/>
            <w:noWrap/>
            <w:hideMark/>
          </w:tcPr>
          <w:p w14:paraId="29404E90"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w:t>
            </w:r>
          </w:p>
        </w:tc>
        <w:tc>
          <w:tcPr>
            <w:tcW w:w="832" w:type="dxa"/>
            <w:noWrap/>
            <w:hideMark/>
          </w:tcPr>
          <w:p w14:paraId="2312A043"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skaits</w:t>
            </w:r>
          </w:p>
        </w:tc>
        <w:tc>
          <w:tcPr>
            <w:tcW w:w="1088" w:type="dxa"/>
            <w:noWrap/>
            <w:hideMark/>
          </w:tcPr>
          <w:p w14:paraId="1C9AFBCA"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w:t>
            </w:r>
          </w:p>
        </w:tc>
      </w:tr>
      <w:tr w:rsidR="00C03AAD" w:rsidRPr="002E4D07" w14:paraId="796C3458" w14:textId="77777777" w:rsidTr="00036815">
        <w:trPr>
          <w:trHeight w:val="260"/>
        </w:trPr>
        <w:tc>
          <w:tcPr>
            <w:tcW w:w="3240" w:type="dxa"/>
            <w:noWrap/>
            <w:hideMark/>
          </w:tcPr>
          <w:p w14:paraId="0324773E" w14:textId="77777777" w:rsidR="00C03AAD" w:rsidRPr="00832879" w:rsidRDefault="00C03AAD" w:rsidP="00036815">
            <w:pPr>
              <w:pStyle w:val="tvhtml"/>
              <w:shd w:val="clear" w:color="auto" w:fill="FFFFFF"/>
              <w:spacing w:line="293" w:lineRule="atLeast"/>
              <w:jc w:val="both"/>
              <w:rPr>
                <w:lang w:val="lv-LV"/>
              </w:rPr>
            </w:pPr>
            <w:r w:rsidRPr="00832879">
              <w:rPr>
                <w:lang w:val="lv-LV"/>
              </w:rPr>
              <w:t>Benzīns un dabasgāze 1.10.2020</w:t>
            </w:r>
          </w:p>
        </w:tc>
        <w:tc>
          <w:tcPr>
            <w:tcW w:w="856" w:type="dxa"/>
            <w:noWrap/>
            <w:hideMark/>
          </w:tcPr>
          <w:p w14:paraId="28FF29CB" w14:textId="77777777" w:rsidR="00C03AAD" w:rsidRPr="00832879" w:rsidRDefault="00C03AAD" w:rsidP="00036815">
            <w:pPr>
              <w:pStyle w:val="tvhtml"/>
              <w:shd w:val="clear" w:color="auto" w:fill="FFFFFF"/>
              <w:spacing w:line="293" w:lineRule="atLeast"/>
              <w:jc w:val="both"/>
              <w:rPr>
                <w:lang w:val="lv-LV"/>
              </w:rPr>
            </w:pPr>
            <w:r w:rsidRPr="00832879">
              <w:rPr>
                <w:lang w:val="lv-LV"/>
              </w:rPr>
              <w:t>15</w:t>
            </w:r>
          </w:p>
        </w:tc>
        <w:tc>
          <w:tcPr>
            <w:tcW w:w="1064" w:type="dxa"/>
            <w:noWrap/>
            <w:hideMark/>
          </w:tcPr>
          <w:p w14:paraId="5FF30C6C" w14:textId="77777777" w:rsidR="00C03AAD" w:rsidRPr="00832879" w:rsidRDefault="00C03AAD" w:rsidP="00036815">
            <w:pPr>
              <w:pStyle w:val="tvhtml"/>
              <w:shd w:val="clear" w:color="auto" w:fill="FFFFFF"/>
              <w:spacing w:line="293" w:lineRule="atLeast"/>
              <w:jc w:val="both"/>
              <w:rPr>
                <w:lang w:val="lv-LV"/>
              </w:rPr>
            </w:pPr>
            <w:r w:rsidRPr="00832879">
              <w:rPr>
                <w:lang w:val="lv-LV"/>
              </w:rPr>
              <w:t>0.016</w:t>
            </w:r>
          </w:p>
        </w:tc>
        <w:tc>
          <w:tcPr>
            <w:tcW w:w="856" w:type="dxa"/>
            <w:noWrap/>
            <w:hideMark/>
          </w:tcPr>
          <w:p w14:paraId="0A307B38" w14:textId="77777777" w:rsidR="00C03AAD" w:rsidRPr="00832879" w:rsidRDefault="00C03AAD" w:rsidP="00036815">
            <w:pPr>
              <w:pStyle w:val="tvhtml"/>
              <w:shd w:val="clear" w:color="auto" w:fill="FFFFFF"/>
              <w:spacing w:line="293" w:lineRule="atLeast"/>
              <w:jc w:val="both"/>
              <w:rPr>
                <w:lang w:val="lv-LV"/>
              </w:rPr>
            </w:pPr>
            <w:r w:rsidRPr="00832879">
              <w:rPr>
                <w:lang w:val="lv-LV"/>
              </w:rPr>
              <w:t>183</w:t>
            </w:r>
          </w:p>
        </w:tc>
        <w:tc>
          <w:tcPr>
            <w:tcW w:w="1064" w:type="dxa"/>
            <w:noWrap/>
            <w:hideMark/>
          </w:tcPr>
          <w:p w14:paraId="00F3C566" w14:textId="77777777" w:rsidR="00C03AAD" w:rsidRPr="00832879" w:rsidRDefault="00C03AAD" w:rsidP="00036815">
            <w:pPr>
              <w:pStyle w:val="tvhtml"/>
              <w:shd w:val="clear" w:color="auto" w:fill="FFFFFF"/>
              <w:spacing w:line="293" w:lineRule="atLeast"/>
              <w:jc w:val="both"/>
              <w:rPr>
                <w:lang w:val="lv-LV"/>
              </w:rPr>
            </w:pPr>
            <w:r w:rsidRPr="00832879">
              <w:rPr>
                <w:lang w:val="lv-LV"/>
              </w:rPr>
              <w:t>0.025</w:t>
            </w:r>
          </w:p>
        </w:tc>
        <w:tc>
          <w:tcPr>
            <w:tcW w:w="856" w:type="dxa"/>
            <w:noWrap/>
            <w:hideMark/>
          </w:tcPr>
          <w:p w14:paraId="22E89A6C"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1064" w:type="dxa"/>
            <w:noWrap/>
            <w:hideMark/>
          </w:tcPr>
          <w:p w14:paraId="5078D5D6"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832" w:type="dxa"/>
            <w:noWrap/>
            <w:hideMark/>
          </w:tcPr>
          <w:p w14:paraId="46B0455A"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198</w:t>
            </w:r>
          </w:p>
        </w:tc>
        <w:tc>
          <w:tcPr>
            <w:tcW w:w="1088" w:type="dxa"/>
            <w:noWrap/>
            <w:hideMark/>
          </w:tcPr>
          <w:p w14:paraId="73615E51"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0.024</w:t>
            </w:r>
          </w:p>
        </w:tc>
      </w:tr>
      <w:tr w:rsidR="00C03AAD" w:rsidRPr="002E4D07" w14:paraId="0517959C" w14:textId="77777777" w:rsidTr="00036815">
        <w:trPr>
          <w:trHeight w:val="260"/>
        </w:trPr>
        <w:tc>
          <w:tcPr>
            <w:tcW w:w="3240" w:type="dxa"/>
            <w:noWrap/>
            <w:hideMark/>
          </w:tcPr>
          <w:p w14:paraId="47211BF7" w14:textId="77777777" w:rsidR="00C03AAD" w:rsidRPr="00832879" w:rsidRDefault="00C03AAD" w:rsidP="00036815">
            <w:pPr>
              <w:pStyle w:val="tvhtml"/>
              <w:shd w:val="clear" w:color="auto" w:fill="FFFFFF"/>
              <w:spacing w:line="293" w:lineRule="atLeast"/>
              <w:jc w:val="both"/>
              <w:rPr>
                <w:lang w:val="lv-LV"/>
              </w:rPr>
            </w:pPr>
            <w:r w:rsidRPr="00832879">
              <w:rPr>
                <w:lang w:val="lv-LV"/>
              </w:rPr>
              <w:t>Benzīns un dabasgāze 1.01.2018</w:t>
            </w:r>
          </w:p>
        </w:tc>
        <w:tc>
          <w:tcPr>
            <w:tcW w:w="856" w:type="dxa"/>
            <w:noWrap/>
            <w:hideMark/>
          </w:tcPr>
          <w:p w14:paraId="5C3AA048" w14:textId="77777777" w:rsidR="00C03AAD" w:rsidRPr="00832879" w:rsidRDefault="00C03AAD" w:rsidP="00036815">
            <w:pPr>
              <w:pStyle w:val="tvhtml"/>
              <w:shd w:val="clear" w:color="auto" w:fill="FFFFFF"/>
              <w:spacing w:line="293" w:lineRule="atLeast"/>
              <w:jc w:val="both"/>
              <w:rPr>
                <w:lang w:val="lv-LV"/>
              </w:rPr>
            </w:pPr>
            <w:r w:rsidRPr="00832879">
              <w:rPr>
                <w:lang w:val="lv-LV"/>
              </w:rPr>
              <w:t>6</w:t>
            </w:r>
          </w:p>
        </w:tc>
        <w:tc>
          <w:tcPr>
            <w:tcW w:w="1064" w:type="dxa"/>
            <w:noWrap/>
            <w:hideMark/>
          </w:tcPr>
          <w:p w14:paraId="5023C3EB" w14:textId="77777777" w:rsidR="00C03AAD" w:rsidRPr="00832879" w:rsidRDefault="00C03AAD" w:rsidP="00036815">
            <w:pPr>
              <w:pStyle w:val="tvhtml"/>
              <w:shd w:val="clear" w:color="auto" w:fill="FFFFFF"/>
              <w:spacing w:line="293" w:lineRule="atLeast"/>
              <w:jc w:val="both"/>
              <w:rPr>
                <w:lang w:val="lv-LV"/>
              </w:rPr>
            </w:pPr>
            <w:r w:rsidRPr="00832879">
              <w:rPr>
                <w:lang w:val="lv-LV"/>
              </w:rPr>
              <w:t>0.007</w:t>
            </w:r>
          </w:p>
        </w:tc>
        <w:tc>
          <w:tcPr>
            <w:tcW w:w="856" w:type="dxa"/>
            <w:noWrap/>
            <w:hideMark/>
          </w:tcPr>
          <w:p w14:paraId="071FFF71" w14:textId="77777777" w:rsidR="00C03AAD" w:rsidRPr="00832879" w:rsidRDefault="00C03AAD" w:rsidP="00036815">
            <w:pPr>
              <w:pStyle w:val="tvhtml"/>
              <w:shd w:val="clear" w:color="auto" w:fill="FFFFFF"/>
              <w:spacing w:line="293" w:lineRule="atLeast"/>
              <w:jc w:val="both"/>
              <w:rPr>
                <w:lang w:val="lv-LV"/>
              </w:rPr>
            </w:pPr>
            <w:r w:rsidRPr="00832879">
              <w:rPr>
                <w:lang w:val="lv-LV"/>
              </w:rPr>
              <w:t>118</w:t>
            </w:r>
          </w:p>
        </w:tc>
        <w:tc>
          <w:tcPr>
            <w:tcW w:w="1064" w:type="dxa"/>
            <w:noWrap/>
            <w:hideMark/>
          </w:tcPr>
          <w:p w14:paraId="71974932" w14:textId="77777777" w:rsidR="00C03AAD" w:rsidRPr="00832879" w:rsidRDefault="00C03AAD" w:rsidP="00036815">
            <w:pPr>
              <w:pStyle w:val="tvhtml"/>
              <w:shd w:val="clear" w:color="auto" w:fill="FFFFFF"/>
              <w:spacing w:line="293" w:lineRule="atLeast"/>
              <w:jc w:val="both"/>
              <w:rPr>
                <w:lang w:val="lv-LV"/>
              </w:rPr>
            </w:pPr>
            <w:r w:rsidRPr="00832879">
              <w:rPr>
                <w:lang w:val="lv-LV"/>
              </w:rPr>
              <w:t>0.017</w:t>
            </w:r>
          </w:p>
        </w:tc>
        <w:tc>
          <w:tcPr>
            <w:tcW w:w="856" w:type="dxa"/>
            <w:noWrap/>
            <w:hideMark/>
          </w:tcPr>
          <w:p w14:paraId="53DFF761"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1064" w:type="dxa"/>
            <w:noWrap/>
            <w:hideMark/>
          </w:tcPr>
          <w:p w14:paraId="52221396"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832" w:type="dxa"/>
            <w:noWrap/>
            <w:hideMark/>
          </w:tcPr>
          <w:p w14:paraId="0056490C"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124</w:t>
            </w:r>
          </w:p>
        </w:tc>
        <w:tc>
          <w:tcPr>
            <w:tcW w:w="1088" w:type="dxa"/>
            <w:noWrap/>
            <w:hideMark/>
          </w:tcPr>
          <w:p w14:paraId="093D05E3"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0.016</w:t>
            </w:r>
          </w:p>
        </w:tc>
      </w:tr>
      <w:tr w:rsidR="00C03AAD" w:rsidRPr="002E4D07" w14:paraId="1BEDD491" w14:textId="77777777" w:rsidTr="00036815">
        <w:trPr>
          <w:trHeight w:val="260"/>
        </w:trPr>
        <w:tc>
          <w:tcPr>
            <w:tcW w:w="3240" w:type="dxa"/>
            <w:noWrap/>
            <w:hideMark/>
          </w:tcPr>
          <w:p w14:paraId="74D32FBE" w14:textId="77777777" w:rsidR="00C03AAD" w:rsidRPr="00832879" w:rsidRDefault="00C03AAD" w:rsidP="00036815">
            <w:pPr>
              <w:pStyle w:val="tvhtml"/>
              <w:shd w:val="clear" w:color="auto" w:fill="FFFFFF"/>
              <w:spacing w:line="293" w:lineRule="atLeast"/>
              <w:jc w:val="both"/>
              <w:rPr>
                <w:lang w:val="lv-LV"/>
              </w:rPr>
            </w:pPr>
            <w:r w:rsidRPr="00832879">
              <w:rPr>
                <w:lang w:val="lv-LV"/>
              </w:rPr>
              <w:t>Dīzeļdegviela un dabasgāze 1.10.2020</w:t>
            </w:r>
          </w:p>
        </w:tc>
        <w:tc>
          <w:tcPr>
            <w:tcW w:w="856" w:type="dxa"/>
            <w:noWrap/>
            <w:hideMark/>
          </w:tcPr>
          <w:p w14:paraId="64DB71CD" w14:textId="77777777" w:rsidR="00C03AAD" w:rsidRPr="00832879" w:rsidRDefault="00C03AAD" w:rsidP="00036815">
            <w:pPr>
              <w:pStyle w:val="tvhtml"/>
              <w:shd w:val="clear" w:color="auto" w:fill="FFFFFF"/>
              <w:spacing w:line="293" w:lineRule="atLeast"/>
              <w:jc w:val="both"/>
              <w:rPr>
                <w:lang w:val="lv-LV"/>
              </w:rPr>
            </w:pPr>
            <w:r w:rsidRPr="00832879">
              <w:rPr>
                <w:lang w:val="lv-LV"/>
              </w:rPr>
              <w:t>10</w:t>
            </w:r>
          </w:p>
        </w:tc>
        <w:tc>
          <w:tcPr>
            <w:tcW w:w="1064" w:type="dxa"/>
            <w:noWrap/>
            <w:hideMark/>
          </w:tcPr>
          <w:p w14:paraId="51A9C06E" w14:textId="77777777" w:rsidR="00C03AAD" w:rsidRPr="00832879" w:rsidRDefault="00C03AAD" w:rsidP="00036815">
            <w:pPr>
              <w:pStyle w:val="tvhtml"/>
              <w:shd w:val="clear" w:color="auto" w:fill="FFFFFF"/>
              <w:spacing w:line="293" w:lineRule="atLeast"/>
              <w:jc w:val="both"/>
              <w:rPr>
                <w:lang w:val="lv-LV"/>
              </w:rPr>
            </w:pPr>
            <w:r w:rsidRPr="00832879">
              <w:rPr>
                <w:lang w:val="lv-LV"/>
              </w:rPr>
              <w:t>0.011</w:t>
            </w:r>
          </w:p>
        </w:tc>
        <w:tc>
          <w:tcPr>
            <w:tcW w:w="856" w:type="dxa"/>
            <w:noWrap/>
            <w:hideMark/>
          </w:tcPr>
          <w:p w14:paraId="78481892" w14:textId="77777777" w:rsidR="00C03AAD" w:rsidRPr="00832879" w:rsidRDefault="00C03AAD" w:rsidP="00036815">
            <w:pPr>
              <w:pStyle w:val="tvhtml"/>
              <w:shd w:val="clear" w:color="auto" w:fill="FFFFFF"/>
              <w:spacing w:line="293" w:lineRule="atLeast"/>
              <w:jc w:val="both"/>
              <w:rPr>
                <w:lang w:val="lv-LV"/>
              </w:rPr>
            </w:pPr>
            <w:r w:rsidRPr="00832879">
              <w:rPr>
                <w:lang w:val="lv-LV"/>
              </w:rPr>
              <w:t>4</w:t>
            </w:r>
          </w:p>
        </w:tc>
        <w:tc>
          <w:tcPr>
            <w:tcW w:w="1064" w:type="dxa"/>
            <w:noWrap/>
            <w:hideMark/>
          </w:tcPr>
          <w:p w14:paraId="00E3865D" w14:textId="77777777" w:rsidR="00C03AAD" w:rsidRPr="00832879" w:rsidRDefault="00C03AAD" w:rsidP="00036815">
            <w:pPr>
              <w:pStyle w:val="tvhtml"/>
              <w:shd w:val="clear" w:color="auto" w:fill="FFFFFF"/>
              <w:spacing w:line="293" w:lineRule="atLeast"/>
              <w:jc w:val="both"/>
              <w:rPr>
                <w:lang w:val="lv-LV"/>
              </w:rPr>
            </w:pPr>
            <w:r w:rsidRPr="00832879">
              <w:rPr>
                <w:lang w:val="lv-LV"/>
              </w:rPr>
              <w:t>0,01</w:t>
            </w:r>
          </w:p>
        </w:tc>
        <w:tc>
          <w:tcPr>
            <w:tcW w:w="856" w:type="dxa"/>
            <w:noWrap/>
            <w:hideMark/>
          </w:tcPr>
          <w:p w14:paraId="33A651DD"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1064" w:type="dxa"/>
            <w:noWrap/>
            <w:hideMark/>
          </w:tcPr>
          <w:p w14:paraId="0E9F47FB"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832" w:type="dxa"/>
            <w:noWrap/>
            <w:hideMark/>
          </w:tcPr>
          <w:p w14:paraId="0F992C1C"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14</w:t>
            </w:r>
          </w:p>
        </w:tc>
        <w:tc>
          <w:tcPr>
            <w:tcW w:w="1088" w:type="dxa"/>
            <w:noWrap/>
            <w:hideMark/>
          </w:tcPr>
          <w:p w14:paraId="023DE7AF"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0,002</w:t>
            </w:r>
          </w:p>
        </w:tc>
      </w:tr>
      <w:tr w:rsidR="00C03AAD" w:rsidRPr="002E4D07" w14:paraId="7E1B8864" w14:textId="77777777" w:rsidTr="00036815">
        <w:trPr>
          <w:trHeight w:val="260"/>
        </w:trPr>
        <w:tc>
          <w:tcPr>
            <w:tcW w:w="3240" w:type="dxa"/>
            <w:noWrap/>
            <w:hideMark/>
          </w:tcPr>
          <w:p w14:paraId="0E00926A" w14:textId="77777777" w:rsidR="00C03AAD" w:rsidRPr="00832879" w:rsidRDefault="00C03AAD" w:rsidP="00036815">
            <w:pPr>
              <w:pStyle w:val="tvhtml"/>
              <w:shd w:val="clear" w:color="auto" w:fill="FFFFFF"/>
              <w:spacing w:line="293" w:lineRule="atLeast"/>
              <w:jc w:val="both"/>
              <w:rPr>
                <w:lang w:val="lv-LV"/>
              </w:rPr>
            </w:pPr>
            <w:r w:rsidRPr="00832879">
              <w:rPr>
                <w:lang w:val="lv-LV"/>
              </w:rPr>
              <w:t>Dīzeļdegviela un dabasgāze 1.01.2018</w:t>
            </w:r>
          </w:p>
        </w:tc>
        <w:tc>
          <w:tcPr>
            <w:tcW w:w="856" w:type="dxa"/>
            <w:noWrap/>
            <w:hideMark/>
          </w:tcPr>
          <w:p w14:paraId="46FDA32B"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1064" w:type="dxa"/>
            <w:noWrap/>
            <w:hideMark/>
          </w:tcPr>
          <w:p w14:paraId="0B6982BA"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856" w:type="dxa"/>
            <w:noWrap/>
            <w:hideMark/>
          </w:tcPr>
          <w:p w14:paraId="69C8CA1F"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1064" w:type="dxa"/>
            <w:noWrap/>
            <w:hideMark/>
          </w:tcPr>
          <w:p w14:paraId="56FEFC13"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856" w:type="dxa"/>
            <w:noWrap/>
            <w:hideMark/>
          </w:tcPr>
          <w:p w14:paraId="0F194590"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1064" w:type="dxa"/>
            <w:noWrap/>
            <w:hideMark/>
          </w:tcPr>
          <w:p w14:paraId="578E64ED"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832" w:type="dxa"/>
            <w:noWrap/>
            <w:hideMark/>
          </w:tcPr>
          <w:p w14:paraId="0CC2BA1B"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0</w:t>
            </w:r>
          </w:p>
        </w:tc>
        <w:tc>
          <w:tcPr>
            <w:tcW w:w="1088" w:type="dxa"/>
            <w:noWrap/>
            <w:hideMark/>
          </w:tcPr>
          <w:p w14:paraId="256A67C4"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0.000</w:t>
            </w:r>
          </w:p>
        </w:tc>
      </w:tr>
      <w:tr w:rsidR="00C03AAD" w:rsidRPr="002E4D07" w14:paraId="2B3EE067" w14:textId="77777777" w:rsidTr="00036815">
        <w:trPr>
          <w:trHeight w:val="260"/>
        </w:trPr>
        <w:tc>
          <w:tcPr>
            <w:tcW w:w="3240" w:type="dxa"/>
            <w:noWrap/>
            <w:hideMark/>
          </w:tcPr>
          <w:p w14:paraId="014C5B65" w14:textId="77777777" w:rsidR="00C03AAD" w:rsidRPr="00832879" w:rsidRDefault="00C03AAD" w:rsidP="00036815">
            <w:pPr>
              <w:pStyle w:val="tvhtml"/>
              <w:shd w:val="clear" w:color="auto" w:fill="FFFFFF"/>
              <w:spacing w:line="293" w:lineRule="atLeast"/>
              <w:jc w:val="both"/>
              <w:rPr>
                <w:lang w:val="lv-LV"/>
              </w:rPr>
            </w:pPr>
            <w:r w:rsidRPr="00832879">
              <w:rPr>
                <w:lang w:val="lv-LV"/>
              </w:rPr>
              <w:t>Dabasgāze 1.10.2020</w:t>
            </w:r>
          </w:p>
        </w:tc>
        <w:tc>
          <w:tcPr>
            <w:tcW w:w="856" w:type="dxa"/>
            <w:noWrap/>
            <w:hideMark/>
          </w:tcPr>
          <w:p w14:paraId="695AD6EE" w14:textId="77777777" w:rsidR="00C03AAD" w:rsidRPr="00832879" w:rsidRDefault="00C03AAD" w:rsidP="00036815">
            <w:pPr>
              <w:pStyle w:val="tvhtml"/>
              <w:shd w:val="clear" w:color="auto" w:fill="FFFFFF"/>
              <w:spacing w:line="293" w:lineRule="atLeast"/>
              <w:jc w:val="both"/>
              <w:rPr>
                <w:lang w:val="lv-LV"/>
              </w:rPr>
            </w:pPr>
            <w:r w:rsidRPr="00832879">
              <w:rPr>
                <w:lang w:val="lv-LV"/>
              </w:rPr>
              <w:t>62</w:t>
            </w:r>
          </w:p>
        </w:tc>
        <w:tc>
          <w:tcPr>
            <w:tcW w:w="1064" w:type="dxa"/>
            <w:noWrap/>
            <w:hideMark/>
          </w:tcPr>
          <w:p w14:paraId="5CF44CDD" w14:textId="77777777" w:rsidR="00C03AAD" w:rsidRPr="00832879" w:rsidRDefault="00C03AAD" w:rsidP="00036815">
            <w:pPr>
              <w:pStyle w:val="tvhtml"/>
              <w:shd w:val="clear" w:color="auto" w:fill="FFFFFF"/>
              <w:spacing w:line="293" w:lineRule="atLeast"/>
              <w:jc w:val="both"/>
              <w:rPr>
                <w:lang w:val="lv-LV"/>
              </w:rPr>
            </w:pPr>
            <w:r w:rsidRPr="00832879">
              <w:rPr>
                <w:lang w:val="lv-LV"/>
              </w:rPr>
              <w:t>0.067</w:t>
            </w:r>
          </w:p>
        </w:tc>
        <w:tc>
          <w:tcPr>
            <w:tcW w:w="856" w:type="dxa"/>
            <w:noWrap/>
            <w:hideMark/>
          </w:tcPr>
          <w:p w14:paraId="2335AEE0" w14:textId="77777777" w:rsidR="00C03AAD" w:rsidRPr="00832879" w:rsidRDefault="00C03AAD" w:rsidP="00036815">
            <w:pPr>
              <w:pStyle w:val="tvhtml"/>
              <w:shd w:val="clear" w:color="auto" w:fill="FFFFFF"/>
              <w:spacing w:line="293" w:lineRule="atLeast"/>
              <w:jc w:val="both"/>
              <w:rPr>
                <w:lang w:val="lv-LV"/>
              </w:rPr>
            </w:pPr>
            <w:r w:rsidRPr="00832879">
              <w:rPr>
                <w:lang w:val="lv-LV"/>
              </w:rPr>
              <w:t>81</w:t>
            </w:r>
          </w:p>
        </w:tc>
        <w:tc>
          <w:tcPr>
            <w:tcW w:w="1064" w:type="dxa"/>
            <w:noWrap/>
            <w:hideMark/>
          </w:tcPr>
          <w:p w14:paraId="5D829320" w14:textId="77777777" w:rsidR="00C03AAD" w:rsidRPr="00832879" w:rsidRDefault="00C03AAD" w:rsidP="00036815">
            <w:pPr>
              <w:pStyle w:val="tvhtml"/>
              <w:shd w:val="clear" w:color="auto" w:fill="FFFFFF"/>
              <w:spacing w:line="293" w:lineRule="atLeast"/>
              <w:jc w:val="both"/>
              <w:rPr>
                <w:lang w:val="lv-LV"/>
              </w:rPr>
            </w:pPr>
            <w:r w:rsidRPr="00832879">
              <w:rPr>
                <w:lang w:val="lv-LV"/>
              </w:rPr>
              <w:t>0.011</w:t>
            </w:r>
          </w:p>
        </w:tc>
        <w:tc>
          <w:tcPr>
            <w:tcW w:w="856" w:type="dxa"/>
            <w:noWrap/>
            <w:hideMark/>
          </w:tcPr>
          <w:p w14:paraId="755324F6" w14:textId="77777777" w:rsidR="00C03AAD" w:rsidRPr="00832879" w:rsidRDefault="00C03AAD" w:rsidP="00036815">
            <w:pPr>
              <w:pStyle w:val="tvhtml"/>
              <w:shd w:val="clear" w:color="auto" w:fill="FFFFFF"/>
              <w:spacing w:line="293" w:lineRule="atLeast"/>
              <w:jc w:val="both"/>
              <w:rPr>
                <w:lang w:val="lv-LV"/>
              </w:rPr>
            </w:pPr>
            <w:r w:rsidRPr="00832879">
              <w:rPr>
                <w:lang w:val="lv-LV"/>
              </w:rPr>
              <w:t>7</w:t>
            </w:r>
          </w:p>
        </w:tc>
        <w:tc>
          <w:tcPr>
            <w:tcW w:w="1064" w:type="dxa"/>
            <w:noWrap/>
            <w:hideMark/>
          </w:tcPr>
          <w:p w14:paraId="11BDF89E" w14:textId="77777777" w:rsidR="00C03AAD" w:rsidRPr="00832879" w:rsidRDefault="00C03AAD" w:rsidP="00036815">
            <w:pPr>
              <w:pStyle w:val="tvhtml"/>
              <w:shd w:val="clear" w:color="auto" w:fill="FFFFFF"/>
              <w:spacing w:line="293" w:lineRule="atLeast"/>
              <w:jc w:val="both"/>
              <w:rPr>
                <w:lang w:val="lv-LV"/>
              </w:rPr>
            </w:pPr>
            <w:r w:rsidRPr="00832879">
              <w:rPr>
                <w:lang w:val="lv-LV"/>
              </w:rPr>
              <w:t>0.160</w:t>
            </w:r>
          </w:p>
        </w:tc>
        <w:tc>
          <w:tcPr>
            <w:tcW w:w="832" w:type="dxa"/>
            <w:noWrap/>
            <w:hideMark/>
          </w:tcPr>
          <w:p w14:paraId="3FF773A1"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150</w:t>
            </w:r>
          </w:p>
        </w:tc>
        <w:tc>
          <w:tcPr>
            <w:tcW w:w="1088" w:type="dxa"/>
            <w:noWrap/>
            <w:hideMark/>
          </w:tcPr>
          <w:p w14:paraId="131BC41A"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0.018</w:t>
            </w:r>
          </w:p>
        </w:tc>
      </w:tr>
      <w:tr w:rsidR="00C03AAD" w:rsidRPr="002E4D07" w14:paraId="662FC13A" w14:textId="77777777" w:rsidTr="00036815">
        <w:trPr>
          <w:trHeight w:val="260"/>
        </w:trPr>
        <w:tc>
          <w:tcPr>
            <w:tcW w:w="3240" w:type="dxa"/>
            <w:noWrap/>
            <w:hideMark/>
          </w:tcPr>
          <w:p w14:paraId="2633A9C9" w14:textId="77777777" w:rsidR="00C03AAD" w:rsidRPr="00832879" w:rsidRDefault="00C03AAD" w:rsidP="00036815">
            <w:pPr>
              <w:pStyle w:val="tvhtml"/>
              <w:shd w:val="clear" w:color="auto" w:fill="FFFFFF"/>
              <w:spacing w:line="293" w:lineRule="atLeast"/>
              <w:jc w:val="both"/>
              <w:rPr>
                <w:lang w:val="lv-LV"/>
              </w:rPr>
            </w:pPr>
            <w:r w:rsidRPr="00832879">
              <w:rPr>
                <w:lang w:val="lv-LV"/>
              </w:rPr>
              <w:t>Dabasgāze 1.01.2018</w:t>
            </w:r>
          </w:p>
        </w:tc>
        <w:tc>
          <w:tcPr>
            <w:tcW w:w="856" w:type="dxa"/>
            <w:noWrap/>
            <w:hideMark/>
          </w:tcPr>
          <w:p w14:paraId="270539BF" w14:textId="77777777" w:rsidR="00C03AAD" w:rsidRPr="00832879" w:rsidRDefault="00C03AAD" w:rsidP="00036815">
            <w:pPr>
              <w:pStyle w:val="tvhtml"/>
              <w:shd w:val="clear" w:color="auto" w:fill="FFFFFF"/>
              <w:spacing w:line="293" w:lineRule="atLeast"/>
              <w:jc w:val="both"/>
              <w:rPr>
                <w:lang w:val="lv-LV"/>
              </w:rPr>
            </w:pPr>
            <w:r w:rsidRPr="00832879">
              <w:rPr>
                <w:lang w:val="lv-LV"/>
              </w:rPr>
              <w:t>8</w:t>
            </w:r>
          </w:p>
        </w:tc>
        <w:tc>
          <w:tcPr>
            <w:tcW w:w="1064" w:type="dxa"/>
            <w:noWrap/>
            <w:hideMark/>
          </w:tcPr>
          <w:p w14:paraId="0E8510EF" w14:textId="77777777" w:rsidR="00C03AAD" w:rsidRPr="00832879" w:rsidRDefault="00C03AAD" w:rsidP="00036815">
            <w:pPr>
              <w:pStyle w:val="tvhtml"/>
              <w:shd w:val="clear" w:color="auto" w:fill="FFFFFF"/>
              <w:spacing w:line="293" w:lineRule="atLeast"/>
              <w:jc w:val="both"/>
              <w:rPr>
                <w:lang w:val="lv-LV"/>
              </w:rPr>
            </w:pPr>
            <w:r w:rsidRPr="00832879">
              <w:rPr>
                <w:lang w:val="lv-LV"/>
              </w:rPr>
              <w:t>0.009</w:t>
            </w:r>
          </w:p>
        </w:tc>
        <w:tc>
          <w:tcPr>
            <w:tcW w:w="856" w:type="dxa"/>
            <w:noWrap/>
            <w:hideMark/>
          </w:tcPr>
          <w:p w14:paraId="21E74B50" w14:textId="77777777" w:rsidR="00C03AAD" w:rsidRPr="00832879" w:rsidRDefault="00C03AAD" w:rsidP="00036815">
            <w:pPr>
              <w:pStyle w:val="tvhtml"/>
              <w:shd w:val="clear" w:color="auto" w:fill="FFFFFF"/>
              <w:spacing w:line="293" w:lineRule="atLeast"/>
              <w:jc w:val="both"/>
              <w:rPr>
                <w:lang w:val="lv-LV"/>
              </w:rPr>
            </w:pPr>
            <w:r w:rsidRPr="00832879">
              <w:rPr>
                <w:lang w:val="lv-LV"/>
              </w:rPr>
              <w:t>28</w:t>
            </w:r>
          </w:p>
        </w:tc>
        <w:tc>
          <w:tcPr>
            <w:tcW w:w="1064" w:type="dxa"/>
            <w:noWrap/>
            <w:hideMark/>
          </w:tcPr>
          <w:p w14:paraId="4140EF2A" w14:textId="77777777" w:rsidR="00C03AAD" w:rsidRPr="00832879" w:rsidRDefault="00C03AAD" w:rsidP="00036815">
            <w:pPr>
              <w:pStyle w:val="tvhtml"/>
              <w:shd w:val="clear" w:color="auto" w:fill="FFFFFF"/>
              <w:spacing w:line="293" w:lineRule="atLeast"/>
              <w:jc w:val="both"/>
              <w:rPr>
                <w:lang w:val="lv-LV"/>
              </w:rPr>
            </w:pPr>
            <w:r w:rsidRPr="00832879">
              <w:rPr>
                <w:lang w:val="lv-LV"/>
              </w:rPr>
              <w:t>0.004</w:t>
            </w:r>
          </w:p>
        </w:tc>
        <w:tc>
          <w:tcPr>
            <w:tcW w:w="856" w:type="dxa"/>
            <w:noWrap/>
            <w:hideMark/>
          </w:tcPr>
          <w:p w14:paraId="7323F373"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1064" w:type="dxa"/>
            <w:noWrap/>
            <w:hideMark/>
          </w:tcPr>
          <w:p w14:paraId="453F70C6"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832" w:type="dxa"/>
            <w:noWrap/>
            <w:hideMark/>
          </w:tcPr>
          <w:p w14:paraId="2DD62848"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36</w:t>
            </w:r>
          </w:p>
        </w:tc>
        <w:tc>
          <w:tcPr>
            <w:tcW w:w="1088" w:type="dxa"/>
            <w:noWrap/>
            <w:hideMark/>
          </w:tcPr>
          <w:p w14:paraId="0BD42F85"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0.005</w:t>
            </w:r>
          </w:p>
        </w:tc>
      </w:tr>
      <w:tr w:rsidR="00C03AAD" w:rsidRPr="002E4D07" w14:paraId="6FA4DA1D" w14:textId="77777777" w:rsidTr="00036815">
        <w:trPr>
          <w:trHeight w:val="260"/>
        </w:trPr>
        <w:tc>
          <w:tcPr>
            <w:tcW w:w="3240" w:type="dxa"/>
            <w:noWrap/>
            <w:hideMark/>
          </w:tcPr>
          <w:p w14:paraId="5114CBF3" w14:textId="77777777" w:rsidR="00C03AAD" w:rsidRPr="00832879" w:rsidRDefault="00C03AAD" w:rsidP="00036815">
            <w:pPr>
              <w:pStyle w:val="tvhtml"/>
              <w:shd w:val="clear" w:color="auto" w:fill="FFFFFF"/>
              <w:spacing w:line="293" w:lineRule="atLeast"/>
              <w:jc w:val="both"/>
              <w:rPr>
                <w:lang w:val="lv-LV"/>
              </w:rPr>
            </w:pPr>
            <w:r w:rsidRPr="00832879">
              <w:rPr>
                <w:lang w:val="lv-LV"/>
              </w:rPr>
              <w:t>Dabasgāze un naftas gāze 1.10.2020</w:t>
            </w:r>
          </w:p>
        </w:tc>
        <w:tc>
          <w:tcPr>
            <w:tcW w:w="856" w:type="dxa"/>
            <w:noWrap/>
            <w:hideMark/>
          </w:tcPr>
          <w:p w14:paraId="25E1091D" w14:textId="77777777" w:rsidR="00C03AAD" w:rsidRPr="00832879" w:rsidRDefault="00C03AAD" w:rsidP="00036815">
            <w:pPr>
              <w:pStyle w:val="tvhtml"/>
              <w:shd w:val="clear" w:color="auto" w:fill="FFFFFF"/>
              <w:spacing w:line="293" w:lineRule="atLeast"/>
              <w:jc w:val="both"/>
              <w:rPr>
                <w:lang w:val="lv-LV"/>
              </w:rPr>
            </w:pPr>
            <w:r w:rsidRPr="00832879">
              <w:rPr>
                <w:lang w:val="lv-LV"/>
              </w:rPr>
              <w:t>15</w:t>
            </w:r>
          </w:p>
        </w:tc>
        <w:tc>
          <w:tcPr>
            <w:tcW w:w="1064" w:type="dxa"/>
            <w:noWrap/>
            <w:hideMark/>
          </w:tcPr>
          <w:p w14:paraId="45275D39" w14:textId="77777777" w:rsidR="00C03AAD" w:rsidRPr="00832879" w:rsidRDefault="00C03AAD" w:rsidP="00036815">
            <w:pPr>
              <w:pStyle w:val="tvhtml"/>
              <w:shd w:val="clear" w:color="auto" w:fill="FFFFFF"/>
              <w:spacing w:line="293" w:lineRule="atLeast"/>
              <w:jc w:val="both"/>
              <w:rPr>
                <w:lang w:val="lv-LV"/>
              </w:rPr>
            </w:pPr>
            <w:r w:rsidRPr="00832879">
              <w:rPr>
                <w:lang w:val="lv-LV"/>
              </w:rPr>
              <w:t>0.016</w:t>
            </w:r>
          </w:p>
        </w:tc>
        <w:tc>
          <w:tcPr>
            <w:tcW w:w="856" w:type="dxa"/>
            <w:noWrap/>
            <w:hideMark/>
          </w:tcPr>
          <w:p w14:paraId="12303CAF" w14:textId="77777777" w:rsidR="00C03AAD" w:rsidRPr="00832879" w:rsidRDefault="00C03AAD" w:rsidP="00036815">
            <w:pPr>
              <w:pStyle w:val="tvhtml"/>
              <w:shd w:val="clear" w:color="auto" w:fill="FFFFFF"/>
              <w:spacing w:line="293" w:lineRule="atLeast"/>
              <w:jc w:val="both"/>
              <w:rPr>
                <w:lang w:val="lv-LV"/>
              </w:rPr>
            </w:pPr>
            <w:r w:rsidRPr="00832879">
              <w:rPr>
                <w:lang w:val="lv-LV"/>
              </w:rPr>
              <w:t>14</w:t>
            </w:r>
          </w:p>
        </w:tc>
        <w:tc>
          <w:tcPr>
            <w:tcW w:w="1064" w:type="dxa"/>
            <w:noWrap/>
            <w:hideMark/>
          </w:tcPr>
          <w:p w14:paraId="5F94CB68" w14:textId="77777777" w:rsidR="00C03AAD" w:rsidRPr="00832879" w:rsidRDefault="00C03AAD" w:rsidP="00036815">
            <w:pPr>
              <w:pStyle w:val="tvhtml"/>
              <w:shd w:val="clear" w:color="auto" w:fill="FFFFFF"/>
              <w:spacing w:line="293" w:lineRule="atLeast"/>
              <w:jc w:val="both"/>
              <w:rPr>
                <w:lang w:val="lv-LV"/>
              </w:rPr>
            </w:pPr>
            <w:r w:rsidRPr="00832879">
              <w:rPr>
                <w:lang w:val="lv-LV"/>
              </w:rPr>
              <w:t>0.002</w:t>
            </w:r>
          </w:p>
        </w:tc>
        <w:tc>
          <w:tcPr>
            <w:tcW w:w="856" w:type="dxa"/>
            <w:noWrap/>
            <w:hideMark/>
          </w:tcPr>
          <w:p w14:paraId="6A4C39B5"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1064" w:type="dxa"/>
            <w:noWrap/>
            <w:hideMark/>
          </w:tcPr>
          <w:p w14:paraId="094EC84C"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832" w:type="dxa"/>
            <w:noWrap/>
            <w:hideMark/>
          </w:tcPr>
          <w:p w14:paraId="2E66C289"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29</w:t>
            </w:r>
          </w:p>
        </w:tc>
        <w:tc>
          <w:tcPr>
            <w:tcW w:w="1088" w:type="dxa"/>
            <w:noWrap/>
            <w:hideMark/>
          </w:tcPr>
          <w:p w14:paraId="3741BAB7"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0.003</w:t>
            </w:r>
          </w:p>
        </w:tc>
      </w:tr>
      <w:tr w:rsidR="00C03AAD" w:rsidRPr="002E4D07" w14:paraId="101C4E6B" w14:textId="77777777" w:rsidTr="00036815">
        <w:trPr>
          <w:trHeight w:val="260"/>
        </w:trPr>
        <w:tc>
          <w:tcPr>
            <w:tcW w:w="3240" w:type="dxa"/>
            <w:noWrap/>
            <w:hideMark/>
          </w:tcPr>
          <w:p w14:paraId="2250905C" w14:textId="77777777" w:rsidR="00C03AAD" w:rsidRPr="00832879" w:rsidRDefault="00C03AAD" w:rsidP="00036815">
            <w:pPr>
              <w:pStyle w:val="tvhtml"/>
              <w:shd w:val="clear" w:color="auto" w:fill="FFFFFF"/>
              <w:spacing w:line="293" w:lineRule="atLeast"/>
              <w:jc w:val="both"/>
              <w:rPr>
                <w:lang w:val="lv-LV"/>
              </w:rPr>
            </w:pPr>
            <w:r w:rsidRPr="00832879">
              <w:rPr>
                <w:lang w:val="lv-LV"/>
              </w:rPr>
              <w:t>Dabasgāze un naftas gāze 1.01.2018</w:t>
            </w:r>
          </w:p>
        </w:tc>
        <w:tc>
          <w:tcPr>
            <w:tcW w:w="856" w:type="dxa"/>
            <w:noWrap/>
            <w:hideMark/>
          </w:tcPr>
          <w:p w14:paraId="07BEDCC9" w14:textId="77777777" w:rsidR="00C03AAD" w:rsidRPr="00832879" w:rsidRDefault="00C03AAD" w:rsidP="00036815">
            <w:pPr>
              <w:pStyle w:val="tvhtml"/>
              <w:shd w:val="clear" w:color="auto" w:fill="FFFFFF"/>
              <w:spacing w:line="293" w:lineRule="atLeast"/>
              <w:jc w:val="both"/>
              <w:rPr>
                <w:lang w:val="lv-LV"/>
              </w:rPr>
            </w:pPr>
            <w:r w:rsidRPr="00832879">
              <w:rPr>
                <w:lang w:val="lv-LV"/>
              </w:rPr>
              <w:t>10</w:t>
            </w:r>
          </w:p>
        </w:tc>
        <w:tc>
          <w:tcPr>
            <w:tcW w:w="1064" w:type="dxa"/>
            <w:noWrap/>
            <w:hideMark/>
          </w:tcPr>
          <w:p w14:paraId="4028C9CF" w14:textId="77777777" w:rsidR="00C03AAD" w:rsidRPr="00832879" w:rsidRDefault="00C03AAD" w:rsidP="00036815">
            <w:pPr>
              <w:pStyle w:val="tvhtml"/>
              <w:shd w:val="clear" w:color="auto" w:fill="FFFFFF"/>
              <w:spacing w:line="293" w:lineRule="atLeast"/>
              <w:jc w:val="both"/>
              <w:rPr>
                <w:lang w:val="lv-LV"/>
              </w:rPr>
            </w:pPr>
            <w:r w:rsidRPr="00832879">
              <w:rPr>
                <w:lang w:val="lv-LV"/>
              </w:rPr>
              <w:t>0.011</w:t>
            </w:r>
          </w:p>
        </w:tc>
        <w:tc>
          <w:tcPr>
            <w:tcW w:w="856" w:type="dxa"/>
            <w:noWrap/>
            <w:hideMark/>
          </w:tcPr>
          <w:p w14:paraId="77D2EC47" w14:textId="77777777" w:rsidR="00C03AAD" w:rsidRPr="00832879" w:rsidRDefault="00C03AAD" w:rsidP="00036815">
            <w:pPr>
              <w:pStyle w:val="tvhtml"/>
              <w:shd w:val="clear" w:color="auto" w:fill="FFFFFF"/>
              <w:spacing w:line="293" w:lineRule="atLeast"/>
              <w:jc w:val="both"/>
              <w:rPr>
                <w:lang w:val="lv-LV"/>
              </w:rPr>
            </w:pPr>
            <w:r w:rsidRPr="00832879">
              <w:rPr>
                <w:lang w:val="lv-LV"/>
              </w:rPr>
              <w:t>8</w:t>
            </w:r>
          </w:p>
        </w:tc>
        <w:tc>
          <w:tcPr>
            <w:tcW w:w="1064" w:type="dxa"/>
            <w:noWrap/>
            <w:hideMark/>
          </w:tcPr>
          <w:p w14:paraId="71BF5713" w14:textId="77777777" w:rsidR="00C03AAD" w:rsidRPr="00832879" w:rsidRDefault="00C03AAD" w:rsidP="00036815">
            <w:pPr>
              <w:pStyle w:val="tvhtml"/>
              <w:shd w:val="clear" w:color="auto" w:fill="FFFFFF"/>
              <w:spacing w:line="293" w:lineRule="atLeast"/>
              <w:jc w:val="both"/>
              <w:rPr>
                <w:lang w:val="lv-LV"/>
              </w:rPr>
            </w:pPr>
            <w:r w:rsidRPr="00832879">
              <w:rPr>
                <w:lang w:val="lv-LV"/>
              </w:rPr>
              <w:t>0.001</w:t>
            </w:r>
          </w:p>
        </w:tc>
        <w:tc>
          <w:tcPr>
            <w:tcW w:w="856" w:type="dxa"/>
            <w:noWrap/>
            <w:hideMark/>
          </w:tcPr>
          <w:p w14:paraId="547C7AB3"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1064" w:type="dxa"/>
            <w:noWrap/>
            <w:hideMark/>
          </w:tcPr>
          <w:p w14:paraId="467BF62D" w14:textId="77777777" w:rsidR="00C03AAD" w:rsidRPr="00832879" w:rsidRDefault="00C03AAD" w:rsidP="00036815">
            <w:pPr>
              <w:pStyle w:val="tvhtml"/>
              <w:shd w:val="clear" w:color="auto" w:fill="FFFFFF"/>
              <w:spacing w:line="293" w:lineRule="atLeast"/>
              <w:jc w:val="both"/>
              <w:rPr>
                <w:lang w:val="lv-LV"/>
              </w:rPr>
            </w:pPr>
            <w:r w:rsidRPr="00832879">
              <w:rPr>
                <w:lang w:val="lv-LV"/>
              </w:rPr>
              <w:t>0</w:t>
            </w:r>
          </w:p>
        </w:tc>
        <w:tc>
          <w:tcPr>
            <w:tcW w:w="832" w:type="dxa"/>
            <w:noWrap/>
            <w:hideMark/>
          </w:tcPr>
          <w:p w14:paraId="1C9FEB53"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18</w:t>
            </w:r>
          </w:p>
        </w:tc>
        <w:tc>
          <w:tcPr>
            <w:tcW w:w="1088" w:type="dxa"/>
            <w:noWrap/>
            <w:hideMark/>
          </w:tcPr>
          <w:p w14:paraId="3E1393DD" w14:textId="77777777" w:rsidR="00C03AAD" w:rsidRPr="00832879" w:rsidRDefault="00C03AAD" w:rsidP="00036815">
            <w:pPr>
              <w:pStyle w:val="tvhtml"/>
              <w:shd w:val="clear" w:color="auto" w:fill="FFFFFF"/>
              <w:spacing w:line="293" w:lineRule="atLeast"/>
              <w:jc w:val="both"/>
              <w:rPr>
                <w:b/>
                <w:bCs/>
                <w:lang w:val="lv-LV"/>
              </w:rPr>
            </w:pPr>
            <w:r w:rsidRPr="00832879">
              <w:rPr>
                <w:b/>
                <w:bCs/>
                <w:lang w:val="lv-LV"/>
              </w:rPr>
              <w:t>0.002</w:t>
            </w:r>
          </w:p>
        </w:tc>
      </w:tr>
    </w:tbl>
    <w:p w14:paraId="28F91D23" w14:textId="77777777" w:rsidR="00C03AAD" w:rsidRDefault="00C03AAD" w:rsidP="00C03AAD">
      <w:pPr>
        <w:pStyle w:val="tvhtml"/>
        <w:shd w:val="clear" w:color="auto" w:fill="FFFFFF"/>
        <w:spacing w:line="293" w:lineRule="atLeast"/>
        <w:jc w:val="both"/>
        <w:rPr>
          <w:lang w:val="lv-LV"/>
        </w:rPr>
      </w:pPr>
      <w:r>
        <w:rPr>
          <w:lang w:val="lv-LV"/>
        </w:rPr>
        <w:t>No 5</w:t>
      </w:r>
      <w:r w:rsidRPr="00BE16DF">
        <w:rPr>
          <w:lang w:val="lv-LV"/>
        </w:rPr>
        <w:t>. tabulas var secināt, ka ar dabasgāzi (</w:t>
      </w:r>
      <w:r>
        <w:rPr>
          <w:lang w:val="lv-LV"/>
        </w:rPr>
        <w:t xml:space="preserve">un potenciāli </w:t>
      </w:r>
      <w:r w:rsidRPr="00BE16DF">
        <w:rPr>
          <w:lang w:val="lv-LV"/>
        </w:rPr>
        <w:t xml:space="preserve">biometānu) darbināmu transportlīdzekļu skaits pieaug, </w:t>
      </w:r>
      <w:r>
        <w:rPr>
          <w:lang w:val="lv-LV"/>
        </w:rPr>
        <w:t xml:space="preserve">pieaugums paātrinās </w:t>
      </w:r>
      <w:r w:rsidRPr="00BE16DF">
        <w:rPr>
          <w:lang w:val="lv-LV"/>
        </w:rPr>
        <w:t xml:space="preserve">taču </w:t>
      </w:r>
      <w:r>
        <w:rPr>
          <w:lang w:val="lv-LV"/>
        </w:rPr>
        <w:t xml:space="preserve">kopējais skaits </w:t>
      </w:r>
      <w:r w:rsidRPr="00BE16DF">
        <w:rPr>
          <w:lang w:val="lv-LV"/>
        </w:rPr>
        <w:t xml:space="preserve">joprojām ir salīdzinoši neliels. Autobusu segmentā ir tikai 7 transportlīdzekļi (Jēkabpilī). </w:t>
      </w:r>
      <w:r>
        <w:rPr>
          <w:lang w:val="lv-LV"/>
        </w:rPr>
        <w:t>Saskaņā ar Latvijas 2018. gada energobilanci</w:t>
      </w:r>
      <w:r>
        <w:rPr>
          <w:rStyle w:val="FootnoteReference"/>
          <w:lang w:val="lv-LV"/>
        </w:rPr>
        <w:footnoteReference w:id="13"/>
      </w:r>
      <w:r>
        <w:rPr>
          <w:lang w:val="lv-LV"/>
        </w:rPr>
        <w:t xml:space="preserve"> 2018. gadā dabasgāzes patēriņš transportā bija 2 TJ jeb 0.55 GWh..  </w:t>
      </w:r>
    </w:p>
    <w:p w14:paraId="77DF9F61" w14:textId="77777777" w:rsidR="00C03AAD" w:rsidRDefault="00C03AAD" w:rsidP="00C03AAD">
      <w:pPr>
        <w:spacing w:line="240" w:lineRule="auto"/>
        <w:ind w:firstLine="720"/>
        <w:jc w:val="both"/>
        <w:rPr>
          <w:rStyle w:val="Strong"/>
          <w:rFonts w:ascii="Times New Roman" w:hAnsi="Times New Roman" w:cs="Times New Roman"/>
          <w:b w:val="0"/>
          <w:bCs w:val="0"/>
          <w:color w:val="000000"/>
          <w:sz w:val="24"/>
          <w:szCs w:val="24"/>
          <w:shd w:val="clear" w:color="auto" w:fill="FFFFFF"/>
        </w:rPr>
      </w:pPr>
      <w:r w:rsidRPr="00A44E3B">
        <w:rPr>
          <w:rFonts w:ascii="Times New Roman" w:hAnsi="Times New Roman" w:cs="Times New Roman"/>
          <w:sz w:val="24"/>
          <w:szCs w:val="24"/>
        </w:rPr>
        <w:t xml:space="preserve">Ekonomikas </w:t>
      </w:r>
      <w:r>
        <w:rPr>
          <w:rFonts w:ascii="Times New Roman" w:hAnsi="Times New Roman" w:cs="Times New Roman"/>
          <w:sz w:val="24"/>
          <w:szCs w:val="24"/>
        </w:rPr>
        <w:t>m</w:t>
      </w:r>
      <w:r w:rsidRPr="00A44E3B">
        <w:rPr>
          <w:rFonts w:ascii="Times New Roman" w:hAnsi="Times New Roman" w:cs="Times New Roman"/>
          <w:sz w:val="24"/>
          <w:szCs w:val="24"/>
        </w:rPr>
        <w:t xml:space="preserve">inistrija izsūtīja jautājumus pašvaldībām un lielākajiem sabiedriskā transporta operatoriem, ar jautājumu, vai nākotnē tiek apsvērta biometāna izmantošana transporta </w:t>
      </w:r>
      <w:r w:rsidRPr="00A44E3B">
        <w:rPr>
          <w:rFonts w:ascii="Times New Roman" w:hAnsi="Times New Roman" w:cs="Times New Roman"/>
          <w:sz w:val="24"/>
          <w:szCs w:val="24"/>
        </w:rPr>
        <w:lastRenderedPageBreak/>
        <w:t xml:space="preserve">sektorā, tāpat arī kādi citi bezizmešu risinājumi tiek apsvērti sabiedriskā transporta jomā vai pašvaldību komunālajiem pakalpojumiem. Daudzos gadījumos atbildes netika saņemtas, no saņemtajām atbildēm izrietēja, ka vai nu šādas iespējas šobrīd netiek apsvērtas, vai arī tas tiktu apsvērts, ja būtu atbalsta programma. </w:t>
      </w:r>
      <w:r>
        <w:rPr>
          <w:rStyle w:val="Strong"/>
          <w:rFonts w:ascii="Times New Roman" w:hAnsi="Times New Roman" w:cs="Times New Roman"/>
          <w:b w:val="0"/>
          <w:bCs w:val="0"/>
          <w:color w:val="000000"/>
          <w:sz w:val="24"/>
          <w:szCs w:val="24"/>
          <w:shd w:val="clear" w:color="auto" w:fill="FFFFFF"/>
        </w:rPr>
        <w:t xml:space="preserve"> Detalizētāk iespējas iegādāties CNG autobusus, izmantojot ANM līdzekļus izvērtēja SIA Rīgas Satiksme. Gala lēmums par investīcijām vēl nav pieņemts, šobrīd Rīgas Domes pārstāvji vairāk sliecas atbalstīt elektrisko autobusu iegādi, tomēr autobusu CNG iegādes, kurus darbina ar biometānu ietekme uz biometāna patēriņu attēlota 6. tabulā.   Tāpēc, lai novērtētu biometāna izmantošanas potenciālu citās pašvaldībās un sabiedriskā transporta uzņēmumos iezīmējās nepieciešamība veikt informēšanas pasākumus, piemēram, semināru.  </w:t>
      </w:r>
    </w:p>
    <w:p w14:paraId="58F23A02" w14:textId="77777777" w:rsidR="00C03AAD" w:rsidRDefault="00C03AAD" w:rsidP="00C03AAD">
      <w:pPr>
        <w:spacing w:line="240" w:lineRule="auto"/>
        <w:ind w:firstLine="720"/>
        <w:jc w:val="both"/>
        <w:rPr>
          <w:rStyle w:val="Strong"/>
          <w:rFonts w:ascii="Times New Roman" w:hAnsi="Times New Roman" w:cs="Times New Roman"/>
          <w:b w:val="0"/>
          <w:bCs w:val="0"/>
          <w:color w:val="000000"/>
          <w:sz w:val="24"/>
          <w:szCs w:val="24"/>
          <w:shd w:val="clear" w:color="auto" w:fill="FFFFFF"/>
        </w:rPr>
      </w:pPr>
      <w:r w:rsidRPr="006A30B5">
        <w:rPr>
          <w:rStyle w:val="Strong"/>
          <w:rFonts w:ascii="Times New Roman" w:hAnsi="Times New Roman" w:cs="Times New Roman"/>
          <w:b w:val="0"/>
          <w:bCs w:val="0"/>
          <w:color w:val="000000"/>
          <w:sz w:val="24"/>
          <w:szCs w:val="24"/>
          <w:shd w:val="clear" w:color="auto" w:fill="FFFFFF"/>
        </w:rPr>
        <w:t>Iespējamais saražotais biometāna daudzums Latvijā no esošām iekārtām</w:t>
      </w:r>
      <w:r>
        <w:rPr>
          <w:rStyle w:val="Strong"/>
          <w:rFonts w:ascii="Times New Roman" w:hAnsi="Times New Roman" w:cs="Times New Roman"/>
          <w:b w:val="0"/>
          <w:bCs w:val="0"/>
          <w:color w:val="000000"/>
          <w:sz w:val="24"/>
          <w:szCs w:val="24"/>
          <w:shd w:val="clear" w:color="auto" w:fill="FFFFFF"/>
        </w:rPr>
        <w:t xml:space="preserve">, NEKP mērķi un </w:t>
      </w:r>
      <w:r w:rsidRPr="006A30B5">
        <w:rPr>
          <w:rStyle w:val="Strong"/>
          <w:rFonts w:ascii="Times New Roman" w:hAnsi="Times New Roman" w:cs="Times New Roman"/>
          <w:b w:val="0"/>
          <w:bCs w:val="0"/>
          <w:color w:val="000000"/>
          <w:sz w:val="24"/>
          <w:szCs w:val="24"/>
          <w:shd w:val="clear" w:color="auto" w:fill="FFFFFF"/>
        </w:rPr>
        <w:t xml:space="preserve"> </w:t>
      </w:r>
      <w:r>
        <w:rPr>
          <w:rStyle w:val="Strong"/>
          <w:rFonts w:ascii="Times New Roman" w:hAnsi="Times New Roman" w:cs="Times New Roman"/>
          <w:b w:val="0"/>
          <w:bCs w:val="0"/>
          <w:color w:val="000000"/>
          <w:sz w:val="24"/>
          <w:szCs w:val="24"/>
          <w:shd w:val="clear" w:color="auto" w:fill="FFFFFF"/>
        </w:rPr>
        <w:t>i</w:t>
      </w:r>
      <w:r w:rsidRPr="006A30B5">
        <w:rPr>
          <w:rStyle w:val="Strong"/>
          <w:rFonts w:ascii="Times New Roman" w:hAnsi="Times New Roman" w:cs="Times New Roman"/>
          <w:b w:val="0"/>
          <w:bCs w:val="0"/>
          <w:color w:val="000000"/>
          <w:sz w:val="24"/>
          <w:szCs w:val="24"/>
          <w:shd w:val="clear" w:color="auto" w:fill="FFFFFF"/>
        </w:rPr>
        <w:t xml:space="preserve">espējamais patēriņš attēlots </w:t>
      </w:r>
      <w:r>
        <w:rPr>
          <w:rStyle w:val="Strong"/>
          <w:rFonts w:ascii="Times New Roman" w:hAnsi="Times New Roman" w:cs="Times New Roman"/>
          <w:b w:val="0"/>
          <w:bCs w:val="0"/>
          <w:color w:val="000000"/>
          <w:sz w:val="24"/>
          <w:szCs w:val="24"/>
          <w:shd w:val="clear" w:color="auto" w:fill="FFFFFF"/>
        </w:rPr>
        <w:t>6</w:t>
      </w:r>
      <w:r w:rsidRPr="006A30B5">
        <w:rPr>
          <w:rStyle w:val="Strong"/>
          <w:rFonts w:ascii="Times New Roman" w:hAnsi="Times New Roman" w:cs="Times New Roman"/>
          <w:b w:val="0"/>
          <w:bCs w:val="0"/>
          <w:color w:val="000000"/>
          <w:sz w:val="24"/>
          <w:szCs w:val="24"/>
          <w:shd w:val="clear" w:color="auto" w:fill="FFFFFF"/>
        </w:rPr>
        <w:t>. tabulā.</w:t>
      </w:r>
    </w:p>
    <w:p w14:paraId="5FA83C9C" w14:textId="77777777" w:rsidR="00C03AAD" w:rsidRDefault="00C03AAD" w:rsidP="00C03AAD">
      <w:pPr>
        <w:spacing w:line="240" w:lineRule="auto"/>
        <w:ind w:firstLine="720"/>
        <w:jc w:val="both"/>
        <w:rPr>
          <w:rStyle w:val="Strong"/>
          <w:rFonts w:ascii="Times New Roman" w:hAnsi="Times New Roman" w:cs="Times New Roman"/>
          <w:b w:val="0"/>
          <w:bCs w:val="0"/>
          <w:color w:val="000000"/>
          <w:sz w:val="24"/>
          <w:szCs w:val="24"/>
          <w:shd w:val="clear" w:color="auto" w:fill="FFFFFF"/>
        </w:rPr>
      </w:pPr>
    </w:p>
    <w:p w14:paraId="542A1D5D" w14:textId="77777777" w:rsidR="00C03AAD" w:rsidRDefault="00C03AAD" w:rsidP="00C03AAD">
      <w:pPr>
        <w:spacing w:line="240" w:lineRule="auto"/>
        <w:ind w:firstLine="720"/>
        <w:jc w:val="right"/>
        <w:rPr>
          <w:rStyle w:val="Strong"/>
          <w:rFonts w:ascii="Times New Roman" w:hAnsi="Times New Roman" w:cs="Times New Roman"/>
          <w:color w:val="000000"/>
          <w:sz w:val="24"/>
          <w:szCs w:val="24"/>
          <w:shd w:val="clear" w:color="auto" w:fill="FFFFFF"/>
        </w:rPr>
      </w:pPr>
      <w:r>
        <w:rPr>
          <w:rStyle w:val="Strong"/>
          <w:rFonts w:ascii="Times New Roman" w:hAnsi="Times New Roman" w:cs="Times New Roman"/>
          <w:color w:val="000000"/>
          <w:sz w:val="24"/>
          <w:szCs w:val="24"/>
          <w:shd w:val="clear" w:color="auto" w:fill="FFFFFF"/>
        </w:rPr>
        <w:t xml:space="preserve">6. tabula. </w:t>
      </w:r>
      <w:r w:rsidRPr="006A30B5">
        <w:rPr>
          <w:rStyle w:val="Strong"/>
          <w:rFonts w:ascii="Times New Roman" w:hAnsi="Times New Roman" w:cs="Times New Roman"/>
          <w:color w:val="000000"/>
          <w:sz w:val="24"/>
          <w:szCs w:val="24"/>
          <w:shd w:val="clear" w:color="auto" w:fill="FFFFFF"/>
        </w:rPr>
        <w:t>Biometāna nepieciešamais un plānotais patēriņš</w:t>
      </w:r>
    </w:p>
    <w:p w14:paraId="6EB559D1" w14:textId="77777777" w:rsidR="00C03AAD" w:rsidRPr="006A30B5" w:rsidRDefault="00C03AAD" w:rsidP="00C03AAD">
      <w:pPr>
        <w:spacing w:after="0" w:line="240" w:lineRule="auto"/>
        <w:ind w:left="720"/>
        <w:contextualSpacing/>
        <w:jc w:val="center"/>
        <w:rPr>
          <w:rFonts w:ascii="Times New Roman" w:eastAsia="Calibri" w:hAnsi="Times New Roman" w:cs="Times New Roman"/>
          <w:sz w:val="24"/>
          <w:szCs w:val="24"/>
        </w:rPr>
      </w:pPr>
    </w:p>
    <w:tbl>
      <w:tblPr>
        <w:tblStyle w:val="TableGrid1"/>
        <w:tblW w:w="0" w:type="auto"/>
        <w:tblInd w:w="720" w:type="dxa"/>
        <w:tblLook w:val="04A0" w:firstRow="1" w:lastRow="0" w:firstColumn="1" w:lastColumn="0" w:noHBand="0" w:noVBand="1"/>
      </w:tblPr>
      <w:tblGrid>
        <w:gridCol w:w="835"/>
        <w:gridCol w:w="1919"/>
        <w:gridCol w:w="874"/>
        <w:gridCol w:w="817"/>
        <w:gridCol w:w="817"/>
        <w:gridCol w:w="3079"/>
      </w:tblGrid>
      <w:tr w:rsidR="00C03AAD" w:rsidRPr="006A30B5" w14:paraId="7845FCCB" w14:textId="77777777" w:rsidTr="00036815">
        <w:tc>
          <w:tcPr>
            <w:tcW w:w="835" w:type="dxa"/>
          </w:tcPr>
          <w:p w14:paraId="3E438962" w14:textId="77777777" w:rsidR="00C03AAD" w:rsidRPr="006A30B5" w:rsidRDefault="00C03AAD" w:rsidP="00036815">
            <w:pPr>
              <w:contextualSpacing/>
              <w:jc w:val="center"/>
              <w:rPr>
                <w:rFonts w:eastAsia="Calibri" w:cs="Times New Roman"/>
                <w:b/>
                <w:bCs/>
                <w:sz w:val="24"/>
                <w:szCs w:val="24"/>
              </w:rPr>
            </w:pPr>
            <w:r w:rsidRPr="006A30B5">
              <w:rPr>
                <w:rFonts w:eastAsia="Calibri" w:cs="Times New Roman"/>
                <w:b/>
                <w:bCs/>
                <w:sz w:val="24"/>
                <w:szCs w:val="24"/>
              </w:rPr>
              <w:t>Nr. p.k.</w:t>
            </w:r>
          </w:p>
        </w:tc>
        <w:tc>
          <w:tcPr>
            <w:tcW w:w="1919" w:type="dxa"/>
          </w:tcPr>
          <w:p w14:paraId="3FFA4227" w14:textId="77777777" w:rsidR="00C03AAD" w:rsidRPr="006A30B5" w:rsidRDefault="00C03AAD" w:rsidP="00036815">
            <w:pPr>
              <w:contextualSpacing/>
              <w:jc w:val="center"/>
              <w:rPr>
                <w:rFonts w:eastAsia="Calibri" w:cs="Times New Roman"/>
                <w:b/>
                <w:bCs/>
                <w:sz w:val="24"/>
                <w:szCs w:val="24"/>
              </w:rPr>
            </w:pPr>
            <w:r w:rsidRPr="006A30B5">
              <w:rPr>
                <w:rFonts w:eastAsia="Calibri" w:cs="Times New Roman"/>
                <w:b/>
                <w:bCs/>
                <w:sz w:val="24"/>
                <w:szCs w:val="24"/>
              </w:rPr>
              <w:t>Saražotais vai patērētais biometāns Gwh</w:t>
            </w:r>
          </w:p>
        </w:tc>
        <w:tc>
          <w:tcPr>
            <w:tcW w:w="874" w:type="dxa"/>
          </w:tcPr>
          <w:p w14:paraId="7EC8ABEE" w14:textId="77777777" w:rsidR="00C03AAD" w:rsidRPr="006A30B5" w:rsidRDefault="00C03AAD" w:rsidP="00036815">
            <w:pPr>
              <w:contextualSpacing/>
              <w:jc w:val="center"/>
              <w:rPr>
                <w:rFonts w:eastAsia="Calibri" w:cs="Times New Roman"/>
                <w:b/>
                <w:bCs/>
                <w:sz w:val="24"/>
                <w:szCs w:val="24"/>
              </w:rPr>
            </w:pPr>
            <w:r w:rsidRPr="006A30B5">
              <w:rPr>
                <w:rFonts w:eastAsia="Calibri" w:cs="Times New Roman"/>
                <w:b/>
                <w:bCs/>
                <w:sz w:val="24"/>
                <w:szCs w:val="24"/>
              </w:rPr>
              <w:t>2022. gads</w:t>
            </w:r>
          </w:p>
        </w:tc>
        <w:tc>
          <w:tcPr>
            <w:tcW w:w="817" w:type="dxa"/>
          </w:tcPr>
          <w:p w14:paraId="7378BA86" w14:textId="77777777" w:rsidR="00C03AAD" w:rsidRPr="006A30B5" w:rsidRDefault="00C03AAD" w:rsidP="00036815">
            <w:pPr>
              <w:contextualSpacing/>
              <w:jc w:val="center"/>
              <w:rPr>
                <w:rFonts w:eastAsia="Calibri" w:cs="Times New Roman"/>
                <w:b/>
                <w:bCs/>
                <w:sz w:val="24"/>
                <w:szCs w:val="24"/>
              </w:rPr>
            </w:pPr>
            <w:r w:rsidRPr="006A30B5">
              <w:rPr>
                <w:rFonts w:eastAsia="Calibri" w:cs="Times New Roman"/>
                <w:b/>
                <w:bCs/>
                <w:sz w:val="24"/>
                <w:szCs w:val="24"/>
              </w:rPr>
              <w:t>2025. gads</w:t>
            </w:r>
          </w:p>
        </w:tc>
        <w:tc>
          <w:tcPr>
            <w:tcW w:w="817" w:type="dxa"/>
          </w:tcPr>
          <w:p w14:paraId="7998AAA0" w14:textId="77777777" w:rsidR="00C03AAD" w:rsidRPr="006A30B5" w:rsidRDefault="00C03AAD" w:rsidP="00036815">
            <w:pPr>
              <w:contextualSpacing/>
              <w:jc w:val="center"/>
              <w:rPr>
                <w:rFonts w:eastAsia="Calibri" w:cs="Times New Roman"/>
                <w:b/>
                <w:bCs/>
                <w:sz w:val="24"/>
                <w:szCs w:val="24"/>
              </w:rPr>
            </w:pPr>
            <w:r w:rsidRPr="006A30B5">
              <w:rPr>
                <w:rFonts w:eastAsia="Calibri" w:cs="Times New Roman"/>
                <w:b/>
                <w:bCs/>
                <w:sz w:val="24"/>
                <w:szCs w:val="24"/>
              </w:rPr>
              <w:t>2030. gads</w:t>
            </w:r>
          </w:p>
        </w:tc>
        <w:tc>
          <w:tcPr>
            <w:tcW w:w="3079" w:type="dxa"/>
          </w:tcPr>
          <w:p w14:paraId="70D6B761" w14:textId="77777777" w:rsidR="00C03AAD" w:rsidRPr="006A30B5" w:rsidRDefault="00C03AAD" w:rsidP="00036815">
            <w:pPr>
              <w:contextualSpacing/>
              <w:jc w:val="center"/>
              <w:rPr>
                <w:rFonts w:eastAsia="Calibri" w:cs="Times New Roman"/>
                <w:b/>
                <w:bCs/>
                <w:sz w:val="24"/>
                <w:szCs w:val="24"/>
              </w:rPr>
            </w:pPr>
            <w:r w:rsidRPr="006A30B5">
              <w:rPr>
                <w:rFonts w:eastAsia="Calibri" w:cs="Times New Roman"/>
                <w:b/>
                <w:bCs/>
                <w:sz w:val="24"/>
                <w:szCs w:val="24"/>
              </w:rPr>
              <w:t>Piezīmes</w:t>
            </w:r>
          </w:p>
        </w:tc>
      </w:tr>
      <w:tr w:rsidR="00C03AAD" w:rsidRPr="006A30B5" w14:paraId="6E0FF078" w14:textId="77777777" w:rsidTr="00036815">
        <w:tc>
          <w:tcPr>
            <w:tcW w:w="835" w:type="dxa"/>
          </w:tcPr>
          <w:p w14:paraId="300001FD"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1.</w:t>
            </w:r>
          </w:p>
        </w:tc>
        <w:tc>
          <w:tcPr>
            <w:tcW w:w="1919" w:type="dxa"/>
          </w:tcPr>
          <w:p w14:paraId="0B5925B3"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Potenciāli saražojamais biometāns no esošām biogāzes iekārtām</w:t>
            </w:r>
          </w:p>
        </w:tc>
        <w:tc>
          <w:tcPr>
            <w:tcW w:w="874" w:type="dxa"/>
          </w:tcPr>
          <w:p w14:paraId="7607EEE2"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n.a</w:t>
            </w:r>
          </w:p>
        </w:tc>
        <w:tc>
          <w:tcPr>
            <w:tcW w:w="817" w:type="dxa"/>
          </w:tcPr>
          <w:p w14:paraId="29645069"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315</w:t>
            </w:r>
          </w:p>
        </w:tc>
        <w:tc>
          <w:tcPr>
            <w:tcW w:w="817" w:type="dxa"/>
          </w:tcPr>
          <w:p w14:paraId="086D8CD0"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315</w:t>
            </w:r>
          </w:p>
        </w:tc>
        <w:tc>
          <w:tcPr>
            <w:tcW w:w="3079" w:type="dxa"/>
          </w:tcPr>
          <w:p w14:paraId="6DBFB1AB"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Atbilstoši Latvijas Biogāzes asociācijas pieņēmumam (sk. tekstā detalizētāku skaidrojumu)</w:t>
            </w:r>
          </w:p>
        </w:tc>
      </w:tr>
      <w:tr w:rsidR="00C03AAD" w:rsidRPr="006A30B5" w14:paraId="5AA97B6A" w14:textId="77777777" w:rsidTr="00036815">
        <w:tc>
          <w:tcPr>
            <w:tcW w:w="835" w:type="dxa"/>
          </w:tcPr>
          <w:p w14:paraId="74891577" w14:textId="77777777" w:rsidR="00C03AAD" w:rsidRPr="006A30B5" w:rsidRDefault="00C03AAD" w:rsidP="00036815">
            <w:pPr>
              <w:numPr>
                <w:ilvl w:val="0"/>
                <w:numId w:val="17"/>
              </w:numPr>
              <w:contextualSpacing/>
              <w:jc w:val="center"/>
              <w:rPr>
                <w:rFonts w:eastAsia="Calibri" w:cs="Times New Roman"/>
                <w:sz w:val="24"/>
                <w:szCs w:val="24"/>
              </w:rPr>
            </w:pPr>
          </w:p>
        </w:tc>
        <w:tc>
          <w:tcPr>
            <w:tcW w:w="1919" w:type="dxa"/>
          </w:tcPr>
          <w:p w14:paraId="4A096965"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Biometāns transportā – NEKP mērķa scenārijs (FEI)</w:t>
            </w:r>
          </w:p>
        </w:tc>
        <w:tc>
          <w:tcPr>
            <w:tcW w:w="874" w:type="dxa"/>
          </w:tcPr>
          <w:p w14:paraId="661D2892"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50</w:t>
            </w:r>
          </w:p>
        </w:tc>
        <w:tc>
          <w:tcPr>
            <w:tcW w:w="817" w:type="dxa"/>
          </w:tcPr>
          <w:p w14:paraId="07AA63ED"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203</w:t>
            </w:r>
          </w:p>
        </w:tc>
        <w:tc>
          <w:tcPr>
            <w:tcW w:w="817" w:type="dxa"/>
          </w:tcPr>
          <w:p w14:paraId="2EC82A61"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433</w:t>
            </w:r>
          </w:p>
        </w:tc>
        <w:tc>
          <w:tcPr>
            <w:tcW w:w="3079" w:type="dxa"/>
          </w:tcPr>
          <w:p w14:paraId="500E9651"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Šeit nav ņemts vērā dubultās ieskaitīšanas koeficients, tātad modernais biometāns ir nepieciešams 2 reizes mazāk.</w:t>
            </w:r>
          </w:p>
        </w:tc>
      </w:tr>
      <w:tr w:rsidR="00C03AAD" w:rsidRPr="006A30B5" w14:paraId="33009FD5" w14:textId="77777777" w:rsidTr="00036815">
        <w:tc>
          <w:tcPr>
            <w:tcW w:w="835" w:type="dxa"/>
          </w:tcPr>
          <w:p w14:paraId="32F0711E" w14:textId="77777777" w:rsidR="00C03AAD" w:rsidRPr="006A30B5" w:rsidRDefault="00C03AAD" w:rsidP="00036815">
            <w:pPr>
              <w:numPr>
                <w:ilvl w:val="0"/>
                <w:numId w:val="17"/>
              </w:numPr>
              <w:contextualSpacing/>
              <w:jc w:val="center"/>
              <w:rPr>
                <w:rFonts w:eastAsia="Calibri" w:cs="Times New Roman"/>
                <w:sz w:val="24"/>
                <w:szCs w:val="24"/>
              </w:rPr>
            </w:pPr>
          </w:p>
        </w:tc>
        <w:tc>
          <w:tcPr>
            <w:tcW w:w="1919" w:type="dxa"/>
          </w:tcPr>
          <w:p w14:paraId="4D305D0C"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 xml:space="preserve">Biometāns transportā WAM scenārijs (FEI) </w:t>
            </w:r>
          </w:p>
        </w:tc>
        <w:tc>
          <w:tcPr>
            <w:tcW w:w="874" w:type="dxa"/>
          </w:tcPr>
          <w:p w14:paraId="536E6455"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0</w:t>
            </w:r>
          </w:p>
        </w:tc>
        <w:tc>
          <w:tcPr>
            <w:tcW w:w="817" w:type="dxa"/>
          </w:tcPr>
          <w:p w14:paraId="4D0BFBF3"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83</w:t>
            </w:r>
          </w:p>
        </w:tc>
        <w:tc>
          <w:tcPr>
            <w:tcW w:w="817" w:type="dxa"/>
          </w:tcPr>
          <w:p w14:paraId="5FCD88C5"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278</w:t>
            </w:r>
          </w:p>
        </w:tc>
        <w:tc>
          <w:tcPr>
            <w:tcW w:w="3079" w:type="dxa"/>
          </w:tcPr>
          <w:p w14:paraId="6B04D231"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 xml:space="preserve">Šis scenārijs ir veidots gadu vēlāk un ar nedaudz citu metodoloģiju, modernais biometāns tāpat nepieciešams 2 reizes mazāk. </w:t>
            </w:r>
          </w:p>
        </w:tc>
      </w:tr>
      <w:tr w:rsidR="00C03AAD" w:rsidRPr="006A30B5" w14:paraId="59DEB007" w14:textId="77777777" w:rsidTr="00036815">
        <w:tc>
          <w:tcPr>
            <w:tcW w:w="835" w:type="dxa"/>
          </w:tcPr>
          <w:p w14:paraId="3A0075F0" w14:textId="77777777" w:rsidR="00C03AAD" w:rsidRPr="006A30B5" w:rsidRDefault="00C03AAD" w:rsidP="00036815">
            <w:pPr>
              <w:numPr>
                <w:ilvl w:val="0"/>
                <w:numId w:val="17"/>
              </w:numPr>
              <w:contextualSpacing/>
              <w:jc w:val="center"/>
              <w:rPr>
                <w:rFonts w:eastAsia="Calibri" w:cs="Times New Roman"/>
                <w:sz w:val="24"/>
                <w:szCs w:val="24"/>
              </w:rPr>
            </w:pPr>
          </w:p>
        </w:tc>
        <w:tc>
          <w:tcPr>
            <w:tcW w:w="1919" w:type="dxa"/>
          </w:tcPr>
          <w:p w14:paraId="3EB93D92"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 xml:space="preserve">Moderno biodegvielu mērķis (NEKP un TEL) </w:t>
            </w:r>
          </w:p>
        </w:tc>
        <w:tc>
          <w:tcPr>
            <w:tcW w:w="874" w:type="dxa"/>
          </w:tcPr>
          <w:p w14:paraId="637BEB85"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24</w:t>
            </w:r>
          </w:p>
        </w:tc>
        <w:tc>
          <w:tcPr>
            <w:tcW w:w="817" w:type="dxa"/>
          </w:tcPr>
          <w:p w14:paraId="24073339"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117</w:t>
            </w:r>
          </w:p>
        </w:tc>
        <w:tc>
          <w:tcPr>
            <w:tcW w:w="817" w:type="dxa"/>
          </w:tcPr>
          <w:p w14:paraId="4344C662"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359</w:t>
            </w:r>
          </w:p>
        </w:tc>
        <w:tc>
          <w:tcPr>
            <w:tcW w:w="3079" w:type="dxa"/>
          </w:tcPr>
          <w:p w14:paraId="407B6BAD"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Enerģētiskās vērtībās, neņemot vērā koeficientu 2 (transporta enerģijas patēriņš gala patēriņā – atbilstoši FEI VAM scenārijam</w:t>
            </w:r>
          </w:p>
        </w:tc>
      </w:tr>
      <w:tr w:rsidR="00C03AAD" w:rsidRPr="006A30B5" w14:paraId="6CC84C3B" w14:textId="77777777" w:rsidTr="00036815">
        <w:tc>
          <w:tcPr>
            <w:tcW w:w="835" w:type="dxa"/>
          </w:tcPr>
          <w:p w14:paraId="4F13D0C3"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5.</w:t>
            </w:r>
          </w:p>
        </w:tc>
        <w:tc>
          <w:tcPr>
            <w:tcW w:w="1919" w:type="dxa"/>
          </w:tcPr>
          <w:p w14:paraId="463CA8F9"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 xml:space="preserve">Moderno biodegvielu mērķis (NEKP un TEL) </w:t>
            </w:r>
          </w:p>
        </w:tc>
        <w:tc>
          <w:tcPr>
            <w:tcW w:w="874" w:type="dxa"/>
          </w:tcPr>
          <w:p w14:paraId="202B3406"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12</w:t>
            </w:r>
          </w:p>
        </w:tc>
        <w:tc>
          <w:tcPr>
            <w:tcW w:w="817" w:type="dxa"/>
          </w:tcPr>
          <w:p w14:paraId="34777C4F"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59</w:t>
            </w:r>
          </w:p>
        </w:tc>
        <w:tc>
          <w:tcPr>
            <w:tcW w:w="817" w:type="dxa"/>
          </w:tcPr>
          <w:p w14:paraId="66E8AA07"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180</w:t>
            </w:r>
          </w:p>
        </w:tc>
        <w:tc>
          <w:tcPr>
            <w:tcW w:w="3079" w:type="dxa"/>
          </w:tcPr>
          <w:p w14:paraId="06CFCBC1"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Enerģētiskās vērtībās, ņemot vērā koeficientu 2 (transporta enerģijas patēriņš gala patēriņā – atbilstoši FEI VAM scenārijam</w:t>
            </w:r>
          </w:p>
        </w:tc>
      </w:tr>
      <w:tr w:rsidR="00C03AAD" w:rsidRPr="006A30B5" w14:paraId="08764D8B" w14:textId="77777777" w:rsidTr="00036815">
        <w:tc>
          <w:tcPr>
            <w:tcW w:w="835" w:type="dxa"/>
          </w:tcPr>
          <w:p w14:paraId="5B215836"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 xml:space="preserve">6. </w:t>
            </w:r>
          </w:p>
        </w:tc>
        <w:tc>
          <w:tcPr>
            <w:tcW w:w="1919" w:type="dxa"/>
          </w:tcPr>
          <w:p w14:paraId="2941F54C"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 xml:space="preserve">Rīgas Satiksmes biometāna gala </w:t>
            </w:r>
            <w:r w:rsidRPr="006A30B5">
              <w:rPr>
                <w:rFonts w:eastAsia="Calibri" w:cs="Times New Roman"/>
                <w:sz w:val="24"/>
                <w:szCs w:val="24"/>
              </w:rPr>
              <w:lastRenderedPageBreak/>
              <w:t>patēriņš nopērkot 125 autobusus</w:t>
            </w:r>
          </w:p>
        </w:tc>
        <w:tc>
          <w:tcPr>
            <w:tcW w:w="874" w:type="dxa"/>
          </w:tcPr>
          <w:p w14:paraId="626C2ABE"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lastRenderedPageBreak/>
              <w:t>0</w:t>
            </w:r>
          </w:p>
        </w:tc>
        <w:tc>
          <w:tcPr>
            <w:tcW w:w="817" w:type="dxa"/>
          </w:tcPr>
          <w:p w14:paraId="6AB09576"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39</w:t>
            </w:r>
          </w:p>
        </w:tc>
        <w:tc>
          <w:tcPr>
            <w:tcW w:w="817" w:type="dxa"/>
          </w:tcPr>
          <w:p w14:paraId="1362B2ED"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42</w:t>
            </w:r>
          </w:p>
        </w:tc>
        <w:tc>
          <w:tcPr>
            <w:tcW w:w="3079" w:type="dxa"/>
          </w:tcPr>
          <w:p w14:paraId="4C76E685"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 xml:space="preserve">Rīgas Satiksmes aprēķins, neņemot vērā koeficientu 2 </w:t>
            </w:r>
            <w:r w:rsidRPr="006A30B5">
              <w:rPr>
                <w:rFonts w:eastAsia="Calibri" w:cs="Times New Roman"/>
                <w:sz w:val="24"/>
                <w:szCs w:val="24"/>
              </w:rPr>
              <w:lastRenderedPageBreak/>
              <w:t>biometāna ieskaitīšanai gala patēriņā</w:t>
            </w:r>
          </w:p>
        </w:tc>
      </w:tr>
      <w:tr w:rsidR="00C03AAD" w:rsidRPr="006A30B5" w14:paraId="5430E888" w14:textId="77777777" w:rsidTr="00036815">
        <w:tc>
          <w:tcPr>
            <w:tcW w:w="835" w:type="dxa"/>
          </w:tcPr>
          <w:p w14:paraId="3D897D13"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lastRenderedPageBreak/>
              <w:t>7</w:t>
            </w:r>
            <w:r>
              <w:rPr>
                <w:rFonts w:eastAsia="Calibri" w:cs="Times New Roman"/>
                <w:sz w:val="24"/>
                <w:szCs w:val="24"/>
              </w:rPr>
              <w:t>.</w:t>
            </w:r>
          </w:p>
        </w:tc>
        <w:tc>
          <w:tcPr>
            <w:tcW w:w="1919" w:type="dxa"/>
          </w:tcPr>
          <w:p w14:paraId="5E9028DA"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Rīgas Satiksmes biometāna gala patēriņš nopērkot 125 autobusus</w:t>
            </w:r>
          </w:p>
        </w:tc>
        <w:tc>
          <w:tcPr>
            <w:tcW w:w="874" w:type="dxa"/>
          </w:tcPr>
          <w:p w14:paraId="5B7C2310"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0</w:t>
            </w:r>
          </w:p>
        </w:tc>
        <w:tc>
          <w:tcPr>
            <w:tcW w:w="817" w:type="dxa"/>
          </w:tcPr>
          <w:p w14:paraId="4459FDEB"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78</w:t>
            </w:r>
          </w:p>
        </w:tc>
        <w:tc>
          <w:tcPr>
            <w:tcW w:w="817" w:type="dxa"/>
          </w:tcPr>
          <w:p w14:paraId="4B6F09CB"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84</w:t>
            </w:r>
          </w:p>
        </w:tc>
        <w:tc>
          <w:tcPr>
            <w:tcW w:w="3079" w:type="dxa"/>
          </w:tcPr>
          <w:p w14:paraId="7DD7A063" w14:textId="77777777" w:rsidR="00C03AAD" w:rsidRPr="006A30B5" w:rsidRDefault="00C03AAD" w:rsidP="00036815">
            <w:pPr>
              <w:contextualSpacing/>
              <w:jc w:val="center"/>
              <w:rPr>
                <w:rFonts w:eastAsia="Calibri" w:cs="Times New Roman"/>
                <w:sz w:val="24"/>
                <w:szCs w:val="24"/>
              </w:rPr>
            </w:pPr>
            <w:r w:rsidRPr="006A30B5">
              <w:rPr>
                <w:rFonts w:eastAsia="Calibri" w:cs="Times New Roman"/>
                <w:sz w:val="24"/>
                <w:szCs w:val="24"/>
              </w:rPr>
              <w:t>Rīgas Satiksmes aprēķins, koriģējot ar  koeficientu 2 modernās biodegvielas gala patēriņa aprēķinā</w:t>
            </w:r>
          </w:p>
        </w:tc>
      </w:tr>
      <w:tr w:rsidR="00C03AAD" w:rsidRPr="006A30B5" w14:paraId="73812B2F" w14:textId="77777777" w:rsidTr="00036815">
        <w:tc>
          <w:tcPr>
            <w:tcW w:w="835" w:type="dxa"/>
          </w:tcPr>
          <w:p w14:paraId="735578E7" w14:textId="77777777" w:rsidR="00C03AAD" w:rsidRDefault="00C03AAD" w:rsidP="00036815">
            <w:pPr>
              <w:contextualSpacing/>
              <w:jc w:val="center"/>
              <w:rPr>
                <w:rFonts w:eastAsia="Calibri" w:cs="Times New Roman"/>
                <w:sz w:val="24"/>
                <w:szCs w:val="24"/>
              </w:rPr>
            </w:pPr>
            <w:r>
              <w:rPr>
                <w:rFonts w:eastAsia="Calibri" w:cs="Times New Roman"/>
                <w:sz w:val="24"/>
                <w:szCs w:val="24"/>
              </w:rPr>
              <w:t>8.</w:t>
            </w:r>
          </w:p>
          <w:p w14:paraId="310C2B68" w14:textId="77777777" w:rsidR="00C03AAD" w:rsidRPr="006A30B5" w:rsidRDefault="00C03AAD" w:rsidP="00036815">
            <w:pPr>
              <w:contextualSpacing/>
              <w:jc w:val="center"/>
              <w:rPr>
                <w:rFonts w:eastAsia="Calibri" w:cs="Times New Roman"/>
                <w:sz w:val="24"/>
                <w:szCs w:val="24"/>
              </w:rPr>
            </w:pPr>
          </w:p>
        </w:tc>
        <w:tc>
          <w:tcPr>
            <w:tcW w:w="1919" w:type="dxa"/>
          </w:tcPr>
          <w:p w14:paraId="3AEA076E"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 xml:space="preserve">Valsts ugunsdzēsības un drošības dienesta transportlīdzekļi </w:t>
            </w:r>
          </w:p>
        </w:tc>
        <w:tc>
          <w:tcPr>
            <w:tcW w:w="874" w:type="dxa"/>
          </w:tcPr>
          <w:p w14:paraId="3F2BC7D9"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0.3</w:t>
            </w:r>
          </w:p>
        </w:tc>
        <w:tc>
          <w:tcPr>
            <w:tcW w:w="817" w:type="dxa"/>
          </w:tcPr>
          <w:p w14:paraId="0D9EB537"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5.3</w:t>
            </w:r>
          </w:p>
        </w:tc>
        <w:tc>
          <w:tcPr>
            <w:tcW w:w="817" w:type="dxa"/>
          </w:tcPr>
          <w:p w14:paraId="1C9AA93E"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7.7.</w:t>
            </w:r>
          </w:p>
        </w:tc>
        <w:tc>
          <w:tcPr>
            <w:tcW w:w="3079" w:type="dxa"/>
          </w:tcPr>
          <w:p w14:paraId="745B7414"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 xml:space="preserve">Iekšlietu ministrijas aprēķinātais patēriņš, </w:t>
            </w:r>
            <w:r w:rsidRPr="006A30B5">
              <w:rPr>
                <w:rFonts w:eastAsia="Calibri" w:cs="Times New Roman"/>
                <w:sz w:val="24"/>
                <w:szCs w:val="24"/>
              </w:rPr>
              <w:t>neņemot vērā koeficientu 2 biometāna ieskaitīšanai gala patēriņā</w:t>
            </w:r>
          </w:p>
        </w:tc>
      </w:tr>
      <w:tr w:rsidR="00C03AAD" w:rsidRPr="006A30B5" w14:paraId="1358748C" w14:textId="77777777" w:rsidTr="00036815">
        <w:tc>
          <w:tcPr>
            <w:tcW w:w="835" w:type="dxa"/>
          </w:tcPr>
          <w:p w14:paraId="3D629718" w14:textId="77777777" w:rsidR="00C03AAD" w:rsidRDefault="00C03AAD" w:rsidP="00036815">
            <w:pPr>
              <w:contextualSpacing/>
              <w:jc w:val="center"/>
              <w:rPr>
                <w:rFonts w:eastAsia="Calibri" w:cs="Times New Roman"/>
                <w:sz w:val="24"/>
                <w:szCs w:val="24"/>
              </w:rPr>
            </w:pPr>
            <w:r>
              <w:rPr>
                <w:rFonts w:eastAsia="Calibri" w:cs="Times New Roman"/>
                <w:sz w:val="24"/>
                <w:szCs w:val="24"/>
              </w:rPr>
              <w:t>9.</w:t>
            </w:r>
          </w:p>
        </w:tc>
        <w:tc>
          <w:tcPr>
            <w:tcW w:w="1919" w:type="dxa"/>
          </w:tcPr>
          <w:p w14:paraId="0A4B58A7"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Valsts ugunsdzēsības un drošības dienesta transportlīdzekļi</w:t>
            </w:r>
          </w:p>
        </w:tc>
        <w:tc>
          <w:tcPr>
            <w:tcW w:w="874" w:type="dxa"/>
          </w:tcPr>
          <w:p w14:paraId="0794A57C"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0.7</w:t>
            </w:r>
          </w:p>
        </w:tc>
        <w:tc>
          <w:tcPr>
            <w:tcW w:w="817" w:type="dxa"/>
          </w:tcPr>
          <w:p w14:paraId="6C9D3CF8"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10.7</w:t>
            </w:r>
          </w:p>
        </w:tc>
        <w:tc>
          <w:tcPr>
            <w:tcW w:w="817" w:type="dxa"/>
          </w:tcPr>
          <w:p w14:paraId="6738D567"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15.3</w:t>
            </w:r>
          </w:p>
        </w:tc>
        <w:tc>
          <w:tcPr>
            <w:tcW w:w="3079" w:type="dxa"/>
          </w:tcPr>
          <w:p w14:paraId="0A5FAC0F" w14:textId="77777777" w:rsidR="00C03AAD" w:rsidRPr="006A30B5" w:rsidRDefault="00C03AAD" w:rsidP="00036815">
            <w:pPr>
              <w:contextualSpacing/>
              <w:jc w:val="center"/>
              <w:rPr>
                <w:rFonts w:eastAsia="Calibri" w:cs="Times New Roman"/>
                <w:sz w:val="24"/>
                <w:szCs w:val="24"/>
              </w:rPr>
            </w:pPr>
            <w:r>
              <w:rPr>
                <w:rFonts w:eastAsia="Calibri" w:cs="Times New Roman"/>
                <w:sz w:val="24"/>
                <w:szCs w:val="24"/>
              </w:rPr>
              <w:t xml:space="preserve">Iekšlietu ministrijas aprēķinātais patēriņš, </w:t>
            </w:r>
            <w:r w:rsidRPr="006A30B5">
              <w:rPr>
                <w:rFonts w:eastAsia="Calibri" w:cs="Times New Roman"/>
                <w:sz w:val="24"/>
                <w:szCs w:val="24"/>
              </w:rPr>
              <w:t>ņemot vērā koeficientu 2 biometāna ieskaitīšanai gala patēriņā</w:t>
            </w:r>
          </w:p>
        </w:tc>
      </w:tr>
    </w:tbl>
    <w:p w14:paraId="437BE212" w14:textId="77777777" w:rsidR="00C03AAD" w:rsidRPr="00832879" w:rsidRDefault="00C03AAD" w:rsidP="00C03AAD">
      <w:pPr>
        <w:spacing w:line="240" w:lineRule="auto"/>
        <w:ind w:firstLine="720"/>
        <w:jc w:val="both"/>
        <w:rPr>
          <w:rStyle w:val="Strong"/>
          <w:rFonts w:ascii="Times New Roman" w:hAnsi="Times New Roman" w:cs="Times New Roman"/>
          <w:color w:val="000000"/>
          <w:sz w:val="24"/>
          <w:szCs w:val="24"/>
          <w:shd w:val="clear" w:color="auto" w:fill="FFFFFF"/>
        </w:rPr>
      </w:pPr>
    </w:p>
    <w:p w14:paraId="029CA3C2" w14:textId="77777777" w:rsidR="00C03AAD" w:rsidRPr="00C82195" w:rsidRDefault="00C03AAD" w:rsidP="00C03AAD">
      <w:pPr>
        <w:spacing w:after="0" w:line="240" w:lineRule="auto"/>
        <w:rPr>
          <w:rFonts w:ascii="Times New Roman" w:eastAsia="Calibri" w:hAnsi="Times New Roman" w:cs="Times New Roman"/>
          <w:sz w:val="24"/>
          <w:szCs w:val="24"/>
        </w:rPr>
      </w:pPr>
      <w:r w:rsidRPr="00C82195">
        <w:rPr>
          <w:rFonts w:ascii="Times New Roman" w:eastAsia="Calibri" w:hAnsi="Times New Roman" w:cs="Times New Roman"/>
          <w:sz w:val="24"/>
          <w:szCs w:val="24"/>
        </w:rPr>
        <w:t>Potenciāli saražojamais biometāns aprēķināts no sekojošiem Latvijas biogāzes asociācijas pieņēmumiem:</w:t>
      </w:r>
    </w:p>
    <w:p w14:paraId="4E430D70" w14:textId="77777777" w:rsidR="00C03AAD" w:rsidRPr="00C82195" w:rsidRDefault="00C03AAD" w:rsidP="00C03AAD">
      <w:pPr>
        <w:numPr>
          <w:ilvl w:val="0"/>
          <w:numId w:val="18"/>
        </w:numPr>
        <w:spacing w:after="0" w:line="240" w:lineRule="auto"/>
        <w:contextualSpacing/>
        <w:rPr>
          <w:rFonts w:ascii="Times New Roman" w:eastAsia="Calibri" w:hAnsi="Times New Roman" w:cs="Times New Roman"/>
          <w:sz w:val="24"/>
          <w:szCs w:val="24"/>
        </w:rPr>
      </w:pPr>
      <w:r w:rsidRPr="00C82195">
        <w:rPr>
          <w:rFonts w:ascii="Times New Roman" w:eastAsia="Calibri" w:hAnsi="Times New Roman" w:cs="Times New Roman"/>
          <w:sz w:val="24"/>
          <w:szCs w:val="24"/>
        </w:rPr>
        <w:t xml:space="preserve">2018. gadā saražots 347.93 GWh </w:t>
      </w:r>
      <w:r>
        <w:rPr>
          <w:rFonts w:ascii="Times New Roman" w:eastAsia="Calibri" w:hAnsi="Times New Roman" w:cs="Times New Roman"/>
          <w:sz w:val="24"/>
          <w:szCs w:val="24"/>
        </w:rPr>
        <w:t>elektro</w:t>
      </w:r>
      <w:r w:rsidRPr="00C82195">
        <w:rPr>
          <w:rFonts w:ascii="Times New Roman" w:eastAsia="Calibri" w:hAnsi="Times New Roman" w:cs="Times New Roman"/>
          <w:sz w:val="24"/>
          <w:szCs w:val="24"/>
        </w:rPr>
        <w:t>nerģijas;</w:t>
      </w:r>
    </w:p>
    <w:p w14:paraId="7D6751DC" w14:textId="77777777" w:rsidR="00C03AAD" w:rsidRPr="00C82195" w:rsidRDefault="00C03AAD" w:rsidP="00C03AAD">
      <w:pPr>
        <w:numPr>
          <w:ilvl w:val="0"/>
          <w:numId w:val="18"/>
        </w:numPr>
        <w:spacing w:after="0" w:line="240" w:lineRule="auto"/>
        <w:contextualSpacing/>
        <w:rPr>
          <w:rFonts w:ascii="Times New Roman" w:eastAsia="Calibri" w:hAnsi="Times New Roman" w:cs="Times New Roman"/>
          <w:sz w:val="24"/>
          <w:szCs w:val="24"/>
        </w:rPr>
      </w:pPr>
      <w:r w:rsidRPr="00C82195">
        <w:rPr>
          <w:rFonts w:ascii="Times New Roman" w:eastAsia="Calibri" w:hAnsi="Times New Roman" w:cs="Times New Roman"/>
          <w:sz w:val="24"/>
          <w:szCs w:val="24"/>
        </w:rPr>
        <w:t>Elektroenerģijas ražošanā patērēts ap 153 milj. m3 biogāzes;</w:t>
      </w:r>
    </w:p>
    <w:p w14:paraId="7FBC6366" w14:textId="77777777" w:rsidR="00C03AAD" w:rsidRPr="00C82195" w:rsidRDefault="00C03AAD" w:rsidP="00C03AAD">
      <w:pPr>
        <w:numPr>
          <w:ilvl w:val="0"/>
          <w:numId w:val="18"/>
        </w:numPr>
        <w:spacing w:after="0" w:line="240" w:lineRule="auto"/>
        <w:contextualSpacing/>
        <w:rPr>
          <w:rFonts w:ascii="Times New Roman" w:eastAsia="Calibri" w:hAnsi="Times New Roman" w:cs="Times New Roman"/>
          <w:sz w:val="24"/>
          <w:szCs w:val="24"/>
        </w:rPr>
      </w:pPr>
      <w:r w:rsidRPr="00C82195">
        <w:rPr>
          <w:rFonts w:ascii="Times New Roman" w:eastAsia="Calibri" w:hAnsi="Times New Roman" w:cs="Times New Roman"/>
          <w:sz w:val="24"/>
          <w:szCs w:val="24"/>
        </w:rPr>
        <w:t>Šis biogāzes daudzums atbilst 81-84 milj. m3 biometāna;</w:t>
      </w:r>
    </w:p>
    <w:p w14:paraId="793E3145" w14:textId="77777777" w:rsidR="00C03AAD" w:rsidRPr="00C82195" w:rsidRDefault="00C03AAD" w:rsidP="00C03AAD">
      <w:pPr>
        <w:numPr>
          <w:ilvl w:val="0"/>
          <w:numId w:val="18"/>
        </w:numPr>
        <w:spacing w:after="0" w:line="240" w:lineRule="auto"/>
        <w:contextualSpacing/>
        <w:rPr>
          <w:rFonts w:ascii="Times New Roman" w:eastAsia="Calibri" w:hAnsi="Times New Roman" w:cs="Times New Roman"/>
          <w:sz w:val="24"/>
          <w:szCs w:val="24"/>
        </w:rPr>
      </w:pPr>
      <w:r w:rsidRPr="00C82195">
        <w:rPr>
          <w:rFonts w:ascii="Times New Roman" w:eastAsia="Calibri" w:hAnsi="Times New Roman" w:cs="Times New Roman"/>
          <w:sz w:val="24"/>
          <w:szCs w:val="24"/>
        </w:rPr>
        <w:t>Biogāzes ražošanas siltuma nodrošināšanai –pašpatēriņš 20 milj. m3 biometāna;</w:t>
      </w:r>
    </w:p>
    <w:p w14:paraId="61F50F96" w14:textId="77777777" w:rsidR="00C03AAD" w:rsidRPr="00C82195" w:rsidRDefault="00C03AAD" w:rsidP="00C03AAD">
      <w:pPr>
        <w:numPr>
          <w:ilvl w:val="0"/>
          <w:numId w:val="18"/>
        </w:numPr>
        <w:spacing w:after="0" w:line="240" w:lineRule="auto"/>
        <w:contextualSpacing/>
        <w:rPr>
          <w:rFonts w:ascii="Times New Roman" w:eastAsia="Calibri" w:hAnsi="Times New Roman" w:cs="Times New Roman"/>
          <w:sz w:val="24"/>
          <w:szCs w:val="24"/>
        </w:rPr>
      </w:pPr>
      <w:r w:rsidRPr="00C82195">
        <w:rPr>
          <w:rFonts w:ascii="Times New Roman" w:eastAsia="Calibri" w:hAnsi="Times New Roman" w:cs="Times New Roman"/>
          <w:sz w:val="24"/>
          <w:szCs w:val="24"/>
        </w:rPr>
        <w:t>Maksimāli izmantojamais biometāna daudzums –64 milj. m3 gadā, ja biogāzi nekur citur nelietotu;</w:t>
      </w:r>
    </w:p>
    <w:p w14:paraId="1163E083" w14:textId="77777777" w:rsidR="00C03AAD" w:rsidRPr="00C82195" w:rsidRDefault="00C03AAD" w:rsidP="00C03AAD">
      <w:pPr>
        <w:numPr>
          <w:ilvl w:val="0"/>
          <w:numId w:val="18"/>
        </w:numPr>
        <w:spacing w:after="0" w:line="240" w:lineRule="auto"/>
        <w:contextualSpacing/>
        <w:rPr>
          <w:rFonts w:ascii="Times New Roman" w:eastAsia="Calibri" w:hAnsi="Times New Roman" w:cs="Times New Roman"/>
          <w:sz w:val="24"/>
          <w:szCs w:val="24"/>
        </w:rPr>
      </w:pPr>
      <w:r w:rsidRPr="00C82195">
        <w:rPr>
          <w:rFonts w:ascii="Times New Roman" w:eastAsia="Calibri" w:hAnsi="Times New Roman" w:cs="Times New Roman"/>
          <w:sz w:val="24"/>
          <w:szCs w:val="24"/>
        </w:rPr>
        <w:t>Pieņēmumi: Biogāzes ražošana tuvāko 3 gadu laikā nepaplašinās, bet tieši otrādi: sarūk par 30%:</w:t>
      </w:r>
    </w:p>
    <w:p w14:paraId="3FA8AE19" w14:textId="77777777" w:rsidR="00C03AAD" w:rsidRPr="00C82195" w:rsidRDefault="00C03AAD" w:rsidP="00C03AAD">
      <w:pPr>
        <w:numPr>
          <w:ilvl w:val="0"/>
          <w:numId w:val="18"/>
        </w:numPr>
        <w:spacing w:after="0" w:line="240" w:lineRule="auto"/>
        <w:contextualSpacing/>
        <w:rPr>
          <w:rFonts w:ascii="Times New Roman" w:eastAsia="Calibri" w:hAnsi="Times New Roman" w:cs="Times New Roman"/>
          <w:sz w:val="24"/>
          <w:szCs w:val="24"/>
        </w:rPr>
      </w:pPr>
      <w:r w:rsidRPr="00C82195">
        <w:rPr>
          <w:rFonts w:ascii="Times New Roman" w:eastAsia="Calibri" w:hAnsi="Times New Roman" w:cs="Times New Roman"/>
          <w:sz w:val="24"/>
          <w:szCs w:val="24"/>
        </w:rPr>
        <w:t>Gadā saražos 107 milj. m3 biogāzes;</w:t>
      </w:r>
    </w:p>
    <w:p w14:paraId="452BCAE0" w14:textId="77777777" w:rsidR="00C03AAD" w:rsidRPr="00C82195" w:rsidRDefault="00C03AAD" w:rsidP="00C03AAD">
      <w:pPr>
        <w:numPr>
          <w:ilvl w:val="0"/>
          <w:numId w:val="18"/>
        </w:numPr>
        <w:spacing w:after="0" w:line="240" w:lineRule="auto"/>
        <w:contextualSpacing/>
        <w:rPr>
          <w:rFonts w:ascii="Times New Roman" w:eastAsia="Calibri" w:hAnsi="Times New Roman" w:cs="Times New Roman"/>
          <w:sz w:val="24"/>
          <w:szCs w:val="24"/>
        </w:rPr>
      </w:pPr>
      <w:r w:rsidRPr="00C82195">
        <w:rPr>
          <w:rFonts w:ascii="Times New Roman" w:eastAsia="Calibri" w:hAnsi="Times New Roman" w:cs="Times New Roman"/>
          <w:sz w:val="24"/>
          <w:szCs w:val="24"/>
        </w:rPr>
        <w:t>Ja arī nākotnē 50% no biogāzes turpinātu izmantot elektroenerģijas ražošanā, tad citiem mērķiem varētu izmantot ap 29-30 milj. m3 biometāna gadā;</w:t>
      </w:r>
    </w:p>
    <w:p w14:paraId="3C12CC64" w14:textId="77777777" w:rsidR="00C03AAD" w:rsidRPr="00C82195" w:rsidRDefault="00C03AAD" w:rsidP="00C03AAD">
      <w:pPr>
        <w:numPr>
          <w:ilvl w:val="0"/>
          <w:numId w:val="18"/>
        </w:numPr>
        <w:spacing w:after="0" w:line="240" w:lineRule="auto"/>
        <w:contextualSpacing/>
        <w:rPr>
          <w:rFonts w:ascii="Times New Roman" w:eastAsia="Calibri" w:hAnsi="Times New Roman" w:cs="Times New Roman"/>
          <w:sz w:val="24"/>
          <w:szCs w:val="24"/>
        </w:rPr>
      </w:pPr>
      <w:r w:rsidRPr="00C82195">
        <w:rPr>
          <w:rFonts w:ascii="Times New Roman" w:eastAsia="Calibri" w:hAnsi="Times New Roman" w:cs="Times New Roman"/>
          <w:sz w:val="24"/>
          <w:szCs w:val="24"/>
        </w:rPr>
        <w:t>Tas ļautu aizvietot dabasgāzi 304-315 GWh apjomā vai ap 27 tkt, dīzeļdegvielas (iespējams aizvietot 3% no kopējā degvielu patēriņa LV, 8% dīzeļdegvielas),</w:t>
      </w:r>
    </w:p>
    <w:p w14:paraId="3837EA13" w14:textId="77777777" w:rsidR="00C03AAD" w:rsidRPr="00C82195" w:rsidRDefault="00C03AAD" w:rsidP="00C03AAD">
      <w:pPr>
        <w:spacing w:after="0" w:line="240" w:lineRule="auto"/>
        <w:jc w:val="both"/>
        <w:rPr>
          <w:rFonts w:ascii="Times New Roman" w:eastAsia="Calibri" w:hAnsi="Times New Roman" w:cs="Times New Roman"/>
          <w:sz w:val="24"/>
          <w:szCs w:val="24"/>
        </w:rPr>
      </w:pPr>
      <w:r w:rsidRPr="00C82195">
        <w:rPr>
          <w:rFonts w:ascii="Times New Roman" w:eastAsia="Calibri" w:hAnsi="Times New Roman" w:cs="Times New Roman"/>
          <w:sz w:val="24"/>
          <w:szCs w:val="24"/>
        </w:rPr>
        <w:t xml:space="preserve">Minētos pieņēmumus var uzskatīt par konservatīviem, jo nav ekonomiska pamata ilgākā laika periodā turpināt ražot elektroenerģiju. Tāpēc </w:t>
      </w:r>
      <w:r>
        <w:rPr>
          <w:rFonts w:ascii="Times New Roman" w:eastAsia="Calibri" w:hAnsi="Times New Roman" w:cs="Times New Roman"/>
          <w:sz w:val="24"/>
          <w:szCs w:val="24"/>
        </w:rPr>
        <w:t>20</w:t>
      </w:r>
      <w:r w:rsidRPr="00C82195">
        <w:rPr>
          <w:rFonts w:ascii="Times New Roman" w:eastAsia="Calibri" w:hAnsi="Times New Roman" w:cs="Times New Roman"/>
          <w:sz w:val="24"/>
          <w:szCs w:val="24"/>
        </w:rPr>
        <w:t xml:space="preserve">25. gada saražotā biometāna prognozi </w:t>
      </w:r>
      <w:r>
        <w:rPr>
          <w:rFonts w:ascii="Times New Roman" w:eastAsia="Calibri" w:hAnsi="Times New Roman" w:cs="Times New Roman"/>
          <w:sz w:val="24"/>
          <w:szCs w:val="24"/>
        </w:rPr>
        <w:t>6</w:t>
      </w:r>
      <w:r w:rsidRPr="00C82195">
        <w:rPr>
          <w:rFonts w:ascii="Times New Roman" w:eastAsia="Calibri" w:hAnsi="Times New Roman" w:cs="Times New Roman"/>
          <w:sz w:val="24"/>
          <w:szCs w:val="24"/>
        </w:rPr>
        <w:t>. tabulā var uzskatīt par pamatotu, bet 2030. gadā biometānam vajadzētu būt vairāk</w:t>
      </w:r>
      <w:r>
        <w:rPr>
          <w:rFonts w:ascii="Times New Roman" w:eastAsia="Calibri" w:hAnsi="Times New Roman" w:cs="Times New Roman"/>
          <w:sz w:val="24"/>
          <w:szCs w:val="24"/>
        </w:rPr>
        <w:t>, arī ņemot vērā 4. attēlā novērtēto potenciālu</w:t>
      </w:r>
      <w:r w:rsidRPr="00C82195">
        <w:rPr>
          <w:rFonts w:ascii="Times New Roman" w:eastAsia="Calibri" w:hAnsi="Times New Roman" w:cs="Times New Roman"/>
          <w:sz w:val="24"/>
          <w:szCs w:val="24"/>
        </w:rPr>
        <w:t xml:space="preserve">. </w:t>
      </w:r>
    </w:p>
    <w:p w14:paraId="541BBB42" w14:textId="77777777" w:rsidR="00C03AAD" w:rsidRDefault="00C03AAD" w:rsidP="00C03AAD">
      <w:pPr>
        <w:spacing w:line="240" w:lineRule="auto"/>
        <w:ind w:firstLine="720"/>
        <w:jc w:val="both"/>
        <w:rPr>
          <w:rFonts w:ascii="Times New Roman" w:eastAsia="Calibri" w:hAnsi="Times New Roman" w:cs="Times New Roman"/>
          <w:sz w:val="24"/>
          <w:szCs w:val="24"/>
        </w:rPr>
      </w:pPr>
      <w:r w:rsidRPr="00C82195">
        <w:rPr>
          <w:rFonts w:ascii="Times New Roman" w:eastAsia="Calibri" w:hAnsi="Times New Roman" w:cs="Times New Roman"/>
          <w:sz w:val="24"/>
          <w:szCs w:val="24"/>
        </w:rPr>
        <w:t>Jāņem vērā, ka moderno biodegvielu mērķis neattiecas tikai uz biometānu – šī mērķa ietvarā brīvi konkurē biometāns un modernās biodegvielas.</w:t>
      </w:r>
      <w:r>
        <w:rPr>
          <w:rFonts w:ascii="Times New Roman" w:eastAsia="Calibri" w:hAnsi="Times New Roman" w:cs="Times New Roman"/>
          <w:sz w:val="24"/>
          <w:szCs w:val="24"/>
        </w:rPr>
        <w:t xml:space="preserve"> 6. tabulā norādītais koeficients 2 nozīmē, ka moderno biometānu, aprēķinot transporta mērķus, atbilstoši ES </w:t>
      </w:r>
      <w:r w:rsidRPr="00FC7AEA">
        <w:rPr>
          <w:rFonts w:ascii="Times New Roman" w:eastAsia="Calibri" w:hAnsi="Times New Roman" w:cs="Times New Roman"/>
          <w:sz w:val="24"/>
          <w:szCs w:val="24"/>
        </w:rPr>
        <w:t>Direktīvas 2018/2001</w:t>
      </w:r>
      <w:r>
        <w:rPr>
          <w:rFonts w:ascii="Times New Roman" w:eastAsia="Calibri" w:hAnsi="Times New Roman" w:cs="Times New Roman"/>
          <w:sz w:val="24"/>
          <w:szCs w:val="24"/>
        </w:rPr>
        <w:t xml:space="preserve"> nosacījumiem, ieskaita dubultā apmērā. </w:t>
      </w:r>
    </w:p>
    <w:p w14:paraId="46EBC372" w14:textId="77777777" w:rsidR="00C03AAD" w:rsidRDefault="00C03AAD" w:rsidP="00C03AAD">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 tabulā norādītais Fizikālās enerģētikas institūta WAM scenārijs – ir klimata prognožu vajadzībām modelēts scenārijs ar papildus pasākumiem. Šis scenārijs atšķiras no NEKP mērķa scenārija, bet ir jaunāks un tāpēc tas tiek izmantots prognozēs. Jāņem vērā, ka realitātē transporta enerģijas gala patēriņš var atšķirties no prognozētā, tāpēc 6.tabulas rādītāji ir tikai indikatīvi. </w:t>
      </w:r>
    </w:p>
    <w:p w14:paraId="5DB5B88A" w14:textId="77777777" w:rsidR="00C03AAD" w:rsidRDefault="00C03AAD" w:rsidP="00C03AAD">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Būtiskākais secinājums no 6. tabulas ir, ka Latvijā potenciāli var saražot vairāk biometāna, nekā tas ir nepieciešams 2025. gada NEKP mērķu sasniegšanai. Tāpēc arī degvielas tirgotāju pienākumu shēma, ja vien tās mērķi nav būtiski augstāki, kā tas šobrīd ietverts NEKP un TEL projektā, bez citiem pasākumiem nenodrošina nepieciešamo biometāna patēriņu, kas būtu nepieciešams, lai saglabātu biogāzes ražošanu, atsakoties no OIK. </w:t>
      </w:r>
    </w:p>
    <w:p w14:paraId="1F7574F4" w14:textId="77777777" w:rsidR="00C03AAD" w:rsidRDefault="00C03AAD" w:rsidP="00C03AAD">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Savukārt, ja Rīgas Satiksme nopirktu 125 autobusus, kurus darbinātu ar biometānu – šāds projekts nodrošinātu apmēram 2/3 no NEKP 2025. gada moderno biodegvielu un modernā biometāna mērķu sasniegšanas. </w:t>
      </w:r>
    </w:p>
    <w:p w14:paraId="781480EA" w14:textId="77777777" w:rsidR="00C03AAD" w:rsidRPr="00B24167" w:rsidRDefault="00C03AAD" w:rsidP="00C03AAD">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Vēl viens iespējams biometāna patērētājs varētu būt Iekšlietu ministrijas Valsts ugunsdzēsības un drošības dienesta (turpmāk - VUGD) operatīvie transportlīdzeļi. </w:t>
      </w:r>
      <w:r w:rsidRPr="00B24167">
        <w:rPr>
          <w:rFonts w:ascii="Times New Roman" w:eastAsia="Calibri" w:hAnsi="Times New Roman" w:cs="Times New Roman"/>
          <w:sz w:val="24"/>
          <w:szCs w:val="24"/>
        </w:rPr>
        <w:t>Lai uzlabotu kopējo VUGD operatīvā transporta parku no Eiropas Savienības uzstādīto klimatneitralitātes mērķu sasniegšanas skatu punkta, kā arī, lai visā Latvijas teritorijā nodrošinātu vienlīdz kvalitatīvu un savlaicīgu operatīvo pakalpojumu sniegšanu ugunsdzēsības un civilās aizsardzības jomā, kopumā VUGD vajadzībām laika periodā no 2021.- 2028.gadam būtu nepieciešams iegādāties 421 operatīvajā darbībā iesaistīto transportlīdzekļu vienības, no kurām:</w:t>
      </w:r>
    </w:p>
    <w:p w14:paraId="45A28DC3" w14:textId="77777777" w:rsidR="00C03AAD" w:rsidRPr="00B24167" w:rsidRDefault="00C03AAD" w:rsidP="00C03AAD">
      <w:pPr>
        <w:spacing w:line="240" w:lineRule="auto"/>
        <w:ind w:firstLine="720"/>
        <w:jc w:val="both"/>
        <w:rPr>
          <w:rFonts w:ascii="Times New Roman" w:eastAsia="Calibri" w:hAnsi="Times New Roman" w:cs="Times New Roman"/>
          <w:sz w:val="24"/>
          <w:szCs w:val="24"/>
        </w:rPr>
      </w:pPr>
      <w:r w:rsidRPr="00B24167">
        <w:rPr>
          <w:rFonts w:ascii="Times New Roman" w:eastAsia="Calibri" w:hAnsi="Times New Roman" w:cs="Times New Roman"/>
          <w:sz w:val="24"/>
          <w:szCs w:val="24"/>
        </w:rPr>
        <w:t>•</w:t>
      </w:r>
      <w:r w:rsidRPr="00B24167">
        <w:rPr>
          <w:rFonts w:ascii="Times New Roman" w:eastAsia="Calibri" w:hAnsi="Times New Roman" w:cs="Times New Roman"/>
          <w:sz w:val="24"/>
          <w:szCs w:val="24"/>
        </w:rPr>
        <w:tab/>
        <w:t xml:space="preserve">2 (36-42 </w:t>
      </w:r>
      <w:r>
        <w:rPr>
          <w:rFonts w:ascii="Times New Roman" w:eastAsia="Calibri" w:hAnsi="Times New Roman" w:cs="Times New Roman"/>
          <w:sz w:val="24"/>
          <w:szCs w:val="24"/>
        </w:rPr>
        <w:t>-</w:t>
      </w:r>
      <w:r w:rsidRPr="00B24167">
        <w:rPr>
          <w:rFonts w:ascii="Times New Roman" w:eastAsia="Calibri" w:hAnsi="Times New Roman" w:cs="Times New Roman"/>
          <w:sz w:val="24"/>
          <w:szCs w:val="24"/>
        </w:rPr>
        <w:t>vietīgi) autobusi (M3 kategorijas transportlīdzekļi) – iespējams</w:t>
      </w:r>
      <w:r>
        <w:rPr>
          <w:rFonts w:ascii="Times New Roman" w:eastAsia="Calibri" w:hAnsi="Times New Roman" w:cs="Times New Roman"/>
          <w:sz w:val="24"/>
          <w:szCs w:val="24"/>
        </w:rPr>
        <w:t xml:space="preserve"> izmantot</w:t>
      </w:r>
      <w:r w:rsidRPr="00B24167">
        <w:rPr>
          <w:rFonts w:ascii="Times New Roman" w:eastAsia="Calibri" w:hAnsi="Times New Roman" w:cs="Times New Roman"/>
          <w:sz w:val="24"/>
          <w:szCs w:val="24"/>
        </w:rPr>
        <w:t xml:space="preserve"> CNG sistēm</w:t>
      </w:r>
      <w:r>
        <w:rPr>
          <w:rFonts w:ascii="Times New Roman" w:eastAsia="Calibri" w:hAnsi="Times New Roman" w:cs="Times New Roman"/>
          <w:sz w:val="24"/>
          <w:szCs w:val="24"/>
        </w:rPr>
        <w:t>u</w:t>
      </w:r>
      <w:r w:rsidRPr="00B24167">
        <w:rPr>
          <w:rFonts w:ascii="Times New Roman" w:eastAsia="Calibri" w:hAnsi="Times New Roman" w:cs="Times New Roman"/>
          <w:sz w:val="24"/>
          <w:szCs w:val="24"/>
        </w:rPr>
        <w:t>;</w:t>
      </w:r>
    </w:p>
    <w:p w14:paraId="08255C51" w14:textId="77777777" w:rsidR="00C03AAD" w:rsidRDefault="00C03AAD" w:rsidP="00C03AAD">
      <w:pPr>
        <w:spacing w:line="240" w:lineRule="auto"/>
        <w:ind w:firstLine="720"/>
        <w:jc w:val="both"/>
        <w:rPr>
          <w:rFonts w:ascii="Times New Roman" w:eastAsia="Calibri" w:hAnsi="Times New Roman" w:cs="Times New Roman"/>
          <w:sz w:val="24"/>
          <w:szCs w:val="24"/>
        </w:rPr>
      </w:pPr>
      <w:r w:rsidRPr="00B24167">
        <w:rPr>
          <w:rFonts w:ascii="Times New Roman" w:eastAsia="Calibri" w:hAnsi="Times New Roman" w:cs="Times New Roman"/>
          <w:sz w:val="24"/>
          <w:szCs w:val="24"/>
        </w:rPr>
        <w:t>•</w:t>
      </w:r>
      <w:r w:rsidRPr="00B24167">
        <w:rPr>
          <w:rFonts w:ascii="Times New Roman" w:eastAsia="Calibri" w:hAnsi="Times New Roman" w:cs="Times New Roman"/>
          <w:sz w:val="24"/>
          <w:szCs w:val="24"/>
        </w:rPr>
        <w:tab/>
        <w:t xml:space="preserve">202 kravas automobiļi (N3 kategorijas transportlīdzekļi)  - iespējams </w:t>
      </w:r>
      <w:r>
        <w:rPr>
          <w:rFonts w:ascii="Times New Roman" w:eastAsia="Calibri" w:hAnsi="Times New Roman" w:cs="Times New Roman"/>
          <w:sz w:val="24"/>
          <w:szCs w:val="24"/>
        </w:rPr>
        <w:t xml:space="preserve">izmantot </w:t>
      </w:r>
      <w:r w:rsidRPr="00B24167">
        <w:rPr>
          <w:rFonts w:ascii="Times New Roman" w:eastAsia="Calibri" w:hAnsi="Times New Roman" w:cs="Times New Roman"/>
          <w:sz w:val="24"/>
          <w:szCs w:val="24"/>
        </w:rPr>
        <w:t>CNG sistēm</w:t>
      </w:r>
      <w:r>
        <w:rPr>
          <w:rFonts w:ascii="Times New Roman" w:eastAsia="Calibri" w:hAnsi="Times New Roman" w:cs="Times New Roman"/>
          <w:sz w:val="24"/>
          <w:szCs w:val="24"/>
        </w:rPr>
        <w:t>u</w:t>
      </w:r>
      <w:r w:rsidRPr="00B24167">
        <w:rPr>
          <w:rFonts w:ascii="Times New Roman" w:eastAsia="Calibri" w:hAnsi="Times New Roman" w:cs="Times New Roman"/>
          <w:sz w:val="24"/>
          <w:szCs w:val="24"/>
        </w:rPr>
        <w:t>.</w:t>
      </w:r>
    </w:p>
    <w:p w14:paraId="1C53472D" w14:textId="77777777" w:rsidR="00C03AAD" w:rsidRPr="004060B0" w:rsidRDefault="00C03AAD" w:rsidP="00C03AAD">
      <w:pPr>
        <w:pStyle w:val="tvhtml"/>
        <w:shd w:val="clear" w:color="auto" w:fill="FFFFFF"/>
        <w:spacing w:line="293" w:lineRule="atLeast"/>
        <w:ind w:left="720"/>
        <w:rPr>
          <w:b/>
          <w:bCs/>
          <w:lang w:val="lv-LV"/>
        </w:rPr>
      </w:pPr>
      <w:r>
        <w:rPr>
          <w:b/>
          <w:bCs/>
          <w:lang w:val="lv-LV"/>
        </w:rPr>
        <w:t xml:space="preserve">2.5. Plānotā nodokļu politika </w:t>
      </w:r>
    </w:p>
    <w:p w14:paraId="41DE4238" w14:textId="77777777" w:rsidR="00C03AAD" w:rsidRPr="00CA5E23" w:rsidRDefault="00C03AAD" w:rsidP="00C03AAD">
      <w:pPr>
        <w:pStyle w:val="tvhtml"/>
        <w:shd w:val="clear" w:color="auto" w:fill="FFFFFF"/>
        <w:spacing w:line="293" w:lineRule="atLeast"/>
        <w:jc w:val="both"/>
        <w:rPr>
          <w:lang w:val="lv-LV"/>
        </w:rPr>
      </w:pPr>
      <w:r>
        <w:rPr>
          <w:lang w:val="lv-LV"/>
        </w:rPr>
        <w:t xml:space="preserve">Ministru Kabinets ir apstiprinājis </w:t>
      </w:r>
      <w:r w:rsidRPr="00597426">
        <w:rPr>
          <w:lang w:val="lv-LV"/>
        </w:rPr>
        <w:t>Informatīv</w:t>
      </w:r>
      <w:r>
        <w:rPr>
          <w:lang w:val="lv-LV"/>
        </w:rPr>
        <w:t>o</w:t>
      </w:r>
      <w:r w:rsidRPr="00597426">
        <w:rPr>
          <w:lang w:val="lv-LV"/>
        </w:rPr>
        <w:t xml:space="preserve"> ziņojum</w:t>
      </w:r>
      <w:r>
        <w:rPr>
          <w:lang w:val="lv-LV"/>
        </w:rPr>
        <w:t>u</w:t>
      </w:r>
      <w:r w:rsidRPr="00597426">
        <w:rPr>
          <w:lang w:val="lv-LV"/>
        </w:rPr>
        <w:t xml:space="preserve"> "Par nodokļu politikas attīstības virzieniem, valsts sociālās ilgtspējas un ekonomikas konkurētspējas veicināšanai"</w:t>
      </w:r>
      <w:r>
        <w:rPr>
          <w:rStyle w:val="FootnoteReference"/>
          <w:lang w:val="lv-LV"/>
        </w:rPr>
        <w:footnoteReference w:id="14"/>
      </w:r>
      <w:r>
        <w:rPr>
          <w:lang w:val="lv-LV"/>
        </w:rPr>
        <w:t>, kurā noteikts:  “</w:t>
      </w:r>
      <w:r w:rsidRPr="00597426">
        <w:rPr>
          <w:lang w:val="lv-LV"/>
        </w:rPr>
        <w:t xml:space="preserve">Lai veicinātu dabasgāzes uzpildes punktu izveidi Latvijas teritorijā transportlīdzekļiem, kuros kā degvielu izmanto dabasgāzi, un siltumnīcefekta gāzu emisiju samazināšanu transportā, kā arī lai veicinātu pakāpenisku pāreju uz videi draudzīgākas un gaisa kvalitāti mazāk ietekmējošas degvielas izmantošanu, nepieciešams terminēti līdz 2025.gadam (ieskaitot) samazināt </w:t>
      </w:r>
      <w:r>
        <w:rPr>
          <w:lang w:val="lv-LV"/>
        </w:rPr>
        <w:t>akcīzes nodokli</w:t>
      </w:r>
      <w:r w:rsidRPr="00597426">
        <w:rPr>
          <w:lang w:val="lv-LV"/>
        </w:rPr>
        <w:t xml:space="preserve"> dabasgāzei, kuru izmanto transportā, paredzot, ka no 2021.gada līdz 2025.gadam </w:t>
      </w:r>
      <w:r>
        <w:rPr>
          <w:lang w:val="lv-LV"/>
        </w:rPr>
        <w:t>akcīzes nodokli</w:t>
      </w:r>
      <w:r w:rsidRPr="00597426">
        <w:rPr>
          <w:lang w:val="lv-LV"/>
        </w:rPr>
        <w:t xml:space="preserve"> likme dabasgāzei kā degvielai ir 1,91 euro par 1 MWh</w:t>
      </w:r>
      <w:r>
        <w:rPr>
          <w:lang w:val="lv-LV"/>
        </w:rPr>
        <w:t>,</w:t>
      </w:r>
      <w:r w:rsidRPr="00597426">
        <w:rPr>
          <w:lang w:val="lv-LV"/>
        </w:rPr>
        <w:t xml:space="preserve"> jeb 20 euro par 1000 m3, vienlaikus paredzot, ka no 2026.gada </w:t>
      </w:r>
      <w:r>
        <w:rPr>
          <w:lang w:val="lv-LV"/>
        </w:rPr>
        <w:t>akcīzes nodokli</w:t>
      </w:r>
      <w:r w:rsidRPr="00597426">
        <w:rPr>
          <w:lang w:val="lv-LV"/>
        </w:rPr>
        <w:t xml:space="preserve"> likme dabasgāzei (izmantošanai par degvielu) tiktu palielināta uz 10 euro par 1 MWh jeb 105 euro par 1000 m3.</w:t>
      </w:r>
      <w:r>
        <w:rPr>
          <w:lang w:val="lv-LV"/>
        </w:rPr>
        <w:t xml:space="preserve"> Tāpēc biometānam šajā periodā būtu jānosaka 0 </w:t>
      </w:r>
      <w:r w:rsidRPr="00597426">
        <w:rPr>
          <w:lang w:val="lv-LV"/>
        </w:rPr>
        <w:t>euro par 1 MWh</w:t>
      </w:r>
      <w:r>
        <w:rPr>
          <w:lang w:val="lv-LV"/>
        </w:rPr>
        <w:t xml:space="preserve"> akcīzes nodokļa likme. Tomēr salīdzinot ar potenciālo biometāna tirgus cenu šāda nodokļu atlaide ir nebūtiska un nenodrošina biometāna augstāku konkurētspēju salīdzinājumā ar dabas gāzi. Citi šajā ziņojumā apskatītie atbalsta pasākumi ir daudz nozīmīgāki. </w:t>
      </w:r>
    </w:p>
    <w:p w14:paraId="069F3304" w14:textId="77777777" w:rsidR="00C03AAD" w:rsidRPr="00E527E8" w:rsidRDefault="00C03AAD" w:rsidP="00C03AAD">
      <w:pPr>
        <w:pStyle w:val="tvhtml"/>
        <w:shd w:val="clear" w:color="auto" w:fill="FFFFFF"/>
        <w:spacing w:line="293" w:lineRule="atLeast"/>
        <w:ind w:left="720"/>
        <w:rPr>
          <w:b/>
          <w:bCs/>
          <w:lang w:val="lv-LV"/>
        </w:rPr>
      </w:pPr>
      <w:r>
        <w:rPr>
          <w:b/>
          <w:bCs/>
          <w:lang w:val="lv-LV"/>
        </w:rPr>
        <w:t xml:space="preserve">2.6. </w:t>
      </w:r>
      <w:r w:rsidRPr="00E527E8">
        <w:rPr>
          <w:b/>
          <w:bCs/>
          <w:lang w:val="lv-LV"/>
        </w:rPr>
        <w:t>Biogāze atkritumu sektorā</w:t>
      </w:r>
    </w:p>
    <w:p w14:paraId="2474DDAC" w14:textId="77777777" w:rsidR="00C03AAD" w:rsidRPr="004D7B0F" w:rsidRDefault="00C03AAD" w:rsidP="00C03AAD">
      <w:pPr>
        <w:pStyle w:val="tvhtml"/>
        <w:shd w:val="clear" w:color="auto" w:fill="FFFFFF"/>
        <w:spacing w:line="293" w:lineRule="atLeast"/>
        <w:ind w:firstLine="300"/>
        <w:jc w:val="both"/>
        <w:rPr>
          <w:lang w:val="lv-LV"/>
        </w:rPr>
      </w:pPr>
      <w:r>
        <w:rPr>
          <w:lang w:val="lv-LV"/>
        </w:rPr>
        <w:t>Vides aizsardzības un reģionālās attīstība ministrija (turpmāk -</w:t>
      </w:r>
      <w:r w:rsidRPr="004D7B0F">
        <w:rPr>
          <w:lang w:val="lv-LV"/>
        </w:rPr>
        <w:t>VARAM</w:t>
      </w:r>
      <w:r>
        <w:rPr>
          <w:lang w:val="lv-LV"/>
        </w:rPr>
        <w:t>)</w:t>
      </w:r>
      <w:r w:rsidRPr="004D7B0F">
        <w:rPr>
          <w:lang w:val="lv-LV"/>
        </w:rPr>
        <w:t xml:space="preserve"> informē, ka pārskats par atkritumu poligonu turpmākajiem attīstības plāniem tiks sagatavotas pētījuma “Investīciju </w:t>
      </w:r>
      <w:r w:rsidRPr="004D7B0F">
        <w:rPr>
          <w:lang w:val="lv-LV"/>
        </w:rPr>
        <w:lastRenderedPageBreak/>
        <w:t xml:space="preserve">vajadzību izvērtējums atkritumu apsaimniekošanas valsts plāna 2021. - 2028. gadam izstrādei” ietvaros. Vienlaikus, jau 2014. – 2020.gada ES fondu plānošanas perioda ietvaros 5.2.1.2. pasākuma "Atkritumu pārstrādes veicināšana" ietvaros tiek sniegts atbalsts bioloģiski noārdāmo atkritumu pārstrādes iekārtu izveidei, kā arī šobrīd atbalsta virzienu plānots turpināt arī nākošajā ES fondu plānošanas periodā. Tomēr šo VARAM atbildībā esošo ES fondu investīciju atbalsts tiek sniegts tikai atkritumu pārstrādei, tādejādi nodrošinot demarkāciju ar biometāna ražošanas iekārtu uzstādīšanas atbalsta programmām. </w:t>
      </w:r>
    </w:p>
    <w:p w14:paraId="3268D252" w14:textId="77777777" w:rsidR="00C03AAD" w:rsidRPr="0046225D" w:rsidRDefault="00C03AAD" w:rsidP="00C03AAD">
      <w:pPr>
        <w:pStyle w:val="tvhtml"/>
        <w:shd w:val="clear" w:color="auto" w:fill="FFFFFF"/>
        <w:spacing w:line="293" w:lineRule="atLeast"/>
        <w:ind w:firstLine="300"/>
        <w:jc w:val="both"/>
        <w:rPr>
          <w:lang w:val="lv-LV"/>
        </w:rPr>
      </w:pPr>
      <w:r w:rsidRPr="004D7B0F">
        <w:rPr>
          <w:lang w:val="lv-LV"/>
        </w:rPr>
        <w:t xml:space="preserve">VARAM </w:t>
      </w:r>
      <w:r>
        <w:rPr>
          <w:lang w:val="lv-LV"/>
        </w:rPr>
        <w:t xml:space="preserve">informē arī, ka </w:t>
      </w:r>
      <w:r w:rsidRPr="004D7B0F">
        <w:rPr>
          <w:lang w:val="lv-LV"/>
        </w:rPr>
        <w:t>ir saņēmusi indikācijas, ka atsevišķi sadzīves atkritumu poligonu operatori, piemēram, SIA “ZAAO” un SIA “Getliņi EKO</w:t>
      </w:r>
      <w:r>
        <w:rPr>
          <w:lang w:val="lv-LV"/>
        </w:rPr>
        <w:t>”</w:t>
      </w:r>
      <w:r w:rsidRPr="004D7B0F">
        <w:rPr>
          <w:lang w:val="lv-LV"/>
        </w:rPr>
        <w:t xml:space="preserve">, varētu būt ieinteresēti biometāna ražošanas iekārtu uzstādīšanā. </w:t>
      </w:r>
      <w:r>
        <w:rPr>
          <w:lang w:val="lv-LV"/>
        </w:rPr>
        <w:t>VARAM rosina</w:t>
      </w:r>
      <w:r w:rsidRPr="004D7B0F">
        <w:rPr>
          <w:lang w:val="lv-LV"/>
        </w:rPr>
        <w:t xml:space="preserve"> Ekonomikas ministriju sazināties ar tiem sadzīves atkritumu poligonu operatoriem, kuru apsaimniekotajos sadzīves atkritumu poligonos pašlaik jau ir uzstādītas biogāzes koģenerācijas stacijas, lai saņemtu informāciju par nepieciešamajiem atbalsta pasākumiem biometāna ražošanas iekārtu iegādei un uzstādīšanai, kā arī transportēšanas sistēmas izveidei.</w:t>
      </w:r>
      <w:r>
        <w:rPr>
          <w:lang w:val="lv-LV"/>
        </w:rPr>
        <w:t xml:space="preserve"> Nozīmīgākais biogāzes apjoms šobrīd tiek iegūts </w:t>
      </w:r>
      <w:r w:rsidRPr="004D7B0F">
        <w:rPr>
          <w:lang w:val="lv-LV"/>
        </w:rPr>
        <w:t>SIA “Getliņi EKO</w:t>
      </w:r>
      <w:r>
        <w:rPr>
          <w:lang w:val="lv-LV"/>
        </w:rPr>
        <w:t xml:space="preserve">” ar kuras vadību ir pārrunātas tālākas attīstības iespējas – ja šo biogāzi bagātinātu par biometānu, ar to teorētiski varētu darbināt 200 autobusus. </w:t>
      </w:r>
      <w:r w:rsidRPr="004D7B0F">
        <w:rPr>
          <w:lang w:val="lv-LV"/>
        </w:rPr>
        <w:t>SIA “Getliņi EKO</w:t>
      </w:r>
      <w:r>
        <w:rPr>
          <w:lang w:val="lv-LV"/>
        </w:rPr>
        <w:t xml:space="preserve">” būtu vienkāršāk ievadīt biometānu dabasgāzes sadales, nevis dabasgāzes pārvades tīklā, tomēr šādu iespēju normatīvie akti šobrīd neparedz. </w:t>
      </w:r>
      <w:r w:rsidRPr="004D7B0F">
        <w:rPr>
          <w:lang w:val="lv-LV"/>
        </w:rPr>
        <w:t>SIA “Getliņi EKO</w:t>
      </w:r>
      <w:r>
        <w:rPr>
          <w:lang w:val="lv-LV"/>
        </w:rPr>
        <w:t>” OIK atbalsts beigsies 2027. gadā, tāpēc uzņēmums varētu būt vairāk kā citi ieinteresēts izmantot biogāzi citiem mērķiem. Interesi par biometāna ražošanu izrāda arī SIA “ZAAO” pārstāvji, tomēr pašlaik tur iegūtais biogāzes apjoms ir neliels. No atkritumiem iegūtu biometānu varētu uz vietas atkritumu poligonā izmantot atkritumu transportēšanas mašīnu uzpildei, ja tiktu iegādāti atbilstoši transportlīdzekļi. No atkritumiem iegūtam biometānam var būt nepieciešami papildus attīrīšanas pasākumi, lai sasniegtu nepieciešamo biometāna kvalitāti.</w:t>
      </w:r>
      <w:r w:rsidRPr="0046225D">
        <w:rPr>
          <w:lang w:val="lv-LV"/>
        </w:rPr>
        <w:t xml:space="preserve"> </w:t>
      </w:r>
    </w:p>
    <w:p w14:paraId="7A596E86" w14:textId="77777777" w:rsidR="00C03AAD" w:rsidRPr="00832879" w:rsidRDefault="00C03AAD" w:rsidP="00C03AAD">
      <w:pPr>
        <w:pStyle w:val="tvhtml"/>
        <w:shd w:val="clear" w:color="auto" w:fill="FFFFFF"/>
        <w:spacing w:line="293" w:lineRule="atLeast"/>
        <w:ind w:firstLine="300"/>
        <w:jc w:val="both"/>
        <w:rPr>
          <w:lang w:val="lv-LV"/>
        </w:rPr>
      </w:pPr>
      <w:r w:rsidRPr="00832879">
        <w:rPr>
          <w:lang w:val="lv-LV"/>
        </w:rPr>
        <w:t xml:space="preserve">ES metāna samazināšanas stratēģijā </w:t>
      </w:r>
      <w:r w:rsidRPr="00832879">
        <w:rPr>
          <w:rStyle w:val="FootnoteReference"/>
          <w:lang w:val="lv-LV"/>
        </w:rPr>
        <w:footnoteReference w:id="15"/>
      </w:r>
      <w:r w:rsidRPr="00832879">
        <w:rPr>
          <w:lang w:val="lv-LV"/>
        </w:rPr>
        <w:t xml:space="preserve"> biogāzes un poten</w:t>
      </w:r>
      <w:r>
        <w:rPr>
          <w:lang w:val="lv-LV"/>
        </w:rPr>
        <w:t xml:space="preserve">ciāli arī biometāna ražošanai paredzēta būtiska loma aprites ekonomikas veicināšanā un metāna emisiju samazināšanā. </w:t>
      </w:r>
    </w:p>
    <w:p w14:paraId="53F2099B" w14:textId="77777777" w:rsidR="00C03AAD" w:rsidRPr="004D7B0F" w:rsidRDefault="00C03AAD" w:rsidP="00C03AAD">
      <w:pPr>
        <w:pStyle w:val="tvhtml"/>
        <w:shd w:val="clear" w:color="auto" w:fill="FFFFFF"/>
        <w:spacing w:line="293" w:lineRule="atLeast"/>
        <w:ind w:firstLine="300"/>
        <w:jc w:val="both"/>
        <w:rPr>
          <w:lang w:val="lv-LV"/>
        </w:rPr>
      </w:pPr>
      <w:r w:rsidRPr="00595EC0">
        <w:rPr>
          <w:lang w:val="lv-LV"/>
        </w:rPr>
        <w:t>Nereciklējamas cilvēka izvadproduktu un lauksaimniecības atkritumu (t. i., kūtsmēslu) un atlikumu plūsmas var izmantot anaerobiskajos digesteros biogāzes ražošanai vai biorafinētavās biomateriālu un bioķimikāliju starpproduktu ražošanai. Ja šādus izejmateriālus izmanto biogāzes ražošanai, tie var ievērojami palīdzēt samazināt metāna emisijas no anaerobiskajiem sadalīšanās procesiem, kas notiek dabā. Turklāt biogāzes ražošana var nodrošināt papildu ieņēmumu plūsmas lauksaimniekiem un pavērt attīstības un investīciju iespējas lauku apvidos. Tālab katrā ziņā jāsadarbojas ar lauksaimniekiem un vietējām kopienām (un tiem jāsadarbojas savā starpā), izmantojot izdevības uzlabot vietējo ekonomiku un sekmēt apritīgumu. Šī pieeja nolūkā pavērt jaunas iespējas lauku apvidiem tiks iekļauta arī ilgtermiņa redzējumā par lauku apvidiem, ar ko Komisija nāks klajā 2021. gadā.</w:t>
      </w:r>
      <w:r>
        <w:rPr>
          <w:lang w:val="lv-LV"/>
        </w:rPr>
        <w:t xml:space="preserve"> Ūdenssaimniecības sektorā ir potenciāls būtiski palielināt biogāzes un attiecīgi arī biometāna ražošanu, un </w:t>
      </w:r>
      <w:r w:rsidRPr="00BA616B">
        <w:rPr>
          <w:lang w:val="lv-LV"/>
        </w:rPr>
        <w:t xml:space="preserve">Latvijas Ūdensapgādes un kanalizācijas uzņēmumu asociācija </w:t>
      </w:r>
      <w:r>
        <w:rPr>
          <w:lang w:val="lv-LV"/>
        </w:rPr>
        <w:t>šobrīd</w:t>
      </w:r>
      <w:r w:rsidRPr="00BA616B">
        <w:rPr>
          <w:lang w:val="lv-LV"/>
        </w:rPr>
        <w:t xml:space="preserve"> strādā pie </w:t>
      </w:r>
      <w:r>
        <w:rPr>
          <w:lang w:val="lv-LV"/>
        </w:rPr>
        <w:t>detalizētākiem</w:t>
      </w:r>
      <w:r w:rsidRPr="00BA616B">
        <w:rPr>
          <w:lang w:val="lv-LV"/>
        </w:rPr>
        <w:t xml:space="preserve"> plāniem</w:t>
      </w:r>
      <w:r>
        <w:rPr>
          <w:lang w:val="lv-LV"/>
        </w:rPr>
        <w:t>.</w:t>
      </w:r>
    </w:p>
    <w:p w14:paraId="07677420" w14:textId="77777777" w:rsidR="00C03AAD" w:rsidRPr="006F4FC3" w:rsidRDefault="00C03AAD" w:rsidP="00C03AAD">
      <w:pPr>
        <w:pStyle w:val="tvhtml"/>
        <w:shd w:val="clear" w:color="auto" w:fill="FFFFFF"/>
        <w:spacing w:line="293" w:lineRule="atLeast"/>
        <w:ind w:firstLine="300"/>
        <w:rPr>
          <w:b/>
          <w:bCs/>
          <w:lang w:val="lv-LV"/>
        </w:rPr>
      </w:pPr>
      <w:r>
        <w:rPr>
          <w:b/>
          <w:bCs/>
          <w:lang w:val="lv-LV"/>
        </w:rPr>
        <w:lastRenderedPageBreak/>
        <w:t>2.7.</w:t>
      </w:r>
      <w:r w:rsidRPr="006F4FC3">
        <w:rPr>
          <w:b/>
          <w:bCs/>
          <w:lang w:val="lv-LV"/>
        </w:rPr>
        <w:t xml:space="preserve"> Biogāze lauksaimniecības sektorā </w:t>
      </w:r>
    </w:p>
    <w:p w14:paraId="26DEA9EC" w14:textId="77777777" w:rsidR="00C03AAD" w:rsidRDefault="00C03AAD" w:rsidP="00C03AAD">
      <w:pPr>
        <w:jc w:val="both"/>
      </w:pPr>
      <w:r>
        <w:rPr>
          <w:rFonts w:ascii="Times New Roman" w:hAnsi="Times New Roman" w:cs="Times New Roman"/>
          <w:sz w:val="24"/>
          <w:szCs w:val="24"/>
        </w:rPr>
        <w:t xml:space="preserve">Latvijas biogāzes asociācijas (8. tabula) un </w:t>
      </w:r>
      <w:r w:rsidRPr="00832879">
        <w:rPr>
          <w:rFonts w:ascii="Times New Roman" w:hAnsi="Times New Roman" w:cs="Times New Roman"/>
          <w:sz w:val="24"/>
          <w:szCs w:val="24"/>
        </w:rPr>
        <w:t xml:space="preserve">Zemkopības ministrijas  sniegtie dati </w:t>
      </w:r>
      <w:r>
        <w:rPr>
          <w:rFonts w:ascii="Times New Roman" w:hAnsi="Times New Roman" w:cs="Times New Roman"/>
          <w:sz w:val="24"/>
          <w:szCs w:val="24"/>
        </w:rPr>
        <w:t>(9.</w:t>
      </w:r>
      <w:r w:rsidRPr="00832879">
        <w:rPr>
          <w:rFonts w:ascii="Times New Roman" w:hAnsi="Times New Roman" w:cs="Times New Roman"/>
          <w:sz w:val="24"/>
          <w:szCs w:val="24"/>
        </w:rPr>
        <w:t>tabula</w:t>
      </w:r>
      <w:r>
        <w:rPr>
          <w:rFonts w:ascii="Times New Roman" w:hAnsi="Times New Roman" w:cs="Times New Roman"/>
          <w:sz w:val="24"/>
          <w:szCs w:val="24"/>
        </w:rPr>
        <w:t>)</w:t>
      </w:r>
      <w:r w:rsidRPr="00832879">
        <w:rPr>
          <w:rFonts w:ascii="Times New Roman" w:hAnsi="Times New Roman" w:cs="Times New Roman"/>
          <w:sz w:val="24"/>
          <w:szCs w:val="24"/>
        </w:rPr>
        <w:t xml:space="preserve"> norāda, ka būtiska daļa no šobrīd biogāzi ražojošām iekārtām izmanto kūtsmēslus</w:t>
      </w:r>
      <w:r w:rsidRPr="6F18BF8B">
        <w:t xml:space="preserve">. </w:t>
      </w:r>
      <w:r>
        <w:rPr>
          <w:rFonts w:ascii="Times New Roman" w:eastAsia="Times New Roman" w:hAnsi="Times New Roman" w:cs="Times New Roman"/>
          <w:sz w:val="24"/>
          <w:szCs w:val="24"/>
        </w:rPr>
        <w:t>Pašlaik, j</w:t>
      </w:r>
      <w:r w:rsidRPr="007F51C2">
        <w:rPr>
          <w:rFonts w:ascii="Times New Roman" w:hAnsi="Times New Roman" w:cs="Times New Roman"/>
          <w:sz w:val="24"/>
          <w:szCs w:val="24"/>
        </w:rPr>
        <w:t>a biometāna ražošanu</w:t>
      </w:r>
      <w:r>
        <w:rPr>
          <w:rFonts w:ascii="Times New Roman" w:hAnsi="Times New Roman" w:cs="Times New Roman"/>
          <w:sz w:val="24"/>
          <w:szCs w:val="24"/>
        </w:rPr>
        <w:t xml:space="preserve"> (</w:t>
      </w:r>
      <w:r w:rsidRPr="00AD408B">
        <w:rPr>
          <w:rFonts w:ascii="Times New Roman" w:eastAsia="Times New Roman" w:hAnsi="Times New Roman" w:cs="Times New Roman"/>
          <w:sz w:val="24"/>
          <w:szCs w:val="24"/>
        </w:rPr>
        <w:t>pārejot</w:t>
      </w:r>
      <w:r>
        <w:rPr>
          <w:rFonts w:ascii="Times New Roman" w:eastAsia="Times New Roman" w:hAnsi="Times New Roman" w:cs="Times New Roman"/>
          <w:sz w:val="24"/>
          <w:szCs w:val="24"/>
        </w:rPr>
        <w:t xml:space="preserve"> </w:t>
      </w:r>
      <w:r w:rsidRPr="00B26AEF">
        <w:rPr>
          <w:rFonts w:ascii="Times New Roman" w:eastAsia="Times New Roman" w:hAnsi="Times New Roman" w:cs="Times New Roman"/>
          <w:sz w:val="24"/>
          <w:szCs w:val="24"/>
        </w:rPr>
        <w:t>no elektroenerģijas ražošanas</w:t>
      </w:r>
      <w:r w:rsidRPr="00AD408B">
        <w:rPr>
          <w:rFonts w:ascii="Times New Roman" w:eastAsia="Times New Roman" w:hAnsi="Times New Roman" w:cs="Times New Roman"/>
          <w:sz w:val="24"/>
          <w:szCs w:val="24"/>
        </w:rPr>
        <w:t xml:space="preserve"> uz biometāna ražošanu</w:t>
      </w:r>
      <w:r>
        <w:rPr>
          <w:rFonts w:ascii="Times New Roman" w:hAnsi="Times New Roman" w:cs="Times New Roman"/>
          <w:sz w:val="24"/>
          <w:szCs w:val="24"/>
        </w:rPr>
        <w:t>)</w:t>
      </w:r>
      <w:r w:rsidRPr="007F51C2">
        <w:rPr>
          <w:rFonts w:ascii="Times New Roman" w:hAnsi="Times New Roman" w:cs="Times New Roman"/>
          <w:sz w:val="24"/>
          <w:szCs w:val="24"/>
        </w:rPr>
        <w:t xml:space="preserve"> uzsāktu biogāzes stacijas </w:t>
      </w:r>
      <w:r w:rsidRPr="00AD408B">
        <w:rPr>
          <w:rFonts w:ascii="Times New Roman" w:eastAsia="Times New Roman" w:hAnsi="Times New Roman" w:cs="Times New Roman"/>
          <w:sz w:val="24"/>
          <w:szCs w:val="24"/>
        </w:rPr>
        <w:t xml:space="preserve">ar dominējošu lauksaimniecības izejvielu izmantošanu </w:t>
      </w:r>
      <w:r>
        <w:rPr>
          <w:rFonts w:ascii="Times New Roman" w:eastAsia="Times New Roman" w:hAnsi="Times New Roman" w:cs="Times New Roman"/>
          <w:sz w:val="24"/>
          <w:szCs w:val="24"/>
        </w:rPr>
        <w:t>un</w:t>
      </w:r>
      <w:r w:rsidRPr="007F51C2">
        <w:rPr>
          <w:rFonts w:ascii="Times New Roman" w:hAnsi="Times New Roman" w:cs="Times New Roman"/>
          <w:sz w:val="24"/>
          <w:szCs w:val="24"/>
        </w:rPr>
        <w:t xml:space="preserve"> to iepriekš uzstādīto elektrisko jaudu</w:t>
      </w:r>
      <w:r w:rsidRPr="00AD408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aprēķināts, ka stacijas </w:t>
      </w:r>
      <w:r w:rsidRPr="00AD408B">
        <w:rPr>
          <w:rFonts w:ascii="Times New Roman" w:eastAsia="Times New Roman" w:hAnsi="Times New Roman" w:cs="Times New Roman"/>
          <w:sz w:val="24"/>
          <w:szCs w:val="24"/>
        </w:rPr>
        <w:t>varē</w:t>
      </w:r>
      <w:r>
        <w:rPr>
          <w:rFonts w:ascii="Times New Roman" w:eastAsia="Times New Roman" w:hAnsi="Times New Roman" w:cs="Times New Roman"/>
          <w:sz w:val="24"/>
          <w:szCs w:val="24"/>
        </w:rPr>
        <w:t>tu</w:t>
      </w:r>
      <w:r w:rsidRPr="00AD408B">
        <w:rPr>
          <w:rFonts w:ascii="Times New Roman" w:eastAsia="Times New Roman" w:hAnsi="Times New Roman" w:cs="Times New Roman"/>
          <w:sz w:val="24"/>
          <w:szCs w:val="24"/>
        </w:rPr>
        <w:t xml:space="preserve"> saražot – 300 000 MWh</w:t>
      </w:r>
      <w:r>
        <w:rPr>
          <w:rFonts w:ascii="Times New Roman" w:eastAsia="Times New Roman" w:hAnsi="Times New Roman" w:cs="Times New Roman"/>
          <w:sz w:val="24"/>
          <w:szCs w:val="24"/>
        </w:rPr>
        <w:t xml:space="preserve"> </w:t>
      </w:r>
      <w:r w:rsidRPr="00AD408B">
        <w:rPr>
          <w:rFonts w:ascii="Times New Roman" w:eastAsia="Times New Roman" w:hAnsi="Times New Roman" w:cs="Times New Roman"/>
          <w:sz w:val="24"/>
          <w:szCs w:val="24"/>
        </w:rPr>
        <w:t>biometān</w:t>
      </w:r>
      <w:r>
        <w:rPr>
          <w:rFonts w:ascii="Times New Roman" w:eastAsia="Times New Roman" w:hAnsi="Times New Roman" w:cs="Times New Roman"/>
          <w:sz w:val="24"/>
          <w:szCs w:val="24"/>
        </w:rPr>
        <w:t>a.</w:t>
      </w:r>
      <w:r w:rsidRPr="008B36E9">
        <w:t xml:space="preserve"> </w:t>
      </w:r>
    </w:p>
    <w:p w14:paraId="47298259" w14:textId="77777777" w:rsidR="00C03AAD" w:rsidRDefault="00C03AAD" w:rsidP="00C03AAD">
      <w:pPr>
        <w:jc w:val="both"/>
      </w:pPr>
    </w:p>
    <w:p w14:paraId="1E7A7257" w14:textId="77777777" w:rsidR="00C03AAD" w:rsidRPr="00B87953" w:rsidRDefault="00C03AAD" w:rsidP="00C03AAD">
      <w:pPr>
        <w:jc w:val="right"/>
        <w:rPr>
          <w:rFonts w:ascii="Times New Roman" w:hAnsi="Times New Roman" w:cs="Times New Roman"/>
          <w:b/>
          <w:bCs/>
          <w:sz w:val="24"/>
          <w:szCs w:val="24"/>
        </w:rPr>
      </w:pPr>
      <w:r w:rsidRPr="00B87953">
        <w:rPr>
          <w:rFonts w:ascii="Times New Roman" w:hAnsi="Times New Roman" w:cs="Times New Roman"/>
          <w:b/>
          <w:bCs/>
          <w:sz w:val="24"/>
          <w:szCs w:val="24"/>
        </w:rPr>
        <w:t>8. tabula. Dažādu izejvielu īpatsvars biogāzes ražošanā  (avots LBA dati)</w:t>
      </w:r>
    </w:p>
    <w:tbl>
      <w:tblPr>
        <w:tblW w:w="4615" w:type="dxa"/>
        <w:tblInd w:w="1691" w:type="dxa"/>
        <w:tblLook w:val="04A0" w:firstRow="1" w:lastRow="0" w:firstColumn="1" w:lastColumn="0" w:noHBand="0" w:noVBand="1"/>
      </w:tblPr>
      <w:tblGrid>
        <w:gridCol w:w="2683"/>
        <w:gridCol w:w="1056"/>
        <w:gridCol w:w="876"/>
      </w:tblGrid>
      <w:tr w:rsidR="00C03AAD" w:rsidRPr="00832879" w14:paraId="10F863D8" w14:textId="77777777" w:rsidTr="00036815">
        <w:trPr>
          <w:trHeight w:val="870"/>
        </w:trPr>
        <w:tc>
          <w:tcPr>
            <w:tcW w:w="268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5A813D8F"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 </w:t>
            </w:r>
          </w:p>
        </w:tc>
        <w:tc>
          <w:tcPr>
            <w:tcW w:w="1056" w:type="dxa"/>
            <w:tcBorders>
              <w:top w:val="single" w:sz="4" w:space="0" w:color="auto"/>
              <w:left w:val="nil"/>
              <w:bottom w:val="single" w:sz="4" w:space="0" w:color="auto"/>
              <w:right w:val="single" w:sz="4" w:space="0" w:color="auto"/>
            </w:tcBorders>
            <w:shd w:val="clear" w:color="auto" w:fill="auto"/>
            <w:vAlign w:val="bottom"/>
            <w:hideMark/>
          </w:tcPr>
          <w:p w14:paraId="2B237B81" w14:textId="77777777" w:rsidR="00C03AAD" w:rsidRPr="00B87953" w:rsidRDefault="00C03AAD" w:rsidP="00036815">
            <w:pPr>
              <w:spacing w:after="0" w:line="240" w:lineRule="auto"/>
              <w:ind w:left="840" w:hanging="840"/>
              <w:jc w:val="center"/>
              <w:rPr>
                <w:rFonts w:ascii="Times New Roman" w:eastAsia="Times New Roman" w:hAnsi="Times New Roman" w:cs="Times New Roman"/>
                <w:b/>
                <w:bCs/>
                <w:color w:val="000000"/>
                <w:sz w:val="24"/>
                <w:szCs w:val="24"/>
              </w:rPr>
            </w:pPr>
            <w:r w:rsidRPr="00B87953">
              <w:rPr>
                <w:rFonts w:ascii="Times New Roman" w:eastAsia="Times New Roman" w:hAnsi="Times New Roman" w:cs="Times New Roman"/>
                <w:b/>
                <w:bCs/>
                <w:color w:val="000000"/>
                <w:sz w:val="24"/>
                <w:szCs w:val="24"/>
              </w:rPr>
              <w:t>tonnas</w:t>
            </w:r>
          </w:p>
        </w:tc>
        <w:tc>
          <w:tcPr>
            <w:tcW w:w="876" w:type="dxa"/>
            <w:tcBorders>
              <w:top w:val="single" w:sz="4" w:space="0" w:color="auto"/>
              <w:left w:val="nil"/>
              <w:bottom w:val="single" w:sz="4" w:space="0" w:color="auto"/>
              <w:right w:val="single" w:sz="4" w:space="0" w:color="auto"/>
            </w:tcBorders>
            <w:shd w:val="clear" w:color="auto" w:fill="auto"/>
            <w:vAlign w:val="bottom"/>
            <w:hideMark/>
          </w:tcPr>
          <w:p w14:paraId="0B45D491" w14:textId="77777777" w:rsidR="00C03AAD" w:rsidRPr="00B87953" w:rsidRDefault="00C03AAD" w:rsidP="00036815">
            <w:pPr>
              <w:spacing w:after="0" w:line="240" w:lineRule="auto"/>
              <w:ind w:left="840" w:hanging="840"/>
              <w:rPr>
                <w:rFonts w:ascii="Times New Roman" w:eastAsia="Times New Roman" w:hAnsi="Times New Roman" w:cs="Times New Roman"/>
                <w:b/>
                <w:bCs/>
                <w:color w:val="000000"/>
                <w:sz w:val="24"/>
                <w:szCs w:val="24"/>
              </w:rPr>
            </w:pPr>
            <w:r w:rsidRPr="00B87953">
              <w:rPr>
                <w:rFonts w:ascii="Times New Roman" w:eastAsia="Times New Roman" w:hAnsi="Times New Roman" w:cs="Times New Roman"/>
                <w:b/>
                <w:bCs/>
                <w:color w:val="000000"/>
                <w:sz w:val="24"/>
                <w:szCs w:val="24"/>
              </w:rPr>
              <w:t xml:space="preserve">% </w:t>
            </w:r>
          </w:p>
        </w:tc>
      </w:tr>
      <w:tr w:rsidR="00C03AAD" w:rsidRPr="00832879" w14:paraId="7F76820E" w14:textId="77777777" w:rsidTr="00036815">
        <w:trPr>
          <w:trHeight w:val="380"/>
        </w:trPr>
        <w:tc>
          <w:tcPr>
            <w:tcW w:w="268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241B0C8B"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w:t>
            </w:r>
            <w:r w:rsidRPr="00832879">
              <w:rPr>
                <w:rFonts w:ascii="Times New Roman" w:eastAsia="Times New Roman" w:hAnsi="Times New Roman" w:cs="Times New Roman"/>
                <w:color w:val="000000"/>
                <w:sz w:val="24"/>
                <w:szCs w:val="24"/>
              </w:rPr>
              <w:t>ūtsmēsli kopā</w:t>
            </w:r>
          </w:p>
        </w:tc>
        <w:tc>
          <w:tcPr>
            <w:tcW w:w="1056" w:type="dxa"/>
            <w:tcBorders>
              <w:top w:val="nil"/>
              <w:left w:val="nil"/>
              <w:bottom w:val="single" w:sz="4" w:space="0" w:color="auto"/>
              <w:right w:val="single" w:sz="4" w:space="0" w:color="auto"/>
            </w:tcBorders>
            <w:shd w:val="clear" w:color="auto" w:fill="auto"/>
            <w:vAlign w:val="bottom"/>
            <w:hideMark/>
          </w:tcPr>
          <w:p w14:paraId="3CBCF761"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1084515</w:t>
            </w:r>
          </w:p>
        </w:tc>
        <w:tc>
          <w:tcPr>
            <w:tcW w:w="876" w:type="dxa"/>
            <w:tcBorders>
              <w:top w:val="nil"/>
              <w:left w:val="nil"/>
              <w:bottom w:val="single" w:sz="4" w:space="0" w:color="auto"/>
              <w:right w:val="single" w:sz="4" w:space="0" w:color="auto"/>
            </w:tcBorders>
            <w:shd w:val="clear" w:color="auto" w:fill="auto"/>
            <w:vAlign w:val="bottom"/>
            <w:hideMark/>
          </w:tcPr>
          <w:p w14:paraId="386B17A2" w14:textId="77777777" w:rsidR="00C03AAD" w:rsidRPr="00832879" w:rsidRDefault="00C03AAD" w:rsidP="00036815">
            <w:pPr>
              <w:spacing w:after="0" w:line="240" w:lineRule="auto"/>
              <w:ind w:left="840" w:hanging="840"/>
              <w:jc w:val="right"/>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57,69</w:t>
            </w:r>
          </w:p>
        </w:tc>
      </w:tr>
      <w:tr w:rsidR="00C03AAD" w:rsidRPr="00832879" w14:paraId="64217BD7" w14:textId="77777777" w:rsidTr="00036815">
        <w:trPr>
          <w:trHeight w:val="540"/>
        </w:trPr>
        <w:tc>
          <w:tcPr>
            <w:tcW w:w="268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00685BFC"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w:t>
            </w:r>
            <w:r w:rsidRPr="00832879">
              <w:rPr>
                <w:rFonts w:ascii="Times New Roman" w:eastAsia="Times New Roman" w:hAnsi="Times New Roman" w:cs="Times New Roman"/>
                <w:color w:val="000000"/>
                <w:sz w:val="24"/>
                <w:szCs w:val="24"/>
              </w:rPr>
              <w:t>auksaimniecības atkritumprodukti</w:t>
            </w:r>
          </w:p>
        </w:tc>
        <w:tc>
          <w:tcPr>
            <w:tcW w:w="1056" w:type="dxa"/>
            <w:tcBorders>
              <w:top w:val="nil"/>
              <w:left w:val="nil"/>
              <w:bottom w:val="single" w:sz="4" w:space="0" w:color="auto"/>
              <w:right w:val="single" w:sz="4" w:space="0" w:color="auto"/>
            </w:tcBorders>
            <w:shd w:val="clear" w:color="auto" w:fill="auto"/>
            <w:vAlign w:val="bottom"/>
            <w:hideMark/>
          </w:tcPr>
          <w:p w14:paraId="3E9D80A1"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91285</w:t>
            </w:r>
          </w:p>
        </w:tc>
        <w:tc>
          <w:tcPr>
            <w:tcW w:w="876" w:type="dxa"/>
            <w:tcBorders>
              <w:top w:val="nil"/>
              <w:left w:val="nil"/>
              <w:bottom w:val="single" w:sz="4" w:space="0" w:color="auto"/>
              <w:right w:val="single" w:sz="4" w:space="0" w:color="auto"/>
            </w:tcBorders>
            <w:shd w:val="clear" w:color="auto" w:fill="auto"/>
            <w:vAlign w:val="bottom"/>
            <w:hideMark/>
          </w:tcPr>
          <w:p w14:paraId="3B5C6F2A" w14:textId="77777777" w:rsidR="00C03AAD" w:rsidRPr="00832879" w:rsidRDefault="00C03AAD" w:rsidP="00036815">
            <w:pPr>
              <w:spacing w:after="0" w:line="240" w:lineRule="auto"/>
              <w:ind w:left="840" w:hanging="840"/>
              <w:jc w:val="right"/>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4,86</w:t>
            </w:r>
          </w:p>
        </w:tc>
      </w:tr>
      <w:tr w:rsidR="00C03AAD" w:rsidRPr="00832879" w14:paraId="0A065A6F" w14:textId="77777777" w:rsidTr="00036815">
        <w:trPr>
          <w:trHeight w:val="500"/>
        </w:trPr>
        <w:tc>
          <w:tcPr>
            <w:tcW w:w="268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7398E249"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w:t>
            </w:r>
            <w:r w:rsidRPr="00832879">
              <w:rPr>
                <w:rFonts w:ascii="Times New Roman" w:eastAsia="Times New Roman" w:hAnsi="Times New Roman" w:cs="Times New Roman"/>
                <w:color w:val="000000"/>
                <w:sz w:val="24"/>
                <w:szCs w:val="24"/>
              </w:rPr>
              <w:t>ārtikas atkritumi</w:t>
            </w:r>
          </w:p>
        </w:tc>
        <w:tc>
          <w:tcPr>
            <w:tcW w:w="1056" w:type="dxa"/>
            <w:tcBorders>
              <w:top w:val="nil"/>
              <w:left w:val="nil"/>
              <w:bottom w:val="single" w:sz="4" w:space="0" w:color="auto"/>
              <w:right w:val="single" w:sz="4" w:space="0" w:color="auto"/>
            </w:tcBorders>
            <w:shd w:val="clear" w:color="auto" w:fill="auto"/>
            <w:vAlign w:val="bottom"/>
            <w:hideMark/>
          </w:tcPr>
          <w:p w14:paraId="4B2DFC09"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313025</w:t>
            </w:r>
          </w:p>
        </w:tc>
        <w:tc>
          <w:tcPr>
            <w:tcW w:w="876" w:type="dxa"/>
            <w:tcBorders>
              <w:top w:val="nil"/>
              <w:left w:val="nil"/>
              <w:bottom w:val="single" w:sz="4" w:space="0" w:color="auto"/>
              <w:right w:val="single" w:sz="4" w:space="0" w:color="auto"/>
            </w:tcBorders>
            <w:shd w:val="clear" w:color="auto" w:fill="auto"/>
            <w:vAlign w:val="bottom"/>
            <w:hideMark/>
          </w:tcPr>
          <w:p w14:paraId="3E2AC64D" w14:textId="77777777" w:rsidR="00C03AAD" w:rsidRPr="00832879" w:rsidRDefault="00C03AAD" w:rsidP="00036815">
            <w:pPr>
              <w:spacing w:after="0" w:line="240" w:lineRule="auto"/>
              <w:ind w:left="840" w:hanging="840"/>
              <w:jc w:val="right"/>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16,65</w:t>
            </w:r>
          </w:p>
        </w:tc>
      </w:tr>
      <w:tr w:rsidR="00C03AAD" w:rsidRPr="00832879" w14:paraId="76A888F2" w14:textId="77777777" w:rsidTr="00036815">
        <w:trPr>
          <w:trHeight w:val="370"/>
        </w:trPr>
        <w:tc>
          <w:tcPr>
            <w:tcW w:w="268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0C7FB5D"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Z</w:t>
            </w:r>
            <w:r w:rsidRPr="00832879">
              <w:rPr>
                <w:rFonts w:ascii="Times New Roman" w:eastAsia="Times New Roman" w:hAnsi="Times New Roman" w:cs="Times New Roman"/>
                <w:color w:val="000000"/>
                <w:sz w:val="24"/>
                <w:szCs w:val="24"/>
              </w:rPr>
              <w:t>aļā masa</w:t>
            </w:r>
          </w:p>
        </w:tc>
        <w:tc>
          <w:tcPr>
            <w:tcW w:w="1056" w:type="dxa"/>
            <w:tcBorders>
              <w:top w:val="nil"/>
              <w:left w:val="nil"/>
              <w:bottom w:val="single" w:sz="4" w:space="0" w:color="auto"/>
              <w:right w:val="single" w:sz="4" w:space="0" w:color="auto"/>
            </w:tcBorders>
            <w:shd w:val="clear" w:color="auto" w:fill="auto"/>
            <w:vAlign w:val="bottom"/>
            <w:hideMark/>
          </w:tcPr>
          <w:p w14:paraId="0302EA9E"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319980</w:t>
            </w:r>
          </w:p>
        </w:tc>
        <w:tc>
          <w:tcPr>
            <w:tcW w:w="876" w:type="dxa"/>
            <w:tcBorders>
              <w:top w:val="nil"/>
              <w:left w:val="nil"/>
              <w:bottom w:val="single" w:sz="4" w:space="0" w:color="auto"/>
              <w:right w:val="single" w:sz="4" w:space="0" w:color="auto"/>
            </w:tcBorders>
            <w:shd w:val="clear" w:color="auto" w:fill="auto"/>
            <w:vAlign w:val="bottom"/>
            <w:hideMark/>
          </w:tcPr>
          <w:p w14:paraId="21EF5BFC" w14:textId="77777777" w:rsidR="00C03AAD" w:rsidRPr="00832879" w:rsidRDefault="00C03AAD" w:rsidP="00036815">
            <w:pPr>
              <w:spacing w:after="0" w:line="240" w:lineRule="auto"/>
              <w:ind w:left="840" w:hanging="840"/>
              <w:jc w:val="right"/>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17,02</w:t>
            </w:r>
          </w:p>
        </w:tc>
      </w:tr>
      <w:tr w:rsidR="00C03AAD" w:rsidRPr="00832879" w14:paraId="189B213D" w14:textId="77777777" w:rsidTr="00036815">
        <w:trPr>
          <w:trHeight w:val="300"/>
        </w:trPr>
        <w:tc>
          <w:tcPr>
            <w:tcW w:w="268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3A9A97D0"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w:t>
            </w:r>
            <w:r w:rsidRPr="00832879">
              <w:rPr>
                <w:rFonts w:ascii="Times New Roman" w:eastAsia="Times New Roman" w:hAnsi="Times New Roman" w:cs="Times New Roman"/>
                <w:color w:val="000000"/>
                <w:sz w:val="24"/>
                <w:szCs w:val="24"/>
              </w:rPr>
              <w:t>its</w:t>
            </w:r>
          </w:p>
        </w:tc>
        <w:tc>
          <w:tcPr>
            <w:tcW w:w="1056" w:type="dxa"/>
            <w:tcBorders>
              <w:top w:val="nil"/>
              <w:left w:val="nil"/>
              <w:bottom w:val="single" w:sz="4" w:space="0" w:color="auto"/>
              <w:right w:val="single" w:sz="4" w:space="0" w:color="auto"/>
            </w:tcBorders>
            <w:shd w:val="clear" w:color="auto" w:fill="auto"/>
            <w:vAlign w:val="bottom"/>
            <w:hideMark/>
          </w:tcPr>
          <w:p w14:paraId="57BECF9E" w14:textId="77777777" w:rsidR="00C03AAD" w:rsidRPr="00832879" w:rsidRDefault="00C03AAD" w:rsidP="00036815">
            <w:pPr>
              <w:spacing w:after="0" w:line="240" w:lineRule="auto"/>
              <w:ind w:left="840" w:hanging="840"/>
              <w:jc w:val="center"/>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71078,5</w:t>
            </w:r>
          </w:p>
        </w:tc>
        <w:tc>
          <w:tcPr>
            <w:tcW w:w="876" w:type="dxa"/>
            <w:tcBorders>
              <w:top w:val="nil"/>
              <w:left w:val="nil"/>
              <w:bottom w:val="single" w:sz="4" w:space="0" w:color="auto"/>
              <w:right w:val="single" w:sz="4" w:space="0" w:color="auto"/>
            </w:tcBorders>
            <w:shd w:val="clear" w:color="auto" w:fill="auto"/>
            <w:vAlign w:val="bottom"/>
            <w:hideMark/>
          </w:tcPr>
          <w:p w14:paraId="4E2FBE0F" w14:textId="77777777" w:rsidR="00C03AAD" w:rsidRPr="00832879" w:rsidRDefault="00C03AAD" w:rsidP="00036815">
            <w:pPr>
              <w:spacing w:after="0" w:line="240" w:lineRule="auto"/>
              <w:ind w:left="840" w:hanging="840"/>
              <w:jc w:val="right"/>
              <w:rPr>
                <w:rFonts w:ascii="Times New Roman" w:eastAsia="Times New Roman" w:hAnsi="Times New Roman" w:cs="Times New Roman"/>
                <w:color w:val="000000"/>
                <w:sz w:val="24"/>
                <w:szCs w:val="24"/>
              </w:rPr>
            </w:pPr>
            <w:r w:rsidRPr="00832879">
              <w:rPr>
                <w:rFonts w:ascii="Times New Roman" w:eastAsia="Times New Roman" w:hAnsi="Times New Roman" w:cs="Times New Roman"/>
                <w:color w:val="000000"/>
                <w:sz w:val="24"/>
                <w:szCs w:val="24"/>
              </w:rPr>
              <w:t>3,78</w:t>
            </w:r>
          </w:p>
        </w:tc>
      </w:tr>
      <w:tr w:rsidR="00C03AAD" w:rsidRPr="00832879" w14:paraId="4B257FB5" w14:textId="77777777" w:rsidTr="00036815">
        <w:trPr>
          <w:trHeight w:val="310"/>
        </w:trPr>
        <w:tc>
          <w:tcPr>
            <w:tcW w:w="2683" w:type="dxa"/>
            <w:tcBorders>
              <w:top w:val="single" w:sz="4" w:space="0" w:color="auto"/>
              <w:left w:val="single" w:sz="4" w:space="0" w:color="auto"/>
              <w:bottom w:val="single" w:sz="4" w:space="0" w:color="auto"/>
              <w:right w:val="single" w:sz="4" w:space="0" w:color="000000"/>
            </w:tcBorders>
            <w:shd w:val="clear" w:color="auto" w:fill="auto"/>
            <w:vAlign w:val="bottom"/>
            <w:hideMark/>
          </w:tcPr>
          <w:p w14:paraId="1256E832" w14:textId="77777777" w:rsidR="00C03AAD" w:rsidRPr="00832879" w:rsidRDefault="00C03AAD" w:rsidP="00036815">
            <w:pPr>
              <w:spacing w:after="0" w:line="240" w:lineRule="auto"/>
              <w:ind w:left="840" w:hanging="840"/>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Kopā</w:t>
            </w:r>
          </w:p>
        </w:tc>
        <w:tc>
          <w:tcPr>
            <w:tcW w:w="1056" w:type="dxa"/>
            <w:tcBorders>
              <w:top w:val="nil"/>
              <w:left w:val="nil"/>
              <w:bottom w:val="single" w:sz="4" w:space="0" w:color="auto"/>
              <w:right w:val="single" w:sz="4" w:space="0" w:color="auto"/>
            </w:tcBorders>
            <w:shd w:val="clear" w:color="auto" w:fill="auto"/>
            <w:vAlign w:val="bottom"/>
            <w:hideMark/>
          </w:tcPr>
          <w:p w14:paraId="2B168122" w14:textId="77777777" w:rsidR="00C03AAD" w:rsidRPr="00832879" w:rsidRDefault="00C03AAD" w:rsidP="00036815">
            <w:pPr>
              <w:spacing w:after="0" w:line="240" w:lineRule="auto"/>
              <w:ind w:left="840" w:hanging="840"/>
              <w:jc w:val="center"/>
              <w:rPr>
                <w:rFonts w:ascii="Times New Roman" w:eastAsia="Times New Roman" w:hAnsi="Times New Roman" w:cs="Times New Roman"/>
                <w:b/>
                <w:bCs/>
                <w:color w:val="000000"/>
                <w:sz w:val="24"/>
                <w:szCs w:val="24"/>
              </w:rPr>
            </w:pPr>
            <w:r w:rsidRPr="00832879">
              <w:rPr>
                <w:rFonts w:ascii="Times New Roman" w:eastAsia="Times New Roman" w:hAnsi="Times New Roman" w:cs="Times New Roman"/>
                <w:b/>
                <w:bCs/>
                <w:color w:val="000000"/>
                <w:sz w:val="24"/>
                <w:szCs w:val="24"/>
              </w:rPr>
              <w:t>1879883</w:t>
            </w:r>
          </w:p>
        </w:tc>
        <w:tc>
          <w:tcPr>
            <w:tcW w:w="876" w:type="dxa"/>
            <w:tcBorders>
              <w:top w:val="nil"/>
              <w:left w:val="nil"/>
              <w:bottom w:val="single" w:sz="4" w:space="0" w:color="auto"/>
              <w:right w:val="single" w:sz="4" w:space="0" w:color="auto"/>
            </w:tcBorders>
            <w:shd w:val="clear" w:color="auto" w:fill="auto"/>
            <w:vAlign w:val="bottom"/>
            <w:hideMark/>
          </w:tcPr>
          <w:p w14:paraId="1964CD52" w14:textId="77777777" w:rsidR="00C03AAD" w:rsidRPr="00832879" w:rsidRDefault="00C03AAD" w:rsidP="00036815">
            <w:pPr>
              <w:spacing w:after="0" w:line="240" w:lineRule="auto"/>
              <w:ind w:left="840" w:hanging="840"/>
              <w:jc w:val="right"/>
              <w:rPr>
                <w:rFonts w:ascii="Times New Roman" w:eastAsia="Times New Roman" w:hAnsi="Times New Roman" w:cs="Times New Roman"/>
                <w:b/>
                <w:bCs/>
                <w:color w:val="000000"/>
                <w:sz w:val="24"/>
                <w:szCs w:val="24"/>
              </w:rPr>
            </w:pPr>
            <w:r w:rsidRPr="00832879">
              <w:rPr>
                <w:rFonts w:ascii="Times New Roman" w:eastAsia="Times New Roman" w:hAnsi="Times New Roman" w:cs="Times New Roman"/>
                <w:b/>
                <w:bCs/>
                <w:color w:val="000000"/>
                <w:sz w:val="24"/>
                <w:szCs w:val="24"/>
              </w:rPr>
              <w:t>100,00</w:t>
            </w:r>
          </w:p>
        </w:tc>
      </w:tr>
    </w:tbl>
    <w:p w14:paraId="78A11014" w14:textId="77777777" w:rsidR="00C03AAD" w:rsidRDefault="00C03AAD" w:rsidP="00C03AAD">
      <w:pPr>
        <w:jc w:val="both"/>
        <w:rPr>
          <w:rFonts w:ascii="Times New Roman" w:eastAsia="Times New Roman" w:hAnsi="Times New Roman" w:cs="Times New Roman"/>
          <w:sz w:val="24"/>
          <w:szCs w:val="24"/>
        </w:rPr>
      </w:pPr>
    </w:p>
    <w:p w14:paraId="55F2BA7D" w14:textId="77777777" w:rsidR="00C03AAD" w:rsidRDefault="00C03AAD" w:rsidP="00C03AA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Zemkopības ministrija a</w:t>
      </w:r>
      <w:r w:rsidRPr="008B36E9">
        <w:rPr>
          <w:rFonts w:ascii="Times New Roman" w:eastAsia="Times New Roman" w:hAnsi="Times New Roman" w:cs="Times New Roman"/>
          <w:sz w:val="24"/>
          <w:szCs w:val="24"/>
        </w:rPr>
        <w:t xml:space="preserve">ptaujājot biogāzes ražotājus </w:t>
      </w:r>
      <w:r>
        <w:rPr>
          <w:rFonts w:ascii="Times New Roman" w:eastAsia="Times New Roman" w:hAnsi="Times New Roman" w:cs="Times New Roman"/>
          <w:sz w:val="24"/>
          <w:szCs w:val="24"/>
        </w:rPr>
        <w:t>norāda, ka šobrīd</w:t>
      </w:r>
      <w:r w:rsidRPr="008B36E9">
        <w:rPr>
          <w:rFonts w:ascii="Times New Roman" w:eastAsia="Times New Roman" w:hAnsi="Times New Roman" w:cs="Times New Roman"/>
          <w:sz w:val="24"/>
          <w:szCs w:val="24"/>
        </w:rPr>
        <w:t xml:space="preserve"> tikai 5 stacijas būtu gatavas apsvērt domu par biometāna ražošanu.</w:t>
      </w:r>
      <w:r>
        <w:rPr>
          <w:rFonts w:ascii="Times New Roman" w:eastAsia="Times New Roman" w:hAnsi="Times New Roman" w:cs="Times New Roman"/>
          <w:sz w:val="24"/>
          <w:szCs w:val="24"/>
        </w:rPr>
        <w:t xml:space="preserve"> </w:t>
      </w:r>
      <w:r w:rsidRPr="00832879">
        <w:rPr>
          <w:rFonts w:ascii="Times New Roman" w:eastAsia="Times New Roman" w:hAnsi="Times New Roman" w:cs="Times New Roman"/>
          <w:sz w:val="24"/>
          <w:szCs w:val="24"/>
        </w:rPr>
        <w:t>Galvenais biogāzes ražotāju arguments ir neskaidrā situācija – nav skaidri zināmi nosacījumi nākotnei, kādas būs izmaksas par biometāna saspiešanu, kurš būs biometāna noņēmējs. Ir jāveic detalizēti aprēķini un iespējams, ka jāveic padziļināts pētījums, lai saprastu, kāds būs ekonomiskais izdevīgums, piemēram, lai pārietu uz traktortehnikas darbināšanu ar biometānu.  Veikts provizorisks aprēķins - traktortehnikas (patēriņš līdz 60% biometāns un 40% dīzeļdegviela) pārbūves izmaksas – 3 500 EUR/vienai vienībai, papildus moduļu sistēma uzstādīšana  – gāzes baloni - 3 000 EUR/vienai vienībai. Investīcijas jāveic vēl paredzot uzpildīšanas iekārtu un citus papildus izdevumus, līdz ar to biometāna patēriņā saskatām daudz ieguldījumu un virzīties uz drošu tā nākotni ir riskanti, kamēr nav skaidras atbildes.</w:t>
      </w:r>
    </w:p>
    <w:p w14:paraId="5BE9248D" w14:textId="77777777" w:rsidR="00C03AAD" w:rsidRPr="00832879" w:rsidRDefault="00C03AAD" w:rsidP="00C03AAD">
      <w:pPr>
        <w:jc w:val="both"/>
        <w:rPr>
          <w:rFonts w:ascii="Times New Roman" w:hAnsi="Times New Roman" w:cs="Times New Roman"/>
          <w:sz w:val="24"/>
          <w:szCs w:val="24"/>
        </w:rPr>
      </w:pPr>
      <w:r w:rsidRPr="00832879">
        <w:rPr>
          <w:rFonts w:ascii="Times New Roman" w:hAnsi="Times New Roman" w:cs="Times New Roman"/>
          <w:sz w:val="24"/>
          <w:szCs w:val="24"/>
        </w:rPr>
        <w:t xml:space="preserve">Atkarībā no pieejamā investīciju atbalsta lieluma un turpmāk noteiktās iespējamās biometāna pārdošanas cenas,  biometāna ražošana ir teorētiski iespējama stacijās  jau ar  vismaz 0,5 MW elektrisko jaudu biogāzes stacijas pārveidošanu, taču ir pierādīts, ka, jo lielākas jauda stacija, jo stabilāka ir tās rentabilitāte. </w:t>
      </w:r>
    </w:p>
    <w:p w14:paraId="1A2C1895" w14:textId="77777777" w:rsidR="00C03AAD" w:rsidRDefault="00C03AAD" w:rsidP="00C03AAD">
      <w:pPr>
        <w:pStyle w:val="tvhtml"/>
        <w:shd w:val="clear" w:color="auto" w:fill="FFFFFF"/>
        <w:spacing w:line="293" w:lineRule="atLeast"/>
        <w:ind w:firstLine="300"/>
        <w:jc w:val="both"/>
        <w:rPr>
          <w:b/>
          <w:bCs/>
          <w:lang w:val="lv-LV"/>
        </w:rPr>
      </w:pPr>
      <w:r w:rsidRPr="00486C5F">
        <w:rPr>
          <w:lang w:val="lv-LV"/>
        </w:rPr>
        <w:t>Ņemot vērā to, ka lauksaimniecība ir otrs lielākais SEG emisiju avots Latvijā, SEG un amonjaka emisijas samazinājumu var panākt biogāzes stacijās pārstrādājot kūtsmēslus. To apliecina Latvijas Lauksaimniecības universitātes pētījums “Latvijas lauksaimniecības siltumnīcefekta gāzu un amonjaka emisijas, kā arī CO</w:t>
      </w:r>
      <w:r w:rsidRPr="00307289">
        <w:rPr>
          <w:vertAlign w:val="subscript"/>
          <w:lang w:val="lv-LV"/>
        </w:rPr>
        <w:t xml:space="preserve">2 </w:t>
      </w:r>
      <w:r w:rsidRPr="00486C5F">
        <w:rPr>
          <w:lang w:val="lv-LV"/>
        </w:rPr>
        <w:t xml:space="preserve">piesaistes (aramzemēs un zālājos) </w:t>
      </w:r>
      <w:r w:rsidRPr="00486C5F">
        <w:rPr>
          <w:lang w:val="lv-LV"/>
        </w:rPr>
        <w:lastRenderedPageBreak/>
        <w:t>robežsamazinājuma izmaksu līkņu pielāgošana izmantošanai lauksaimniecības, vides un klimata politikas veidošanā”</w:t>
      </w:r>
      <w:r>
        <w:rPr>
          <w:rStyle w:val="FootnoteReference"/>
          <w:lang w:val="lv-LV"/>
        </w:rPr>
        <w:footnoteReference w:id="16"/>
      </w:r>
      <w:r w:rsidRPr="00486C5F">
        <w:rPr>
          <w:lang w:val="lv-LV"/>
        </w:rPr>
        <w:t>. Pētījuma rezultāti parāda, ka pasākumam "Biogāzes ražošanas veicināšana" ir ietekme uz SEG un amonjaka emisiju samazinājumu un tā izmaksu efektivitāti</w:t>
      </w:r>
      <w:r>
        <w:rPr>
          <w:lang w:val="lv-LV"/>
        </w:rPr>
        <w:t>.</w:t>
      </w:r>
      <w:r w:rsidRPr="00486C5F">
        <w:rPr>
          <w:lang w:val="lv-LV"/>
        </w:rPr>
        <w:t xml:space="preserve"> Tāpēc biogāzes ražošanas veicināšana ir noteikta "Gaisa piesārņojuma samazināšanas rīcības plānā 2020.-2030.gadam" kā amonjaka emisiju samazinošs pasākums un "Nacionālajā klimata un enerģētikas plānā no 2021.gada līdz 2030.gadam" kā SEG emisiju samazinošs pasākums. </w:t>
      </w:r>
      <w:r>
        <w:rPr>
          <w:lang w:val="lv-LV"/>
        </w:rPr>
        <w:t xml:space="preserve">Saskaņā ar šobrīd spēkā esošajiem normatīvajiem aktiem, atbalsts biogāzes ražošanas stacijām beigsies dažādos laikos. Vairākos gadījumos ātrāk elektroenerģijas obligātā iepirkuma atbalsts beigsies stacijām, kas pārstrādā nozīmīgu daudzumu kūtsmēslu. Ja </w:t>
      </w:r>
      <w:r w:rsidRPr="00C12CAB">
        <w:rPr>
          <w:lang w:val="lv-LV"/>
        </w:rPr>
        <w:t>AS „Conexus Baltic Grid”</w:t>
      </w:r>
      <w:r>
        <w:rPr>
          <w:lang w:val="lv-LV"/>
        </w:rPr>
        <w:t xml:space="preserve"> pētījumā paredzētais Iecavas klasteris pilnībā pārietu uz biometāna ražošanu, tad aprēķināts, ka tas 2024. gadā (gads izvēlēts ar aplēsi, ka līdz tam varētu tikt pilnībā īstenoti projekti pārejai uz biometānu) samazinātu OIK slogu par 7,4 milj EUR. Tomēr, kā parādīts tālāk, šāds ieguvums nebūs iespējams kopumā ekonomikā, jo biometāna ražošanai tāpat ir nepieciešami valsts atbalsta pasākumi. </w:t>
      </w:r>
    </w:p>
    <w:p w14:paraId="69C758CE" w14:textId="77777777" w:rsidR="002E525F" w:rsidRDefault="002E525F">
      <w:pPr>
        <w:rPr>
          <w:b/>
          <w:bCs/>
        </w:rPr>
      </w:pPr>
      <w:r>
        <w:rPr>
          <w:b/>
          <w:bCs/>
        </w:rPr>
        <w:br w:type="page"/>
      </w:r>
    </w:p>
    <w:p w14:paraId="28B7BA10" w14:textId="2B9E7074" w:rsidR="00C03AAD" w:rsidRPr="002E525F" w:rsidRDefault="00C03AAD" w:rsidP="002E525F">
      <w:pPr>
        <w:jc w:val="right"/>
        <w:rPr>
          <w:rFonts w:ascii="Times New Roman" w:eastAsia="Times New Roman" w:hAnsi="Times New Roman" w:cs="Times New Roman"/>
          <w:b/>
          <w:bCs/>
          <w:sz w:val="24"/>
          <w:szCs w:val="24"/>
        </w:rPr>
      </w:pPr>
      <w:r w:rsidRPr="002E525F">
        <w:rPr>
          <w:rFonts w:ascii="Times New Roman" w:hAnsi="Times New Roman" w:cs="Times New Roman"/>
          <w:b/>
          <w:bCs/>
        </w:rPr>
        <w:lastRenderedPageBreak/>
        <w:t>9. tabula.</w:t>
      </w:r>
      <w:r w:rsidR="002E525F">
        <w:rPr>
          <w:rFonts w:ascii="Times New Roman" w:hAnsi="Times New Roman" w:cs="Times New Roman"/>
          <w:b/>
          <w:bCs/>
        </w:rPr>
        <w:t xml:space="preserve"> </w:t>
      </w:r>
      <w:r w:rsidRPr="002E525F">
        <w:rPr>
          <w:rFonts w:ascii="Times New Roman" w:hAnsi="Times New Roman" w:cs="Times New Roman"/>
          <w:b/>
          <w:bCs/>
        </w:rPr>
        <w:t xml:space="preserve">Kūtsmēslu izmantošana biogāzes ražošanai 2017. gadā </w:t>
      </w:r>
    </w:p>
    <w:p w14:paraId="2B69B88D" w14:textId="77777777" w:rsidR="00C03AAD" w:rsidRDefault="00C03AAD" w:rsidP="00C03AAD">
      <w:pPr>
        <w:pStyle w:val="tvhtml"/>
        <w:shd w:val="clear" w:color="auto" w:fill="FFFFFF"/>
        <w:spacing w:line="293" w:lineRule="atLeast"/>
        <w:ind w:firstLine="300"/>
        <w:rPr>
          <w:lang w:val="lv-LV"/>
        </w:rPr>
      </w:pPr>
      <w:r w:rsidRPr="004D7B0F">
        <w:rPr>
          <w:noProof/>
          <w:lang w:val="lv-LV" w:eastAsia="lv-LV"/>
        </w:rPr>
        <w:drawing>
          <wp:inline distT="0" distB="0" distL="0" distR="0" wp14:anchorId="0845432C" wp14:editId="750961B8">
            <wp:extent cx="3194050" cy="5307965"/>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5932" cy="5311093"/>
                    </a:xfrm>
                    <a:prstGeom prst="rect">
                      <a:avLst/>
                    </a:prstGeom>
                    <a:noFill/>
                    <a:ln>
                      <a:noFill/>
                    </a:ln>
                  </pic:spPr>
                </pic:pic>
              </a:graphicData>
            </a:graphic>
          </wp:inline>
        </w:drawing>
      </w:r>
    </w:p>
    <w:p w14:paraId="11D9D0AB" w14:textId="77777777" w:rsidR="00C03AAD" w:rsidRDefault="00C03AAD" w:rsidP="00C03AAD">
      <w:pPr>
        <w:pStyle w:val="tvhtml"/>
        <w:shd w:val="clear" w:color="auto" w:fill="FFFFFF"/>
        <w:spacing w:line="293" w:lineRule="atLeast"/>
        <w:ind w:left="720"/>
        <w:rPr>
          <w:b/>
          <w:bCs/>
          <w:lang w:val="lv-LV"/>
        </w:rPr>
      </w:pPr>
      <w:r>
        <w:rPr>
          <w:b/>
          <w:bCs/>
          <w:lang w:val="lv-LV"/>
        </w:rPr>
        <w:t xml:space="preserve">2.8.  </w:t>
      </w:r>
      <w:r w:rsidRPr="00BE16DF">
        <w:rPr>
          <w:b/>
          <w:bCs/>
          <w:lang w:val="lv-LV"/>
        </w:rPr>
        <w:t>Citu valstu</w:t>
      </w:r>
      <w:r>
        <w:rPr>
          <w:b/>
          <w:bCs/>
          <w:lang w:val="lv-LV"/>
        </w:rPr>
        <w:t xml:space="preserve"> </w:t>
      </w:r>
      <w:r w:rsidRPr="00BE16DF">
        <w:rPr>
          <w:b/>
          <w:bCs/>
          <w:lang w:val="lv-LV"/>
        </w:rPr>
        <w:t>pieeja</w:t>
      </w:r>
      <w:r>
        <w:rPr>
          <w:b/>
          <w:bCs/>
          <w:lang w:val="lv-LV"/>
        </w:rPr>
        <w:t xml:space="preserve"> biometāna ražošanas un patēriņa atbalstam</w:t>
      </w:r>
    </w:p>
    <w:p w14:paraId="6C26E29F" w14:textId="784CE502" w:rsidR="00C03AAD" w:rsidRDefault="00C03AAD" w:rsidP="00C03AAD">
      <w:pPr>
        <w:pStyle w:val="tvhtml"/>
        <w:shd w:val="clear" w:color="auto" w:fill="FFFFFF"/>
        <w:spacing w:line="293" w:lineRule="atLeast"/>
        <w:jc w:val="both"/>
        <w:rPr>
          <w:lang w:val="lv-LV"/>
        </w:rPr>
      </w:pPr>
      <w:r>
        <w:rPr>
          <w:lang w:val="lv-LV"/>
        </w:rPr>
        <w:t>Daudzās Eiropas valstīs pastāv kompleksas atbalsta programmas biogāzes un biometāna ražošanai un patēriņam. Pārskats par atbalsta pasākumiem apkopots 10. tabulā.</w:t>
      </w:r>
    </w:p>
    <w:p w14:paraId="38FA79E2" w14:textId="7C22AC30" w:rsidR="002E525F" w:rsidRDefault="002E525F" w:rsidP="00C03AAD">
      <w:pPr>
        <w:pStyle w:val="tvhtml"/>
        <w:shd w:val="clear" w:color="auto" w:fill="FFFFFF"/>
        <w:spacing w:line="293" w:lineRule="atLeast"/>
        <w:jc w:val="both"/>
        <w:rPr>
          <w:lang w:val="lv-LV"/>
        </w:rPr>
      </w:pPr>
    </w:p>
    <w:p w14:paraId="5934AC84" w14:textId="77777777" w:rsidR="002E525F" w:rsidRDefault="002E525F" w:rsidP="00C03AAD">
      <w:pPr>
        <w:pStyle w:val="tvhtml"/>
        <w:shd w:val="clear" w:color="auto" w:fill="FFFFFF"/>
        <w:spacing w:line="293" w:lineRule="atLeast"/>
        <w:jc w:val="both"/>
        <w:rPr>
          <w:lang w:val="lv-LV"/>
        </w:rPr>
      </w:pPr>
    </w:p>
    <w:p w14:paraId="2AD0D7F0" w14:textId="77777777" w:rsidR="00C03AAD" w:rsidRDefault="00C03AAD" w:rsidP="00C03AAD">
      <w:pPr>
        <w:pStyle w:val="tvhtml"/>
        <w:shd w:val="clear" w:color="auto" w:fill="FFFFFF"/>
        <w:spacing w:line="293" w:lineRule="atLeast"/>
        <w:jc w:val="right"/>
        <w:rPr>
          <w:lang w:val="lv-LV"/>
        </w:rPr>
      </w:pPr>
      <w:r>
        <w:rPr>
          <w:b/>
          <w:bCs/>
          <w:lang w:val="lv-LV"/>
        </w:rPr>
        <w:lastRenderedPageBreak/>
        <w:t>10</w:t>
      </w:r>
      <w:r w:rsidRPr="00A44E3B">
        <w:rPr>
          <w:b/>
          <w:bCs/>
          <w:lang w:val="lv-LV"/>
        </w:rPr>
        <w:t>.tabula. Atbalsta pasākumi biogāzei un biometānam Eiropas valstīs</w:t>
      </w:r>
      <w:r>
        <w:rPr>
          <w:lang w:val="lv-LV"/>
        </w:rPr>
        <w:t xml:space="preserve"> </w:t>
      </w:r>
      <w:r>
        <w:rPr>
          <w:rStyle w:val="FootnoteReference"/>
          <w:lang w:val="lv-LV"/>
        </w:rPr>
        <w:footnoteReference w:id="17"/>
      </w:r>
    </w:p>
    <w:tbl>
      <w:tblPr>
        <w:tblStyle w:val="TableGrid"/>
        <w:tblW w:w="10255" w:type="dxa"/>
        <w:tblInd w:w="-5" w:type="dxa"/>
        <w:tblLayout w:type="fixed"/>
        <w:tblLook w:val="04A0" w:firstRow="1" w:lastRow="0" w:firstColumn="1" w:lastColumn="0" w:noHBand="0" w:noVBand="1"/>
      </w:tblPr>
      <w:tblGrid>
        <w:gridCol w:w="2410"/>
        <w:gridCol w:w="709"/>
        <w:gridCol w:w="850"/>
        <w:gridCol w:w="993"/>
        <w:gridCol w:w="992"/>
        <w:gridCol w:w="900"/>
        <w:gridCol w:w="900"/>
        <w:gridCol w:w="862"/>
        <w:gridCol w:w="636"/>
        <w:gridCol w:w="1003"/>
      </w:tblGrid>
      <w:tr w:rsidR="00C03AAD" w14:paraId="656E25A9" w14:textId="77777777" w:rsidTr="00036815">
        <w:tc>
          <w:tcPr>
            <w:tcW w:w="2410" w:type="dxa"/>
          </w:tcPr>
          <w:p w14:paraId="28F8D480" w14:textId="77777777" w:rsidR="00C03AAD" w:rsidRPr="00692B31" w:rsidRDefault="00C03AAD" w:rsidP="00036815">
            <w:pPr>
              <w:pStyle w:val="tvhtml"/>
              <w:spacing w:line="293" w:lineRule="atLeast"/>
              <w:jc w:val="both"/>
              <w:rPr>
                <w:b/>
                <w:bCs/>
                <w:lang w:val="lv-LV"/>
              </w:rPr>
            </w:pPr>
            <w:r w:rsidRPr="00692B31">
              <w:rPr>
                <w:b/>
                <w:bCs/>
                <w:lang w:val="lv-LV"/>
              </w:rPr>
              <w:t>Atbalsta pasākums</w:t>
            </w:r>
          </w:p>
        </w:tc>
        <w:tc>
          <w:tcPr>
            <w:tcW w:w="709" w:type="dxa"/>
          </w:tcPr>
          <w:p w14:paraId="6CFD02D2" w14:textId="77777777" w:rsidR="00C03AAD" w:rsidRPr="00692B31" w:rsidRDefault="00C03AAD" w:rsidP="00036815">
            <w:pPr>
              <w:pStyle w:val="tvhtml"/>
              <w:spacing w:line="293" w:lineRule="atLeast"/>
              <w:jc w:val="both"/>
              <w:rPr>
                <w:b/>
                <w:bCs/>
                <w:lang w:val="lv-LV"/>
              </w:rPr>
            </w:pPr>
            <w:r w:rsidRPr="00692B31">
              <w:rPr>
                <w:b/>
                <w:bCs/>
                <w:lang w:val="lv-LV"/>
              </w:rPr>
              <w:t>Vācija</w:t>
            </w:r>
          </w:p>
        </w:tc>
        <w:tc>
          <w:tcPr>
            <w:tcW w:w="850" w:type="dxa"/>
          </w:tcPr>
          <w:p w14:paraId="416227B4" w14:textId="77777777" w:rsidR="00C03AAD" w:rsidRPr="00692B31" w:rsidRDefault="00C03AAD" w:rsidP="00036815">
            <w:pPr>
              <w:pStyle w:val="tvhtml"/>
              <w:spacing w:line="293" w:lineRule="atLeast"/>
              <w:jc w:val="both"/>
              <w:rPr>
                <w:b/>
                <w:bCs/>
                <w:lang w:val="lv-LV"/>
              </w:rPr>
            </w:pPr>
            <w:r w:rsidRPr="00692B31">
              <w:rPr>
                <w:b/>
                <w:bCs/>
                <w:lang w:val="lv-LV"/>
              </w:rPr>
              <w:t>Lielbritānija</w:t>
            </w:r>
          </w:p>
        </w:tc>
        <w:tc>
          <w:tcPr>
            <w:tcW w:w="993" w:type="dxa"/>
          </w:tcPr>
          <w:p w14:paraId="6D99F024" w14:textId="77777777" w:rsidR="00C03AAD" w:rsidRPr="00692B31" w:rsidRDefault="00C03AAD" w:rsidP="00036815">
            <w:pPr>
              <w:pStyle w:val="tvhtml"/>
              <w:spacing w:line="293" w:lineRule="atLeast"/>
              <w:jc w:val="both"/>
              <w:rPr>
                <w:b/>
                <w:bCs/>
                <w:lang w:val="lv-LV"/>
              </w:rPr>
            </w:pPr>
            <w:r w:rsidRPr="00692B31">
              <w:rPr>
                <w:b/>
                <w:bCs/>
                <w:lang w:val="lv-LV"/>
              </w:rPr>
              <w:t>Zviedrija</w:t>
            </w:r>
          </w:p>
        </w:tc>
        <w:tc>
          <w:tcPr>
            <w:tcW w:w="992" w:type="dxa"/>
          </w:tcPr>
          <w:p w14:paraId="459E876B" w14:textId="77777777" w:rsidR="00C03AAD" w:rsidRPr="00692B31" w:rsidRDefault="00C03AAD" w:rsidP="00036815">
            <w:pPr>
              <w:pStyle w:val="tvhtml"/>
              <w:spacing w:line="293" w:lineRule="atLeast"/>
              <w:jc w:val="both"/>
              <w:rPr>
                <w:b/>
                <w:bCs/>
                <w:lang w:val="lv-LV"/>
              </w:rPr>
            </w:pPr>
            <w:r w:rsidRPr="00692B31">
              <w:rPr>
                <w:b/>
                <w:bCs/>
                <w:lang w:val="lv-LV"/>
              </w:rPr>
              <w:t>Šveice</w:t>
            </w:r>
          </w:p>
        </w:tc>
        <w:tc>
          <w:tcPr>
            <w:tcW w:w="900" w:type="dxa"/>
          </w:tcPr>
          <w:p w14:paraId="6DBDF4E7" w14:textId="77777777" w:rsidR="00C03AAD" w:rsidRPr="00692B31" w:rsidRDefault="00C03AAD" w:rsidP="00036815">
            <w:pPr>
              <w:pStyle w:val="tvhtml"/>
              <w:spacing w:line="293" w:lineRule="atLeast"/>
              <w:jc w:val="both"/>
              <w:rPr>
                <w:b/>
                <w:bCs/>
                <w:lang w:val="lv-LV"/>
              </w:rPr>
            </w:pPr>
            <w:r w:rsidRPr="00692B31">
              <w:rPr>
                <w:b/>
                <w:bCs/>
                <w:lang w:val="lv-LV"/>
              </w:rPr>
              <w:t>Francija</w:t>
            </w:r>
          </w:p>
        </w:tc>
        <w:tc>
          <w:tcPr>
            <w:tcW w:w="900" w:type="dxa"/>
          </w:tcPr>
          <w:p w14:paraId="2B692460" w14:textId="77777777" w:rsidR="00C03AAD" w:rsidRPr="00692B31" w:rsidRDefault="00C03AAD" w:rsidP="00036815">
            <w:pPr>
              <w:pStyle w:val="tvhtml"/>
              <w:spacing w:line="293" w:lineRule="atLeast"/>
              <w:jc w:val="both"/>
              <w:rPr>
                <w:b/>
                <w:bCs/>
                <w:lang w:val="lv-LV"/>
              </w:rPr>
            </w:pPr>
            <w:r w:rsidRPr="00692B31">
              <w:rPr>
                <w:b/>
                <w:bCs/>
                <w:lang w:val="lv-LV"/>
              </w:rPr>
              <w:t>Nīderlande</w:t>
            </w:r>
          </w:p>
        </w:tc>
        <w:tc>
          <w:tcPr>
            <w:tcW w:w="862" w:type="dxa"/>
          </w:tcPr>
          <w:p w14:paraId="7BA5446C" w14:textId="77777777" w:rsidR="00C03AAD" w:rsidRPr="00692B31" w:rsidRDefault="00C03AAD" w:rsidP="00036815">
            <w:pPr>
              <w:pStyle w:val="tvhtml"/>
              <w:spacing w:line="293" w:lineRule="atLeast"/>
              <w:jc w:val="both"/>
              <w:rPr>
                <w:b/>
                <w:bCs/>
                <w:lang w:val="lv-LV"/>
              </w:rPr>
            </w:pPr>
            <w:r w:rsidRPr="00692B31">
              <w:rPr>
                <w:b/>
                <w:bCs/>
                <w:lang w:val="lv-LV"/>
              </w:rPr>
              <w:t>Dānija</w:t>
            </w:r>
          </w:p>
        </w:tc>
        <w:tc>
          <w:tcPr>
            <w:tcW w:w="636" w:type="dxa"/>
          </w:tcPr>
          <w:p w14:paraId="0E3EE35D" w14:textId="77777777" w:rsidR="00C03AAD" w:rsidRPr="00692B31" w:rsidRDefault="00C03AAD" w:rsidP="00036815">
            <w:pPr>
              <w:pStyle w:val="tvhtml"/>
              <w:spacing w:line="293" w:lineRule="atLeast"/>
              <w:jc w:val="both"/>
              <w:rPr>
                <w:b/>
                <w:bCs/>
                <w:lang w:val="lv-LV"/>
              </w:rPr>
            </w:pPr>
            <w:r w:rsidRPr="00692B31">
              <w:rPr>
                <w:b/>
                <w:bCs/>
                <w:lang w:val="lv-LV"/>
              </w:rPr>
              <w:t>Īrija</w:t>
            </w:r>
          </w:p>
        </w:tc>
        <w:tc>
          <w:tcPr>
            <w:tcW w:w="1003" w:type="dxa"/>
          </w:tcPr>
          <w:p w14:paraId="1DA531A4" w14:textId="77777777" w:rsidR="00C03AAD" w:rsidRPr="00692B31" w:rsidRDefault="00C03AAD" w:rsidP="00036815">
            <w:pPr>
              <w:pStyle w:val="tvhtml"/>
              <w:spacing w:line="293" w:lineRule="atLeast"/>
              <w:jc w:val="both"/>
              <w:rPr>
                <w:b/>
                <w:bCs/>
                <w:lang w:val="lv-LV"/>
              </w:rPr>
            </w:pPr>
            <w:r w:rsidRPr="00692B31">
              <w:rPr>
                <w:b/>
                <w:bCs/>
                <w:lang w:val="lv-LV"/>
              </w:rPr>
              <w:t>Igaunija</w:t>
            </w:r>
          </w:p>
        </w:tc>
      </w:tr>
      <w:tr w:rsidR="00C03AAD" w14:paraId="37C048EF" w14:textId="77777777" w:rsidTr="00036815">
        <w:tc>
          <w:tcPr>
            <w:tcW w:w="2410" w:type="dxa"/>
          </w:tcPr>
          <w:p w14:paraId="4DA7B05E" w14:textId="77777777" w:rsidR="00C03AAD" w:rsidRPr="00B53A97" w:rsidRDefault="00C03AAD" w:rsidP="00036815">
            <w:pPr>
              <w:pStyle w:val="tvhtml"/>
              <w:spacing w:line="293" w:lineRule="atLeast"/>
              <w:jc w:val="both"/>
              <w:rPr>
                <w:i/>
                <w:iCs/>
                <w:lang w:val="lv-LV"/>
              </w:rPr>
            </w:pPr>
            <w:r w:rsidRPr="00B53A97">
              <w:rPr>
                <w:i/>
                <w:iCs/>
                <w:lang w:val="lv-LV"/>
              </w:rPr>
              <w:t>Ražošanas atbalsts</w:t>
            </w:r>
          </w:p>
        </w:tc>
        <w:tc>
          <w:tcPr>
            <w:tcW w:w="709" w:type="dxa"/>
          </w:tcPr>
          <w:p w14:paraId="3525D62C" w14:textId="77777777" w:rsidR="00C03AAD" w:rsidRDefault="00C03AAD" w:rsidP="00036815">
            <w:pPr>
              <w:pStyle w:val="tvhtml"/>
              <w:spacing w:line="293" w:lineRule="atLeast"/>
              <w:jc w:val="both"/>
              <w:rPr>
                <w:lang w:val="lv-LV"/>
              </w:rPr>
            </w:pPr>
          </w:p>
        </w:tc>
        <w:tc>
          <w:tcPr>
            <w:tcW w:w="850" w:type="dxa"/>
          </w:tcPr>
          <w:p w14:paraId="07962F87" w14:textId="77777777" w:rsidR="00C03AAD" w:rsidRDefault="00C03AAD" w:rsidP="00036815">
            <w:pPr>
              <w:pStyle w:val="tvhtml"/>
              <w:spacing w:line="293" w:lineRule="atLeast"/>
              <w:jc w:val="both"/>
              <w:rPr>
                <w:lang w:val="lv-LV"/>
              </w:rPr>
            </w:pPr>
          </w:p>
        </w:tc>
        <w:tc>
          <w:tcPr>
            <w:tcW w:w="993" w:type="dxa"/>
          </w:tcPr>
          <w:p w14:paraId="27AA03D8" w14:textId="77777777" w:rsidR="00C03AAD" w:rsidRDefault="00C03AAD" w:rsidP="00036815">
            <w:pPr>
              <w:pStyle w:val="tvhtml"/>
              <w:spacing w:line="293" w:lineRule="atLeast"/>
              <w:jc w:val="both"/>
              <w:rPr>
                <w:lang w:val="lv-LV"/>
              </w:rPr>
            </w:pPr>
          </w:p>
        </w:tc>
        <w:tc>
          <w:tcPr>
            <w:tcW w:w="992" w:type="dxa"/>
          </w:tcPr>
          <w:p w14:paraId="406238FB" w14:textId="77777777" w:rsidR="00C03AAD" w:rsidRDefault="00C03AAD" w:rsidP="00036815">
            <w:pPr>
              <w:pStyle w:val="tvhtml"/>
              <w:spacing w:line="293" w:lineRule="atLeast"/>
              <w:jc w:val="both"/>
              <w:rPr>
                <w:lang w:val="lv-LV"/>
              </w:rPr>
            </w:pPr>
          </w:p>
        </w:tc>
        <w:tc>
          <w:tcPr>
            <w:tcW w:w="900" w:type="dxa"/>
          </w:tcPr>
          <w:p w14:paraId="1330C1EA" w14:textId="77777777" w:rsidR="00C03AAD" w:rsidRDefault="00C03AAD" w:rsidP="00036815">
            <w:pPr>
              <w:pStyle w:val="tvhtml"/>
              <w:spacing w:line="293" w:lineRule="atLeast"/>
              <w:jc w:val="both"/>
              <w:rPr>
                <w:lang w:val="lv-LV"/>
              </w:rPr>
            </w:pPr>
          </w:p>
        </w:tc>
        <w:tc>
          <w:tcPr>
            <w:tcW w:w="900" w:type="dxa"/>
          </w:tcPr>
          <w:p w14:paraId="508BE17C" w14:textId="77777777" w:rsidR="00C03AAD" w:rsidRDefault="00C03AAD" w:rsidP="00036815">
            <w:pPr>
              <w:pStyle w:val="tvhtml"/>
              <w:spacing w:line="293" w:lineRule="atLeast"/>
              <w:jc w:val="both"/>
              <w:rPr>
                <w:lang w:val="lv-LV"/>
              </w:rPr>
            </w:pPr>
          </w:p>
        </w:tc>
        <w:tc>
          <w:tcPr>
            <w:tcW w:w="862" w:type="dxa"/>
          </w:tcPr>
          <w:p w14:paraId="215623B9" w14:textId="77777777" w:rsidR="00C03AAD" w:rsidRDefault="00C03AAD" w:rsidP="00036815">
            <w:pPr>
              <w:pStyle w:val="tvhtml"/>
              <w:spacing w:line="293" w:lineRule="atLeast"/>
              <w:jc w:val="both"/>
              <w:rPr>
                <w:lang w:val="lv-LV"/>
              </w:rPr>
            </w:pPr>
          </w:p>
        </w:tc>
        <w:tc>
          <w:tcPr>
            <w:tcW w:w="636" w:type="dxa"/>
          </w:tcPr>
          <w:p w14:paraId="00A5233D" w14:textId="77777777" w:rsidR="00C03AAD" w:rsidRDefault="00C03AAD" w:rsidP="00036815">
            <w:pPr>
              <w:pStyle w:val="tvhtml"/>
              <w:spacing w:line="293" w:lineRule="atLeast"/>
              <w:jc w:val="both"/>
              <w:rPr>
                <w:lang w:val="lv-LV"/>
              </w:rPr>
            </w:pPr>
          </w:p>
        </w:tc>
        <w:tc>
          <w:tcPr>
            <w:tcW w:w="1003" w:type="dxa"/>
          </w:tcPr>
          <w:p w14:paraId="5A458305" w14:textId="77777777" w:rsidR="00C03AAD" w:rsidRDefault="00C03AAD" w:rsidP="00036815">
            <w:pPr>
              <w:pStyle w:val="tvhtml"/>
              <w:spacing w:line="293" w:lineRule="atLeast"/>
              <w:jc w:val="both"/>
              <w:rPr>
                <w:lang w:val="lv-LV"/>
              </w:rPr>
            </w:pPr>
          </w:p>
        </w:tc>
      </w:tr>
      <w:tr w:rsidR="00C03AAD" w14:paraId="5C135AD8" w14:textId="77777777" w:rsidTr="00036815">
        <w:tc>
          <w:tcPr>
            <w:tcW w:w="2410" w:type="dxa"/>
          </w:tcPr>
          <w:p w14:paraId="66BAD043" w14:textId="77777777" w:rsidR="00C03AAD" w:rsidRDefault="00C03AAD" w:rsidP="00036815">
            <w:pPr>
              <w:pStyle w:val="tvhtml"/>
              <w:spacing w:line="293" w:lineRule="atLeast"/>
              <w:jc w:val="both"/>
              <w:rPr>
                <w:lang w:val="lv-LV"/>
              </w:rPr>
            </w:pPr>
            <w:r>
              <w:rPr>
                <w:lang w:val="lv-LV"/>
              </w:rPr>
              <w:t>Investīciju subsīdijas ražotājiem</w:t>
            </w:r>
          </w:p>
        </w:tc>
        <w:tc>
          <w:tcPr>
            <w:tcW w:w="709" w:type="dxa"/>
          </w:tcPr>
          <w:p w14:paraId="27D49992" w14:textId="77777777" w:rsidR="00C03AAD" w:rsidRDefault="00C03AAD" w:rsidP="00036815">
            <w:pPr>
              <w:pStyle w:val="tvhtml"/>
              <w:spacing w:line="293" w:lineRule="atLeast"/>
              <w:jc w:val="center"/>
              <w:rPr>
                <w:lang w:val="lv-LV"/>
              </w:rPr>
            </w:pPr>
            <w:r>
              <w:rPr>
                <w:lang w:val="lv-LV"/>
              </w:rPr>
              <w:t>+</w:t>
            </w:r>
          </w:p>
        </w:tc>
        <w:tc>
          <w:tcPr>
            <w:tcW w:w="850" w:type="dxa"/>
          </w:tcPr>
          <w:p w14:paraId="221439DA" w14:textId="77777777" w:rsidR="00C03AAD" w:rsidRDefault="00C03AAD" w:rsidP="00036815">
            <w:pPr>
              <w:pStyle w:val="tvhtml"/>
              <w:spacing w:line="293" w:lineRule="atLeast"/>
              <w:jc w:val="center"/>
              <w:rPr>
                <w:lang w:val="lv-LV"/>
              </w:rPr>
            </w:pPr>
            <w:r>
              <w:rPr>
                <w:lang w:val="lv-LV"/>
              </w:rPr>
              <w:t>+</w:t>
            </w:r>
          </w:p>
        </w:tc>
        <w:tc>
          <w:tcPr>
            <w:tcW w:w="993" w:type="dxa"/>
          </w:tcPr>
          <w:p w14:paraId="7CFC226E" w14:textId="77777777" w:rsidR="00C03AAD" w:rsidRDefault="00C03AAD" w:rsidP="00036815">
            <w:pPr>
              <w:pStyle w:val="tvhtml"/>
              <w:spacing w:line="293" w:lineRule="atLeast"/>
              <w:jc w:val="center"/>
              <w:rPr>
                <w:lang w:val="lv-LV"/>
              </w:rPr>
            </w:pPr>
            <w:r>
              <w:rPr>
                <w:lang w:val="lv-LV"/>
              </w:rPr>
              <w:t>+</w:t>
            </w:r>
          </w:p>
        </w:tc>
        <w:tc>
          <w:tcPr>
            <w:tcW w:w="992" w:type="dxa"/>
          </w:tcPr>
          <w:p w14:paraId="6FC1C5AD" w14:textId="77777777" w:rsidR="00C03AAD" w:rsidRDefault="00C03AAD" w:rsidP="00036815">
            <w:pPr>
              <w:pStyle w:val="tvhtml"/>
              <w:spacing w:line="293" w:lineRule="atLeast"/>
              <w:jc w:val="center"/>
              <w:rPr>
                <w:lang w:val="lv-LV"/>
              </w:rPr>
            </w:pPr>
            <w:r>
              <w:rPr>
                <w:lang w:val="lv-LV"/>
              </w:rPr>
              <w:t>+</w:t>
            </w:r>
          </w:p>
        </w:tc>
        <w:tc>
          <w:tcPr>
            <w:tcW w:w="900" w:type="dxa"/>
          </w:tcPr>
          <w:p w14:paraId="77C97774" w14:textId="77777777" w:rsidR="00C03AAD" w:rsidRDefault="00C03AAD" w:rsidP="00036815">
            <w:pPr>
              <w:pStyle w:val="tvhtml"/>
              <w:spacing w:line="293" w:lineRule="atLeast"/>
              <w:jc w:val="center"/>
              <w:rPr>
                <w:lang w:val="lv-LV"/>
              </w:rPr>
            </w:pPr>
            <w:r>
              <w:rPr>
                <w:lang w:val="lv-LV"/>
              </w:rPr>
              <w:t>+</w:t>
            </w:r>
          </w:p>
        </w:tc>
        <w:tc>
          <w:tcPr>
            <w:tcW w:w="900" w:type="dxa"/>
          </w:tcPr>
          <w:p w14:paraId="06F895DB" w14:textId="77777777" w:rsidR="00C03AAD" w:rsidRDefault="00C03AAD" w:rsidP="00036815">
            <w:pPr>
              <w:pStyle w:val="tvhtml"/>
              <w:spacing w:line="293" w:lineRule="atLeast"/>
              <w:jc w:val="center"/>
              <w:rPr>
                <w:lang w:val="lv-LV"/>
              </w:rPr>
            </w:pPr>
          </w:p>
        </w:tc>
        <w:tc>
          <w:tcPr>
            <w:tcW w:w="862" w:type="dxa"/>
          </w:tcPr>
          <w:p w14:paraId="099997A7" w14:textId="77777777" w:rsidR="00C03AAD" w:rsidRDefault="00C03AAD" w:rsidP="00036815">
            <w:pPr>
              <w:pStyle w:val="tvhtml"/>
              <w:spacing w:line="293" w:lineRule="atLeast"/>
              <w:jc w:val="center"/>
              <w:rPr>
                <w:lang w:val="lv-LV"/>
              </w:rPr>
            </w:pPr>
          </w:p>
        </w:tc>
        <w:tc>
          <w:tcPr>
            <w:tcW w:w="636" w:type="dxa"/>
          </w:tcPr>
          <w:p w14:paraId="645B91C5" w14:textId="77777777" w:rsidR="00C03AAD" w:rsidRDefault="00C03AAD" w:rsidP="00036815">
            <w:pPr>
              <w:pStyle w:val="tvhtml"/>
              <w:spacing w:line="293" w:lineRule="atLeast"/>
              <w:jc w:val="center"/>
              <w:rPr>
                <w:lang w:val="lv-LV"/>
              </w:rPr>
            </w:pPr>
          </w:p>
        </w:tc>
        <w:tc>
          <w:tcPr>
            <w:tcW w:w="1003" w:type="dxa"/>
          </w:tcPr>
          <w:p w14:paraId="27F423EF" w14:textId="77777777" w:rsidR="00C03AAD" w:rsidRDefault="00C03AAD" w:rsidP="00036815">
            <w:pPr>
              <w:pStyle w:val="tvhtml"/>
              <w:spacing w:line="293" w:lineRule="atLeast"/>
              <w:jc w:val="center"/>
              <w:rPr>
                <w:lang w:val="lv-LV"/>
              </w:rPr>
            </w:pPr>
          </w:p>
        </w:tc>
      </w:tr>
      <w:tr w:rsidR="00C03AAD" w14:paraId="1A2BEDD2" w14:textId="77777777" w:rsidTr="00036815">
        <w:tc>
          <w:tcPr>
            <w:tcW w:w="2410" w:type="dxa"/>
          </w:tcPr>
          <w:p w14:paraId="6D90F432" w14:textId="77777777" w:rsidR="00C03AAD" w:rsidRDefault="00C03AAD" w:rsidP="00036815">
            <w:pPr>
              <w:pStyle w:val="tvhtml"/>
              <w:spacing w:line="293" w:lineRule="atLeast"/>
              <w:jc w:val="both"/>
              <w:rPr>
                <w:lang w:val="lv-LV"/>
              </w:rPr>
            </w:pPr>
            <w:r>
              <w:rPr>
                <w:lang w:val="lv-LV"/>
              </w:rPr>
              <w:t>Specializēti investīciju aizdevumi</w:t>
            </w:r>
          </w:p>
        </w:tc>
        <w:tc>
          <w:tcPr>
            <w:tcW w:w="709" w:type="dxa"/>
          </w:tcPr>
          <w:p w14:paraId="6CF5194C" w14:textId="77777777" w:rsidR="00C03AAD" w:rsidRDefault="00C03AAD" w:rsidP="00036815">
            <w:pPr>
              <w:pStyle w:val="tvhtml"/>
              <w:spacing w:line="293" w:lineRule="atLeast"/>
              <w:jc w:val="center"/>
              <w:rPr>
                <w:lang w:val="lv-LV"/>
              </w:rPr>
            </w:pPr>
            <w:r>
              <w:rPr>
                <w:lang w:val="lv-LV"/>
              </w:rPr>
              <w:t>+</w:t>
            </w:r>
          </w:p>
        </w:tc>
        <w:tc>
          <w:tcPr>
            <w:tcW w:w="850" w:type="dxa"/>
          </w:tcPr>
          <w:p w14:paraId="11D8719F" w14:textId="77777777" w:rsidR="00C03AAD" w:rsidRDefault="00C03AAD" w:rsidP="00036815">
            <w:pPr>
              <w:pStyle w:val="tvhtml"/>
              <w:spacing w:line="293" w:lineRule="atLeast"/>
              <w:jc w:val="center"/>
              <w:rPr>
                <w:lang w:val="lv-LV"/>
              </w:rPr>
            </w:pPr>
            <w:r>
              <w:rPr>
                <w:lang w:val="lv-LV"/>
              </w:rPr>
              <w:t>+</w:t>
            </w:r>
          </w:p>
        </w:tc>
        <w:tc>
          <w:tcPr>
            <w:tcW w:w="993" w:type="dxa"/>
          </w:tcPr>
          <w:p w14:paraId="378BA1BA" w14:textId="77777777" w:rsidR="00C03AAD" w:rsidRDefault="00C03AAD" w:rsidP="00036815">
            <w:pPr>
              <w:pStyle w:val="tvhtml"/>
              <w:spacing w:line="293" w:lineRule="atLeast"/>
              <w:jc w:val="center"/>
              <w:rPr>
                <w:lang w:val="lv-LV"/>
              </w:rPr>
            </w:pPr>
          </w:p>
        </w:tc>
        <w:tc>
          <w:tcPr>
            <w:tcW w:w="992" w:type="dxa"/>
          </w:tcPr>
          <w:p w14:paraId="02C8228F" w14:textId="77777777" w:rsidR="00C03AAD" w:rsidRDefault="00C03AAD" w:rsidP="00036815">
            <w:pPr>
              <w:pStyle w:val="tvhtml"/>
              <w:spacing w:line="293" w:lineRule="atLeast"/>
              <w:jc w:val="center"/>
              <w:rPr>
                <w:lang w:val="lv-LV"/>
              </w:rPr>
            </w:pPr>
          </w:p>
        </w:tc>
        <w:tc>
          <w:tcPr>
            <w:tcW w:w="900" w:type="dxa"/>
          </w:tcPr>
          <w:p w14:paraId="52E26E16" w14:textId="77777777" w:rsidR="00C03AAD" w:rsidRDefault="00C03AAD" w:rsidP="00036815">
            <w:pPr>
              <w:pStyle w:val="tvhtml"/>
              <w:spacing w:line="293" w:lineRule="atLeast"/>
              <w:jc w:val="center"/>
              <w:rPr>
                <w:lang w:val="lv-LV"/>
              </w:rPr>
            </w:pPr>
            <w:r>
              <w:rPr>
                <w:lang w:val="lv-LV"/>
              </w:rPr>
              <w:t>+</w:t>
            </w:r>
          </w:p>
        </w:tc>
        <w:tc>
          <w:tcPr>
            <w:tcW w:w="900" w:type="dxa"/>
          </w:tcPr>
          <w:p w14:paraId="53A62D4A" w14:textId="77777777" w:rsidR="00C03AAD" w:rsidRDefault="00C03AAD" w:rsidP="00036815">
            <w:pPr>
              <w:pStyle w:val="tvhtml"/>
              <w:spacing w:line="293" w:lineRule="atLeast"/>
              <w:jc w:val="center"/>
              <w:rPr>
                <w:lang w:val="lv-LV"/>
              </w:rPr>
            </w:pPr>
            <w:r>
              <w:rPr>
                <w:lang w:val="lv-LV"/>
              </w:rPr>
              <w:t>+</w:t>
            </w:r>
          </w:p>
        </w:tc>
        <w:tc>
          <w:tcPr>
            <w:tcW w:w="862" w:type="dxa"/>
          </w:tcPr>
          <w:p w14:paraId="292464EC" w14:textId="77777777" w:rsidR="00C03AAD" w:rsidRDefault="00C03AAD" w:rsidP="00036815">
            <w:pPr>
              <w:pStyle w:val="tvhtml"/>
              <w:spacing w:line="293" w:lineRule="atLeast"/>
              <w:jc w:val="center"/>
              <w:rPr>
                <w:lang w:val="lv-LV"/>
              </w:rPr>
            </w:pPr>
            <w:r>
              <w:rPr>
                <w:lang w:val="lv-LV"/>
              </w:rPr>
              <w:t>+</w:t>
            </w:r>
          </w:p>
        </w:tc>
        <w:tc>
          <w:tcPr>
            <w:tcW w:w="636" w:type="dxa"/>
          </w:tcPr>
          <w:p w14:paraId="744080EE" w14:textId="77777777" w:rsidR="00C03AAD" w:rsidRDefault="00C03AAD" w:rsidP="00036815">
            <w:pPr>
              <w:pStyle w:val="tvhtml"/>
              <w:spacing w:line="293" w:lineRule="atLeast"/>
              <w:jc w:val="center"/>
              <w:rPr>
                <w:lang w:val="lv-LV"/>
              </w:rPr>
            </w:pPr>
          </w:p>
        </w:tc>
        <w:tc>
          <w:tcPr>
            <w:tcW w:w="1003" w:type="dxa"/>
          </w:tcPr>
          <w:p w14:paraId="699F2A70" w14:textId="77777777" w:rsidR="00C03AAD" w:rsidRDefault="00C03AAD" w:rsidP="00036815">
            <w:pPr>
              <w:pStyle w:val="tvhtml"/>
              <w:spacing w:line="293" w:lineRule="atLeast"/>
              <w:jc w:val="center"/>
              <w:rPr>
                <w:lang w:val="lv-LV"/>
              </w:rPr>
            </w:pPr>
          </w:p>
        </w:tc>
      </w:tr>
      <w:tr w:rsidR="00C03AAD" w14:paraId="6B01BA49" w14:textId="77777777" w:rsidTr="00036815">
        <w:tc>
          <w:tcPr>
            <w:tcW w:w="2410" w:type="dxa"/>
          </w:tcPr>
          <w:p w14:paraId="224F50AE" w14:textId="77777777" w:rsidR="00C03AAD" w:rsidRDefault="00C03AAD" w:rsidP="00036815">
            <w:pPr>
              <w:pStyle w:val="tvhtml"/>
              <w:spacing w:line="293" w:lineRule="atLeast"/>
              <w:jc w:val="both"/>
              <w:rPr>
                <w:lang w:val="lv-LV"/>
              </w:rPr>
            </w:pPr>
            <w:r>
              <w:rPr>
                <w:lang w:val="lv-LV"/>
              </w:rPr>
              <w:t>Tarifu atbalsts – fiksēta iepirkumu cena - iesūknēšanai tīklā vai elektrības ražošanai</w:t>
            </w:r>
          </w:p>
        </w:tc>
        <w:tc>
          <w:tcPr>
            <w:tcW w:w="709" w:type="dxa"/>
          </w:tcPr>
          <w:p w14:paraId="57D6F050" w14:textId="77777777" w:rsidR="00C03AAD" w:rsidRDefault="00C03AAD" w:rsidP="00036815">
            <w:pPr>
              <w:pStyle w:val="tvhtml"/>
              <w:spacing w:line="293" w:lineRule="atLeast"/>
              <w:jc w:val="center"/>
              <w:rPr>
                <w:lang w:val="lv-LV"/>
              </w:rPr>
            </w:pPr>
            <w:r>
              <w:rPr>
                <w:lang w:val="lv-LV"/>
              </w:rPr>
              <w:t>+</w:t>
            </w:r>
          </w:p>
        </w:tc>
        <w:tc>
          <w:tcPr>
            <w:tcW w:w="850" w:type="dxa"/>
          </w:tcPr>
          <w:p w14:paraId="6BCE0361" w14:textId="77777777" w:rsidR="00C03AAD" w:rsidRDefault="00C03AAD" w:rsidP="00036815">
            <w:pPr>
              <w:pStyle w:val="tvhtml"/>
              <w:spacing w:line="293" w:lineRule="atLeast"/>
              <w:jc w:val="center"/>
              <w:rPr>
                <w:lang w:val="lv-LV"/>
              </w:rPr>
            </w:pPr>
            <w:r>
              <w:rPr>
                <w:lang w:val="lv-LV"/>
              </w:rPr>
              <w:t>+</w:t>
            </w:r>
          </w:p>
        </w:tc>
        <w:tc>
          <w:tcPr>
            <w:tcW w:w="993" w:type="dxa"/>
          </w:tcPr>
          <w:p w14:paraId="596483AB" w14:textId="77777777" w:rsidR="00C03AAD" w:rsidRDefault="00C03AAD" w:rsidP="00036815">
            <w:pPr>
              <w:pStyle w:val="tvhtml"/>
              <w:spacing w:line="293" w:lineRule="atLeast"/>
              <w:jc w:val="center"/>
              <w:rPr>
                <w:lang w:val="lv-LV"/>
              </w:rPr>
            </w:pPr>
          </w:p>
        </w:tc>
        <w:tc>
          <w:tcPr>
            <w:tcW w:w="992" w:type="dxa"/>
          </w:tcPr>
          <w:p w14:paraId="001C1277" w14:textId="77777777" w:rsidR="00C03AAD" w:rsidRDefault="00C03AAD" w:rsidP="00036815">
            <w:pPr>
              <w:pStyle w:val="tvhtml"/>
              <w:spacing w:line="293" w:lineRule="atLeast"/>
              <w:jc w:val="center"/>
              <w:rPr>
                <w:lang w:val="lv-LV"/>
              </w:rPr>
            </w:pPr>
            <w:r>
              <w:rPr>
                <w:lang w:val="lv-LV"/>
              </w:rPr>
              <w:t>+</w:t>
            </w:r>
          </w:p>
        </w:tc>
        <w:tc>
          <w:tcPr>
            <w:tcW w:w="900" w:type="dxa"/>
          </w:tcPr>
          <w:p w14:paraId="4FFCFC74" w14:textId="77777777" w:rsidR="00C03AAD" w:rsidRDefault="00C03AAD" w:rsidP="00036815">
            <w:pPr>
              <w:pStyle w:val="tvhtml"/>
              <w:spacing w:line="293" w:lineRule="atLeast"/>
              <w:jc w:val="center"/>
              <w:rPr>
                <w:lang w:val="lv-LV"/>
              </w:rPr>
            </w:pPr>
            <w:r>
              <w:rPr>
                <w:lang w:val="lv-LV"/>
              </w:rPr>
              <w:t>+</w:t>
            </w:r>
          </w:p>
        </w:tc>
        <w:tc>
          <w:tcPr>
            <w:tcW w:w="900" w:type="dxa"/>
          </w:tcPr>
          <w:p w14:paraId="376DC1D6" w14:textId="77777777" w:rsidR="00C03AAD" w:rsidRDefault="00C03AAD" w:rsidP="00036815">
            <w:pPr>
              <w:pStyle w:val="tvhtml"/>
              <w:spacing w:line="293" w:lineRule="atLeast"/>
              <w:jc w:val="center"/>
              <w:rPr>
                <w:lang w:val="lv-LV"/>
              </w:rPr>
            </w:pPr>
            <w:r>
              <w:rPr>
                <w:lang w:val="lv-LV"/>
              </w:rPr>
              <w:t>+</w:t>
            </w:r>
          </w:p>
        </w:tc>
        <w:tc>
          <w:tcPr>
            <w:tcW w:w="862" w:type="dxa"/>
          </w:tcPr>
          <w:p w14:paraId="08B212DA" w14:textId="77777777" w:rsidR="00C03AAD" w:rsidRDefault="00C03AAD" w:rsidP="00036815">
            <w:pPr>
              <w:pStyle w:val="tvhtml"/>
              <w:spacing w:line="293" w:lineRule="atLeast"/>
              <w:jc w:val="center"/>
              <w:rPr>
                <w:lang w:val="lv-LV"/>
              </w:rPr>
            </w:pPr>
            <w:r>
              <w:rPr>
                <w:lang w:val="lv-LV"/>
              </w:rPr>
              <w:t>+</w:t>
            </w:r>
          </w:p>
        </w:tc>
        <w:tc>
          <w:tcPr>
            <w:tcW w:w="636" w:type="dxa"/>
          </w:tcPr>
          <w:p w14:paraId="3289DC16" w14:textId="77777777" w:rsidR="00C03AAD" w:rsidRDefault="00C03AAD" w:rsidP="00036815">
            <w:pPr>
              <w:pStyle w:val="tvhtml"/>
              <w:spacing w:line="293" w:lineRule="atLeast"/>
              <w:jc w:val="center"/>
              <w:rPr>
                <w:lang w:val="lv-LV"/>
              </w:rPr>
            </w:pPr>
          </w:p>
        </w:tc>
        <w:tc>
          <w:tcPr>
            <w:tcW w:w="1003" w:type="dxa"/>
          </w:tcPr>
          <w:p w14:paraId="6DCCF5E1" w14:textId="77777777" w:rsidR="00C03AAD" w:rsidRDefault="00C03AAD" w:rsidP="00036815">
            <w:pPr>
              <w:pStyle w:val="tvhtml"/>
              <w:spacing w:line="293" w:lineRule="atLeast"/>
              <w:jc w:val="center"/>
              <w:rPr>
                <w:lang w:val="lv-LV"/>
              </w:rPr>
            </w:pPr>
          </w:p>
        </w:tc>
      </w:tr>
      <w:tr w:rsidR="00C03AAD" w14:paraId="6C1ABE5F" w14:textId="77777777" w:rsidTr="00036815">
        <w:tc>
          <w:tcPr>
            <w:tcW w:w="2410" w:type="dxa"/>
          </w:tcPr>
          <w:p w14:paraId="3C5484F8" w14:textId="77777777" w:rsidR="00C03AAD" w:rsidRDefault="00C03AAD" w:rsidP="00036815">
            <w:pPr>
              <w:pStyle w:val="tvhtml"/>
              <w:spacing w:line="293" w:lineRule="atLeast"/>
              <w:jc w:val="both"/>
              <w:rPr>
                <w:lang w:val="lv-LV"/>
              </w:rPr>
            </w:pPr>
            <w:r>
              <w:rPr>
                <w:lang w:val="lv-LV"/>
              </w:rPr>
              <w:t>Tarifu atbalsts – piemaksa pie tirgus cenas- iesūknēšanai tīklā vai elektrības ražošanai (premium)</w:t>
            </w:r>
          </w:p>
        </w:tc>
        <w:tc>
          <w:tcPr>
            <w:tcW w:w="709" w:type="dxa"/>
          </w:tcPr>
          <w:p w14:paraId="117E0114" w14:textId="77777777" w:rsidR="00C03AAD" w:rsidRDefault="00C03AAD" w:rsidP="00036815">
            <w:pPr>
              <w:pStyle w:val="tvhtml"/>
              <w:spacing w:line="293" w:lineRule="atLeast"/>
              <w:jc w:val="center"/>
              <w:rPr>
                <w:lang w:val="lv-LV"/>
              </w:rPr>
            </w:pPr>
            <w:r>
              <w:rPr>
                <w:lang w:val="lv-LV"/>
              </w:rPr>
              <w:t>+</w:t>
            </w:r>
          </w:p>
        </w:tc>
        <w:tc>
          <w:tcPr>
            <w:tcW w:w="850" w:type="dxa"/>
          </w:tcPr>
          <w:p w14:paraId="29FC0DB8" w14:textId="77777777" w:rsidR="00C03AAD" w:rsidRDefault="00C03AAD" w:rsidP="00036815">
            <w:pPr>
              <w:pStyle w:val="tvhtml"/>
              <w:spacing w:line="293" w:lineRule="atLeast"/>
              <w:jc w:val="center"/>
              <w:rPr>
                <w:lang w:val="lv-LV"/>
              </w:rPr>
            </w:pPr>
          </w:p>
        </w:tc>
        <w:tc>
          <w:tcPr>
            <w:tcW w:w="993" w:type="dxa"/>
          </w:tcPr>
          <w:p w14:paraId="45A72130" w14:textId="77777777" w:rsidR="00C03AAD" w:rsidRDefault="00C03AAD" w:rsidP="00036815">
            <w:pPr>
              <w:pStyle w:val="tvhtml"/>
              <w:spacing w:line="293" w:lineRule="atLeast"/>
              <w:jc w:val="center"/>
              <w:rPr>
                <w:lang w:val="lv-LV"/>
              </w:rPr>
            </w:pPr>
          </w:p>
        </w:tc>
        <w:tc>
          <w:tcPr>
            <w:tcW w:w="992" w:type="dxa"/>
          </w:tcPr>
          <w:p w14:paraId="37B10402" w14:textId="77777777" w:rsidR="00C03AAD" w:rsidRDefault="00C03AAD" w:rsidP="00036815">
            <w:pPr>
              <w:pStyle w:val="tvhtml"/>
              <w:spacing w:line="293" w:lineRule="atLeast"/>
              <w:jc w:val="center"/>
              <w:rPr>
                <w:lang w:val="lv-LV"/>
              </w:rPr>
            </w:pPr>
          </w:p>
        </w:tc>
        <w:tc>
          <w:tcPr>
            <w:tcW w:w="900" w:type="dxa"/>
          </w:tcPr>
          <w:p w14:paraId="1CF384D7" w14:textId="77777777" w:rsidR="00C03AAD" w:rsidRDefault="00C03AAD" w:rsidP="00036815">
            <w:pPr>
              <w:pStyle w:val="tvhtml"/>
              <w:spacing w:line="293" w:lineRule="atLeast"/>
              <w:jc w:val="center"/>
              <w:rPr>
                <w:lang w:val="lv-LV"/>
              </w:rPr>
            </w:pPr>
            <w:r>
              <w:rPr>
                <w:lang w:val="lv-LV"/>
              </w:rPr>
              <w:t>+</w:t>
            </w:r>
          </w:p>
        </w:tc>
        <w:tc>
          <w:tcPr>
            <w:tcW w:w="900" w:type="dxa"/>
          </w:tcPr>
          <w:p w14:paraId="453BE3DA" w14:textId="77777777" w:rsidR="00C03AAD" w:rsidRDefault="00C03AAD" w:rsidP="00036815">
            <w:pPr>
              <w:pStyle w:val="tvhtml"/>
              <w:spacing w:line="293" w:lineRule="atLeast"/>
              <w:jc w:val="center"/>
              <w:rPr>
                <w:lang w:val="lv-LV"/>
              </w:rPr>
            </w:pPr>
            <w:r>
              <w:rPr>
                <w:lang w:val="lv-LV"/>
              </w:rPr>
              <w:t>+</w:t>
            </w:r>
          </w:p>
        </w:tc>
        <w:tc>
          <w:tcPr>
            <w:tcW w:w="862" w:type="dxa"/>
          </w:tcPr>
          <w:p w14:paraId="25A1016E" w14:textId="77777777" w:rsidR="00C03AAD" w:rsidRDefault="00C03AAD" w:rsidP="00036815">
            <w:pPr>
              <w:pStyle w:val="tvhtml"/>
              <w:spacing w:line="293" w:lineRule="atLeast"/>
              <w:jc w:val="center"/>
              <w:rPr>
                <w:lang w:val="lv-LV"/>
              </w:rPr>
            </w:pPr>
            <w:r>
              <w:rPr>
                <w:lang w:val="lv-LV"/>
              </w:rPr>
              <w:t>+</w:t>
            </w:r>
          </w:p>
        </w:tc>
        <w:tc>
          <w:tcPr>
            <w:tcW w:w="636" w:type="dxa"/>
          </w:tcPr>
          <w:p w14:paraId="2CC0ADA2" w14:textId="77777777" w:rsidR="00C03AAD" w:rsidRDefault="00C03AAD" w:rsidP="00036815">
            <w:pPr>
              <w:pStyle w:val="tvhtml"/>
              <w:spacing w:line="293" w:lineRule="atLeast"/>
              <w:jc w:val="center"/>
              <w:rPr>
                <w:lang w:val="lv-LV"/>
              </w:rPr>
            </w:pPr>
          </w:p>
        </w:tc>
        <w:tc>
          <w:tcPr>
            <w:tcW w:w="1003" w:type="dxa"/>
          </w:tcPr>
          <w:p w14:paraId="76D1DD11" w14:textId="77777777" w:rsidR="00C03AAD" w:rsidRDefault="00C03AAD" w:rsidP="00036815">
            <w:pPr>
              <w:pStyle w:val="tvhtml"/>
              <w:spacing w:line="293" w:lineRule="atLeast"/>
              <w:jc w:val="center"/>
              <w:rPr>
                <w:lang w:val="lv-LV"/>
              </w:rPr>
            </w:pPr>
            <w:r>
              <w:rPr>
                <w:lang w:val="lv-LV"/>
              </w:rPr>
              <w:t>+</w:t>
            </w:r>
          </w:p>
        </w:tc>
      </w:tr>
      <w:tr w:rsidR="00C03AAD" w14:paraId="19200B68" w14:textId="77777777" w:rsidTr="00036815">
        <w:tc>
          <w:tcPr>
            <w:tcW w:w="2410" w:type="dxa"/>
          </w:tcPr>
          <w:p w14:paraId="5906439D" w14:textId="77777777" w:rsidR="00C03AAD" w:rsidRDefault="00C03AAD" w:rsidP="00036815">
            <w:pPr>
              <w:pStyle w:val="tvhtml"/>
              <w:spacing w:line="293" w:lineRule="atLeast"/>
              <w:jc w:val="both"/>
              <w:rPr>
                <w:lang w:val="lv-LV"/>
              </w:rPr>
            </w:pPr>
            <w:r>
              <w:rPr>
                <w:lang w:val="lv-LV"/>
              </w:rPr>
              <w:t>Papildus atbalsts mazām iekārtām</w:t>
            </w:r>
          </w:p>
        </w:tc>
        <w:tc>
          <w:tcPr>
            <w:tcW w:w="709" w:type="dxa"/>
          </w:tcPr>
          <w:p w14:paraId="605CB6AC" w14:textId="77777777" w:rsidR="00C03AAD" w:rsidRDefault="00C03AAD" w:rsidP="00036815">
            <w:pPr>
              <w:pStyle w:val="tvhtml"/>
              <w:spacing w:line="293" w:lineRule="atLeast"/>
              <w:jc w:val="center"/>
              <w:rPr>
                <w:lang w:val="lv-LV"/>
              </w:rPr>
            </w:pPr>
            <w:r>
              <w:rPr>
                <w:lang w:val="lv-LV"/>
              </w:rPr>
              <w:t>+</w:t>
            </w:r>
          </w:p>
        </w:tc>
        <w:tc>
          <w:tcPr>
            <w:tcW w:w="850" w:type="dxa"/>
          </w:tcPr>
          <w:p w14:paraId="5FD8E01D" w14:textId="77777777" w:rsidR="00C03AAD" w:rsidRDefault="00C03AAD" w:rsidP="00036815">
            <w:pPr>
              <w:pStyle w:val="tvhtml"/>
              <w:spacing w:line="293" w:lineRule="atLeast"/>
              <w:jc w:val="center"/>
              <w:rPr>
                <w:lang w:val="lv-LV"/>
              </w:rPr>
            </w:pPr>
          </w:p>
        </w:tc>
        <w:tc>
          <w:tcPr>
            <w:tcW w:w="993" w:type="dxa"/>
          </w:tcPr>
          <w:p w14:paraId="1E1AAD80" w14:textId="77777777" w:rsidR="00C03AAD" w:rsidRDefault="00C03AAD" w:rsidP="00036815">
            <w:pPr>
              <w:pStyle w:val="tvhtml"/>
              <w:spacing w:line="293" w:lineRule="atLeast"/>
              <w:jc w:val="center"/>
              <w:rPr>
                <w:lang w:val="lv-LV"/>
              </w:rPr>
            </w:pPr>
          </w:p>
        </w:tc>
        <w:tc>
          <w:tcPr>
            <w:tcW w:w="992" w:type="dxa"/>
          </w:tcPr>
          <w:p w14:paraId="007ECFBC" w14:textId="77777777" w:rsidR="00C03AAD" w:rsidRDefault="00C03AAD" w:rsidP="00036815">
            <w:pPr>
              <w:pStyle w:val="tvhtml"/>
              <w:spacing w:line="293" w:lineRule="atLeast"/>
              <w:jc w:val="center"/>
              <w:rPr>
                <w:lang w:val="lv-LV"/>
              </w:rPr>
            </w:pPr>
          </w:p>
        </w:tc>
        <w:tc>
          <w:tcPr>
            <w:tcW w:w="900" w:type="dxa"/>
          </w:tcPr>
          <w:p w14:paraId="1BF416AC" w14:textId="77777777" w:rsidR="00C03AAD" w:rsidRDefault="00C03AAD" w:rsidP="00036815">
            <w:pPr>
              <w:pStyle w:val="tvhtml"/>
              <w:spacing w:line="293" w:lineRule="atLeast"/>
              <w:jc w:val="center"/>
              <w:rPr>
                <w:lang w:val="lv-LV"/>
              </w:rPr>
            </w:pPr>
            <w:r>
              <w:rPr>
                <w:lang w:val="lv-LV"/>
              </w:rPr>
              <w:t>+</w:t>
            </w:r>
          </w:p>
        </w:tc>
        <w:tc>
          <w:tcPr>
            <w:tcW w:w="900" w:type="dxa"/>
          </w:tcPr>
          <w:p w14:paraId="7E1680E0" w14:textId="77777777" w:rsidR="00C03AAD" w:rsidRDefault="00C03AAD" w:rsidP="00036815">
            <w:pPr>
              <w:pStyle w:val="tvhtml"/>
              <w:spacing w:line="293" w:lineRule="atLeast"/>
              <w:jc w:val="center"/>
              <w:rPr>
                <w:lang w:val="lv-LV"/>
              </w:rPr>
            </w:pPr>
            <w:r>
              <w:rPr>
                <w:lang w:val="lv-LV"/>
              </w:rPr>
              <w:t>+</w:t>
            </w:r>
          </w:p>
        </w:tc>
        <w:tc>
          <w:tcPr>
            <w:tcW w:w="862" w:type="dxa"/>
          </w:tcPr>
          <w:p w14:paraId="405B0627" w14:textId="77777777" w:rsidR="00C03AAD" w:rsidRDefault="00C03AAD" w:rsidP="00036815">
            <w:pPr>
              <w:pStyle w:val="tvhtml"/>
              <w:spacing w:line="293" w:lineRule="atLeast"/>
              <w:jc w:val="center"/>
              <w:rPr>
                <w:lang w:val="lv-LV"/>
              </w:rPr>
            </w:pPr>
          </w:p>
        </w:tc>
        <w:tc>
          <w:tcPr>
            <w:tcW w:w="636" w:type="dxa"/>
          </w:tcPr>
          <w:p w14:paraId="7F07D045" w14:textId="77777777" w:rsidR="00C03AAD" w:rsidRDefault="00C03AAD" w:rsidP="00036815">
            <w:pPr>
              <w:pStyle w:val="tvhtml"/>
              <w:spacing w:line="293" w:lineRule="atLeast"/>
              <w:jc w:val="center"/>
              <w:rPr>
                <w:lang w:val="lv-LV"/>
              </w:rPr>
            </w:pPr>
          </w:p>
        </w:tc>
        <w:tc>
          <w:tcPr>
            <w:tcW w:w="1003" w:type="dxa"/>
          </w:tcPr>
          <w:p w14:paraId="69CDD98E" w14:textId="77777777" w:rsidR="00C03AAD" w:rsidRDefault="00C03AAD" w:rsidP="00036815">
            <w:pPr>
              <w:pStyle w:val="tvhtml"/>
              <w:spacing w:line="293" w:lineRule="atLeast"/>
              <w:jc w:val="center"/>
              <w:rPr>
                <w:lang w:val="lv-LV"/>
              </w:rPr>
            </w:pPr>
          </w:p>
        </w:tc>
      </w:tr>
      <w:tr w:rsidR="00C03AAD" w14:paraId="39E0D1A5" w14:textId="77777777" w:rsidTr="00036815">
        <w:tc>
          <w:tcPr>
            <w:tcW w:w="2410" w:type="dxa"/>
          </w:tcPr>
          <w:p w14:paraId="7D62610E" w14:textId="77777777" w:rsidR="00C03AAD" w:rsidRDefault="00C03AAD" w:rsidP="00036815">
            <w:pPr>
              <w:pStyle w:val="tvhtml"/>
              <w:spacing w:line="293" w:lineRule="atLeast"/>
              <w:jc w:val="both"/>
              <w:rPr>
                <w:lang w:val="lv-LV"/>
              </w:rPr>
            </w:pPr>
            <w:r>
              <w:rPr>
                <w:lang w:val="lv-LV"/>
              </w:rPr>
              <w:t>Papildus atbalsts ieguvei no kūtsmēsliem vai atkritumiem</w:t>
            </w:r>
          </w:p>
        </w:tc>
        <w:tc>
          <w:tcPr>
            <w:tcW w:w="709" w:type="dxa"/>
          </w:tcPr>
          <w:p w14:paraId="423252D7" w14:textId="77777777" w:rsidR="00C03AAD" w:rsidRDefault="00C03AAD" w:rsidP="00036815">
            <w:pPr>
              <w:pStyle w:val="tvhtml"/>
              <w:spacing w:line="293" w:lineRule="atLeast"/>
              <w:jc w:val="center"/>
              <w:rPr>
                <w:lang w:val="lv-LV"/>
              </w:rPr>
            </w:pPr>
            <w:r>
              <w:rPr>
                <w:lang w:val="lv-LV"/>
              </w:rPr>
              <w:t>+</w:t>
            </w:r>
          </w:p>
        </w:tc>
        <w:tc>
          <w:tcPr>
            <w:tcW w:w="850" w:type="dxa"/>
          </w:tcPr>
          <w:p w14:paraId="1FA0EC95" w14:textId="77777777" w:rsidR="00C03AAD" w:rsidRDefault="00C03AAD" w:rsidP="00036815">
            <w:pPr>
              <w:pStyle w:val="tvhtml"/>
              <w:spacing w:line="293" w:lineRule="atLeast"/>
              <w:jc w:val="center"/>
              <w:rPr>
                <w:lang w:val="lv-LV"/>
              </w:rPr>
            </w:pPr>
          </w:p>
        </w:tc>
        <w:tc>
          <w:tcPr>
            <w:tcW w:w="993" w:type="dxa"/>
          </w:tcPr>
          <w:p w14:paraId="7BA0C7DF" w14:textId="77777777" w:rsidR="00C03AAD" w:rsidRDefault="00C03AAD" w:rsidP="00036815">
            <w:pPr>
              <w:pStyle w:val="tvhtml"/>
              <w:spacing w:line="293" w:lineRule="atLeast"/>
              <w:jc w:val="center"/>
              <w:rPr>
                <w:lang w:val="lv-LV"/>
              </w:rPr>
            </w:pPr>
            <w:r>
              <w:rPr>
                <w:lang w:val="lv-LV"/>
              </w:rPr>
              <w:t>+</w:t>
            </w:r>
          </w:p>
        </w:tc>
        <w:tc>
          <w:tcPr>
            <w:tcW w:w="992" w:type="dxa"/>
          </w:tcPr>
          <w:p w14:paraId="6220BB9B" w14:textId="77777777" w:rsidR="00C03AAD" w:rsidRDefault="00C03AAD" w:rsidP="00036815">
            <w:pPr>
              <w:pStyle w:val="tvhtml"/>
              <w:spacing w:line="293" w:lineRule="atLeast"/>
              <w:jc w:val="center"/>
              <w:rPr>
                <w:lang w:val="lv-LV"/>
              </w:rPr>
            </w:pPr>
            <w:r>
              <w:rPr>
                <w:lang w:val="lv-LV"/>
              </w:rPr>
              <w:t>+</w:t>
            </w:r>
          </w:p>
        </w:tc>
        <w:tc>
          <w:tcPr>
            <w:tcW w:w="900" w:type="dxa"/>
          </w:tcPr>
          <w:p w14:paraId="1CCA246B" w14:textId="77777777" w:rsidR="00C03AAD" w:rsidRDefault="00C03AAD" w:rsidP="00036815">
            <w:pPr>
              <w:pStyle w:val="tvhtml"/>
              <w:spacing w:line="293" w:lineRule="atLeast"/>
              <w:jc w:val="center"/>
              <w:rPr>
                <w:lang w:val="lv-LV"/>
              </w:rPr>
            </w:pPr>
            <w:r>
              <w:rPr>
                <w:lang w:val="lv-LV"/>
              </w:rPr>
              <w:t>+</w:t>
            </w:r>
          </w:p>
        </w:tc>
        <w:tc>
          <w:tcPr>
            <w:tcW w:w="900" w:type="dxa"/>
          </w:tcPr>
          <w:p w14:paraId="11E3E10F" w14:textId="77777777" w:rsidR="00C03AAD" w:rsidRDefault="00C03AAD" w:rsidP="00036815">
            <w:pPr>
              <w:pStyle w:val="tvhtml"/>
              <w:spacing w:line="293" w:lineRule="atLeast"/>
              <w:jc w:val="center"/>
              <w:rPr>
                <w:lang w:val="lv-LV"/>
              </w:rPr>
            </w:pPr>
            <w:r>
              <w:rPr>
                <w:lang w:val="lv-LV"/>
              </w:rPr>
              <w:t>+</w:t>
            </w:r>
          </w:p>
        </w:tc>
        <w:tc>
          <w:tcPr>
            <w:tcW w:w="862" w:type="dxa"/>
          </w:tcPr>
          <w:p w14:paraId="6E3DBB29" w14:textId="77777777" w:rsidR="00C03AAD" w:rsidRDefault="00C03AAD" w:rsidP="00036815">
            <w:pPr>
              <w:pStyle w:val="tvhtml"/>
              <w:spacing w:line="293" w:lineRule="atLeast"/>
              <w:jc w:val="center"/>
              <w:rPr>
                <w:lang w:val="lv-LV"/>
              </w:rPr>
            </w:pPr>
          </w:p>
        </w:tc>
        <w:tc>
          <w:tcPr>
            <w:tcW w:w="636" w:type="dxa"/>
          </w:tcPr>
          <w:p w14:paraId="5142155F" w14:textId="77777777" w:rsidR="00C03AAD" w:rsidRDefault="00C03AAD" w:rsidP="00036815">
            <w:pPr>
              <w:pStyle w:val="tvhtml"/>
              <w:spacing w:line="293" w:lineRule="atLeast"/>
              <w:jc w:val="center"/>
              <w:rPr>
                <w:lang w:val="lv-LV"/>
              </w:rPr>
            </w:pPr>
          </w:p>
        </w:tc>
        <w:tc>
          <w:tcPr>
            <w:tcW w:w="1003" w:type="dxa"/>
          </w:tcPr>
          <w:p w14:paraId="6F3AB28E" w14:textId="77777777" w:rsidR="00C03AAD" w:rsidRDefault="00C03AAD" w:rsidP="00036815">
            <w:pPr>
              <w:pStyle w:val="tvhtml"/>
              <w:spacing w:line="293" w:lineRule="atLeast"/>
              <w:jc w:val="center"/>
              <w:rPr>
                <w:lang w:val="lv-LV"/>
              </w:rPr>
            </w:pPr>
          </w:p>
        </w:tc>
      </w:tr>
      <w:tr w:rsidR="00C03AAD" w14:paraId="1E5B98B6" w14:textId="77777777" w:rsidTr="00036815">
        <w:tc>
          <w:tcPr>
            <w:tcW w:w="2410" w:type="dxa"/>
          </w:tcPr>
          <w:p w14:paraId="00D77BB1" w14:textId="77777777" w:rsidR="00C03AAD" w:rsidRPr="00B53A97" w:rsidRDefault="00C03AAD" w:rsidP="00036815">
            <w:pPr>
              <w:pStyle w:val="tvhtml"/>
              <w:spacing w:line="293" w:lineRule="atLeast"/>
              <w:jc w:val="both"/>
              <w:rPr>
                <w:i/>
                <w:iCs/>
                <w:lang w:val="lv-LV"/>
              </w:rPr>
            </w:pPr>
            <w:r>
              <w:rPr>
                <w:i/>
                <w:iCs/>
                <w:lang w:val="lv-LV"/>
              </w:rPr>
              <w:t>Atbalsts patēriņam</w:t>
            </w:r>
          </w:p>
        </w:tc>
        <w:tc>
          <w:tcPr>
            <w:tcW w:w="709" w:type="dxa"/>
          </w:tcPr>
          <w:p w14:paraId="65B0D31F" w14:textId="77777777" w:rsidR="00C03AAD" w:rsidRDefault="00C03AAD" w:rsidP="00036815">
            <w:pPr>
              <w:pStyle w:val="tvhtml"/>
              <w:spacing w:line="293" w:lineRule="atLeast"/>
              <w:jc w:val="center"/>
              <w:rPr>
                <w:lang w:val="lv-LV"/>
              </w:rPr>
            </w:pPr>
          </w:p>
        </w:tc>
        <w:tc>
          <w:tcPr>
            <w:tcW w:w="850" w:type="dxa"/>
          </w:tcPr>
          <w:p w14:paraId="4BA03157" w14:textId="77777777" w:rsidR="00C03AAD" w:rsidRDefault="00C03AAD" w:rsidP="00036815">
            <w:pPr>
              <w:pStyle w:val="tvhtml"/>
              <w:spacing w:line="293" w:lineRule="atLeast"/>
              <w:jc w:val="center"/>
              <w:rPr>
                <w:lang w:val="lv-LV"/>
              </w:rPr>
            </w:pPr>
          </w:p>
        </w:tc>
        <w:tc>
          <w:tcPr>
            <w:tcW w:w="993" w:type="dxa"/>
          </w:tcPr>
          <w:p w14:paraId="5B91BD2E" w14:textId="77777777" w:rsidR="00C03AAD" w:rsidRDefault="00C03AAD" w:rsidP="00036815">
            <w:pPr>
              <w:pStyle w:val="tvhtml"/>
              <w:spacing w:line="293" w:lineRule="atLeast"/>
              <w:jc w:val="center"/>
              <w:rPr>
                <w:lang w:val="lv-LV"/>
              </w:rPr>
            </w:pPr>
          </w:p>
        </w:tc>
        <w:tc>
          <w:tcPr>
            <w:tcW w:w="992" w:type="dxa"/>
          </w:tcPr>
          <w:p w14:paraId="0113811B" w14:textId="77777777" w:rsidR="00C03AAD" w:rsidRDefault="00C03AAD" w:rsidP="00036815">
            <w:pPr>
              <w:pStyle w:val="tvhtml"/>
              <w:spacing w:line="293" w:lineRule="atLeast"/>
              <w:jc w:val="center"/>
              <w:rPr>
                <w:lang w:val="lv-LV"/>
              </w:rPr>
            </w:pPr>
          </w:p>
        </w:tc>
        <w:tc>
          <w:tcPr>
            <w:tcW w:w="900" w:type="dxa"/>
          </w:tcPr>
          <w:p w14:paraId="644C91CB" w14:textId="77777777" w:rsidR="00C03AAD" w:rsidRDefault="00C03AAD" w:rsidP="00036815">
            <w:pPr>
              <w:pStyle w:val="tvhtml"/>
              <w:spacing w:line="293" w:lineRule="atLeast"/>
              <w:jc w:val="center"/>
              <w:rPr>
                <w:lang w:val="lv-LV"/>
              </w:rPr>
            </w:pPr>
          </w:p>
        </w:tc>
        <w:tc>
          <w:tcPr>
            <w:tcW w:w="900" w:type="dxa"/>
          </w:tcPr>
          <w:p w14:paraId="6882004C" w14:textId="77777777" w:rsidR="00C03AAD" w:rsidRDefault="00C03AAD" w:rsidP="00036815">
            <w:pPr>
              <w:pStyle w:val="tvhtml"/>
              <w:spacing w:line="293" w:lineRule="atLeast"/>
              <w:jc w:val="center"/>
              <w:rPr>
                <w:lang w:val="lv-LV"/>
              </w:rPr>
            </w:pPr>
          </w:p>
        </w:tc>
        <w:tc>
          <w:tcPr>
            <w:tcW w:w="862" w:type="dxa"/>
          </w:tcPr>
          <w:p w14:paraId="5E5249F6" w14:textId="77777777" w:rsidR="00C03AAD" w:rsidRDefault="00C03AAD" w:rsidP="00036815">
            <w:pPr>
              <w:pStyle w:val="tvhtml"/>
              <w:spacing w:line="293" w:lineRule="atLeast"/>
              <w:jc w:val="center"/>
              <w:rPr>
                <w:lang w:val="lv-LV"/>
              </w:rPr>
            </w:pPr>
          </w:p>
        </w:tc>
        <w:tc>
          <w:tcPr>
            <w:tcW w:w="636" w:type="dxa"/>
          </w:tcPr>
          <w:p w14:paraId="15EC40DB" w14:textId="77777777" w:rsidR="00C03AAD" w:rsidRDefault="00C03AAD" w:rsidP="00036815">
            <w:pPr>
              <w:pStyle w:val="tvhtml"/>
              <w:spacing w:line="293" w:lineRule="atLeast"/>
              <w:jc w:val="center"/>
              <w:rPr>
                <w:lang w:val="lv-LV"/>
              </w:rPr>
            </w:pPr>
          </w:p>
        </w:tc>
        <w:tc>
          <w:tcPr>
            <w:tcW w:w="1003" w:type="dxa"/>
          </w:tcPr>
          <w:p w14:paraId="2380C6E9" w14:textId="77777777" w:rsidR="00C03AAD" w:rsidRDefault="00C03AAD" w:rsidP="00036815">
            <w:pPr>
              <w:pStyle w:val="tvhtml"/>
              <w:spacing w:line="293" w:lineRule="atLeast"/>
              <w:jc w:val="center"/>
              <w:rPr>
                <w:lang w:val="lv-LV"/>
              </w:rPr>
            </w:pPr>
          </w:p>
        </w:tc>
      </w:tr>
      <w:tr w:rsidR="00C03AAD" w14:paraId="2E4FCE22" w14:textId="77777777" w:rsidTr="00036815">
        <w:tc>
          <w:tcPr>
            <w:tcW w:w="2410" w:type="dxa"/>
          </w:tcPr>
          <w:p w14:paraId="3AFE3D35" w14:textId="77777777" w:rsidR="00C03AAD" w:rsidRDefault="00C03AAD" w:rsidP="00036815">
            <w:pPr>
              <w:pStyle w:val="tvhtml"/>
              <w:spacing w:line="293" w:lineRule="atLeast"/>
              <w:jc w:val="both"/>
              <w:rPr>
                <w:lang w:val="lv-LV"/>
              </w:rPr>
            </w:pPr>
            <w:r>
              <w:rPr>
                <w:lang w:val="lv-LV"/>
              </w:rPr>
              <w:t>Kvotas enerģētikas vai transporta jomām</w:t>
            </w:r>
          </w:p>
        </w:tc>
        <w:tc>
          <w:tcPr>
            <w:tcW w:w="709" w:type="dxa"/>
          </w:tcPr>
          <w:p w14:paraId="467EF1D8" w14:textId="77777777" w:rsidR="00C03AAD" w:rsidRDefault="00C03AAD" w:rsidP="00036815">
            <w:pPr>
              <w:pStyle w:val="tvhtml"/>
              <w:spacing w:line="293" w:lineRule="atLeast"/>
              <w:jc w:val="center"/>
              <w:rPr>
                <w:lang w:val="lv-LV"/>
              </w:rPr>
            </w:pPr>
            <w:r>
              <w:rPr>
                <w:lang w:val="lv-LV"/>
              </w:rPr>
              <w:t>+</w:t>
            </w:r>
          </w:p>
        </w:tc>
        <w:tc>
          <w:tcPr>
            <w:tcW w:w="850" w:type="dxa"/>
          </w:tcPr>
          <w:p w14:paraId="0F10D246" w14:textId="77777777" w:rsidR="00C03AAD" w:rsidRDefault="00C03AAD" w:rsidP="00036815">
            <w:pPr>
              <w:pStyle w:val="tvhtml"/>
              <w:spacing w:line="293" w:lineRule="atLeast"/>
              <w:jc w:val="center"/>
              <w:rPr>
                <w:lang w:val="lv-LV"/>
              </w:rPr>
            </w:pPr>
            <w:r>
              <w:rPr>
                <w:lang w:val="lv-LV"/>
              </w:rPr>
              <w:t>+</w:t>
            </w:r>
          </w:p>
        </w:tc>
        <w:tc>
          <w:tcPr>
            <w:tcW w:w="993" w:type="dxa"/>
          </w:tcPr>
          <w:p w14:paraId="135F8300" w14:textId="77777777" w:rsidR="00C03AAD" w:rsidRDefault="00C03AAD" w:rsidP="00036815">
            <w:pPr>
              <w:pStyle w:val="tvhtml"/>
              <w:spacing w:line="293" w:lineRule="atLeast"/>
              <w:jc w:val="center"/>
              <w:rPr>
                <w:lang w:val="lv-LV"/>
              </w:rPr>
            </w:pPr>
            <w:r>
              <w:rPr>
                <w:lang w:val="lv-LV"/>
              </w:rPr>
              <w:t>+</w:t>
            </w:r>
          </w:p>
        </w:tc>
        <w:tc>
          <w:tcPr>
            <w:tcW w:w="992" w:type="dxa"/>
          </w:tcPr>
          <w:p w14:paraId="523159FC" w14:textId="77777777" w:rsidR="00C03AAD" w:rsidRDefault="00C03AAD" w:rsidP="00036815">
            <w:pPr>
              <w:pStyle w:val="tvhtml"/>
              <w:spacing w:line="293" w:lineRule="atLeast"/>
              <w:jc w:val="center"/>
              <w:rPr>
                <w:lang w:val="lv-LV"/>
              </w:rPr>
            </w:pPr>
          </w:p>
        </w:tc>
        <w:tc>
          <w:tcPr>
            <w:tcW w:w="900" w:type="dxa"/>
          </w:tcPr>
          <w:p w14:paraId="4A560139" w14:textId="77777777" w:rsidR="00C03AAD" w:rsidRDefault="00C03AAD" w:rsidP="00036815">
            <w:pPr>
              <w:pStyle w:val="tvhtml"/>
              <w:spacing w:line="293" w:lineRule="atLeast"/>
              <w:jc w:val="center"/>
              <w:rPr>
                <w:lang w:val="lv-LV"/>
              </w:rPr>
            </w:pPr>
            <w:r>
              <w:rPr>
                <w:lang w:val="lv-LV"/>
              </w:rPr>
              <w:t>+</w:t>
            </w:r>
          </w:p>
        </w:tc>
        <w:tc>
          <w:tcPr>
            <w:tcW w:w="900" w:type="dxa"/>
          </w:tcPr>
          <w:p w14:paraId="6079B807" w14:textId="77777777" w:rsidR="00C03AAD" w:rsidRDefault="00C03AAD" w:rsidP="00036815">
            <w:pPr>
              <w:pStyle w:val="tvhtml"/>
              <w:spacing w:line="293" w:lineRule="atLeast"/>
              <w:jc w:val="center"/>
              <w:rPr>
                <w:lang w:val="lv-LV"/>
              </w:rPr>
            </w:pPr>
            <w:r>
              <w:rPr>
                <w:lang w:val="lv-LV"/>
              </w:rPr>
              <w:t>+</w:t>
            </w:r>
          </w:p>
        </w:tc>
        <w:tc>
          <w:tcPr>
            <w:tcW w:w="862" w:type="dxa"/>
          </w:tcPr>
          <w:p w14:paraId="3895D9F5" w14:textId="77777777" w:rsidR="00C03AAD" w:rsidRDefault="00C03AAD" w:rsidP="00036815">
            <w:pPr>
              <w:pStyle w:val="tvhtml"/>
              <w:spacing w:line="293" w:lineRule="atLeast"/>
              <w:jc w:val="center"/>
              <w:rPr>
                <w:lang w:val="lv-LV"/>
              </w:rPr>
            </w:pPr>
            <w:r>
              <w:rPr>
                <w:lang w:val="lv-LV"/>
              </w:rPr>
              <w:t>+</w:t>
            </w:r>
          </w:p>
        </w:tc>
        <w:tc>
          <w:tcPr>
            <w:tcW w:w="636" w:type="dxa"/>
          </w:tcPr>
          <w:p w14:paraId="67D757AE" w14:textId="77777777" w:rsidR="00C03AAD" w:rsidRDefault="00C03AAD" w:rsidP="00036815">
            <w:pPr>
              <w:pStyle w:val="tvhtml"/>
              <w:spacing w:line="293" w:lineRule="atLeast"/>
              <w:jc w:val="center"/>
              <w:rPr>
                <w:lang w:val="lv-LV"/>
              </w:rPr>
            </w:pPr>
            <w:r>
              <w:rPr>
                <w:lang w:val="lv-LV"/>
              </w:rPr>
              <w:t>+</w:t>
            </w:r>
          </w:p>
        </w:tc>
        <w:tc>
          <w:tcPr>
            <w:tcW w:w="1003" w:type="dxa"/>
          </w:tcPr>
          <w:p w14:paraId="4B4B9995" w14:textId="77777777" w:rsidR="00C03AAD" w:rsidRDefault="00C03AAD" w:rsidP="00036815">
            <w:pPr>
              <w:pStyle w:val="tvhtml"/>
              <w:spacing w:line="293" w:lineRule="atLeast"/>
              <w:jc w:val="center"/>
              <w:rPr>
                <w:lang w:val="lv-LV"/>
              </w:rPr>
            </w:pPr>
          </w:p>
        </w:tc>
      </w:tr>
      <w:tr w:rsidR="00C03AAD" w14:paraId="5CB797BE" w14:textId="77777777" w:rsidTr="00036815">
        <w:tc>
          <w:tcPr>
            <w:tcW w:w="2410" w:type="dxa"/>
          </w:tcPr>
          <w:p w14:paraId="46A3C27F" w14:textId="77777777" w:rsidR="00C03AAD" w:rsidRDefault="00C03AAD" w:rsidP="00036815">
            <w:pPr>
              <w:pStyle w:val="tvhtml"/>
              <w:spacing w:line="293" w:lineRule="atLeast"/>
              <w:jc w:val="both"/>
              <w:rPr>
                <w:lang w:val="lv-LV"/>
              </w:rPr>
            </w:pPr>
            <w:r>
              <w:rPr>
                <w:lang w:val="lv-LV"/>
              </w:rPr>
              <w:t>Subsīdijas patērētājiem siltuma vai transporta sektorā</w:t>
            </w:r>
          </w:p>
        </w:tc>
        <w:tc>
          <w:tcPr>
            <w:tcW w:w="709" w:type="dxa"/>
          </w:tcPr>
          <w:p w14:paraId="13695B4E" w14:textId="77777777" w:rsidR="00C03AAD" w:rsidRDefault="00C03AAD" w:rsidP="00036815">
            <w:pPr>
              <w:pStyle w:val="tvhtml"/>
              <w:spacing w:line="293" w:lineRule="atLeast"/>
              <w:jc w:val="center"/>
              <w:rPr>
                <w:lang w:val="lv-LV"/>
              </w:rPr>
            </w:pPr>
          </w:p>
        </w:tc>
        <w:tc>
          <w:tcPr>
            <w:tcW w:w="850" w:type="dxa"/>
          </w:tcPr>
          <w:p w14:paraId="4BE078A8" w14:textId="77777777" w:rsidR="00C03AAD" w:rsidRDefault="00C03AAD" w:rsidP="00036815">
            <w:pPr>
              <w:pStyle w:val="tvhtml"/>
              <w:spacing w:line="293" w:lineRule="atLeast"/>
              <w:jc w:val="center"/>
              <w:rPr>
                <w:lang w:val="lv-LV"/>
              </w:rPr>
            </w:pPr>
            <w:r>
              <w:rPr>
                <w:lang w:val="lv-LV"/>
              </w:rPr>
              <w:t>+</w:t>
            </w:r>
          </w:p>
        </w:tc>
        <w:tc>
          <w:tcPr>
            <w:tcW w:w="993" w:type="dxa"/>
          </w:tcPr>
          <w:p w14:paraId="7D819D25" w14:textId="77777777" w:rsidR="00C03AAD" w:rsidRDefault="00C03AAD" w:rsidP="00036815">
            <w:pPr>
              <w:pStyle w:val="tvhtml"/>
              <w:spacing w:line="293" w:lineRule="atLeast"/>
              <w:jc w:val="center"/>
              <w:rPr>
                <w:lang w:val="lv-LV"/>
              </w:rPr>
            </w:pPr>
            <w:r>
              <w:rPr>
                <w:lang w:val="lv-LV"/>
              </w:rPr>
              <w:t>+</w:t>
            </w:r>
          </w:p>
        </w:tc>
        <w:tc>
          <w:tcPr>
            <w:tcW w:w="992" w:type="dxa"/>
          </w:tcPr>
          <w:p w14:paraId="707685A8" w14:textId="77777777" w:rsidR="00C03AAD" w:rsidRDefault="00C03AAD" w:rsidP="00036815">
            <w:pPr>
              <w:pStyle w:val="tvhtml"/>
              <w:spacing w:line="293" w:lineRule="atLeast"/>
              <w:jc w:val="center"/>
              <w:rPr>
                <w:lang w:val="lv-LV"/>
              </w:rPr>
            </w:pPr>
          </w:p>
        </w:tc>
        <w:tc>
          <w:tcPr>
            <w:tcW w:w="900" w:type="dxa"/>
          </w:tcPr>
          <w:p w14:paraId="0DF2698F" w14:textId="77777777" w:rsidR="00C03AAD" w:rsidRDefault="00C03AAD" w:rsidP="00036815">
            <w:pPr>
              <w:pStyle w:val="tvhtml"/>
              <w:spacing w:line="293" w:lineRule="atLeast"/>
              <w:jc w:val="center"/>
              <w:rPr>
                <w:lang w:val="lv-LV"/>
              </w:rPr>
            </w:pPr>
            <w:r>
              <w:rPr>
                <w:lang w:val="lv-LV"/>
              </w:rPr>
              <w:t>+</w:t>
            </w:r>
          </w:p>
        </w:tc>
        <w:tc>
          <w:tcPr>
            <w:tcW w:w="900" w:type="dxa"/>
          </w:tcPr>
          <w:p w14:paraId="27C8393D" w14:textId="77777777" w:rsidR="00C03AAD" w:rsidRDefault="00C03AAD" w:rsidP="00036815">
            <w:pPr>
              <w:pStyle w:val="tvhtml"/>
              <w:spacing w:line="293" w:lineRule="atLeast"/>
              <w:jc w:val="center"/>
              <w:rPr>
                <w:lang w:val="lv-LV"/>
              </w:rPr>
            </w:pPr>
            <w:r>
              <w:rPr>
                <w:lang w:val="lv-LV"/>
              </w:rPr>
              <w:t>+</w:t>
            </w:r>
          </w:p>
        </w:tc>
        <w:tc>
          <w:tcPr>
            <w:tcW w:w="862" w:type="dxa"/>
          </w:tcPr>
          <w:p w14:paraId="4748AC08" w14:textId="77777777" w:rsidR="00C03AAD" w:rsidRDefault="00C03AAD" w:rsidP="00036815">
            <w:pPr>
              <w:pStyle w:val="tvhtml"/>
              <w:spacing w:line="293" w:lineRule="atLeast"/>
              <w:jc w:val="center"/>
              <w:rPr>
                <w:lang w:val="lv-LV"/>
              </w:rPr>
            </w:pPr>
            <w:r>
              <w:rPr>
                <w:lang w:val="lv-LV"/>
              </w:rPr>
              <w:t>+</w:t>
            </w:r>
          </w:p>
        </w:tc>
        <w:tc>
          <w:tcPr>
            <w:tcW w:w="636" w:type="dxa"/>
          </w:tcPr>
          <w:p w14:paraId="49FC84B3" w14:textId="77777777" w:rsidR="00C03AAD" w:rsidRDefault="00C03AAD" w:rsidP="00036815">
            <w:pPr>
              <w:pStyle w:val="tvhtml"/>
              <w:spacing w:line="293" w:lineRule="atLeast"/>
              <w:jc w:val="center"/>
              <w:rPr>
                <w:lang w:val="lv-LV"/>
              </w:rPr>
            </w:pPr>
            <w:r>
              <w:rPr>
                <w:lang w:val="lv-LV"/>
              </w:rPr>
              <w:t>+</w:t>
            </w:r>
          </w:p>
        </w:tc>
        <w:tc>
          <w:tcPr>
            <w:tcW w:w="1003" w:type="dxa"/>
          </w:tcPr>
          <w:p w14:paraId="777BA00A" w14:textId="77777777" w:rsidR="00C03AAD" w:rsidRDefault="00C03AAD" w:rsidP="00036815">
            <w:pPr>
              <w:pStyle w:val="tvhtml"/>
              <w:spacing w:line="293" w:lineRule="atLeast"/>
              <w:jc w:val="center"/>
              <w:rPr>
                <w:lang w:val="lv-LV"/>
              </w:rPr>
            </w:pPr>
            <w:r>
              <w:rPr>
                <w:lang w:val="lv-LV"/>
              </w:rPr>
              <w:t>+</w:t>
            </w:r>
          </w:p>
        </w:tc>
      </w:tr>
      <w:tr w:rsidR="00C03AAD" w14:paraId="61EEA845" w14:textId="77777777" w:rsidTr="00036815">
        <w:tc>
          <w:tcPr>
            <w:tcW w:w="2410" w:type="dxa"/>
          </w:tcPr>
          <w:p w14:paraId="0A453476" w14:textId="77777777" w:rsidR="00C03AAD" w:rsidRDefault="00C03AAD" w:rsidP="00036815">
            <w:pPr>
              <w:pStyle w:val="tvhtml"/>
              <w:spacing w:line="293" w:lineRule="atLeast"/>
              <w:jc w:val="both"/>
              <w:rPr>
                <w:lang w:val="lv-LV"/>
              </w:rPr>
            </w:pPr>
            <w:r>
              <w:rPr>
                <w:lang w:val="lv-LV"/>
              </w:rPr>
              <w:t>Nodokļu atvieglojumi</w:t>
            </w:r>
          </w:p>
        </w:tc>
        <w:tc>
          <w:tcPr>
            <w:tcW w:w="709" w:type="dxa"/>
          </w:tcPr>
          <w:p w14:paraId="1BFA3D94" w14:textId="77777777" w:rsidR="00C03AAD" w:rsidRDefault="00C03AAD" w:rsidP="00036815">
            <w:pPr>
              <w:pStyle w:val="tvhtml"/>
              <w:spacing w:line="293" w:lineRule="atLeast"/>
              <w:jc w:val="center"/>
              <w:rPr>
                <w:lang w:val="lv-LV"/>
              </w:rPr>
            </w:pPr>
            <w:r>
              <w:rPr>
                <w:lang w:val="lv-LV"/>
              </w:rPr>
              <w:t>+</w:t>
            </w:r>
          </w:p>
        </w:tc>
        <w:tc>
          <w:tcPr>
            <w:tcW w:w="850" w:type="dxa"/>
          </w:tcPr>
          <w:p w14:paraId="6A191EC5" w14:textId="77777777" w:rsidR="00C03AAD" w:rsidRDefault="00C03AAD" w:rsidP="00036815">
            <w:pPr>
              <w:pStyle w:val="tvhtml"/>
              <w:spacing w:line="293" w:lineRule="atLeast"/>
              <w:jc w:val="center"/>
              <w:rPr>
                <w:lang w:val="lv-LV"/>
              </w:rPr>
            </w:pPr>
          </w:p>
        </w:tc>
        <w:tc>
          <w:tcPr>
            <w:tcW w:w="993" w:type="dxa"/>
          </w:tcPr>
          <w:p w14:paraId="60BE5AC2" w14:textId="77777777" w:rsidR="00C03AAD" w:rsidRDefault="00C03AAD" w:rsidP="00036815">
            <w:pPr>
              <w:pStyle w:val="tvhtml"/>
              <w:spacing w:line="293" w:lineRule="atLeast"/>
              <w:jc w:val="center"/>
              <w:rPr>
                <w:lang w:val="lv-LV"/>
              </w:rPr>
            </w:pPr>
            <w:r>
              <w:rPr>
                <w:lang w:val="lv-LV"/>
              </w:rPr>
              <w:t>+</w:t>
            </w:r>
          </w:p>
        </w:tc>
        <w:tc>
          <w:tcPr>
            <w:tcW w:w="992" w:type="dxa"/>
          </w:tcPr>
          <w:p w14:paraId="01ACB399" w14:textId="77777777" w:rsidR="00C03AAD" w:rsidRDefault="00C03AAD" w:rsidP="00036815">
            <w:pPr>
              <w:pStyle w:val="tvhtml"/>
              <w:spacing w:line="293" w:lineRule="atLeast"/>
              <w:jc w:val="center"/>
              <w:rPr>
                <w:lang w:val="lv-LV"/>
              </w:rPr>
            </w:pPr>
            <w:r>
              <w:rPr>
                <w:lang w:val="lv-LV"/>
              </w:rPr>
              <w:t>+</w:t>
            </w:r>
          </w:p>
        </w:tc>
        <w:tc>
          <w:tcPr>
            <w:tcW w:w="900" w:type="dxa"/>
          </w:tcPr>
          <w:p w14:paraId="5972B65E" w14:textId="77777777" w:rsidR="00C03AAD" w:rsidRDefault="00C03AAD" w:rsidP="00036815">
            <w:pPr>
              <w:pStyle w:val="tvhtml"/>
              <w:spacing w:line="293" w:lineRule="atLeast"/>
              <w:jc w:val="center"/>
              <w:rPr>
                <w:lang w:val="lv-LV"/>
              </w:rPr>
            </w:pPr>
          </w:p>
        </w:tc>
        <w:tc>
          <w:tcPr>
            <w:tcW w:w="900" w:type="dxa"/>
          </w:tcPr>
          <w:p w14:paraId="20CB206D" w14:textId="77777777" w:rsidR="00C03AAD" w:rsidRDefault="00C03AAD" w:rsidP="00036815">
            <w:pPr>
              <w:pStyle w:val="tvhtml"/>
              <w:spacing w:line="293" w:lineRule="atLeast"/>
              <w:jc w:val="center"/>
              <w:rPr>
                <w:lang w:val="lv-LV"/>
              </w:rPr>
            </w:pPr>
            <w:r>
              <w:rPr>
                <w:lang w:val="lv-LV"/>
              </w:rPr>
              <w:t>+</w:t>
            </w:r>
          </w:p>
        </w:tc>
        <w:tc>
          <w:tcPr>
            <w:tcW w:w="862" w:type="dxa"/>
          </w:tcPr>
          <w:p w14:paraId="2BA7ABC6" w14:textId="77777777" w:rsidR="00C03AAD" w:rsidRDefault="00C03AAD" w:rsidP="00036815">
            <w:pPr>
              <w:pStyle w:val="tvhtml"/>
              <w:spacing w:line="293" w:lineRule="atLeast"/>
              <w:jc w:val="center"/>
              <w:rPr>
                <w:lang w:val="lv-LV"/>
              </w:rPr>
            </w:pPr>
          </w:p>
        </w:tc>
        <w:tc>
          <w:tcPr>
            <w:tcW w:w="636" w:type="dxa"/>
          </w:tcPr>
          <w:p w14:paraId="5A758AEB" w14:textId="77777777" w:rsidR="00C03AAD" w:rsidRDefault="00C03AAD" w:rsidP="00036815">
            <w:pPr>
              <w:pStyle w:val="tvhtml"/>
              <w:spacing w:line="293" w:lineRule="atLeast"/>
              <w:jc w:val="center"/>
              <w:rPr>
                <w:lang w:val="lv-LV"/>
              </w:rPr>
            </w:pPr>
            <w:r>
              <w:rPr>
                <w:lang w:val="lv-LV"/>
              </w:rPr>
              <w:t>+</w:t>
            </w:r>
          </w:p>
        </w:tc>
        <w:tc>
          <w:tcPr>
            <w:tcW w:w="1003" w:type="dxa"/>
          </w:tcPr>
          <w:p w14:paraId="6A5F37DA" w14:textId="77777777" w:rsidR="00C03AAD" w:rsidRDefault="00C03AAD" w:rsidP="00036815">
            <w:pPr>
              <w:pStyle w:val="tvhtml"/>
              <w:spacing w:line="293" w:lineRule="atLeast"/>
              <w:jc w:val="center"/>
              <w:rPr>
                <w:lang w:val="lv-LV"/>
              </w:rPr>
            </w:pPr>
            <w:r>
              <w:rPr>
                <w:lang w:val="lv-LV"/>
              </w:rPr>
              <w:t>+</w:t>
            </w:r>
          </w:p>
        </w:tc>
      </w:tr>
      <w:tr w:rsidR="00C03AAD" w14:paraId="5B7E22E5" w14:textId="77777777" w:rsidTr="00036815">
        <w:tc>
          <w:tcPr>
            <w:tcW w:w="2410" w:type="dxa"/>
          </w:tcPr>
          <w:p w14:paraId="1BBA457F" w14:textId="77777777" w:rsidR="00C03AAD" w:rsidRDefault="00C03AAD" w:rsidP="00036815">
            <w:pPr>
              <w:pStyle w:val="tvhtml"/>
              <w:spacing w:line="293" w:lineRule="atLeast"/>
              <w:jc w:val="both"/>
              <w:rPr>
                <w:lang w:val="lv-LV"/>
              </w:rPr>
            </w:pPr>
            <w:r>
              <w:rPr>
                <w:lang w:val="lv-LV"/>
              </w:rPr>
              <w:t>Investīciju atbalsts gāzes uzpildes iekārtām</w:t>
            </w:r>
          </w:p>
        </w:tc>
        <w:tc>
          <w:tcPr>
            <w:tcW w:w="709" w:type="dxa"/>
          </w:tcPr>
          <w:p w14:paraId="5408D83A" w14:textId="77777777" w:rsidR="00C03AAD" w:rsidRDefault="00C03AAD" w:rsidP="00036815">
            <w:pPr>
              <w:pStyle w:val="tvhtml"/>
              <w:spacing w:line="293" w:lineRule="atLeast"/>
              <w:jc w:val="center"/>
              <w:rPr>
                <w:lang w:val="lv-LV"/>
              </w:rPr>
            </w:pPr>
          </w:p>
        </w:tc>
        <w:tc>
          <w:tcPr>
            <w:tcW w:w="850" w:type="dxa"/>
          </w:tcPr>
          <w:p w14:paraId="725C00A9" w14:textId="77777777" w:rsidR="00C03AAD" w:rsidRDefault="00C03AAD" w:rsidP="00036815">
            <w:pPr>
              <w:pStyle w:val="tvhtml"/>
              <w:spacing w:line="293" w:lineRule="atLeast"/>
              <w:jc w:val="center"/>
              <w:rPr>
                <w:lang w:val="lv-LV"/>
              </w:rPr>
            </w:pPr>
          </w:p>
        </w:tc>
        <w:tc>
          <w:tcPr>
            <w:tcW w:w="993" w:type="dxa"/>
          </w:tcPr>
          <w:p w14:paraId="4E923A32" w14:textId="77777777" w:rsidR="00C03AAD" w:rsidRDefault="00C03AAD" w:rsidP="00036815">
            <w:pPr>
              <w:pStyle w:val="tvhtml"/>
              <w:spacing w:line="293" w:lineRule="atLeast"/>
              <w:jc w:val="center"/>
              <w:rPr>
                <w:lang w:val="lv-LV"/>
              </w:rPr>
            </w:pPr>
          </w:p>
        </w:tc>
        <w:tc>
          <w:tcPr>
            <w:tcW w:w="992" w:type="dxa"/>
          </w:tcPr>
          <w:p w14:paraId="5ACF7218" w14:textId="77777777" w:rsidR="00C03AAD" w:rsidRDefault="00C03AAD" w:rsidP="00036815">
            <w:pPr>
              <w:pStyle w:val="tvhtml"/>
              <w:spacing w:line="293" w:lineRule="atLeast"/>
              <w:jc w:val="center"/>
              <w:rPr>
                <w:lang w:val="lv-LV"/>
              </w:rPr>
            </w:pPr>
          </w:p>
        </w:tc>
        <w:tc>
          <w:tcPr>
            <w:tcW w:w="900" w:type="dxa"/>
          </w:tcPr>
          <w:p w14:paraId="6358EC11" w14:textId="77777777" w:rsidR="00C03AAD" w:rsidRDefault="00C03AAD" w:rsidP="00036815">
            <w:pPr>
              <w:pStyle w:val="tvhtml"/>
              <w:spacing w:line="293" w:lineRule="atLeast"/>
              <w:jc w:val="center"/>
              <w:rPr>
                <w:lang w:val="lv-LV"/>
              </w:rPr>
            </w:pPr>
          </w:p>
        </w:tc>
        <w:tc>
          <w:tcPr>
            <w:tcW w:w="900" w:type="dxa"/>
          </w:tcPr>
          <w:p w14:paraId="656530D9" w14:textId="77777777" w:rsidR="00C03AAD" w:rsidRDefault="00C03AAD" w:rsidP="00036815">
            <w:pPr>
              <w:pStyle w:val="tvhtml"/>
              <w:spacing w:line="293" w:lineRule="atLeast"/>
              <w:jc w:val="center"/>
              <w:rPr>
                <w:lang w:val="lv-LV"/>
              </w:rPr>
            </w:pPr>
          </w:p>
        </w:tc>
        <w:tc>
          <w:tcPr>
            <w:tcW w:w="862" w:type="dxa"/>
          </w:tcPr>
          <w:p w14:paraId="760FEB84" w14:textId="77777777" w:rsidR="00C03AAD" w:rsidRDefault="00C03AAD" w:rsidP="00036815">
            <w:pPr>
              <w:pStyle w:val="tvhtml"/>
              <w:spacing w:line="293" w:lineRule="atLeast"/>
              <w:jc w:val="center"/>
              <w:rPr>
                <w:lang w:val="lv-LV"/>
              </w:rPr>
            </w:pPr>
          </w:p>
        </w:tc>
        <w:tc>
          <w:tcPr>
            <w:tcW w:w="636" w:type="dxa"/>
          </w:tcPr>
          <w:p w14:paraId="5BCB1C5D" w14:textId="77777777" w:rsidR="00C03AAD" w:rsidRDefault="00C03AAD" w:rsidP="00036815">
            <w:pPr>
              <w:pStyle w:val="tvhtml"/>
              <w:spacing w:line="293" w:lineRule="atLeast"/>
              <w:jc w:val="center"/>
              <w:rPr>
                <w:lang w:val="lv-LV"/>
              </w:rPr>
            </w:pPr>
          </w:p>
        </w:tc>
        <w:tc>
          <w:tcPr>
            <w:tcW w:w="1003" w:type="dxa"/>
          </w:tcPr>
          <w:p w14:paraId="1A0C0DE7" w14:textId="77777777" w:rsidR="00C03AAD" w:rsidRDefault="00C03AAD" w:rsidP="00036815">
            <w:pPr>
              <w:pStyle w:val="tvhtml"/>
              <w:spacing w:line="293" w:lineRule="atLeast"/>
              <w:jc w:val="center"/>
              <w:rPr>
                <w:lang w:val="lv-LV"/>
              </w:rPr>
            </w:pPr>
            <w:r>
              <w:rPr>
                <w:lang w:val="lv-LV"/>
              </w:rPr>
              <w:t>+</w:t>
            </w:r>
          </w:p>
        </w:tc>
      </w:tr>
      <w:tr w:rsidR="00C03AAD" w14:paraId="142E30D1" w14:textId="77777777" w:rsidTr="00036815">
        <w:tc>
          <w:tcPr>
            <w:tcW w:w="2410" w:type="dxa"/>
          </w:tcPr>
          <w:p w14:paraId="110D8C14" w14:textId="77777777" w:rsidR="00C03AAD" w:rsidRDefault="00C03AAD" w:rsidP="00036815">
            <w:pPr>
              <w:pStyle w:val="tvhtml"/>
              <w:spacing w:line="293" w:lineRule="atLeast"/>
              <w:jc w:val="both"/>
              <w:rPr>
                <w:lang w:val="lv-LV"/>
              </w:rPr>
            </w:pPr>
            <w:r>
              <w:rPr>
                <w:lang w:val="lv-LV"/>
              </w:rPr>
              <w:t>Informatīvs atbalsts</w:t>
            </w:r>
          </w:p>
        </w:tc>
        <w:tc>
          <w:tcPr>
            <w:tcW w:w="709" w:type="dxa"/>
          </w:tcPr>
          <w:p w14:paraId="4FC3896C" w14:textId="77777777" w:rsidR="00C03AAD" w:rsidRDefault="00C03AAD" w:rsidP="00036815">
            <w:pPr>
              <w:pStyle w:val="tvhtml"/>
              <w:spacing w:line="293" w:lineRule="atLeast"/>
              <w:jc w:val="center"/>
              <w:rPr>
                <w:lang w:val="lv-LV"/>
              </w:rPr>
            </w:pPr>
            <w:r>
              <w:rPr>
                <w:lang w:val="lv-LV"/>
              </w:rPr>
              <w:t>+</w:t>
            </w:r>
          </w:p>
        </w:tc>
        <w:tc>
          <w:tcPr>
            <w:tcW w:w="850" w:type="dxa"/>
          </w:tcPr>
          <w:p w14:paraId="1B7BC9E1" w14:textId="77777777" w:rsidR="00C03AAD" w:rsidRDefault="00C03AAD" w:rsidP="00036815">
            <w:pPr>
              <w:pStyle w:val="tvhtml"/>
              <w:spacing w:line="293" w:lineRule="atLeast"/>
              <w:jc w:val="center"/>
              <w:rPr>
                <w:lang w:val="lv-LV"/>
              </w:rPr>
            </w:pPr>
            <w:r>
              <w:rPr>
                <w:lang w:val="lv-LV"/>
              </w:rPr>
              <w:t>+</w:t>
            </w:r>
          </w:p>
        </w:tc>
        <w:tc>
          <w:tcPr>
            <w:tcW w:w="993" w:type="dxa"/>
          </w:tcPr>
          <w:p w14:paraId="76FC87D0" w14:textId="77777777" w:rsidR="00C03AAD" w:rsidRDefault="00C03AAD" w:rsidP="00036815">
            <w:pPr>
              <w:pStyle w:val="tvhtml"/>
              <w:spacing w:line="293" w:lineRule="atLeast"/>
              <w:jc w:val="center"/>
              <w:rPr>
                <w:lang w:val="lv-LV"/>
              </w:rPr>
            </w:pPr>
            <w:r>
              <w:rPr>
                <w:lang w:val="lv-LV"/>
              </w:rPr>
              <w:t>+</w:t>
            </w:r>
          </w:p>
        </w:tc>
        <w:tc>
          <w:tcPr>
            <w:tcW w:w="992" w:type="dxa"/>
          </w:tcPr>
          <w:p w14:paraId="50F336EA" w14:textId="77777777" w:rsidR="00C03AAD" w:rsidRDefault="00C03AAD" w:rsidP="00036815">
            <w:pPr>
              <w:pStyle w:val="tvhtml"/>
              <w:spacing w:line="293" w:lineRule="atLeast"/>
              <w:jc w:val="center"/>
              <w:rPr>
                <w:lang w:val="lv-LV"/>
              </w:rPr>
            </w:pPr>
            <w:r>
              <w:rPr>
                <w:lang w:val="lv-LV"/>
              </w:rPr>
              <w:t>+</w:t>
            </w:r>
          </w:p>
        </w:tc>
        <w:tc>
          <w:tcPr>
            <w:tcW w:w="900" w:type="dxa"/>
          </w:tcPr>
          <w:p w14:paraId="1D8E8EB2" w14:textId="77777777" w:rsidR="00C03AAD" w:rsidRDefault="00C03AAD" w:rsidP="00036815">
            <w:pPr>
              <w:pStyle w:val="tvhtml"/>
              <w:spacing w:line="293" w:lineRule="atLeast"/>
              <w:jc w:val="center"/>
              <w:rPr>
                <w:lang w:val="lv-LV"/>
              </w:rPr>
            </w:pPr>
            <w:r>
              <w:rPr>
                <w:lang w:val="lv-LV"/>
              </w:rPr>
              <w:t>+</w:t>
            </w:r>
          </w:p>
        </w:tc>
        <w:tc>
          <w:tcPr>
            <w:tcW w:w="900" w:type="dxa"/>
          </w:tcPr>
          <w:p w14:paraId="0104F46C" w14:textId="77777777" w:rsidR="00C03AAD" w:rsidRDefault="00C03AAD" w:rsidP="00036815">
            <w:pPr>
              <w:pStyle w:val="tvhtml"/>
              <w:spacing w:line="293" w:lineRule="atLeast"/>
              <w:jc w:val="center"/>
              <w:rPr>
                <w:lang w:val="lv-LV"/>
              </w:rPr>
            </w:pPr>
            <w:r>
              <w:rPr>
                <w:lang w:val="lv-LV"/>
              </w:rPr>
              <w:t>+</w:t>
            </w:r>
          </w:p>
        </w:tc>
        <w:tc>
          <w:tcPr>
            <w:tcW w:w="862" w:type="dxa"/>
          </w:tcPr>
          <w:p w14:paraId="362177BA" w14:textId="77777777" w:rsidR="00C03AAD" w:rsidRDefault="00C03AAD" w:rsidP="00036815">
            <w:pPr>
              <w:pStyle w:val="tvhtml"/>
              <w:spacing w:line="293" w:lineRule="atLeast"/>
              <w:jc w:val="center"/>
              <w:rPr>
                <w:lang w:val="lv-LV"/>
              </w:rPr>
            </w:pPr>
            <w:r>
              <w:rPr>
                <w:lang w:val="lv-LV"/>
              </w:rPr>
              <w:t>+</w:t>
            </w:r>
          </w:p>
        </w:tc>
        <w:tc>
          <w:tcPr>
            <w:tcW w:w="636" w:type="dxa"/>
          </w:tcPr>
          <w:p w14:paraId="3CFADFA8" w14:textId="77777777" w:rsidR="00C03AAD" w:rsidRDefault="00C03AAD" w:rsidP="00036815">
            <w:pPr>
              <w:pStyle w:val="tvhtml"/>
              <w:spacing w:line="293" w:lineRule="atLeast"/>
              <w:jc w:val="center"/>
              <w:rPr>
                <w:lang w:val="lv-LV"/>
              </w:rPr>
            </w:pPr>
            <w:r>
              <w:rPr>
                <w:lang w:val="lv-LV"/>
              </w:rPr>
              <w:t>+</w:t>
            </w:r>
          </w:p>
        </w:tc>
        <w:tc>
          <w:tcPr>
            <w:tcW w:w="1003" w:type="dxa"/>
          </w:tcPr>
          <w:p w14:paraId="7F63011A" w14:textId="77777777" w:rsidR="00C03AAD" w:rsidRDefault="00C03AAD" w:rsidP="00036815">
            <w:pPr>
              <w:pStyle w:val="tvhtml"/>
              <w:spacing w:line="293" w:lineRule="atLeast"/>
              <w:jc w:val="center"/>
              <w:rPr>
                <w:lang w:val="lv-LV"/>
              </w:rPr>
            </w:pPr>
            <w:r>
              <w:rPr>
                <w:lang w:val="lv-LV"/>
              </w:rPr>
              <w:t>+</w:t>
            </w:r>
          </w:p>
        </w:tc>
      </w:tr>
    </w:tbl>
    <w:p w14:paraId="4B138AD5" w14:textId="77777777" w:rsidR="00C03AAD" w:rsidRDefault="00C03AAD" w:rsidP="00C03AAD">
      <w:pPr>
        <w:pStyle w:val="tvhtml"/>
        <w:shd w:val="clear" w:color="auto" w:fill="FFFFFF"/>
        <w:spacing w:line="293" w:lineRule="atLeast"/>
        <w:ind w:firstLine="300"/>
        <w:jc w:val="both"/>
        <w:rPr>
          <w:lang w:val="lv-LV"/>
        </w:rPr>
      </w:pPr>
      <w:r w:rsidRPr="00BE16DF">
        <w:rPr>
          <w:lang w:val="lv-LV"/>
        </w:rPr>
        <w:t xml:space="preserve">Šobrīd esošas specifiskas politikas </w:t>
      </w:r>
      <w:r>
        <w:rPr>
          <w:lang w:val="lv-LV"/>
        </w:rPr>
        <w:t xml:space="preserve">biometāna atbalstam </w:t>
      </w:r>
      <w:r>
        <w:rPr>
          <w:rStyle w:val="FootnoteReference"/>
          <w:lang w:val="lv-LV"/>
        </w:rPr>
        <w:footnoteReference w:id="18"/>
      </w:r>
      <w:r>
        <w:rPr>
          <w:lang w:val="lv-LV"/>
        </w:rPr>
        <w:t xml:space="preserve"> no ES valstīm identificētas Igaunijā un Itālijā. Igaunijā biometānam maksā subsīdiju 3 gadu periodā, kas pagarināts vēl uz 3 gadiem līdz 2023. gadam pēc formulas: 100 EUR/MWh – dabasgāzes tirgus cena. Itālijā subsīdiju maksā </w:t>
      </w:r>
      <w:r>
        <w:rPr>
          <w:lang w:val="lv-LV"/>
        </w:rPr>
        <w:lastRenderedPageBreak/>
        <w:t>par sertificētu biogāzes vienību, kas sastāda 32,24 EUR/MWh parastam, bet 64,54 EUR/MWh modernam biometānām. Atbalsta programmas šajās valstīs ir kompleksas – Igaunija ar investīciju atbalstu 50% apmērā veicina uzpildes staciju būvniecību, Itālijā ar subsīdiju atbalsta transportlīdzekļu pārbūvi vai iegādi. Aprēķinātais atbalsta apjoms un ilgums biometāna ražošanai dažādās valstīs parādīts 11. tabulā.</w:t>
      </w:r>
    </w:p>
    <w:p w14:paraId="47C1DD1A" w14:textId="77777777" w:rsidR="00C03AAD" w:rsidRDefault="00C03AAD" w:rsidP="00C03AAD">
      <w:pPr>
        <w:pStyle w:val="tvhtml"/>
        <w:shd w:val="clear" w:color="auto" w:fill="FFFFFF"/>
        <w:spacing w:line="293" w:lineRule="atLeast"/>
        <w:ind w:firstLine="300"/>
        <w:jc w:val="right"/>
        <w:rPr>
          <w:lang w:val="lv-LV"/>
        </w:rPr>
      </w:pPr>
      <w:r>
        <w:rPr>
          <w:b/>
          <w:bCs/>
          <w:lang w:val="lv-LV"/>
        </w:rPr>
        <w:t>11</w:t>
      </w:r>
      <w:r w:rsidRPr="00A44E3B">
        <w:rPr>
          <w:b/>
          <w:bCs/>
          <w:lang w:val="lv-LV"/>
        </w:rPr>
        <w:t>. tabula. Atbalsta apjoms un ilgums dažādās ES valstīs biometāna ražošanai</w:t>
      </w:r>
      <w:r>
        <w:rPr>
          <w:rStyle w:val="FootnoteReference"/>
          <w:lang w:val="lv-LV"/>
        </w:rPr>
        <w:footnoteReference w:id="19"/>
      </w:r>
    </w:p>
    <w:tbl>
      <w:tblPr>
        <w:tblStyle w:val="TableGrid"/>
        <w:tblW w:w="0" w:type="auto"/>
        <w:tblLook w:val="04A0" w:firstRow="1" w:lastRow="0" w:firstColumn="1" w:lastColumn="0" w:noHBand="0" w:noVBand="1"/>
      </w:tblPr>
      <w:tblGrid>
        <w:gridCol w:w="625"/>
        <w:gridCol w:w="2160"/>
        <w:gridCol w:w="2250"/>
        <w:gridCol w:w="1440"/>
        <w:gridCol w:w="2875"/>
      </w:tblGrid>
      <w:tr w:rsidR="00C03AAD" w:rsidRPr="0036672B" w14:paraId="185F6859" w14:textId="77777777" w:rsidTr="00036815">
        <w:tc>
          <w:tcPr>
            <w:tcW w:w="625" w:type="dxa"/>
          </w:tcPr>
          <w:p w14:paraId="734C1279" w14:textId="77777777" w:rsidR="00C03AAD" w:rsidRPr="008A37C9" w:rsidRDefault="00C03AAD" w:rsidP="00036815">
            <w:pPr>
              <w:rPr>
                <w:rFonts w:ascii="Times New Roman" w:hAnsi="Times New Roman" w:cs="Times New Roman"/>
                <w:b/>
                <w:bCs/>
              </w:rPr>
            </w:pPr>
            <w:r w:rsidRPr="008A37C9">
              <w:rPr>
                <w:rFonts w:ascii="Times New Roman" w:hAnsi="Times New Roman" w:cs="Times New Roman"/>
                <w:b/>
                <w:bCs/>
              </w:rPr>
              <w:t>Nr</w:t>
            </w:r>
          </w:p>
        </w:tc>
        <w:tc>
          <w:tcPr>
            <w:tcW w:w="2160" w:type="dxa"/>
          </w:tcPr>
          <w:p w14:paraId="486D989A" w14:textId="77777777" w:rsidR="00C03AAD" w:rsidRPr="008A37C9" w:rsidRDefault="00C03AAD" w:rsidP="00036815">
            <w:pPr>
              <w:rPr>
                <w:rFonts w:ascii="Times New Roman" w:hAnsi="Times New Roman" w:cs="Times New Roman"/>
                <w:b/>
                <w:bCs/>
              </w:rPr>
            </w:pPr>
            <w:r w:rsidRPr="008A37C9">
              <w:rPr>
                <w:rFonts w:ascii="Times New Roman" w:hAnsi="Times New Roman" w:cs="Times New Roman"/>
                <w:b/>
                <w:bCs/>
              </w:rPr>
              <w:t>Valsts</w:t>
            </w:r>
          </w:p>
        </w:tc>
        <w:tc>
          <w:tcPr>
            <w:tcW w:w="2250" w:type="dxa"/>
          </w:tcPr>
          <w:p w14:paraId="2F843479" w14:textId="77777777" w:rsidR="00C03AAD" w:rsidRPr="008A37C9" w:rsidRDefault="00C03AAD" w:rsidP="00036815">
            <w:pPr>
              <w:rPr>
                <w:rFonts w:ascii="Times New Roman" w:hAnsi="Times New Roman" w:cs="Times New Roman"/>
                <w:b/>
                <w:bCs/>
              </w:rPr>
            </w:pPr>
            <w:r w:rsidRPr="008A37C9">
              <w:rPr>
                <w:rFonts w:ascii="Times New Roman" w:hAnsi="Times New Roman" w:cs="Times New Roman"/>
                <w:b/>
                <w:bCs/>
              </w:rPr>
              <w:t>Atbalsta apjoms biometānam EUR/MWh</w:t>
            </w:r>
          </w:p>
        </w:tc>
        <w:tc>
          <w:tcPr>
            <w:tcW w:w="1440" w:type="dxa"/>
          </w:tcPr>
          <w:p w14:paraId="7DDDC857" w14:textId="77777777" w:rsidR="00C03AAD" w:rsidRPr="008A37C9" w:rsidRDefault="00C03AAD" w:rsidP="00036815">
            <w:pPr>
              <w:rPr>
                <w:rFonts w:ascii="Times New Roman" w:hAnsi="Times New Roman" w:cs="Times New Roman"/>
                <w:b/>
                <w:bCs/>
              </w:rPr>
            </w:pPr>
            <w:r w:rsidRPr="008A37C9">
              <w:rPr>
                <w:rFonts w:ascii="Times New Roman" w:hAnsi="Times New Roman" w:cs="Times New Roman"/>
                <w:b/>
                <w:bCs/>
              </w:rPr>
              <w:t>Atbalsta ilgums</w:t>
            </w:r>
          </w:p>
        </w:tc>
        <w:tc>
          <w:tcPr>
            <w:tcW w:w="2875" w:type="dxa"/>
          </w:tcPr>
          <w:p w14:paraId="405BAF43" w14:textId="77777777" w:rsidR="00C03AAD" w:rsidRPr="008A37C9" w:rsidRDefault="00C03AAD" w:rsidP="00036815">
            <w:pPr>
              <w:rPr>
                <w:rFonts w:ascii="Times New Roman" w:hAnsi="Times New Roman" w:cs="Times New Roman"/>
                <w:b/>
                <w:bCs/>
              </w:rPr>
            </w:pPr>
            <w:r w:rsidRPr="008A37C9">
              <w:rPr>
                <w:rFonts w:ascii="Times New Roman" w:hAnsi="Times New Roman" w:cs="Times New Roman"/>
                <w:b/>
                <w:bCs/>
              </w:rPr>
              <w:t>Piezīmes</w:t>
            </w:r>
          </w:p>
        </w:tc>
      </w:tr>
      <w:tr w:rsidR="00C03AAD" w:rsidRPr="0036672B" w14:paraId="5B6140EF" w14:textId="77777777" w:rsidTr="00036815">
        <w:tc>
          <w:tcPr>
            <w:tcW w:w="625" w:type="dxa"/>
          </w:tcPr>
          <w:p w14:paraId="1F32CAFE"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1.</w:t>
            </w:r>
          </w:p>
        </w:tc>
        <w:tc>
          <w:tcPr>
            <w:tcW w:w="2160" w:type="dxa"/>
          </w:tcPr>
          <w:p w14:paraId="7AA22FA3"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 xml:space="preserve">Austrija </w:t>
            </w:r>
          </w:p>
        </w:tc>
        <w:tc>
          <w:tcPr>
            <w:tcW w:w="2250" w:type="dxa"/>
          </w:tcPr>
          <w:p w14:paraId="3B0A775A"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17</w:t>
            </w:r>
          </w:p>
        </w:tc>
        <w:tc>
          <w:tcPr>
            <w:tcW w:w="1440" w:type="dxa"/>
          </w:tcPr>
          <w:p w14:paraId="1B918A58"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15</w:t>
            </w:r>
          </w:p>
        </w:tc>
        <w:tc>
          <w:tcPr>
            <w:tcW w:w="2875" w:type="dxa"/>
          </w:tcPr>
          <w:p w14:paraId="397512DB"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Atbalsts elektroenerģijas ražošanai</w:t>
            </w:r>
          </w:p>
        </w:tc>
      </w:tr>
      <w:tr w:rsidR="00C03AAD" w:rsidRPr="0036672B" w14:paraId="242DB6FF" w14:textId="77777777" w:rsidTr="00036815">
        <w:tc>
          <w:tcPr>
            <w:tcW w:w="625" w:type="dxa"/>
          </w:tcPr>
          <w:p w14:paraId="3D0507D0"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2.</w:t>
            </w:r>
          </w:p>
        </w:tc>
        <w:tc>
          <w:tcPr>
            <w:tcW w:w="2160" w:type="dxa"/>
          </w:tcPr>
          <w:p w14:paraId="05097B20"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 xml:space="preserve">Beļģija </w:t>
            </w:r>
          </w:p>
        </w:tc>
        <w:tc>
          <w:tcPr>
            <w:tcW w:w="2250" w:type="dxa"/>
          </w:tcPr>
          <w:p w14:paraId="57C535D1"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75</w:t>
            </w:r>
          </w:p>
        </w:tc>
        <w:tc>
          <w:tcPr>
            <w:tcW w:w="1440" w:type="dxa"/>
          </w:tcPr>
          <w:p w14:paraId="43AE7FCC"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20</w:t>
            </w:r>
          </w:p>
        </w:tc>
        <w:tc>
          <w:tcPr>
            <w:tcW w:w="2875" w:type="dxa"/>
          </w:tcPr>
          <w:p w14:paraId="18698C07"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Attiecas uz Valoniju</w:t>
            </w:r>
          </w:p>
        </w:tc>
      </w:tr>
      <w:tr w:rsidR="00C03AAD" w:rsidRPr="0036672B" w14:paraId="62D28C56" w14:textId="77777777" w:rsidTr="00036815">
        <w:tc>
          <w:tcPr>
            <w:tcW w:w="625" w:type="dxa"/>
          </w:tcPr>
          <w:p w14:paraId="08D20EEF"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3.</w:t>
            </w:r>
          </w:p>
        </w:tc>
        <w:tc>
          <w:tcPr>
            <w:tcW w:w="2160" w:type="dxa"/>
          </w:tcPr>
          <w:p w14:paraId="7D93A66F"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 xml:space="preserve">Dānija </w:t>
            </w:r>
          </w:p>
        </w:tc>
        <w:tc>
          <w:tcPr>
            <w:tcW w:w="2250" w:type="dxa"/>
          </w:tcPr>
          <w:p w14:paraId="2464F8B2"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35</w:t>
            </w:r>
          </w:p>
        </w:tc>
        <w:tc>
          <w:tcPr>
            <w:tcW w:w="1440" w:type="dxa"/>
          </w:tcPr>
          <w:p w14:paraId="50A58E9E"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20</w:t>
            </w:r>
          </w:p>
        </w:tc>
        <w:tc>
          <w:tcPr>
            <w:tcW w:w="2875" w:type="dxa"/>
          </w:tcPr>
          <w:p w14:paraId="7A5D27F3" w14:textId="77777777" w:rsidR="00C03AAD" w:rsidRPr="0036672B" w:rsidRDefault="00C03AAD" w:rsidP="00036815">
            <w:pPr>
              <w:rPr>
                <w:rFonts w:ascii="Times New Roman" w:hAnsi="Times New Roman" w:cs="Times New Roman"/>
              </w:rPr>
            </w:pPr>
          </w:p>
        </w:tc>
      </w:tr>
      <w:tr w:rsidR="00C03AAD" w:rsidRPr="0036672B" w14:paraId="39414152" w14:textId="77777777" w:rsidTr="00036815">
        <w:tc>
          <w:tcPr>
            <w:tcW w:w="625" w:type="dxa"/>
          </w:tcPr>
          <w:p w14:paraId="425EB135"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5.</w:t>
            </w:r>
          </w:p>
        </w:tc>
        <w:tc>
          <w:tcPr>
            <w:tcW w:w="2160" w:type="dxa"/>
          </w:tcPr>
          <w:p w14:paraId="45C122A8"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Igaunija</w:t>
            </w:r>
          </w:p>
        </w:tc>
        <w:tc>
          <w:tcPr>
            <w:tcW w:w="2250" w:type="dxa"/>
          </w:tcPr>
          <w:p w14:paraId="1D5B7028"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80</w:t>
            </w:r>
          </w:p>
        </w:tc>
        <w:tc>
          <w:tcPr>
            <w:tcW w:w="1440" w:type="dxa"/>
          </w:tcPr>
          <w:p w14:paraId="57EA824D"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5</w:t>
            </w:r>
          </w:p>
        </w:tc>
        <w:tc>
          <w:tcPr>
            <w:tcW w:w="2875" w:type="dxa"/>
          </w:tcPr>
          <w:p w14:paraId="5A95A0A8" w14:textId="77777777" w:rsidR="00C03AAD" w:rsidRPr="0036672B" w:rsidRDefault="00C03AAD" w:rsidP="00036815">
            <w:pPr>
              <w:rPr>
                <w:rFonts w:ascii="Times New Roman" w:hAnsi="Times New Roman" w:cs="Times New Roman"/>
              </w:rPr>
            </w:pPr>
          </w:p>
        </w:tc>
      </w:tr>
      <w:tr w:rsidR="00C03AAD" w:rsidRPr="0036672B" w14:paraId="503CFA9F" w14:textId="77777777" w:rsidTr="00036815">
        <w:tc>
          <w:tcPr>
            <w:tcW w:w="625" w:type="dxa"/>
          </w:tcPr>
          <w:p w14:paraId="1773BD09"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5.</w:t>
            </w:r>
          </w:p>
        </w:tc>
        <w:tc>
          <w:tcPr>
            <w:tcW w:w="2160" w:type="dxa"/>
          </w:tcPr>
          <w:p w14:paraId="4E27B85E"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Francija</w:t>
            </w:r>
          </w:p>
        </w:tc>
        <w:tc>
          <w:tcPr>
            <w:tcW w:w="2250" w:type="dxa"/>
          </w:tcPr>
          <w:p w14:paraId="64D8CD88"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60-120</w:t>
            </w:r>
          </w:p>
        </w:tc>
        <w:tc>
          <w:tcPr>
            <w:tcW w:w="1440" w:type="dxa"/>
          </w:tcPr>
          <w:p w14:paraId="6C51BD02"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20</w:t>
            </w:r>
          </w:p>
        </w:tc>
        <w:tc>
          <w:tcPr>
            <w:tcW w:w="2875" w:type="dxa"/>
          </w:tcPr>
          <w:p w14:paraId="16CCF76E" w14:textId="77777777" w:rsidR="00C03AAD" w:rsidRPr="0036672B" w:rsidRDefault="00C03AAD" w:rsidP="00036815">
            <w:pPr>
              <w:rPr>
                <w:rFonts w:ascii="Times New Roman" w:hAnsi="Times New Roman" w:cs="Times New Roman"/>
              </w:rPr>
            </w:pPr>
          </w:p>
        </w:tc>
      </w:tr>
      <w:tr w:rsidR="00C03AAD" w:rsidRPr="0036672B" w14:paraId="65F30E8B" w14:textId="77777777" w:rsidTr="00036815">
        <w:tc>
          <w:tcPr>
            <w:tcW w:w="625" w:type="dxa"/>
          </w:tcPr>
          <w:p w14:paraId="4E67806D"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6.</w:t>
            </w:r>
          </w:p>
        </w:tc>
        <w:tc>
          <w:tcPr>
            <w:tcW w:w="2160" w:type="dxa"/>
          </w:tcPr>
          <w:p w14:paraId="73B6A731"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Vācija</w:t>
            </w:r>
          </w:p>
        </w:tc>
        <w:tc>
          <w:tcPr>
            <w:tcW w:w="2250" w:type="dxa"/>
          </w:tcPr>
          <w:p w14:paraId="4138FB96"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56-70</w:t>
            </w:r>
          </w:p>
        </w:tc>
        <w:tc>
          <w:tcPr>
            <w:tcW w:w="1440" w:type="dxa"/>
          </w:tcPr>
          <w:p w14:paraId="42187BD7"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20</w:t>
            </w:r>
          </w:p>
        </w:tc>
        <w:tc>
          <w:tcPr>
            <w:tcW w:w="2875" w:type="dxa"/>
          </w:tcPr>
          <w:p w14:paraId="4053B27C"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Atbalsts elektroenerģijas ražošanai</w:t>
            </w:r>
          </w:p>
        </w:tc>
      </w:tr>
      <w:tr w:rsidR="00C03AAD" w:rsidRPr="0036672B" w14:paraId="1D88511A" w14:textId="77777777" w:rsidTr="00036815">
        <w:tc>
          <w:tcPr>
            <w:tcW w:w="625" w:type="dxa"/>
          </w:tcPr>
          <w:p w14:paraId="3881DFFC"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7.</w:t>
            </w:r>
          </w:p>
        </w:tc>
        <w:tc>
          <w:tcPr>
            <w:tcW w:w="2160" w:type="dxa"/>
          </w:tcPr>
          <w:p w14:paraId="697A9931"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Itālija</w:t>
            </w:r>
          </w:p>
        </w:tc>
        <w:tc>
          <w:tcPr>
            <w:tcW w:w="2250" w:type="dxa"/>
          </w:tcPr>
          <w:p w14:paraId="1F53D40E"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60</w:t>
            </w:r>
          </w:p>
        </w:tc>
        <w:tc>
          <w:tcPr>
            <w:tcW w:w="1440" w:type="dxa"/>
          </w:tcPr>
          <w:p w14:paraId="6DFADC19"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10</w:t>
            </w:r>
          </w:p>
        </w:tc>
        <w:tc>
          <w:tcPr>
            <w:tcW w:w="2875" w:type="dxa"/>
          </w:tcPr>
          <w:p w14:paraId="4BDAA211" w14:textId="77777777" w:rsidR="00C03AAD" w:rsidRPr="0036672B" w:rsidRDefault="00C03AAD" w:rsidP="00036815">
            <w:pPr>
              <w:rPr>
                <w:rFonts w:ascii="Times New Roman" w:hAnsi="Times New Roman" w:cs="Times New Roman"/>
              </w:rPr>
            </w:pPr>
          </w:p>
        </w:tc>
      </w:tr>
      <w:tr w:rsidR="00C03AAD" w:rsidRPr="0036672B" w14:paraId="52B3ABDA" w14:textId="77777777" w:rsidTr="00036815">
        <w:tc>
          <w:tcPr>
            <w:tcW w:w="625" w:type="dxa"/>
          </w:tcPr>
          <w:p w14:paraId="119C0DA4"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8.</w:t>
            </w:r>
          </w:p>
        </w:tc>
        <w:tc>
          <w:tcPr>
            <w:tcW w:w="2160" w:type="dxa"/>
          </w:tcPr>
          <w:p w14:paraId="2AC41316"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Zviedrija</w:t>
            </w:r>
          </w:p>
        </w:tc>
        <w:tc>
          <w:tcPr>
            <w:tcW w:w="2250" w:type="dxa"/>
          </w:tcPr>
          <w:p w14:paraId="3F1D09E9"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30</w:t>
            </w:r>
          </w:p>
        </w:tc>
        <w:tc>
          <w:tcPr>
            <w:tcW w:w="1440" w:type="dxa"/>
          </w:tcPr>
          <w:p w14:paraId="5811FE18"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dažādi</w:t>
            </w:r>
          </w:p>
        </w:tc>
        <w:tc>
          <w:tcPr>
            <w:tcW w:w="2875" w:type="dxa"/>
          </w:tcPr>
          <w:p w14:paraId="454DBF60" w14:textId="77777777" w:rsidR="00C03AAD" w:rsidRPr="0036672B" w:rsidRDefault="00C03AAD" w:rsidP="00036815">
            <w:pPr>
              <w:rPr>
                <w:rFonts w:ascii="Times New Roman" w:hAnsi="Times New Roman" w:cs="Times New Roman"/>
              </w:rPr>
            </w:pPr>
          </w:p>
        </w:tc>
      </w:tr>
      <w:tr w:rsidR="00C03AAD" w:rsidRPr="0036672B" w14:paraId="6256EA23" w14:textId="77777777" w:rsidTr="00036815">
        <w:tc>
          <w:tcPr>
            <w:tcW w:w="625" w:type="dxa"/>
          </w:tcPr>
          <w:p w14:paraId="51D4AC33"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9.</w:t>
            </w:r>
          </w:p>
        </w:tc>
        <w:tc>
          <w:tcPr>
            <w:tcW w:w="2160" w:type="dxa"/>
          </w:tcPr>
          <w:p w14:paraId="66DF10D8"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Nīderlande</w:t>
            </w:r>
          </w:p>
        </w:tc>
        <w:tc>
          <w:tcPr>
            <w:tcW w:w="2250" w:type="dxa"/>
          </w:tcPr>
          <w:p w14:paraId="16961306"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49-92</w:t>
            </w:r>
          </w:p>
        </w:tc>
        <w:tc>
          <w:tcPr>
            <w:tcW w:w="1440" w:type="dxa"/>
          </w:tcPr>
          <w:p w14:paraId="16649DE1"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12</w:t>
            </w:r>
          </w:p>
        </w:tc>
        <w:tc>
          <w:tcPr>
            <w:tcW w:w="2875" w:type="dxa"/>
          </w:tcPr>
          <w:p w14:paraId="2D098C44" w14:textId="77777777" w:rsidR="00C03AAD" w:rsidRPr="0036672B" w:rsidRDefault="00C03AAD" w:rsidP="00036815">
            <w:pPr>
              <w:rPr>
                <w:rFonts w:ascii="Times New Roman" w:hAnsi="Times New Roman" w:cs="Times New Roman"/>
              </w:rPr>
            </w:pPr>
          </w:p>
        </w:tc>
      </w:tr>
      <w:tr w:rsidR="00C03AAD" w:rsidRPr="0036672B" w14:paraId="7FBB833B" w14:textId="77777777" w:rsidTr="00036815">
        <w:tc>
          <w:tcPr>
            <w:tcW w:w="625" w:type="dxa"/>
          </w:tcPr>
          <w:p w14:paraId="3B612DF6"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10.</w:t>
            </w:r>
          </w:p>
        </w:tc>
        <w:tc>
          <w:tcPr>
            <w:tcW w:w="2160" w:type="dxa"/>
          </w:tcPr>
          <w:p w14:paraId="1A2D09C4" w14:textId="77777777" w:rsidR="00C03AAD" w:rsidRPr="0036672B" w:rsidRDefault="00C03AAD" w:rsidP="00036815">
            <w:pPr>
              <w:rPr>
                <w:rFonts w:ascii="Times New Roman" w:hAnsi="Times New Roman" w:cs="Times New Roman"/>
              </w:rPr>
            </w:pPr>
            <w:r w:rsidRPr="0036672B">
              <w:rPr>
                <w:rFonts w:ascii="Times New Roman" w:hAnsi="Times New Roman" w:cs="Times New Roman"/>
              </w:rPr>
              <w:t>Lielbritānija</w:t>
            </w:r>
          </w:p>
        </w:tc>
        <w:tc>
          <w:tcPr>
            <w:tcW w:w="2250" w:type="dxa"/>
          </w:tcPr>
          <w:p w14:paraId="4CDC5E0C"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63</w:t>
            </w:r>
          </w:p>
        </w:tc>
        <w:tc>
          <w:tcPr>
            <w:tcW w:w="1440" w:type="dxa"/>
          </w:tcPr>
          <w:p w14:paraId="3D10D4E4" w14:textId="77777777" w:rsidR="00C03AAD" w:rsidRPr="0036672B" w:rsidRDefault="00C03AAD" w:rsidP="00036815">
            <w:pPr>
              <w:jc w:val="center"/>
              <w:rPr>
                <w:rFonts w:ascii="Times New Roman" w:hAnsi="Times New Roman" w:cs="Times New Roman"/>
              </w:rPr>
            </w:pPr>
            <w:r w:rsidRPr="0036672B">
              <w:rPr>
                <w:rFonts w:ascii="Times New Roman" w:hAnsi="Times New Roman" w:cs="Times New Roman"/>
              </w:rPr>
              <w:t>20</w:t>
            </w:r>
          </w:p>
        </w:tc>
        <w:tc>
          <w:tcPr>
            <w:tcW w:w="2875" w:type="dxa"/>
          </w:tcPr>
          <w:p w14:paraId="49C40332" w14:textId="77777777" w:rsidR="00C03AAD" w:rsidRPr="0036672B" w:rsidRDefault="00C03AAD" w:rsidP="00036815">
            <w:pPr>
              <w:rPr>
                <w:rFonts w:ascii="Times New Roman" w:hAnsi="Times New Roman" w:cs="Times New Roman"/>
              </w:rPr>
            </w:pPr>
          </w:p>
        </w:tc>
      </w:tr>
    </w:tbl>
    <w:p w14:paraId="57A6681E" w14:textId="77777777" w:rsidR="00C03AAD" w:rsidRDefault="00C03AAD" w:rsidP="00C03AAD">
      <w:pPr>
        <w:pStyle w:val="tvhtml"/>
        <w:shd w:val="clear" w:color="auto" w:fill="FFFFFF"/>
        <w:spacing w:line="293" w:lineRule="atLeast"/>
        <w:ind w:firstLine="300"/>
        <w:jc w:val="both"/>
        <w:rPr>
          <w:lang w:val="lv-LV"/>
        </w:rPr>
      </w:pPr>
      <w:r>
        <w:rPr>
          <w:lang w:val="lv-LV"/>
        </w:rPr>
        <w:t xml:space="preserve">Skatoties pēc rādītāja saražotais biometāns pret valsts iedzīvotāju skaitu, sekmīgākās atbalsta programmas realizētas Igaunijā un Dānijā. Abās valstīs biometāna ražošana un izmantošana transportā tiek subsidēta. Igaunijas gadījumā mērķis ir pēc sistēmas ieviešanas subsīdiju atcelt, taču atcelt subsīdiju un saglabāt biometāna izmantošanu var izrādīties sarežģīti, jo sākotnēji 3 gadu ilgo biometāna atbalsta programmu nācās pagarināt. Igaunijā subsīdija tiek maksāta no ES ETS kvotu tirdzniecības ieņēmumiem. Nākotnē Igaunija tomēr paredz atteikties no subsīdijas. Dānijas gadījumā atbalsts ir plānots ilgtermiņā, pie tam 11. tabulā norādītais subsīdijas lielums ir ilgtermiņa mērķis, bet šobrīd subsīdijai ir vēl viena komponente, kas paredzēta, lai izlīdzinātu šā brīža zemo dabasgāzes cenu, līdz ar to faktiski subsīdija šobrīd ir virs 50 EUR/MWh. Igaunija paredz, ka nākotnē biometāna cena, ietverot izcelsmes apliecinājumu izmaksas, varētu būt 60-75 </w:t>
      </w:r>
      <w:r w:rsidRPr="00AD0F57">
        <w:rPr>
          <w:lang w:val="lv-LV"/>
        </w:rPr>
        <w:t>EUR/ MWh</w:t>
      </w:r>
      <w:r>
        <w:rPr>
          <w:lang w:val="lv-LV"/>
        </w:rPr>
        <w:t>.  Ņemot vērā 12. tabulas rezultātus, Igaunijā kā perspektīvākos virzienus transporta sektora mēķu sasniegšanai atzīst biometānu un elektroenerģiju, par otrās paaudzes šķidro biodegvielu attīstību ir mazāk skaidrības.</w:t>
      </w:r>
    </w:p>
    <w:p w14:paraId="25F52024" w14:textId="77777777" w:rsidR="00C03AAD" w:rsidRPr="00853BEE" w:rsidRDefault="00C03AAD" w:rsidP="00C03AAD">
      <w:pPr>
        <w:pStyle w:val="ListParagraph"/>
        <w:spacing w:after="0" w:line="240" w:lineRule="auto"/>
        <w:jc w:val="center"/>
        <w:rPr>
          <w:i/>
          <w:iCs/>
          <w:sz w:val="24"/>
          <w:szCs w:val="24"/>
        </w:rPr>
      </w:pPr>
    </w:p>
    <w:p w14:paraId="47DEC55E" w14:textId="77777777" w:rsidR="00C03AAD" w:rsidRPr="00F85E79" w:rsidRDefault="00C03AAD" w:rsidP="00C03AAD">
      <w:pPr>
        <w:pStyle w:val="ListParagraph"/>
        <w:jc w:val="right"/>
        <w:rPr>
          <w:rFonts w:ascii="Times New Roman" w:hAnsi="Times New Roman" w:cs="Times New Roman"/>
          <w:b/>
          <w:bCs/>
          <w:sz w:val="24"/>
          <w:szCs w:val="24"/>
        </w:rPr>
      </w:pPr>
      <w:r w:rsidRPr="00F85E79">
        <w:rPr>
          <w:rFonts w:ascii="Times New Roman" w:hAnsi="Times New Roman" w:cs="Times New Roman"/>
          <w:b/>
          <w:bCs/>
          <w:sz w:val="24"/>
          <w:szCs w:val="24"/>
        </w:rPr>
        <w:t>12. tabula. Dažādu degvielas veidu izmaksu un emisiju salīdzinājums enerģētikas un klimata mērķu sasniegšanai (Igaunijas aprēķins)</w:t>
      </w:r>
    </w:p>
    <w:p w14:paraId="48467B25" w14:textId="77777777" w:rsidR="00C03AAD" w:rsidRPr="00585F6F" w:rsidRDefault="00C03AAD" w:rsidP="00C03AAD">
      <w:pPr>
        <w:pStyle w:val="ListParagraph"/>
        <w:jc w:val="center"/>
        <w:rPr>
          <w:b/>
          <w:bCs/>
          <w:sz w:val="24"/>
          <w:szCs w:val="24"/>
        </w:rPr>
      </w:pPr>
    </w:p>
    <w:tbl>
      <w:tblPr>
        <w:tblStyle w:val="TableGrid"/>
        <w:tblW w:w="0" w:type="auto"/>
        <w:tblInd w:w="720" w:type="dxa"/>
        <w:tblLook w:val="04A0" w:firstRow="1" w:lastRow="0" w:firstColumn="1" w:lastColumn="0" w:noHBand="0" w:noVBand="1"/>
      </w:tblPr>
      <w:tblGrid>
        <w:gridCol w:w="2831"/>
        <w:gridCol w:w="2540"/>
        <w:gridCol w:w="2970"/>
      </w:tblGrid>
      <w:tr w:rsidR="00C03AAD" w:rsidRPr="00832879" w14:paraId="50E7C977" w14:textId="77777777" w:rsidTr="00036815">
        <w:tc>
          <w:tcPr>
            <w:tcW w:w="2831" w:type="dxa"/>
          </w:tcPr>
          <w:p w14:paraId="52EF05AB" w14:textId="77777777" w:rsidR="00C03AAD" w:rsidRPr="00832879" w:rsidRDefault="00C03AAD" w:rsidP="00036815">
            <w:pPr>
              <w:pStyle w:val="ListParagraph"/>
              <w:ind w:left="0"/>
              <w:jc w:val="center"/>
              <w:rPr>
                <w:rFonts w:ascii="Times New Roman" w:hAnsi="Times New Roman" w:cs="Times New Roman"/>
                <w:b/>
                <w:bCs/>
                <w:sz w:val="24"/>
                <w:szCs w:val="24"/>
              </w:rPr>
            </w:pPr>
            <w:r w:rsidRPr="00832879">
              <w:rPr>
                <w:rFonts w:ascii="Times New Roman" w:hAnsi="Times New Roman" w:cs="Times New Roman"/>
                <w:b/>
                <w:bCs/>
                <w:sz w:val="24"/>
                <w:szCs w:val="24"/>
              </w:rPr>
              <w:lastRenderedPageBreak/>
              <w:t>Degvielas veids</w:t>
            </w:r>
          </w:p>
        </w:tc>
        <w:tc>
          <w:tcPr>
            <w:tcW w:w="2540" w:type="dxa"/>
          </w:tcPr>
          <w:p w14:paraId="36B9590C" w14:textId="77777777" w:rsidR="00C03AAD" w:rsidRPr="00832879" w:rsidRDefault="00C03AAD" w:rsidP="00036815">
            <w:pPr>
              <w:pStyle w:val="ListParagraph"/>
              <w:ind w:left="0"/>
              <w:jc w:val="center"/>
              <w:rPr>
                <w:rFonts w:ascii="Times New Roman" w:hAnsi="Times New Roman" w:cs="Times New Roman"/>
                <w:b/>
                <w:bCs/>
                <w:sz w:val="24"/>
                <w:szCs w:val="24"/>
              </w:rPr>
            </w:pPr>
            <w:r w:rsidRPr="00832879">
              <w:rPr>
                <w:rFonts w:ascii="Times New Roman" w:hAnsi="Times New Roman" w:cs="Times New Roman"/>
                <w:b/>
                <w:bCs/>
                <w:sz w:val="24"/>
                <w:szCs w:val="24"/>
              </w:rPr>
              <w:t xml:space="preserve">Izmaksas </w:t>
            </w:r>
            <w:bookmarkStart w:id="4" w:name="_Hlk56334611"/>
            <w:r w:rsidRPr="00832879">
              <w:rPr>
                <w:rFonts w:ascii="Times New Roman" w:hAnsi="Times New Roman" w:cs="Times New Roman"/>
                <w:b/>
                <w:bCs/>
                <w:sz w:val="24"/>
                <w:szCs w:val="24"/>
              </w:rPr>
              <w:t>EUR/ MWh</w:t>
            </w:r>
            <w:bookmarkEnd w:id="4"/>
          </w:p>
        </w:tc>
        <w:tc>
          <w:tcPr>
            <w:tcW w:w="2970" w:type="dxa"/>
          </w:tcPr>
          <w:p w14:paraId="7F99F8B9" w14:textId="77777777" w:rsidR="00C03AAD" w:rsidRPr="00832879" w:rsidRDefault="00C03AAD" w:rsidP="00036815">
            <w:pPr>
              <w:pStyle w:val="ListParagraph"/>
              <w:ind w:left="0"/>
              <w:jc w:val="center"/>
              <w:rPr>
                <w:rFonts w:ascii="Times New Roman" w:hAnsi="Times New Roman" w:cs="Times New Roman"/>
                <w:b/>
                <w:bCs/>
                <w:sz w:val="24"/>
                <w:szCs w:val="24"/>
              </w:rPr>
            </w:pPr>
            <w:r w:rsidRPr="00832879">
              <w:rPr>
                <w:rFonts w:ascii="Times New Roman" w:hAnsi="Times New Roman" w:cs="Times New Roman"/>
                <w:b/>
                <w:bCs/>
                <w:sz w:val="24"/>
                <w:szCs w:val="24"/>
              </w:rPr>
              <w:t>Ražošanas emisijas gCO</w:t>
            </w:r>
            <w:r w:rsidRPr="008208F9">
              <w:rPr>
                <w:rFonts w:ascii="Times New Roman" w:hAnsi="Times New Roman" w:cs="Times New Roman"/>
                <w:b/>
                <w:bCs/>
                <w:sz w:val="24"/>
                <w:szCs w:val="24"/>
                <w:vertAlign w:val="subscript"/>
              </w:rPr>
              <w:t>2</w:t>
            </w:r>
            <w:r w:rsidRPr="00832879">
              <w:rPr>
                <w:rFonts w:ascii="Times New Roman" w:hAnsi="Times New Roman" w:cs="Times New Roman"/>
                <w:b/>
                <w:bCs/>
                <w:sz w:val="24"/>
                <w:szCs w:val="24"/>
              </w:rPr>
              <w:t>eqv,/ MJ</w:t>
            </w:r>
          </w:p>
        </w:tc>
      </w:tr>
      <w:tr w:rsidR="00C03AAD" w:rsidRPr="00832879" w14:paraId="712AA782" w14:textId="77777777" w:rsidTr="00036815">
        <w:tc>
          <w:tcPr>
            <w:tcW w:w="2831" w:type="dxa"/>
          </w:tcPr>
          <w:p w14:paraId="6728C899"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Biometāns</w:t>
            </w:r>
          </w:p>
        </w:tc>
        <w:tc>
          <w:tcPr>
            <w:tcW w:w="2540" w:type="dxa"/>
          </w:tcPr>
          <w:p w14:paraId="22A484C7"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75</w:t>
            </w:r>
          </w:p>
        </w:tc>
        <w:tc>
          <w:tcPr>
            <w:tcW w:w="2970" w:type="dxa"/>
          </w:tcPr>
          <w:p w14:paraId="1C868F0D"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15-23</w:t>
            </w:r>
          </w:p>
        </w:tc>
      </w:tr>
      <w:tr w:rsidR="00C03AAD" w:rsidRPr="00832879" w14:paraId="0FE5FFB5" w14:textId="77777777" w:rsidTr="00036815">
        <w:tc>
          <w:tcPr>
            <w:tcW w:w="2831" w:type="dxa"/>
          </w:tcPr>
          <w:p w14:paraId="0C691280"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Bioetanols</w:t>
            </w:r>
          </w:p>
        </w:tc>
        <w:tc>
          <w:tcPr>
            <w:tcW w:w="2540" w:type="dxa"/>
          </w:tcPr>
          <w:p w14:paraId="35F77E1C"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120-160</w:t>
            </w:r>
          </w:p>
        </w:tc>
        <w:tc>
          <w:tcPr>
            <w:tcW w:w="2970" w:type="dxa"/>
          </w:tcPr>
          <w:p w14:paraId="72ADC831"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13-70</w:t>
            </w:r>
          </w:p>
        </w:tc>
      </w:tr>
      <w:tr w:rsidR="00C03AAD" w:rsidRPr="00832879" w14:paraId="2683A951" w14:textId="77777777" w:rsidTr="00036815">
        <w:tc>
          <w:tcPr>
            <w:tcW w:w="2831" w:type="dxa"/>
          </w:tcPr>
          <w:p w14:paraId="058F78A2"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Biodīzelis (HVO)</w:t>
            </w:r>
          </w:p>
        </w:tc>
        <w:tc>
          <w:tcPr>
            <w:tcW w:w="2540" w:type="dxa"/>
          </w:tcPr>
          <w:p w14:paraId="6C1382F7"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145</w:t>
            </w:r>
          </w:p>
        </w:tc>
        <w:tc>
          <w:tcPr>
            <w:tcW w:w="2970" w:type="dxa"/>
          </w:tcPr>
          <w:p w14:paraId="43942CB3"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29-62</w:t>
            </w:r>
          </w:p>
        </w:tc>
      </w:tr>
      <w:tr w:rsidR="00C03AAD" w:rsidRPr="00832879" w14:paraId="0D478A28" w14:textId="77777777" w:rsidTr="00036815">
        <w:tc>
          <w:tcPr>
            <w:tcW w:w="2831" w:type="dxa"/>
          </w:tcPr>
          <w:p w14:paraId="24035D8C"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Elektroenerģija</w:t>
            </w:r>
          </w:p>
        </w:tc>
        <w:tc>
          <w:tcPr>
            <w:tcW w:w="2540" w:type="dxa"/>
          </w:tcPr>
          <w:p w14:paraId="30288486"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50-110</w:t>
            </w:r>
          </w:p>
        </w:tc>
        <w:tc>
          <w:tcPr>
            <w:tcW w:w="2970" w:type="dxa"/>
          </w:tcPr>
          <w:p w14:paraId="1D70D928" w14:textId="77777777" w:rsidR="00C03AAD" w:rsidRPr="00832879" w:rsidRDefault="00C03AAD" w:rsidP="00036815">
            <w:pPr>
              <w:pStyle w:val="ListParagraph"/>
              <w:ind w:left="0"/>
              <w:jc w:val="center"/>
              <w:rPr>
                <w:rFonts w:ascii="Times New Roman" w:hAnsi="Times New Roman" w:cs="Times New Roman"/>
                <w:sz w:val="24"/>
                <w:szCs w:val="24"/>
              </w:rPr>
            </w:pPr>
            <w:r w:rsidRPr="00832879">
              <w:rPr>
                <w:rFonts w:ascii="Times New Roman" w:hAnsi="Times New Roman" w:cs="Times New Roman"/>
                <w:sz w:val="24"/>
                <w:szCs w:val="24"/>
              </w:rPr>
              <w:t>0-46</w:t>
            </w:r>
          </w:p>
        </w:tc>
      </w:tr>
    </w:tbl>
    <w:p w14:paraId="0C8BE3F8" w14:textId="77777777" w:rsidR="00C03AAD" w:rsidRPr="00832879" w:rsidRDefault="00C03AAD" w:rsidP="00C03AAD">
      <w:pPr>
        <w:pStyle w:val="ListParagraph"/>
        <w:jc w:val="center"/>
        <w:rPr>
          <w:rFonts w:ascii="Times New Roman" w:hAnsi="Times New Roman" w:cs="Times New Roman"/>
          <w:sz w:val="24"/>
          <w:szCs w:val="24"/>
        </w:rPr>
      </w:pPr>
    </w:p>
    <w:p w14:paraId="6DB566D9" w14:textId="77777777" w:rsidR="00C03AAD" w:rsidRDefault="00C03AAD" w:rsidP="00C03AAD">
      <w:pPr>
        <w:pStyle w:val="tvhtml"/>
        <w:shd w:val="clear" w:color="auto" w:fill="FFFFFF"/>
        <w:spacing w:line="293" w:lineRule="atLeast"/>
        <w:ind w:firstLine="300"/>
        <w:jc w:val="both"/>
        <w:rPr>
          <w:lang w:val="lv-LV"/>
        </w:rPr>
      </w:pPr>
      <w:r w:rsidRPr="00C01276">
        <w:rPr>
          <w:lang w:val="lv-LV"/>
        </w:rPr>
        <w:t>Igaunija paredz, ka šobrīd ir spēkā 10% biodegvielas mērķis, 2022. gadā tas kļūst 7.5%, bet no 2028. gada 8,5%</w:t>
      </w:r>
      <w:r>
        <w:rPr>
          <w:lang w:val="lv-LV"/>
        </w:rPr>
        <w:t xml:space="preserve"> (tas attiecas gan uz 1. paaudzes, gan modernajām biodegvielām)</w:t>
      </w:r>
      <w:r w:rsidRPr="00C01276">
        <w:rPr>
          <w:lang w:val="lv-LV"/>
        </w:rPr>
        <w:t>. Vienlaikus 1. paaudzes biodegvielas apjoms tiek ierobežots ar maksimāli pieļaujamo apjomu – 2022. gadā 4.5%, 2023. gadā 2.5%, bet no 2024. gada – 0.5%. No tā izriet, ka moderno biodegvielu pieprasījums sastāda 2022. gadā 4 %, 2023. gadā 5%, bet 2024. gadā 7%. S</w:t>
      </w:r>
      <w:r>
        <w:rPr>
          <w:lang w:val="lv-LV"/>
        </w:rPr>
        <w:t>alīdzinājumam</w:t>
      </w:r>
      <w:r w:rsidRPr="00C01276">
        <w:rPr>
          <w:lang w:val="lv-LV"/>
        </w:rPr>
        <w:t xml:space="preserve"> Latvijai 2025. gada </w:t>
      </w:r>
      <w:r>
        <w:rPr>
          <w:lang w:val="lv-LV"/>
        </w:rPr>
        <w:t xml:space="preserve">moderno biodegvielu </w:t>
      </w:r>
      <w:r w:rsidRPr="00C01276">
        <w:rPr>
          <w:lang w:val="lv-LV"/>
        </w:rPr>
        <w:t>mērķis ir 1%.</w:t>
      </w:r>
    </w:p>
    <w:p w14:paraId="63379727" w14:textId="77777777" w:rsidR="00C03AAD" w:rsidRDefault="00C03AAD" w:rsidP="00C03AAD">
      <w:pPr>
        <w:pStyle w:val="tvhtml"/>
        <w:shd w:val="clear" w:color="auto" w:fill="FFFFFF"/>
        <w:spacing w:line="293" w:lineRule="atLeast"/>
        <w:ind w:firstLine="300"/>
        <w:jc w:val="both"/>
        <w:rPr>
          <w:lang w:val="lv-LV"/>
        </w:rPr>
      </w:pPr>
      <w:r>
        <w:rPr>
          <w:lang w:val="lv-LV"/>
        </w:rPr>
        <w:t xml:space="preserve">Somija plāno kopējo biodegvielu mērķi 2030. gadā 30%, no tiem 10% moderno biodegvielu, attiecīgi paredzot kāpjošus starpmērķus katru gadu. </w:t>
      </w:r>
    </w:p>
    <w:p w14:paraId="66AEAAFA" w14:textId="77777777" w:rsidR="00C03AAD" w:rsidRPr="00BE16DF" w:rsidRDefault="00C03AAD" w:rsidP="00C03AAD">
      <w:pPr>
        <w:pStyle w:val="tvhtml"/>
        <w:shd w:val="clear" w:color="auto" w:fill="FFFFFF"/>
        <w:spacing w:line="293" w:lineRule="atLeast"/>
        <w:ind w:firstLine="300"/>
        <w:jc w:val="both"/>
        <w:rPr>
          <w:lang w:val="lv-LV"/>
        </w:rPr>
      </w:pPr>
      <w:r>
        <w:rPr>
          <w:lang w:val="lv-LV"/>
        </w:rPr>
        <w:t xml:space="preserve">Augsti kaimiņvalstu mērķi, nozīmē, ka gadījumā, ja Latvijā modernā biometāna ražošana attīstīsies ātrāk par patēriņu, pastāvēs iespēja, izmantojot izcelsmes apliecinājumus, šo biometānu eksportēt. </w:t>
      </w:r>
    </w:p>
    <w:p w14:paraId="55E223AB" w14:textId="77777777" w:rsidR="00C03AAD" w:rsidRDefault="00C03AAD" w:rsidP="00C03AAD">
      <w:pPr>
        <w:pStyle w:val="tvhtml"/>
        <w:shd w:val="clear" w:color="auto" w:fill="FFFFFF" w:themeFill="background1"/>
        <w:spacing w:line="293" w:lineRule="atLeast"/>
        <w:ind w:firstLine="300"/>
        <w:jc w:val="center"/>
        <w:rPr>
          <w:b/>
          <w:bCs/>
          <w:lang w:val="lv-LV"/>
        </w:rPr>
      </w:pPr>
      <w:r w:rsidRPr="6F18BF8B">
        <w:rPr>
          <w:b/>
          <w:bCs/>
          <w:lang w:val="lv-LV"/>
        </w:rPr>
        <w:t xml:space="preserve">III. </w:t>
      </w:r>
      <w:r>
        <w:rPr>
          <w:b/>
          <w:bCs/>
          <w:lang w:val="lv-LV"/>
        </w:rPr>
        <w:t>Piedāvātie risinājumi</w:t>
      </w:r>
    </w:p>
    <w:p w14:paraId="5F7F31B5" w14:textId="77777777" w:rsidR="00C03AAD" w:rsidRPr="00A665D5" w:rsidRDefault="00C03AAD" w:rsidP="00C03AAD">
      <w:pPr>
        <w:pStyle w:val="tvhtml"/>
        <w:numPr>
          <w:ilvl w:val="1"/>
          <w:numId w:val="21"/>
        </w:numPr>
        <w:shd w:val="clear" w:color="auto" w:fill="FFFFFF"/>
        <w:spacing w:line="293" w:lineRule="atLeast"/>
        <w:jc w:val="both"/>
        <w:rPr>
          <w:b/>
          <w:bCs/>
          <w:lang w:val="lv-LV"/>
        </w:rPr>
      </w:pPr>
      <w:r w:rsidRPr="00A665D5">
        <w:rPr>
          <w:b/>
          <w:bCs/>
          <w:lang w:val="lv-LV"/>
        </w:rPr>
        <w:t>Potenciālie atbalsta mehānismi, kurus nepiedāvā izmantot Latvijā</w:t>
      </w:r>
    </w:p>
    <w:p w14:paraId="2DA2DDBF" w14:textId="77777777" w:rsidR="00C03AAD" w:rsidRDefault="00C03AAD" w:rsidP="00C03AAD">
      <w:pPr>
        <w:pStyle w:val="tvhtml"/>
        <w:shd w:val="clear" w:color="auto" w:fill="FFFFFF"/>
        <w:spacing w:line="293" w:lineRule="atLeast"/>
        <w:jc w:val="both"/>
        <w:rPr>
          <w:lang w:val="lv-LV"/>
        </w:rPr>
      </w:pPr>
      <w:r>
        <w:rPr>
          <w:lang w:val="lv-LV"/>
        </w:rPr>
        <w:t xml:space="preserve"> </w:t>
      </w:r>
      <w:r w:rsidRPr="00832879">
        <w:rPr>
          <w:b/>
          <w:bCs/>
          <w:lang w:val="lv-LV"/>
        </w:rPr>
        <w:t>Piemaksa pie tirgus cenas.</w:t>
      </w:r>
      <w:r>
        <w:rPr>
          <w:lang w:val="lv-LV"/>
        </w:rPr>
        <w:t xml:space="preserve"> Pieņemot, ka biometāna cena, kas būtu jāsaņem ražotājam ir 70 EUR/ MWh (kas atbilstoši aprēķiniem ir nepieciešamais līmenis), bet dabasgāzes cena sastādītu ap 10 EUR/MWh,– tad nepieciešamais subsīdijas apjoms, kā piemaksa virs dabasgāzes cenas būtu nepieciešama ap 60 EUR/ MWh (mazāk, kā Igaunijas subsīdija). Šajā gadījumā, lai nodrošinātu nepieciešamo AER transporta mērķi 2025. gadā subsīdija būtu 3.5 MEUR gadā. Tomēr, lai nodrošinātu esošo biogāzes staciju, kas darbojas izmantojot kūtsmēslus un atkritumus pāreju uz biometānu, subsīdiju apjoms būtu ievērojami lielāks -18.9 MEUR gadā. Kaut arī šis risinājums būtu efektīvs, to neapskata kā atbalstāmu alternatīvu, jo tas nestimulētu tirgus mehānismu veidošanos un izmaksas  segtu visi nodokļu maksātāji. Tāpat arī jāņem vērā, ka sākotnēji atbalsta sistēmā paredzot subsīdiju ražotājam, vēlāk to ir ļoti grūti samazināt. Igaunijā subsīdija sākotnēji bija noteikti uz 3 gadiem, ar domu pēc tam pāriet uz komerciāliem pamatiem, tomēr vēlāk termiņš tika pagarināts.</w:t>
      </w:r>
    </w:p>
    <w:p w14:paraId="5C21BEED" w14:textId="77777777" w:rsidR="00C03AAD" w:rsidRDefault="00C03AAD" w:rsidP="00C03AAD">
      <w:pPr>
        <w:pStyle w:val="tvhtml"/>
        <w:shd w:val="clear" w:color="auto" w:fill="FFFFFF"/>
        <w:spacing w:line="293" w:lineRule="atLeast"/>
        <w:jc w:val="both"/>
        <w:rPr>
          <w:lang w:val="lv-LV"/>
        </w:rPr>
      </w:pPr>
      <w:r w:rsidRPr="00832879">
        <w:rPr>
          <w:b/>
          <w:bCs/>
          <w:lang w:val="lv-LV"/>
        </w:rPr>
        <w:t>Kvotu sistēma</w:t>
      </w:r>
      <w:r>
        <w:rPr>
          <w:b/>
          <w:bCs/>
          <w:lang w:val="lv-LV"/>
        </w:rPr>
        <w:t>.</w:t>
      </w:r>
      <w:r>
        <w:rPr>
          <w:lang w:val="lv-LV"/>
        </w:rPr>
        <w:t xml:space="preserve"> Kvotu sistēma  paredzētu dabasgāzes tirgotājiem nodrošināt zināmu daudzumu biometāna, kas būtu proporcionāls tirgotās dabasgāzes apjomam (2-3% no kopējā dabasgāzes patēriņa). Šajā risinājumā kopējās papildus izmaksas būtu līdzīgas kā scenārijā ar piemaksu pie tirgus cenas tikai tos apmaksātu visi dabas gāzes patērētāji. Kaut arī papildus izmaksas katram </w:t>
      </w:r>
      <w:r>
        <w:rPr>
          <w:lang w:val="lv-LV"/>
        </w:rPr>
        <w:lastRenderedPageBreak/>
        <w:t xml:space="preserve">iedzīvotājam nebūtu lielas, tomēr ņemot vērā negatīvo pieredzi ar OIK, Ekonomikas ministrija šādus risinājumus nepiedāvā. </w:t>
      </w:r>
    </w:p>
    <w:p w14:paraId="15A6826F" w14:textId="77777777" w:rsidR="00C03AAD" w:rsidRDefault="00C03AAD" w:rsidP="00C03AAD">
      <w:pPr>
        <w:pStyle w:val="tvhtml"/>
        <w:numPr>
          <w:ilvl w:val="1"/>
          <w:numId w:val="21"/>
        </w:numPr>
        <w:shd w:val="clear" w:color="auto" w:fill="FFFFFF" w:themeFill="background1"/>
        <w:spacing w:line="293" w:lineRule="atLeast"/>
        <w:rPr>
          <w:b/>
          <w:bCs/>
          <w:lang w:val="lv-LV"/>
        </w:rPr>
      </w:pPr>
      <w:r>
        <w:rPr>
          <w:b/>
          <w:bCs/>
          <w:lang w:val="lv-LV"/>
        </w:rPr>
        <w:t xml:space="preserve"> Informatīvajā ziņojumā piedāvātie atbalsta mehānismi </w:t>
      </w:r>
    </w:p>
    <w:p w14:paraId="2FE6AB3A" w14:textId="77777777" w:rsidR="00C03AAD" w:rsidRPr="00895A1D" w:rsidRDefault="00C03AAD" w:rsidP="00C03AAD">
      <w:pPr>
        <w:pStyle w:val="tvhtml"/>
        <w:numPr>
          <w:ilvl w:val="2"/>
          <w:numId w:val="21"/>
        </w:numPr>
        <w:shd w:val="clear" w:color="auto" w:fill="FFFFFF"/>
        <w:spacing w:line="293" w:lineRule="atLeast"/>
        <w:jc w:val="both"/>
        <w:rPr>
          <w:i/>
          <w:iCs/>
          <w:lang w:val="lv-LV"/>
        </w:rPr>
      </w:pPr>
      <w:r w:rsidRPr="00895A1D">
        <w:rPr>
          <w:i/>
          <w:iCs/>
          <w:lang w:val="lv-LV"/>
        </w:rPr>
        <w:t xml:space="preserve">Izcelsmes apliecinājumu sistēmas izveide </w:t>
      </w:r>
    </w:p>
    <w:p w14:paraId="3F438DD0" w14:textId="77777777" w:rsidR="00C03AAD" w:rsidRDefault="00C03AAD" w:rsidP="00C03AAD">
      <w:pPr>
        <w:pStyle w:val="tvhtml"/>
        <w:shd w:val="clear" w:color="auto" w:fill="FFFFFF"/>
        <w:spacing w:line="293" w:lineRule="atLeast"/>
        <w:ind w:firstLine="300"/>
        <w:jc w:val="both"/>
        <w:rPr>
          <w:rFonts w:cstheme="minorHAnsi"/>
          <w:lang w:val="lv-LV"/>
        </w:rPr>
      </w:pPr>
      <w:r>
        <w:rPr>
          <w:lang w:val="lv-LV"/>
        </w:rPr>
        <w:t xml:space="preserve">Atbilstoši </w:t>
      </w:r>
      <w:r w:rsidRPr="0036034D">
        <w:rPr>
          <w:lang w:val="lv-LV"/>
        </w:rPr>
        <w:t>Direktīvas 2018/2001</w:t>
      </w:r>
      <w:r>
        <w:rPr>
          <w:lang w:val="lv-LV"/>
        </w:rPr>
        <w:t xml:space="preserve"> 19. panta nosacījumiem ES dalībvalstis ievieš izcelsmes apliecinājumus atjaunojamai enerģijai. Elektroenerģijai šādi izcelsmes apliecinājumi jāievieš obligāti, bet dalībvalstis tādus var ieviest arī citiem enerģijas veidiem, tai skaitā gāzei. Izcelsmes apliecinājumā norāda uz kādu enerģijas veidu (piemēram, elektroenerģiju, gāzi, siltumapgādei izmantoto enerģiju), informāciju par enerģijas ražošanas iekārtu, informāciju par iekārtas uzstādīšanai vai energoresursa saražošanai izmantoto valsts atbalstu. </w:t>
      </w:r>
      <w:r w:rsidRPr="0045049F">
        <w:rPr>
          <w:rFonts w:cstheme="minorHAnsi"/>
          <w:lang w:val="lv-LV"/>
        </w:rPr>
        <w:t>Šobrīd ir sagatavoti grozījumi Enerģētikas likumā, kas paredz izcelsmes apliecinājumu sistēmas ieviešanu, paralēli ir jāizstrādā nepieciešamie Ministru kabineta noteikumi  un jāveic sistēmas ieviešana, lai tā būtu funkcionāla ar 2022. gada 1. janvāri.</w:t>
      </w:r>
      <w:r>
        <w:rPr>
          <w:rFonts w:cstheme="minorHAnsi"/>
          <w:lang w:val="lv-LV"/>
        </w:rPr>
        <w:t xml:space="preserve"> Paredzēts, ka izcelsmes apliecinājumus izdos AS Conexus Baltic Grid. I</w:t>
      </w:r>
      <w:r w:rsidRPr="0045049F">
        <w:rPr>
          <w:rFonts w:cstheme="minorHAnsi"/>
          <w:lang w:val="lv-LV"/>
        </w:rPr>
        <w:t xml:space="preserve">zdevumi, kas </w:t>
      </w:r>
      <w:r>
        <w:rPr>
          <w:rFonts w:cstheme="minorHAnsi"/>
          <w:lang w:val="lv-LV"/>
        </w:rPr>
        <w:t xml:space="preserve">Conexus Baltic Grid </w:t>
      </w:r>
      <w:r w:rsidRPr="0045049F">
        <w:rPr>
          <w:rFonts w:cstheme="minorHAnsi"/>
          <w:lang w:val="lv-LV"/>
        </w:rPr>
        <w:t>radušies saistībā ar izcelsmes apliecinājumu sistēmas izveidi un administrēšanu ir tieši saistīti ar sabiedrisko pakalpojumu sniegšanu un ir atlīdzināmi ar sabiedrisko pakalpojumu tarifu palīdzību.</w:t>
      </w:r>
    </w:p>
    <w:p w14:paraId="1DA431D1" w14:textId="77777777" w:rsidR="00C03AAD" w:rsidRPr="00895A1D" w:rsidRDefault="00C03AAD" w:rsidP="00C03AAD">
      <w:pPr>
        <w:pStyle w:val="tvhtml"/>
        <w:numPr>
          <w:ilvl w:val="2"/>
          <w:numId w:val="21"/>
        </w:numPr>
        <w:shd w:val="clear" w:color="auto" w:fill="FFFFFF"/>
        <w:spacing w:line="293" w:lineRule="atLeast"/>
        <w:jc w:val="both"/>
        <w:rPr>
          <w:i/>
          <w:iCs/>
          <w:lang w:val="lv-LV"/>
        </w:rPr>
      </w:pPr>
      <w:r w:rsidRPr="00895A1D">
        <w:rPr>
          <w:i/>
          <w:iCs/>
          <w:lang w:val="lv-LV"/>
        </w:rPr>
        <w:t>Ilgtspējas kritēriji un atbilstība modern</w:t>
      </w:r>
      <w:r>
        <w:rPr>
          <w:i/>
          <w:iCs/>
          <w:lang w:val="lv-LV"/>
        </w:rPr>
        <w:t>o</w:t>
      </w:r>
      <w:r w:rsidRPr="00895A1D">
        <w:rPr>
          <w:i/>
          <w:iCs/>
          <w:lang w:val="lv-LV"/>
        </w:rPr>
        <w:t xml:space="preserve"> biodegviel</w:t>
      </w:r>
      <w:r>
        <w:rPr>
          <w:i/>
          <w:iCs/>
          <w:lang w:val="lv-LV"/>
        </w:rPr>
        <w:t>u prasībām</w:t>
      </w:r>
    </w:p>
    <w:p w14:paraId="3F17DCD1" w14:textId="77777777" w:rsidR="00C03AAD" w:rsidRDefault="00C03AAD" w:rsidP="00C03AAD">
      <w:pPr>
        <w:pStyle w:val="tvhtml"/>
        <w:shd w:val="clear" w:color="auto" w:fill="FFFFFF"/>
        <w:spacing w:line="293" w:lineRule="atLeast"/>
        <w:ind w:firstLine="300"/>
        <w:jc w:val="both"/>
        <w:rPr>
          <w:lang w:val="lv-LV"/>
        </w:rPr>
      </w:pPr>
      <w:r>
        <w:rPr>
          <w:lang w:val="lv-LV"/>
        </w:rPr>
        <w:t xml:space="preserve">Biodegvielas ilgtspējas kritērijus un sertifikācijas sistēmu nosaka </w:t>
      </w:r>
      <w:r w:rsidRPr="0036034D">
        <w:rPr>
          <w:lang w:val="lv-LV"/>
        </w:rPr>
        <w:t>Direktīvas 2018/2001</w:t>
      </w:r>
      <w:r>
        <w:rPr>
          <w:lang w:val="lv-LV"/>
        </w:rPr>
        <w:t xml:space="preserve"> 29. un 30. pants un Komisijas deleģētā regula 2019/807. Komercdarbības atbalsts ir pieļaujams vienīgi sertificētai biodegvielai. </w:t>
      </w:r>
    </w:p>
    <w:p w14:paraId="117F191E" w14:textId="77777777" w:rsidR="00C03AAD" w:rsidRDefault="00C03AAD" w:rsidP="00C03AAD">
      <w:pPr>
        <w:pStyle w:val="tvhtml"/>
        <w:shd w:val="clear" w:color="auto" w:fill="FFFFFF"/>
        <w:spacing w:line="293" w:lineRule="atLeast"/>
        <w:ind w:firstLine="300"/>
        <w:jc w:val="both"/>
        <w:rPr>
          <w:lang w:val="lv-LV"/>
        </w:rPr>
      </w:pPr>
      <w:r>
        <w:rPr>
          <w:lang w:val="lv-LV"/>
        </w:rPr>
        <w:t>A</w:t>
      </w:r>
      <w:r w:rsidRPr="00E51E3E">
        <w:rPr>
          <w:lang w:val="lv-LV"/>
        </w:rPr>
        <w:t>tbilstīb</w:t>
      </w:r>
      <w:r>
        <w:rPr>
          <w:lang w:val="lv-LV"/>
        </w:rPr>
        <w:t>u</w:t>
      </w:r>
      <w:r w:rsidRPr="00E51E3E">
        <w:rPr>
          <w:lang w:val="lv-LV"/>
        </w:rPr>
        <w:t xml:space="preserve"> modern</w:t>
      </w:r>
      <w:r>
        <w:rPr>
          <w:lang w:val="lv-LV"/>
        </w:rPr>
        <w:t>o</w:t>
      </w:r>
      <w:r w:rsidRPr="00E51E3E">
        <w:rPr>
          <w:lang w:val="lv-LV"/>
        </w:rPr>
        <w:t xml:space="preserve"> biodegviel</w:t>
      </w:r>
      <w:r>
        <w:rPr>
          <w:lang w:val="lv-LV"/>
        </w:rPr>
        <w:t>u prasībām</w:t>
      </w:r>
      <w:r w:rsidRPr="00E51E3E">
        <w:rPr>
          <w:lang w:val="lv-LV"/>
        </w:rPr>
        <w:t xml:space="preserve"> tiek noteikta atbilstoši </w:t>
      </w:r>
      <w:r w:rsidRPr="0036034D">
        <w:rPr>
          <w:lang w:val="lv-LV"/>
        </w:rPr>
        <w:t>Direktīvas 2018/2001</w:t>
      </w:r>
      <w:r>
        <w:rPr>
          <w:lang w:val="lv-LV"/>
        </w:rPr>
        <w:t xml:space="preserve"> </w:t>
      </w:r>
      <w:r w:rsidRPr="00E51E3E">
        <w:rPr>
          <w:lang w:val="lv-LV"/>
        </w:rPr>
        <w:t>IX pielikuma A daļai (T</w:t>
      </w:r>
      <w:r>
        <w:rPr>
          <w:lang w:val="lv-LV"/>
        </w:rPr>
        <w:t>ransporta enerģijas</w:t>
      </w:r>
      <w:r w:rsidRPr="00E51E3E">
        <w:rPr>
          <w:lang w:val="lv-LV"/>
        </w:rPr>
        <w:t xml:space="preserve"> likumprojekta 2</w:t>
      </w:r>
      <w:r>
        <w:rPr>
          <w:lang w:val="lv-LV"/>
        </w:rPr>
        <w:t>.</w:t>
      </w:r>
      <w:r w:rsidRPr="00E51E3E">
        <w:rPr>
          <w:lang w:val="lv-LV"/>
        </w:rPr>
        <w:t xml:space="preserve"> pielikum</w:t>
      </w:r>
      <w:r>
        <w:rPr>
          <w:lang w:val="lv-LV"/>
        </w:rPr>
        <w:t>s</w:t>
      </w:r>
      <w:r w:rsidRPr="00E51E3E">
        <w:rPr>
          <w:lang w:val="lv-LV"/>
        </w:rPr>
        <w:t>)</w:t>
      </w:r>
      <w:r>
        <w:rPr>
          <w:lang w:val="lv-LV"/>
        </w:rPr>
        <w:t xml:space="preserve">. Biometāns, kas iegūts no lauksaimniecības kultūrām, neatbildīs modernā biometāna prasībām un līdz ar to nedos pozitīvu ietekmi AER transporta mērķa sasniegšanā. Veidojot atbalsta programmas biometāna iegūšanai, valsts atbalsts attiecināms tikai uz moderno biometānu. </w:t>
      </w:r>
    </w:p>
    <w:p w14:paraId="53F3498C" w14:textId="77777777" w:rsidR="00C03AAD" w:rsidRPr="00895A1D" w:rsidRDefault="00C03AAD" w:rsidP="00C03AAD">
      <w:pPr>
        <w:pStyle w:val="tvhtml"/>
        <w:numPr>
          <w:ilvl w:val="2"/>
          <w:numId w:val="21"/>
        </w:numPr>
        <w:shd w:val="clear" w:color="auto" w:fill="FFFFFF"/>
        <w:spacing w:line="293" w:lineRule="atLeast"/>
        <w:jc w:val="both"/>
        <w:rPr>
          <w:i/>
          <w:iCs/>
          <w:lang w:val="lv-LV"/>
        </w:rPr>
      </w:pPr>
      <w:r w:rsidRPr="00895A1D">
        <w:rPr>
          <w:i/>
          <w:iCs/>
          <w:lang w:val="lv-LV"/>
        </w:rPr>
        <w:t>Pienākuma shēma degvielas tirgotājiem</w:t>
      </w:r>
    </w:p>
    <w:p w14:paraId="37595BCC" w14:textId="77777777" w:rsidR="00C03AAD" w:rsidRDefault="00C03AAD" w:rsidP="00C03AAD">
      <w:pPr>
        <w:pStyle w:val="tvhtml"/>
        <w:shd w:val="clear" w:color="auto" w:fill="FFFFFF"/>
        <w:spacing w:line="293" w:lineRule="atLeast"/>
        <w:ind w:firstLine="300"/>
        <w:jc w:val="both"/>
        <w:rPr>
          <w:lang w:val="lv-LV"/>
        </w:rPr>
      </w:pPr>
      <w:r>
        <w:rPr>
          <w:lang w:val="lv-LV"/>
        </w:rPr>
        <w:t xml:space="preserve">Transporta enerģijas likumprojekts paredz </w:t>
      </w:r>
      <w:r w:rsidRPr="00B52743">
        <w:rPr>
          <w:lang w:val="lv-LV"/>
        </w:rPr>
        <w:t>atjaunojamās enerģijas pienākum</w:t>
      </w:r>
      <w:r>
        <w:rPr>
          <w:lang w:val="lv-LV"/>
        </w:rPr>
        <w:t xml:space="preserve">u, kas </w:t>
      </w:r>
      <w:r w:rsidRPr="00B52743">
        <w:rPr>
          <w:lang w:val="lv-LV"/>
        </w:rPr>
        <w:t xml:space="preserve"> ir sistēma, kurā enerģijas piegādātājiem jāpanāk, ka noteikta piegādātās enerģijas daļa ir no </w:t>
      </w:r>
      <w:r>
        <w:rPr>
          <w:lang w:val="lv-LV"/>
        </w:rPr>
        <w:t>AER</w:t>
      </w:r>
      <w:r w:rsidRPr="00B52743">
        <w:rPr>
          <w:lang w:val="lv-LV"/>
        </w:rPr>
        <w:t xml:space="preserve"> iegūta enerģija</w:t>
      </w:r>
      <w:r>
        <w:rPr>
          <w:lang w:val="lv-LV"/>
        </w:rPr>
        <w:t>. Saskaņā ar šo likumprojektu d</w:t>
      </w:r>
      <w:r w:rsidRPr="00895A1D">
        <w:rPr>
          <w:lang w:val="lv-LV"/>
        </w:rPr>
        <w:t>egvielas piegādātājam jānodod galapatēriņam transportā moderno biodegvielu un biogāz</w:t>
      </w:r>
      <w:r>
        <w:rPr>
          <w:lang w:val="lv-LV"/>
        </w:rPr>
        <w:t xml:space="preserve">i (biometānu), lai to īpatsvars </w:t>
      </w:r>
      <w:r w:rsidRPr="00895A1D">
        <w:rPr>
          <w:lang w:val="lv-LV"/>
        </w:rPr>
        <w:t xml:space="preserve"> ņemot vērā visu konkrētā degvielas piegādātāja galapatēriņam transportā realizēto  transporta enerģijas apjomu</w:t>
      </w:r>
      <w:r>
        <w:rPr>
          <w:lang w:val="lv-LV"/>
        </w:rPr>
        <w:t xml:space="preserve"> veido</w:t>
      </w:r>
      <w:r w:rsidRPr="00895A1D">
        <w:rPr>
          <w:lang w:val="lv-LV"/>
        </w:rPr>
        <w:t>:</w:t>
      </w:r>
      <w:r>
        <w:rPr>
          <w:lang w:val="lv-LV"/>
        </w:rPr>
        <w:t xml:space="preserve"> </w:t>
      </w:r>
    </w:p>
    <w:p w14:paraId="7A237613" w14:textId="77777777" w:rsidR="00C03AAD" w:rsidRDefault="00C03AAD" w:rsidP="00C03AAD">
      <w:pPr>
        <w:pStyle w:val="tvhtml"/>
        <w:shd w:val="clear" w:color="auto" w:fill="FFFFFF"/>
        <w:spacing w:line="293" w:lineRule="atLeast"/>
        <w:ind w:firstLine="300"/>
        <w:jc w:val="both"/>
        <w:rPr>
          <w:lang w:val="lv-LV"/>
        </w:rPr>
      </w:pPr>
      <w:r>
        <w:rPr>
          <w:lang w:val="lv-LV"/>
        </w:rPr>
        <w:t>1)</w:t>
      </w:r>
      <w:r w:rsidRPr="00895A1D">
        <w:rPr>
          <w:lang w:val="lv-LV"/>
        </w:rPr>
        <w:t xml:space="preserve"> no 2022.gada 1.janvāra līdz 2024.gada 31.decembrim – ne mazāk kā 0,2%;</w:t>
      </w:r>
      <w:r>
        <w:rPr>
          <w:lang w:val="lv-LV"/>
        </w:rPr>
        <w:t xml:space="preserve"> </w:t>
      </w:r>
    </w:p>
    <w:p w14:paraId="3D75B65B" w14:textId="77777777" w:rsidR="00C03AAD" w:rsidRDefault="00C03AAD" w:rsidP="00C03AAD">
      <w:pPr>
        <w:pStyle w:val="tvhtml"/>
        <w:shd w:val="clear" w:color="auto" w:fill="FFFFFF"/>
        <w:spacing w:line="293" w:lineRule="atLeast"/>
        <w:ind w:firstLine="300"/>
        <w:jc w:val="both"/>
        <w:rPr>
          <w:lang w:val="lv-LV"/>
        </w:rPr>
      </w:pPr>
      <w:r>
        <w:rPr>
          <w:lang w:val="lv-LV"/>
        </w:rPr>
        <w:t>2)</w:t>
      </w:r>
      <w:r w:rsidRPr="00895A1D">
        <w:rPr>
          <w:lang w:val="lv-LV"/>
        </w:rPr>
        <w:t xml:space="preserve"> no 2025.gada 1.janvāra līdz 2028.gada 31.decembrim – ne mazāk kā 1%;</w:t>
      </w:r>
      <w:r>
        <w:rPr>
          <w:lang w:val="lv-LV"/>
        </w:rPr>
        <w:t xml:space="preserve"> </w:t>
      </w:r>
    </w:p>
    <w:p w14:paraId="67E199D9" w14:textId="77777777" w:rsidR="00C03AAD" w:rsidRDefault="00C03AAD" w:rsidP="00C03AAD">
      <w:pPr>
        <w:pStyle w:val="tvhtml"/>
        <w:shd w:val="clear" w:color="auto" w:fill="FFFFFF"/>
        <w:spacing w:line="293" w:lineRule="atLeast"/>
        <w:ind w:firstLine="300"/>
        <w:jc w:val="both"/>
        <w:rPr>
          <w:lang w:val="lv-LV"/>
        </w:rPr>
      </w:pPr>
      <w:r>
        <w:rPr>
          <w:lang w:val="lv-LV"/>
        </w:rPr>
        <w:t xml:space="preserve">3) </w:t>
      </w:r>
      <w:r w:rsidRPr="00895A1D">
        <w:rPr>
          <w:lang w:val="lv-LV"/>
        </w:rPr>
        <w:t xml:space="preserve"> sākot no 2030.gada 1.janvāra – ne mazāk kā 3,5%.</w:t>
      </w:r>
      <w:r>
        <w:rPr>
          <w:lang w:val="lv-LV"/>
        </w:rPr>
        <w:t xml:space="preserve"> </w:t>
      </w:r>
    </w:p>
    <w:p w14:paraId="54D7FD09" w14:textId="77777777" w:rsidR="00C03AAD" w:rsidRDefault="00C03AAD" w:rsidP="00C03AAD">
      <w:pPr>
        <w:pStyle w:val="tvhtml"/>
        <w:shd w:val="clear" w:color="auto" w:fill="FFFFFF"/>
        <w:spacing w:line="293" w:lineRule="atLeast"/>
        <w:jc w:val="both"/>
        <w:rPr>
          <w:lang w:val="lv-LV"/>
        </w:rPr>
      </w:pPr>
      <w:r w:rsidRPr="00B75333">
        <w:rPr>
          <w:lang w:val="lv-LV"/>
        </w:rPr>
        <w:lastRenderedPageBreak/>
        <w:t>Ja degvielas piegādātājs galapatēriņam transportā realizē modernās biodegvielas vai biogāzi un kuras izcelsmi degvielas piegādātājs var attiecīgi pamatot, tad no minēto moderno biodegvielu un biogāzes iegūto enerģijas daudzumu uzskata par divkāršu</w:t>
      </w:r>
      <w:r>
        <w:rPr>
          <w:lang w:val="lv-LV"/>
        </w:rPr>
        <w:t>.</w:t>
      </w:r>
    </w:p>
    <w:p w14:paraId="7D132EFD" w14:textId="77777777" w:rsidR="00C03AAD" w:rsidRDefault="00C03AAD" w:rsidP="00C03AAD">
      <w:pPr>
        <w:pStyle w:val="tvhtml"/>
        <w:shd w:val="clear" w:color="auto" w:fill="FFFFFF"/>
        <w:spacing w:line="293" w:lineRule="atLeast"/>
        <w:jc w:val="both"/>
        <w:rPr>
          <w:lang w:val="lv-LV"/>
        </w:rPr>
      </w:pPr>
      <w:r>
        <w:rPr>
          <w:lang w:val="lv-LV"/>
        </w:rPr>
        <w:t xml:space="preserve">Šāds nosacījums garantētu moderno biodegvielu un biogāzes patēriņu pēc aptuvenām aplēsēm, ņemot vērā  koeficientu 2 -  13 GWh sākot no 2022. gada un 58 GWh sākot no 2025. gada – kas bez citiem atbalsta pasākumiem būtu nepietiekams stimuls biometāna sistēmas attīstībai. Līdzīgi kā to dara Igaunija un Somija, Latvijai ir iespēja paaugstināt pienākumu shēmā noteiktos mērķus. </w:t>
      </w:r>
    </w:p>
    <w:p w14:paraId="63FE8F40" w14:textId="77777777" w:rsidR="00C03AAD" w:rsidRDefault="00C03AAD" w:rsidP="00C03AAD">
      <w:pPr>
        <w:pStyle w:val="tvhtml"/>
        <w:shd w:val="clear" w:color="auto" w:fill="FFFFFF" w:themeFill="background1"/>
        <w:spacing w:line="293" w:lineRule="atLeast"/>
        <w:jc w:val="both"/>
        <w:rPr>
          <w:lang w:val="lv-LV"/>
        </w:rPr>
      </w:pPr>
      <w:r>
        <w:rPr>
          <w:lang w:val="lv-LV"/>
        </w:rPr>
        <w:t xml:space="preserve">Paplašinātā pienākumu shēma pēc detalizēta izvērtējuma, grozot TEL likuma nosacījumus no 2025. gada, ļautu ekonomiski pamatotā veidā nodrošināt patēriņu. Tomēr, ja pienākumu shēmas mērķus paaugstina pārāk strauji, pastāv risks pārāk sadārdzināt kopējās transporta izmaksas. Nepieciešamā pienākumu shēma, lai tā nodrošinātu 315 GWh biometāna gala patēriņu, ņemot vērā biometāna dubultās ieskaitīšanas koeficientu, sastādītu apmēram 5% no transporta gala patēriņa 2025. gadā un 6% 2030. gadā. Pienākumu shēma tomēr pati par sevi nenodrošinās pietiekami strauju ar biometānu darbināmu transporta līdzekļu skaita pieaugumu. </w:t>
      </w:r>
    </w:p>
    <w:p w14:paraId="37CA8775" w14:textId="77777777" w:rsidR="00C03AAD" w:rsidRDefault="00C03AAD" w:rsidP="00C03AAD">
      <w:pPr>
        <w:pStyle w:val="tvhtml"/>
        <w:shd w:val="clear" w:color="auto" w:fill="FFFFFF"/>
        <w:spacing w:line="293" w:lineRule="atLeast"/>
        <w:ind w:firstLine="300"/>
        <w:jc w:val="both"/>
        <w:rPr>
          <w:lang w:val="lv-LV"/>
        </w:rPr>
      </w:pPr>
      <w:r>
        <w:rPr>
          <w:lang w:val="lv-LV"/>
        </w:rPr>
        <w:t>Tāpat arī d</w:t>
      </w:r>
      <w:r w:rsidRPr="00B80FFE">
        <w:rPr>
          <w:lang w:val="lv-LV"/>
        </w:rPr>
        <w:t>egvielas piegādātāj</w:t>
      </w:r>
      <w:r>
        <w:rPr>
          <w:lang w:val="lv-LV"/>
        </w:rPr>
        <w:t>iem</w:t>
      </w:r>
      <w:r w:rsidRPr="00B80FFE">
        <w:rPr>
          <w:lang w:val="lv-LV"/>
        </w:rPr>
        <w:t xml:space="preserve"> </w:t>
      </w:r>
      <w:r>
        <w:rPr>
          <w:lang w:val="lv-LV"/>
        </w:rPr>
        <w:t>saskaņā ar Transporta enerģijas likumprojektu jā</w:t>
      </w:r>
      <w:r w:rsidRPr="00B80FFE">
        <w:rPr>
          <w:lang w:val="lv-LV"/>
        </w:rPr>
        <w:t>nodrošina transporta enerģijas, izņemot elektroenerģijas, aprites cikla siltumnīcefekta gāzu emisiju uz vienu enerģijas vienību samazinājumu vismaz par sešiem procentiem attiecībā pret degvielas pamatstandartu.</w:t>
      </w:r>
    </w:p>
    <w:p w14:paraId="6FBB5AFC" w14:textId="77777777" w:rsidR="00C03AAD" w:rsidRPr="002E1DBC" w:rsidRDefault="00C03AAD" w:rsidP="00C03AAD">
      <w:pPr>
        <w:pStyle w:val="tvhtml"/>
        <w:numPr>
          <w:ilvl w:val="2"/>
          <w:numId w:val="21"/>
        </w:numPr>
        <w:shd w:val="clear" w:color="auto" w:fill="FFFFFF"/>
        <w:spacing w:line="293" w:lineRule="atLeast"/>
        <w:jc w:val="both"/>
        <w:rPr>
          <w:i/>
          <w:iCs/>
          <w:lang w:val="lv-LV"/>
        </w:rPr>
      </w:pPr>
      <w:r w:rsidRPr="002E1DBC">
        <w:rPr>
          <w:i/>
          <w:iCs/>
          <w:lang w:val="lv-LV"/>
        </w:rPr>
        <w:t>Atbalsts infrastruktūras ieviešanai</w:t>
      </w:r>
    </w:p>
    <w:p w14:paraId="019E5A54" w14:textId="77777777" w:rsidR="00C03AAD" w:rsidRPr="00B25F06" w:rsidRDefault="00C03AAD" w:rsidP="00C03AAD">
      <w:pPr>
        <w:pStyle w:val="tvhtml"/>
        <w:shd w:val="clear" w:color="auto" w:fill="FFFFFF"/>
        <w:spacing w:line="293" w:lineRule="atLeast"/>
        <w:ind w:firstLine="300"/>
        <w:jc w:val="both"/>
        <w:rPr>
          <w:lang w:val="lv-LV"/>
        </w:rPr>
      </w:pPr>
      <w:r>
        <w:rPr>
          <w:lang w:val="lv-LV"/>
        </w:rPr>
        <w:t xml:space="preserve">Infrastruktūras ieviešana: </w:t>
      </w:r>
      <w:r w:rsidRPr="00B25F06">
        <w:rPr>
          <w:lang w:val="lv-LV"/>
        </w:rPr>
        <w:t xml:space="preserve">Atbilstoši </w:t>
      </w:r>
      <w:r w:rsidRPr="00D43E97">
        <w:rPr>
          <w:lang w:val="lv-LV"/>
        </w:rPr>
        <w:t>Eiropas Parlamenta un Padomes Direktīva</w:t>
      </w:r>
      <w:r>
        <w:rPr>
          <w:lang w:val="lv-LV"/>
        </w:rPr>
        <w:t>s</w:t>
      </w:r>
      <w:r w:rsidRPr="00D43E97">
        <w:rPr>
          <w:lang w:val="lv-LV"/>
        </w:rPr>
        <w:t xml:space="preserve"> 2014/94/ES (2014. gada 22. oktobris) par alternatīvo degvielu infrastruktūras ieviešanu</w:t>
      </w:r>
      <w:r>
        <w:rPr>
          <w:rStyle w:val="FootnoteReference"/>
          <w:lang w:val="lv-LV"/>
        </w:rPr>
        <w:footnoteReference w:id="20"/>
      </w:r>
      <w:r w:rsidRPr="00D43E97">
        <w:rPr>
          <w:lang w:val="lv-LV"/>
        </w:rPr>
        <w:t xml:space="preserve"> </w:t>
      </w:r>
      <w:r w:rsidRPr="00B25F06">
        <w:rPr>
          <w:lang w:val="lv-LV"/>
        </w:rPr>
        <w:t>41. punktam:</w:t>
      </w:r>
    </w:p>
    <w:p w14:paraId="32FC07D5" w14:textId="77777777" w:rsidR="00C03AAD" w:rsidRDefault="00C03AAD" w:rsidP="00C03AAD">
      <w:pPr>
        <w:pStyle w:val="tvhtml"/>
        <w:shd w:val="clear" w:color="auto" w:fill="FFFFFF"/>
        <w:spacing w:line="293" w:lineRule="atLeast"/>
        <w:ind w:firstLine="300"/>
        <w:jc w:val="both"/>
        <w:rPr>
          <w:lang w:val="lv-LV"/>
        </w:rPr>
      </w:pPr>
      <w:r w:rsidRPr="00B25F06">
        <w:rPr>
          <w:lang w:val="lv-LV"/>
        </w:rPr>
        <w:t>“Dalībvalstīm ar savu valsts politikas regulējumu būtu jānodrošina, ka tiek izbūvēts atbilstošs skaits publiski</w:t>
      </w:r>
      <w:r>
        <w:rPr>
          <w:lang w:val="lv-LV"/>
        </w:rPr>
        <w:t xml:space="preserve"> </w:t>
      </w:r>
      <w:r w:rsidRPr="00B25F06">
        <w:rPr>
          <w:lang w:val="lv-LV"/>
        </w:rPr>
        <w:t xml:space="preserve">pieejamu uzpildes punktu mehānisko </w:t>
      </w:r>
      <w:r>
        <w:rPr>
          <w:lang w:val="lv-LV"/>
        </w:rPr>
        <w:t>transportlīdzekļu</w:t>
      </w:r>
      <w:r w:rsidRPr="00B25F06">
        <w:rPr>
          <w:lang w:val="lv-LV"/>
        </w:rPr>
        <w:t xml:space="preserve"> apgādei ar CNG vai saspiesto biometānu, lai panāktu, ka CNG</w:t>
      </w:r>
      <w:r>
        <w:rPr>
          <w:lang w:val="lv-LV"/>
        </w:rPr>
        <w:t xml:space="preserve"> </w:t>
      </w:r>
      <w:r w:rsidRPr="00B25F06">
        <w:rPr>
          <w:lang w:val="lv-LV"/>
        </w:rPr>
        <w:t xml:space="preserve">mehāniskie </w:t>
      </w:r>
      <w:r>
        <w:rPr>
          <w:lang w:val="lv-LV"/>
        </w:rPr>
        <w:t>transportlīdzekļi</w:t>
      </w:r>
      <w:r w:rsidRPr="00B25F06">
        <w:rPr>
          <w:lang w:val="lv-LV"/>
        </w:rPr>
        <w:t xml:space="preserve"> var cirkulēt pilsētu/piepilsētu aglomerācijās un citās blīvi apdzīvotās vietās, kā arī visā</w:t>
      </w:r>
      <w:r>
        <w:rPr>
          <w:lang w:val="lv-LV"/>
        </w:rPr>
        <w:t xml:space="preserve"> </w:t>
      </w:r>
      <w:r w:rsidRPr="00B25F06">
        <w:rPr>
          <w:lang w:val="lv-LV"/>
        </w:rPr>
        <w:t xml:space="preserve">Savienībā, vismaz pastāvošajā TEN-T pamattīklā. Veidojot CNG piegādes tīklus mehāniskajiem </w:t>
      </w:r>
      <w:r>
        <w:rPr>
          <w:lang w:val="lv-LV"/>
        </w:rPr>
        <w:t>transportlīdzekļiem</w:t>
      </w:r>
      <w:r w:rsidRPr="00B25F06">
        <w:rPr>
          <w:lang w:val="lv-LV"/>
        </w:rPr>
        <w:t>,</w:t>
      </w:r>
      <w:r>
        <w:rPr>
          <w:lang w:val="lv-LV"/>
        </w:rPr>
        <w:t xml:space="preserve"> </w:t>
      </w:r>
      <w:r w:rsidRPr="00B25F06">
        <w:rPr>
          <w:lang w:val="lv-LV"/>
        </w:rPr>
        <w:t>dalībvalstīm būtu jānodrošina, ka publiski pieejami uzpildes punkti tiek izbūvēti, ņemot vērā CNG mehānisko</w:t>
      </w:r>
      <w:r>
        <w:rPr>
          <w:lang w:val="lv-LV"/>
        </w:rPr>
        <w:t xml:space="preserve"> transportlīdzekļu </w:t>
      </w:r>
      <w:r w:rsidRPr="00B25F06">
        <w:rPr>
          <w:lang w:val="lv-LV"/>
        </w:rPr>
        <w:t xml:space="preserve"> minimālo darbības diapazonu. Kā norāde – vidējam attālumam starp uzpildes punktiem vajadzētu būt</w:t>
      </w:r>
      <w:r>
        <w:rPr>
          <w:lang w:val="lv-LV"/>
        </w:rPr>
        <w:t xml:space="preserve"> </w:t>
      </w:r>
      <w:r w:rsidRPr="00B25F06">
        <w:rPr>
          <w:lang w:val="lv-LV"/>
        </w:rPr>
        <w:t xml:space="preserve">aptuveni 150 km. Lai nodrošinātu tirgus darbību un savstarpēju savietojamību, visos mehāniskajiem </w:t>
      </w:r>
      <w:r>
        <w:rPr>
          <w:lang w:val="lv-LV"/>
        </w:rPr>
        <w:t xml:space="preserve">transportlīdzekļiem </w:t>
      </w:r>
      <w:r w:rsidRPr="00B25F06">
        <w:rPr>
          <w:lang w:val="lv-LV"/>
        </w:rPr>
        <w:t xml:space="preserve">paredzētajos CNG uzpildes punktos būtu jānodrošina tādas kvalitātes gāze, kāda </w:t>
      </w:r>
      <w:r>
        <w:rPr>
          <w:lang w:val="lv-LV"/>
        </w:rPr>
        <w:t>transportlīdzekļu</w:t>
      </w:r>
      <w:r w:rsidRPr="00B25F06">
        <w:rPr>
          <w:lang w:val="lv-LV"/>
        </w:rPr>
        <w:t xml:space="preserve"> izmantošanai esošo un</w:t>
      </w:r>
      <w:r>
        <w:rPr>
          <w:lang w:val="lv-LV"/>
        </w:rPr>
        <w:t xml:space="preserve"> </w:t>
      </w:r>
      <w:r w:rsidRPr="00B25F06">
        <w:rPr>
          <w:lang w:val="lv-LV"/>
        </w:rPr>
        <w:t xml:space="preserve">jaunāko tehnoloģiju CNG </w:t>
      </w:r>
      <w:r>
        <w:rPr>
          <w:lang w:val="lv-LV"/>
        </w:rPr>
        <w:t>transportlīdzekļus</w:t>
      </w:r>
      <w:r w:rsidRPr="00B25F06">
        <w:rPr>
          <w:lang w:val="lv-LV"/>
        </w:rPr>
        <w:t>.”</w:t>
      </w:r>
      <w:r>
        <w:rPr>
          <w:lang w:val="lv-LV"/>
        </w:rPr>
        <w:t xml:space="preserve"> Saskaņā ar ES nosacījumiem Latvijā nepieciešamas vismaz 5 CNG uzpildes stacijas. Tomēr, lai šis degvielas veids būtu pietiekami ērts patērētājiem, staciju skaitam ir jābūt ievērojami lielākam, kā tas jau šobrīd ir gan Igaunijā, gan Lietuvā. Pamatā paredzams, ka uzpildes staciju tīkla attīstību nodrošina privātais sektors. Tomēr papildus tam var </w:t>
      </w:r>
      <w:r>
        <w:rPr>
          <w:lang w:val="lv-LV"/>
        </w:rPr>
        <w:lastRenderedPageBreak/>
        <w:t xml:space="preserve">būt nepieciešams uzstādīt ne-publiskas uzpildes stacijas, piemēram autobusu parkos vai ugunsdzēsēju depo. </w:t>
      </w:r>
    </w:p>
    <w:p w14:paraId="09C53C84" w14:textId="77777777" w:rsidR="00C03AAD" w:rsidRPr="00895A1D" w:rsidRDefault="00C03AAD" w:rsidP="00C03AAD">
      <w:pPr>
        <w:pStyle w:val="tvhtml"/>
        <w:numPr>
          <w:ilvl w:val="2"/>
          <w:numId w:val="21"/>
        </w:numPr>
        <w:shd w:val="clear" w:color="auto" w:fill="FFFFFF"/>
        <w:spacing w:line="293" w:lineRule="atLeast"/>
        <w:jc w:val="both"/>
        <w:rPr>
          <w:i/>
          <w:iCs/>
          <w:lang w:val="lv-LV"/>
        </w:rPr>
      </w:pPr>
      <w:r>
        <w:rPr>
          <w:i/>
          <w:iCs/>
          <w:lang w:val="lv-LV"/>
        </w:rPr>
        <w:t xml:space="preserve">  Nodokļu atlaide biometānam</w:t>
      </w:r>
    </w:p>
    <w:p w14:paraId="6EAF5387" w14:textId="77777777" w:rsidR="00C03AAD" w:rsidRDefault="00C03AAD" w:rsidP="00C03AAD">
      <w:pPr>
        <w:pStyle w:val="tvhtml"/>
        <w:shd w:val="clear" w:color="auto" w:fill="FFFFFF" w:themeFill="background1"/>
        <w:spacing w:line="293" w:lineRule="atLeast"/>
        <w:ind w:firstLine="450"/>
        <w:jc w:val="both"/>
        <w:rPr>
          <w:color w:val="414142"/>
          <w:lang w:val="lv-LV"/>
        </w:rPr>
      </w:pPr>
      <w:r>
        <w:rPr>
          <w:lang w:val="lv-LV"/>
        </w:rPr>
        <w:t>N</w:t>
      </w:r>
      <w:r w:rsidRPr="00597426">
        <w:rPr>
          <w:lang w:val="lv-LV"/>
        </w:rPr>
        <w:t xml:space="preserve">o 2021.gada līdz 2025.gadam </w:t>
      </w:r>
      <w:r>
        <w:rPr>
          <w:lang w:val="lv-LV"/>
        </w:rPr>
        <w:t>akcīzes nodokli</w:t>
      </w:r>
      <w:r w:rsidRPr="00597426">
        <w:rPr>
          <w:lang w:val="lv-LV"/>
        </w:rPr>
        <w:t xml:space="preserve"> likme dabasgāzei kā degvielai ir 1,91 </w:t>
      </w:r>
      <w:r>
        <w:rPr>
          <w:lang w:val="lv-LV"/>
        </w:rPr>
        <w:t>EUR</w:t>
      </w:r>
      <w:r w:rsidRPr="00597426">
        <w:rPr>
          <w:lang w:val="lv-LV"/>
        </w:rPr>
        <w:t xml:space="preserve"> par 1 MWh</w:t>
      </w:r>
      <w:r>
        <w:rPr>
          <w:lang w:val="lv-LV"/>
        </w:rPr>
        <w:t>,</w:t>
      </w:r>
      <w:r w:rsidRPr="00597426">
        <w:rPr>
          <w:lang w:val="lv-LV"/>
        </w:rPr>
        <w:t xml:space="preserve"> jeb 20 </w:t>
      </w:r>
      <w:r>
        <w:rPr>
          <w:lang w:val="lv-LV"/>
        </w:rPr>
        <w:t>EUR</w:t>
      </w:r>
      <w:r w:rsidRPr="00597426">
        <w:rPr>
          <w:lang w:val="lv-LV"/>
        </w:rPr>
        <w:t xml:space="preserve"> par 1000 m3, vienlaikus paredzot, ka no 2026.gada </w:t>
      </w:r>
      <w:r>
        <w:rPr>
          <w:lang w:val="lv-LV"/>
        </w:rPr>
        <w:t>akcīzes nodokļa</w:t>
      </w:r>
      <w:r w:rsidRPr="00597426">
        <w:rPr>
          <w:lang w:val="lv-LV"/>
        </w:rPr>
        <w:t xml:space="preserve"> likme dabasgāzei (izmantošanai par degvielu) tiktu palielināta uz 10 </w:t>
      </w:r>
      <w:r>
        <w:rPr>
          <w:lang w:val="lv-LV"/>
        </w:rPr>
        <w:t>EUR</w:t>
      </w:r>
      <w:r w:rsidRPr="00597426">
        <w:rPr>
          <w:lang w:val="lv-LV"/>
        </w:rPr>
        <w:t xml:space="preserve"> par 1 MWh jeb 105 </w:t>
      </w:r>
      <w:r>
        <w:rPr>
          <w:lang w:val="lv-LV"/>
        </w:rPr>
        <w:t>EUR</w:t>
      </w:r>
      <w:r w:rsidRPr="00597426">
        <w:rPr>
          <w:lang w:val="lv-LV"/>
        </w:rPr>
        <w:t xml:space="preserve"> par 1000 m3</w:t>
      </w:r>
      <w:r>
        <w:rPr>
          <w:lang w:val="lv-LV"/>
        </w:rPr>
        <w:t xml:space="preserve">. </w:t>
      </w:r>
      <w:r w:rsidRPr="4BDC72F9">
        <w:rPr>
          <w:lang w:val="lv-LV"/>
        </w:rPr>
        <w:t xml:space="preserve">Ņemot vērā samazināto akcīzes nodokļa likmi dabasgāzei transportā līdz 2026. gadam, </w:t>
      </w:r>
      <w:r>
        <w:rPr>
          <w:lang w:val="lv-LV"/>
        </w:rPr>
        <w:t xml:space="preserve">nepieciešams piemērot </w:t>
      </w:r>
      <w:r w:rsidRPr="4BDC72F9">
        <w:rPr>
          <w:lang w:val="lv-LV"/>
        </w:rPr>
        <w:t xml:space="preserve">0 EUR/MWh likmi biometānam, </w:t>
      </w:r>
      <w:r>
        <w:rPr>
          <w:lang w:val="lv-LV"/>
        </w:rPr>
        <w:t xml:space="preserve">taču tas </w:t>
      </w:r>
      <w:r w:rsidRPr="4BDC72F9">
        <w:rPr>
          <w:lang w:val="lv-LV"/>
        </w:rPr>
        <w:t xml:space="preserve">minimāli ietekmēs biometāna konkurētspēju attiecībā pret dabasgāzi. </w:t>
      </w:r>
      <w:r>
        <w:rPr>
          <w:lang w:val="lv-LV"/>
        </w:rPr>
        <w:t xml:space="preserve">Samazinātā akcīze dabasgāzei transporta sektorā varētu veicināt CNG transporta līdzekļu plašāku pielietojumu, kas pēc 2025. gada atvieglos iespēju paplašināt pienākumu shēmu degvielas tirgotājiem. </w:t>
      </w:r>
    </w:p>
    <w:p w14:paraId="572453BF" w14:textId="77777777" w:rsidR="00C03AAD" w:rsidRPr="00C906F0" w:rsidRDefault="00C03AAD" w:rsidP="00C03AAD">
      <w:pPr>
        <w:pStyle w:val="tvhtml"/>
        <w:numPr>
          <w:ilvl w:val="2"/>
          <w:numId w:val="21"/>
        </w:numPr>
        <w:shd w:val="clear" w:color="auto" w:fill="FFFFFF"/>
        <w:spacing w:line="293" w:lineRule="atLeast"/>
        <w:jc w:val="both"/>
        <w:rPr>
          <w:i/>
          <w:iCs/>
          <w:lang w:val="lv-LV"/>
        </w:rPr>
      </w:pPr>
      <w:r w:rsidRPr="00FC0B41">
        <w:rPr>
          <w:i/>
          <w:iCs/>
          <w:lang w:val="lv-LV"/>
        </w:rPr>
        <w:t>S</w:t>
      </w:r>
      <w:r w:rsidRPr="00C906F0">
        <w:rPr>
          <w:i/>
          <w:iCs/>
          <w:lang w:val="lv-LV"/>
        </w:rPr>
        <w:t xml:space="preserve">avstarpēji sabalansēts investīciju atbalsts biometāna ražošanai un patēriņam  </w:t>
      </w:r>
    </w:p>
    <w:p w14:paraId="27ADA59F" w14:textId="260E40D1" w:rsidR="00C03AAD" w:rsidRDefault="00C03AAD" w:rsidP="00C03AAD">
      <w:pPr>
        <w:pStyle w:val="tvhtml"/>
        <w:shd w:val="clear" w:color="auto" w:fill="FFFFFF"/>
        <w:spacing w:line="293" w:lineRule="atLeast"/>
        <w:jc w:val="both"/>
        <w:rPr>
          <w:lang w:val="lv-LV"/>
        </w:rPr>
      </w:pPr>
      <w:bookmarkStart w:id="5" w:name="_Hlk57880639"/>
      <w:r>
        <w:rPr>
          <w:lang w:val="lv-LV"/>
        </w:rPr>
        <w:t>Atbalsta apjom</w:t>
      </w:r>
      <w:r w:rsidR="008F2946">
        <w:rPr>
          <w:lang w:val="lv-LV"/>
        </w:rPr>
        <w:t>u iespējams</w:t>
      </w:r>
      <w:r>
        <w:rPr>
          <w:lang w:val="lv-LV"/>
        </w:rPr>
        <w:t xml:space="preserve"> veidot, lai nodrošinātu apjoma ziņā sabalansētu investīciju</w:t>
      </w:r>
      <w:r w:rsidRPr="00FD1970">
        <w:rPr>
          <w:lang w:val="lv-LV"/>
        </w:rPr>
        <w:t xml:space="preserve"> atbalst</w:t>
      </w:r>
      <w:r>
        <w:rPr>
          <w:lang w:val="lv-LV"/>
        </w:rPr>
        <w:t>u</w:t>
      </w:r>
      <w:r w:rsidRPr="00FD1970">
        <w:rPr>
          <w:lang w:val="lv-LV"/>
        </w:rPr>
        <w:t xml:space="preserve"> biometāna ražošanai un pārvadei</w:t>
      </w:r>
      <w:r>
        <w:rPr>
          <w:lang w:val="lv-LV"/>
        </w:rPr>
        <w:t xml:space="preserve">, kā arī patēriņam </w:t>
      </w:r>
      <w:r w:rsidRPr="00FD1970">
        <w:rPr>
          <w:lang w:val="lv-LV"/>
        </w:rPr>
        <w:t>sabiedriskajā transportā, komunālajā transportā un lauksaimniecības transportā ar</w:t>
      </w:r>
      <w:r>
        <w:rPr>
          <w:lang w:val="lv-LV"/>
        </w:rPr>
        <w:t xml:space="preserve"> saistošu nosacījumu atbalsta saņēmējam</w:t>
      </w:r>
      <w:r w:rsidRPr="00FD1970">
        <w:rPr>
          <w:lang w:val="lv-LV"/>
        </w:rPr>
        <w:t xml:space="preserve"> </w:t>
      </w:r>
      <w:r>
        <w:rPr>
          <w:lang w:val="lv-LV"/>
        </w:rPr>
        <w:t xml:space="preserve">izmantot </w:t>
      </w:r>
      <w:r w:rsidRPr="00FD1970">
        <w:rPr>
          <w:lang w:val="lv-LV"/>
        </w:rPr>
        <w:t>biometān</w:t>
      </w:r>
      <w:r>
        <w:rPr>
          <w:lang w:val="lv-LV"/>
        </w:rPr>
        <w:t>u</w:t>
      </w:r>
      <w:r w:rsidRPr="00FD1970">
        <w:rPr>
          <w:lang w:val="lv-LV"/>
        </w:rPr>
        <w:t xml:space="preserve"> </w:t>
      </w:r>
      <w:r>
        <w:rPr>
          <w:lang w:val="lv-LV"/>
        </w:rPr>
        <w:t>nevis dabas gāzi</w:t>
      </w:r>
      <w:r w:rsidRPr="00FD1970">
        <w:rPr>
          <w:lang w:val="lv-LV"/>
        </w:rPr>
        <w:t xml:space="preserve">. </w:t>
      </w:r>
      <w:bookmarkEnd w:id="5"/>
      <w:r>
        <w:rPr>
          <w:lang w:val="lv-LV"/>
        </w:rPr>
        <w:t xml:space="preserve">Papildus apskatāmas arī iespējamas investīcijas transportlīdzekļu uzpildes iekārtās. </w:t>
      </w:r>
      <w:r w:rsidR="008F2946">
        <w:rPr>
          <w:lang w:val="lv-LV"/>
        </w:rPr>
        <w:t>L</w:t>
      </w:r>
      <w:r w:rsidR="008F2946" w:rsidRPr="00FD1970">
        <w:rPr>
          <w:lang w:val="lv-LV"/>
        </w:rPr>
        <w:t>ai kompensētu biometāna izmaksas</w:t>
      </w:r>
      <w:r w:rsidR="008F2946">
        <w:rPr>
          <w:lang w:val="lv-LV"/>
        </w:rPr>
        <w:t>, b</w:t>
      </w:r>
      <w:r w:rsidRPr="00FD1970">
        <w:rPr>
          <w:lang w:val="lv-LV"/>
        </w:rPr>
        <w:t xml:space="preserve">ūs nepieciešams </w:t>
      </w:r>
      <w:r>
        <w:rPr>
          <w:lang w:val="lv-LV"/>
        </w:rPr>
        <w:t xml:space="preserve">salīdzinoši </w:t>
      </w:r>
      <w:r w:rsidRPr="00FD1970">
        <w:rPr>
          <w:lang w:val="lv-LV"/>
        </w:rPr>
        <w:t xml:space="preserve">augstas intensitātes </w:t>
      </w:r>
      <w:r>
        <w:rPr>
          <w:lang w:val="lv-LV"/>
        </w:rPr>
        <w:t xml:space="preserve">investīciju </w:t>
      </w:r>
      <w:r w:rsidRPr="00FD1970">
        <w:rPr>
          <w:lang w:val="lv-LV"/>
        </w:rPr>
        <w:t>atbalsts</w:t>
      </w:r>
      <w:r>
        <w:rPr>
          <w:lang w:val="lv-LV"/>
        </w:rPr>
        <w:t xml:space="preserve">. </w:t>
      </w:r>
      <w:bookmarkStart w:id="6" w:name="_Hlk57880771"/>
      <w:r>
        <w:rPr>
          <w:lang w:val="lv-LV"/>
        </w:rPr>
        <w:t xml:space="preserve">Investīciju atbalsts biometāna ražošanai un ievadīšanai tīklā </w:t>
      </w:r>
      <w:r w:rsidR="008F2946">
        <w:rPr>
          <w:lang w:val="lv-LV"/>
        </w:rPr>
        <w:t xml:space="preserve">no ERAF finansējuma paredzēts </w:t>
      </w:r>
      <w:r>
        <w:rPr>
          <w:lang w:val="lv-LV"/>
        </w:rPr>
        <w:t>21</w:t>
      </w:r>
      <w:r w:rsidR="008F2946">
        <w:rPr>
          <w:lang w:val="lv-LV"/>
        </w:rPr>
        <w:t>,</w:t>
      </w:r>
      <w:r>
        <w:rPr>
          <w:lang w:val="lv-LV"/>
        </w:rPr>
        <w:t>75 MEUR</w:t>
      </w:r>
      <w:bookmarkEnd w:id="6"/>
      <w:r w:rsidR="008F2946">
        <w:rPr>
          <w:lang w:val="lv-LV"/>
        </w:rPr>
        <w:t xml:space="preserve"> apmērā</w:t>
      </w:r>
      <w:r>
        <w:rPr>
          <w:lang w:val="lv-LV"/>
        </w:rPr>
        <w:t>.</w:t>
      </w:r>
      <w:r w:rsidR="008F2946">
        <w:rPr>
          <w:lang w:val="lv-LV"/>
        </w:rPr>
        <w:t xml:space="preserve"> Savukārt</w:t>
      </w:r>
      <w:r>
        <w:rPr>
          <w:lang w:val="lv-LV"/>
        </w:rPr>
        <w:t xml:space="preserve"> </w:t>
      </w:r>
      <w:r w:rsidR="008F2946">
        <w:rPr>
          <w:lang w:val="lv-LV"/>
        </w:rPr>
        <w:t>i</w:t>
      </w:r>
      <w:r>
        <w:rPr>
          <w:lang w:val="lv-LV"/>
        </w:rPr>
        <w:t xml:space="preserve">nvestīciju atbalsts sabiedriskajam transportam, komunālajam transportam un lauksaimniecības transportam </w:t>
      </w:r>
      <w:r w:rsidRPr="00DB09A8">
        <w:rPr>
          <w:lang w:val="lv-LV"/>
        </w:rPr>
        <w:t>40 MEUR</w:t>
      </w:r>
      <w:r>
        <w:rPr>
          <w:lang w:val="lv-LV"/>
        </w:rPr>
        <w:t xml:space="preserve"> </w:t>
      </w:r>
      <w:r w:rsidR="008F2946">
        <w:rPr>
          <w:lang w:val="lv-LV"/>
        </w:rPr>
        <w:t>apmērā iekļauts</w:t>
      </w:r>
      <w:r>
        <w:rPr>
          <w:lang w:val="lv-LV"/>
        </w:rPr>
        <w:t xml:space="preserve"> ANM </w:t>
      </w:r>
      <w:r w:rsidR="008F2946">
        <w:rPr>
          <w:lang w:val="lv-LV"/>
        </w:rPr>
        <w:t>plāna projektā</w:t>
      </w:r>
      <w:r>
        <w:rPr>
          <w:lang w:val="lv-LV"/>
        </w:rPr>
        <w:t>.  Konkurs</w:t>
      </w:r>
      <w:r w:rsidR="008F2946">
        <w:rPr>
          <w:lang w:val="lv-LV"/>
        </w:rPr>
        <w:t>u</w:t>
      </w:r>
      <w:r>
        <w:rPr>
          <w:lang w:val="lv-LV"/>
        </w:rPr>
        <w:t xml:space="preserve"> </w:t>
      </w:r>
      <w:r w:rsidR="008F2946">
        <w:rPr>
          <w:lang w:val="lv-LV"/>
        </w:rPr>
        <w:t>iespējams</w:t>
      </w:r>
      <w:r>
        <w:rPr>
          <w:lang w:val="lv-LV"/>
        </w:rPr>
        <w:t xml:space="preserve"> veidot pēc kritērijiem  nodrošināt lielāku biometāna patēriņu pret investēto summu, neierobežojot tehnoloģiskos risinājumus ne ražotājam, ne patērētājam, tai skaitā paredzot iespējas saražoto biometānu ievadīt gan sadales, gan pārvades tīklā, tāpat arī izmantot uz vietas, uzpildot transporta līdzekļus pie ražošanas iekārtas.</w:t>
      </w:r>
    </w:p>
    <w:p w14:paraId="4BB7996E" w14:textId="77777777" w:rsidR="00C03AAD" w:rsidRDefault="00C03AAD" w:rsidP="00C03AAD">
      <w:pPr>
        <w:pStyle w:val="tvhtml"/>
        <w:shd w:val="clear" w:color="auto" w:fill="FFFFFF"/>
        <w:spacing w:line="293" w:lineRule="atLeast"/>
        <w:jc w:val="both"/>
        <w:rPr>
          <w:lang w:val="lv-LV"/>
        </w:rPr>
      </w:pPr>
      <w:r>
        <w:rPr>
          <w:lang w:val="lv-LV"/>
        </w:rPr>
        <w:t>Atbalstāmās aktivitātes detalizētāk jāparedz attiecīgajos konkursa noteikumos, bet indikatīvi tās ietvertu:</w:t>
      </w:r>
    </w:p>
    <w:p w14:paraId="5D85F48A" w14:textId="77777777" w:rsidR="00C03AAD" w:rsidRDefault="00C03AAD" w:rsidP="00C03AAD">
      <w:pPr>
        <w:pStyle w:val="naisc"/>
        <w:spacing w:before="60" w:after="60"/>
        <w:jc w:val="both"/>
      </w:pPr>
      <w:r>
        <w:t>1.</w:t>
      </w:r>
      <w:r>
        <w:tab/>
        <w:t xml:space="preserve">Atbalsts modernā </w:t>
      </w:r>
      <w:bookmarkStart w:id="7" w:name="_Hlk57880839"/>
      <w:r>
        <w:t xml:space="preserve">biometāna ražošanas iekārtu izbūvei pie esošajām biogāzes stacijām, tai skaitā biometāna ražošanas klasteru izbūvei. </w:t>
      </w:r>
      <w:bookmarkEnd w:id="7"/>
    </w:p>
    <w:p w14:paraId="77033B54" w14:textId="77777777" w:rsidR="00C03AAD" w:rsidRDefault="00C03AAD" w:rsidP="00C03AAD">
      <w:pPr>
        <w:pStyle w:val="naisc"/>
        <w:spacing w:before="60" w:after="60"/>
        <w:jc w:val="both"/>
      </w:pPr>
      <w:r>
        <w:t>3.</w:t>
      </w:r>
      <w:r>
        <w:tab/>
      </w:r>
      <w:bookmarkStart w:id="8" w:name="_Hlk57880895"/>
      <w:r>
        <w:t xml:space="preserve">Pieslēgumu un pārvades tīklu, uzpildes infrastruktūras izbūvei, atbilstoši tehnoloģiskajiem un ekonomiskajiem risinājumiem, lai nodrošinātu saražotā biometāna izmantošanu. </w:t>
      </w:r>
    </w:p>
    <w:bookmarkEnd w:id="8"/>
    <w:p w14:paraId="5208069E" w14:textId="77777777" w:rsidR="00C03AAD" w:rsidRDefault="00C03AAD" w:rsidP="00C03AAD">
      <w:pPr>
        <w:pStyle w:val="naisc"/>
        <w:spacing w:before="60" w:after="60"/>
        <w:jc w:val="both"/>
      </w:pPr>
      <w:r>
        <w:t>4.</w:t>
      </w:r>
      <w:r>
        <w:tab/>
      </w:r>
      <w:bookmarkStart w:id="9" w:name="_Hlk57881017"/>
      <w:r>
        <w:t xml:space="preserve">Ar biometānu darbināmu transporta līdzekļu – pasažieru autobusu, pašvaldību komunālā transporta līdzekļu, valsts un pašvaldību operatīvo transporta līdzekļu, iegāde.     </w:t>
      </w:r>
    </w:p>
    <w:p w14:paraId="18F2B40B" w14:textId="77777777" w:rsidR="00C03AAD" w:rsidRDefault="00C03AAD" w:rsidP="00C03AAD">
      <w:pPr>
        <w:pStyle w:val="naisc"/>
        <w:spacing w:before="60" w:after="60"/>
        <w:jc w:val="both"/>
      </w:pPr>
      <w:r>
        <w:t>5.</w:t>
      </w:r>
      <w:r>
        <w:tab/>
        <w:t xml:space="preserve">Lauku saimniecībām (arī lauksaimnieciskā ražošanā) un uzņēmumiem nepieciešamā transporta un tehnikas pielāgošana darbināšanai ar biometānu (iekļauj kā jaunas tehnikas iegādi, tā arī pārbūvi). </w:t>
      </w:r>
    </w:p>
    <w:bookmarkEnd w:id="9"/>
    <w:p w14:paraId="31F1B8E7" w14:textId="77777777" w:rsidR="00C03AAD" w:rsidRPr="00C76B0D" w:rsidRDefault="00C03AAD" w:rsidP="00C03AAD">
      <w:pPr>
        <w:pStyle w:val="naisc"/>
        <w:spacing w:before="60" w:after="60"/>
        <w:jc w:val="both"/>
      </w:pPr>
      <w:r>
        <w:t>6. Biometāna (kā saspiestā, tā sašķidrinātā formā) pārvadāšanas moduļu iegāde.</w:t>
      </w:r>
    </w:p>
    <w:p w14:paraId="214F4485" w14:textId="67937C18" w:rsidR="00C03AAD" w:rsidRDefault="00C03AAD" w:rsidP="00C03AAD">
      <w:pPr>
        <w:pStyle w:val="tvhtml"/>
        <w:shd w:val="clear" w:color="auto" w:fill="FFFFFF" w:themeFill="background1"/>
        <w:spacing w:line="293" w:lineRule="atLeast"/>
        <w:jc w:val="both"/>
        <w:rPr>
          <w:lang w:val="lv-LV"/>
        </w:rPr>
      </w:pPr>
      <w:r w:rsidRPr="009450CD">
        <w:rPr>
          <w:lang w:val="lv-LV"/>
        </w:rPr>
        <w:lastRenderedPageBreak/>
        <w:t>Investīciju atbalsts biometāna patēriņam 40</w:t>
      </w:r>
      <w:r w:rsidR="008F2946">
        <w:rPr>
          <w:lang w:val="lv-LV"/>
        </w:rPr>
        <w:t xml:space="preserve"> </w:t>
      </w:r>
      <w:r w:rsidRPr="009450CD">
        <w:rPr>
          <w:lang w:val="lv-LV"/>
        </w:rPr>
        <w:t>MEUR no AN</w:t>
      </w:r>
      <w:r>
        <w:rPr>
          <w:lang w:val="lv-LV"/>
        </w:rPr>
        <w:t>M nodrošin</w:t>
      </w:r>
      <w:r w:rsidR="00CD2FAD">
        <w:rPr>
          <w:lang w:val="lv-LV"/>
        </w:rPr>
        <w:t>ātu</w:t>
      </w:r>
      <w:r>
        <w:rPr>
          <w:lang w:val="lv-LV"/>
        </w:rPr>
        <w:t xml:space="preserve"> ar</w:t>
      </w:r>
      <w:r w:rsidRPr="009450CD">
        <w:rPr>
          <w:lang w:val="lv-LV"/>
        </w:rPr>
        <w:t xml:space="preserve"> biometānu darbināmu transporta līdzekļu </w:t>
      </w:r>
      <w:r>
        <w:rPr>
          <w:lang w:val="lv-LV"/>
        </w:rPr>
        <w:t>iegādi</w:t>
      </w:r>
      <w:r w:rsidRPr="009450CD">
        <w:rPr>
          <w:lang w:val="lv-LV"/>
        </w:rPr>
        <w:t xml:space="preserve">. </w:t>
      </w:r>
      <w:r w:rsidR="00CD2FAD">
        <w:rPr>
          <w:lang w:val="lv-LV"/>
        </w:rPr>
        <w:t>ANM plāna projektā p</w:t>
      </w:r>
      <w:r>
        <w:rPr>
          <w:lang w:val="lv-LV"/>
        </w:rPr>
        <w:t>aredzēts, ka a</w:t>
      </w:r>
      <w:r w:rsidRPr="009450CD">
        <w:rPr>
          <w:lang w:val="lv-LV"/>
        </w:rPr>
        <w:t>tbalstāmās aktivitātes ietver</w:t>
      </w:r>
      <w:r>
        <w:rPr>
          <w:lang w:val="lv-LV"/>
        </w:rPr>
        <w:t>s</w:t>
      </w:r>
      <w:r w:rsidRPr="009450CD">
        <w:rPr>
          <w:lang w:val="lv-LV"/>
        </w:rPr>
        <w:t>:</w:t>
      </w:r>
      <w:r w:rsidR="00CD2FAD">
        <w:rPr>
          <w:lang w:val="lv-LV"/>
        </w:rPr>
        <w:t xml:space="preserve"> </w:t>
      </w:r>
      <w:r w:rsidRPr="009450CD">
        <w:rPr>
          <w:lang w:val="lv-LV"/>
        </w:rPr>
        <w:t xml:space="preserve">1) IeM Valsts ugunsdzēsības un glābšanas dienesta transporta līdzekļu iegāde </w:t>
      </w:r>
      <w:r w:rsidR="008F2946">
        <w:rPr>
          <w:lang w:val="lv-LV"/>
        </w:rPr>
        <w:t xml:space="preserve">- </w:t>
      </w:r>
      <w:r w:rsidRPr="009450CD">
        <w:rPr>
          <w:lang w:val="lv-LV"/>
        </w:rPr>
        <w:t>20 MEUR</w:t>
      </w:r>
      <w:r w:rsidR="008F2946">
        <w:rPr>
          <w:lang w:val="lv-LV"/>
        </w:rPr>
        <w:t>,</w:t>
      </w:r>
      <w:r w:rsidRPr="009450CD">
        <w:rPr>
          <w:lang w:val="lv-LV"/>
        </w:rPr>
        <w:t xml:space="preserve"> 100% atbalsta intensitāte. 2) Pašvaldību sabiedriskā transporta līdzekļu un citu sabiedrisko pakalpojumu, kā arī  pašvaldību kapitālsabiedrību pakalpojumu sniegšanai nepieciešamo transporta līdzekļu iegāde</w:t>
      </w:r>
      <w:r w:rsidR="008F2946">
        <w:rPr>
          <w:lang w:val="lv-LV"/>
        </w:rPr>
        <w:t xml:space="preserve"> -</w:t>
      </w:r>
      <w:r w:rsidRPr="009450CD">
        <w:rPr>
          <w:lang w:val="lv-LV"/>
        </w:rPr>
        <w:t xml:space="preserve"> 10 MEUR</w:t>
      </w:r>
      <w:r w:rsidR="008F2946">
        <w:rPr>
          <w:lang w:val="lv-LV"/>
        </w:rPr>
        <w:t>,</w:t>
      </w:r>
      <w:r w:rsidRPr="009450CD">
        <w:rPr>
          <w:lang w:val="lv-LV"/>
        </w:rPr>
        <w:t xml:space="preserve"> 100% atbalsta intensitāte. 3)    Lauku saimniecībām (arī lauksaimnieciskā ražošanā) un uzņēmumiem nepieciešamā transporta un tehnikas pielāgošana darbināšanai ar biometānu (iekļauj kā jaunas tehnikas iegādi, tā arī pārbūvi), biometāna (kā saspiestā, tā sašķidrinātā formā) pārvadāšanas moduļu iegāde, Atkritumu apsaimniekošanas transportlīdzekļu iegāde</w:t>
      </w:r>
      <w:r w:rsidR="008F2946">
        <w:rPr>
          <w:lang w:val="lv-LV"/>
        </w:rPr>
        <w:t xml:space="preserve"> -</w:t>
      </w:r>
      <w:r w:rsidRPr="009450CD">
        <w:rPr>
          <w:lang w:val="lv-LV"/>
        </w:rPr>
        <w:t xml:space="preserve"> 10.263 MEUR. Tiek piemērota komercdarbības atbalsta intensitāte. Konkursa noteikumu virzību un īstenošanu nodrošina atbildīgās nozaru ministrijas.</w:t>
      </w:r>
      <w:r w:rsidR="00B2676B">
        <w:rPr>
          <w:lang w:val="lv-LV"/>
        </w:rPr>
        <w:t xml:space="preserve"> Gadījumā, ka ANM finansējums šai aktivitātei netiek piešķirts, nepieciešams izvērtēt atbalsta pasākumus biometāna izmatošanai transporta apmērā no citiem iespējamiem finansēšanas avotiem</w:t>
      </w:r>
      <w:r w:rsidR="00CD2FAD">
        <w:rPr>
          <w:lang w:val="lv-LV"/>
        </w:rPr>
        <w:t>, tajā skaitā</w:t>
      </w:r>
      <w:r w:rsidR="00B2676B">
        <w:rPr>
          <w:lang w:val="lv-LV"/>
        </w:rPr>
        <w:t xml:space="preserve"> EKII vai Modernizācijas fonda. </w:t>
      </w:r>
    </w:p>
    <w:p w14:paraId="79046A8B" w14:textId="77777777" w:rsidR="00C03AAD" w:rsidRDefault="00C03AAD" w:rsidP="00C03AAD">
      <w:pPr>
        <w:jc w:val="both"/>
        <w:rPr>
          <w:rFonts w:ascii="Times New Roman" w:hAnsi="Times New Roman" w:cs="Times New Roman"/>
          <w:b/>
          <w:bCs/>
          <w:sz w:val="24"/>
          <w:szCs w:val="24"/>
        </w:rPr>
      </w:pPr>
      <w:r>
        <w:rPr>
          <w:rFonts w:ascii="Times New Roman" w:hAnsi="Times New Roman" w:cs="Times New Roman"/>
          <w:b/>
          <w:bCs/>
          <w:sz w:val="24"/>
          <w:szCs w:val="24"/>
        </w:rPr>
        <w:t>I</w:t>
      </w:r>
      <w:r w:rsidRPr="00832879">
        <w:rPr>
          <w:rFonts w:ascii="Times New Roman" w:hAnsi="Times New Roman" w:cs="Times New Roman"/>
          <w:b/>
          <w:bCs/>
          <w:sz w:val="24"/>
          <w:szCs w:val="24"/>
        </w:rPr>
        <w:t xml:space="preserve">V </w:t>
      </w:r>
      <w:r>
        <w:rPr>
          <w:rFonts w:ascii="Times New Roman" w:hAnsi="Times New Roman" w:cs="Times New Roman"/>
          <w:b/>
          <w:bCs/>
          <w:sz w:val="24"/>
          <w:szCs w:val="24"/>
        </w:rPr>
        <w:t xml:space="preserve"> Secinājumi un nepieciešamās rīcība</w:t>
      </w:r>
    </w:p>
    <w:p w14:paraId="39785A98" w14:textId="77777777" w:rsidR="00C03AAD" w:rsidRPr="00AA4495" w:rsidRDefault="00C03AAD" w:rsidP="00C03AAD">
      <w:pPr>
        <w:pStyle w:val="tvhtml"/>
        <w:shd w:val="clear" w:color="auto" w:fill="FFFFFF" w:themeFill="background1"/>
        <w:spacing w:line="293" w:lineRule="atLeast"/>
        <w:jc w:val="both"/>
        <w:rPr>
          <w:lang w:val="lv-LV"/>
        </w:rPr>
      </w:pPr>
      <w:r>
        <w:rPr>
          <w:lang w:val="lv-LV"/>
        </w:rPr>
        <w:t xml:space="preserve">Informatīvajā ziņojumā paredzētais kompleksā atbalsta scenārijs paredz īstenot visus šī ziņojuma 3.2. sadaļā minētos pasākumus, bet būtiskākā ietekme būs investīciju atbalstam, lai nodrošinātu 2025. gada NEKP mērķu sasniegšanu un nodrošinātu biometāna sākotnējo pieprasījumu, no 2025. gada pilnībā pārejot uz pienākumu shēmu degvielas tirgotājiem. Scenārijs arī ņem vērā, ka līdz 2025. gadam būs izveidojies reģionālais biometāna tirgus, ņemot vērā izcelsmes apliecinājumu pārrobežu tirdzniecību. Vienlaikus biometāna ražošanas konkurētspējīgas cenas nozīme pieaugs, jo biometāna cenu noteiks reģionālais tirgus. </w:t>
      </w:r>
    </w:p>
    <w:p w14:paraId="59385C0C" w14:textId="77777777" w:rsidR="00C03AAD" w:rsidRDefault="00C03AAD" w:rsidP="00C03AAD">
      <w:pPr>
        <w:jc w:val="both"/>
        <w:rPr>
          <w:rFonts w:ascii="Times New Roman" w:hAnsi="Times New Roman" w:cs="Times New Roman"/>
          <w:sz w:val="24"/>
          <w:szCs w:val="24"/>
        </w:rPr>
      </w:pPr>
      <w:r>
        <w:rPr>
          <w:rFonts w:ascii="Times New Roman" w:hAnsi="Times New Roman" w:cs="Times New Roman"/>
          <w:sz w:val="24"/>
          <w:szCs w:val="24"/>
        </w:rPr>
        <w:t>Nepieciešamā rīcība:</w:t>
      </w:r>
    </w:p>
    <w:p w14:paraId="6230289A" w14:textId="3F42FBEC" w:rsidR="00C03AAD" w:rsidRPr="009450CD" w:rsidRDefault="00C03AAD" w:rsidP="00C03AAD">
      <w:pPr>
        <w:jc w:val="both"/>
        <w:rPr>
          <w:rFonts w:ascii="Times New Roman" w:hAnsi="Times New Roman" w:cs="Times New Roman"/>
          <w:sz w:val="24"/>
          <w:szCs w:val="24"/>
        </w:rPr>
      </w:pPr>
      <w:bookmarkStart w:id="10" w:name="_Hlk60120699"/>
      <w:r w:rsidRPr="009450CD">
        <w:rPr>
          <w:rFonts w:ascii="Times New Roman" w:hAnsi="Times New Roman" w:cs="Times New Roman"/>
          <w:sz w:val="24"/>
          <w:szCs w:val="24"/>
        </w:rPr>
        <w:t>E</w:t>
      </w:r>
      <w:r>
        <w:rPr>
          <w:rFonts w:ascii="Times New Roman" w:hAnsi="Times New Roman" w:cs="Times New Roman"/>
          <w:sz w:val="24"/>
          <w:szCs w:val="24"/>
        </w:rPr>
        <w:t xml:space="preserve">konomikas ministrija </w:t>
      </w:r>
      <w:r w:rsidRPr="009450CD">
        <w:rPr>
          <w:rFonts w:ascii="Times New Roman" w:hAnsi="Times New Roman" w:cs="Times New Roman"/>
          <w:sz w:val="24"/>
          <w:szCs w:val="24"/>
        </w:rPr>
        <w:t xml:space="preserve"> nodrošina normatīvo aktu izstrādes un ieviešanas koordināciju biometāna aprites nodrošināšanai (izcelsmes apliecinājumi, kvalitātes kritēriji, pienākumu shēmas degvielas tirgotājiem), kā arī aktivitātes saistībā ar </w:t>
      </w:r>
      <w:r>
        <w:rPr>
          <w:rFonts w:ascii="Times New Roman" w:hAnsi="Times New Roman" w:cs="Times New Roman"/>
          <w:sz w:val="24"/>
          <w:szCs w:val="24"/>
        </w:rPr>
        <w:t>ES fondu atbalsta</w:t>
      </w:r>
      <w:r w:rsidRPr="009450CD">
        <w:rPr>
          <w:rFonts w:ascii="Times New Roman" w:hAnsi="Times New Roman" w:cs="Times New Roman"/>
          <w:sz w:val="24"/>
          <w:szCs w:val="24"/>
        </w:rPr>
        <w:t xml:space="preserve"> programmu ieviešanu biometāna ražošanai un tā integrācijas kopējā gāzes aprites sistēmā.</w:t>
      </w:r>
    </w:p>
    <w:p w14:paraId="6C927987" w14:textId="7D5C6A83" w:rsidR="00C03AAD" w:rsidRDefault="00C03AAD" w:rsidP="00C03AAD">
      <w:pPr>
        <w:jc w:val="both"/>
        <w:rPr>
          <w:rFonts w:ascii="Times New Roman" w:hAnsi="Times New Roman" w:cs="Times New Roman"/>
          <w:sz w:val="24"/>
          <w:szCs w:val="24"/>
        </w:rPr>
      </w:pPr>
      <w:r>
        <w:rPr>
          <w:rFonts w:ascii="Times New Roman" w:hAnsi="Times New Roman" w:cs="Times New Roman"/>
          <w:sz w:val="24"/>
          <w:szCs w:val="24"/>
        </w:rPr>
        <w:t xml:space="preserve">Vides aizsardzības un reģionālās attīstības ministrija, </w:t>
      </w:r>
      <w:r w:rsidRPr="009450CD">
        <w:rPr>
          <w:rFonts w:ascii="Times New Roman" w:hAnsi="Times New Roman" w:cs="Times New Roman"/>
          <w:sz w:val="24"/>
          <w:szCs w:val="24"/>
        </w:rPr>
        <w:t>Z</w:t>
      </w:r>
      <w:r>
        <w:rPr>
          <w:rFonts w:ascii="Times New Roman" w:hAnsi="Times New Roman" w:cs="Times New Roman"/>
          <w:sz w:val="24"/>
          <w:szCs w:val="24"/>
        </w:rPr>
        <w:t>emkopības ministrija un Iekšlietu ministrija</w:t>
      </w:r>
      <w:r w:rsidRPr="009450CD">
        <w:rPr>
          <w:rFonts w:ascii="Times New Roman" w:hAnsi="Times New Roman" w:cs="Times New Roman"/>
          <w:sz w:val="24"/>
          <w:szCs w:val="24"/>
        </w:rPr>
        <w:t xml:space="preserve"> nodrošina koordinētu pieeju no AN</w:t>
      </w:r>
      <w:r>
        <w:rPr>
          <w:rFonts w:ascii="Times New Roman" w:hAnsi="Times New Roman" w:cs="Times New Roman"/>
          <w:sz w:val="24"/>
          <w:szCs w:val="24"/>
        </w:rPr>
        <w:t>M</w:t>
      </w:r>
      <w:r w:rsidRPr="009450CD">
        <w:rPr>
          <w:rFonts w:ascii="Times New Roman" w:hAnsi="Times New Roman" w:cs="Times New Roman"/>
          <w:sz w:val="24"/>
          <w:szCs w:val="24"/>
        </w:rPr>
        <w:t xml:space="preserve"> izrietošo  biometāna investīciju atbalsts programmu ieviešanu patēriņa puses nodrošināšanai</w:t>
      </w:r>
      <w:bookmarkEnd w:id="10"/>
      <w:r w:rsidR="00B2676B">
        <w:rPr>
          <w:rFonts w:ascii="Times New Roman" w:hAnsi="Times New Roman" w:cs="Times New Roman"/>
          <w:sz w:val="24"/>
          <w:szCs w:val="24"/>
        </w:rPr>
        <w:t xml:space="preserve"> vai </w:t>
      </w:r>
      <w:r w:rsidR="00CD2FAD">
        <w:rPr>
          <w:rFonts w:ascii="Times New Roman" w:hAnsi="Times New Roman" w:cs="Times New Roman"/>
          <w:sz w:val="24"/>
          <w:szCs w:val="24"/>
        </w:rPr>
        <w:t xml:space="preserve">izvērtē iespēju iesviest </w:t>
      </w:r>
      <w:r w:rsidR="00B2676B">
        <w:rPr>
          <w:rFonts w:ascii="Times New Roman" w:hAnsi="Times New Roman" w:cs="Times New Roman"/>
          <w:sz w:val="24"/>
          <w:szCs w:val="24"/>
        </w:rPr>
        <w:t xml:space="preserve">līdzvērtīgu programmu no cita finansējuma avota. </w:t>
      </w:r>
    </w:p>
    <w:p w14:paraId="21A55401" w14:textId="77777777" w:rsidR="00C53C59" w:rsidRPr="00C53C59" w:rsidRDefault="00C03AAD" w:rsidP="00C53C59">
      <w:pPr>
        <w:jc w:val="both"/>
        <w:rPr>
          <w:rFonts w:ascii="Times New Roman" w:hAnsi="Times New Roman" w:cs="Times New Roman"/>
          <w:bCs/>
          <w:sz w:val="24"/>
          <w:szCs w:val="24"/>
        </w:rPr>
      </w:pPr>
      <w:r>
        <w:rPr>
          <w:rFonts w:ascii="Times New Roman" w:hAnsi="Times New Roman" w:cs="Times New Roman"/>
          <w:sz w:val="24"/>
          <w:szCs w:val="24"/>
        </w:rPr>
        <w:tab/>
      </w:r>
    </w:p>
    <w:p w14:paraId="5E946F72" w14:textId="77777777" w:rsidR="00C53C59" w:rsidRPr="00C53C59" w:rsidRDefault="00C53C59" w:rsidP="00C53C59">
      <w:pPr>
        <w:spacing w:after="0"/>
        <w:jc w:val="both"/>
        <w:rPr>
          <w:rFonts w:ascii="Times New Roman" w:hAnsi="Times New Roman" w:cs="Times New Roman"/>
          <w:bCs/>
          <w:sz w:val="24"/>
          <w:szCs w:val="24"/>
        </w:rPr>
      </w:pPr>
      <w:r w:rsidRPr="00C53C59">
        <w:rPr>
          <w:rFonts w:ascii="Times New Roman" w:hAnsi="Times New Roman" w:cs="Times New Roman"/>
          <w:bCs/>
          <w:sz w:val="24"/>
          <w:szCs w:val="24"/>
        </w:rPr>
        <w:t>Iesniedzējs:</w:t>
      </w:r>
    </w:p>
    <w:p w14:paraId="7F845462" w14:textId="37479301" w:rsidR="00C53C59" w:rsidRPr="00C53C59" w:rsidRDefault="00C53C59" w:rsidP="00C53C59">
      <w:pPr>
        <w:spacing w:after="0"/>
        <w:jc w:val="both"/>
        <w:rPr>
          <w:rFonts w:ascii="Times New Roman" w:hAnsi="Times New Roman" w:cs="Times New Roman"/>
          <w:bCs/>
          <w:sz w:val="24"/>
          <w:szCs w:val="24"/>
        </w:rPr>
      </w:pPr>
      <w:r w:rsidRPr="00C53C59">
        <w:rPr>
          <w:rFonts w:ascii="Times New Roman" w:hAnsi="Times New Roman" w:cs="Times New Roman"/>
          <w:bCs/>
          <w:sz w:val="24"/>
          <w:szCs w:val="24"/>
        </w:rPr>
        <w:t>ekonomikas ministrs</w:t>
      </w:r>
      <w:r w:rsidRPr="00C53C59">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C53C59">
        <w:rPr>
          <w:rFonts w:ascii="Times New Roman" w:hAnsi="Times New Roman" w:cs="Times New Roman"/>
          <w:bCs/>
          <w:sz w:val="24"/>
          <w:szCs w:val="24"/>
        </w:rPr>
        <w:t>J.Vitenbergs</w:t>
      </w:r>
    </w:p>
    <w:p w14:paraId="12A629FE" w14:textId="77777777" w:rsidR="00C53C59" w:rsidRPr="00C53C59" w:rsidRDefault="00C53C59" w:rsidP="00C53C59">
      <w:pPr>
        <w:spacing w:after="0"/>
        <w:jc w:val="both"/>
        <w:rPr>
          <w:rFonts w:ascii="Times New Roman" w:hAnsi="Times New Roman" w:cs="Times New Roman"/>
          <w:bCs/>
          <w:sz w:val="24"/>
          <w:szCs w:val="24"/>
        </w:rPr>
      </w:pPr>
    </w:p>
    <w:p w14:paraId="0BA5A874" w14:textId="77777777" w:rsidR="00C53C59" w:rsidRPr="00C53C59" w:rsidRDefault="00C53C59" w:rsidP="00C53C59">
      <w:pPr>
        <w:spacing w:after="0"/>
        <w:jc w:val="both"/>
        <w:rPr>
          <w:rFonts w:ascii="Times New Roman" w:hAnsi="Times New Roman" w:cs="Times New Roman"/>
          <w:bCs/>
          <w:sz w:val="24"/>
          <w:szCs w:val="24"/>
        </w:rPr>
      </w:pPr>
      <w:r w:rsidRPr="00C53C59">
        <w:rPr>
          <w:rFonts w:ascii="Times New Roman" w:hAnsi="Times New Roman" w:cs="Times New Roman"/>
          <w:bCs/>
          <w:sz w:val="24"/>
          <w:szCs w:val="24"/>
        </w:rPr>
        <w:t>Vīza:</w:t>
      </w:r>
    </w:p>
    <w:p w14:paraId="0D801B3A" w14:textId="70CA0090" w:rsidR="00C03AAD" w:rsidRDefault="00C53C59" w:rsidP="0003731F">
      <w:pPr>
        <w:spacing w:after="0"/>
        <w:jc w:val="both"/>
        <w:rPr>
          <w:rFonts w:ascii="Times New Roman" w:hAnsi="Times New Roman" w:cs="Times New Roman"/>
          <w:sz w:val="24"/>
          <w:szCs w:val="24"/>
        </w:rPr>
      </w:pPr>
      <w:r w:rsidRPr="00C53C59">
        <w:rPr>
          <w:rFonts w:ascii="Times New Roman" w:hAnsi="Times New Roman" w:cs="Times New Roman"/>
          <w:bCs/>
          <w:sz w:val="24"/>
          <w:szCs w:val="24"/>
        </w:rPr>
        <w:t>valsts sekretārs</w:t>
      </w:r>
      <w:r w:rsidRPr="00C53C5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53C59">
        <w:rPr>
          <w:rFonts w:ascii="Times New Roman" w:hAnsi="Times New Roman" w:cs="Times New Roman"/>
          <w:sz w:val="24"/>
          <w:szCs w:val="24"/>
        </w:rPr>
        <w:t>E. Valanti</w:t>
      </w:r>
      <w:r w:rsidR="0003731F">
        <w:rPr>
          <w:rFonts w:ascii="Times New Roman" w:hAnsi="Times New Roman" w:cs="Times New Roman"/>
          <w:sz w:val="24"/>
          <w:szCs w:val="24"/>
        </w:rPr>
        <w:t>s</w:t>
      </w:r>
    </w:p>
    <w:p w14:paraId="108480E3" w14:textId="46513F95" w:rsidR="0003731F" w:rsidRDefault="0003731F" w:rsidP="0003731F">
      <w:pPr>
        <w:spacing w:after="0"/>
        <w:jc w:val="both"/>
        <w:rPr>
          <w:rFonts w:ascii="Times New Roman" w:hAnsi="Times New Roman" w:cs="Times New Roman"/>
          <w:sz w:val="24"/>
          <w:szCs w:val="24"/>
        </w:rPr>
      </w:pPr>
    </w:p>
    <w:p w14:paraId="36011D08" w14:textId="63C396F1" w:rsidR="0003731F" w:rsidRDefault="0003731F" w:rsidP="0003731F">
      <w:pPr>
        <w:spacing w:after="0"/>
        <w:jc w:val="both"/>
        <w:rPr>
          <w:rFonts w:ascii="Times New Roman" w:hAnsi="Times New Roman" w:cs="Times New Roman"/>
          <w:sz w:val="24"/>
          <w:szCs w:val="24"/>
        </w:rPr>
      </w:pPr>
    </w:p>
    <w:p w14:paraId="61828FFD" w14:textId="68DAC116" w:rsidR="0003731F" w:rsidRDefault="0003731F" w:rsidP="0003731F">
      <w:pPr>
        <w:spacing w:after="0"/>
        <w:jc w:val="both"/>
        <w:rPr>
          <w:rFonts w:ascii="Times New Roman" w:hAnsi="Times New Roman" w:cs="Times New Roman"/>
          <w:sz w:val="24"/>
          <w:szCs w:val="24"/>
        </w:rPr>
      </w:pPr>
    </w:p>
    <w:p w14:paraId="2B2E6394" w14:textId="77777777" w:rsidR="0003731F" w:rsidRDefault="0003731F" w:rsidP="0003731F">
      <w:pPr>
        <w:spacing w:after="0"/>
        <w:jc w:val="both"/>
        <w:rPr>
          <w:rFonts w:ascii="Times New Roman" w:hAnsi="Times New Roman" w:cs="Times New Roman"/>
          <w:sz w:val="24"/>
          <w:szCs w:val="24"/>
        </w:rPr>
      </w:pPr>
    </w:p>
    <w:p w14:paraId="06A13AAB" w14:textId="77777777" w:rsidR="00C03AAD" w:rsidRPr="0046225D" w:rsidRDefault="00C03AAD" w:rsidP="0003731F">
      <w:pPr>
        <w:spacing w:after="0"/>
        <w:ind w:firstLine="709"/>
        <w:rPr>
          <w:rFonts w:ascii="Times New Roman" w:eastAsia="Times New Roman" w:hAnsi="Times New Roman" w:cs="Times New Roman"/>
          <w:sz w:val="16"/>
          <w:szCs w:val="16"/>
          <w:lang w:eastAsia="lv-LV"/>
        </w:rPr>
      </w:pPr>
      <w:r w:rsidRPr="0046225D">
        <w:rPr>
          <w:rFonts w:ascii="Times New Roman" w:eastAsia="Times New Roman" w:hAnsi="Times New Roman" w:cs="Times New Roman"/>
          <w:sz w:val="16"/>
          <w:szCs w:val="16"/>
          <w:lang w:eastAsia="lv-LV"/>
        </w:rPr>
        <w:t>Cilinskis 67013040</w:t>
      </w:r>
    </w:p>
    <w:p w14:paraId="21F47EF7" w14:textId="689A764F" w:rsidR="00727941" w:rsidRPr="001E0BAC" w:rsidRDefault="00C03AAD" w:rsidP="001E0BAC">
      <w:pPr>
        <w:spacing w:after="0"/>
        <w:ind w:firstLine="709"/>
        <w:rPr>
          <w:rFonts w:ascii="Times New Roman" w:eastAsia="Times New Roman" w:hAnsi="Times New Roman" w:cs="Times New Roman"/>
          <w:sz w:val="16"/>
          <w:szCs w:val="16"/>
          <w:lang w:eastAsia="lv-LV"/>
        </w:rPr>
      </w:pPr>
      <w:r w:rsidRPr="0046225D">
        <w:rPr>
          <w:rFonts w:ascii="Times New Roman" w:eastAsia="Times New Roman" w:hAnsi="Times New Roman" w:cs="Times New Roman"/>
          <w:sz w:val="16"/>
          <w:szCs w:val="16"/>
          <w:lang w:eastAsia="lv-LV"/>
        </w:rPr>
        <w:t>Einars.cilinskis@em.gov.lv</w:t>
      </w:r>
    </w:p>
    <w:sectPr w:rsidR="00727941" w:rsidRPr="001E0BAC" w:rsidSect="002E525F">
      <w:headerReference w:type="default" r:id="rId14"/>
      <w:footerReference w:type="default" r:id="rId15"/>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364E0D1A" w16cex:dateUtc="2020-10-07T11:42:00Z"/>
  <w16cex:commentExtensible w16cex:durableId="27C453E1" w16cex:dateUtc="2020-10-07T12:09:00Z"/>
  <w16cex:commentExtensible w16cex:durableId="2329B683" w16cex:dateUtc="2020-10-08T13:02:00Z"/>
  <w16cex:commentExtensible w16cex:durableId="2329B511" w16cex:dateUtc="2020-10-08T12:56:00Z"/>
  <w16cex:commentExtensible w16cex:durableId="2329B366" w16cex:dateUtc="2020-10-08T12:48:00Z"/>
  <w16cex:commentExtensible w16cex:durableId="6FA62656" w16cex:dateUtc="2020-10-05T11:34:00Z"/>
  <w16cex:commentExtensible w16cex:durableId="57A6772C" w16cex:dateUtc="2020-10-07T09:41:00Z"/>
  <w16cex:commentExtensible w16cex:durableId="222FE68B" w16cex:dateUtc="2020-10-07T09:41:00Z"/>
  <w16cex:commentExtensible w16cex:durableId="0EE4E1EE" w16cex:dateUtc="2020-10-05T11:36:00Z"/>
  <w16cex:commentExtensible w16cex:durableId="2329B733" w16cex:dateUtc="2020-10-08T13:05:00Z"/>
  <w16cex:commentExtensible w16cex:durableId="6C670F8E" w16cex:dateUtc="2020-10-07T12:33:00Z"/>
  <w16cex:commentExtensible w16cex:durableId="6874EE5B" w16cex:dateUtc="2020-10-05T11:41:00Z"/>
  <w16cex:commentExtensible w16cex:durableId="232AAD85" w16cex:dateUtc="2020-10-09T06:36:00Z"/>
  <w16cex:commentExtensible w16cex:durableId="7D521F07" w16cex:dateUtc="2020-10-05T11:42:00Z"/>
  <w16cex:commentExtensible w16cex:durableId="00F1401B" w16cex:dateUtc="2020-10-05T11:45:00Z"/>
  <w16cex:commentExtensible w16cex:durableId="41062A10" w16cex:dateUtc="2020-10-05T11:47:00Z"/>
  <w16cex:commentExtensible w16cex:durableId="2329B92A" w16cex:dateUtc="2020-10-08T13:13:00Z"/>
  <w16cex:commentExtensible w16cex:durableId="2329B948" w16cex:dateUtc="2020-10-08T13:14:00Z"/>
  <w16cex:commentExtensible w16cex:durableId="3085F3B5" w16cex:dateUtc="2020-10-05T11:50:00Z"/>
  <w16cex:commentExtensible w16cex:durableId="29F1A486" w16cex:dateUtc="2020-10-06T10:09:00Z"/>
  <w16cex:commentExtensible w16cex:durableId="2329B9C5" w16cex:dateUtc="2020-10-08T13:16:00Z"/>
  <w16cex:commentExtensible w16cex:durableId="143F955B" w16cex:dateUtc="2020-10-07T14:01:00Z"/>
  <w16cex:commentExtensible w16cex:durableId="3FBB0EFB" w16cex:dateUtc="2020-10-07T13:23: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EF25A" w14:textId="77777777" w:rsidR="009A4AF4" w:rsidRDefault="009A4AF4" w:rsidP="00C70A06">
      <w:pPr>
        <w:spacing w:after="0" w:line="240" w:lineRule="auto"/>
      </w:pPr>
      <w:r>
        <w:separator/>
      </w:r>
    </w:p>
  </w:endnote>
  <w:endnote w:type="continuationSeparator" w:id="0">
    <w:p w14:paraId="16E24461" w14:textId="77777777" w:rsidR="009A4AF4" w:rsidRDefault="009A4AF4" w:rsidP="00C70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9577657"/>
      <w:docPartObj>
        <w:docPartGallery w:val="Page Numbers (Bottom of Page)"/>
        <w:docPartUnique/>
      </w:docPartObj>
    </w:sdtPr>
    <w:sdtEndPr>
      <w:rPr>
        <w:noProof/>
      </w:rPr>
    </w:sdtEndPr>
    <w:sdtContent>
      <w:p w14:paraId="505559DA" w14:textId="0910E27A" w:rsidR="002E525F" w:rsidRDefault="002E525F">
        <w:pPr>
          <w:pStyle w:val="Footer"/>
          <w:jc w:val="center"/>
        </w:pPr>
        <w:r>
          <w:fldChar w:fldCharType="begin"/>
        </w:r>
        <w:r>
          <w:instrText xml:space="preserve"> PAGE   \* MERGEFORMAT </w:instrText>
        </w:r>
        <w:r>
          <w:fldChar w:fldCharType="separate"/>
        </w:r>
        <w:r w:rsidR="00EF3BE2">
          <w:rPr>
            <w:noProof/>
          </w:rPr>
          <w:t>20</w:t>
        </w:r>
        <w:r>
          <w:rPr>
            <w:noProof/>
          </w:rPr>
          <w:fldChar w:fldCharType="end"/>
        </w:r>
      </w:p>
    </w:sdtContent>
  </w:sdt>
  <w:p w14:paraId="644D0705" w14:textId="77777777" w:rsidR="00305149" w:rsidRDefault="0030514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B347F" w14:textId="77777777" w:rsidR="009A4AF4" w:rsidRDefault="009A4AF4" w:rsidP="00C70A06">
      <w:pPr>
        <w:spacing w:after="0" w:line="240" w:lineRule="auto"/>
      </w:pPr>
      <w:r>
        <w:separator/>
      </w:r>
    </w:p>
  </w:footnote>
  <w:footnote w:type="continuationSeparator" w:id="0">
    <w:p w14:paraId="0A121275" w14:textId="77777777" w:rsidR="009A4AF4" w:rsidRDefault="009A4AF4" w:rsidP="00C70A06">
      <w:pPr>
        <w:spacing w:after="0" w:line="240" w:lineRule="auto"/>
      </w:pPr>
      <w:r>
        <w:continuationSeparator/>
      </w:r>
    </w:p>
  </w:footnote>
  <w:footnote w:id="1">
    <w:p w14:paraId="6A079276" w14:textId="77777777" w:rsidR="00C03AAD" w:rsidRDefault="00C03AAD" w:rsidP="00C03AAD">
      <w:pPr>
        <w:pStyle w:val="FootnoteText"/>
      </w:pPr>
      <w:r>
        <w:rPr>
          <w:rStyle w:val="FootnoteReference"/>
        </w:rPr>
        <w:footnoteRef/>
      </w:r>
      <w:r>
        <w:t xml:space="preserve"> Sk. piemēram </w:t>
      </w:r>
      <w:r w:rsidRPr="007A7482">
        <w:t>Budzianowski, W. M., &amp; Budzianowska, D. A. (2015). Economic analysis of biomethane and bioelectricity generation from biogas using different support schemes and plant configurations. Energy, 88, 658–666.doi:10.1016/j.energy.2015.05.104</w:t>
      </w:r>
    </w:p>
  </w:footnote>
  <w:footnote w:id="2">
    <w:p w14:paraId="3F8AB3C0" w14:textId="77777777" w:rsidR="00C03AAD" w:rsidRDefault="00C03AAD" w:rsidP="00C03AAD">
      <w:pPr>
        <w:pStyle w:val="FootnoteText"/>
      </w:pPr>
      <w:r>
        <w:rPr>
          <w:rStyle w:val="FootnoteReference"/>
        </w:rPr>
        <w:footnoteRef/>
      </w:r>
      <w:r>
        <w:t xml:space="preserve"> Sk. piemēram </w:t>
      </w:r>
      <w:r w:rsidRPr="00D33631">
        <w:t>https://www.giz.de/en/downloads/GIZ_WasteToEnergy_Guidelines_2017.pdf</w:t>
      </w:r>
    </w:p>
  </w:footnote>
  <w:footnote w:id="3">
    <w:p w14:paraId="471EA265" w14:textId="77777777" w:rsidR="00C03AAD" w:rsidRPr="00A4013C" w:rsidRDefault="00C03AAD" w:rsidP="00C03AAD">
      <w:pPr>
        <w:rPr>
          <w:rFonts w:ascii="Times New Roman" w:hAnsi="Times New Roman" w:cs="Times New Roman"/>
          <w:sz w:val="21"/>
          <w:szCs w:val="21"/>
        </w:rPr>
      </w:pPr>
      <w:r w:rsidRPr="00A4013C">
        <w:rPr>
          <w:rStyle w:val="FootnoteReference"/>
          <w:rFonts w:ascii="Times New Roman" w:hAnsi="Times New Roman" w:cs="Times New Roman"/>
        </w:rPr>
        <w:footnoteRef/>
      </w:r>
      <w:r w:rsidRPr="00A4013C">
        <w:rPr>
          <w:rFonts w:ascii="Times New Roman" w:hAnsi="Times New Roman" w:cs="Times New Roman"/>
        </w:rPr>
        <w:t xml:space="preserve"> </w:t>
      </w:r>
      <w:hyperlink r:id="rId1" w:tgtFrame="_blank" w:tooltip="https://em.gov.lv/lv/nozares_politika/atjaunojama_energija_un_kogeneracija/informacija_par_izdotajiem_lemumiem_par_elektroenergijas_obligato_iepirkumu/" w:history="1">
        <w:r w:rsidRPr="00A4013C">
          <w:rPr>
            <w:rStyle w:val="Hyperlink"/>
            <w:rFonts w:ascii="Times New Roman" w:hAnsi="Times New Roman" w:cs="Times New Roman"/>
            <w:sz w:val="21"/>
            <w:szCs w:val="21"/>
          </w:rPr>
          <w:t>https://em.gov.lv/lv/nozares_politika/atjaunojama_energija_un_kogeneracija/informacija_par_izdotajiem_lemumiem_par_elektroenergijas_obligato_iepirkumu/</w:t>
        </w:r>
      </w:hyperlink>
    </w:p>
    <w:p w14:paraId="7D48C7C4" w14:textId="77777777" w:rsidR="00C03AAD" w:rsidRDefault="00C03AAD" w:rsidP="00C03AAD">
      <w:pPr>
        <w:pStyle w:val="FootnoteText"/>
      </w:pPr>
    </w:p>
  </w:footnote>
  <w:footnote w:id="4">
    <w:p w14:paraId="6C24AA8E" w14:textId="77777777" w:rsidR="00C03AAD" w:rsidRDefault="00C03AAD" w:rsidP="00C03AAD">
      <w:pPr>
        <w:pStyle w:val="FootnoteText"/>
      </w:pPr>
      <w:r>
        <w:rPr>
          <w:rStyle w:val="FootnoteReference"/>
        </w:rPr>
        <w:footnoteRef/>
      </w:r>
      <w:r>
        <w:t xml:space="preserve"> </w:t>
      </w:r>
      <w:r w:rsidRPr="005241D4">
        <w:t>Rīgas Tehniskās universitātes Vides aizsardzības un siltuma sistēmu institūts</w:t>
      </w:r>
      <w:r>
        <w:t>. Ziņojums par biogāzes nozares attīstību transporta enerģijas vajadzībām (darba progress), 2020, 127. lpp.</w:t>
      </w:r>
    </w:p>
  </w:footnote>
  <w:footnote w:id="5">
    <w:p w14:paraId="55AFE945" w14:textId="77777777" w:rsidR="00C03AAD" w:rsidRDefault="00C03AAD" w:rsidP="00C03AAD">
      <w:pPr>
        <w:pStyle w:val="FootnoteText"/>
      </w:pPr>
      <w:r>
        <w:rPr>
          <w:rStyle w:val="FootnoteReference"/>
        </w:rPr>
        <w:footnoteRef/>
      </w:r>
      <w:r>
        <w:t xml:space="preserve"> </w:t>
      </w:r>
      <w:r w:rsidRPr="006A586A">
        <w:t>https://eur-lex.europa.eu/legal-content/LV/TXT/HTML/?uri=CELEX:32018L2001&amp;from=EN</w:t>
      </w:r>
    </w:p>
  </w:footnote>
  <w:footnote w:id="6">
    <w:p w14:paraId="5894D441" w14:textId="77777777" w:rsidR="00C03AAD" w:rsidRPr="00116274" w:rsidRDefault="00C03AAD" w:rsidP="00C03AAD">
      <w:pPr>
        <w:pStyle w:val="FootnoteText"/>
        <w:rPr>
          <w:rFonts w:ascii="Times New Roman" w:hAnsi="Times New Roman" w:cs="Times New Roman"/>
        </w:rPr>
      </w:pPr>
      <w:r w:rsidRPr="00116274">
        <w:rPr>
          <w:rStyle w:val="FootnoteReference"/>
          <w:rFonts w:ascii="Times New Roman" w:hAnsi="Times New Roman" w:cs="Times New Roman"/>
        </w:rPr>
        <w:footnoteRef/>
      </w:r>
      <w:r w:rsidRPr="00A4013C">
        <w:rPr>
          <w:rFonts w:ascii="Times New Roman" w:hAnsi="Times New Roman" w:cs="Times New Roman"/>
        </w:rPr>
        <w:t xml:space="preserve"> </w:t>
      </w:r>
      <w:hyperlink r:id="rId2" w:history="1">
        <w:r w:rsidRPr="00116274">
          <w:rPr>
            <w:rStyle w:val="Hyperlink"/>
            <w:rFonts w:ascii="Times New Roman" w:hAnsi="Times New Roman" w:cs="Times New Roman"/>
          </w:rPr>
          <w:t>https://likumi.lv/ta/id/119463-noteikumi-par-biodegvielas-kvalitates-prasibam-atbilstibas-novertesanu-tirgus-uzraudzibu-un-pateretaju-informesanas-kartibu</w:t>
        </w:r>
      </w:hyperlink>
    </w:p>
  </w:footnote>
  <w:footnote w:id="7">
    <w:p w14:paraId="609FB9CC" w14:textId="77777777" w:rsidR="00C03AAD" w:rsidRPr="00116274" w:rsidRDefault="00C03AAD" w:rsidP="00C03AAD">
      <w:pPr>
        <w:pStyle w:val="FootnoteText"/>
        <w:rPr>
          <w:rFonts w:ascii="Times New Roman" w:hAnsi="Times New Roman" w:cs="Times New Roman"/>
        </w:rPr>
      </w:pPr>
      <w:r w:rsidRPr="00116274">
        <w:rPr>
          <w:rStyle w:val="FootnoteReference"/>
          <w:rFonts w:ascii="Times New Roman" w:hAnsi="Times New Roman" w:cs="Times New Roman"/>
        </w:rPr>
        <w:footnoteRef/>
      </w:r>
      <w:r w:rsidRPr="00116274">
        <w:rPr>
          <w:rFonts w:ascii="Times New Roman" w:hAnsi="Times New Roman" w:cs="Times New Roman"/>
        </w:rPr>
        <w:t xml:space="preserve"> </w:t>
      </w:r>
      <w:hyperlink r:id="rId3" w:history="1">
        <w:r w:rsidRPr="00A4013C">
          <w:rPr>
            <w:rStyle w:val="Hyperlink"/>
            <w:rFonts w:ascii="Times New Roman" w:hAnsi="Times New Roman" w:cs="Times New Roman"/>
          </w:rPr>
          <w:t>https://likumi.lv/ta/id/285189-prasibas-biometana-un-gazveida-stavokli-parverstas-saskidrinatas-dabasgazes-ievadisanai-un-transportesanai-dabasgazes-parvades-...</w:t>
        </w:r>
      </w:hyperlink>
    </w:p>
  </w:footnote>
  <w:footnote w:id="8">
    <w:p w14:paraId="6AA7AE6F" w14:textId="77777777" w:rsidR="00C03AAD" w:rsidRDefault="00C03AAD" w:rsidP="00C03AAD">
      <w:pPr>
        <w:pStyle w:val="FootnoteText"/>
      </w:pPr>
      <w:r w:rsidRPr="00A4013C">
        <w:rPr>
          <w:rStyle w:val="FootnoteReference"/>
          <w:rFonts w:ascii="Times New Roman" w:hAnsi="Times New Roman" w:cs="Times New Roman"/>
        </w:rPr>
        <w:footnoteRef/>
      </w:r>
      <w:r w:rsidRPr="00A4013C">
        <w:rPr>
          <w:rFonts w:ascii="Times New Roman" w:hAnsi="Times New Roman" w:cs="Times New Roman"/>
        </w:rPr>
        <w:t xml:space="preserve"> Sk. piemēram M. Prussi e.al. Review of technologies for biomethane production and assessment of EU transport share in 2030. Journal of Cleaner production 222 (2019) 565-572.</w:t>
      </w:r>
    </w:p>
  </w:footnote>
  <w:footnote w:id="9">
    <w:p w14:paraId="3DDBC4AC" w14:textId="77777777" w:rsidR="00C03AAD" w:rsidRPr="00116274" w:rsidRDefault="00C03AAD" w:rsidP="00C03AAD">
      <w:pPr>
        <w:pStyle w:val="FootnoteText"/>
        <w:jc w:val="both"/>
        <w:rPr>
          <w:rFonts w:ascii="Times New Roman" w:hAnsi="Times New Roman" w:cs="Times New Roman"/>
        </w:rPr>
      </w:pPr>
      <w:r w:rsidRPr="00A4013C">
        <w:rPr>
          <w:rStyle w:val="FootnoteReference"/>
          <w:rFonts w:ascii="Times New Roman" w:hAnsi="Times New Roman" w:cs="Times New Roman"/>
        </w:rPr>
        <w:footnoteRef/>
      </w:r>
      <w:r w:rsidRPr="00116274">
        <w:rPr>
          <w:rFonts w:ascii="Times New Roman" w:hAnsi="Times New Roman" w:cs="Times New Roman"/>
        </w:rPr>
        <w:t xml:space="preserve"> Direktīvas 2018/2001 25.pantā noteiktā </w:t>
      </w:r>
      <w:r w:rsidRPr="00116274">
        <w:rPr>
          <w:rFonts w:ascii="Times New Roman" w:hAnsi="Times New Roman" w:cs="Times New Roman"/>
          <w:u w:val="single"/>
        </w:rPr>
        <w:t>minimālā</w:t>
      </w:r>
      <w:r w:rsidRPr="00116274">
        <w:rPr>
          <w:rFonts w:ascii="Times New Roman" w:hAnsi="Times New Roman" w:cs="Times New Roman"/>
        </w:rPr>
        <w:t xml:space="preserve"> mērķa vērtība </w:t>
      </w:r>
    </w:p>
  </w:footnote>
  <w:footnote w:id="10">
    <w:p w14:paraId="3314C6FD" w14:textId="77777777" w:rsidR="00C03AAD" w:rsidRPr="002E399D" w:rsidRDefault="00C03AAD" w:rsidP="00C03AAD">
      <w:pPr>
        <w:pStyle w:val="FootnoteText"/>
        <w:jc w:val="both"/>
        <w:rPr>
          <w:rFonts w:cstheme="minorHAnsi"/>
        </w:rPr>
      </w:pPr>
      <w:r w:rsidRPr="00116274">
        <w:rPr>
          <w:rStyle w:val="FootnoteReference"/>
          <w:rFonts w:ascii="Times New Roman" w:hAnsi="Times New Roman" w:cs="Times New Roman"/>
        </w:rPr>
        <w:footnoteRef/>
      </w:r>
      <w:r w:rsidRPr="00116274">
        <w:rPr>
          <w:rFonts w:ascii="Times New Roman" w:hAnsi="Times New Roman" w:cs="Times New Roman"/>
        </w:rPr>
        <w:t xml:space="preserve"> no modernajām biodegvielām un biogāzes iegūtu enerģijas daudzumu var uzskatīt par divkāršu, ja tās iegūtas no izejvielām, kas minētas </w:t>
      </w:r>
      <w:bookmarkStart w:id="3" w:name="_Hlk43275775"/>
      <w:r w:rsidRPr="00116274">
        <w:rPr>
          <w:rFonts w:ascii="Times New Roman" w:hAnsi="Times New Roman" w:cs="Times New Roman"/>
        </w:rPr>
        <w:t xml:space="preserve">Direktīvas 2018/2001 </w:t>
      </w:r>
      <w:bookmarkEnd w:id="3"/>
      <w:r w:rsidRPr="00116274">
        <w:rPr>
          <w:rFonts w:ascii="Times New Roman" w:hAnsi="Times New Roman" w:cs="Times New Roman"/>
        </w:rPr>
        <w:t>IX pielikuma A un B daļā, kur B daļā minēto izejvielu izmantošanas apjoms ir ierobežots līdz 1,7% (bez divkāršās uzskaites) no transporta galapatēriņa (pēc enerģijas daudzuma)</w:t>
      </w:r>
      <w:r w:rsidRPr="002E399D">
        <w:rPr>
          <w:rFonts w:cstheme="minorHAnsi"/>
        </w:rPr>
        <w:t xml:space="preserve">  </w:t>
      </w:r>
    </w:p>
  </w:footnote>
  <w:footnote w:id="11">
    <w:p w14:paraId="3F229CD8" w14:textId="77777777" w:rsidR="00C03AAD" w:rsidRDefault="00C03AAD" w:rsidP="00C03AAD">
      <w:pPr>
        <w:pStyle w:val="FootnoteText"/>
      </w:pPr>
      <w:r>
        <w:rPr>
          <w:rStyle w:val="FootnoteReference"/>
        </w:rPr>
        <w:footnoteRef/>
      </w:r>
      <w:r>
        <w:t xml:space="preserve"> </w:t>
      </w:r>
      <w:hyperlink r:id="rId4" w:history="1">
        <w:r w:rsidRPr="00E44F93">
          <w:rPr>
            <w:rStyle w:val="Hyperlink"/>
          </w:rPr>
          <w:t>https://ec.europa.eu/jrc/en/publication/eur-scientific-and-technical-research-reports/jec-well-wheels-report-v5</w:t>
        </w:r>
      </w:hyperlink>
    </w:p>
  </w:footnote>
  <w:footnote w:id="12">
    <w:p w14:paraId="2DE7E881" w14:textId="77777777" w:rsidR="00C03AAD" w:rsidRPr="00A4013C" w:rsidRDefault="00C03AAD" w:rsidP="00C03AAD">
      <w:pPr>
        <w:pStyle w:val="FootnoteText"/>
        <w:rPr>
          <w:rFonts w:ascii="Times New Roman" w:hAnsi="Times New Roman" w:cs="Times New Roman"/>
        </w:rPr>
      </w:pPr>
      <w:r w:rsidRPr="00A4013C">
        <w:rPr>
          <w:rStyle w:val="FootnoteReference"/>
          <w:rFonts w:ascii="Times New Roman" w:hAnsi="Times New Roman" w:cs="Times New Roman"/>
        </w:rPr>
        <w:footnoteRef/>
      </w:r>
      <w:r w:rsidRPr="00A4013C">
        <w:rPr>
          <w:rFonts w:ascii="Times New Roman" w:hAnsi="Times New Roman" w:cs="Times New Roman"/>
        </w:rPr>
        <w:t xml:space="preserve"> </w:t>
      </w:r>
      <w:hyperlink r:id="rId5" w:history="1">
        <w:r w:rsidRPr="00A4013C">
          <w:rPr>
            <w:rStyle w:val="Hyperlink"/>
            <w:rFonts w:ascii="Times New Roman" w:hAnsi="Times New Roman" w:cs="Times New Roman"/>
          </w:rPr>
          <w:t>https://www.csdd.lv/transportlidzekli/registreto-transportlidzeklu-skait</w:t>
        </w:r>
      </w:hyperlink>
    </w:p>
  </w:footnote>
  <w:footnote w:id="13">
    <w:p w14:paraId="34CF7521" w14:textId="77777777" w:rsidR="00C03AAD" w:rsidRDefault="00C03AAD" w:rsidP="00C03AAD">
      <w:pPr>
        <w:pStyle w:val="FootnoteText"/>
      </w:pPr>
      <w:r>
        <w:rPr>
          <w:rStyle w:val="FootnoteReference"/>
        </w:rPr>
        <w:footnoteRef/>
      </w:r>
      <w:r>
        <w:t xml:space="preserve"> Centrālās Statistikas pārvaldes dati</w:t>
      </w:r>
    </w:p>
  </w:footnote>
  <w:footnote w:id="14">
    <w:p w14:paraId="15CD4BC8" w14:textId="77777777" w:rsidR="00C03AAD" w:rsidRDefault="00C03AAD" w:rsidP="00C03AAD">
      <w:pPr>
        <w:pStyle w:val="FootnoteText"/>
      </w:pPr>
      <w:r>
        <w:rPr>
          <w:rStyle w:val="FootnoteReference"/>
        </w:rPr>
        <w:footnoteRef/>
      </w:r>
      <w:r>
        <w:t xml:space="preserve"> </w:t>
      </w:r>
      <w:hyperlink r:id="rId6" w:history="1">
        <w:r w:rsidRPr="001D5724">
          <w:rPr>
            <w:rStyle w:val="Hyperlink"/>
          </w:rPr>
          <w:t>http://tap.mk.gov.lv/mk/tap/?pid=40491503</w:t>
        </w:r>
      </w:hyperlink>
    </w:p>
    <w:p w14:paraId="7FE0F47F" w14:textId="77777777" w:rsidR="00C03AAD" w:rsidRDefault="00C03AAD" w:rsidP="00C03AAD">
      <w:pPr>
        <w:pStyle w:val="FootnoteText"/>
      </w:pPr>
    </w:p>
  </w:footnote>
  <w:footnote w:id="15">
    <w:p w14:paraId="741098DB" w14:textId="77777777" w:rsidR="00C03AAD" w:rsidRDefault="00C03AAD" w:rsidP="00C03AAD">
      <w:pPr>
        <w:pStyle w:val="FootnoteText"/>
      </w:pPr>
      <w:r>
        <w:rPr>
          <w:rStyle w:val="FootnoteReference"/>
        </w:rPr>
        <w:footnoteRef/>
      </w:r>
      <w:r>
        <w:t xml:space="preserve"> </w:t>
      </w:r>
      <w:hyperlink r:id="rId7" w:history="1">
        <w:r w:rsidRPr="004778DE">
          <w:rPr>
            <w:rStyle w:val="Hyperlink"/>
          </w:rPr>
          <w:t>https://eur-lex.europa.eu/legal-content/EN/TXT/?uri=COM%3A2020%3A663%3AFIN</w:t>
        </w:r>
      </w:hyperlink>
    </w:p>
    <w:p w14:paraId="3BC4F8FA" w14:textId="77777777" w:rsidR="00C03AAD" w:rsidRDefault="00C03AAD" w:rsidP="00C03AAD">
      <w:pPr>
        <w:pStyle w:val="FootnoteText"/>
      </w:pPr>
    </w:p>
  </w:footnote>
  <w:footnote w:id="16">
    <w:p w14:paraId="0E906C8F" w14:textId="77777777" w:rsidR="00C03AAD" w:rsidRDefault="00C03AAD" w:rsidP="00C03AAD">
      <w:pPr>
        <w:pStyle w:val="FootnoteText"/>
      </w:pPr>
      <w:r>
        <w:rPr>
          <w:rStyle w:val="FootnoteReference"/>
        </w:rPr>
        <w:footnoteRef/>
      </w:r>
      <w:r>
        <w:t xml:space="preserve"> </w:t>
      </w:r>
      <w:r w:rsidRPr="00486C5F">
        <w:t>https://www.llu.lv/lv/projekti/apstiprinatie-projekti/2019/latvijas-lauksaimniecibas-siltumnicefekta-gazu-un-amonjaka</w:t>
      </w:r>
    </w:p>
  </w:footnote>
  <w:footnote w:id="17">
    <w:p w14:paraId="55A16657" w14:textId="77777777" w:rsidR="00C03AAD" w:rsidRDefault="00C03AAD" w:rsidP="00C03AAD">
      <w:pPr>
        <w:pStyle w:val="FootnoteText"/>
      </w:pPr>
      <w:r>
        <w:rPr>
          <w:rStyle w:val="FootnoteReference"/>
        </w:rPr>
        <w:footnoteRef/>
      </w:r>
      <w:r>
        <w:t xml:space="preserve"> Zhu T., Curtis J., Clancy M. Promoting biogas and biomethane production: Lesssons from cross country studies. Renewable and Sustainable Energy Reviews 114 (2019) 109332</w:t>
      </w:r>
    </w:p>
  </w:footnote>
  <w:footnote w:id="18">
    <w:p w14:paraId="2BE000E2" w14:textId="77777777" w:rsidR="00C03AAD" w:rsidRPr="0036672B" w:rsidRDefault="00C03AAD" w:rsidP="00C03AAD">
      <w:pPr>
        <w:pStyle w:val="FootnoteText"/>
        <w:rPr>
          <w:rFonts w:ascii="Times New Roman" w:hAnsi="Times New Roman" w:cs="Times New Roman"/>
        </w:rPr>
      </w:pPr>
      <w:r w:rsidRPr="0036672B">
        <w:rPr>
          <w:rStyle w:val="FootnoteReference"/>
          <w:rFonts w:ascii="Times New Roman" w:hAnsi="Times New Roman" w:cs="Times New Roman"/>
        </w:rPr>
        <w:footnoteRef/>
      </w:r>
      <w:r w:rsidRPr="0036672B">
        <w:rPr>
          <w:rFonts w:ascii="Times New Roman" w:hAnsi="Times New Roman" w:cs="Times New Roman"/>
        </w:rPr>
        <w:t xml:space="preserve"> </w:t>
      </w:r>
      <w:hyperlink r:id="rId8" w:history="1">
        <w:r w:rsidRPr="0036672B">
          <w:rPr>
            <w:rStyle w:val="Hyperlink"/>
            <w:rFonts w:ascii="Times New Roman" w:hAnsi="Times New Roman" w:cs="Times New Roman"/>
          </w:rPr>
          <w:t>http://www.res-legal.eu/search-by-country/</w:t>
        </w:r>
      </w:hyperlink>
    </w:p>
  </w:footnote>
  <w:footnote w:id="19">
    <w:p w14:paraId="4B8E9972" w14:textId="77777777" w:rsidR="00C03AAD" w:rsidRPr="0036672B" w:rsidRDefault="00C03AAD" w:rsidP="00C03AAD">
      <w:pPr>
        <w:pStyle w:val="FootnoteText"/>
        <w:rPr>
          <w:rFonts w:ascii="Times New Roman" w:hAnsi="Times New Roman" w:cs="Times New Roman"/>
        </w:rPr>
      </w:pPr>
      <w:r w:rsidRPr="0036672B">
        <w:rPr>
          <w:rStyle w:val="FootnoteReference"/>
          <w:rFonts w:ascii="Times New Roman" w:hAnsi="Times New Roman" w:cs="Times New Roman"/>
        </w:rPr>
        <w:footnoteRef/>
      </w:r>
      <w:r w:rsidRPr="0036672B">
        <w:rPr>
          <w:rFonts w:ascii="Times New Roman" w:hAnsi="Times New Roman" w:cs="Times New Roman"/>
        </w:rPr>
        <w:t xml:space="preserve"> Avots: Regatrace. D6.1 | Mapping the state of play of renewable gases in Europe </w:t>
      </w:r>
      <w:hyperlink r:id="rId9" w:history="1">
        <w:r w:rsidRPr="0036672B">
          <w:rPr>
            <w:rStyle w:val="Hyperlink"/>
            <w:rFonts w:ascii="Times New Roman" w:hAnsi="Times New Roman" w:cs="Times New Roman"/>
          </w:rPr>
          <w:t>https://www.regatrace.eu/wp-content/uploads/2020/02/REGATRACE-D6.1.pdf</w:t>
        </w:r>
      </w:hyperlink>
    </w:p>
    <w:p w14:paraId="38A17EDC" w14:textId="77777777" w:rsidR="00C03AAD" w:rsidRDefault="00C03AAD" w:rsidP="00C03AAD">
      <w:pPr>
        <w:pStyle w:val="FootnoteText"/>
      </w:pPr>
    </w:p>
  </w:footnote>
  <w:footnote w:id="20">
    <w:p w14:paraId="268C8C99" w14:textId="77777777" w:rsidR="00C03AAD" w:rsidRPr="005A2722" w:rsidRDefault="00C03AAD" w:rsidP="00C03AAD">
      <w:pPr>
        <w:pStyle w:val="FootnoteText"/>
        <w:rPr>
          <w:rFonts w:ascii="Times New Roman" w:hAnsi="Times New Roman" w:cs="Times New Roman"/>
        </w:rPr>
      </w:pPr>
      <w:r w:rsidRPr="00A4013C">
        <w:rPr>
          <w:rStyle w:val="FootnoteReference"/>
          <w:rFonts w:ascii="Times New Roman" w:hAnsi="Times New Roman" w:cs="Times New Roman"/>
        </w:rPr>
        <w:footnoteRef/>
      </w:r>
      <w:r w:rsidRPr="005A2722">
        <w:rPr>
          <w:rFonts w:ascii="Times New Roman" w:hAnsi="Times New Roman" w:cs="Times New Roman"/>
        </w:rPr>
        <w:t xml:space="preserve"> </w:t>
      </w:r>
      <w:hyperlink r:id="rId10" w:history="1">
        <w:r w:rsidRPr="005A2722">
          <w:rPr>
            <w:rStyle w:val="Hyperlink"/>
            <w:rFonts w:ascii="Times New Roman" w:hAnsi="Times New Roman" w:cs="Times New Roman"/>
          </w:rPr>
          <w:t>https://eur-lex.europa.eu/legal-content/LV/TXT/?uri=celex:32014L0094</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00305149" w14:paraId="16887A03" w14:textId="77777777" w:rsidTr="007F7041">
      <w:tc>
        <w:tcPr>
          <w:tcW w:w="3120" w:type="dxa"/>
        </w:tcPr>
        <w:p w14:paraId="3322BC27" w14:textId="77777777" w:rsidR="00305149" w:rsidRDefault="00305149" w:rsidP="007F7041">
          <w:pPr>
            <w:pStyle w:val="Header"/>
            <w:ind w:left="-115"/>
          </w:pPr>
        </w:p>
      </w:tc>
      <w:tc>
        <w:tcPr>
          <w:tcW w:w="3120" w:type="dxa"/>
        </w:tcPr>
        <w:p w14:paraId="5698E701" w14:textId="77777777" w:rsidR="00305149" w:rsidRDefault="00305149" w:rsidP="007F7041">
          <w:pPr>
            <w:pStyle w:val="Header"/>
            <w:jc w:val="center"/>
          </w:pPr>
        </w:p>
      </w:tc>
      <w:tc>
        <w:tcPr>
          <w:tcW w:w="3120" w:type="dxa"/>
        </w:tcPr>
        <w:p w14:paraId="42E2EC1A" w14:textId="77777777" w:rsidR="00305149" w:rsidRDefault="00305149" w:rsidP="007F7041">
          <w:pPr>
            <w:pStyle w:val="Header"/>
            <w:ind w:right="-115"/>
            <w:jc w:val="right"/>
          </w:pPr>
        </w:p>
      </w:tc>
    </w:tr>
  </w:tbl>
  <w:p w14:paraId="0CBD9365" w14:textId="77777777" w:rsidR="00305149" w:rsidRDefault="00305149" w:rsidP="007F704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F07"/>
    <w:multiLevelType w:val="multilevel"/>
    <w:tmpl w:val="9B5E0F58"/>
    <w:lvl w:ilvl="0">
      <w:start w:val="3"/>
      <w:numFmt w:val="decimal"/>
      <w:lvlText w:val="%1."/>
      <w:lvlJc w:val="left"/>
      <w:pPr>
        <w:ind w:left="540" w:hanging="540"/>
      </w:pPr>
      <w:rPr>
        <w:rFonts w:hint="default"/>
        <w:b/>
        <w:bCs/>
        <w:u w:val="none"/>
      </w:rPr>
    </w:lvl>
    <w:lvl w:ilvl="1">
      <w:start w:val="3"/>
      <w:numFmt w:val="decimal"/>
      <w:lvlText w:val="%1.%2."/>
      <w:lvlJc w:val="left"/>
      <w:pPr>
        <w:ind w:left="900" w:hanging="540"/>
      </w:pPr>
      <w:rPr>
        <w:rFonts w:hint="default"/>
        <w:u w:val="single"/>
      </w:rPr>
    </w:lvl>
    <w:lvl w:ilvl="2">
      <w:start w:val="2"/>
      <w:numFmt w:val="decimal"/>
      <w:lvlText w:val="%1.%2.%3."/>
      <w:lvlJc w:val="left"/>
      <w:pPr>
        <w:ind w:left="1996"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680" w:hanging="1800"/>
      </w:pPr>
      <w:rPr>
        <w:rFonts w:hint="default"/>
        <w:u w:val="single"/>
      </w:rPr>
    </w:lvl>
  </w:abstractNum>
  <w:abstractNum w:abstractNumId="1" w15:restartNumberingAfterBreak="0">
    <w:nsid w:val="066041BD"/>
    <w:multiLevelType w:val="hybridMultilevel"/>
    <w:tmpl w:val="264A34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25AC6"/>
    <w:multiLevelType w:val="hybridMultilevel"/>
    <w:tmpl w:val="3866F21E"/>
    <w:lvl w:ilvl="0" w:tplc="F0208842">
      <w:start w:val="1"/>
      <w:numFmt w:val="bullet"/>
      <w:lvlText w:val="•"/>
      <w:lvlJc w:val="left"/>
      <w:pPr>
        <w:tabs>
          <w:tab w:val="num" w:pos="720"/>
        </w:tabs>
        <w:ind w:left="720" w:hanging="360"/>
      </w:pPr>
      <w:rPr>
        <w:rFonts w:ascii="Arial" w:hAnsi="Arial" w:hint="default"/>
      </w:rPr>
    </w:lvl>
    <w:lvl w:ilvl="1" w:tplc="E640E07E" w:tentative="1">
      <w:start w:val="1"/>
      <w:numFmt w:val="bullet"/>
      <w:lvlText w:val="•"/>
      <w:lvlJc w:val="left"/>
      <w:pPr>
        <w:tabs>
          <w:tab w:val="num" w:pos="1440"/>
        </w:tabs>
        <w:ind w:left="1440" w:hanging="360"/>
      </w:pPr>
      <w:rPr>
        <w:rFonts w:ascii="Arial" w:hAnsi="Arial" w:hint="default"/>
      </w:rPr>
    </w:lvl>
    <w:lvl w:ilvl="2" w:tplc="BD5C096C" w:tentative="1">
      <w:start w:val="1"/>
      <w:numFmt w:val="bullet"/>
      <w:lvlText w:val="•"/>
      <w:lvlJc w:val="left"/>
      <w:pPr>
        <w:tabs>
          <w:tab w:val="num" w:pos="2160"/>
        </w:tabs>
        <w:ind w:left="2160" w:hanging="360"/>
      </w:pPr>
      <w:rPr>
        <w:rFonts w:ascii="Arial" w:hAnsi="Arial" w:hint="default"/>
      </w:rPr>
    </w:lvl>
    <w:lvl w:ilvl="3" w:tplc="F1C0FAE0" w:tentative="1">
      <w:start w:val="1"/>
      <w:numFmt w:val="bullet"/>
      <w:lvlText w:val="•"/>
      <w:lvlJc w:val="left"/>
      <w:pPr>
        <w:tabs>
          <w:tab w:val="num" w:pos="2880"/>
        </w:tabs>
        <w:ind w:left="2880" w:hanging="360"/>
      </w:pPr>
      <w:rPr>
        <w:rFonts w:ascii="Arial" w:hAnsi="Arial" w:hint="default"/>
      </w:rPr>
    </w:lvl>
    <w:lvl w:ilvl="4" w:tplc="010436B4" w:tentative="1">
      <w:start w:val="1"/>
      <w:numFmt w:val="bullet"/>
      <w:lvlText w:val="•"/>
      <w:lvlJc w:val="left"/>
      <w:pPr>
        <w:tabs>
          <w:tab w:val="num" w:pos="3600"/>
        </w:tabs>
        <w:ind w:left="3600" w:hanging="360"/>
      </w:pPr>
      <w:rPr>
        <w:rFonts w:ascii="Arial" w:hAnsi="Arial" w:hint="default"/>
      </w:rPr>
    </w:lvl>
    <w:lvl w:ilvl="5" w:tplc="1BA85B4C" w:tentative="1">
      <w:start w:val="1"/>
      <w:numFmt w:val="bullet"/>
      <w:lvlText w:val="•"/>
      <w:lvlJc w:val="left"/>
      <w:pPr>
        <w:tabs>
          <w:tab w:val="num" w:pos="4320"/>
        </w:tabs>
        <w:ind w:left="4320" w:hanging="360"/>
      </w:pPr>
      <w:rPr>
        <w:rFonts w:ascii="Arial" w:hAnsi="Arial" w:hint="default"/>
      </w:rPr>
    </w:lvl>
    <w:lvl w:ilvl="6" w:tplc="D0E0B78E" w:tentative="1">
      <w:start w:val="1"/>
      <w:numFmt w:val="bullet"/>
      <w:lvlText w:val="•"/>
      <w:lvlJc w:val="left"/>
      <w:pPr>
        <w:tabs>
          <w:tab w:val="num" w:pos="5040"/>
        </w:tabs>
        <w:ind w:left="5040" w:hanging="360"/>
      </w:pPr>
      <w:rPr>
        <w:rFonts w:ascii="Arial" w:hAnsi="Arial" w:hint="default"/>
      </w:rPr>
    </w:lvl>
    <w:lvl w:ilvl="7" w:tplc="5C302B84" w:tentative="1">
      <w:start w:val="1"/>
      <w:numFmt w:val="bullet"/>
      <w:lvlText w:val="•"/>
      <w:lvlJc w:val="left"/>
      <w:pPr>
        <w:tabs>
          <w:tab w:val="num" w:pos="5760"/>
        </w:tabs>
        <w:ind w:left="5760" w:hanging="360"/>
      </w:pPr>
      <w:rPr>
        <w:rFonts w:ascii="Arial" w:hAnsi="Arial" w:hint="default"/>
      </w:rPr>
    </w:lvl>
    <w:lvl w:ilvl="8" w:tplc="AEE285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C1F00CE"/>
    <w:multiLevelType w:val="hybridMultilevel"/>
    <w:tmpl w:val="F7EA6020"/>
    <w:lvl w:ilvl="0" w:tplc="592E8AC4">
      <w:start w:val="1"/>
      <w:numFmt w:val="decimal"/>
      <w:lvlText w:val="%1)"/>
      <w:lvlJc w:val="left"/>
      <w:pPr>
        <w:ind w:left="660" w:hanging="360"/>
      </w:pPr>
      <w:rPr>
        <w:rFonts w:hint="default"/>
        <w:color w:val="auto"/>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15:restartNumberingAfterBreak="0">
    <w:nsid w:val="25AC7ACB"/>
    <w:multiLevelType w:val="hybridMultilevel"/>
    <w:tmpl w:val="C6FC3BD0"/>
    <w:lvl w:ilvl="0" w:tplc="9AAC22C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 w15:restartNumberingAfterBreak="0">
    <w:nsid w:val="27DB24E1"/>
    <w:multiLevelType w:val="hybridMultilevel"/>
    <w:tmpl w:val="9D2E74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C86524F"/>
    <w:multiLevelType w:val="multilevel"/>
    <w:tmpl w:val="E210189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2DB37A8B"/>
    <w:multiLevelType w:val="hybridMultilevel"/>
    <w:tmpl w:val="A59E3C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E7459F6"/>
    <w:multiLevelType w:val="multilevel"/>
    <w:tmpl w:val="D7A08D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02F36BF"/>
    <w:multiLevelType w:val="hybridMultilevel"/>
    <w:tmpl w:val="A60A5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0011E8"/>
    <w:multiLevelType w:val="multilevel"/>
    <w:tmpl w:val="65201070"/>
    <w:lvl w:ilvl="0">
      <w:start w:val="1"/>
      <w:numFmt w:val="decimal"/>
      <w:lvlText w:val="%1."/>
      <w:lvlJc w:val="left"/>
      <w:pPr>
        <w:ind w:left="810" w:hanging="360"/>
      </w:pPr>
      <w:rPr>
        <w:rFonts w:hint="default"/>
      </w:rPr>
    </w:lvl>
    <w:lvl w:ilvl="1">
      <w:start w:val="1"/>
      <w:numFmt w:val="decimal"/>
      <w:isLgl/>
      <w:lvlText w:val="%1.%2."/>
      <w:lvlJc w:val="left"/>
      <w:pPr>
        <w:ind w:left="81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1" w15:restartNumberingAfterBreak="0">
    <w:nsid w:val="3D0E040C"/>
    <w:multiLevelType w:val="hybridMultilevel"/>
    <w:tmpl w:val="2D72E746"/>
    <w:lvl w:ilvl="0" w:tplc="EA94F08E">
      <w:start w:val="1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85C9B"/>
    <w:multiLevelType w:val="hybridMultilevel"/>
    <w:tmpl w:val="1AE427A0"/>
    <w:lvl w:ilvl="0" w:tplc="A2F2A088">
      <w:start w:val="4"/>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3" w15:restartNumberingAfterBreak="0">
    <w:nsid w:val="4C536261"/>
    <w:multiLevelType w:val="hybridMultilevel"/>
    <w:tmpl w:val="66A2F4A6"/>
    <w:lvl w:ilvl="0" w:tplc="C754679C">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2719AE"/>
    <w:multiLevelType w:val="hybridMultilevel"/>
    <w:tmpl w:val="5492DD50"/>
    <w:lvl w:ilvl="0" w:tplc="0426000F">
      <w:start w:val="1"/>
      <w:numFmt w:val="decimal"/>
      <w:lvlText w:val="%1."/>
      <w:lvlJc w:val="left"/>
      <w:pPr>
        <w:ind w:left="720" w:hanging="360"/>
      </w:pPr>
      <w:rPr>
        <w:rFonts w:hint="default"/>
      </w:rPr>
    </w:lvl>
    <w:lvl w:ilvl="1" w:tplc="EF149A66">
      <w:start w:val="1"/>
      <w:numFmt w:val="lowerLetter"/>
      <w:lvlText w:val="%2."/>
      <w:lvlJc w:val="left"/>
      <w:pPr>
        <w:ind w:left="1800" w:hanging="72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C67838"/>
    <w:multiLevelType w:val="hybridMultilevel"/>
    <w:tmpl w:val="8592CA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C7E15D2"/>
    <w:multiLevelType w:val="hybridMultilevel"/>
    <w:tmpl w:val="9CE80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3EE7D6A"/>
    <w:multiLevelType w:val="hybridMultilevel"/>
    <w:tmpl w:val="B084443A"/>
    <w:lvl w:ilvl="0" w:tplc="FFFFFFFF">
      <w:start w:val="1"/>
      <w:numFmt w:val="decimal"/>
      <w:lvlText w:val="%1."/>
      <w:lvlJc w:val="left"/>
      <w:pPr>
        <w:ind w:left="720" w:hanging="360"/>
      </w:pPr>
    </w:lvl>
    <w:lvl w:ilvl="1" w:tplc="A976911C">
      <w:start w:val="1"/>
      <w:numFmt w:val="lowerLetter"/>
      <w:lvlText w:val="%2."/>
      <w:lvlJc w:val="left"/>
      <w:pPr>
        <w:ind w:left="1440" w:hanging="360"/>
      </w:pPr>
    </w:lvl>
    <w:lvl w:ilvl="2" w:tplc="65C6CD9A">
      <w:start w:val="1"/>
      <w:numFmt w:val="lowerRoman"/>
      <w:lvlText w:val="%3."/>
      <w:lvlJc w:val="right"/>
      <w:pPr>
        <w:ind w:left="2160" w:hanging="180"/>
      </w:pPr>
    </w:lvl>
    <w:lvl w:ilvl="3" w:tplc="40D21E14">
      <w:start w:val="1"/>
      <w:numFmt w:val="decimal"/>
      <w:lvlText w:val="%4."/>
      <w:lvlJc w:val="left"/>
      <w:pPr>
        <w:ind w:left="2880" w:hanging="360"/>
      </w:pPr>
    </w:lvl>
    <w:lvl w:ilvl="4" w:tplc="4112B898">
      <w:start w:val="1"/>
      <w:numFmt w:val="lowerLetter"/>
      <w:lvlText w:val="%5."/>
      <w:lvlJc w:val="left"/>
      <w:pPr>
        <w:ind w:left="3600" w:hanging="360"/>
      </w:pPr>
    </w:lvl>
    <w:lvl w:ilvl="5" w:tplc="3A10D694">
      <w:start w:val="1"/>
      <w:numFmt w:val="lowerRoman"/>
      <w:lvlText w:val="%6."/>
      <w:lvlJc w:val="right"/>
      <w:pPr>
        <w:ind w:left="4320" w:hanging="180"/>
      </w:pPr>
    </w:lvl>
    <w:lvl w:ilvl="6" w:tplc="80E07148">
      <w:start w:val="1"/>
      <w:numFmt w:val="decimal"/>
      <w:lvlText w:val="%7."/>
      <w:lvlJc w:val="left"/>
      <w:pPr>
        <w:ind w:left="5040" w:hanging="360"/>
      </w:pPr>
    </w:lvl>
    <w:lvl w:ilvl="7" w:tplc="4DFAE796">
      <w:start w:val="1"/>
      <w:numFmt w:val="lowerLetter"/>
      <w:lvlText w:val="%8."/>
      <w:lvlJc w:val="left"/>
      <w:pPr>
        <w:ind w:left="5760" w:hanging="360"/>
      </w:pPr>
    </w:lvl>
    <w:lvl w:ilvl="8" w:tplc="F12A5706">
      <w:start w:val="1"/>
      <w:numFmt w:val="lowerRoman"/>
      <w:lvlText w:val="%9."/>
      <w:lvlJc w:val="right"/>
      <w:pPr>
        <w:ind w:left="6480" w:hanging="180"/>
      </w:pPr>
    </w:lvl>
  </w:abstractNum>
  <w:abstractNum w:abstractNumId="18" w15:restartNumberingAfterBreak="0">
    <w:nsid w:val="67184002"/>
    <w:multiLevelType w:val="multilevel"/>
    <w:tmpl w:val="E24E68C4"/>
    <w:lvl w:ilvl="0">
      <w:start w:val="1"/>
      <w:numFmt w:val="decimal"/>
      <w:lvlText w:val="%1."/>
      <w:lvlJc w:val="left"/>
      <w:pPr>
        <w:ind w:left="81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9" w15:restartNumberingAfterBreak="0">
    <w:nsid w:val="757E2F06"/>
    <w:multiLevelType w:val="hybridMultilevel"/>
    <w:tmpl w:val="377E6B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7F7B6761"/>
    <w:multiLevelType w:val="multilevel"/>
    <w:tmpl w:val="9EDC030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1"/>
  </w:num>
  <w:num w:numId="3">
    <w:abstractNumId w:val="10"/>
  </w:num>
  <w:num w:numId="4">
    <w:abstractNumId w:val="11"/>
  </w:num>
  <w:num w:numId="5">
    <w:abstractNumId w:val="20"/>
  </w:num>
  <w:num w:numId="6">
    <w:abstractNumId w:val="3"/>
  </w:num>
  <w:num w:numId="7">
    <w:abstractNumId w:val="13"/>
  </w:num>
  <w:num w:numId="8">
    <w:abstractNumId w:val="9"/>
  </w:num>
  <w:num w:numId="9">
    <w:abstractNumId w:val="18"/>
  </w:num>
  <w:num w:numId="10">
    <w:abstractNumId w:val="5"/>
  </w:num>
  <w:num w:numId="11">
    <w:abstractNumId w:val="15"/>
  </w:num>
  <w:num w:numId="12">
    <w:abstractNumId w:val="0"/>
  </w:num>
  <w:num w:numId="13">
    <w:abstractNumId w:val="2"/>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14"/>
  </w:num>
  <w:num w:numId="18">
    <w:abstractNumId w:val="16"/>
  </w:num>
  <w:num w:numId="19">
    <w:abstractNumId w:val="19"/>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74"/>
    <w:rsid w:val="00002BD8"/>
    <w:rsid w:val="0000552F"/>
    <w:rsid w:val="00006714"/>
    <w:rsid w:val="00007AE2"/>
    <w:rsid w:val="00016A9E"/>
    <w:rsid w:val="00017E04"/>
    <w:rsid w:val="00033A8F"/>
    <w:rsid w:val="00033BFA"/>
    <w:rsid w:val="0003525B"/>
    <w:rsid w:val="000364C5"/>
    <w:rsid w:val="0003731F"/>
    <w:rsid w:val="0003782E"/>
    <w:rsid w:val="00042A46"/>
    <w:rsid w:val="00043EB5"/>
    <w:rsid w:val="00047423"/>
    <w:rsid w:val="00053105"/>
    <w:rsid w:val="00067A17"/>
    <w:rsid w:val="00074BC5"/>
    <w:rsid w:val="000755C7"/>
    <w:rsid w:val="00076665"/>
    <w:rsid w:val="000778E3"/>
    <w:rsid w:val="00080A29"/>
    <w:rsid w:val="00082E82"/>
    <w:rsid w:val="00084951"/>
    <w:rsid w:val="00090B10"/>
    <w:rsid w:val="000913D0"/>
    <w:rsid w:val="00094EFA"/>
    <w:rsid w:val="00096F42"/>
    <w:rsid w:val="000A0504"/>
    <w:rsid w:val="000A08EE"/>
    <w:rsid w:val="000A147E"/>
    <w:rsid w:val="000A2DCF"/>
    <w:rsid w:val="000A6397"/>
    <w:rsid w:val="000A7702"/>
    <w:rsid w:val="000B2BCC"/>
    <w:rsid w:val="000B2D6D"/>
    <w:rsid w:val="000B5E55"/>
    <w:rsid w:val="000C1F79"/>
    <w:rsid w:val="000C2445"/>
    <w:rsid w:val="000C57F9"/>
    <w:rsid w:val="000C627D"/>
    <w:rsid w:val="000C750B"/>
    <w:rsid w:val="000D17EE"/>
    <w:rsid w:val="000D1E29"/>
    <w:rsid w:val="000D3FB8"/>
    <w:rsid w:val="000D7EF6"/>
    <w:rsid w:val="000E240D"/>
    <w:rsid w:val="000E2727"/>
    <w:rsid w:val="000E66D7"/>
    <w:rsid w:val="000F0D4B"/>
    <w:rsid w:val="000F6016"/>
    <w:rsid w:val="000F791D"/>
    <w:rsid w:val="0010416E"/>
    <w:rsid w:val="001047B3"/>
    <w:rsid w:val="00110A0A"/>
    <w:rsid w:val="0011350E"/>
    <w:rsid w:val="00113F03"/>
    <w:rsid w:val="00116274"/>
    <w:rsid w:val="00117C09"/>
    <w:rsid w:val="00121F2D"/>
    <w:rsid w:val="001241CB"/>
    <w:rsid w:val="0012518C"/>
    <w:rsid w:val="0014006C"/>
    <w:rsid w:val="00143A62"/>
    <w:rsid w:val="00144F44"/>
    <w:rsid w:val="00152AA3"/>
    <w:rsid w:val="001563CF"/>
    <w:rsid w:val="001671D8"/>
    <w:rsid w:val="00176E9E"/>
    <w:rsid w:val="00176F0F"/>
    <w:rsid w:val="00181854"/>
    <w:rsid w:val="00184DBA"/>
    <w:rsid w:val="00185405"/>
    <w:rsid w:val="00195BE1"/>
    <w:rsid w:val="001A284B"/>
    <w:rsid w:val="001A5D26"/>
    <w:rsid w:val="001A61E1"/>
    <w:rsid w:val="001B5B7D"/>
    <w:rsid w:val="001C427C"/>
    <w:rsid w:val="001C54B5"/>
    <w:rsid w:val="001C7D43"/>
    <w:rsid w:val="001D4119"/>
    <w:rsid w:val="001E0BAC"/>
    <w:rsid w:val="001E129F"/>
    <w:rsid w:val="001E138E"/>
    <w:rsid w:val="001E6A06"/>
    <w:rsid w:val="002000CE"/>
    <w:rsid w:val="00200BB5"/>
    <w:rsid w:val="00200C3A"/>
    <w:rsid w:val="00202DF7"/>
    <w:rsid w:val="00205F15"/>
    <w:rsid w:val="00206B15"/>
    <w:rsid w:val="0022399A"/>
    <w:rsid w:val="002240EC"/>
    <w:rsid w:val="00232228"/>
    <w:rsid w:val="00237F5E"/>
    <w:rsid w:val="0024657F"/>
    <w:rsid w:val="00251DAA"/>
    <w:rsid w:val="00252DA3"/>
    <w:rsid w:val="0025320B"/>
    <w:rsid w:val="0026459B"/>
    <w:rsid w:val="00264643"/>
    <w:rsid w:val="002670A1"/>
    <w:rsid w:val="00275ABD"/>
    <w:rsid w:val="00277169"/>
    <w:rsid w:val="002835D3"/>
    <w:rsid w:val="002869B1"/>
    <w:rsid w:val="002916F3"/>
    <w:rsid w:val="002A6817"/>
    <w:rsid w:val="002B0C82"/>
    <w:rsid w:val="002B3A66"/>
    <w:rsid w:val="002B780D"/>
    <w:rsid w:val="002C4D7A"/>
    <w:rsid w:val="002C708F"/>
    <w:rsid w:val="002C775C"/>
    <w:rsid w:val="002C784E"/>
    <w:rsid w:val="002D1AF5"/>
    <w:rsid w:val="002D1F43"/>
    <w:rsid w:val="002D51B4"/>
    <w:rsid w:val="002D7599"/>
    <w:rsid w:val="002E11CF"/>
    <w:rsid w:val="002E1DBC"/>
    <w:rsid w:val="002E1DDC"/>
    <w:rsid w:val="002E2A2E"/>
    <w:rsid w:val="002E4D07"/>
    <w:rsid w:val="002E525F"/>
    <w:rsid w:val="002E7981"/>
    <w:rsid w:val="00305149"/>
    <w:rsid w:val="00307289"/>
    <w:rsid w:val="00310FDC"/>
    <w:rsid w:val="00320CAE"/>
    <w:rsid w:val="003219C7"/>
    <w:rsid w:val="00323F6D"/>
    <w:rsid w:val="00326332"/>
    <w:rsid w:val="00332960"/>
    <w:rsid w:val="003340F7"/>
    <w:rsid w:val="00334FA7"/>
    <w:rsid w:val="00335DBB"/>
    <w:rsid w:val="003362FE"/>
    <w:rsid w:val="00343CBD"/>
    <w:rsid w:val="00343F33"/>
    <w:rsid w:val="003479C9"/>
    <w:rsid w:val="00351534"/>
    <w:rsid w:val="00351E76"/>
    <w:rsid w:val="00353E2B"/>
    <w:rsid w:val="0036034D"/>
    <w:rsid w:val="003619D8"/>
    <w:rsid w:val="00364ECD"/>
    <w:rsid w:val="0036672B"/>
    <w:rsid w:val="003721FD"/>
    <w:rsid w:val="00375F3F"/>
    <w:rsid w:val="00387492"/>
    <w:rsid w:val="003A73C0"/>
    <w:rsid w:val="003B2401"/>
    <w:rsid w:val="003B36A9"/>
    <w:rsid w:val="003B6C81"/>
    <w:rsid w:val="003C683A"/>
    <w:rsid w:val="003C7C4A"/>
    <w:rsid w:val="003D0950"/>
    <w:rsid w:val="003D1E49"/>
    <w:rsid w:val="003D2163"/>
    <w:rsid w:val="003D330D"/>
    <w:rsid w:val="003D4D28"/>
    <w:rsid w:val="003D5ABA"/>
    <w:rsid w:val="003E4112"/>
    <w:rsid w:val="003E6EA9"/>
    <w:rsid w:val="003E7A17"/>
    <w:rsid w:val="004049C9"/>
    <w:rsid w:val="0040587A"/>
    <w:rsid w:val="004060B0"/>
    <w:rsid w:val="0041292C"/>
    <w:rsid w:val="0041359E"/>
    <w:rsid w:val="00415937"/>
    <w:rsid w:val="0041720F"/>
    <w:rsid w:val="004214E2"/>
    <w:rsid w:val="00426EBC"/>
    <w:rsid w:val="00435D0D"/>
    <w:rsid w:val="004361FE"/>
    <w:rsid w:val="00436F6C"/>
    <w:rsid w:val="00441501"/>
    <w:rsid w:val="00442A41"/>
    <w:rsid w:val="00444758"/>
    <w:rsid w:val="0045049F"/>
    <w:rsid w:val="00460E0B"/>
    <w:rsid w:val="00465C0A"/>
    <w:rsid w:val="00470A70"/>
    <w:rsid w:val="00484EF0"/>
    <w:rsid w:val="00486C5F"/>
    <w:rsid w:val="004917FB"/>
    <w:rsid w:val="0049347E"/>
    <w:rsid w:val="00497106"/>
    <w:rsid w:val="004A366C"/>
    <w:rsid w:val="004A502C"/>
    <w:rsid w:val="004B7263"/>
    <w:rsid w:val="004C247F"/>
    <w:rsid w:val="004C3574"/>
    <w:rsid w:val="004C56D8"/>
    <w:rsid w:val="004D0F9B"/>
    <w:rsid w:val="004D7B0F"/>
    <w:rsid w:val="004E2F66"/>
    <w:rsid w:val="004E3274"/>
    <w:rsid w:val="004F4A99"/>
    <w:rsid w:val="004F6056"/>
    <w:rsid w:val="004F7C0B"/>
    <w:rsid w:val="00503E23"/>
    <w:rsid w:val="00514AEE"/>
    <w:rsid w:val="0052207D"/>
    <w:rsid w:val="0052292A"/>
    <w:rsid w:val="00522EB6"/>
    <w:rsid w:val="005241D4"/>
    <w:rsid w:val="0052536B"/>
    <w:rsid w:val="00526F1D"/>
    <w:rsid w:val="00527155"/>
    <w:rsid w:val="00532793"/>
    <w:rsid w:val="0053545D"/>
    <w:rsid w:val="00535653"/>
    <w:rsid w:val="00535EC5"/>
    <w:rsid w:val="0053711D"/>
    <w:rsid w:val="00541B13"/>
    <w:rsid w:val="00541BAB"/>
    <w:rsid w:val="00541F28"/>
    <w:rsid w:val="00543CC9"/>
    <w:rsid w:val="005664CD"/>
    <w:rsid w:val="00567E6F"/>
    <w:rsid w:val="00571A7C"/>
    <w:rsid w:val="00575ABF"/>
    <w:rsid w:val="00577428"/>
    <w:rsid w:val="00581BBC"/>
    <w:rsid w:val="005825FB"/>
    <w:rsid w:val="00583B4D"/>
    <w:rsid w:val="00584C98"/>
    <w:rsid w:val="00595EC0"/>
    <w:rsid w:val="00596773"/>
    <w:rsid w:val="00597426"/>
    <w:rsid w:val="005A2722"/>
    <w:rsid w:val="005A3B67"/>
    <w:rsid w:val="005B5DDE"/>
    <w:rsid w:val="005C5DBA"/>
    <w:rsid w:val="005C65DE"/>
    <w:rsid w:val="005D583F"/>
    <w:rsid w:val="005D6E5A"/>
    <w:rsid w:val="005D7A87"/>
    <w:rsid w:val="005F1ABC"/>
    <w:rsid w:val="005F1D2D"/>
    <w:rsid w:val="005F57B9"/>
    <w:rsid w:val="00613F5F"/>
    <w:rsid w:val="00621790"/>
    <w:rsid w:val="00624CFD"/>
    <w:rsid w:val="006262C7"/>
    <w:rsid w:val="00626DB6"/>
    <w:rsid w:val="00637B7F"/>
    <w:rsid w:val="00640B71"/>
    <w:rsid w:val="00642903"/>
    <w:rsid w:val="00646842"/>
    <w:rsid w:val="00651FC4"/>
    <w:rsid w:val="0065672A"/>
    <w:rsid w:val="0066667A"/>
    <w:rsid w:val="00670806"/>
    <w:rsid w:val="006709BD"/>
    <w:rsid w:val="00670CE3"/>
    <w:rsid w:val="00672A8D"/>
    <w:rsid w:val="0068123E"/>
    <w:rsid w:val="0068193B"/>
    <w:rsid w:val="00683319"/>
    <w:rsid w:val="006876A3"/>
    <w:rsid w:val="00691B6C"/>
    <w:rsid w:val="00692B31"/>
    <w:rsid w:val="006937AB"/>
    <w:rsid w:val="006A253F"/>
    <w:rsid w:val="006A30B5"/>
    <w:rsid w:val="006A586A"/>
    <w:rsid w:val="006A658C"/>
    <w:rsid w:val="006B1043"/>
    <w:rsid w:val="006B4099"/>
    <w:rsid w:val="006B4366"/>
    <w:rsid w:val="006B6B01"/>
    <w:rsid w:val="006C27E3"/>
    <w:rsid w:val="006C5AF6"/>
    <w:rsid w:val="006C6297"/>
    <w:rsid w:val="006D01F9"/>
    <w:rsid w:val="006D0D88"/>
    <w:rsid w:val="006D4DAE"/>
    <w:rsid w:val="006E654F"/>
    <w:rsid w:val="006F3486"/>
    <w:rsid w:val="006F4FC3"/>
    <w:rsid w:val="006F79A0"/>
    <w:rsid w:val="006F7A4F"/>
    <w:rsid w:val="00700E95"/>
    <w:rsid w:val="00701A93"/>
    <w:rsid w:val="00702EF8"/>
    <w:rsid w:val="00723F38"/>
    <w:rsid w:val="007276E8"/>
    <w:rsid w:val="00727941"/>
    <w:rsid w:val="00730CBA"/>
    <w:rsid w:val="00737E16"/>
    <w:rsid w:val="00742D6C"/>
    <w:rsid w:val="00751A5B"/>
    <w:rsid w:val="0075343F"/>
    <w:rsid w:val="007534E6"/>
    <w:rsid w:val="00760B50"/>
    <w:rsid w:val="00767FCF"/>
    <w:rsid w:val="0077148C"/>
    <w:rsid w:val="007778F0"/>
    <w:rsid w:val="00787D44"/>
    <w:rsid w:val="00793B39"/>
    <w:rsid w:val="00795FE2"/>
    <w:rsid w:val="007A5D0D"/>
    <w:rsid w:val="007A68EF"/>
    <w:rsid w:val="007A7482"/>
    <w:rsid w:val="007A7CD5"/>
    <w:rsid w:val="007B5B3F"/>
    <w:rsid w:val="007B720A"/>
    <w:rsid w:val="007C1EC1"/>
    <w:rsid w:val="007C2400"/>
    <w:rsid w:val="007D0614"/>
    <w:rsid w:val="007D5350"/>
    <w:rsid w:val="007D7E42"/>
    <w:rsid w:val="007E0F2B"/>
    <w:rsid w:val="007F08AD"/>
    <w:rsid w:val="007F22F5"/>
    <w:rsid w:val="007F2D1C"/>
    <w:rsid w:val="007F3058"/>
    <w:rsid w:val="007F519D"/>
    <w:rsid w:val="007F60A8"/>
    <w:rsid w:val="007F7041"/>
    <w:rsid w:val="0080351B"/>
    <w:rsid w:val="00806087"/>
    <w:rsid w:val="008122FD"/>
    <w:rsid w:val="008208F9"/>
    <w:rsid w:val="00825E0E"/>
    <w:rsid w:val="00826784"/>
    <w:rsid w:val="00832879"/>
    <w:rsid w:val="0083694F"/>
    <w:rsid w:val="0084121A"/>
    <w:rsid w:val="00845004"/>
    <w:rsid w:val="00851117"/>
    <w:rsid w:val="00852DA6"/>
    <w:rsid w:val="00855A3F"/>
    <w:rsid w:val="00856896"/>
    <w:rsid w:val="0086068A"/>
    <w:rsid w:val="00861B58"/>
    <w:rsid w:val="00863CE3"/>
    <w:rsid w:val="00865D43"/>
    <w:rsid w:val="00867B29"/>
    <w:rsid w:val="008746AE"/>
    <w:rsid w:val="008778C7"/>
    <w:rsid w:val="00880392"/>
    <w:rsid w:val="00883FBA"/>
    <w:rsid w:val="00884034"/>
    <w:rsid w:val="00895A1D"/>
    <w:rsid w:val="008A37C9"/>
    <w:rsid w:val="008A6546"/>
    <w:rsid w:val="008B0851"/>
    <w:rsid w:val="008B17CC"/>
    <w:rsid w:val="008B36E9"/>
    <w:rsid w:val="008C0418"/>
    <w:rsid w:val="008C0812"/>
    <w:rsid w:val="008D04C0"/>
    <w:rsid w:val="008D05CA"/>
    <w:rsid w:val="008E210E"/>
    <w:rsid w:val="008E2419"/>
    <w:rsid w:val="008F2946"/>
    <w:rsid w:val="008F4858"/>
    <w:rsid w:val="008F6A84"/>
    <w:rsid w:val="009050E6"/>
    <w:rsid w:val="00905D8D"/>
    <w:rsid w:val="00913956"/>
    <w:rsid w:val="0091693D"/>
    <w:rsid w:val="00922D2D"/>
    <w:rsid w:val="00923D49"/>
    <w:rsid w:val="0093150B"/>
    <w:rsid w:val="00933E81"/>
    <w:rsid w:val="0093553B"/>
    <w:rsid w:val="009409A5"/>
    <w:rsid w:val="00943BC7"/>
    <w:rsid w:val="009450CD"/>
    <w:rsid w:val="009455E9"/>
    <w:rsid w:val="00945AED"/>
    <w:rsid w:val="00953974"/>
    <w:rsid w:val="00964F5A"/>
    <w:rsid w:val="00966FDB"/>
    <w:rsid w:val="00967C95"/>
    <w:rsid w:val="009806D2"/>
    <w:rsid w:val="00983E03"/>
    <w:rsid w:val="00984AF0"/>
    <w:rsid w:val="00984E9B"/>
    <w:rsid w:val="00990FA7"/>
    <w:rsid w:val="009916FB"/>
    <w:rsid w:val="00991A32"/>
    <w:rsid w:val="00991D35"/>
    <w:rsid w:val="00992009"/>
    <w:rsid w:val="00992238"/>
    <w:rsid w:val="009979AB"/>
    <w:rsid w:val="009A006B"/>
    <w:rsid w:val="009A2581"/>
    <w:rsid w:val="009A4AF4"/>
    <w:rsid w:val="009A6C1E"/>
    <w:rsid w:val="009A6C5C"/>
    <w:rsid w:val="009A72DE"/>
    <w:rsid w:val="009B039B"/>
    <w:rsid w:val="009B5B1A"/>
    <w:rsid w:val="009B635D"/>
    <w:rsid w:val="009C6946"/>
    <w:rsid w:val="009C79D6"/>
    <w:rsid w:val="009D171E"/>
    <w:rsid w:val="009D26CC"/>
    <w:rsid w:val="009D3920"/>
    <w:rsid w:val="009D79E6"/>
    <w:rsid w:val="009E3EDA"/>
    <w:rsid w:val="009F3CE0"/>
    <w:rsid w:val="009F526A"/>
    <w:rsid w:val="00A03A92"/>
    <w:rsid w:val="00A0405D"/>
    <w:rsid w:val="00A0498D"/>
    <w:rsid w:val="00A1519E"/>
    <w:rsid w:val="00A24DA0"/>
    <w:rsid w:val="00A31FF3"/>
    <w:rsid w:val="00A3316E"/>
    <w:rsid w:val="00A357DD"/>
    <w:rsid w:val="00A363FF"/>
    <w:rsid w:val="00A4013C"/>
    <w:rsid w:val="00A441B8"/>
    <w:rsid w:val="00A44E3B"/>
    <w:rsid w:val="00A467A4"/>
    <w:rsid w:val="00A56ADF"/>
    <w:rsid w:val="00A572E1"/>
    <w:rsid w:val="00A641FB"/>
    <w:rsid w:val="00A665D5"/>
    <w:rsid w:val="00A96199"/>
    <w:rsid w:val="00A96A04"/>
    <w:rsid w:val="00A96C68"/>
    <w:rsid w:val="00AA2348"/>
    <w:rsid w:val="00AA4495"/>
    <w:rsid w:val="00AA5A16"/>
    <w:rsid w:val="00AA64C2"/>
    <w:rsid w:val="00AA71E2"/>
    <w:rsid w:val="00AC48DE"/>
    <w:rsid w:val="00AC4E13"/>
    <w:rsid w:val="00AC6F62"/>
    <w:rsid w:val="00AD1D66"/>
    <w:rsid w:val="00AD254D"/>
    <w:rsid w:val="00AD408B"/>
    <w:rsid w:val="00AD5640"/>
    <w:rsid w:val="00AE105C"/>
    <w:rsid w:val="00AE1C56"/>
    <w:rsid w:val="00AE2D6B"/>
    <w:rsid w:val="00AE49F4"/>
    <w:rsid w:val="00AE50BC"/>
    <w:rsid w:val="00AF5FAB"/>
    <w:rsid w:val="00B02BE4"/>
    <w:rsid w:val="00B0382F"/>
    <w:rsid w:val="00B0579C"/>
    <w:rsid w:val="00B06052"/>
    <w:rsid w:val="00B12352"/>
    <w:rsid w:val="00B133E5"/>
    <w:rsid w:val="00B24167"/>
    <w:rsid w:val="00B25F06"/>
    <w:rsid w:val="00B26478"/>
    <w:rsid w:val="00B2676B"/>
    <w:rsid w:val="00B26AEF"/>
    <w:rsid w:val="00B30572"/>
    <w:rsid w:val="00B3141B"/>
    <w:rsid w:val="00B32BAE"/>
    <w:rsid w:val="00B46E57"/>
    <w:rsid w:val="00B52743"/>
    <w:rsid w:val="00B528EB"/>
    <w:rsid w:val="00B53A97"/>
    <w:rsid w:val="00B55E9A"/>
    <w:rsid w:val="00B55FF3"/>
    <w:rsid w:val="00B561D1"/>
    <w:rsid w:val="00B56725"/>
    <w:rsid w:val="00B61D1A"/>
    <w:rsid w:val="00B6396D"/>
    <w:rsid w:val="00B65FA8"/>
    <w:rsid w:val="00B70C71"/>
    <w:rsid w:val="00B70D75"/>
    <w:rsid w:val="00B717E1"/>
    <w:rsid w:val="00B73E69"/>
    <w:rsid w:val="00B75333"/>
    <w:rsid w:val="00B77A9D"/>
    <w:rsid w:val="00B802CF"/>
    <w:rsid w:val="00B80787"/>
    <w:rsid w:val="00B80FFE"/>
    <w:rsid w:val="00B82B60"/>
    <w:rsid w:val="00B82F4E"/>
    <w:rsid w:val="00B85C0C"/>
    <w:rsid w:val="00B85E14"/>
    <w:rsid w:val="00B87953"/>
    <w:rsid w:val="00B900E0"/>
    <w:rsid w:val="00B94B10"/>
    <w:rsid w:val="00BA476F"/>
    <w:rsid w:val="00BA616B"/>
    <w:rsid w:val="00BB1F82"/>
    <w:rsid w:val="00BB44B2"/>
    <w:rsid w:val="00BB581B"/>
    <w:rsid w:val="00BB589D"/>
    <w:rsid w:val="00BC556A"/>
    <w:rsid w:val="00BD22EE"/>
    <w:rsid w:val="00BD2EFC"/>
    <w:rsid w:val="00BD4F16"/>
    <w:rsid w:val="00BE0C02"/>
    <w:rsid w:val="00BE16DF"/>
    <w:rsid w:val="00BE2255"/>
    <w:rsid w:val="00BF1632"/>
    <w:rsid w:val="00BF5E87"/>
    <w:rsid w:val="00C01276"/>
    <w:rsid w:val="00C03AAD"/>
    <w:rsid w:val="00C077F5"/>
    <w:rsid w:val="00C108F7"/>
    <w:rsid w:val="00C12014"/>
    <w:rsid w:val="00C12B72"/>
    <w:rsid w:val="00C12CAB"/>
    <w:rsid w:val="00C14B7F"/>
    <w:rsid w:val="00C24D1E"/>
    <w:rsid w:val="00C250F2"/>
    <w:rsid w:val="00C343F9"/>
    <w:rsid w:val="00C34734"/>
    <w:rsid w:val="00C45168"/>
    <w:rsid w:val="00C457D4"/>
    <w:rsid w:val="00C51D88"/>
    <w:rsid w:val="00C53C59"/>
    <w:rsid w:val="00C54744"/>
    <w:rsid w:val="00C61973"/>
    <w:rsid w:val="00C70A06"/>
    <w:rsid w:val="00C71A78"/>
    <w:rsid w:val="00C76B0D"/>
    <w:rsid w:val="00C82195"/>
    <w:rsid w:val="00C82803"/>
    <w:rsid w:val="00C846A7"/>
    <w:rsid w:val="00C85E38"/>
    <w:rsid w:val="00C87006"/>
    <w:rsid w:val="00C906F0"/>
    <w:rsid w:val="00C94678"/>
    <w:rsid w:val="00C96B4A"/>
    <w:rsid w:val="00CA5E23"/>
    <w:rsid w:val="00CA776C"/>
    <w:rsid w:val="00CB133D"/>
    <w:rsid w:val="00CC0582"/>
    <w:rsid w:val="00CC2252"/>
    <w:rsid w:val="00CD2FAD"/>
    <w:rsid w:val="00CD3DD2"/>
    <w:rsid w:val="00CD3E4A"/>
    <w:rsid w:val="00CD60CC"/>
    <w:rsid w:val="00CE1BB6"/>
    <w:rsid w:val="00CE66AD"/>
    <w:rsid w:val="00CF16EA"/>
    <w:rsid w:val="00CF2878"/>
    <w:rsid w:val="00CF309B"/>
    <w:rsid w:val="00D0126A"/>
    <w:rsid w:val="00D04F0B"/>
    <w:rsid w:val="00D1046E"/>
    <w:rsid w:val="00D10C3E"/>
    <w:rsid w:val="00D129D8"/>
    <w:rsid w:val="00D22A39"/>
    <w:rsid w:val="00D26C01"/>
    <w:rsid w:val="00D276E3"/>
    <w:rsid w:val="00D30CF2"/>
    <w:rsid w:val="00D33631"/>
    <w:rsid w:val="00D4190B"/>
    <w:rsid w:val="00D43E97"/>
    <w:rsid w:val="00D54270"/>
    <w:rsid w:val="00D55FF3"/>
    <w:rsid w:val="00D565F2"/>
    <w:rsid w:val="00D6050A"/>
    <w:rsid w:val="00D65235"/>
    <w:rsid w:val="00D70074"/>
    <w:rsid w:val="00D71557"/>
    <w:rsid w:val="00D721A9"/>
    <w:rsid w:val="00D74F0B"/>
    <w:rsid w:val="00D80755"/>
    <w:rsid w:val="00D84A28"/>
    <w:rsid w:val="00D85BA6"/>
    <w:rsid w:val="00D92BE0"/>
    <w:rsid w:val="00D95C9F"/>
    <w:rsid w:val="00DA4BD7"/>
    <w:rsid w:val="00DB09A8"/>
    <w:rsid w:val="00DB1F9D"/>
    <w:rsid w:val="00DB2F74"/>
    <w:rsid w:val="00DB57D0"/>
    <w:rsid w:val="00DC0094"/>
    <w:rsid w:val="00DD2955"/>
    <w:rsid w:val="00DD5164"/>
    <w:rsid w:val="00DE1983"/>
    <w:rsid w:val="00DE4A9A"/>
    <w:rsid w:val="00DF0EC0"/>
    <w:rsid w:val="00DF2475"/>
    <w:rsid w:val="00DF2AFA"/>
    <w:rsid w:val="00E04D9D"/>
    <w:rsid w:val="00E06419"/>
    <w:rsid w:val="00E07B1D"/>
    <w:rsid w:val="00E178BB"/>
    <w:rsid w:val="00E22FD0"/>
    <w:rsid w:val="00E30D2B"/>
    <w:rsid w:val="00E31924"/>
    <w:rsid w:val="00E31ECB"/>
    <w:rsid w:val="00E34EB3"/>
    <w:rsid w:val="00E406FE"/>
    <w:rsid w:val="00E43727"/>
    <w:rsid w:val="00E46AAB"/>
    <w:rsid w:val="00E507B8"/>
    <w:rsid w:val="00E51E3E"/>
    <w:rsid w:val="00E527E8"/>
    <w:rsid w:val="00E731FC"/>
    <w:rsid w:val="00E80796"/>
    <w:rsid w:val="00E831D6"/>
    <w:rsid w:val="00E844D0"/>
    <w:rsid w:val="00E84A00"/>
    <w:rsid w:val="00E87C9D"/>
    <w:rsid w:val="00E93EF3"/>
    <w:rsid w:val="00EA0ADD"/>
    <w:rsid w:val="00EA48DC"/>
    <w:rsid w:val="00EA58D8"/>
    <w:rsid w:val="00EA5DC4"/>
    <w:rsid w:val="00EB38FB"/>
    <w:rsid w:val="00ED00DF"/>
    <w:rsid w:val="00ED06D8"/>
    <w:rsid w:val="00ED2D06"/>
    <w:rsid w:val="00ED46AB"/>
    <w:rsid w:val="00ED4C01"/>
    <w:rsid w:val="00ED6AE0"/>
    <w:rsid w:val="00EE3B61"/>
    <w:rsid w:val="00EE6704"/>
    <w:rsid w:val="00EF3BE2"/>
    <w:rsid w:val="00EF5FF0"/>
    <w:rsid w:val="00F0435D"/>
    <w:rsid w:val="00F16A28"/>
    <w:rsid w:val="00F30FAE"/>
    <w:rsid w:val="00F3777D"/>
    <w:rsid w:val="00F37D3B"/>
    <w:rsid w:val="00F408A5"/>
    <w:rsid w:val="00F41181"/>
    <w:rsid w:val="00F501D3"/>
    <w:rsid w:val="00F54266"/>
    <w:rsid w:val="00F54F69"/>
    <w:rsid w:val="00F618AF"/>
    <w:rsid w:val="00F648EF"/>
    <w:rsid w:val="00F679BA"/>
    <w:rsid w:val="00F80665"/>
    <w:rsid w:val="00F85E79"/>
    <w:rsid w:val="00F86EB3"/>
    <w:rsid w:val="00F87C91"/>
    <w:rsid w:val="00F92D17"/>
    <w:rsid w:val="00F97873"/>
    <w:rsid w:val="00FA30A0"/>
    <w:rsid w:val="00FA6A08"/>
    <w:rsid w:val="00FB14BC"/>
    <w:rsid w:val="00FB1791"/>
    <w:rsid w:val="00FB1F7A"/>
    <w:rsid w:val="00FB2F3D"/>
    <w:rsid w:val="00FC0B41"/>
    <w:rsid w:val="00FC343A"/>
    <w:rsid w:val="00FC5E15"/>
    <w:rsid w:val="00FC7AEA"/>
    <w:rsid w:val="00FD1970"/>
    <w:rsid w:val="00FD1DEF"/>
    <w:rsid w:val="00FD448D"/>
    <w:rsid w:val="00FD54C5"/>
    <w:rsid w:val="00FD6D99"/>
    <w:rsid w:val="00FD79D5"/>
    <w:rsid w:val="00FE085D"/>
    <w:rsid w:val="00FE130C"/>
    <w:rsid w:val="00FE184A"/>
    <w:rsid w:val="00FE29AB"/>
    <w:rsid w:val="00FE5545"/>
    <w:rsid w:val="00FE5B7A"/>
    <w:rsid w:val="00FF237A"/>
    <w:rsid w:val="00FF5722"/>
    <w:rsid w:val="00FF57D8"/>
    <w:rsid w:val="0514E49F"/>
    <w:rsid w:val="052518BF"/>
    <w:rsid w:val="05C56105"/>
    <w:rsid w:val="0A10823D"/>
    <w:rsid w:val="0A220E77"/>
    <w:rsid w:val="0E47EA43"/>
    <w:rsid w:val="12DB62C3"/>
    <w:rsid w:val="1A5CA538"/>
    <w:rsid w:val="1D68639E"/>
    <w:rsid w:val="1DB6E11E"/>
    <w:rsid w:val="1E557B36"/>
    <w:rsid w:val="263736DB"/>
    <w:rsid w:val="2787CC89"/>
    <w:rsid w:val="295FEFC6"/>
    <w:rsid w:val="2D2A91B8"/>
    <w:rsid w:val="2F0AFEF9"/>
    <w:rsid w:val="32621674"/>
    <w:rsid w:val="3B459DEB"/>
    <w:rsid w:val="3EAFA07A"/>
    <w:rsid w:val="3F54B046"/>
    <w:rsid w:val="3F9B0A77"/>
    <w:rsid w:val="4381C419"/>
    <w:rsid w:val="44B316D7"/>
    <w:rsid w:val="44DAD010"/>
    <w:rsid w:val="459FF657"/>
    <w:rsid w:val="4624E701"/>
    <w:rsid w:val="464C3D3D"/>
    <w:rsid w:val="473CC8A2"/>
    <w:rsid w:val="49E0C2C8"/>
    <w:rsid w:val="4BDC72F9"/>
    <w:rsid w:val="4FCB7577"/>
    <w:rsid w:val="541BF2B6"/>
    <w:rsid w:val="5431E2A3"/>
    <w:rsid w:val="58433F63"/>
    <w:rsid w:val="58607051"/>
    <w:rsid w:val="5BA54BA5"/>
    <w:rsid w:val="5FAE56C2"/>
    <w:rsid w:val="641B7AF5"/>
    <w:rsid w:val="665EE1A2"/>
    <w:rsid w:val="6A31A4B4"/>
    <w:rsid w:val="6BD8A55E"/>
    <w:rsid w:val="6E8696A6"/>
    <w:rsid w:val="6F18BF8B"/>
    <w:rsid w:val="725C1530"/>
    <w:rsid w:val="744ED173"/>
    <w:rsid w:val="746C06F2"/>
    <w:rsid w:val="76ED1663"/>
    <w:rsid w:val="7A2B5C90"/>
    <w:rsid w:val="7B0309E6"/>
    <w:rsid w:val="7B931F36"/>
    <w:rsid w:val="7CB79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B627C"/>
  <w15:chartTrackingRefBased/>
  <w15:docId w15:val="{70A40B7F-E850-4F4F-BCEA-38A5F4D48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html">
    <w:name w:val="tv_html"/>
    <w:basedOn w:val="Normal"/>
    <w:rsid w:val="00C70A0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o"/>
    <w:basedOn w:val="Normal"/>
    <w:link w:val="FootnoteTextChar"/>
    <w:uiPriority w:val="99"/>
    <w:unhideWhenUsed/>
    <w:qFormat/>
    <w:rsid w:val="00C70A06"/>
    <w:pPr>
      <w:spacing w:after="0" w:line="240" w:lineRule="auto"/>
    </w:pPr>
    <w:rPr>
      <w:sz w:val="20"/>
      <w:szCs w:val="20"/>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basedOn w:val="DefaultParagraphFont"/>
    <w:link w:val="FootnoteText"/>
    <w:uiPriority w:val="99"/>
    <w:qFormat/>
    <w:rsid w:val="00C70A06"/>
    <w:rPr>
      <w:sz w:val="20"/>
      <w:szCs w:val="20"/>
      <w:lang w:val="lv-LV"/>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C70A06"/>
    <w:rPr>
      <w:vertAlign w:val="superscript"/>
    </w:rPr>
  </w:style>
  <w:style w:type="character" w:styleId="Hyperlink">
    <w:name w:val="Hyperlink"/>
    <w:basedOn w:val="DefaultParagraphFont"/>
    <w:uiPriority w:val="99"/>
    <w:unhideWhenUsed/>
    <w:rsid w:val="00C70A06"/>
    <w:rPr>
      <w:color w:val="0000FF"/>
      <w:u w:val="single"/>
    </w:rPr>
  </w:style>
  <w:style w:type="paragraph" w:styleId="BalloonText">
    <w:name w:val="Balloon Text"/>
    <w:basedOn w:val="Normal"/>
    <w:link w:val="BalloonTextChar"/>
    <w:uiPriority w:val="99"/>
    <w:semiHidden/>
    <w:unhideWhenUsed/>
    <w:rsid w:val="00FB1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14BC"/>
    <w:rPr>
      <w:rFonts w:ascii="Segoe UI" w:hAnsi="Segoe UI" w:cs="Segoe UI"/>
      <w:sz w:val="18"/>
      <w:szCs w:val="18"/>
      <w:lang w:val="lv-LV"/>
    </w:rPr>
  </w:style>
  <w:style w:type="character" w:styleId="CommentReference">
    <w:name w:val="annotation reference"/>
    <w:basedOn w:val="DefaultParagraphFont"/>
    <w:uiPriority w:val="99"/>
    <w:semiHidden/>
    <w:unhideWhenUsed/>
    <w:rsid w:val="00FB14BC"/>
    <w:rPr>
      <w:sz w:val="16"/>
      <w:szCs w:val="16"/>
    </w:rPr>
  </w:style>
  <w:style w:type="paragraph" w:styleId="CommentText">
    <w:name w:val="annotation text"/>
    <w:basedOn w:val="Normal"/>
    <w:link w:val="CommentTextChar"/>
    <w:uiPriority w:val="99"/>
    <w:unhideWhenUsed/>
    <w:rsid w:val="00FB14BC"/>
    <w:pPr>
      <w:spacing w:line="240" w:lineRule="auto"/>
    </w:pPr>
    <w:rPr>
      <w:sz w:val="20"/>
      <w:szCs w:val="20"/>
    </w:rPr>
  </w:style>
  <w:style w:type="character" w:customStyle="1" w:styleId="CommentTextChar">
    <w:name w:val="Comment Text Char"/>
    <w:basedOn w:val="DefaultParagraphFont"/>
    <w:link w:val="CommentText"/>
    <w:uiPriority w:val="99"/>
    <w:rsid w:val="00FB14BC"/>
    <w:rPr>
      <w:sz w:val="20"/>
      <w:szCs w:val="20"/>
      <w:lang w:val="lv-LV"/>
    </w:rPr>
  </w:style>
  <w:style w:type="paragraph" w:styleId="CommentSubject">
    <w:name w:val="annotation subject"/>
    <w:basedOn w:val="CommentText"/>
    <w:next w:val="CommentText"/>
    <w:link w:val="CommentSubjectChar"/>
    <w:uiPriority w:val="99"/>
    <w:semiHidden/>
    <w:unhideWhenUsed/>
    <w:rsid w:val="00FB14BC"/>
    <w:rPr>
      <w:b/>
      <w:bCs/>
    </w:rPr>
  </w:style>
  <w:style w:type="character" w:customStyle="1" w:styleId="CommentSubjectChar">
    <w:name w:val="Comment Subject Char"/>
    <w:basedOn w:val="CommentTextChar"/>
    <w:link w:val="CommentSubject"/>
    <w:uiPriority w:val="99"/>
    <w:semiHidden/>
    <w:rsid w:val="00FB14BC"/>
    <w:rPr>
      <w:b/>
      <w:bCs/>
      <w:sz w:val="20"/>
      <w:szCs w:val="20"/>
      <w:lang w:val="lv-LV"/>
    </w:rPr>
  </w:style>
  <w:style w:type="table" w:styleId="TableGrid">
    <w:name w:val="Table Grid"/>
    <w:basedOn w:val="TableNormal"/>
    <w:uiPriority w:val="39"/>
    <w:rsid w:val="007F2D1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MAIN CONTENT,List Paragraph11,List Paragraph12,List Paragraph2,2,Strip"/>
    <w:basedOn w:val="Normal"/>
    <w:link w:val="ListParagraphChar"/>
    <w:uiPriority w:val="34"/>
    <w:qFormat/>
    <w:rsid w:val="007F2D1C"/>
    <w:pPr>
      <w:ind w:left="720"/>
      <w:contextualSpacing/>
    </w:pPr>
  </w:style>
  <w:style w:type="paragraph" w:styleId="Header">
    <w:name w:val="header"/>
    <w:basedOn w:val="Normal"/>
    <w:link w:val="HeaderChar"/>
    <w:uiPriority w:val="99"/>
    <w:unhideWhenUsed/>
    <w:rsid w:val="00BF5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5E87"/>
    <w:rPr>
      <w:lang w:val="lv-LV"/>
    </w:rPr>
  </w:style>
  <w:style w:type="paragraph" w:styleId="Footer">
    <w:name w:val="footer"/>
    <w:basedOn w:val="Normal"/>
    <w:link w:val="FooterChar"/>
    <w:uiPriority w:val="99"/>
    <w:unhideWhenUsed/>
    <w:rsid w:val="00BF5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E87"/>
    <w:rPr>
      <w:lang w:val="lv-LV"/>
    </w:rPr>
  </w:style>
  <w:style w:type="paragraph" w:styleId="Caption">
    <w:name w:val="caption"/>
    <w:aliases w:val="Beschriftung Char"/>
    <w:basedOn w:val="Normal"/>
    <w:next w:val="Normal"/>
    <w:link w:val="CaptionChar"/>
    <w:uiPriority w:val="35"/>
    <w:unhideWhenUsed/>
    <w:qFormat/>
    <w:rsid w:val="00BB1F82"/>
    <w:pPr>
      <w:keepNext/>
      <w:spacing w:before="120" w:after="120" w:line="240" w:lineRule="auto"/>
      <w:jc w:val="center"/>
    </w:pPr>
    <w:rPr>
      <w:rFonts w:ascii="Times New Roman" w:eastAsiaTheme="majorEastAsia" w:hAnsi="Times New Roman" w:cs="Times New Roman"/>
      <w:b/>
      <w:iCs/>
      <w:sz w:val="20"/>
      <w:szCs w:val="20"/>
    </w:rPr>
  </w:style>
  <w:style w:type="character" w:customStyle="1" w:styleId="CaptionChar">
    <w:name w:val="Caption Char"/>
    <w:aliases w:val="Beschriftung Char Char"/>
    <w:link w:val="Caption"/>
    <w:uiPriority w:val="35"/>
    <w:rsid w:val="00BB1F82"/>
    <w:rPr>
      <w:rFonts w:ascii="Times New Roman" w:eastAsiaTheme="majorEastAsia" w:hAnsi="Times New Roman" w:cs="Times New Roman"/>
      <w:b/>
      <w:iCs/>
      <w:sz w:val="20"/>
      <w:szCs w:val="20"/>
      <w:lang w:val="lv-LV"/>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BB1F82"/>
    <w:pPr>
      <w:spacing w:line="240" w:lineRule="exact"/>
      <w:jc w:val="both"/>
    </w:pPr>
    <w:rPr>
      <w:vertAlign w:val="superscript"/>
      <w:lang w:val="en-US"/>
    </w:rPr>
  </w:style>
  <w:style w:type="character" w:customStyle="1" w:styleId="UnresolvedMention1">
    <w:name w:val="Unresolved Mention1"/>
    <w:basedOn w:val="DefaultParagraphFont"/>
    <w:uiPriority w:val="99"/>
    <w:semiHidden/>
    <w:unhideWhenUsed/>
    <w:rsid w:val="003D0950"/>
    <w:rPr>
      <w:color w:val="605E5C"/>
      <w:shd w:val="clear" w:color="auto" w:fill="E1DFDD"/>
    </w:rPr>
  </w:style>
  <w:style w:type="paragraph" w:styleId="NormalWeb">
    <w:name w:val="Normal (Web)"/>
    <w:basedOn w:val="Normal"/>
    <w:uiPriority w:val="99"/>
    <w:semiHidden/>
    <w:unhideWhenUsed/>
    <w:rsid w:val="00826784"/>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2">
    <w:name w:val="Unresolved Mention2"/>
    <w:basedOn w:val="DefaultParagraphFont"/>
    <w:uiPriority w:val="99"/>
    <w:semiHidden/>
    <w:unhideWhenUsed/>
    <w:rsid w:val="00826784"/>
    <w:rPr>
      <w:color w:val="605E5C"/>
      <w:shd w:val="clear" w:color="auto" w:fill="E1DFDD"/>
    </w:rPr>
  </w:style>
  <w:style w:type="character" w:styleId="Strong">
    <w:name w:val="Strong"/>
    <w:basedOn w:val="DefaultParagraphFont"/>
    <w:uiPriority w:val="22"/>
    <w:qFormat/>
    <w:rsid w:val="00006714"/>
    <w:rPr>
      <w:b/>
      <w:bCs/>
    </w:rPr>
  </w:style>
  <w:style w:type="character" w:styleId="FollowedHyperlink">
    <w:name w:val="FollowedHyperlink"/>
    <w:basedOn w:val="DefaultParagraphFont"/>
    <w:uiPriority w:val="99"/>
    <w:semiHidden/>
    <w:unhideWhenUsed/>
    <w:rsid w:val="00185405"/>
    <w:rPr>
      <w:color w:val="954F72" w:themeColor="followedHyperlink"/>
      <w:u w:val="single"/>
    </w:rPr>
  </w:style>
  <w:style w:type="character" w:customStyle="1" w:styleId="subscript">
    <w:name w:val="subscript"/>
    <w:basedOn w:val="DefaultParagraphFont"/>
    <w:rsid w:val="00185405"/>
  </w:style>
  <w:style w:type="character" w:customStyle="1" w:styleId="UnresolvedMention">
    <w:name w:val="Unresolved Mention"/>
    <w:basedOn w:val="DefaultParagraphFont"/>
    <w:uiPriority w:val="99"/>
    <w:semiHidden/>
    <w:unhideWhenUsed/>
    <w:rsid w:val="00497106"/>
    <w:rPr>
      <w:color w:val="605E5C"/>
      <w:shd w:val="clear" w:color="auto" w:fill="E1DFDD"/>
    </w:rPr>
  </w:style>
  <w:style w:type="paragraph" w:customStyle="1" w:styleId="tbl-norm">
    <w:name w:val="tbl-norm"/>
    <w:basedOn w:val="Normal"/>
    <w:rsid w:val="004971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link w:val="ListParagraph"/>
    <w:uiPriority w:val="34"/>
    <w:qFormat/>
    <w:locked/>
    <w:rsid w:val="00AD408B"/>
    <w:rPr>
      <w:lang w:val="lv-LV"/>
    </w:rPr>
  </w:style>
  <w:style w:type="character" w:customStyle="1" w:styleId="listparagraphchar0">
    <w:name w:val="list paragraph char"/>
    <w:aliases w:val="dot pt char,f5 list paragraph char,list paragraph1 char,no spacing1 char,list paragraph char char char char,indicator text char,colorful list - accent 11 char,numbered para 1 char,bullet 1 char,bullet points char,main content char"/>
    <w:basedOn w:val="DefaultParagraphFont"/>
    <w:uiPriority w:val="34"/>
    <w:locked/>
    <w:rsid w:val="00FE5545"/>
  </w:style>
  <w:style w:type="character" w:customStyle="1" w:styleId="apple-converted-space">
    <w:name w:val="apple-converted-space"/>
    <w:basedOn w:val="DefaultParagraphFont"/>
    <w:rsid w:val="00845004"/>
  </w:style>
  <w:style w:type="table" w:customStyle="1" w:styleId="TableGrid1">
    <w:name w:val="Table Grid1"/>
    <w:basedOn w:val="TableNormal"/>
    <w:next w:val="TableGrid"/>
    <w:uiPriority w:val="39"/>
    <w:rsid w:val="006A30B5"/>
    <w:pPr>
      <w:spacing w:after="0" w:line="240" w:lineRule="auto"/>
    </w:pPr>
    <w:rPr>
      <w:rFonts w:ascii="Times New Roman" w:hAnsi="Times New Roman"/>
      <w:sz w:val="28"/>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c">
    <w:name w:val="naisc"/>
    <w:basedOn w:val="Normal"/>
    <w:rsid w:val="000F791D"/>
    <w:pPr>
      <w:spacing w:before="75" w:after="75" w:line="240" w:lineRule="auto"/>
      <w:jc w:val="center"/>
    </w:pPr>
    <w:rPr>
      <w:rFonts w:ascii="Times New Roman" w:eastAsia="Times New Roman" w:hAnsi="Times New Roman" w:cs="Times New Roman"/>
      <w:sz w:val="24"/>
      <w:szCs w:val="24"/>
      <w:lang w:eastAsia="lv-LV"/>
    </w:rPr>
  </w:style>
  <w:style w:type="paragraph" w:styleId="BodyText2">
    <w:name w:val="Body Text 2"/>
    <w:basedOn w:val="Normal"/>
    <w:link w:val="BodyText2Char"/>
    <w:uiPriority w:val="99"/>
    <w:semiHidden/>
    <w:unhideWhenUsed/>
    <w:rsid w:val="00C53C59"/>
    <w:pPr>
      <w:spacing w:after="120" w:line="480" w:lineRule="auto"/>
    </w:pPr>
  </w:style>
  <w:style w:type="character" w:customStyle="1" w:styleId="BodyText2Char">
    <w:name w:val="Body Text 2 Char"/>
    <w:basedOn w:val="DefaultParagraphFont"/>
    <w:link w:val="BodyText2"/>
    <w:uiPriority w:val="99"/>
    <w:semiHidden/>
    <w:rsid w:val="00C53C59"/>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36493">
      <w:bodyDiv w:val="1"/>
      <w:marLeft w:val="0"/>
      <w:marRight w:val="0"/>
      <w:marTop w:val="0"/>
      <w:marBottom w:val="0"/>
      <w:divBdr>
        <w:top w:val="none" w:sz="0" w:space="0" w:color="auto"/>
        <w:left w:val="none" w:sz="0" w:space="0" w:color="auto"/>
        <w:bottom w:val="none" w:sz="0" w:space="0" w:color="auto"/>
        <w:right w:val="none" w:sz="0" w:space="0" w:color="auto"/>
      </w:divBdr>
      <w:divsChild>
        <w:div w:id="1333920084">
          <w:marLeft w:val="0"/>
          <w:marRight w:val="0"/>
          <w:marTop w:val="0"/>
          <w:marBottom w:val="0"/>
          <w:divBdr>
            <w:top w:val="none" w:sz="0" w:space="0" w:color="auto"/>
            <w:left w:val="none" w:sz="0" w:space="0" w:color="auto"/>
            <w:bottom w:val="none" w:sz="0" w:space="0" w:color="auto"/>
            <w:right w:val="none" w:sz="0" w:space="0" w:color="auto"/>
          </w:divBdr>
          <w:divsChild>
            <w:div w:id="2059159469">
              <w:marLeft w:val="0"/>
              <w:marRight w:val="0"/>
              <w:marTop w:val="0"/>
              <w:marBottom w:val="0"/>
              <w:divBdr>
                <w:top w:val="none" w:sz="0" w:space="0" w:color="auto"/>
                <w:left w:val="none" w:sz="0" w:space="0" w:color="auto"/>
                <w:bottom w:val="none" w:sz="0" w:space="0" w:color="auto"/>
                <w:right w:val="none" w:sz="0" w:space="0" w:color="auto"/>
              </w:divBdr>
              <w:divsChild>
                <w:div w:id="1204709326">
                  <w:marLeft w:val="0"/>
                  <w:marRight w:val="0"/>
                  <w:marTop w:val="0"/>
                  <w:marBottom w:val="0"/>
                  <w:divBdr>
                    <w:top w:val="none" w:sz="0" w:space="0" w:color="auto"/>
                    <w:left w:val="none" w:sz="0" w:space="0" w:color="auto"/>
                    <w:bottom w:val="none" w:sz="0" w:space="0" w:color="auto"/>
                    <w:right w:val="none" w:sz="0" w:space="0" w:color="auto"/>
                  </w:divBdr>
                  <w:divsChild>
                    <w:div w:id="9156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2802">
      <w:bodyDiv w:val="1"/>
      <w:marLeft w:val="0"/>
      <w:marRight w:val="0"/>
      <w:marTop w:val="0"/>
      <w:marBottom w:val="0"/>
      <w:divBdr>
        <w:top w:val="none" w:sz="0" w:space="0" w:color="auto"/>
        <w:left w:val="none" w:sz="0" w:space="0" w:color="auto"/>
        <w:bottom w:val="none" w:sz="0" w:space="0" w:color="auto"/>
        <w:right w:val="none" w:sz="0" w:space="0" w:color="auto"/>
      </w:divBdr>
    </w:div>
    <w:div w:id="160659683">
      <w:bodyDiv w:val="1"/>
      <w:marLeft w:val="0"/>
      <w:marRight w:val="0"/>
      <w:marTop w:val="0"/>
      <w:marBottom w:val="0"/>
      <w:divBdr>
        <w:top w:val="none" w:sz="0" w:space="0" w:color="auto"/>
        <w:left w:val="none" w:sz="0" w:space="0" w:color="auto"/>
        <w:bottom w:val="none" w:sz="0" w:space="0" w:color="auto"/>
        <w:right w:val="none" w:sz="0" w:space="0" w:color="auto"/>
      </w:divBdr>
      <w:divsChild>
        <w:div w:id="42143508">
          <w:marLeft w:val="547"/>
          <w:marRight w:val="0"/>
          <w:marTop w:val="200"/>
          <w:marBottom w:val="0"/>
          <w:divBdr>
            <w:top w:val="none" w:sz="0" w:space="0" w:color="auto"/>
            <w:left w:val="none" w:sz="0" w:space="0" w:color="auto"/>
            <w:bottom w:val="none" w:sz="0" w:space="0" w:color="auto"/>
            <w:right w:val="none" w:sz="0" w:space="0" w:color="auto"/>
          </w:divBdr>
        </w:div>
      </w:divsChild>
    </w:div>
    <w:div w:id="195851955">
      <w:bodyDiv w:val="1"/>
      <w:marLeft w:val="0"/>
      <w:marRight w:val="0"/>
      <w:marTop w:val="0"/>
      <w:marBottom w:val="0"/>
      <w:divBdr>
        <w:top w:val="none" w:sz="0" w:space="0" w:color="auto"/>
        <w:left w:val="none" w:sz="0" w:space="0" w:color="auto"/>
        <w:bottom w:val="none" w:sz="0" w:space="0" w:color="auto"/>
        <w:right w:val="none" w:sz="0" w:space="0" w:color="auto"/>
      </w:divBdr>
    </w:div>
    <w:div w:id="233706221">
      <w:bodyDiv w:val="1"/>
      <w:marLeft w:val="0"/>
      <w:marRight w:val="0"/>
      <w:marTop w:val="0"/>
      <w:marBottom w:val="0"/>
      <w:divBdr>
        <w:top w:val="none" w:sz="0" w:space="0" w:color="auto"/>
        <w:left w:val="none" w:sz="0" w:space="0" w:color="auto"/>
        <w:bottom w:val="none" w:sz="0" w:space="0" w:color="auto"/>
        <w:right w:val="none" w:sz="0" w:space="0" w:color="auto"/>
      </w:divBdr>
    </w:div>
    <w:div w:id="261500398">
      <w:bodyDiv w:val="1"/>
      <w:marLeft w:val="0"/>
      <w:marRight w:val="0"/>
      <w:marTop w:val="0"/>
      <w:marBottom w:val="0"/>
      <w:divBdr>
        <w:top w:val="none" w:sz="0" w:space="0" w:color="auto"/>
        <w:left w:val="none" w:sz="0" w:space="0" w:color="auto"/>
        <w:bottom w:val="none" w:sz="0" w:space="0" w:color="auto"/>
        <w:right w:val="none" w:sz="0" w:space="0" w:color="auto"/>
      </w:divBdr>
    </w:div>
    <w:div w:id="273175893">
      <w:bodyDiv w:val="1"/>
      <w:marLeft w:val="0"/>
      <w:marRight w:val="0"/>
      <w:marTop w:val="0"/>
      <w:marBottom w:val="0"/>
      <w:divBdr>
        <w:top w:val="none" w:sz="0" w:space="0" w:color="auto"/>
        <w:left w:val="none" w:sz="0" w:space="0" w:color="auto"/>
        <w:bottom w:val="none" w:sz="0" w:space="0" w:color="auto"/>
        <w:right w:val="none" w:sz="0" w:space="0" w:color="auto"/>
      </w:divBdr>
      <w:divsChild>
        <w:div w:id="1213423656">
          <w:marLeft w:val="0"/>
          <w:marRight w:val="0"/>
          <w:marTop w:val="0"/>
          <w:marBottom w:val="0"/>
          <w:divBdr>
            <w:top w:val="none" w:sz="0" w:space="0" w:color="auto"/>
            <w:left w:val="none" w:sz="0" w:space="0" w:color="auto"/>
            <w:bottom w:val="none" w:sz="0" w:space="0" w:color="auto"/>
            <w:right w:val="none" w:sz="0" w:space="0" w:color="auto"/>
          </w:divBdr>
        </w:div>
      </w:divsChild>
    </w:div>
    <w:div w:id="292711776">
      <w:bodyDiv w:val="1"/>
      <w:marLeft w:val="0"/>
      <w:marRight w:val="0"/>
      <w:marTop w:val="0"/>
      <w:marBottom w:val="0"/>
      <w:divBdr>
        <w:top w:val="none" w:sz="0" w:space="0" w:color="auto"/>
        <w:left w:val="none" w:sz="0" w:space="0" w:color="auto"/>
        <w:bottom w:val="none" w:sz="0" w:space="0" w:color="auto"/>
        <w:right w:val="none" w:sz="0" w:space="0" w:color="auto"/>
      </w:divBdr>
      <w:divsChild>
        <w:div w:id="48110638">
          <w:marLeft w:val="0"/>
          <w:marRight w:val="0"/>
          <w:marTop w:val="0"/>
          <w:marBottom w:val="0"/>
          <w:divBdr>
            <w:top w:val="none" w:sz="0" w:space="0" w:color="auto"/>
            <w:left w:val="none" w:sz="0" w:space="0" w:color="auto"/>
            <w:bottom w:val="none" w:sz="0" w:space="0" w:color="auto"/>
            <w:right w:val="none" w:sz="0" w:space="0" w:color="auto"/>
          </w:divBdr>
        </w:div>
      </w:divsChild>
    </w:div>
    <w:div w:id="459883547">
      <w:bodyDiv w:val="1"/>
      <w:marLeft w:val="0"/>
      <w:marRight w:val="0"/>
      <w:marTop w:val="0"/>
      <w:marBottom w:val="0"/>
      <w:divBdr>
        <w:top w:val="none" w:sz="0" w:space="0" w:color="auto"/>
        <w:left w:val="none" w:sz="0" w:space="0" w:color="auto"/>
        <w:bottom w:val="none" w:sz="0" w:space="0" w:color="auto"/>
        <w:right w:val="none" w:sz="0" w:space="0" w:color="auto"/>
      </w:divBdr>
    </w:div>
    <w:div w:id="490223480">
      <w:bodyDiv w:val="1"/>
      <w:marLeft w:val="0"/>
      <w:marRight w:val="0"/>
      <w:marTop w:val="0"/>
      <w:marBottom w:val="0"/>
      <w:divBdr>
        <w:top w:val="none" w:sz="0" w:space="0" w:color="auto"/>
        <w:left w:val="none" w:sz="0" w:space="0" w:color="auto"/>
        <w:bottom w:val="none" w:sz="0" w:space="0" w:color="auto"/>
        <w:right w:val="none" w:sz="0" w:space="0" w:color="auto"/>
      </w:divBdr>
      <w:divsChild>
        <w:div w:id="640616579">
          <w:marLeft w:val="0"/>
          <w:marRight w:val="0"/>
          <w:marTop w:val="0"/>
          <w:marBottom w:val="0"/>
          <w:divBdr>
            <w:top w:val="none" w:sz="0" w:space="0" w:color="auto"/>
            <w:left w:val="none" w:sz="0" w:space="0" w:color="auto"/>
            <w:bottom w:val="none" w:sz="0" w:space="0" w:color="auto"/>
            <w:right w:val="none" w:sz="0" w:space="0" w:color="auto"/>
          </w:divBdr>
        </w:div>
      </w:divsChild>
    </w:div>
    <w:div w:id="524750667">
      <w:bodyDiv w:val="1"/>
      <w:marLeft w:val="0"/>
      <w:marRight w:val="0"/>
      <w:marTop w:val="0"/>
      <w:marBottom w:val="0"/>
      <w:divBdr>
        <w:top w:val="none" w:sz="0" w:space="0" w:color="auto"/>
        <w:left w:val="none" w:sz="0" w:space="0" w:color="auto"/>
        <w:bottom w:val="none" w:sz="0" w:space="0" w:color="auto"/>
        <w:right w:val="none" w:sz="0" w:space="0" w:color="auto"/>
      </w:divBdr>
    </w:div>
    <w:div w:id="566110947">
      <w:bodyDiv w:val="1"/>
      <w:marLeft w:val="0"/>
      <w:marRight w:val="0"/>
      <w:marTop w:val="0"/>
      <w:marBottom w:val="0"/>
      <w:divBdr>
        <w:top w:val="none" w:sz="0" w:space="0" w:color="auto"/>
        <w:left w:val="none" w:sz="0" w:space="0" w:color="auto"/>
        <w:bottom w:val="none" w:sz="0" w:space="0" w:color="auto"/>
        <w:right w:val="none" w:sz="0" w:space="0" w:color="auto"/>
      </w:divBdr>
    </w:div>
    <w:div w:id="594362257">
      <w:bodyDiv w:val="1"/>
      <w:marLeft w:val="0"/>
      <w:marRight w:val="0"/>
      <w:marTop w:val="0"/>
      <w:marBottom w:val="0"/>
      <w:divBdr>
        <w:top w:val="none" w:sz="0" w:space="0" w:color="auto"/>
        <w:left w:val="none" w:sz="0" w:space="0" w:color="auto"/>
        <w:bottom w:val="none" w:sz="0" w:space="0" w:color="auto"/>
        <w:right w:val="none" w:sz="0" w:space="0" w:color="auto"/>
      </w:divBdr>
    </w:div>
    <w:div w:id="836115246">
      <w:bodyDiv w:val="1"/>
      <w:marLeft w:val="0"/>
      <w:marRight w:val="0"/>
      <w:marTop w:val="0"/>
      <w:marBottom w:val="0"/>
      <w:divBdr>
        <w:top w:val="none" w:sz="0" w:space="0" w:color="auto"/>
        <w:left w:val="none" w:sz="0" w:space="0" w:color="auto"/>
        <w:bottom w:val="none" w:sz="0" w:space="0" w:color="auto"/>
        <w:right w:val="none" w:sz="0" w:space="0" w:color="auto"/>
      </w:divBdr>
    </w:div>
    <w:div w:id="928926518">
      <w:bodyDiv w:val="1"/>
      <w:marLeft w:val="0"/>
      <w:marRight w:val="0"/>
      <w:marTop w:val="0"/>
      <w:marBottom w:val="0"/>
      <w:divBdr>
        <w:top w:val="none" w:sz="0" w:space="0" w:color="auto"/>
        <w:left w:val="none" w:sz="0" w:space="0" w:color="auto"/>
        <w:bottom w:val="none" w:sz="0" w:space="0" w:color="auto"/>
        <w:right w:val="none" w:sz="0" w:space="0" w:color="auto"/>
      </w:divBdr>
    </w:div>
    <w:div w:id="942105744">
      <w:bodyDiv w:val="1"/>
      <w:marLeft w:val="0"/>
      <w:marRight w:val="0"/>
      <w:marTop w:val="0"/>
      <w:marBottom w:val="0"/>
      <w:divBdr>
        <w:top w:val="none" w:sz="0" w:space="0" w:color="auto"/>
        <w:left w:val="none" w:sz="0" w:space="0" w:color="auto"/>
        <w:bottom w:val="none" w:sz="0" w:space="0" w:color="auto"/>
        <w:right w:val="none" w:sz="0" w:space="0" w:color="auto"/>
      </w:divBdr>
      <w:divsChild>
        <w:div w:id="1629700789">
          <w:marLeft w:val="0"/>
          <w:marRight w:val="0"/>
          <w:marTop w:val="0"/>
          <w:marBottom w:val="0"/>
          <w:divBdr>
            <w:top w:val="none" w:sz="0" w:space="0" w:color="auto"/>
            <w:left w:val="none" w:sz="0" w:space="0" w:color="auto"/>
            <w:bottom w:val="none" w:sz="0" w:space="0" w:color="auto"/>
            <w:right w:val="none" w:sz="0" w:space="0" w:color="auto"/>
          </w:divBdr>
          <w:divsChild>
            <w:div w:id="230818068">
              <w:marLeft w:val="0"/>
              <w:marRight w:val="0"/>
              <w:marTop w:val="0"/>
              <w:marBottom w:val="0"/>
              <w:divBdr>
                <w:top w:val="none" w:sz="0" w:space="0" w:color="auto"/>
                <w:left w:val="none" w:sz="0" w:space="0" w:color="auto"/>
                <w:bottom w:val="none" w:sz="0" w:space="0" w:color="auto"/>
                <w:right w:val="none" w:sz="0" w:space="0" w:color="auto"/>
              </w:divBdr>
              <w:divsChild>
                <w:div w:id="9949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357768">
      <w:bodyDiv w:val="1"/>
      <w:marLeft w:val="0"/>
      <w:marRight w:val="0"/>
      <w:marTop w:val="0"/>
      <w:marBottom w:val="0"/>
      <w:divBdr>
        <w:top w:val="none" w:sz="0" w:space="0" w:color="auto"/>
        <w:left w:val="none" w:sz="0" w:space="0" w:color="auto"/>
        <w:bottom w:val="none" w:sz="0" w:space="0" w:color="auto"/>
        <w:right w:val="none" w:sz="0" w:space="0" w:color="auto"/>
      </w:divBdr>
      <w:divsChild>
        <w:div w:id="174614513">
          <w:marLeft w:val="0"/>
          <w:marRight w:val="0"/>
          <w:marTop w:val="0"/>
          <w:marBottom w:val="0"/>
          <w:divBdr>
            <w:top w:val="none" w:sz="0" w:space="0" w:color="auto"/>
            <w:left w:val="none" w:sz="0" w:space="0" w:color="auto"/>
            <w:bottom w:val="none" w:sz="0" w:space="0" w:color="auto"/>
            <w:right w:val="none" w:sz="0" w:space="0" w:color="auto"/>
          </w:divBdr>
          <w:divsChild>
            <w:div w:id="361588343">
              <w:marLeft w:val="0"/>
              <w:marRight w:val="0"/>
              <w:marTop w:val="0"/>
              <w:marBottom w:val="0"/>
              <w:divBdr>
                <w:top w:val="none" w:sz="0" w:space="0" w:color="auto"/>
                <w:left w:val="none" w:sz="0" w:space="0" w:color="auto"/>
                <w:bottom w:val="none" w:sz="0" w:space="0" w:color="auto"/>
                <w:right w:val="none" w:sz="0" w:space="0" w:color="auto"/>
              </w:divBdr>
              <w:divsChild>
                <w:div w:id="6336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030434">
      <w:bodyDiv w:val="1"/>
      <w:marLeft w:val="0"/>
      <w:marRight w:val="0"/>
      <w:marTop w:val="0"/>
      <w:marBottom w:val="0"/>
      <w:divBdr>
        <w:top w:val="none" w:sz="0" w:space="0" w:color="auto"/>
        <w:left w:val="none" w:sz="0" w:space="0" w:color="auto"/>
        <w:bottom w:val="none" w:sz="0" w:space="0" w:color="auto"/>
        <w:right w:val="none" w:sz="0" w:space="0" w:color="auto"/>
      </w:divBdr>
    </w:div>
    <w:div w:id="1135678001">
      <w:bodyDiv w:val="1"/>
      <w:marLeft w:val="0"/>
      <w:marRight w:val="0"/>
      <w:marTop w:val="0"/>
      <w:marBottom w:val="0"/>
      <w:divBdr>
        <w:top w:val="none" w:sz="0" w:space="0" w:color="auto"/>
        <w:left w:val="none" w:sz="0" w:space="0" w:color="auto"/>
        <w:bottom w:val="none" w:sz="0" w:space="0" w:color="auto"/>
        <w:right w:val="none" w:sz="0" w:space="0" w:color="auto"/>
      </w:divBdr>
    </w:div>
    <w:div w:id="1151865964">
      <w:bodyDiv w:val="1"/>
      <w:marLeft w:val="0"/>
      <w:marRight w:val="0"/>
      <w:marTop w:val="0"/>
      <w:marBottom w:val="0"/>
      <w:divBdr>
        <w:top w:val="none" w:sz="0" w:space="0" w:color="auto"/>
        <w:left w:val="none" w:sz="0" w:space="0" w:color="auto"/>
        <w:bottom w:val="none" w:sz="0" w:space="0" w:color="auto"/>
        <w:right w:val="none" w:sz="0" w:space="0" w:color="auto"/>
      </w:divBdr>
    </w:div>
    <w:div w:id="1306350767">
      <w:bodyDiv w:val="1"/>
      <w:marLeft w:val="0"/>
      <w:marRight w:val="0"/>
      <w:marTop w:val="0"/>
      <w:marBottom w:val="0"/>
      <w:divBdr>
        <w:top w:val="none" w:sz="0" w:space="0" w:color="auto"/>
        <w:left w:val="none" w:sz="0" w:space="0" w:color="auto"/>
        <w:bottom w:val="none" w:sz="0" w:space="0" w:color="auto"/>
        <w:right w:val="none" w:sz="0" w:space="0" w:color="auto"/>
      </w:divBdr>
    </w:div>
    <w:div w:id="1332484688">
      <w:bodyDiv w:val="1"/>
      <w:marLeft w:val="0"/>
      <w:marRight w:val="0"/>
      <w:marTop w:val="0"/>
      <w:marBottom w:val="0"/>
      <w:divBdr>
        <w:top w:val="none" w:sz="0" w:space="0" w:color="auto"/>
        <w:left w:val="none" w:sz="0" w:space="0" w:color="auto"/>
        <w:bottom w:val="none" w:sz="0" w:space="0" w:color="auto"/>
        <w:right w:val="none" w:sz="0" w:space="0" w:color="auto"/>
      </w:divBdr>
    </w:div>
    <w:div w:id="1361274053">
      <w:bodyDiv w:val="1"/>
      <w:marLeft w:val="0"/>
      <w:marRight w:val="0"/>
      <w:marTop w:val="0"/>
      <w:marBottom w:val="0"/>
      <w:divBdr>
        <w:top w:val="none" w:sz="0" w:space="0" w:color="auto"/>
        <w:left w:val="none" w:sz="0" w:space="0" w:color="auto"/>
        <w:bottom w:val="none" w:sz="0" w:space="0" w:color="auto"/>
        <w:right w:val="none" w:sz="0" w:space="0" w:color="auto"/>
      </w:divBdr>
      <w:divsChild>
        <w:div w:id="182280381">
          <w:marLeft w:val="0"/>
          <w:marRight w:val="0"/>
          <w:marTop w:val="0"/>
          <w:marBottom w:val="0"/>
          <w:divBdr>
            <w:top w:val="none" w:sz="0" w:space="0" w:color="auto"/>
            <w:left w:val="none" w:sz="0" w:space="0" w:color="auto"/>
            <w:bottom w:val="none" w:sz="0" w:space="0" w:color="auto"/>
            <w:right w:val="none" w:sz="0" w:space="0" w:color="auto"/>
          </w:divBdr>
        </w:div>
      </w:divsChild>
    </w:div>
    <w:div w:id="1380588043">
      <w:bodyDiv w:val="1"/>
      <w:marLeft w:val="0"/>
      <w:marRight w:val="0"/>
      <w:marTop w:val="0"/>
      <w:marBottom w:val="0"/>
      <w:divBdr>
        <w:top w:val="none" w:sz="0" w:space="0" w:color="auto"/>
        <w:left w:val="none" w:sz="0" w:space="0" w:color="auto"/>
        <w:bottom w:val="none" w:sz="0" w:space="0" w:color="auto"/>
        <w:right w:val="none" w:sz="0" w:space="0" w:color="auto"/>
      </w:divBdr>
    </w:div>
    <w:div w:id="1501120759">
      <w:bodyDiv w:val="1"/>
      <w:marLeft w:val="0"/>
      <w:marRight w:val="0"/>
      <w:marTop w:val="0"/>
      <w:marBottom w:val="0"/>
      <w:divBdr>
        <w:top w:val="none" w:sz="0" w:space="0" w:color="auto"/>
        <w:left w:val="none" w:sz="0" w:space="0" w:color="auto"/>
        <w:bottom w:val="none" w:sz="0" w:space="0" w:color="auto"/>
        <w:right w:val="none" w:sz="0" w:space="0" w:color="auto"/>
      </w:divBdr>
    </w:div>
    <w:div w:id="1531797544">
      <w:bodyDiv w:val="1"/>
      <w:marLeft w:val="0"/>
      <w:marRight w:val="0"/>
      <w:marTop w:val="0"/>
      <w:marBottom w:val="0"/>
      <w:divBdr>
        <w:top w:val="none" w:sz="0" w:space="0" w:color="auto"/>
        <w:left w:val="none" w:sz="0" w:space="0" w:color="auto"/>
        <w:bottom w:val="none" w:sz="0" w:space="0" w:color="auto"/>
        <w:right w:val="none" w:sz="0" w:space="0" w:color="auto"/>
      </w:divBdr>
    </w:div>
    <w:div w:id="1622225797">
      <w:bodyDiv w:val="1"/>
      <w:marLeft w:val="0"/>
      <w:marRight w:val="0"/>
      <w:marTop w:val="0"/>
      <w:marBottom w:val="0"/>
      <w:divBdr>
        <w:top w:val="none" w:sz="0" w:space="0" w:color="auto"/>
        <w:left w:val="none" w:sz="0" w:space="0" w:color="auto"/>
        <w:bottom w:val="none" w:sz="0" w:space="0" w:color="auto"/>
        <w:right w:val="none" w:sz="0" w:space="0" w:color="auto"/>
      </w:divBdr>
    </w:div>
    <w:div w:id="1650942951">
      <w:bodyDiv w:val="1"/>
      <w:marLeft w:val="0"/>
      <w:marRight w:val="0"/>
      <w:marTop w:val="0"/>
      <w:marBottom w:val="0"/>
      <w:divBdr>
        <w:top w:val="none" w:sz="0" w:space="0" w:color="auto"/>
        <w:left w:val="none" w:sz="0" w:space="0" w:color="auto"/>
        <w:bottom w:val="none" w:sz="0" w:space="0" w:color="auto"/>
        <w:right w:val="none" w:sz="0" w:space="0" w:color="auto"/>
      </w:divBdr>
    </w:div>
    <w:div w:id="1664775422">
      <w:bodyDiv w:val="1"/>
      <w:marLeft w:val="0"/>
      <w:marRight w:val="0"/>
      <w:marTop w:val="0"/>
      <w:marBottom w:val="0"/>
      <w:divBdr>
        <w:top w:val="none" w:sz="0" w:space="0" w:color="auto"/>
        <w:left w:val="none" w:sz="0" w:space="0" w:color="auto"/>
        <w:bottom w:val="none" w:sz="0" w:space="0" w:color="auto"/>
        <w:right w:val="none" w:sz="0" w:space="0" w:color="auto"/>
      </w:divBdr>
    </w:div>
    <w:div w:id="1680429097">
      <w:bodyDiv w:val="1"/>
      <w:marLeft w:val="0"/>
      <w:marRight w:val="0"/>
      <w:marTop w:val="0"/>
      <w:marBottom w:val="0"/>
      <w:divBdr>
        <w:top w:val="none" w:sz="0" w:space="0" w:color="auto"/>
        <w:left w:val="none" w:sz="0" w:space="0" w:color="auto"/>
        <w:bottom w:val="none" w:sz="0" w:space="0" w:color="auto"/>
        <w:right w:val="none" w:sz="0" w:space="0" w:color="auto"/>
      </w:divBdr>
    </w:div>
    <w:div w:id="1787889714">
      <w:bodyDiv w:val="1"/>
      <w:marLeft w:val="0"/>
      <w:marRight w:val="0"/>
      <w:marTop w:val="0"/>
      <w:marBottom w:val="0"/>
      <w:divBdr>
        <w:top w:val="none" w:sz="0" w:space="0" w:color="auto"/>
        <w:left w:val="none" w:sz="0" w:space="0" w:color="auto"/>
        <w:bottom w:val="none" w:sz="0" w:space="0" w:color="auto"/>
        <w:right w:val="none" w:sz="0" w:space="0" w:color="auto"/>
      </w:divBdr>
    </w:div>
    <w:div w:id="1825702236">
      <w:bodyDiv w:val="1"/>
      <w:marLeft w:val="0"/>
      <w:marRight w:val="0"/>
      <w:marTop w:val="0"/>
      <w:marBottom w:val="0"/>
      <w:divBdr>
        <w:top w:val="none" w:sz="0" w:space="0" w:color="auto"/>
        <w:left w:val="none" w:sz="0" w:space="0" w:color="auto"/>
        <w:bottom w:val="none" w:sz="0" w:space="0" w:color="auto"/>
        <w:right w:val="none" w:sz="0" w:space="0" w:color="auto"/>
      </w:divBdr>
    </w:div>
    <w:div w:id="1864590471">
      <w:bodyDiv w:val="1"/>
      <w:marLeft w:val="0"/>
      <w:marRight w:val="0"/>
      <w:marTop w:val="0"/>
      <w:marBottom w:val="0"/>
      <w:divBdr>
        <w:top w:val="none" w:sz="0" w:space="0" w:color="auto"/>
        <w:left w:val="none" w:sz="0" w:space="0" w:color="auto"/>
        <w:bottom w:val="none" w:sz="0" w:space="0" w:color="auto"/>
        <w:right w:val="none" w:sz="0" w:space="0" w:color="auto"/>
      </w:divBdr>
    </w:div>
    <w:div w:id="1916815568">
      <w:bodyDiv w:val="1"/>
      <w:marLeft w:val="0"/>
      <w:marRight w:val="0"/>
      <w:marTop w:val="0"/>
      <w:marBottom w:val="0"/>
      <w:divBdr>
        <w:top w:val="none" w:sz="0" w:space="0" w:color="auto"/>
        <w:left w:val="none" w:sz="0" w:space="0" w:color="auto"/>
        <w:bottom w:val="none" w:sz="0" w:space="0" w:color="auto"/>
        <w:right w:val="none" w:sz="0" w:space="0" w:color="auto"/>
      </w:divBdr>
    </w:div>
    <w:div w:id="2043897310">
      <w:bodyDiv w:val="1"/>
      <w:marLeft w:val="0"/>
      <w:marRight w:val="0"/>
      <w:marTop w:val="0"/>
      <w:marBottom w:val="0"/>
      <w:divBdr>
        <w:top w:val="none" w:sz="0" w:space="0" w:color="auto"/>
        <w:left w:val="none" w:sz="0" w:space="0" w:color="auto"/>
        <w:bottom w:val="none" w:sz="0" w:space="0" w:color="auto"/>
        <w:right w:val="none" w:sz="0" w:space="0" w:color="auto"/>
      </w:divBdr>
      <w:divsChild>
        <w:div w:id="1649356076">
          <w:marLeft w:val="720"/>
          <w:marRight w:val="0"/>
          <w:marTop w:val="200"/>
          <w:marBottom w:val="0"/>
          <w:divBdr>
            <w:top w:val="none" w:sz="0" w:space="0" w:color="auto"/>
            <w:left w:val="none" w:sz="0" w:space="0" w:color="auto"/>
            <w:bottom w:val="none" w:sz="0" w:space="0" w:color="auto"/>
            <w:right w:val="none" w:sz="0" w:space="0" w:color="auto"/>
          </w:divBdr>
        </w:div>
        <w:div w:id="12728217">
          <w:marLeft w:val="720"/>
          <w:marRight w:val="0"/>
          <w:marTop w:val="200"/>
          <w:marBottom w:val="0"/>
          <w:divBdr>
            <w:top w:val="none" w:sz="0" w:space="0" w:color="auto"/>
            <w:left w:val="none" w:sz="0" w:space="0" w:color="auto"/>
            <w:bottom w:val="none" w:sz="0" w:space="0" w:color="auto"/>
            <w:right w:val="none" w:sz="0" w:space="0" w:color="auto"/>
          </w:divBdr>
        </w:div>
      </w:divsChild>
    </w:div>
    <w:div w:id="2062289553">
      <w:bodyDiv w:val="1"/>
      <w:marLeft w:val="0"/>
      <w:marRight w:val="0"/>
      <w:marTop w:val="0"/>
      <w:marBottom w:val="0"/>
      <w:divBdr>
        <w:top w:val="none" w:sz="0" w:space="0" w:color="auto"/>
        <w:left w:val="none" w:sz="0" w:space="0" w:color="auto"/>
        <w:bottom w:val="none" w:sz="0" w:space="0" w:color="auto"/>
        <w:right w:val="none" w:sz="0" w:space="0" w:color="auto"/>
      </w:divBdr>
    </w:div>
    <w:div w:id="2101873071">
      <w:bodyDiv w:val="1"/>
      <w:marLeft w:val="0"/>
      <w:marRight w:val="0"/>
      <w:marTop w:val="0"/>
      <w:marBottom w:val="0"/>
      <w:divBdr>
        <w:top w:val="none" w:sz="0" w:space="0" w:color="auto"/>
        <w:left w:val="none" w:sz="0" w:space="0" w:color="auto"/>
        <w:bottom w:val="none" w:sz="0" w:space="0" w:color="auto"/>
        <w:right w:val="none" w:sz="0" w:space="0" w:color="auto"/>
      </w:divBdr>
    </w:div>
    <w:div w:id="2129083017">
      <w:bodyDiv w:val="1"/>
      <w:marLeft w:val="0"/>
      <w:marRight w:val="0"/>
      <w:marTop w:val="0"/>
      <w:marBottom w:val="0"/>
      <w:divBdr>
        <w:top w:val="none" w:sz="0" w:space="0" w:color="auto"/>
        <w:left w:val="none" w:sz="0" w:space="0" w:color="auto"/>
        <w:bottom w:val="none" w:sz="0" w:space="0" w:color="auto"/>
        <w:right w:val="none" w:sz="0" w:space="0" w:color="auto"/>
      </w:divBdr>
      <w:divsChild>
        <w:div w:id="45961895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es-legal.eu/search-by-country/" TargetMode="External"/><Relationship Id="rId3" Type="http://schemas.openxmlformats.org/officeDocument/2006/relationships/hyperlink" Target="https://likumi.lv/ta/id/285189-prasibas-biometana-un-gazveida-stavokli-parverstas-saskidrinatas-dabasgazes-ievadisanai-un-transportesanai-dabasgazes-parvades-..." TargetMode="External"/><Relationship Id="rId7" Type="http://schemas.openxmlformats.org/officeDocument/2006/relationships/hyperlink" Target="https://eur-lex.europa.eu/legal-content/EN/TXT/?uri=COM%3A2020%3A663%3AFIN" TargetMode="External"/><Relationship Id="rId2" Type="http://schemas.openxmlformats.org/officeDocument/2006/relationships/hyperlink" Target="https://likumi.lv/ta/id/119463-noteikumi-par-biodegvielas-kvalitates-prasibam-atbilstibas-novertesanu-tirgus-uzraudzibu-un-pateretaju-informesanas-kartibu" TargetMode="External"/><Relationship Id="rId1" Type="http://schemas.openxmlformats.org/officeDocument/2006/relationships/hyperlink" Target="https://em.gov.lv/lv/nozares_politika/atjaunojama_energija_un_kogeneracija/informacija_par_izdotajiem_lemumiem_par_elektroenergijas_obligato_iepirkumu/" TargetMode="External"/><Relationship Id="rId6" Type="http://schemas.openxmlformats.org/officeDocument/2006/relationships/hyperlink" Target="http://tap.mk.gov.lv/mk/tap/?pid=40491503" TargetMode="External"/><Relationship Id="rId5" Type="http://schemas.openxmlformats.org/officeDocument/2006/relationships/hyperlink" Target="https://www.csdd.lv/transportlidzekli/registreto-transportlidzeklu-skait" TargetMode="External"/><Relationship Id="rId10" Type="http://schemas.openxmlformats.org/officeDocument/2006/relationships/hyperlink" Target="https://eur-lex.europa.eu/legal-content/LV/TXT/?uri=celex:32014L0094" TargetMode="External"/><Relationship Id="rId4" Type="http://schemas.openxmlformats.org/officeDocument/2006/relationships/hyperlink" Target="https://ec.europa.eu/jrc/en/publication/eur-scientific-and-technical-research-reports/jec-well-wheels-report-v5" TargetMode="External"/><Relationship Id="rId9" Type="http://schemas.openxmlformats.org/officeDocument/2006/relationships/hyperlink" Target="https://www.regatrace.eu/wp-content/uploads/2020/02/REGATRACE-D6.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96F02E8-296C-4F2C-BA8D-579767822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42932</Words>
  <Characters>24472</Characters>
  <Application>Microsoft Office Word</Application>
  <DocSecurity>0</DocSecurity>
  <Lines>203</Lines>
  <Paragraphs>134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Kate</cp:lastModifiedBy>
  <cp:revision>2</cp:revision>
  <cp:lastPrinted>2020-10-08T11:00:00Z</cp:lastPrinted>
  <dcterms:created xsi:type="dcterms:W3CDTF">2021-03-09T12:46:00Z</dcterms:created>
  <dcterms:modified xsi:type="dcterms:W3CDTF">2021-03-09T12:46:00Z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