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6417" w14:textId="77777777" w:rsidR="008350D9" w:rsidRPr="008B7455" w:rsidRDefault="008350D9" w:rsidP="008350D9">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8350D9" w:rsidRPr="008B7455" w14:paraId="32D8457E" w14:textId="77777777" w:rsidTr="00335D20">
        <w:trPr>
          <w:trHeight w:val="345"/>
          <w:jc w:val="center"/>
        </w:trPr>
        <w:tc>
          <w:tcPr>
            <w:tcW w:w="13183" w:type="dxa"/>
            <w:tcBorders>
              <w:bottom w:val="single" w:sz="6" w:space="0" w:color="000000"/>
            </w:tcBorders>
          </w:tcPr>
          <w:p w14:paraId="4A9BA052" w14:textId="77777777" w:rsidR="001D7EFB" w:rsidRPr="001D7EFB" w:rsidRDefault="001D7EFB" w:rsidP="001D7EFB">
            <w:pPr>
              <w:shd w:val="clear" w:color="auto" w:fill="FFFFFF"/>
              <w:contextualSpacing/>
              <w:jc w:val="center"/>
              <w:rPr>
                <w:b/>
                <w:lang w:eastAsia="en-US"/>
              </w:rPr>
            </w:pPr>
            <w:r w:rsidRPr="001D7EFB">
              <w:rPr>
                <w:b/>
                <w:lang w:eastAsia="en-US"/>
              </w:rPr>
              <w:t xml:space="preserve">Grozījumi Ministru kabineta 2019. gada 17. septembra noteikumos Nr. 432 </w:t>
            </w:r>
          </w:p>
          <w:p w14:paraId="14D7B8C6" w14:textId="2A5FCEC1" w:rsidR="008350D9" w:rsidRPr="008B7455" w:rsidRDefault="001D7EFB" w:rsidP="001D7EFB">
            <w:pPr>
              <w:shd w:val="clear" w:color="auto" w:fill="FFFFFF"/>
              <w:contextualSpacing/>
              <w:jc w:val="center"/>
            </w:pPr>
            <w:r w:rsidRPr="001D7EFB">
              <w:rPr>
                <w:b/>
                <w:lang w:eastAsia="en-US"/>
              </w:rPr>
              <w:t xml:space="preserve">“Noteikumi par Latvijas būvnormatīvu LBN 003 – 19  “Būvklimatoloģija”” </w:t>
            </w:r>
            <w:r w:rsidR="008350D9">
              <w:rPr>
                <w:b/>
                <w:lang w:eastAsia="en-US"/>
              </w:rPr>
              <w:t>(VSS-8</w:t>
            </w:r>
            <w:r>
              <w:rPr>
                <w:b/>
                <w:lang w:eastAsia="en-US"/>
              </w:rPr>
              <w:t>34</w:t>
            </w:r>
            <w:r w:rsidR="008350D9">
              <w:rPr>
                <w:b/>
                <w:lang w:eastAsia="en-US"/>
              </w:rPr>
              <w:t>)</w:t>
            </w:r>
          </w:p>
        </w:tc>
      </w:tr>
    </w:tbl>
    <w:p w14:paraId="2DEECA24" w14:textId="77777777" w:rsidR="008350D9" w:rsidRPr="008B7455" w:rsidRDefault="008350D9" w:rsidP="008350D9">
      <w:pPr>
        <w:pStyle w:val="naisc"/>
        <w:spacing w:before="0" w:after="0"/>
        <w:ind w:left="57" w:right="57"/>
        <w:contextualSpacing/>
        <w:rPr>
          <w:sz w:val="22"/>
          <w:szCs w:val="22"/>
        </w:rPr>
      </w:pPr>
      <w:r w:rsidRPr="008B7455">
        <w:rPr>
          <w:sz w:val="22"/>
          <w:szCs w:val="22"/>
        </w:rPr>
        <w:t>(dokumenta veids un nosaukums)</w:t>
      </w:r>
    </w:p>
    <w:p w14:paraId="3CCD98FA" w14:textId="77777777" w:rsidR="008350D9" w:rsidRPr="008B7455" w:rsidRDefault="008350D9" w:rsidP="008350D9">
      <w:pPr>
        <w:pStyle w:val="naisc"/>
        <w:spacing w:before="0" w:after="0"/>
        <w:ind w:left="57" w:right="57"/>
        <w:contextualSpacing/>
        <w:jc w:val="left"/>
        <w:rPr>
          <w:sz w:val="22"/>
          <w:szCs w:val="22"/>
        </w:rPr>
      </w:pPr>
    </w:p>
    <w:p w14:paraId="367276C1" w14:textId="77777777" w:rsidR="008350D9" w:rsidRPr="008B7455" w:rsidRDefault="008350D9" w:rsidP="008350D9">
      <w:pPr>
        <w:pStyle w:val="naisf"/>
        <w:spacing w:before="0" w:after="0"/>
        <w:ind w:left="57" w:right="57" w:firstLine="0"/>
        <w:contextualSpacing/>
        <w:jc w:val="center"/>
        <w:rPr>
          <w:b/>
          <w:sz w:val="22"/>
          <w:szCs w:val="22"/>
        </w:rPr>
      </w:pPr>
      <w:r w:rsidRPr="008B7455">
        <w:rPr>
          <w:b/>
          <w:sz w:val="22"/>
          <w:szCs w:val="22"/>
        </w:rPr>
        <w:t>I Jautājumi, par kuriem saskaņošanā vienošanās nav panākta</w:t>
      </w:r>
    </w:p>
    <w:p w14:paraId="60428BF9" w14:textId="77777777" w:rsidR="008350D9" w:rsidRPr="008B7455" w:rsidRDefault="008350D9" w:rsidP="008350D9">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8350D9" w:rsidRPr="008B7455" w14:paraId="11089C67" w14:textId="77777777" w:rsidTr="00335D20">
        <w:tc>
          <w:tcPr>
            <w:tcW w:w="675" w:type="dxa"/>
            <w:tcBorders>
              <w:top w:val="single" w:sz="6" w:space="0" w:color="000000"/>
              <w:left w:val="single" w:sz="6" w:space="0" w:color="000000"/>
              <w:bottom w:val="single" w:sz="6" w:space="0" w:color="000000"/>
              <w:right w:val="single" w:sz="6" w:space="0" w:color="000000"/>
            </w:tcBorders>
            <w:vAlign w:val="center"/>
          </w:tcPr>
          <w:p w14:paraId="7400C2B2" w14:textId="77777777" w:rsidR="008350D9" w:rsidRPr="008B7455" w:rsidRDefault="008350D9" w:rsidP="00335D20">
            <w:pPr>
              <w:pStyle w:val="naisc"/>
              <w:spacing w:before="0" w:after="0"/>
              <w:ind w:left="57" w:right="57"/>
              <w:contextualSpacing/>
              <w:rPr>
                <w:sz w:val="22"/>
                <w:szCs w:val="22"/>
              </w:rPr>
            </w:pPr>
            <w:r w:rsidRPr="008B7455">
              <w:rPr>
                <w:sz w:val="22"/>
                <w:szCs w:val="22"/>
              </w:rPr>
              <w:t>Nr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5C3A0E70" w14:textId="77777777" w:rsidR="008350D9" w:rsidRPr="008B7455" w:rsidRDefault="008350D9" w:rsidP="00335D20">
            <w:pPr>
              <w:pStyle w:val="naisc"/>
              <w:spacing w:before="0" w:after="0"/>
              <w:ind w:left="57" w:right="57"/>
              <w:contextualSpacing/>
              <w:rPr>
                <w:sz w:val="22"/>
                <w:szCs w:val="22"/>
              </w:rPr>
            </w:pPr>
            <w:r w:rsidRPr="008B7455">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3A48CE8E" w14:textId="77777777" w:rsidR="008350D9" w:rsidRPr="008B7455" w:rsidRDefault="008350D9" w:rsidP="00335D20">
            <w:pPr>
              <w:pStyle w:val="naisc"/>
              <w:spacing w:before="0" w:after="0"/>
              <w:ind w:left="57" w:right="57"/>
              <w:contextualSpacing/>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1628FEB2" w14:textId="77777777" w:rsidR="008350D9" w:rsidRPr="008B7455" w:rsidRDefault="008350D9" w:rsidP="00335D20">
            <w:pPr>
              <w:pStyle w:val="naisc"/>
              <w:spacing w:before="0" w:after="0"/>
              <w:ind w:left="57" w:right="57"/>
              <w:contextualSpacing/>
              <w:rPr>
                <w:sz w:val="22"/>
                <w:szCs w:val="22"/>
              </w:rPr>
            </w:pPr>
            <w:r w:rsidRPr="008B7455">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3DBFB5BA" w14:textId="77777777" w:rsidR="008350D9" w:rsidRPr="008B7455" w:rsidRDefault="008350D9" w:rsidP="00335D20">
            <w:pPr>
              <w:ind w:left="57" w:right="57"/>
              <w:contextualSpacing/>
              <w:jc w:val="center"/>
              <w:rPr>
                <w:sz w:val="22"/>
                <w:szCs w:val="22"/>
              </w:rPr>
            </w:pPr>
            <w:r w:rsidRPr="008B7455">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7EAB69D9" w14:textId="77777777" w:rsidR="008350D9" w:rsidRPr="008B7455" w:rsidRDefault="008350D9" w:rsidP="00335D20">
            <w:pPr>
              <w:ind w:left="57" w:right="57"/>
              <w:contextualSpacing/>
              <w:jc w:val="center"/>
              <w:rPr>
                <w:sz w:val="22"/>
                <w:szCs w:val="22"/>
              </w:rPr>
            </w:pPr>
            <w:r w:rsidRPr="008B7455">
              <w:rPr>
                <w:sz w:val="22"/>
                <w:szCs w:val="22"/>
              </w:rPr>
              <w:t>Projekta attiecīgā punkta (panta) galīgā redakcija</w:t>
            </w:r>
          </w:p>
        </w:tc>
      </w:tr>
      <w:tr w:rsidR="008350D9" w:rsidRPr="008B7455" w14:paraId="7F919729" w14:textId="77777777" w:rsidTr="00335D20">
        <w:tc>
          <w:tcPr>
            <w:tcW w:w="675" w:type="dxa"/>
            <w:tcBorders>
              <w:top w:val="single" w:sz="6" w:space="0" w:color="000000"/>
              <w:left w:val="single" w:sz="6" w:space="0" w:color="000000"/>
              <w:bottom w:val="single" w:sz="4" w:space="0" w:color="auto"/>
              <w:right w:val="single" w:sz="6" w:space="0" w:color="000000"/>
            </w:tcBorders>
          </w:tcPr>
          <w:p w14:paraId="1264C48F" w14:textId="77777777" w:rsidR="008350D9" w:rsidRPr="008B7455" w:rsidRDefault="008350D9" w:rsidP="00335D20">
            <w:pPr>
              <w:pStyle w:val="naisc"/>
              <w:spacing w:before="0" w:after="0"/>
              <w:ind w:left="57" w:right="57"/>
              <w:contextualSpacing/>
              <w:rPr>
                <w:sz w:val="22"/>
                <w:szCs w:val="22"/>
              </w:rPr>
            </w:pPr>
            <w:r w:rsidRPr="008B7455">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3ED54AB6" w14:textId="77777777" w:rsidR="008350D9" w:rsidRPr="008B7455" w:rsidRDefault="008350D9" w:rsidP="00335D20">
            <w:pPr>
              <w:pStyle w:val="naisc"/>
              <w:spacing w:before="0" w:after="0"/>
              <w:ind w:left="57" w:right="57"/>
              <w:contextualSpacing/>
              <w:rPr>
                <w:sz w:val="22"/>
                <w:szCs w:val="22"/>
              </w:rPr>
            </w:pPr>
            <w:r w:rsidRPr="008B7455">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179FFAC4" w14:textId="77777777" w:rsidR="008350D9" w:rsidRPr="008B7455" w:rsidRDefault="008350D9" w:rsidP="00335D20">
            <w:pPr>
              <w:pStyle w:val="naisc"/>
              <w:spacing w:before="0" w:after="0"/>
              <w:ind w:left="57" w:right="57"/>
              <w:contextualSpacing/>
              <w:rPr>
                <w:sz w:val="22"/>
                <w:szCs w:val="22"/>
              </w:rPr>
            </w:pPr>
            <w:r w:rsidRPr="008B7455">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6F63F217" w14:textId="77777777" w:rsidR="008350D9" w:rsidRPr="008B7455" w:rsidRDefault="008350D9" w:rsidP="00335D20">
            <w:pPr>
              <w:pStyle w:val="naisc"/>
              <w:spacing w:before="0" w:after="0"/>
              <w:ind w:left="57" w:right="57"/>
              <w:contextualSpacing/>
              <w:rPr>
                <w:sz w:val="22"/>
                <w:szCs w:val="22"/>
              </w:rPr>
            </w:pPr>
            <w:r w:rsidRPr="008B7455">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84B41BB" w14:textId="77777777" w:rsidR="008350D9" w:rsidRPr="008B7455" w:rsidRDefault="008350D9" w:rsidP="00335D20">
            <w:pPr>
              <w:ind w:left="57" w:right="57"/>
              <w:contextualSpacing/>
              <w:jc w:val="center"/>
              <w:rPr>
                <w:sz w:val="22"/>
                <w:szCs w:val="22"/>
              </w:rPr>
            </w:pPr>
            <w:r w:rsidRPr="008B7455">
              <w:rPr>
                <w:sz w:val="22"/>
                <w:szCs w:val="22"/>
              </w:rPr>
              <w:t>5</w:t>
            </w:r>
          </w:p>
        </w:tc>
        <w:tc>
          <w:tcPr>
            <w:tcW w:w="2551" w:type="dxa"/>
            <w:tcBorders>
              <w:top w:val="single" w:sz="4" w:space="0" w:color="auto"/>
              <w:left w:val="single" w:sz="4" w:space="0" w:color="auto"/>
              <w:bottom w:val="single" w:sz="4" w:space="0" w:color="auto"/>
            </w:tcBorders>
          </w:tcPr>
          <w:p w14:paraId="2A2599FF" w14:textId="77777777" w:rsidR="008350D9" w:rsidRPr="008B7455" w:rsidRDefault="008350D9" w:rsidP="00335D20">
            <w:pPr>
              <w:pStyle w:val="naisc"/>
              <w:spacing w:before="0" w:after="0"/>
              <w:ind w:left="57" w:right="57"/>
              <w:contextualSpacing/>
              <w:rPr>
                <w:sz w:val="22"/>
                <w:szCs w:val="22"/>
              </w:rPr>
            </w:pPr>
            <w:r w:rsidRPr="008B7455">
              <w:rPr>
                <w:sz w:val="22"/>
                <w:szCs w:val="22"/>
              </w:rPr>
              <w:t>6</w:t>
            </w:r>
          </w:p>
        </w:tc>
      </w:tr>
      <w:tr w:rsidR="008350D9" w:rsidRPr="008B7455" w14:paraId="17D78AA0" w14:textId="77777777" w:rsidTr="00335D20">
        <w:tc>
          <w:tcPr>
            <w:tcW w:w="15443" w:type="dxa"/>
            <w:gridSpan w:val="6"/>
            <w:tcBorders>
              <w:top w:val="single" w:sz="6" w:space="0" w:color="000000"/>
              <w:left w:val="single" w:sz="6" w:space="0" w:color="000000"/>
              <w:bottom w:val="single" w:sz="4" w:space="0" w:color="auto"/>
            </w:tcBorders>
          </w:tcPr>
          <w:p w14:paraId="0F6103B2" w14:textId="77777777" w:rsidR="008350D9" w:rsidRPr="008B7455" w:rsidRDefault="008350D9" w:rsidP="00335D20">
            <w:pPr>
              <w:pStyle w:val="naisc"/>
              <w:spacing w:before="0" w:after="0"/>
              <w:ind w:left="57" w:right="57"/>
              <w:contextualSpacing/>
              <w:jc w:val="left"/>
              <w:rPr>
                <w:b/>
                <w:sz w:val="22"/>
                <w:szCs w:val="22"/>
              </w:rPr>
            </w:pPr>
            <w:r w:rsidRPr="008B7455">
              <w:rPr>
                <w:b/>
                <w:sz w:val="22"/>
                <w:szCs w:val="22"/>
              </w:rPr>
              <w:t>Noteikumi</w:t>
            </w:r>
          </w:p>
        </w:tc>
      </w:tr>
      <w:tr w:rsidR="009D41E0" w:rsidRPr="008B7455" w14:paraId="5E4CAF5D" w14:textId="77777777" w:rsidTr="00335D20">
        <w:tc>
          <w:tcPr>
            <w:tcW w:w="675" w:type="dxa"/>
            <w:tcBorders>
              <w:top w:val="single" w:sz="6" w:space="0" w:color="000000"/>
              <w:left w:val="single" w:sz="6" w:space="0" w:color="000000"/>
              <w:bottom w:val="single" w:sz="6" w:space="0" w:color="000000"/>
              <w:right w:val="single" w:sz="6" w:space="0" w:color="000000"/>
            </w:tcBorders>
          </w:tcPr>
          <w:p w14:paraId="42EDD020" w14:textId="5BB65DB8" w:rsidR="009D41E0" w:rsidRPr="008B7455" w:rsidRDefault="00F635E1" w:rsidP="009D41E0">
            <w:pPr>
              <w:pStyle w:val="naisc"/>
              <w:spacing w:before="0" w:after="0"/>
              <w:ind w:left="57" w:right="57"/>
              <w:contextualSpacing/>
              <w:jc w:val="left"/>
              <w:rPr>
                <w:sz w:val="22"/>
                <w:szCs w:val="22"/>
              </w:rPr>
            </w:pPr>
            <w:r>
              <w:rPr>
                <w:sz w:val="22"/>
                <w:szCs w:val="22"/>
              </w:rPr>
              <w:t>1.</w:t>
            </w:r>
          </w:p>
        </w:tc>
        <w:tc>
          <w:tcPr>
            <w:tcW w:w="2660" w:type="dxa"/>
            <w:tcBorders>
              <w:top w:val="single" w:sz="6" w:space="0" w:color="000000"/>
              <w:left w:val="single" w:sz="6" w:space="0" w:color="000000"/>
              <w:bottom w:val="single" w:sz="6" w:space="0" w:color="000000"/>
              <w:right w:val="single" w:sz="6" w:space="0" w:color="000000"/>
            </w:tcBorders>
          </w:tcPr>
          <w:p w14:paraId="385637B6" w14:textId="77777777" w:rsidR="009D41E0" w:rsidRPr="008B7455" w:rsidRDefault="009D41E0" w:rsidP="009D41E0">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3F1E2F00" w14:textId="65C99771" w:rsidR="009D41E0" w:rsidRPr="00D82D6B" w:rsidRDefault="009D41E0" w:rsidP="009D41E0">
            <w:pPr>
              <w:shd w:val="clear" w:color="auto" w:fill="FFFFFF"/>
              <w:jc w:val="center"/>
              <w:rPr>
                <w:b/>
                <w:bCs/>
                <w:u w:val="single"/>
              </w:rPr>
            </w:pPr>
            <w:r w:rsidRPr="00D82D6B">
              <w:rPr>
                <w:b/>
                <w:bCs/>
                <w:u w:val="single"/>
              </w:rPr>
              <w:t>Vides aizsardzības un reģionālās attīstības ministrija</w:t>
            </w:r>
            <w:r w:rsidR="0070404D">
              <w:rPr>
                <w:b/>
                <w:bCs/>
                <w:u w:val="single"/>
              </w:rPr>
              <w:t xml:space="preserve">                (Atz. 14.10.2020)</w:t>
            </w:r>
          </w:p>
          <w:p w14:paraId="419C1D08" w14:textId="77777777" w:rsidR="009D41E0" w:rsidRDefault="009D41E0" w:rsidP="009D41E0">
            <w:pPr>
              <w:spacing w:before="120" w:after="120"/>
              <w:jc w:val="both"/>
              <w:rPr>
                <w:color w:val="000000" w:themeColor="text1"/>
              </w:rPr>
            </w:pPr>
            <w:r w:rsidRPr="00D82D6B">
              <w:rPr>
                <w:color w:val="000000" w:themeColor="text1"/>
              </w:rPr>
              <w:t xml:space="preserve">Lūdzam veikt noteikumu projektā iekļauto datu pārrēķinu, jo pēc VARAM rīcībā esošās informācijas noteikumu projekta izstrādē stacijām Ainaži, Bauska, Gulbene, Jelgava, Mērsrags, Priekuļi, Pāvilosta, Rēzekne, Rūjiena, Skulte, Stende, Ventspils, Zosēni un Zīlāni netika izmantoti meteoroloģisko novērojumu dati par laika periodu no 2010.gada 1. janvāra līdz 2012.gada 31.decembrim, kas ietekmē noteikumu projekta kvalitāti un </w:t>
            </w:r>
            <w:r w:rsidRPr="00D82D6B">
              <w:rPr>
                <w:color w:val="000000" w:themeColor="text1"/>
              </w:rPr>
              <w:lastRenderedPageBreak/>
              <w:t>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u.tml, kā arī var ietekmēt citas ar būvniecību saistītas jomas, kurās tiek izmantoti</w:t>
            </w:r>
            <w:r w:rsidRPr="00D82D6B">
              <w:t xml:space="preserve"> </w:t>
            </w:r>
            <w:r w:rsidRPr="00D82D6B">
              <w:rPr>
                <w:color w:val="000000" w:themeColor="text1"/>
              </w:rPr>
              <w:t>būvnormatīvā LBN 003–19 “Būvklimatoloģija” noteiktie dati;</w:t>
            </w:r>
          </w:p>
          <w:p w14:paraId="08BE887B" w14:textId="77777777" w:rsidR="00873B18" w:rsidRDefault="00873B18" w:rsidP="00F4239A">
            <w:pPr>
              <w:spacing w:before="120" w:after="120"/>
              <w:jc w:val="center"/>
              <w:rPr>
                <w:b/>
                <w:bCs/>
                <w:color w:val="000000" w:themeColor="text1"/>
                <w:u w:val="single"/>
              </w:rPr>
            </w:pPr>
          </w:p>
          <w:p w14:paraId="17015AF4" w14:textId="77777777" w:rsidR="00873B18" w:rsidRDefault="00873B18" w:rsidP="00F4239A">
            <w:pPr>
              <w:spacing w:before="120" w:after="120"/>
              <w:jc w:val="center"/>
              <w:rPr>
                <w:b/>
                <w:bCs/>
                <w:color w:val="000000" w:themeColor="text1"/>
                <w:u w:val="single"/>
              </w:rPr>
            </w:pPr>
          </w:p>
          <w:p w14:paraId="03CCB4D7" w14:textId="77777777" w:rsidR="00873B18" w:rsidRDefault="00873B18" w:rsidP="00F4239A">
            <w:pPr>
              <w:spacing w:before="120" w:after="120"/>
              <w:jc w:val="center"/>
              <w:rPr>
                <w:b/>
                <w:bCs/>
                <w:color w:val="000000" w:themeColor="text1"/>
                <w:u w:val="single"/>
              </w:rPr>
            </w:pPr>
          </w:p>
          <w:p w14:paraId="0BB7D28A" w14:textId="77777777" w:rsidR="00873B18" w:rsidRDefault="00873B18" w:rsidP="00F4239A">
            <w:pPr>
              <w:spacing w:before="120" w:after="120"/>
              <w:jc w:val="center"/>
              <w:rPr>
                <w:b/>
                <w:bCs/>
                <w:color w:val="000000" w:themeColor="text1"/>
                <w:u w:val="single"/>
              </w:rPr>
            </w:pPr>
          </w:p>
          <w:p w14:paraId="0421D92A" w14:textId="77777777" w:rsidR="00873B18" w:rsidRDefault="00873B18" w:rsidP="00F4239A">
            <w:pPr>
              <w:spacing w:before="120" w:after="120"/>
              <w:jc w:val="center"/>
              <w:rPr>
                <w:b/>
                <w:bCs/>
                <w:color w:val="000000" w:themeColor="text1"/>
                <w:u w:val="single"/>
              </w:rPr>
            </w:pPr>
          </w:p>
          <w:p w14:paraId="64F90B90" w14:textId="77777777" w:rsidR="00873B18" w:rsidRDefault="00873B18" w:rsidP="00F4239A">
            <w:pPr>
              <w:spacing w:before="120" w:after="120"/>
              <w:jc w:val="center"/>
              <w:rPr>
                <w:b/>
                <w:bCs/>
                <w:color w:val="000000" w:themeColor="text1"/>
                <w:u w:val="single"/>
              </w:rPr>
            </w:pPr>
          </w:p>
          <w:p w14:paraId="6F4043EE" w14:textId="77777777" w:rsidR="00873B18" w:rsidRDefault="00873B18" w:rsidP="00F4239A">
            <w:pPr>
              <w:spacing w:before="120" w:after="120"/>
              <w:jc w:val="center"/>
              <w:rPr>
                <w:b/>
                <w:bCs/>
                <w:color w:val="000000" w:themeColor="text1"/>
                <w:u w:val="single"/>
              </w:rPr>
            </w:pPr>
          </w:p>
          <w:p w14:paraId="790AB5D2" w14:textId="77777777" w:rsidR="00873B18" w:rsidRDefault="00873B18" w:rsidP="00F4239A">
            <w:pPr>
              <w:spacing w:before="120" w:after="120"/>
              <w:jc w:val="center"/>
              <w:rPr>
                <w:b/>
                <w:bCs/>
                <w:color w:val="000000" w:themeColor="text1"/>
                <w:u w:val="single"/>
              </w:rPr>
            </w:pPr>
          </w:p>
          <w:p w14:paraId="0E5D1CE7" w14:textId="77777777" w:rsidR="00873B18" w:rsidRDefault="00873B18" w:rsidP="00F4239A">
            <w:pPr>
              <w:spacing w:before="120" w:after="120"/>
              <w:jc w:val="center"/>
              <w:rPr>
                <w:b/>
                <w:bCs/>
                <w:color w:val="000000" w:themeColor="text1"/>
                <w:u w:val="single"/>
              </w:rPr>
            </w:pPr>
          </w:p>
          <w:p w14:paraId="6B586F01" w14:textId="77777777" w:rsidR="00873B18" w:rsidRDefault="00873B18" w:rsidP="00F4239A">
            <w:pPr>
              <w:spacing w:before="120" w:after="120"/>
              <w:jc w:val="center"/>
              <w:rPr>
                <w:b/>
                <w:bCs/>
                <w:color w:val="000000" w:themeColor="text1"/>
                <w:u w:val="single"/>
              </w:rPr>
            </w:pPr>
          </w:p>
          <w:p w14:paraId="464E5D14" w14:textId="77777777" w:rsidR="00873B18" w:rsidRDefault="00873B18" w:rsidP="00F4239A">
            <w:pPr>
              <w:spacing w:before="120" w:after="120"/>
              <w:jc w:val="center"/>
              <w:rPr>
                <w:b/>
                <w:bCs/>
                <w:color w:val="000000" w:themeColor="text1"/>
                <w:u w:val="single"/>
              </w:rPr>
            </w:pPr>
          </w:p>
          <w:p w14:paraId="3DC53A20" w14:textId="77777777" w:rsidR="00873B18" w:rsidRDefault="00873B18" w:rsidP="00F4239A">
            <w:pPr>
              <w:spacing w:before="120" w:after="120"/>
              <w:jc w:val="center"/>
              <w:rPr>
                <w:b/>
                <w:bCs/>
                <w:color w:val="000000" w:themeColor="text1"/>
                <w:u w:val="single"/>
              </w:rPr>
            </w:pPr>
          </w:p>
          <w:p w14:paraId="6E6A9C27" w14:textId="77777777" w:rsidR="00873B18" w:rsidRDefault="00873B18" w:rsidP="00F4239A">
            <w:pPr>
              <w:spacing w:before="120" w:after="120"/>
              <w:jc w:val="center"/>
              <w:rPr>
                <w:b/>
                <w:bCs/>
                <w:color w:val="000000" w:themeColor="text1"/>
                <w:u w:val="single"/>
              </w:rPr>
            </w:pPr>
          </w:p>
          <w:p w14:paraId="06B62FEB" w14:textId="77777777" w:rsidR="00873B18" w:rsidRDefault="00873B18" w:rsidP="00F4239A">
            <w:pPr>
              <w:spacing w:before="120" w:after="120"/>
              <w:jc w:val="center"/>
              <w:rPr>
                <w:b/>
                <w:bCs/>
                <w:color w:val="000000" w:themeColor="text1"/>
                <w:u w:val="single"/>
              </w:rPr>
            </w:pPr>
          </w:p>
          <w:p w14:paraId="6CEFF7F2" w14:textId="77777777" w:rsidR="00873B18" w:rsidRDefault="00873B18" w:rsidP="00F4239A">
            <w:pPr>
              <w:spacing w:before="120" w:after="120"/>
              <w:jc w:val="center"/>
              <w:rPr>
                <w:b/>
                <w:bCs/>
                <w:color w:val="000000" w:themeColor="text1"/>
                <w:u w:val="single"/>
              </w:rPr>
            </w:pPr>
          </w:p>
          <w:p w14:paraId="42BF8284" w14:textId="77777777" w:rsidR="00873B18" w:rsidRDefault="00873B18" w:rsidP="00F4239A">
            <w:pPr>
              <w:spacing w:before="120" w:after="120"/>
              <w:jc w:val="center"/>
              <w:rPr>
                <w:b/>
                <w:bCs/>
                <w:color w:val="000000" w:themeColor="text1"/>
                <w:u w:val="single"/>
              </w:rPr>
            </w:pPr>
          </w:p>
          <w:p w14:paraId="1728ED96" w14:textId="77777777" w:rsidR="00873B18" w:rsidRDefault="00873B18" w:rsidP="00F4239A">
            <w:pPr>
              <w:spacing w:before="120" w:after="120"/>
              <w:jc w:val="center"/>
              <w:rPr>
                <w:b/>
                <w:bCs/>
                <w:color w:val="000000" w:themeColor="text1"/>
                <w:u w:val="single"/>
              </w:rPr>
            </w:pPr>
          </w:p>
          <w:p w14:paraId="68804CBD" w14:textId="77777777" w:rsidR="00873B18" w:rsidRDefault="00873B18" w:rsidP="00F4239A">
            <w:pPr>
              <w:spacing w:before="120" w:after="120"/>
              <w:jc w:val="center"/>
              <w:rPr>
                <w:b/>
                <w:bCs/>
                <w:color w:val="000000" w:themeColor="text1"/>
                <w:u w:val="single"/>
              </w:rPr>
            </w:pPr>
          </w:p>
          <w:p w14:paraId="111829C9" w14:textId="77777777" w:rsidR="00873B18" w:rsidRDefault="00873B18" w:rsidP="00F4239A">
            <w:pPr>
              <w:spacing w:before="120" w:after="120"/>
              <w:jc w:val="center"/>
              <w:rPr>
                <w:b/>
                <w:bCs/>
                <w:color w:val="000000" w:themeColor="text1"/>
                <w:u w:val="single"/>
              </w:rPr>
            </w:pPr>
          </w:p>
          <w:p w14:paraId="2C9EC5C0" w14:textId="77777777" w:rsidR="00873B18" w:rsidRDefault="00873B18" w:rsidP="00F4239A">
            <w:pPr>
              <w:spacing w:before="120" w:after="120"/>
              <w:jc w:val="center"/>
              <w:rPr>
                <w:b/>
                <w:bCs/>
                <w:color w:val="000000" w:themeColor="text1"/>
                <w:u w:val="single"/>
              </w:rPr>
            </w:pPr>
          </w:p>
          <w:p w14:paraId="624EFE84" w14:textId="77777777" w:rsidR="00873B18" w:rsidRDefault="00873B18" w:rsidP="00F4239A">
            <w:pPr>
              <w:spacing w:before="120" w:after="120"/>
              <w:jc w:val="center"/>
              <w:rPr>
                <w:b/>
                <w:bCs/>
                <w:color w:val="000000" w:themeColor="text1"/>
                <w:u w:val="single"/>
              </w:rPr>
            </w:pPr>
          </w:p>
          <w:p w14:paraId="710913DE" w14:textId="621532E9" w:rsidR="00F4239A" w:rsidRDefault="00F4239A" w:rsidP="00F4239A">
            <w:pPr>
              <w:spacing w:before="120" w:after="120"/>
              <w:jc w:val="center"/>
              <w:rPr>
                <w:b/>
                <w:bCs/>
                <w:color w:val="000000" w:themeColor="text1"/>
                <w:u w:val="single"/>
              </w:rPr>
            </w:pPr>
            <w:r w:rsidRPr="00F4239A">
              <w:rPr>
                <w:b/>
                <w:bCs/>
                <w:color w:val="000000" w:themeColor="text1"/>
                <w:u w:val="single"/>
              </w:rPr>
              <w:t>Vides aizsardzības un reģionālās attīstības ministrija (Atz.22.12.2020.)</w:t>
            </w:r>
          </w:p>
          <w:p w14:paraId="044C29FB" w14:textId="77777777" w:rsidR="00F4239A" w:rsidRPr="00F4239A" w:rsidRDefault="00F4239A" w:rsidP="00F4239A">
            <w:pPr>
              <w:spacing w:before="120" w:after="120"/>
              <w:jc w:val="both"/>
              <w:rPr>
                <w:color w:val="000000" w:themeColor="text1"/>
              </w:rPr>
            </w:pPr>
            <w:r w:rsidRPr="00F4239A">
              <w:rPr>
                <w:color w:val="000000" w:themeColor="text1"/>
              </w:rPr>
              <w:t xml:space="preserve">VARAM norāda, ka iebildums nav ņemts vērā, jo noteikumu projektā stacijām Ainaži, Bauska, Gulbene, Jelgava, Mērsrags, Priekuļi, Pāvilosta, Rēzekne, Rūjiena, Skulte, Stende, Ventspils, Zosēni un Zīlāni netika izmantoti meteoroloģisko novērojumu dati par laika periodu no 2010. gada 1. janvāra līdz 2012. gada 31. decembrim. </w:t>
            </w:r>
          </w:p>
          <w:p w14:paraId="5EA42405" w14:textId="2B478013" w:rsidR="00F4239A" w:rsidRPr="00F4239A" w:rsidRDefault="00F4239A" w:rsidP="00F4239A">
            <w:pPr>
              <w:spacing w:before="120" w:after="120"/>
              <w:jc w:val="center"/>
              <w:rPr>
                <w:b/>
                <w:bCs/>
                <w:color w:val="000000" w:themeColor="text1"/>
                <w:u w:val="single"/>
              </w:rPr>
            </w:pPr>
          </w:p>
        </w:tc>
        <w:tc>
          <w:tcPr>
            <w:tcW w:w="3544" w:type="dxa"/>
            <w:tcBorders>
              <w:top w:val="single" w:sz="6" w:space="0" w:color="000000"/>
              <w:left w:val="single" w:sz="6" w:space="0" w:color="000000"/>
              <w:bottom w:val="single" w:sz="6" w:space="0" w:color="000000"/>
              <w:right w:val="single" w:sz="6" w:space="0" w:color="000000"/>
            </w:tcBorders>
          </w:tcPr>
          <w:p w14:paraId="0D341E07" w14:textId="77777777" w:rsidR="009D41E0" w:rsidRPr="00D82D6B" w:rsidRDefault="009D41E0" w:rsidP="009D41E0">
            <w:pPr>
              <w:pStyle w:val="naiskr"/>
              <w:tabs>
                <w:tab w:val="center" w:pos="1560"/>
              </w:tabs>
              <w:ind w:left="57" w:right="57"/>
              <w:contextualSpacing/>
              <w:jc w:val="center"/>
              <w:rPr>
                <w:b/>
                <w:bCs/>
                <w:u w:val="single"/>
              </w:rPr>
            </w:pPr>
            <w:r w:rsidRPr="00D82D6B">
              <w:rPr>
                <w:b/>
                <w:bCs/>
                <w:u w:val="single"/>
              </w:rPr>
              <w:lastRenderedPageBreak/>
              <w:t>Nav ņemts vērā</w:t>
            </w:r>
          </w:p>
          <w:p w14:paraId="25003FAD" w14:textId="105EB4B1" w:rsidR="009D41E0" w:rsidRDefault="00D82D6B" w:rsidP="009D41E0">
            <w:pPr>
              <w:jc w:val="both"/>
            </w:pPr>
            <w:r>
              <w:t xml:space="preserve">Ekonomikas ministrija </w:t>
            </w:r>
            <w:r w:rsidRPr="00D82D6B">
              <w:t>ārpakalpojumā bij</w:t>
            </w:r>
            <w:r>
              <w:t>a</w:t>
            </w:r>
            <w:r w:rsidRPr="00D82D6B">
              <w:t xml:space="preserve"> pasūtīju</w:t>
            </w:r>
            <w:r>
              <w:t>s</w:t>
            </w:r>
            <w:r w:rsidRPr="00D82D6B">
              <w:t>i būvklimatoloģijas datu aktualizāciju</w:t>
            </w:r>
            <w:r w:rsidR="001E2C08">
              <w:t>. Ņ</w:t>
            </w:r>
            <w:r w:rsidRPr="00D82D6B">
              <w:t xml:space="preserve">emot vērā, ka </w:t>
            </w:r>
            <w:r w:rsidR="001E2C08">
              <w:t xml:space="preserve"> </w:t>
            </w:r>
            <w:r w:rsidR="001E2C08" w:rsidRPr="001E2C08">
              <w:t>Latvijas Vides, ģeoloģijas un meteoroloģijas centr</w:t>
            </w:r>
            <w:r w:rsidR="001E2C08">
              <w:t xml:space="preserve">ā </w:t>
            </w:r>
            <w:r w:rsidR="004F01A6">
              <w:t xml:space="preserve"> </w:t>
            </w:r>
            <w:r w:rsidR="004F01A6" w:rsidRPr="004F01A6">
              <w:t xml:space="preserve">novērojumu dati par laika periodu no 2010.gada 1.janvāra līdz 2012.gada 31.decembrim, </w:t>
            </w:r>
            <w:r w:rsidR="004F01A6">
              <w:t>nebija publiski pieejami, bet pieejami</w:t>
            </w:r>
            <w:r w:rsidRPr="00D82D6B">
              <w:t xml:space="preserve"> par ļoti lielu summu (kas mums šogad nebija pieejama), </w:t>
            </w:r>
            <w:r w:rsidR="001E2C08">
              <w:t>tāpēc tika sagatavoti atjaunoti klimatoloģiskie dati</w:t>
            </w:r>
            <w:r w:rsidRPr="00D82D6B">
              <w:t>, balstoties uz pieejam</w:t>
            </w:r>
            <w:r w:rsidR="001E2C08">
              <w:t>iem</w:t>
            </w:r>
            <w:r w:rsidRPr="00D82D6B">
              <w:t xml:space="preserve"> dat</w:t>
            </w:r>
            <w:r w:rsidR="001E2C08">
              <w:t>iem</w:t>
            </w:r>
            <w:r w:rsidRPr="00D82D6B">
              <w:t xml:space="preserve"> un novēroj</w:t>
            </w:r>
            <w:r w:rsidR="001E2C08">
              <w:t>u</w:t>
            </w:r>
            <w:r w:rsidRPr="00D82D6B">
              <w:t>m</w:t>
            </w:r>
            <w:r w:rsidR="001E2C08">
              <w:t>u</w:t>
            </w:r>
            <w:r w:rsidRPr="00D82D6B">
              <w:t xml:space="preserve"> analīzi</w:t>
            </w:r>
            <w:r w:rsidR="001E2C08">
              <w:t>. Tika</w:t>
            </w:r>
            <w:r w:rsidRPr="00D82D6B">
              <w:t xml:space="preserve"> izdarī</w:t>
            </w:r>
            <w:r w:rsidR="001E2C08">
              <w:t>ti</w:t>
            </w:r>
            <w:r w:rsidRPr="00D82D6B">
              <w:t xml:space="preserve"> pieņēmum</w:t>
            </w:r>
            <w:r w:rsidR="001E2C08">
              <w:t>i</w:t>
            </w:r>
            <w:r w:rsidRPr="00D82D6B">
              <w:t xml:space="preserve"> un sagatavo</w:t>
            </w:r>
            <w:r w:rsidR="001E2C08">
              <w:t>ti</w:t>
            </w:r>
            <w:r w:rsidRPr="00D82D6B">
              <w:t xml:space="preserve"> </w:t>
            </w:r>
            <w:r w:rsidRPr="00D82D6B">
              <w:lastRenderedPageBreak/>
              <w:t>aktualizēt</w:t>
            </w:r>
            <w:r w:rsidR="001E2C08">
              <w:t>ie</w:t>
            </w:r>
            <w:r w:rsidRPr="00D82D6B">
              <w:t xml:space="preserve"> dat</w:t>
            </w:r>
            <w:r w:rsidR="001E2C08">
              <w:t>i</w:t>
            </w:r>
            <w:r w:rsidRPr="00D82D6B">
              <w:t xml:space="preserve">. </w:t>
            </w:r>
            <w:r w:rsidR="009D41E0" w:rsidRPr="00D82D6B">
              <w:t>Atjaunotie klimatoloģiskie dati, salīdzinot ar patreizējā regulējumā esošajiem, un pat ņemot vērā datu iztrūkumu, ir daudz precīzāki un būvspeciālistiem tie būtiski neietekmē aprēķinu rezultātus</w:t>
            </w:r>
            <w:r w:rsidR="00DB510D">
              <w:t>, ņemot vērā arī klimata pārmaiņas</w:t>
            </w:r>
            <w:r w:rsidR="009D41E0" w:rsidRPr="00D82D6B">
              <w:t>.</w:t>
            </w:r>
            <w:r w:rsidR="001E2C08">
              <w:t xml:space="preserve"> Par to liecina sertificēšanas institūciju (Latvijas Būvinženieru savienības, Latvijas Siltuma, gāzes un ūdens tehnoloģijas inženieru savienība</w:t>
            </w:r>
            <w:r w:rsidR="00E86E65">
              <w:t>s</w:t>
            </w:r>
            <w:r w:rsidR="001E2C08">
              <w:t>)</w:t>
            </w:r>
            <w:r w:rsidR="00E86E65">
              <w:t>, kā arī Latvijas Būvkonstrukciju projektētāju asociācijas paustais viedoklis par atjaunotajiem klimatoloģiskajiem datiem.</w:t>
            </w:r>
          </w:p>
          <w:p w14:paraId="553FDCD6" w14:textId="5DBEB38F" w:rsidR="00DB510D" w:rsidRDefault="00DB510D" w:rsidP="00DB510D">
            <w:pPr>
              <w:jc w:val="both"/>
            </w:pPr>
            <w:r w:rsidRPr="00DB510D">
              <w:t xml:space="preserve">VSIA “Latvijas Vides, ģeoloģijas un meteoroloģijas centrs” “Klimata pārmaiņu scenāriji Latvijai” Ziņojuma kopsavilkumā ir norādījis, ka līdzšinējo klimata pārmaiņu ietekmē Latvijā novērota vienmērīga gaisa temperatūras paaugstināšanās, kas izteikta gan gaisa temperatūras vidējās, gan minimālajās un maksimālajās vērtībās. Viskrasākās izmaiņas ir novērotas ziemas un pavasara sezonās. Vispārīgas gaisa temperatūras paaugstināšanās </w:t>
            </w:r>
            <w:r w:rsidRPr="00DB510D">
              <w:lastRenderedPageBreak/>
              <w:t>ietekmē ir palielinājies augšanas sezonas ilgums, palielinājies vasaras dienu un tropisko nakšu skaits, savukārt samazinājies ziemas sezonai raksturīgo sala dienu un dienu bez atkušņa skaits. Analizējot klimata modeļu prognozes nākotnes laika periodiem, uzskatāmi redzama turpmāka gaisa temperatūras paaugstināšanās. Tās ietekmē turpinās palielināties augšanas sezonas ilgums un vasaras dienu un tropisko nakšu skaits, kā arī samazināties sala dienu un dienu bez atkušņa skaits.</w:t>
            </w:r>
          </w:p>
          <w:p w14:paraId="77FB6F3B" w14:textId="03E71510" w:rsidR="00873B18" w:rsidRDefault="00873B18" w:rsidP="00DB510D">
            <w:pPr>
              <w:jc w:val="both"/>
            </w:pPr>
          </w:p>
          <w:p w14:paraId="531FA635" w14:textId="00381D38" w:rsidR="00873B18" w:rsidRDefault="00873B18" w:rsidP="00DB510D">
            <w:pPr>
              <w:jc w:val="both"/>
            </w:pPr>
          </w:p>
          <w:p w14:paraId="03C59848" w14:textId="77777777" w:rsidR="00873B18" w:rsidRDefault="00873B18" w:rsidP="00DB510D">
            <w:pPr>
              <w:jc w:val="both"/>
            </w:pPr>
          </w:p>
          <w:p w14:paraId="5A06CB07" w14:textId="084B67CA" w:rsidR="00873B18" w:rsidRPr="00D82D6B" w:rsidRDefault="00873B18" w:rsidP="00F635E1">
            <w:pPr>
              <w:jc w:val="both"/>
            </w:pPr>
            <w:r w:rsidRPr="00873B18">
              <w:t xml:space="preserve">2010.-2012.gg. datu publiskās nepieejamības sekas prasa īpašu analīzi. Pasaules meteoroloģiskās organizācijas (PMO) WMO (2017) rekomendācijas iesaka izmantot klimatisko parametru vidējo vērtību aprēķinam tikai 80% datu pieejamības kritēriju, jo WMO (2007) pētījums ir pierādījis iepriekš lietotā stingrākā kritērija (datu iztrūkums nepārsniedz 3 secīgus gadus) WMO (2011) </w:t>
            </w:r>
            <w:r w:rsidRPr="00873B18">
              <w:lastRenderedPageBreak/>
              <w:t xml:space="preserve">nepamatotību. Tomēr, PMO rekomendācijām ir tikai ieteikuma, nevis normatīva raksturs, tādēļ </w:t>
            </w:r>
            <w:r>
              <w:t>i</w:t>
            </w:r>
            <w:r w:rsidRPr="00873B18">
              <w:t>r lietderīg</w:t>
            </w:r>
            <w:r>
              <w:t>i</w:t>
            </w:r>
            <w:r w:rsidRPr="00873B18">
              <w:t xml:space="preserve"> izvērtēt, vai šāda datu nepieejamība neietekmē sagatavoto datu kvalitāti.</w:t>
            </w:r>
            <w:r>
              <w:t xml:space="preserve">  </w:t>
            </w:r>
            <w:r w:rsidRPr="00873B18">
              <w:t>Lai to noteiktu, aplūko</w:t>
            </w:r>
            <w:r>
              <w:t>tas</w:t>
            </w:r>
            <w:r w:rsidRPr="00873B18">
              <w:t xml:space="preserve"> 8 stacijas, kurās</w:t>
            </w:r>
            <w:r>
              <w:t xml:space="preserve"> </w:t>
            </w:r>
            <w:r w:rsidRPr="00873B18">
              <w:t>nav 3 gadu datu iztrūkuma. Katras stacijas katram mēnesim tika aprēķinātas vidējās diennakts temperatūras amplitūdas visam periodam, kā arī visam periodam, no kura izņemtas visas iespējamās 3 gadu kombinācijas (pavisam 4060 kombinācijas). Aprēķinu rezultāti atspoguļoti visām 8 stacijām un 12 mēnešiem</w:t>
            </w:r>
            <w:r>
              <w:t>.  Veicot</w:t>
            </w:r>
            <w:r>
              <w:t xml:space="preserve"> analīz</w:t>
            </w:r>
            <w:r w:rsidR="00F635E1">
              <w:t>i</w:t>
            </w:r>
            <w:r>
              <w:t xml:space="preserve"> 8 stacijās, kurās pieejamas pilnas datu rindas, 2010</w:t>
            </w:r>
            <w:r w:rsidR="002D0965">
              <w:t>.</w:t>
            </w:r>
            <w:r>
              <w:t>-2012</w:t>
            </w:r>
            <w:r w:rsidR="002D0965">
              <w:t>.</w:t>
            </w:r>
            <w:r>
              <w:t xml:space="preserve"> gadu datu atmešana nemaina klimatiskās mēnešu vidējās diennakts temperatūras amplitūdas vērtības. </w:t>
            </w:r>
            <w:r w:rsidR="00F635E1">
              <w:t>Tādēļ n</w:t>
            </w:r>
            <w:r>
              <w:t>av pamata pieņemt, ka pārējās stacijās šo gadu datu atmešana varētu izraisīt vērā ņemamas aprēķinu rezultātu atšķirības, jo 8 analizētās stacijas labi reprezentē Latvijas klimatiskās atšķirības</w:t>
            </w:r>
            <w:r w:rsidR="00F635E1">
              <w:t>.</w:t>
            </w:r>
          </w:p>
        </w:tc>
        <w:tc>
          <w:tcPr>
            <w:tcW w:w="2410" w:type="dxa"/>
            <w:tcBorders>
              <w:top w:val="single" w:sz="4" w:space="0" w:color="auto"/>
              <w:left w:val="single" w:sz="4" w:space="0" w:color="auto"/>
              <w:bottom w:val="single" w:sz="4" w:space="0" w:color="auto"/>
              <w:right w:val="single" w:sz="4" w:space="0" w:color="auto"/>
            </w:tcBorders>
          </w:tcPr>
          <w:p w14:paraId="51A7A502" w14:textId="65864FD2" w:rsidR="009D41E0" w:rsidRPr="00D82D6B" w:rsidRDefault="00D82D6B" w:rsidP="00D82D6B">
            <w:pPr>
              <w:spacing w:before="120" w:after="120"/>
              <w:jc w:val="both"/>
              <w:rPr>
                <w:color w:val="000000" w:themeColor="text1"/>
              </w:rPr>
            </w:pPr>
            <w:r>
              <w:rPr>
                <w:color w:val="000000" w:themeColor="text1"/>
              </w:rPr>
              <w:lastRenderedPageBreak/>
              <w:t>N</w:t>
            </w:r>
            <w:r w:rsidRPr="00D82D6B">
              <w:rPr>
                <w:color w:val="000000" w:themeColor="text1"/>
              </w:rPr>
              <w:t xml:space="preserve">oteikumu projekta izstrādē stacijām Ainaži, Bauska, Gulbene, Jelgava, Mērsrags, Priekuļi, Pāvilosta, Rēzekne, Rūjiena, Skulte, Stende, Ventspils, Zosēni un Zīlāni netika izmantoti meteoroloģisko novērojumu dati par laika periodu no 2010.gada 1. janvāra līdz 2012.gada 31.decembrim, kas ietekmē noteikumu </w:t>
            </w:r>
            <w:r w:rsidRPr="00D82D6B">
              <w:rPr>
                <w:color w:val="000000" w:themeColor="text1"/>
              </w:rPr>
              <w:lastRenderedPageBreak/>
              <w:t>projekta kvalitāti un 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u.tml, kā arī var ietekmēt citas ar būvniecību saistītas jomas, kurās tiek izmantoti</w:t>
            </w:r>
            <w:r w:rsidRPr="00D82D6B">
              <w:t xml:space="preserve"> </w:t>
            </w:r>
            <w:r w:rsidRPr="00D82D6B">
              <w:rPr>
                <w:color w:val="000000" w:themeColor="text1"/>
              </w:rPr>
              <w:t>būvnormatīvā LBN 003–19 “Būvklimatoloģija” noteiktie dati.</w:t>
            </w:r>
          </w:p>
        </w:tc>
        <w:tc>
          <w:tcPr>
            <w:tcW w:w="2551" w:type="dxa"/>
            <w:tcBorders>
              <w:top w:val="single" w:sz="4" w:space="0" w:color="auto"/>
              <w:left w:val="single" w:sz="4" w:space="0" w:color="auto"/>
              <w:bottom w:val="single" w:sz="4" w:space="0" w:color="auto"/>
            </w:tcBorders>
            <w:shd w:val="clear" w:color="auto" w:fill="auto"/>
          </w:tcPr>
          <w:p w14:paraId="277212EC" w14:textId="40DA3B92" w:rsidR="009D41E0" w:rsidRPr="00E86E65" w:rsidRDefault="004F01A6" w:rsidP="00E86E65">
            <w:pPr>
              <w:jc w:val="both"/>
              <w:rPr>
                <w:sz w:val="22"/>
                <w:szCs w:val="22"/>
              </w:rPr>
            </w:pPr>
            <w:r>
              <w:lastRenderedPageBreak/>
              <w:t xml:space="preserve">Ekonomikas ministrijas un </w:t>
            </w:r>
            <w:r w:rsidRPr="004F01A6">
              <w:t>sertificēšanas institūciju (Latvijas Būvinženieru savienības, Latvijas Siltuma, gāzes un ūdens tehnoloģijas inženieru savienības), kā arī Latvijas Būvkonstrukciju projektētāju asociācijas paustais viedoklis par atjaunotajiem klimatoloģiskajiem datiem</w:t>
            </w:r>
            <w:r>
              <w:t xml:space="preserve"> ir, ka a</w:t>
            </w:r>
            <w:r w:rsidRPr="00D82D6B">
              <w:t xml:space="preserve">tjaunotie klimatoloģiskie dati, salīdzinot ar patreizējā regulējumā esošajiem, </w:t>
            </w:r>
            <w:r w:rsidRPr="00D82D6B">
              <w:lastRenderedPageBreak/>
              <w:t>un pat ņemot vērā datu iztrūkumu, ir daudz precīzāki un būvspeciālistiem tie būtiski neietekmē aprēķinu rezultātus</w:t>
            </w:r>
            <w:r>
              <w:t>.</w:t>
            </w:r>
          </w:p>
        </w:tc>
      </w:tr>
      <w:tr w:rsidR="009D41E0" w:rsidRPr="008B7455" w14:paraId="7E41B28C" w14:textId="77777777" w:rsidTr="00335D20">
        <w:tc>
          <w:tcPr>
            <w:tcW w:w="675" w:type="dxa"/>
            <w:tcBorders>
              <w:top w:val="single" w:sz="6" w:space="0" w:color="000000"/>
              <w:left w:val="single" w:sz="6" w:space="0" w:color="000000"/>
              <w:bottom w:val="single" w:sz="6" w:space="0" w:color="000000"/>
              <w:right w:val="single" w:sz="6" w:space="0" w:color="000000"/>
            </w:tcBorders>
          </w:tcPr>
          <w:p w14:paraId="0A54FEED" w14:textId="04316429" w:rsidR="009D41E0" w:rsidRPr="008B7455" w:rsidRDefault="00F635E1" w:rsidP="009D41E0">
            <w:pPr>
              <w:pStyle w:val="naisc"/>
              <w:spacing w:before="0" w:after="0"/>
              <w:ind w:left="57" w:right="57"/>
              <w:contextualSpacing/>
              <w:jc w:val="left"/>
              <w:rPr>
                <w:sz w:val="22"/>
                <w:szCs w:val="22"/>
              </w:rPr>
            </w:pPr>
            <w:r>
              <w:rPr>
                <w:sz w:val="22"/>
                <w:szCs w:val="22"/>
              </w:rPr>
              <w:lastRenderedPageBreak/>
              <w:t>2.</w:t>
            </w:r>
          </w:p>
        </w:tc>
        <w:tc>
          <w:tcPr>
            <w:tcW w:w="2660" w:type="dxa"/>
            <w:tcBorders>
              <w:top w:val="single" w:sz="6" w:space="0" w:color="000000"/>
              <w:left w:val="single" w:sz="6" w:space="0" w:color="000000"/>
              <w:bottom w:val="single" w:sz="6" w:space="0" w:color="000000"/>
              <w:right w:val="single" w:sz="6" w:space="0" w:color="000000"/>
            </w:tcBorders>
          </w:tcPr>
          <w:p w14:paraId="79C490C0" w14:textId="77777777" w:rsidR="009D41E0" w:rsidRPr="008B7455" w:rsidRDefault="009D41E0" w:rsidP="009D41E0">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6FB38EFF" w14:textId="788D7F82" w:rsidR="009D41E0" w:rsidRPr="00D82D6B" w:rsidRDefault="009D41E0" w:rsidP="009D41E0">
            <w:pPr>
              <w:shd w:val="clear" w:color="auto" w:fill="FFFFFF"/>
              <w:jc w:val="center"/>
              <w:rPr>
                <w:b/>
                <w:bCs/>
                <w:u w:val="single"/>
              </w:rPr>
            </w:pPr>
            <w:r w:rsidRPr="00D82D6B">
              <w:rPr>
                <w:b/>
                <w:bCs/>
                <w:u w:val="single"/>
              </w:rPr>
              <w:t>Vides aizsardzības un reģionālās attīstības ministrija</w:t>
            </w:r>
            <w:r w:rsidR="0070404D">
              <w:rPr>
                <w:b/>
                <w:bCs/>
                <w:u w:val="single"/>
              </w:rPr>
              <w:t xml:space="preserve">                </w:t>
            </w:r>
            <w:r w:rsidR="0070404D">
              <w:rPr>
                <w:b/>
                <w:bCs/>
                <w:u w:val="single"/>
              </w:rPr>
              <w:t>(Atz. 14.10.2020)</w:t>
            </w:r>
          </w:p>
          <w:p w14:paraId="5681D070" w14:textId="77777777" w:rsidR="009D41E0" w:rsidRPr="00D82D6B" w:rsidRDefault="009D41E0" w:rsidP="009D41E0">
            <w:pPr>
              <w:spacing w:before="120" w:after="120"/>
              <w:jc w:val="both"/>
              <w:rPr>
                <w:color w:val="000000" w:themeColor="text1"/>
              </w:rPr>
            </w:pPr>
            <w:r w:rsidRPr="00D82D6B">
              <w:rPr>
                <w:color w:val="000000" w:themeColor="text1"/>
              </w:rPr>
              <w:t xml:space="preserve">Lūdzam noteikumu projektā izmantot 30 secīgu gadu periodu atbilstoši Pasaules Meteoroloģijas organizācijas vadlīnijām, jo būvnormatīvā LBN 003-19 “Būvklimatoloģija” ir iekļauts arī valsts SIA “Latvijas Vides, ģeoloģijas un meteoroloģijas centrs”” 2019.gada pirmajā būvnormatīvā LBN 003-19 "Būvklimatoloģija" atjaunošanas posmā izstrādātais nodevums, kas tika sagatavots balstoties uz 30 gadu periodu. Pretējā gadījumā meteoroloģisko datu rezultāti nav salīdzināmi. </w:t>
            </w:r>
          </w:p>
          <w:p w14:paraId="04F220F9" w14:textId="77777777" w:rsidR="009D41E0" w:rsidRPr="00D82D6B" w:rsidRDefault="009D41E0" w:rsidP="009D41E0">
            <w:pPr>
              <w:jc w:val="both"/>
              <w:rPr>
                <w:b/>
                <w:bCs/>
              </w:rPr>
            </w:pPr>
          </w:p>
        </w:tc>
        <w:tc>
          <w:tcPr>
            <w:tcW w:w="3544" w:type="dxa"/>
            <w:tcBorders>
              <w:top w:val="single" w:sz="6" w:space="0" w:color="000000"/>
              <w:left w:val="single" w:sz="6" w:space="0" w:color="000000"/>
              <w:bottom w:val="single" w:sz="6" w:space="0" w:color="000000"/>
              <w:right w:val="single" w:sz="6" w:space="0" w:color="000000"/>
            </w:tcBorders>
          </w:tcPr>
          <w:p w14:paraId="24DA9540" w14:textId="15C9BAEC" w:rsidR="009D41E0" w:rsidRPr="00D82D6B" w:rsidRDefault="009D41E0" w:rsidP="009D41E0">
            <w:pPr>
              <w:jc w:val="center"/>
              <w:rPr>
                <w:b/>
                <w:bCs/>
                <w:u w:val="single"/>
              </w:rPr>
            </w:pPr>
            <w:r w:rsidRPr="00D82D6B">
              <w:rPr>
                <w:b/>
                <w:bCs/>
                <w:u w:val="single"/>
              </w:rPr>
              <w:t>Nav ņemts vērā</w:t>
            </w:r>
          </w:p>
          <w:p w14:paraId="709C7145" w14:textId="77777777" w:rsidR="009D41E0" w:rsidRPr="00D82D6B" w:rsidRDefault="009D41E0" w:rsidP="009D41E0">
            <w:pPr>
              <w:jc w:val="both"/>
            </w:pPr>
            <w:r w:rsidRPr="00D82D6B">
              <w:t>Izstrādājot iepriekšējos grozījumus būvnormatīvā LBN 003-19 “Būvklimatoloģija” valsts SIA “Latvijas Vides, ģeoloģijas un meteoroloģijas centrs”” atjaunoja klimatoloģiskos datus laika posmā no 1989.-2018.gadam. Arī šajos grozījumos ir atjaunoti dati par meteoroloģiskajiem apstākļiem Latvijā laika posmā no 1989.-2018.gadam (30 gadu periods). LBN 003-19 “Būvklimatoloģija” izmanto galvenokārt projektētāji, tāpēc ir svarīgi, lai būtu atjaunoti klimatoloģiskie dati pēc iespējas tuvākam laika posmam mūsdienām.</w:t>
            </w:r>
          </w:p>
          <w:p w14:paraId="57E79073" w14:textId="7714BF01" w:rsidR="009D41E0" w:rsidRPr="00D82D6B" w:rsidRDefault="009D41E0" w:rsidP="009D41E0">
            <w:pPr>
              <w:jc w:val="center"/>
            </w:pPr>
            <w:r w:rsidRPr="00D82D6B">
              <w:tab/>
            </w:r>
          </w:p>
        </w:tc>
        <w:tc>
          <w:tcPr>
            <w:tcW w:w="2410" w:type="dxa"/>
            <w:tcBorders>
              <w:top w:val="single" w:sz="4" w:space="0" w:color="auto"/>
              <w:left w:val="single" w:sz="4" w:space="0" w:color="auto"/>
              <w:bottom w:val="single" w:sz="4" w:space="0" w:color="auto"/>
              <w:right w:val="single" w:sz="4" w:space="0" w:color="auto"/>
            </w:tcBorders>
          </w:tcPr>
          <w:p w14:paraId="699D7B1E" w14:textId="77777777" w:rsidR="009D41E0" w:rsidRPr="008B7455" w:rsidRDefault="009D41E0" w:rsidP="009D41E0">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59892AF4" w14:textId="79E0C485" w:rsidR="009D41E0" w:rsidRDefault="00F635E1" w:rsidP="00F635E1">
            <w:pPr>
              <w:jc w:val="both"/>
              <w:rPr>
                <w:color w:val="414142"/>
                <w:shd w:val="clear" w:color="auto" w:fill="FFFFFF"/>
              </w:rPr>
            </w:pPr>
            <w:r>
              <w:rPr>
                <w:color w:val="414142"/>
                <w:shd w:val="clear" w:color="auto" w:fill="FFFFFF"/>
              </w:rPr>
              <w:t>A</w:t>
            </w:r>
            <w:r w:rsidRPr="00F635E1">
              <w:rPr>
                <w:color w:val="414142"/>
                <w:shd w:val="clear" w:color="auto" w:fill="FFFFFF"/>
              </w:rPr>
              <w:t>tjauno</w:t>
            </w:r>
            <w:r>
              <w:rPr>
                <w:color w:val="414142"/>
                <w:shd w:val="clear" w:color="auto" w:fill="FFFFFF"/>
              </w:rPr>
              <w:t xml:space="preserve">tie </w:t>
            </w:r>
            <w:r w:rsidRPr="00F635E1">
              <w:rPr>
                <w:color w:val="414142"/>
                <w:shd w:val="clear" w:color="auto" w:fill="FFFFFF"/>
              </w:rPr>
              <w:t xml:space="preserve"> klimatoloģisk</w:t>
            </w:r>
            <w:r>
              <w:rPr>
                <w:color w:val="414142"/>
                <w:shd w:val="clear" w:color="auto" w:fill="FFFFFF"/>
              </w:rPr>
              <w:t>ie</w:t>
            </w:r>
            <w:r w:rsidRPr="00F635E1">
              <w:rPr>
                <w:color w:val="414142"/>
                <w:shd w:val="clear" w:color="auto" w:fill="FFFFFF"/>
              </w:rPr>
              <w:t xml:space="preserve"> dat</w:t>
            </w:r>
            <w:r>
              <w:rPr>
                <w:color w:val="414142"/>
                <w:shd w:val="clear" w:color="auto" w:fill="FFFFFF"/>
              </w:rPr>
              <w:t>i</w:t>
            </w:r>
            <w:r w:rsidRPr="00F635E1">
              <w:rPr>
                <w:color w:val="414142"/>
                <w:shd w:val="clear" w:color="auto" w:fill="FFFFFF"/>
              </w:rPr>
              <w:t xml:space="preserve"> laika posmā no 1989.-2018.gadam</w:t>
            </w:r>
            <w:r w:rsidR="002D0965">
              <w:rPr>
                <w:color w:val="414142"/>
                <w:shd w:val="clear" w:color="auto" w:fill="FFFFFF"/>
              </w:rPr>
              <w:t>, kas ir tāds pats laika posms, iepriekš veiktajiem grozījumiem,</w:t>
            </w:r>
            <w:bookmarkStart w:id="2" w:name="_GoBack"/>
            <w:bookmarkEnd w:id="2"/>
            <w:r>
              <w:rPr>
                <w:color w:val="414142"/>
                <w:shd w:val="clear" w:color="auto" w:fill="FFFFFF"/>
              </w:rPr>
              <w:t xml:space="preserve"> sastāda 30 gadu periodu un tas </w:t>
            </w:r>
            <w:r w:rsidR="002D0965">
              <w:rPr>
                <w:color w:val="414142"/>
                <w:shd w:val="clear" w:color="auto" w:fill="FFFFFF"/>
              </w:rPr>
              <w:t>svarīgi</w:t>
            </w:r>
            <w:r>
              <w:rPr>
                <w:color w:val="414142"/>
                <w:shd w:val="clear" w:color="auto" w:fill="FFFFFF"/>
              </w:rPr>
              <w:t>, lai būvspeciālisti aprēķinos izmantotu datus pēc iespējas  tuvākus mūsdienām.</w:t>
            </w:r>
          </w:p>
        </w:tc>
      </w:tr>
      <w:tr w:rsidR="0070404D" w:rsidRPr="008B7455" w14:paraId="28D9410C" w14:textId="77777777" w:rsidTr="00335D20">
        <w:tc>
          <w:tcPr>
            <w:tcW w:w="675" w:type="dxa"/>
            <w:tcBorders>
              <w:top w:val="single" w:sz="6" w:space="0" w:color="000000"/>
              <w:left w:val="single" w:sz="6" w:space="0" w:color="000000"/>
              <w:bottom w:val="single" w:sz="6" w:space="0" w:color="000000"/>
              <w:right w:val="single" w:sz="6" w:space="0" w:color="000000"/>
            </w:tcBorders>
          </w:tcPr>
          <w:p w14:paraId="4F1DAF41" w14:textId="18D31EE1" w:rsidR="0070404D" w:rsidRPr="008B7455" w:rsidRDefault="00F635E1" w:rsidP="009D41E0">
            <w:pPr>
              <w:pStyle w:val="naisc"/>
              <w:spacing w:before="0" w:after="0"/>
              <w:ind w:left="57" w:right="57"/>
              <w:contextualSpacing/>
              <w:jc w:val="left"/>
              <w:rPr>
                <w:sz w:val="22"/>
                <w:szCs w:val="22"/>
              </w:rPr>
            </w:pPr>
            <w:r>
              <w:rPr>
                <w:sz w:val="22"/>
                <w:szCs w:val="22"/>
              </w:rPr>
              <w:t>3.</w:t>
            </w:r>
          </w:p>
        </w:tc>
        <w:tc>
          <w:tcPr>
            <w:tcW w:w="2660" w:type="dxa"/>
            <w:tcBorders>
              <w:top w:val="single" w:sz="6" w:space="0" w:color="000000"/>
              <w:left w:val="single" w:sz="6" w:space="0" w:color="000000"/>
              <w:bottom w:val="single" w:sz="6" w:space="0" w:color="000000"/>
              <w:right w:val="single" w:sz="6" w:space="0" w:color="000000"/>
            </w:tcBorders>
          </w:tcPr>
          <w:p w14:paraId="40D92788" w14:textId="77777777" w:rsidR="0070404D" w:rsidRPr="008B7455" w:rsidRDefault="0070404D" w:rsidP="009D41E0">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440D06C5" w14:textId="51094FA6" w:rsidR="0070404D" w:rsidRPr="00D82D6B" w:rsidRDefault="0070404D" w:rsidP="0070404D">
            <w:pPr>
              <w:shd w:val="clear" w:color="auto" w:fill="FFFFFF"/>
              <w:jc w:val="center"/>
              <w:rPr>
                <w:b/>
                <w:bCs/>
                <w:u w:val="single"/>
              </w:rPr>
            </w:pPr>
            <w:r w:rsidRPr="00D82D6B">
              <w:rPr>
                <w:b/>
                <w:bCs/>
                <w:u w:val="single"/>
              </w:rPr>
              <w:t>Vides aizsardzības un reģionālās attīstības ministrija</w:t>
            </w:r>
            <w:r>
              <w:rPr>
                <w:b/>
                <w:bCs/>
                <w:u w:val="single"/>
              </w:rPr>
              <w:t xml:space="preserve"> (Atz.22.12.2020.)</w:t>
            </w:r>
          </w:p>
          <w:p w14:paraId="65CE5ADB" w14:textId="3C0C5A7E" w:rsidR="0070404D" w:rsidRPr="0070404D" w:rsidRDefault="0070404D" w:rsidP="0070404D">
            <w:pPr>
              <w:shd w:val="clear" w:color="auto" w:fill="FFFFFF"/>
              <w:jc w:val="both"/>
            </w:pPr>
            <w:r w:rsidRPr="0070404D">
              <w:t>S</w:t>
            </w:r>
            <w:r w:rsidRPr="0070404D">
              <w:t xml:space="preserve">agatavot Ministru kabineta sēdes protokollēmuma projektu, kurā tiek iekļauts uzdevums EM līdz 2021. gada 31.decembrim atjaunot un regulāri pārskatīt (piemēram, ik pēc 5 gadiem) būvklimatoģijā </w:t>
            </w:r>
            <w:r w:rsidRPr="0070404D">
              <w:lastRenderedPageBreak/>
              <w:t>izmantotos klimatiskos datus un attiecīgi atjaunot noteikumus</w:t>
            </w:r>
            <w:r>
              <w:t>.</w:t>
            </w:r>
          </w:p>
        </w:tc>
        <w:tc>
          <w:tcPr>
            <w:tcW w:w="3544" w:type="dxa"/>
            <w:tcBorders>
              <w:top w:val="single" w:sz="6" w:space="0" w:color="000000"/>
              <w:left w:val="single" w:sz="6" w:space="0" w:color="000000"/>
              <w:bottom w:val="single" w:sz="6" w:space="0" w:color="000000"/>
              <w:right w:val="single" w:sz="6" w:space="0" w:color="000000"/>
            </w:tcBorders>
          </w:tcPr>
          <w:p w14:paraId="46BBF142" w14:textId="364FBC72" w:rsidR="00BB4AA9" w:rsidRPr="00BB4AA9" w:rsidRDefault="00F635E1" w:rsidP="00BB4AA9">
            <w:pPr>
              <w:jc w:val="center"/>
              <w:rPr>
                <w:b/>
                <w:bCs/>
                <w:u w:val="single"/>
              </w:rPr>
            </w:pPr>
            <w:r w:rsidRPr="00BB4AA9">
              <w:rPr>
                <w:b/>
                <w:bCs/>
                <w:u w:val="single"/>
              </w:rPr>
              <w:lastRenderedPageBreak/>
              <w:t xml:space="preserve">Nav ņemts </w:t>
            </w:r>
            <w:r w:rsidR="00BB4AA9">
              <w:rPr>
                <w:b/>
                <w:bCs/>
                <w:u w:val="single"/>
              </w:rPr>
              <w:t>vē</w:t>
            </w:r>
            <w:r w:rsidRPr="00BB4AA9">
              <w:rPr>
                <w:b/>
                <w:bCs/>
                <w:u w:val="single"/>
              </w:rPr>
              <w:t>rā</w:t>
            </w:r>
          </w:p>
          <w:p w14:paraId="38806438" w14:textId="12C911C8" w:rsidR="0070404D" w:rsidRPr="00BB4AA9" w:rsidRDefault="00BB4AA9" w:rsidP="00BB4AA9">
            <w:pPr>
              <w:jc w:val="both"/>
            </w:pPr>
            <w:r w:rsidRPr="00BB4AA9">
              <w:t xml:space="preserve">Uzdevums Ekonomikas ministrijai līdz 2021.gada 31.decembrim atjaunot un regulāri pārskatīt klimatoloģiskos datus </w:t>
            </w:r>
            <w:r w:rsidR="00F635E1" w:rsidRPr="00BB4AA9">
              <w:t>reizi 5 gados</w:t>
            </w:r>
            <w:r>
              <w:t xml:space="preserve">, tas nozīmē </w:t>
            </w:r>
            <w:r w:rsidR="00F635E1" w:rsidRPr="00BB4AA9">
              <w:t>ārpakalpojumā pasūtīt klimatisko datu aktualizāciju</w:t>
            </w:r>
            <w:r>
              <w:t xml:space="preserve">, </w:t>
            </w:r>
            <w:r w:rsidRPr="00BB4AA9">
              <w:t>ir finansiāli ietilpīgs</w:t>
            </w:r>
            <w:r>
              <w:t>,</w:t>
            </w:r>
            <w:r w:rsidRPr="00BB4AA9">
              <w:t xml:space="preserve"> </w:t>
            </w:r>
            <w:r>
              <w:t>ne</w:t>
            </w:r>
            <w:r w:rsidR="00F635E1" w:rsidRPr="00BB4AA9">
              <w:t>lietderīg</w:t>
            </w:r>
            <w:r>
              <w:t>s</w:t>
            </w:r>
            <w:r w:rsidR="00F635E1" w:rsidRPr="00BB4AA9">
              <w:t xml:space="preserve"> </w:t>
            </w:r>
            <w:r>
              <w:t>un</w:t>
            </w:r>
            <w:r w:rsidR="00F635E1" w:rsidRPr="00BB4AA9">
              <w:t xml:space="preserve"> </w:t>
            </w:r>
            <w:r>
              <w:t>ne</w:t>
            </w:r>
            <w:r w:rsidR="00F635E1" w:rsidRPr="00BB4AA9">
              <w:t>pamatot</w:t>
            </w:r>
            <w:r>
              <w:t>s</w:t>
            </w:r>
            <w:r w:rsidR="00F635E1" w:rsidRPr="00BB4AA9">
              <w:t>.</w:t>
            </w:r>
          </w:p>
        </w:tc>
        <w:tc>
          <w:tcPr>
            <w:tcW w:w="2410" w:type="dxa"/>
            <w:tcBorders>
              <w:top w:val="single" w:sz="4" w:space="0" w:color="auto"/>
              <w:left w:val="single" w:sz="4" w:space="0" w:color="auto"/>
              <w:bottom w:val="single" w:sz="4" w:space="0" w:color="auto"/>
              <w:right w:val="single" w:sz="4" w:space="0" w:color="auto"/>
            </w:tcBorders>
          </w:tcPr>
          <w:p w14:paraId="309177F6" w14:textId="77777777" w:rsidR="0070404D" w:rsidRPr="008B7455" w:rsidRDefault="0070404D" w:rsidP="009D41E0">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57B3D402" w14:textId="77777777" w:rsidR="0070404D" w:rsidRDefault="0070404D" w:rsidP="009D41E0">
            <w:pPr>
              <w:jc w:val="center"/>
              <w:rPr>
                <w:color w:val="414142"/>
                <w:shd w:val="clear" w:color="auto" w:fill="FFFFFF"/>
              </w:rPr>
            </w:pPr>
          </w:p>
        </w:tc>
      </w:tr>
      <w:tr w:rsidR="0070404D" w:rsidRPr="008B7455" w14:paraId="74A27F3E" w14:textId="77777777" w:rsidTr="003E2FF0">
        <w:tc>
          <w:tcPr>
            <w:tcW w:w="15443" w:type="dxa"/>
            <w:gridSpan w:val="6"/>
            <w:tcBorders>
              <w:top w:val="single" w:sz="6" w:space="0" w:color="000000"/>
              <w:left w:val="single" w:sz="6" w:space="0" w:color="000000"/>
              <w:bottom w:val="single" w:sz="6" w:space="0" w:color="000000"/>
            </w:tcBorders>
          </w:tcPr>
          <w:p w14:paraId="16DB42E8" w14:textId="7DB93FD2" w:rsidR="0070404D" w:rsidRPr="0070404D" w:rsidRDefault="0070404D" w:rsidP="0070404D">
            <w:pPr>
              <w:rPr>
                <w:b/>
                <w:bCs/>
                <w:color w:val="414142"/>
                <w:shd w:val="clear" w:color="auto" w:fill="FFFFFF"/>
              </w:rPr>
            </w:pPr>
            <w:r w:rsidRPr="0070404D">
              <w:rPr>
                <w:b/>
                <w:bCs/>
                <w:color w:val="414142"/>
                <w:shd w:val="clear" w:color="auto" w:fill="FFFFFF"/>
              </w:rPr>
              <w:t>Anotācija</w:t>
            </w:r>
          </w:p>
        </w:tc>
      </w:tr>
      <w:tr w:rsidR="0070404D" w:rsidRPr="008B7455" w14:paraId="5B2AB605" w14:textId="77777777" w:rsidTr="00335D20">
        <w:tc>
          <w:tcPr>
            <w:tcW w:w="675" w:type="dxa"/>
            <w:tcBorders>
              <w:top w:val="single" w:sz="6" w:space="0" w:color="000000"/>
              <w:left w:val="single" w:sz="6" w:space="0" w:color="000000"/>
              <w:bottom w:val="single" w:sz="6" w:space="0" w:color="000000"/>
              <w:right w:val="single" w:sz="6" w:space="0" w:color="000000"/>
            </w:tcBorders>
          </w:tcPr>
          <w:p w14:paraId="57307C4A" w14:textId="1CC4F0C2" w:rsidR="0070404D" w:rsidRPr="008B7455" w:rsidRDefault="00F635E1" w:rsidP="009D41E0">
            <w:pPr>
              <w:pStyle w:val="naisc"/>
              <w:spacing w:before="0" w:after="0"/>
              <w:ind w:left="57" w:right="57"/>
              <w:contextualSpacing/>
              <w:jc w:val="left"/>
              <w:rPr>
                <w:sz w:val="22"/>
                <w:szCs w:val="22"/>
              </w:rPr>
            </w:pPr>
            <w:r>
              <w:rPr>
                <w:sz w:val="22"/>
                <w:szCs w:val="22"/>
              </w:rPr>
              <w:t>1.</w:t>
            </w:r>
          </w:p>
        </w:tc>
        <w:tc>
          <w:tcPr>
            <w:tcW w:w="2660" w:type="dxa"/>
            <w:tcBorders>
              <w:top w:val="single" w:sz="6" w:space="0" w:color="000000"/>
              <w:left w:val="single" w:sz="6" w:space="0" w:color="000000"/>
              <w:bottom w:val="single" w:sz="6" w:space="0" w:color="000000"/>
              <w:right w:val="single" w:sz="6" w:space="0" w:color="000000"/>
            </w:tcBorders>
          </w:tcPr>
          <w:p w14:paraId="7A1D1359" w14:textId="77777777" w:rsidR="0070404D" w:rsidRPr="008B7455" w:rsidRDefault="0070404D" w:rsidP="009D41E0">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78A4F2E7" w14:textId="77777777" w:rsidR="0070404D" w:rsidRPr="00D82D6B" w:rsidRDefault="0070404D" w:rsidP="0070404D">
            <w:pPr>
              <w:shd w:val="clear" w:color="auto" w:fill="FFFFFF"/>
              <w:jc w:val="center"/>
              <w:rPr>
                <w:b/>
                <w:bCs/>
                <w:u w:val="single"/>
              </w:rPr>
            </w:pPr>
            <w:r w:rsidRPr="00D82D6B">
              <w:rPr>
                <w:b/>
                <w:bCs/>
                <w:u w:val="single"/>
              </w:rPr>
              <w:t>Vides aizsardzības un reģionālās attīstības ministrija</w:t>
            </w:r>
            <w:r>
              <w:rPr>
                <w:b/>
                <w:bCs/>
                <w:u w:val="single"/>
              </w:rPr>
              <w:t xml:space="preserve"> (Atz.22.12.2020.)</w:t>
            </w:r>
          </w:p>
          <w:p w14:paraId="487C2FD3" w14:textId="17B0DBF6" w:rsidR="0070404D" w:rsidRPr="0070404D" w:rsidRDefault="0070404D" w:rsidP="0070404D">
            <w:pPr>
              <w:shd w:val="clear" w:color="auto" w:fill="FFFFFF"/>
              <w:jc w:val="both"/>
              <w:rPr>
                <w:b/>
                <w:bCs/>
                <w:u w:val="single"/>
              </w:rPr>
            </w:pPr>
            <w:r w:rsidRPr="0070404D">
              <w:rPr>
                <w:color w:val="000000" w:themeColor="text1"/>
              </w:rPr>
              <w:t>P</w:t>
            </w:r>
            <w:r w:rsidRPr="0070404D">
              <w:rPr>
                <w:color w:val="000000" w:themeColor="text1"/>
              </w:rPr>
              <w:t>apildināt tiesību akta sākotnējā izvērtējuma (anotāciju) pirmās sadaļas 2. punktu ar šādu tekstu: “Noteikumu projekta izstrādē stacijām Ainaži, Bauska, Gulbene, Jelgava, Mērsrags, Priekuļi, Pāvilosta, Rēzekne, Rūjiena, Skulte, Stende, Ventspils, Zosēni un Zīlāni netika izmantoti meteoroloģisko novērojumu dati par laika periodu no 2010. gada 1. janvāra līdz 2012. gada 31. decembrim. Trīs gadu novērojumu datu neizmantošana var ietekmēt būvniecības aprēķinus un sniegt rezultātus, kas neprecīzi raksturo Latvijas klimatu un tā ietekmi uz būvniecību, piemēram, būvkonstrukcijām, inženiertīkliem, ceļu būvei, ēku energoefektivitātes novērtēšanai u.tml, kā arī var ietekmēt citas ar būvniecību saistītas jomas, kurās tiek izmantoti</w:t>
            </w:r>
            <w:r w:rsidRPr="0070404D">
              <w:t xml:space="preserve"> </w:t>
            </w:r>
            <w:r w:rsidRPr="0070404D">
              <w:rPr>
                <w:color w:val="000000" w:themeColor="text1"/>
              </w:rPr>
              <w:t xml:space="preserve">būvnormatīvā LBN 003–19 “Būvklimatoloģija” noteiktie dati. </w:t>
            </w:r>
            <w:r w:rsidRPr="0070404D">
              <w:rPr>
                <w:color w:val="000000" w:themeColor="text1"/>
              </w:rPr>
              <w:lastRenderedPageBreak/>
              <w:t xml:space="preserve">Ietekme ir saistāma ar to, ka 2010. gada ziema bija auksta – janvāris bija aukstākais pēdējos 30 gados, un kopumā gads bija ar otro biezāko sniega segu pēdējos 50 gados. 2011. un 2012. gada februāra mēneši bija aukstākie noteikumu projektā apskatītajā laika periodā. Līdzīgi netika izmantoti nokrišņu daudzuma novērojumu dati par 2010.-2012. gadu periodu, lai gan 2010. un 2012. gads bija attiecīgi otrais un trešais mitrākais gads Latvijas novērojumu vēsturē. Vienlaikus jāņem vērā, ka, Latvijas teritorijā ir novērojama kopējās atmosfēras nokrišņu summas palielināšanās. Dienu skaits ar stipriem un ļoti stipriem nokrišņiem kopš 1961. gada ir pieaudzis par attiecīgi vidēji divām un vienu dienu. Tiek prognozēts, ka nokrišņu daudzums, kā arī dienu skaits ar stipriem un ļoti stipriem nokrišņiem pieaugs arī turpmāk. Līdz 21. gadsimta beigām tiek prognozēts gada kopējā nokrišņu daudzuma palielinājums par 10 līdz 21% (aptuveni 80 – 100 mm). Sezonālā griezumā vislielākais </w:t>
            </w:r>
            <w:r w:rsidRPr="0070404D">
              <w:rPr>
                <w:color w:val="000000" w:themeColor="text1"/>
              </w:rPr>
              <w:lastRenderedPageBreak/>
              <w:t>nokrišņu daudzuma palielinājums gaidāms ziemas un pavasara sezonās.</w:t>
            </w:r>
          </w:p>
        </w:tc>
        <w:tc>
          <w:tcPr>
            <w:tcW w:w="3544" w:type="dxa"/>
            <w:tcBorders>
              <w:top w:val="single" w:sz="6" w:space="0" w:color="000000"/>
              <w:left w:val="single" w:sz="6" w:space="0" w:color="000000"/>
              <w:bottom w:val="single" w:sz="6" w:space="0" w:color="000000"/>
              <w:right w:val="single" w:sz="6" w:space="0" w:color="000000"/>
            </w:tcBorders>
          </w:tcPr>
          <w:p w14:paraId="045C95FC" w14:textId="77777777" w:rsidR="0070404D" w:rsidRDefault="00BB4AA9" w:rsidP="009D41E0">
            <w:pPr>
              <w:jc w:val="center"/>
              <w:rPr>
                <w:b/>
                <w:bCs/>
                <w:u w:val="single"/>
              </w:rPr>
            </w:pPr>
            <w:r w:rsidRPr="00BB4AA9">
              <w:rPr>
                <w:b/>
                <w:bCs/>
                <w:u w:val="single"/>
              </w:rPr>
              <w:lastRenderedPageBreak/>
              <w:t>Nav ņemts vērā</w:t>
            </w:r>
          </w:p>
          <w:p w14:paraId="040C7E7A" w14:textId="77777777" w:rsidR="0008440E" w:rsidRDefault="0008440E" w:rsidP="0008440E">
            <w:pPr>
              <w:jc w:val="both"/>
            </w:pPr>
            <w:r w:rsidRPr="0008440E">
              <w:t xml:space="preserve">Ņemot vērā, ka </w:t>
            </w:r>
            <w:r>
              <w:t xml:space="preserve"> </w:t>
            </w:r>
            <w:r w:rsidRPr="0008440E">
              <w:t>dati par laika periodu no 2010.gada 1.janvāra līdz 2012.gada 31.decembrim, nebija publiski pieejami</w:t>
            </w:r>
            <w:r>
              <w:t xml:space="preserve">,  </w:t>
            </w:r>
            <w:r>
              <w:t>tāpēc tika sagatavoti atjaunoti klimatoloģiskie dati</w:t>
            </w:r>
            <w:r w:rsidRPr="00D82D6B">
              <w:t>, balstoties uz pieejam</w:t>
            </w:r>
            <w:r>
              <w:t>iem</w:t>
            </w:r>
            <w:r w:rsidRPr="00D82D6B">
              <w:t xml:space="preserve"> dat</w:t>
            </w:r>
            <w:r>
              <w:t>iem</w:t>
            </w:r>
            <w:r w:rsidRPr="00D82D6B">
              <w:t xml:space="preserve"> un novēroj</w:t>
            </w:r>
            <w:r>
              <w:t>u</w:t>
            </w:r>
            <w:r w:rsidRPr="00D82D6B">
              <w:t>m</w:t>
            </w:r>
            <w:r>
              <w:t>u</w:t>
            </w:r>
            <w:r w:rsidRPr="00D82D6B">
              <w:t xml:space="preserve"> analīzi</w:t>
            </w:r>
            <w:r>
              <w:t>. Tika</w:t>
            </w:r>
            <w:r w:rsidRPr="00D82D6B">
              <w:t xml:space="preserve"> izdarī</w:t>
            </w:r>
            <w:r>
              <w:t>ti</w:t>
            </w:r>
            <w:r w:rsidRPr="00D82D6B">
              <w:t xml:space="preserve"> pieņēmum</w:t>
            </w:r>
            <w:r>
              <w:t>i</w:t>
            </w:r>
            <w:r w:rsidRPr="00D82D6B">
              <w:t xml:space="preserve"> un sagatavo</w:t>
            </w:r>
            <w:r>
              <w:t>ti</w:t>
            </w:r>
            <w:r w:rsidRPr="00D82D6B">
              <w:t xml:space="preserve"> </w:t>
            </w:r>
            <w:r w:rsidRPr="00D82D6B">
              <w:t>aktualizēt</w:t>
            </w:r>
            <w:r>
              <w:t>ie</w:t>
            </w:r>
            <w:r w:rsidRPr="00D82D6B">
              <w:t xml:space="preserve"> dat</w:t>
            </w:r>
            <w:r>
              <w:t>i</w:t>
            </w:r>
            <w:r w:rsidRPr="00D82D6B">
              <w:t xml:space="preserve">. </w:t>
            </w:r>
          </w:p>
          <w:p w14:paraId="74A3A1E3" w14:textId="479D69D9" w:rsidR="0008440E" w:rsidRDefault="0008440E" w:rsidP="0008440E">
            <w:pPr>
              <w:jc w:val="both"/>
            </w:pPr>
            <w:r>
              <w:t xml:space="preserve">Tādēļ tika </w:t>
            </w:r>
            <w:r w:rsidRPr="0008440E">
              <w:t>izvērtēt</w:t>
            </w:r>
            <w:r>
              <w:t>s,</w:t>
            </w:r>
            <w:r w:rsidRPr="0008440E">
              <w:t xml:space="preserve"> vai šāda datu nepieejamība neietekmē sagatavoto datu kvalitāti.  Lai to noteiktu, aplūkotas 8 stacijas, kurās nav 3 gadu datu iztrūkuma. Katras stacijas katram mēnesim tika aprēķinātas vidējās diennakts temperatūras amplitūdas visam periodam, kā arī visam periodam, no kura izņemtas visas iespējamās 3 gadu kombinācijas (pavisam 4060 kombinācijas). Aprēķinu rezultāti atspoguļoti visām 8 stacijām un 12 mēnešiem.  Veicot analīzi 8 stacijās, kurās pieejamas pilnas datu rindas, 2010-2012 gadu datu atmešana nemaina klimatiskās mēnešu vidējās </w:t>
            </w:r>
            <w:r w:rsidRPr="0008440E">
              <w:lastRenderedPageBreak/>
              <w:t>diennakts temperatūras amplitūdas vērtības. Tādēļ nav pamata pieņemt, ka pārējās stacijās šo gadu datu atmešana varētu izraisīt vērā ņemamas aprēķinu rezultātu atšķirības, jo 8 analizētās stacijas labi reprezentē Latvijas klimatiskās atšķirības.</w:t>
            </w:r>
          </w:p>
          <w:p w14:paraId="5F437A1B" w14:textId="0B274C50" w:rsidR="0008440E" w:rsidRPr="0008440E" w:rsidRDefault="0008440E" w:rsidP="0008440E">
            <w:pPr>
              <w:jc w:val="both"/>
            </w:pPr>
            <w:r w:rsidRPr="00D82D6B">
              <w:t>Atjaunotie klimatoloģiskie dati, salīdzinot ar patreizējā regulējumā esošajiem, un pat ņemot vērā datu iztrūkumu, ir daudz precīzāki un būvspeciālistiem tie būtiski neietekmē aprēķinu rezultātus</w:t>
            </w:r>
            <w:r>
              <w:t>, ņemot vērā arī klimata pārmaiņas</w:t>
            </w:r>
            <w:r w:rsidRPr="00D82D6B">
              <w:t>.</w:t>
            </w:r>
          </w:p>
        </w:tc>
        <w:tc>
          <w:tcPr>
            <w:tcW w:w="2410" w:type="dxa"/>
            <w:tcBorders>
              <w:top w:val="single" w:sz="4" w:space="0" w:color="auto"/>
              <w:left w:val="single" w:sz="4" w:space="0" w:color="auto"/>
              <w:bottom w:val="single" w:sz="4" w:space="0" w:color="auto"/>
              <w:right w:val="single" w:sz="4" w:space="0" w:color="auto"/>
            </w:tcBorders>
          </w:tcPr>
          <w:p w14:paraId="3AB05073" w14:textId="77777777" w:rsidR="0070404D" w:rsidRPr="008B7455" w:rsidRDefault="0070404D" w:rsidP="009D41E0">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190B222C" w14:textId="56A0BD45" w:rsidR="0070404D" w:rsidRDefault="00BB4AA9" w:rsidP="00BB4AA9">
            <w:pPr>
              <w:jc w:val="both"/>
              <w:rPr>
                <w:color w:val="414142"/>
                <w:shd w:val="clear" w:color="auto" w:fill="FFFFFF"/>
              </w:rPr>
            </w:pPr>
            <w:r>
              <w:t xml:space="preserve">Ekonomikas ministrijas un </w:t>
            </w:r>
            <w:r w:rsidRPr="004F01A6">
              <w:t>sertificēšanas institūciju (Latvijas Būvinženieru savienības, Latvijas Siltuma, gāzes un ūdens tehnoloģijas inženieru savienības), kā arī Latvijas Būvkonstrukciju projektētāju asociācijas paustais viedoklis par atjaunotajiem klimatoloģiskajiem datiem</w:t>
            </w:r>
            <w:r>
              <w:t xml:space="preserve"> ir, ka a</w:t>
            </w:r>
            <w:r w:rsidRPr="00D82D6B">
              <w:t>tjaunotie klimatoloģiskie dati, salīdzinot ar patreizējā regulējumā esošajiem, un pat ņemot vērā datu iztrūkumu, ir daudz precīzāki un būvspeciālistiem tie būtiski neietekmē aprēķinu rezultātus</w:t>
            </w:r>
            <w:r>
              <w:t>.</w:t>
            </w:r>
          </w:p>
        </w:tc>
      </w:tr>
    </w:tbl>
    <w:p w14:paraId="3EF07580" w14:textId="77777777" w:rsidR="008350D9" w:rsidRPr="008B7455" w:rsidRDefault="008350D9" w:rsidP="008350D9">
      <w:pPr>
        <w:contextualSpacing/>
        <w:jc w:val="both"/>
        <w:outlineLvl w:val="0"/>
        <w:rPr>
          <w:sz w:val="22"/>
          <w:szCs w:val="22"/>
        </w:rPr>
      </w:pPr>
      <w:r w:rsidRPr="008B7455">
        <w:rPr>
          <w:sz w:val="22"/>
          <w:szCs w:val="22"/>
        </w:rPr>
        <w:lastRenderedPageBreak/>
        <w:t>Informācija par  starpministriju (starpinstitūciju) sanāksmi:</w:t>
      </w:r>
    </w:p>
    <w:tbl>
      <w:tblPr>
        <w:tblW w:w="15559" w:type="dxa"/>
        <w:tblLook w:val="00A0" w:firstRow="1" w:lastRow="0" w:firstColumn="1" w:lastColumn="0" w:noHBand="0" w:noVBand="0"/>
      </w:tblPr>
      <w:tblGrid>
        <w:gridCol w:w="3936"/>
        <w:gridCol w:w="2772"/>
        <w:gridCol w:w="7859"/>
        <w:gridCol w:w="992"/>
      </w:tblGrid>
      <w:tr w:rsidR="008350D9" w:rsidRPr="008B7455" w14:paraId="78140E0A" w14:textId="77777777" w:rsidTr="00335D20">
        <w:trPr>
          <w:gridAfter w:val="1"/>
          <w:wAfter w:w="992" w:type="dxa"/>
        </w:trPr>
        <w:tc>
          <w:tcPr>
            <w:tcW w:w="3936" w:type="dxa"/>
          </w:tcPr>
          <w:p w14:paraId="29D88CDD" w14:textId="77777777" w:rsidR="008350D9" w:rsidRPr="008B7455" w:rsidRDefault="008350D9" w:rsidP="00335D20">
            <w:pPr>
              <w:contextualSpacing/>
              <w:jc w:val="both"/>
              <w:rPr>
                <w:sz w:val="22"/>
                <w:szCs w:val="22"/>
              </w:rPr>
            </w:pPr>
            <w:r w:rsidRPr="008B7455">
              <w:rPr>
                <w:sz w:val="22"/>
                <w:szCs w:val="22"/>
              </w:rPr>
              <w:t xml:space="preserve">Datums  </w:t>
            </w:r>
          </w:p>
        </w:tc>
        <w:tc>
          <w:tcPr>
            <w:tcW w:w="10631" w:type="dxa"/>
            <w:gridSpan w:val="2"/>
          </w:tcPr>
          <w:p w14:paraId="73A0BA32" w14:textId="77777777" w:rsidR="008350D9" w:rsidRPr="008B7455" w:rsidRDefault="008350D9" w:rsidP="00335D20">
            <w:pPr>
              <w:ind w:left="33"/>
              <w:contextualSpacing/>
              <w:jc w:val="both"/>
              <w:rPr>
                <w:sz w:val="22"/>
                <w:szCs w:val="22"/>
              </w:rPr>
            </w:pPr>
          </w:p>
        </w:tc>
      </w:tr>
      <w:tr w:rsidR="008350D9" w:rsidRPr="008B7455" w14:paraId="5A9A2705" w14:textId="77777777" w:rsidTr="00335D20">
        <w:trPr>
          <w:gridAfter w:val="1"/>
          <w:wAfter w:w="992" w:type="dxa"/>
          <w:trHeight w:val="135"/>
        </w:trPr>
        <w:tc>
          <w:tcPr>
            <w:tcW w:w="3936" w:type="dxa"/>
          </w:tcPr>
          <w:p w14:paraId="346B9BD5" w14:textId="77777777" w:rsidR="008350D9" w:rsidRPr="008B7455" w:rsidRDefault="008350D9" w:rsidP="00335D20">
            <w:pPr>
              <w:contextualSpacing/>
              <w:jc w:val="both"/>
              <w:rPr>
                <w:sz w:val="22"/>
                <w:szCs w:val="22"/>
              </w:rPr>
            </w:pPr>
          </w:p>
        </w:tc>
        <w:tc>
          <w:tcPr>
            <w:tcW w:w="10631" w:type="dxa"/>
            <w:gridSpan w:val="2"/>
          </w:tcPr>
          <w:p w14:paraId="1F45FA25" w14:textId="77777777" w:rsidR="008350D9" w:rsidRPr="008B7455" w:rsidRDefault="008350D9" w:rsidP="00335D20">
            <w:pPr>
              <w:contextualSpacing/>
              <w:rPr>
                <w:sz w:val="22"/>
                <w:szCs w:val="22"/>
              </w:rPr>
            </w:pPr>
          </w:p>
        </w:tc>
      </w:tr>
      <w:tr w:rsidR="008350D9" w:rsidRPr="008B7455" w14:paraId="1755D8FA" w14:textId="77777777" w:rsidTr="00335D20">
        <w:trPr>
          <w:gridAfter w:val="1"/>
          <w:wAfter w:w="992" w:type="dxa"/>
        </w:trPr>
        <w:tc>
          <w:tcPr>
            <w:tcW w:w="3936" w:type="dxa"/>
          </w:tcPr>
          <w:p w14:paraId="5322D968" w14:textId="77777777" w:rsidR="008350D9" w:rsidRPr="008B7455" w:rsidRDefault="008350D9" w:rsidP="00335D20">
            <w:pPr>
              <w:ind w:right="-108"/>
              <w:contextualSpacing/>
              <w:rPr>
                <w:sz w:val="22"/>
                <w:szCs w:val="22"/>
              </w:rPr>
            </w:pPr>
            <w:r w:rsidRPr="008B7455">
              <w:rPr>
                <w:sz w:val="22"/>
                <w:szCs w:val="22"/>
              </w:rPr>
              <w:t xml:space="preserve">Saskaņošanas dalībnieki   </w:t>
            </w:r>
          </w:p>
        </w:tc>
        <w:tc>
          <w:tcPr>
            <w:tcW w:w="10631" w:type="dxa"/>
            <w:gridSpan w:val="2"/>
          </w:tcPr>
          <w:p w14:paraId="7AFB576D" w14:textId="6DD73FD5" w:rsidR="008350D9" w:rsidRPr="006665B2" w:rsidRDefault="008350D9" w:rsidP="00335D20">
            <w:pPr>
              <w:rPr>
                <w:b/>
                <w:bCs/>
                <w:sz w:val="22"/>
                <w:szCs w:val="22"/>
              </w:rPr>
            </w:pPr>
            <w:r w:rsidRPr="006665B2">
              <w:rPr>
                <w:b/>
                <w:bCs/>
                <w:sz w:val="22"/>
                <w:szCs w:val="22"/>
              </w:rPr>
              <w:t xml:space="preserve">Tieslietu ministrija, Finanšu ministrija, Aizsardzības ministrija, Vides aizsardzības un reģionālās attīstības ministrija, </w:t>
            </w:r>
            <w:r w:rsidR="001D7EFB">
              <w:rPr>
                <w:b/>
                <w:bCs/>
                <w:sz w:val="22"/>
                <w:szCs w:val="22"/>
              </w:rPr>
              <w:t xml:space="preserve">Satiksmes ministrija, </w:t>
            </w:r>
            <w:r w:rsidRPr="006665B2">
              <w:rPr>
                <w:b/>
                <w:bCs/>
                <w:sz w:val="22"/>
                <w:szCs w:val="22"/>
              </w:rPr>
              <w:t>Latvijas Pašvaldību savienība</w:t>
            </w:r>
          </w:p>
        </w:tc>
      </w:tr>
      <w:tr w:rsidR="008350D9" w:rsidRPr="008B7455" w14:paraId="596CE104" w14:textId="77777777" w:rsidTr="00335D20">
        <w:trPr>
          <w:gridAfter w:val="1"/>
          <w:wAfter w:w="992" w:type="dxa"/>
        </w:trPr>
        <w:tc>
          <w:tcPr>
            <w:tcW w:w="3936" w:type="dxa"/>
          </w:tcPr>
          <w:p w14:paraId="5371A358" w14:textId="77777777" w:rsidR="008350D9" w:rsidRPr="008B7455" w:rsidRDefault="008350D9" w:rsidP="00335D20">
            <w:pPr>
              <w:contextualSpacing/>
              <w:rPr>
                <w:sz w:val="22"/>
                <w:szCs w:val="22"/>
              </w:rPr>
            </w:pPr>
          </w:p>
        </w:tc>
        <w:tc>
          <w:tcPr>
            <w:tcW w:w="10631" w:type="dxa"/>
            <w:gridSpan w:val="2"/>
          </w:tcPr>
          <w:p w14:paraId="49944D78" w14:textId="77777777" w:rsidR="008350D9" w:rsidRPr="006665B2" w:rsidRDefault="008350D9" w:rsidP="00335D20">
            <w:pPr>
              <w:ind w:left="33"/>
              <w:contextualSpacing/>
              <w:rPr>
                <w:sz w:val="22"/>
                <w:szCs w:val="22"/>
              </w:rPr>
            </w:pPr>
          </w:p>
        </w:tc>
      </w:tr>
      <w:tr w:rsidR="008350D9" w:rsidRPr="008B7455" w14:paraId="21FEAE0E" w14:textId="77777777" w:rsidTr="00335D20">
        <w:trPr>
          <w:gridAfter w:val="1"/>
          <w:wAfter w:w="992" w:type="dxa"/>
          <w:trHeight w:val="285"/>
        </w:trPr>
        <w:tc>
          <w:tcPr>
            <w:tcW w:w="6708" w:type="dxa"/>
            <w:gridSpan w:val="2"/>
          </w:tcPr>
          <w:p w14:paraId="410129EC" w14:textId="77777777" w:rsidR="008350D9" w:rsidRPr="008B7455" w:rsidRDefault="008350D9" w:rsidP="00335D20">
            <w:pPr>
              <w:contextualSpacing/>
              <w:rPr>
                <w:sz w:val="22"/>
                <w:szCs w:val="22"/>
              </w:rPr>
            </w:pPr>
            <w:r w:rsidRPr="008B7455">
              <w:rPr>
                <w:sz w:val="22"/>
                <w:szCs w:val="22"/>
              </w:rPr>
              <w:t>Saskaņošanas dalībnieki izskatīja šādu ministriju (citu institūciju) iebildumus</w:t>
            </w:r>
          </w:p>
        </w:tc>
        <w:tc>
          <w:tcPr>
            <w:tcW w:w="7859" w:type="dxa"/>
          </w:tcPr>
          <w:p w14:paraId="64B229E9" w14:textId="77777777" w:rsidR="008350D9" w:rsidRPr="008B7455" w:rsidRDefault="008350D9" w:rsidP="00335D20">
            <w:pPr>
              <w:rPr>
                <w:b/>
                <w:sz w:val="22"/>
                <w:szCs w:val="22"/>
              </w:rPr>
            </w:pPr>
          </w:p>
        </w:tc>
      </w:tr>
      <w:tr w:rsidR="008350D9" w:rsidRPr="008B7455" w14:paraId="36E06CC2" w14:textId="77777777" w:rsidTr="00335D20">
        <w:trPr>
          <w:trHeight w:val="95"/>
        </w:trPr>
        <w:tc>
          <w:tcPr>
            <w:tcW w:w="6708" w:type="dxa"/>
            <w:gridSpan w:val="2"/>
          </w:tcPr>
          <w:p w14:paraId="426823D4" w14:textId="77777777" w:rsidR="008350D9" w:rsidRPr="008B7455" w:rsidRDefault="008350D9" w:rsidP="00335D20">
            <w:pPr>
              <w:contextualSpacing/>
              <w:rPr>
                <w:sz w:val="22"/>
                <w:szCs w:val="22"/>
              </w:rPr>
            </w:pPr>
            <w:r w:rsidRPr="008B7455">
              <w:rPr>
                <w:sz w:val="22"/>
                <w:szCs w:val="22"/>
              </w:rPr>
              <w:t>Ministrijas (citas institūcijas), kuras nav ieradušās uz sanāksmi vai kuras nav atbildējušas uz uzaicinājumu piedalīties elektroniskajā saskaņošanā</w:t>
            </w:r>
          </w:p>
          <w:p w14:paraId="30336691" w14:textId="77777777" w:rsidR="008350D9" w:rsidRPr="008B7455" w:rsidRDefault="008350D9" w:rsidP="00335D20">
            <w:pPr>
              <w:contextualSpacing/>
              <w:rPr>
                <w:sz w:val="22"/>
                <w:szCs w:val="22"/>
              </w:rPr>
            </w:pPr>
          </w:p>
        </w:tc>
        <w:tc>
          <w:tcPr>
            <w:tcW w:w="8851" w:type="dxa"/>
            <w:gridSpan w:val="2"/>
          </w:tcPr>
          <w:p w14:paraId="3EF28764" w14:textId="77777777" w:rsidR="008350D9" w:rsidRPr="008B7455" w:rsidRDefault="008350D9" w:rsidP="00335D20">
            <w:pPr>
              <w:ind w:left="33" w:right="-108"/>
              <w:contextualSpacing/>
              <w:rPr>
                <w:b/>
                <w:sz w:val="22"/>
                <w:szCs w:val="22"/>
              </w:rPr>
            </w:pPr>
          </w:p>
          <w:p w14:paraId="7940E270" w14:textId="77777777" w:rsidR="008350D9" w:rsidRPr="008B7455" w:rsidRDefault="008350D9" w:rsidP="00335D20">
            <w:pPr>
              <w:ind w:left="33" w:right="-108"/>
              <w:contextualSpacing/>
              <w:rPr>
                <w:b/>
                <w:sz w:val="22"/>
                <w:szCs w:val="22"/>
              </w:rPr>
            </w:pPr>
          </w:p>
          <w:p w14:paraId="493BDE18" w14:textId="77777777" w:rsidR="008350D9" w:rsidRPr="008B7455" w:rsidRDefault="008350D9" w:rsidP="00335D20">
            <w:pPr>
              <w:ind w:left="33" w:right="-108"/>
              <w:contextualSpacing/>
              <w:rPr>
                <w:b/>
                <w:sz w:val="22"/>
                <w:szCs w:val="22"/>
              </w:rPr>
            </w:pPr>
          </w:p>
          <w:p w14:paraId="18C41EDB" w14:textId="77777777" w:rsidR="008350D9" w:rsidRPr="008B7455" w:rsidRDefault="008350D9" w:rsidP="00335D20">
            <w:pPr>
              <w:ind w:left="33" w:right="-108"/>
              <w:contextualSpacing/>
              <w:rPr>
                <w:sz w:val="22"/>
                <w:szCs w:val="22"/>
              </w:rPr>
            </w:pPr>
          </w:p>
        </w:tc>
      </w:tr>
    </w:tbl>
    <w:p w14:paraId="0C18BF6E" w14:textId="77777777" w:rsidR="008350D9" w:rsidRPr="008B7455" w:rsidRDefault="008350D9" w:rsidP="009D41E0">
      <w:pPr>
        <w:ind w:right="57"/>
        <w:contextualSpacing/>
        <w:rPr>
          <w:b/>
          <w:sz w:val="22"/>
          <w:szCs w:val="22"/>
        </w:rPr>
      </w:pPr>
      <w:r w:rsidRPr="008B7455">
        <w:rPr>
          <w:b/>
          <w:sz w:val="22"/>
          <w:szCs w:val="22"/>
        </w:rPr>
        <w:t>II Jautājumi, par kuriem saskaņošanā vienošanās ir panākta</w:t>
      </w:r>
    </w:p>
    <w:p w14:paraId="2C748F71" w14:textId="77777777" w:rsidR="008350D9" w:rsidRPr="008B7455" w:rsidRDefault="008350D9" w:rsidP="008350D9">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9"/>
        <w:gridCol w:w="3123"/>
        <w:gridCol w:w="1397"/>
        <w:gridCol w:w="3028"/>
        <w:gridCol w:w="3378"/>
        <w:gridCol w:w="3663"/>
      </w:tblGrid>
      <w:tr w:rsidR="008350D9" w:rsidRPr="008B7455" w14:paraId="53224F01" w14:textId="77777777" w:rsidTr="00335D20">
        <w:trPr>
          <w:tblCellSpacing w:w="11" w:type="dxa"/>
        </w:trPr>
        <w:tc>
          <w:tcPr>
            <w:tcW w:w="686" w:type="dxa"/>
            <w:tcBorders>
              <w:top w:val="single" w:sz="4" w:space="0" w:color="auto"/>
              <w:left w:val="nil"/>
              <w:bottom w:val="single" w:sz="4" w:space="0" w:color="auto"/>
              <w:right w:val="single" w:sz="4" w:space="0" w:color="auto"/>
            </w:tcBorders>
            <w:vAlign w:val="center"/>
          </w:tcPr>
          <w:p w14:paraId="0EAFA989" w14:textId="77777777" w:rsidR="008350D9" w:rsidRPr="008B7455" w:rsidRDefault="008350D9" w:rsidP="00335D20">
            <w:pPr>
              <w:ind w:left="57" w:right="57"/>
              <w:contextualSpacing/>
              <w:rPr>
                <w:sz w:val="22"/>
                <w:szCs w:val="22"/>
              </w:rPr>
            </w:pPr>
            <w:r w:rsidRPr="008B7455">
              <w:rPr>
                <w:sz w:val="22"/>
                <w:szCs w:val="22"/>
              </w:rPr>
              <w:t>Nr p.k.</w:t>
            </w:r>
          </w:p>
        </w:tc>
        <w:tc>
          <w:tcPr>
            <w:tcW w:w="3101" w:type="dxa"/>
            <w:tcBorders>
              <w:top w:val="single" w:sz="4" w:space="0" w:color="auto"/>
              <w:left w:val="single" w:sz="4" w:space="0" w:color="auto"/>
              <w:bottom w:val="single" w:sz="4" w:space="0" w:color="auto"/>
              <w:right w:val="single" w:sz="4" w:space="0" w:color="auto"/>
            </w:tcBorders>
            <w:vAlign w:val="center"/>
          </w:tcPr>
          <w:p w14:paraId="0407AB30" w14:textId="77777777" w:rsidR="008350D9" w:rsidRPr="008B7455" w:rsidRDefault="008350D9" w:rsidP="00335D20">
            <w:pPr>
              <w:ind w:left="57" w:right="57"/>
              <w:contextualSpacing/>
              <w:jc w:val="center"/>
              <w:rPr>
                <w:sz w:val="22"/>
                <w:szCs w:val="22"/>
              </w:rPr>
            </w:pPr>
            <w:r w:rsidRPr="008B7455">
              <w:rPr>
                <w:sz w:val="22"/>
                <w:szCs w:val="22"/>
              </w:rPr>
              <w:t>Saskaņošanai nosūtītā projekta redakcija (konkrēta punkta (panta) redakcija)</w:t>
            </w:r>
          </w:p>
        </w:tc>
        <w:tc>
          <w:tcPr>
            <w:tcW w:w="4403" w:type="dxa"/>
            <w:gridSpan w:val="2"/>
            <w:tcBorders>
              <w:top w:val="single" w:sz="4" w:space="0" w:color="auto"/>
              <w:left w:val="single" w:sz="4" w:space="0" w:color="auto"/>
              <w:bottom w:val="single" w:sz="4" w:space="0" w:color="auto"/>
              <w:right w:val="single" w:sz="4" w:space="0" w:color="auto"/>
            </w:tcBorders>
            <w:vAlign w:val="center"/>
          </w:tcPr>
          <w:p w14:paraId="353F0FAE" w14:textId="77777777" w:rsidR="008350D9" w:rsidRPr="008B7455" w:rsidRDefault="008350D9" w:rsidP="00335D20">
            <w:pPr>
              <w:ind w:left="57" w:right="57"/>
              <w:contextualSpacing/>
              <w:jc w:val="center"/>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356" w:type="dxa"/>
            <w:tcBorders>
              <w:top w:val="single" w:sz="4" w:space="0" w:color="auto"/>
              <w:left w:val="single" w:sz="4" w:space="0" w:color="auto"/>
              <w:bottom w:val="single" w:sz="4" w:space="0" w:color="auto"/>
              <w:right w:val="single" w:sz="4" w:space="0" w:color="auto"/>
            </w:tcBorders>
            <w:vAlign w:val="center"/>
          </w:tcPr>
          <w:p w14:paraId="4F494560" w14:textId="77777777" w:rsidR="008350D9" w:rsidRPr="008B7455" w:rsidRDefault="008350D9" w:rsidP="00335D20">
            <w:pPr>
              <w:ind w:left="57" w:right="57"/>
              <w:contextualSpacing/>
              <w:jc w:val="center"/>
              <w:rPr>
                <w:sz w:val="22"/>
                <w:szCs w:val="22"/>
              </w:rPr>
            </w:pPr>
            <w:r w:rsidRPr="008B7455">
              <w:rPr>
                <w:sz w:val="22"/>
                <w:szCs w:val="22"/>
              </w:rPr>
              <w:t>Atbildīgās ministrijas norāde par to, ka iebildums ir ņemts vērā, vai informācija par saskaņošanā panākto alternatīvo risinājumu</w:t>
            </w:r>
          </w:p>
        </w:tc>
        <w:tc>
          <w:tcPr>
            <w:tcW w:w="3630" w:type="dxa"/>
            <w:tcBorders>
              <w:top w:val="single" w:sz="4" w:space="0" w:color="auto"/>
              <w:left w:val="single" w:sz="4" w:space="0" w:color="auto"/>
              <w:bottom w:val="single" w:sz="4" w:space="0" w:color="auto"/>
              <w:right w:val="nil"/>
            </w:tcBorders>
            <w:vAlign w:val="center"/>
          </w:tcPr>
          <w:p w14:paraId="48F7526F" w14:textId="77777777" w:rsidR="008350D9" w:rsidRPr="008B7455" w:rsidRDefault="008350D9" w:rsidP="00335D20">
            <w:pPr>
              <w:ind w:left="57" w:right="57"/>
              <w:contextualSpacing/>
              <w:jc w:val="center"/>
              <w:rPr>
                <w:sz w:val="22"/>
                <w:szCs w:val="22"/>
              </w:rPr>
            </w:pPr>
            <w:r w:rsidRPr="008B7455">
              <w:rPr>
                <w:sz w:val="22"/>
                <w:szCs w:val="22"/>
              </w:rPr>
              <w:t>Projekta attiecīgā punkta (panta) galīgā redakcija</w:t>
            </w:r>
          </w:p>
        </w:tc>
      </w:tr>
      <w:tr w:rsidR="008350D9" w:rsidRPr="008B7455" w14:paraId="4A909493"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663DBBAB" w14:textId="77777777" w:rsidR="008350D9" w:rsidRPr="008B7455" w:rsidRDefault="008350D9" w:rsidP="00335D20">
            <w:pPr>
              <w:ind w:left="57" w:right="57"/>
              <w:contextualSpacing/>
              <w:rPr>
                <w:sz w:val="22"/>
                <w:szCs w:val="22"/>
              </w:rPr>
            </w:pPr>
            <w:r w:rsidRPr="008B7455">
              <w:rPr>
                <w:sz w:val="22"/>
                <w:szCs w:val="22"/>
              </w:rPr>
              <w:t xml:space="preserve"> 1</w:t>
            </w:r>
          </w:p>
        </w:tc>
        <w:tc>
          <w:tcPr>
            <w:tcW w:w="3101" w:type="dxa"/>
            <w:tcBorders>
              <w:top w:val="single" w:sz="4" w:space="0" w:color="auto"/>
              <w:left w:val="single" w:sz="4" w:space="0" w:color="auto"/>
              <w:bottom w:val="single" w:sz="4" w:space="0" w:color="auto"/>
              <w:right w:val="single" w:sz="4" w:space="0" w:color="auto"/>
            </w:tcBorders>
          </w:tcPr>
          <w:p w14:paraId="695574F2" w14:textId="77777777" w:rsidR="008350D9" w:rsidRPr="008B7455" w:rsidRDefault="008350D9" w:rsidP="00335D20">
            <w:pPr>
              <w:ind w:left="57" w:right="57"/>
              <w:contextualSpacing/>
              <w:jc w:val="center"/>
              <w:rPr>
                <w:sz w:val="22"/>
                <w:szCs w:val="22"/>
              </w:rPr>
            </w:pPr>
            <w:r w:rsidRPr="008B7455">
              <w:rPr>
                <w:sz w:val="22"/>
                <w:szCs w:val="22"/>
              </w:rPr>
              <w:t>2</w:t>
            </w:r>
          </w:p>
        </w:tc>
        <w:tc>
          <w:tcPr>
            <w:tcW w:w="4403" w:type="dxa"/>
            <w:gridSpan w:val="2"/>
            <w:tcBorders>
              <w:top w:val="single" w:sz="4" w:space="0" w:color="auto"/>
              <w:left w:val="single" w:sz="4" w:space="0" w:color="auto"/>
              <w:bottom w:val="single" w:sz="4" w:space="0" w:color="auto"/>
              <w:right w:val="single" w:sz="4" w:space="0" w:color="auto"/>
            </w:tcBorders>
          </w:tcPr>
          <w:p w14:paraId="0E74625A" w14:textId="77777777" w:rsidR="008350D9" w:rsidRPr="008B7455" w:rsidRDefault="008350D9" w:rsidP="00335D20">
            <w:pPr>
              <w:ind w:left="57" w:right="57"/>
              <w:contextualSpacing/>
              <w:jc w:val="center"/>
              <w:rPr>
                <w:sz w:val="22"/>
                <w:szCs w:val="22"/>
              </w:rPr>
            </w:pPr>
            <w:r w:rsidRPr="008B7455">
              <w:rPr>
                <w:sz w:val="22"/>
                <w:szCs w:val="22"/>
              </w:rPr>
              <w:t>3</w:t>
            </w:r>
          </w:p>
        </w:tc>
        <w:tc>
          <w:tcPr>
            <w:tcW w:w="3356" w:type="dxa"/>
            <w:tcBorders>
              <w:top w:val="single" w:sz="4" w:space="0" w:color="auto"/>
              <w:left w:val="single" w:sz="4" w:space="0" w:color="auto"/>
              <w:bottom w:val="single" w:sz="4" w:space="0" w:color="auto"/>
              <w:right w:val="single" w:sz="4" w:space="0" w:color="auto"/>
            </w:tcBorders>
          </w:tcPr>
          <w:p w14:paraId="21EDC288" w14:textId="77777777" w:rsidR="008350D9" w:rsidRPr="008B7455" w:rsidRDefault="008350D9" w:rsidP="00335D20">
            <w:pPr>
              <w:ind w:left="57" w:right="57"/>
              <w:contextualSpacing/>
              <w:jc w:val="center"/>
              <w:rPr>
                <w:sz w:val="22"/>
                <w:szCs w:val="22"/>
              </w:rPr>
            </w:pPr>
            <w:r w:rsidRPr="008B7455">
              <w:rPr>
                <w:sz w:val="22"/>
                <w:szCs w:val="22"/>
              </w:rPr>
              <w:t>4</w:t>
            </w:r>
          </w:p>
        </w:tc>
        <w:tc>
          <w:tcPr>
            <w:tcW w:w="3630" w:type="dxa"/>
            <w:tcBorders>
              <w:top w:val="single" w:sz="4" w:space="0" w:color="auto"/>
              <w:left w:val="single" w:sz="4" w:space="0" w:color="auto"/>
              <w:bottom w:val="single" w:sz="4" w:space="0" w:color="auto"/>
              <w:right w:val="nil"/>
            </w:tcBorders>
          </w:tcPr>
          <w:p w14:paraId="394C98D9" w14:textId="77777777" w:rsidR="008350D9" w:rsidRPr="008B7455" w:rsidRDefault="008350D9" w:rsidP="00335D20">
            <w:pPr>
              <w:ind w:left="57" w:right="57"/>
              <w:contextualSpacing/>
              <w:jc w:val="center"/>
              <w:rPr>
                <w:sz w:val="22"/>
                <w:szCs w:val="22"/>
              </w:rPr>
            </w:pPr>
            <w:r w:rsidRPr="008B7455">
              <w:rPr>
                <w:sz w:val="22"/>
                <w:szCs w:val="22"/>
              </w:rPr>
              <w:t>5</w:t>
            </w:r>
          </w:p>
        </w:tc>
      </w:tr>
      <w:tr w:rsidR="008350D9" w:rsidRPr="008B7455" w14:paraId="573840FB" w14:textId="77777777" w:rsidTr="00335D20">
        <w:trPr>
          <w:trHeight w:val="318"/>
          <w:tblCellSpacing w:w="11" w:type="dxa"/>
        </w:trPr>
        <w:tc>
          <w:tcPr>
            <w:tcW w:w="15264" w:type="dxa"/>
            <w:gridSpan w:val="6"/>
            <w:tcBorders>
              <w:top w:val="single" w:sz="4" w:space="0" w:color="auto"/>
              <w:left w:val="nil"/>
              <w:bottom w:val="single" w:sz="4" w:space="0" w:color="auto"/>
              <w:right w:val="nil"/>
            </w:tcBorders>
          </w:tcPr>
          <w:p w14:paraId="27A099C7" w14:textId="77777777" w:rsidR="008350D9" w:rsidRPr="008B7455" w:rsidRDefault="008350D9" w:rsidP="00335D20">
            <w:pPr>
              <w:tabs>
                <w:tab w:val="left" w:pos="408"/>
              </w:tabs>
              <w:ind w:left="57" w:right="57"/>
              <w:contextualSpacing/>
              <w:rPr>
                <w:b/>
                <w:sz w:val="22"/>
                <w:szCs w:val="22"/>
              </w:rPr>
            </w:pPr>
            <w:r w:rsidRPr="008B7455">
              <w:rPr>
                <w:b/>
                <w:sz w:val="22"/>
                <w:szCs w:val="22"/>
              </w:rPr>
              <w:t>Noteikumi</w:t>
            </w:r>
          </w:p>
        </w:tc>
      </w:tr>
      <w:tr w:rsidR="008350D9" w:rsidRPr="00A215BE" w14:paraId="51789F36"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2421C749" w14:textId="77777777" w:rsidR="008350D9" w:rsidRPr="00A215BE" w:rsidRDefault="008350D9" w:rsidP="00335D20">
            <w:pPr>
              <w:ind w:left="57" w:right="57"/>
              <w:contextualSpacing/>
            </w:pPr>
            <w:r w:rsidRPr="00A215BE">
              <w:t>1.</w:t>
            </w:r>
          </w:p>
        </w:tc>
        <w:tc>
          <w:tcPr>
            <w:tcW w:w="3101" w:type="dxa"/>
            <w:tcBorders>
              <w:top w:val="single" w:sz="4" w:space="0" w:color="auto"/>
              <w:left w:val="single" w:sz="4" w:space="0" w:color="auto"/>
              <w:bottom w:val="single" w:sz="4" w:space="0" w:color="auto"/>
              <w:right w:val="single" w:sz="4" w:space="0" w:color="auto"/>
            </w:tcBorders>
          </w:tcPr>
          <w:p w14:paraId="3D9670DC" w14:textId="77777777" w:rsidR="008350D9" w:rsidRPr="00A215BE" w:rsidRDefault="008350D9" w:rsidP="008350D9">
            <w:pPr>
              <w:shd w:val="clear" w:color="auto" w:fill="FFFFFF"/>
              <w:jc w:val="both"/>
            </w:pPr>
          </w:p>
        </w:tc>
        <w:tc>
          <w:tcPr>
            <w:tcW w:w="4403" w:type="dxa"/>
            <w:gridSpan w:val="2"/>
            <w:tcBorders>
              <w:top w:val="single" w:sz="4" w:space="0" w:color="auto"/>
              <w:left w:val="single" w:sz="4" w:space="0" w:color="auto"/>
              <w:bottom w:val="single" w:sz="4" w:space="0" w:color="auto"/>
              <w:right w:val="single" w:sz="4" w:space="0" w:color="auto"/>
            </w:tcBorders>
          </w:tcPr>
          <w:p w14:paraId="41B443A6" w14:textId="389C5E8C" w:rsidR="00527737" w:rsidRPr="00A215BE" w:rsidRDefault="008350D9" w:rsidP="00527737">
            <w:pPr>
              <w:shd w:val="clear" w:color="auto" w:fill="FFFFFF"/>
              <w:jc w:val="center"/>
              <w:rPr>
                <w:rFonts w:eastAsia="Calibri"/>
                <w:b/>
                <w:bCs/>
                <w:u w:val="single"/>
                <w:lang w:eastAsia="en-US"/>
              </w:rPr>
            </w:pPr>
            <w:r w:rsidRPr="00A215BE">
              <w:rPr>
                <w:rFonts w:eastAsia="Calibri"/>
                <w:b/>
                <w:bCs/>
                <w:u w:val="single"/>
                <w:lang w:eastAsia="en-US"/>
              </w:rPr>
              <w:t>Tieslietu ministrija</w:t>
            </w:r>
            <w:r w:rsidR="00527737">
              <w:rPr>
                <w:rFonts w:eastAsia="Calibri"/>
                <w:b/>
                <w:bCs/>
                <w:u w:val="single"/>
                <w:lang w:eastAsia="en-US"/>
              </w:rPr>
              <w:t xml:space="preserve"> </w:t>
            </w:r>
            <w:r w:rsidR="00527737">
              <w:rPr>
                <w:rFonts w:eastAsia="Calibri"/>
                <w:b/>
                <w:bCs/>
                <w:u w:val="single"/>
                <w:lang w:eastAsia="en-US"/>
              </w:rPr>
              <w:t>(Atz.14.10.2020.)</w:t>
            </w:r>
          </w:p>
          <w:p w14:paraId="4F747AB8" w14:textId="3B94054E" w:rsidR="008350D9" w:rsidRPr="00A215BE" w:rsidRDefault="008350D9" w:rsidP="00A41DAD">
            <w:pPr>
              <w:shd w:val="clear" w:color="auto" w:fill="FFFFFF"/>
              <w:jc w:val="center"/>
              <w:rPr>
                <w:rFonts w:eastAsia="Calibri"/>
                <w:b/>
                <w:bCs/>
                <w:u w:val="single"/>
                <w:lang w:eastAsia="en-US"/>
              </w:rPr>
            </w:pPr>
          </w:p>
          <w:p w14:paraId="4F079E0B" w14:textId="77777777" w:rsidR="009D41E0" w:rsidRDefault="008350D9" w:rsidP="009D41E0">
            <w:pPr>
              <w:jc w:val="both"/>
            </w:pPr>
            <w:r w:rsidRPr="00A215BE">
              <w:t xml:space="preserve">Ministru kabineta 2009. gada 3. februāra noteikumu Nr.108 “Normatīvo aktu projektu sagatavošanas noteikumi” 151. punkts paredz nosacījumus, kādā tiek izpildīti grozījumi Ministru kabineta noteikumos, ja notiek vārdu, teikumu vai </w:t>
            </w:r>
            <w:r w:rsidRPr="00A215BE">
              <w:lastRenderedPageBreak/>
              <w:t xml:space="preserve">citu vienību aizstāšana. Vēršam uzmanību, ka projekta 2., 3., 5., 6. un 7. punktā piedāvātie grozījumi neatbilst minētajiem nosacījumiem. Ievērojot minēto, šos grozījumus nepieciešams precizēt. Piedāvājam vārdu “Aizstāt” aizstāt ar vārdu “Izteikt”. </w:t>
            </w:r>
          </w:p>
          <w:p w14:paraId="4294B3AB" w14:textId="5C233DD3" w:rsidR="00D82D6B" w:rsidRPr="00A215BE" w:rsidRDefault="00D82D6B" w:rsidP="009D41E0">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AA2BAB3" w14:textId="77777777" w:rsidR="008350D9" w:rsidRPr="00A215BE" w:rsidRDefault="008350D9" w:rsidP="00335D20">
            <w:pPr>
              <w:pStyle w:val="naiskr"/>
              <w:ind w:left="57" w:right="57"/>
              <w:contextualSpacing/>
              <w:jc w:val="center"/>
              <w:rPr>
                <w:b/>
                <w:bCs/>
                <w:u w:val="single"/>
              </w:rPr>
            </w:pPr>
            <w:r w:rsidRPr="00A215BE">
              <w:rPr>
                <w:b/>
                <w:bCs/>
                <w:u w:val="single"/>
              </w:rPr>
              <w:lastRenderedPageBreak/>
              <w:t>Ņemts vērā</w:t>
            </w:r>
          </w:p>
          <w:p w14:paraId="5DBD8441" w14:textId="557A2342" w:rsidR="00A41DAD" w:rsidRPr="00A215BE" w:rsidRDefault="00A41DAD" w:rsidP="00335D20">
            <w:pPr>
              <w:pStyle w:val="naiskr"/>
              <w:ind w:left="57" w:right="57"/>
              <w:contextualSpacing/>
              <w:jc w:val="center"/>
            </w:pPr>
            <w:r w:rsidRPr="00A215BE">
              <w:t>Precizētas 2., 3., 5., 6. un 7.punkta redakcijas</w:t>
            </w:r>
          </w:p>
        </w:tc>
        <w:tc>
          <w:tcPr>
            <w:tcW w:w="3630" w:type="dxa"/>
            <w:tcBorders>
              <w:top w:val="single" w:sz="4" w:space="0" w:color="auto"/>
              <w:left w:val="single" w:sz="4" w:space="0" w:color="auto"/>
              <w:bottom w:val="single" w:sz="4" w:space="0" w:color="auto"/>
              <w:right w:val="nil"/>
            </w:tcBorders>
          </w:tcPr>
          <w:p w14:paraId="4A87A959" w14:textId="769FD6F8" w:rsidR="008350D9" w:rsidRPr="00A215BE" w:rsidRDefault="008350D9" w:rsidP="00335D20">
            <w:pPr>
              <w:ind w:left="-55" w:right="57"/>
              <w:contextualSpacing/>
              <w:jc w:val="both"/>
            </w:pPr>
          </w:p>
        </w:tc>
      </w:tr>
      <w:tr w:rsidR="008350D9" w:rsidRPr="00A215BE" w14:paraId="698252DD"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1B80B954" w14:textId="77777777" w:rsidR="008350D9" w:rsidRPr="00A215BE" w:rsidRDefault="008350D9" w:rsidP="00335D20">
            <w:pPr>
              <w:ind w:left="57" w:right="57"/>
              <w:contextualSpacing/>
            </w:pPr>
            <w:r w:rsidRPr="00A215BE">
              <w:t>2.</w:t>
            </w:r>
          </w:p>
        </w:tc>
        <w:tc>
          <w:tcPr>
            <w:tcW w:w="3101" w:type="dxa"/>
            <w:tcBorders>
              <w:top w:val="single" w:sz="4" w:space="0" w:color="auto"/>
              <w:left w:val="single" w:sz="4" w:space="0" w:color="auto"/>
              <w:bottom w:val="single" w:sz="4" w:space="0" w:color="auto"/>
              <w:right w:val="single" w:sz="4" w:space="0" w:color="auto"/>
            </w:tcBorders>
          </w:tcPr>
          <w:p w14:paraId="345295C5" w14:textId="77777777" w:rsidR="008350D9" w:rsidRPr="00A215BE" w:rsidRDefault="008350D9" w:rsidP="00335D20">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7BC29AF5" w14:textId="6A2D4333" w:rsidR="008350D9" w:rsidRPr="00A215BE" w:rsidRDefault="008350D9" w:rsidP="00A41DAD">
            <w:pPr>
              <w:shd w:val="clear" w:color="auto" w:fill="FFFFFF"/>
              <w:jc w:val="center"/>
              <w:rPr>
                <w:rFonts w:eastAsia="Calibri"/>
                <w:b/>
                <w:bCs/>
                <w:u w:val="single"/>
                <w:lang w:eastAsia="en-US"/>
              </w:rPr>
            </w:pPr>
            <w:r w:rsidRPr="00A215BE">
              <w:rPr>
                <w:rFonts w:eastAsia="Calibri"/>
                <w:b/>
                <w:bCs/>
                <w:u w:val="single"/>
                <w:lang w:eastAsia="en-US"/>
              </w:rPr>
              <w:t>Tieslietu ministrija</w:t>
            </w:r>
            <w:r w:rsidR="00527737">
              <w:rPr>
                <w:rFonts w:eastAsia="Calibri"/>
                <w:b/>
                <w:bCs/>
                <w:u w:val="single"/>
                <w:lang w:eastAsia="en-US"/>
              </w:rPr>
              <w:t xml:space="preserve"> (Atz.14.10.2020.)</w:t>
            </w:r>
          </w:p>
          <w:p w14:paraId="276757D6" w14:textId="77777777" w:rsidR="008350D9" w:rsidRDefault="008350D9" w:rsidP="009D41E0">
            <w:pPr>
              <w:jc w:val="both"/>
            </w:pPr>
            <w:r w:rsidRPr="00A215BE">
              <w:rPr>
                <w:bCs/>
              </w:rPr>
              <w:t>P</w:t>
            </w:r>
            <w:r w:rsidRPr="00A215BE">
              <w:t xml:space="preserve">rojekta 2., 3., 4., 5., 6. un 7. punkta ievaddaļā piedāvātie grozījumi nekorekti norāda grozījumu izdarīšanas vietu. Ievērojot minēto, šajos grozījumos nepieciešams aizstāt vārdu “būvnormatīva” ar vārdiem “būvnormatīva pielikuma”. </w:t>
            </w:r>
          </w:p>
          <w:p w14:paraId="7B7B8710" w14:textId="7246F664" w:rsidR="00D82D6B" w:rsidRPr="00A215BE" w:rsidRDefault="00D82D6B" w:rsidP="009D41E0">
            <w:pPr>
              <w:jc w:val="both"/>
              <w:rPr>
                <w:rFonts w:eastAsia="Calibri"/>
                <w:lang w:eastAsia="en-US"/>
              </w:rPr>
            </w:pPr>
          </w:p>
        </w:tc>
        <w:tc>
          <w:tcPr>
            <w:tcW w:w="3356" w:type="dxa"/>
            <w:tcBorders>
              <w:top w:val="single" w:sz="4" w:space="0" w:color="auto"/>
              <w:left w:val="single" w:sz="4" w:space="0" w:color="auto"/>
              <w:bottom w:val="single" w:sz="4" w:space="0" w:color="auto"/>
              <w:right w:val="single" w:sz="4" w:space="0" w:color="auto"/>
            </w:tcBorders>
          </w:tcPr>
          <w:p w14:paraId="1E1B7294" w14:textId="77777777" w:rsidR="00A41DAD" w:rsidRPr="00A215BE" w:rsidRDefault="008350D9" w:rsidP="00A41DAD">
            <w:pPr>
              <w:pStyle w:val="naiskr"/>
              <w:ind w:left="57" w:right="57"/>
              <w:contextualSpacing/>
              <w:jc w:val="center"/>
              <w:rPr>
                <w:b/>
                <w:bCs/>
                <w:u w:val="single"/>
              </w:rPr>
            </w:pPr>
            <w:r w:rsidRPr="00A215BE">
              <w:tab/>
            </w:r>
            <w:r w:rsidR="00A41DAD" w:rsidRPr="00A215BE">
              <w:rPr>
                <w:b/>
                <w:bCs/>
                <w:u w:val="single"/>
              </w:rPr>
              <w:t>Ņemts vērā</w:t>
            </w:r>
          </w:p>
          <w:p w14:paraId="2B1181B6" w14:textId="10F33357" w:rsidR="008350D9" w:rsidRPr="00A215BE" w:rsidRDefault="00A41DAD" w:rsidP="00A41DAD">
            <w:pPr>
              <w:shd w:val="clear" w:color="auto" w:fill="FFFFFF"/>
              <w:jc w:val="both"/>
              <w:rPr>
                <w:b/>
                <w:bCs/>
                <w:u w:val="single"/>
              </w:rPr>
            </w:pPr>
            <w:r w:rsidRPr="00A215BE">
              <w:t>Precizētas 2., 3., 4., 5., 6. un 7.punkta redakcijas</w:t>
            </w:r>
          </w:p>
        </w:tc>
        <w:tc>
          <w:tcPr>
            <w:tcW w:w="3630" w:type="dxa"/>
            <w:tcBorders>
              <w:top w:val="single" w:sz="4" w:space="0" w:color="auto"/>
              <w:left w:val="single" w:sz="4" w:space="0" w:color="auto"/>
              <w:bottom w:val="single" w:sz="4" w:space="0" w:color="auto"/>
              <w:right w:val="nil"/>
            </w:tcBorders>
          </w:tcPr>
          <w:p w14:paraId="59A9FE01" w14:textId="77777777" w:rsidR="008350D9" w:rsidRPr="00A215BE" w:rsidRDefault="008350D9" w:rsidP="00335D20">
            <w:pPr>
              <w:shd w:val="clear" w:color="auto" w:fill="FFFFFF"/>
              <w:jc w:val="both"/>
            </w:pPr>
          </w:p>
        </w:tc>
      </w:tr>
      <w:tr w:rsidR="00D110CF" w:rsidRPr="00A215BE" w14:paraId="4C202AE0" w14:textId="77777777" w:rsidTr="00D110CF">
        <w:trPr>
          <w:trHeight w:val="318"/>
          <w:tblCellSpacing w:w="11" w:type="dxa"/>
        </w:trPr>
        <w:tc>
          <w:tcPr>
            <w:tcW w:w="15264" w:type="dxa"/>
            <w:gridSpan w:val="6"/>
            <w:tcBorders>
              <w:top w:val="single" w:sz="4" w:space="0" w:color="auto"/>
              <w:left w:val="nil"/>
              <w:bottom w:val="single" w:sz="4" w:space="0" w:color="auto"/>
              <w:right w:val="single" w:sz="4" w:space="0" w:color="auto"/>
            </w:tcBorders>
          </w:tcPr>
          <w:p w14:paraId="3B6C7DBA" w14:textId="1BDD78D6" w:rsidR="00D110CF" w:rsidRPr="00D110CF" w:rsidRDefault="00D110CF" w:rsidP="00335D20">
            <w:pPr>
              <w:shd w:val="clear" w:color="auto" w:fill="FFFFFF"/>
              <w:jc w:val="both"/>
              <w:rPr>
                <w:b/>
                <w:bCs/>
              </w:rPr>
            </w:pPr>
            <w:r w:rsidRPr="00D110CF">
              <w:rPr>
                <w:b/>
                <w:bCs/>
              </w:rPr>
              <w:t>Anotācija</w:t>
            </w:r>
          </w:p>
        </w:tc>
      </w:tr>
      <w:tr w:rsidR="00D110CF" w:rsidRPr="00A215BE" w14:paraId="705D46A7"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17A18608" w14:textId="77777777" w:rsidR="00D110CF" w:rsidRPr="00A215BE" w:rsidRDefault="00D110CF" w:rsidP="00335D20">
            <w:pPr>
              <w:ind w:left="57" w:right="57"/>
              <w:contextualSpacing/>
            </w:pPr>
          </w:p>
        </w:tc>
        <w:tc>
          <w:tcPr>
            <w:tcW w:w="3101" w:type="dxa"/>
            <w:tcBorders>
              <w:top w:val="single" w:sz="4" w:space="0" w:color="auto"/>
              <w:left w:val="single" w:sz="4" w:space="0" w:color="auto"/>
              <w:bottom w:val="single" w:sz="4" w:space="0" w:color="auto"/>
              <w:right w:val="single" w:sz="4" w:space="0" w:color="auto"/>
            </w:tcBorders>
          </w:tcPr>
          <w:p w14:paraId="2A9F9B47" w14:textId="77777777" w:rsidR="00D110CF" w:rsidRPr="00A215BE" w:rsidRDefault="00D110CF" w:rsidP="00335D20">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1E0F603C" w14:textId="77777777" w:rsidR="00D110CF" w:rsidRPr="00D82D6B" w:rsidRDefault="00D110CF" w:rsidP="00D110CF">
            <w:pPr>
              <w:shd w:val="clear" w:color="auto" w:fill="FFFFFF"/>
              <w:jc w:val="center"/>
              <w:rPr>
                <w:b/>
                <w:bCs/>
                <w:u w:val="single"/>
              </w:rPr>
            </w:pPr>
            <w:r w:rsidRPr="00D82D6B">
              <w:rPr>
                <w:b/>
                <w:bCs/>
                <w:u w:val="single"/>
              </w:rPr>
              <w:t>Vides aizsardzības un reģionālās attīstības ministrija</w:t>
            </w:r>
            <w:r>
              <w:rPr>
                <w:b/>
                <w:bCs/>
                <w:u w:val="single"/>
              </w:rPr>
              <w:t xml:space="preserve"> (Atz.22.12.2020.)</w:t>
            </w:r>
          </w:p>
          <w:p w14:paraId="4814B960" w14:textId="602DA761" w:rsidR="00D110CF" w:rsidRPr="00D110CF" w:rsidRDefault="00D110CF" w:rsidP="00D110CF">
            <w:pPr>
              <w:shd w:val="clear" w:color="auto" w:fill="FFFFFF"/>
              <w:jc w:val="both"/>
              <w:rPr>
                <w:rFonts w:eastAsia="Calibri"/>
                <w:lang w:eastAsia="en-US"/>
              </w:rPr>
            </w:pPr>
            <w:r w:rsidRPr="00D110CF">
              <w:rPr>
                <w:rFonts w:eastAsia="Calibri"/>
                <w:lang w:eastAsia="en-US"/>
              </w:rPr>
              <w:t>Lūdzu papildināt tiesību akta sākotnējā novērtējuma (anotāciju) sesto sadaļu ar Latvijas Būvkonstrukciju projektētāju asociācijas (2020.gada 15.decembra vēstule Nr. V-05/20) un Latvijas Būvinženieru savienības (2020.gada 15.decembra vēstule Nr. 4-1/2020/1083) sniegto viedokli.</w:t>
            </w:r>
          </w:p>
        </w:tc>
        <w:tc>
          <w:tcPr>
            <w:tcW w:w="3356" w:type="dxa"/>
            <w:tcBorders>
              <w:top w:val="single" w:sz="4" w:space="0" w:color="auto"/>
              <w:left w:val="single" w:sz="4" w:space="0" w:color="auto"/>
              <w:bottom w:val="single" w:sz="4" w:space="0" w:color="auto"/>
              <w:right w:val="single" w:sz="4" w:space="0" w:color="auto"/>
            </w:tcBorders>
          </w:tcPr>
          <w:p w14:paraId="46D3B058" w14:textId="77777777" w:rsidR="00D110CF" w:rsidRDefault="00D110CF" w:rsidP="00A41DAD">
            <w:pPr>
              <w:pStyle w:val="naiskr"/>
              <w:ind w:left="57" w:right="57"/>
              <w:contextualSpacing/>
              <w:jc w:val="center"/>
              <w:rPr>
                <w:b/>
                <w:bCs/>
                <w:u w:val="single"/>
              </w:rPr>
            </w:pPr>
            <w:r w:rsidRPr="00D110CF">
              <w:rPr>
                <w:b/>
                <w:bCs/>
                <w:u w:val="single"/>
              </w:rPr>
              <w:t>Ņemts vērā</w:t>
            </w:r>
          </w:p>
          <w:p w14:paraId="5E1875C2" w14:textId="3C2A8EBB" w:rsidR="00D110CF" w:rsidRPr="00D110CF" w:rsidRDefault="00D110CF" w:rsidP="00D110CF">
            <w:pPr>
              <w:pStyle w:val="naiskr"/>
              <w:ind w:left="57" w:right="57"/>
              <w:contextualSpacing/>
              <w:jc w:val="both"/>
              <w:rPr>
                <w:b/>
                <w:bCs/>
                <w:u w:val="single"/>
              </w:rPr>
            </w:pPr>
            <w:r w:rsidRPr="00D110CF">
              <w:t xml:space="preserve">Papildināta </w:t>
            </w:r>
            <w:r w:rsidRPr="00D110CF">
              <w:t>tiesību akta sākotnējā novērtējuma (anotāciju) sest</w:t>
            </w:r>
            <w:r w:rsidRPr="00D110CF">
              <w:t>ā</w:t>
            </w:r>
            <w:r w:rsidRPr="00D110CF">
              <w:t xml:space="preserve"> sadaļ</w:t>
            </w:r>
            <w:r w:rsidRPr="00D110CF">
              <w:t>a ar</w:t>
            </w:r>
            <w:r>
              <w:rPr>
                <w:b/>
                <w:bCs/>
                <w:u w:val="single"/>
              </w:rPr>
              <w:t xml:space="preserve"> </w:t>
            </w:r>
            <w:r w:rsidRPr="00D110CF">
              <w:rPr>
                <w:rFonts w:eastAsia="Calibri"/>
                <w:lang w:eastAsia="en-US"/>
              </w:rPr>
              <w:t>Latvijas Būvkonstrukciju projektētāju asociācijas (2020.</w:t>
            </w:r>
            <w:r>
              <w:rPr>
                <w:rFonts w:eastAsia="Calibri"/>
                <w:lang w:eastAsia="en-US"/>
              </w:rPr>
              <w:t>g</w:t>
            </w:r>
            <w:r w:rsidRPr="00D110CF">
              <w:rPr>
                <w:rFonts w:eastAsia="Calibri"/>
                <w:lang w:eastAsia="en-US"/>
              </w:rPr>
              <w:t>ada 15.decembra vēstule Nr. V-05/20)</w:t>
            </w:r>
            <w:r>
              <w:rPr>
                <w:rFonts w:eastAsia="Calibri"/>
                <w:lang w:eastAsia="en-US"/>
              </w:rPr>
              <w:t>,</w:t>
            </w:r>
            <w:r w:rsidRPr="00D110CF">
              <w:rPr>
                <w:rFonts w:eastAsia="Calibri"/>
                <w:lang w:eastAsia="en-US"/>
              </w:rPr>
              <w:t xml:space="preserve"> Latvijas Būvinženieru savienības (2020.gada 15.decembra vēstule Nr. 4-1/2020/1083) </w:t>
            </w:r>
            <w:r>
              <w:rPr>
                <w:rFonts w:eastAsia="Calibri"/>
                <w:lang w:eastAsia="en-US"/>
              </w:rPr>
              <w:t xml:space="preserve">un Latvijas Siltuma, </w:t>
            </w:r>
            <w:r w:rsidRPr="00D110CF">
              <w:rPr>
                <w:rFonts w:eastAsia="Calibri"/>
                <w:lang w:eastAsia="en-US"/>
              </w:rPr>
              <w:t xml:space="preserve">gāzes un ūdens tehnoloģijas inženieru </w:t>
            </w:r>
            <w:r w:rsidRPr="00D110CF">
              <w:rPr>
                <w:rFonts w:eastAsia="Calibri"/>
                <w:lang w:eastAsia="en-US"/>
              </w:rPr>
              <w:lastRenderedPageBreak/>
              <w:t>savienība</w:t>
            </w:r>
            <w:r>
              <w:rPr>
                <w:rFonts w:eastAsia="Calibri"/>
                <w:lang w:eastAsia="en-US"/>
              </w:rPr>
              <w:t>s (2020.gada 17.decembra vēstule Nr.</w:t>
            </w:r>
            <w:r>
              <w:t xml:space="preserve"> </w:t>
            </w:r>
            <w:r w:rsidRPr="00D110CF">
              <w:rPr>
                <w:rFonts w:eastAsia="Calibri"/>
                <w:lang w:eastAsia="en-US"/>
              </w:rPr>
              <w:t>1.4/363-N/2020</w:t>
            </w:r>
            <w:r>
              <w:rPr>
                <w:rFonts w:eastAsia="Calibri"/>
                <w:lang w:eastAsia="en-US"/>
              </w:rPr>
              <w:t xml:space="preserve">) </w:t>
            </w:r>
            <w:r w:rsidRPr="00D110CF">
              <w:rPr>
                <w:rFonts w:eastAsia="Calibri"/>
                <w:lang w:eastAsia="en-US"/>
              </w:rPr>
              <w:t>sniegto viedokli.</w:t>
            </w:r>
          </w:p>
        </w:tc>
        <w:tc>
          <w:tcPr>
            <w:tcW w:w="3630" w:type="dxa"/>
            <w:tcBorders>
              <w:top w:val="single" w:sz="4" w:space="0" w:color="auto"/>
              <w:left w:val="single" w:sz="4" w:space="0" w:color="auto"/>
              <w:bottom w:val="single" w:sz="4" w:space="0" w:color="auto"/>
              <w:right w:val="nil"/>
            </w:tcBorders>
          </w:tcPr>
          <w:p w14:paraId="6B6A842B" w14:textId="16D43392" w:rsidR="00D110CF" w:rsidRPr="00A215BE" w:rsidRDefault="00D110CF" w:rsidP="00335D20">
            <w:pPr>
              <w:shd w:val="clear" w:color="auto" w:fill="FFFFFF"/>
              <w:jc w:val="both"/>
            </w:pPr>
            <w:r>
              <w:lastRenderedPageBreak/>
              <w:t>Papildināta anotācija</w:t>
            </w:r>
          </w:p>
        </w:tc>
      </w:tr>
      <w:tr w:rsidR="008350D9" w:rsidRPr="001A6A17" w14:paraId="7C4CFD6C" w14:textId="77777777" w:rsidTr="009D41E0">
        <w:tblPrEx>
          <w:tblCellSpacing w:w="0" w:type="nil"/>
          <w:tblBorders>
            <w:top w:val="none" w:sz="0" w:space="0" w:color="auto"/>
            <w:left w:val="none" w:sz="0" w:space="0" w:color="auto"/>
            <w:bottom w:val="none" w:sz="0" w:space="0" w:color="auto"/>
            <w:right w:val="none" w:sz="0" w:space="0" w:color="auto"/>
          </w:tblBorders>
        </w:tblPrEx>
        <w:tc>
          <w:tcPr>
            <w:tcW w:w="5206" w:type="dxa"/>
            <w:gridSpan w:val="3"/>
          </w:tcPr>
          <w:p w14:paraId="0C39F73A" w14:textId="77777777" w:rsidR="008350D9" w:rsidRDefault="008350D9" w:rsidP="00335D20">
            <w:pPr>
              <w:pStyle w:val="naiskr"/>
              <w:spacing w:before="0" w:after="0"/>
              <w:contextualSpacing/>
              <w:rPr>
                <w:sz w:val="22"/>
                <w:szCs w:val="22"/>
              </w:rPr>
            </w:pPr>
          </w:p>
          <w:p w14:paraId="26CE2CE3" w14:textId="77777777" w:rsidR="008350D9" w:rsidRDefault="008350D9" w:rsidP="00335D20">
            <w:pPr>
              <w:pStyle w:val="naiskr"/>
              <w:spacing w:before="0" w:after="0"/>
              <w:contextualSpacing/>
              <w:rPr>
                <w:sz w:val="22"/>
                <w:szCs w:val="22"/>
              </w:rPr>
            </w:pPr>
            <w:r>
              <w:rPr>
                <w:sz w:val="22"/>
                <w:szCs w:val="22"/>
              </w:rPr>
              <w:t xml:space="preserve">       </w:t>
            </w:r>
            <w:r w:rsidRPr="00B65E9B">
              <w:rPr>
                <w:sz w:val="22"/>
                <w:szCs w:val="22"/>
              </w:rPr>
              <w:t>Atbildīgā amatpersona</w:t>
            </w:r>
          </w:p>
          <w:p w14:paraId="4E9CB883" w14:textId="77777777" w:rsidR="008350D9" w:rsidRPr="001A6A17" w:rsidRDefault="008350D9" w:rsidP="00335D20">
            <w:pPr>
              <w:pStyle w:val="naiskr"/>
              <w:spacing w:before="0" w:after="0"/>
              <w:contextualSpacing/>
              <w:rPr>
                <w:sz w:val="22"/>
                <w:szCs w:val="22"/>
              </w:rPr>
            </w:pPr>
          </w:p>
        </w:tc>
        <w:tc>
          <w:tcPr>
            <w:tcW w:w="10036" w:type="dxa"/>
            <w:gridSpan w:val="3"/>
          </w:tcPr>
          <w:p w14:paraId="6D5F4E55" w14:textId="77777777" w:rsidR="008350D9" w:rsidRPr="001A6A17" w:rsidRDefault="008350D9" w:rsidP="00335D20">
            <w:pPr>
              <w:pStyle w:val="naiskr"/>
              <w:spacing w:before="0" w:after="0"/>
              <w:contextualSpacing/>
              <w:rPr>
                <w:sz w:val="22"/>
                <w:szCs w:val="22"/>
              </w:rPr>
            </w:pPr>
            <w:r w:rsidRPr="001A6A17">
              <w:rPr>
                <w:sz w:val="22"/>
                <w:szCs w:val="22"/>
              </w:rPr>
              <w:t>  </w:t>
            </w:r>
          </w:p>
        </w:tc>
      </w:tr>
      <w:tr w:rsidR="008350D9" w:rsidRPr="001A6A17" w14:paraId="544F2C10" w14:textId="77777777" w:rsidTr="009D41E0">
        <w:tblPrEx>
          <w:tblCellSpacing w:w="0" w:type="nil"/>
          <w:tblBorders>
            <w:top w:val="none" w:sz="0" w:space="0" w:color="auto"/>
            <w:left w:val="none" w:sz="0" w:space="0" w:color="auto"/>
            <w:bottom w:val="none" w:sz="0" w:space="0" w:color="auto"/>
            <w:right w:val="none" w:sz="0" w:space="0" w:color="auto"/>
          </w:tblBorders>
        </w:tblPrEx>
        <w:tc>
          <w:tcPr>
            <w:tcW w:w="5206" w:type="dxa"/>
            <w:gridSpan w:val="3"/>
          </w:tcPr>
          <w:p w14:paraId="30A323D4" w14:textId="77777777" w:rsidR="008350D9" w:rsidRPr="001A6A17" w:rsidRDefault="008350D9" w:rsidP="00335D20">
            <w:pPr>
              <w:pStyle w:val="naiskr"/>
              <w:spacing w:before="0" w:after="0"/>
              <w:contextualSpacing/>
              <w:rPr>
                <w:sz w:val="22"/>
                <w:szCs w:val="22"/>
              </w:rPr>
            </w:pPr>
          </w:p>
        </w:tc>
        <w:tc>
          <w:tcPr>
            <w:tcW w:w="10036" w:type="dxa"/>
            <w:gridSpan w:val="3"/>
            <w:tcBorders>
              <w:top w:val="single" w:sz="6" w:space="0" w:color="000000"/>
            </w:tcBorders>
          </w:tcPr>
          <w:p w14:paraId="7DA23EC6" w14:textId="77777777" w:rsidR="008350D9" w:rsidRPr="001A6A17" w:rsidRDefault="008350D9" w:rsidP="00335D20">
            <w:pPr>
              <w:pStyle w:val="naisc"/>
              <w:spacing w:before="0" w:after="0"/>
              <w:contextualSpacing/>
              <w:rPr>
                <w:sz w:val="22"/>
                <w:szCs w:val="22"/>
              </w:rPr>
            </w:pPr>
            <w:r w:rsidRPr="001A6A17">
              <w:rPr>
                <w:sz w:val="22"/>
                <w:szCs w:val="22"/>
              </w:rPr>
              <w:t>(paraksts)</w:t>
            </w:r>
          </w:p>
        </w:tc>
      </w:tr>
    </w:tbl>
    <w:p w14:paraId="7C5A3EA5" w14:textId="77777777" w:rsidR="008350D9" w:rsidRPr="001A6A17" w:rsidRDefault="008350D9" w:rsidP="008350D9">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8350D9" w:rsidRPr="001A6A17" w14:paraId="165139C6" w14:textId="77777777" w:rsidTr="00335D20">
        <w:tc>
          <w:tcPr>
            <w:tcW w:w="8268" w:type="dxa"/>
            <w:tcBorders>
              <w:top w:val="single" w:sz="4" w:space="0" w:color="000000"/>
            </w:tcBorders>
          </w:tcPr>
          <w:p w14:paraId="2D22422B" w14:textId="77777777" w:rsidR="008350D9" w:rsidRPr="001A6A17" w:rsidRDefault="008350D9" w:rsidP="00335D20">
            <w:pPr>
              <w:contextualSpacing/>
              <w:rPr>
                <w:sz w:val="22"/>
                <w:szCs w:val="22"/>
              </w:rPr>
            </w:pPr>
            <w:r w:rsidRPr="001A6A17">
              <w:rPr>
                <w:sz w:val="22"/>
                <w:szCs w:val="22"/>
              </w:rPr>
              <w:t>(par projektu atbildīgās amatpersonas vārds un uzvārds)</w:t>
            </w:r>
          </w:p>
        </w:tc>
      </w:tr>
      <w:tr w:rsidR="008350D9" w:rsidRPr="001A6A17" w14:paraId="4A0DAD94" w14:textId="77777777" w:rsidTr="00335D20">
        <w:tc>
          <w:tcPr>
            <w:tcW w:w="8268" w:type="dxa"/>
            <w:tcBorders>
              <w:bottom w:val="single" w:sz="4" w:space="0" w:color="000000"/>
            </w:tcBorders>
          </w:tcPr>
          <w:p w14:paraId="452225B7" w14:textId="77777777" w:rsidR="008350D9" w:rsidRPr="001A6A17" w:rsidRDefault="008350D9" w:rsidP="00335D20">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8350D9" w:rsidRPr="001A6A17" w14:paraId="7B5D4078" w14:textId="77777777" w:rsidTr="00335D20">
        <w:tc>
          <w:tcPr>
            <w:tcW w:w="8268" w:type="dxa"/>
            <w:tcBorders>
              <w:top w:val="single" w:sz="4" w:space="0" w:color="000000"/>
            </w:tcBorders>
          </w:tcPr>
          <w:p w14:paraId="09C8E747" w14:textId="77777777" w:rsidR="008350D9" w:rsidRPr="001A6A17" w:rsidRDefault="008350D9" w:rsidP="00335D20">
            <w:pPr>
              <w:contextualSpacing/>
              <w:rPr>
                <w:sz w:val="22"/>
                <w:szCs w:val="22"/>
              </w:rPr>
            </w:pPr>
            <w:r w:rsidRPr="001A6A17">
              <w:rPr>
                <w:sz w:val="22"/>
                <w:szCs w:val="22"/>
              </w:rPr>
              <w:t>(amats)</w:t>
            </w:r>
          </w:p>
        </w:tc>
      </w:tr>
      <w:tr w:rsidR="008350D9" w:rsidRPr="001A6A17" w14:paraId="7FDB98D2" w14:textId="77777777" w:rsidTr="00335D20">
        <w:tc>
          <w:tcPr>
            <w:tcW w:w="8268" w:type="dxa"/>
            <w:tcBorders>
              <w:bottom w:val="single" w:sz="4" w:space="0" w:color="000000"/>
            </w:tcBorders>
          </w:tcPr>
          <w:p w14:paraId="437F25D8" w14:textId="77777777" w:rsidR="008350D9" w:rsidRPr="001A6A17" w:rsidRDefault="008350D9" w:rsidP="00335D20">
            <w:pPr>
              <w:contextualSpacing/>
              <w:rPr>
                <w:sz w:val="22"/>
                <w:szCs w:val="22"/>
              </w:rPr>
            </w:pPr>
            <w:r w:rsidRPr="001A6A17">
              <w:rPr>
                <w:sz w:val="22"/>
                <w:szCs w:val="22"/>
              </w:rPr>
              <w:t>67013</w:t>
            </w:r>
            <w:r>
              <w:rPr>
                <w:sz w:val="22"/>
                <w:szCs w:val="22"/>
              </w:rPr>
              <w:t>257</w:t>
            </w:r>
            <w:r w:rsidRPr="001A6A17">
              <w:rPr>
                <w:sz w:val="22"/>
                <w:szCs w:val="22"/>
              </w:rPr>
              <w:t>, 67280882</w:t>
            </w:r>
          </w:p>
        </w:tc>
      </w:tr>
      <w:tr w:rsidR="008350D9" w:rsidRPr="001A6A17" w14:paraId="7DB9CF1A" w14:textId="77777777" w:rsidTr="00335D20">
        <w:tc>
          <w:tcPr>
            <w:tcW w:w="8268" w:type="dxa"/>
            <w:tcBorders>
              <w:top w:val="single" w:sz="4" w:space="0" w:color="000000"/>
            </w:tcBorders>
          </w:tcPr>
          <w:p w14:paraId="2682A9D3" w14:textId="77777777" w:rsidR="008350D9" w:rsidRPr="001A6A17" w:rsidRDefault="008350D9" w:rsidP="00335D20">
            <w:pPr>
              <w:contextualSpacing/>
              <w:rPr>
                <w:sz w:val="22"/>
                <w:szCs w:val="22"/>
              </w:rPr>
            </w:pPr>
            <w:r w:rsidRPr="001A6A17">
              <w:rPr>
                <w:sz w:val="22"/>
                <w:szCs w:val="22"/>
              </w:rPr>
              <w:t>(tālruņa un faksa numurs)</w:t>
            </w:r>
          </w:p>
        </w:tc>
      </w:tr>
      <w:tr w:rsidR="008350D9" w:rsidRPr="001A6A17" w14:paraId="477C0FF2" w14:textId="77777777" w:rsidTr="00335D20">
        <w:tc>
          <w:tcPr>
            <w:tcW w:w="8268" w:type="dxa"/>
            <w:tcBorders>
              <w:bottom w:val="single" w:sz="4" w:space="0" w:color="000000"/>
            </w:tcBorders>
          </w:tcPr>
          <w:p w14:paraId="5C4B1546" w14:textId="77777777" w:rsidR="008350D9" w:rsidRPr="001A6A17" w:rsidRDefault="008350D9" w:rsidP="00335D20">
            <w:pPr>
              <w:contextualSpacing/>
              <w:rPr>
                <w:sz w:val="22"/>
                <w:szCs w:val="22"/>
              </w:rPr>
            </w:pPr>
            <w:r>
              <w:rPr>
                <w:sz w:val="22"/>
                <w:szCs w:val="22"/>
              </w:rPr>
              <w:t>Olga.Feldmane</w:t>
            </w:r>
            <w:r w:rsidRPr="001A6A17">
              <w:rPr>
                <w:sz w:val="22"/>
                <w:szCs w:val="22"/>
              </w:rPr>
              <w:t>@em.gov.lv</w:t>
            </w:r>
          </w:p>
        </w:tc>
      </w:tr>
      <w:tr w:rsidR="008350D9" w:rsidRPr="001A6A17" w14:paraId="2FDB2180" w14:textId="77777777" w:rsidTr="00335D20">
        <w:tc>
          <w:tcPr>
            <w:tcW w:w="8268" w:type="dxa"/>
            <w:tcBorders>
              <w:top w:val="single" w:sz="4" w:space="0" w:color="000000"/>
            </w:tcBorders>
          </w:tcPr>
          <w:p w14:paraId="7D7C97DE" w14:textId="77777777" w:rsidR="008350D9" w:rsidRPr="001A6A17" w:rsidRDefault="008350D9" w:rsidP="00335D20">
            <w:pPr>
              <w:contextualSpacing/>
              <w:jc w:val="center"/>
              <w:rPr>
                <w:sz w:val="22"/>
                <w:szCs w:val="22"/>
              </w:rPr>
            </w:pPr>
            <w:r w:rsidRPr="001A6A17">
              <w:rPr>
                <w:sz w:val="22"/>
                <w:szCs w:val="22"/>
              </w:rPr>
              <w:t>(e-pasta adrese)</w:t>
            </w:r>
          </w:p>
        </w:tc>
      </w:tr>
    </w:tbl>
    <w:p w14:paraId="6F44F4AC" w14:textId="77777777" w:rsidR="00D82D6B" w:rsidRDefault="00D82D6B" w:rsidP="008350D9">
      <w:pPr>
        <w:rPr>
          <w:sz w:val="20"/>
          <w:szCs w:val="20"/>
        </w:rPr>
      </w:pPr>
    </w:p>
    <w:p w14:paraId="0642A93B" w14:textId="77777777" w:rsidR="00D82D6B" w:rsidRDefault="00D82D6B" w:rsidP="008350D9">
      <w:pPr>
        <w:rPr>
          <w:sz w:val="20"/>
          <w:szCs w:val="20"/>
        </w:rPr>
      </w:pPr>
    </w:p>
    <w:p w14:paraId="5A8C86FB" w14:textId="77777777" w:rsidR="00D82D6B" w:rsidRDefault="00D82D6B" w:rsidP="008350D9">
      <w:pPr>
        <w:rPr>
          <w:sz w:val="20"/>
          <w:szCs w:val="20"/>
        </w:rPr>
      </w:pPr>
    </w:p>
    <w:p w14:paraId="04A0FD1A" w14:textId="4662E233" w:rsidR="008350D9" w:rsidRPr="005D344C" w:rsidRDefault="008350D9" w:rsidP="008350D9">
      <w:pPr>
        <w:rPr>
          <w:sz w:val="20"/>
          <w:szCs w:val="20"/>
        </w:rPr>
      </w:pPr>
      <w:r w:rsidRPr="005D344C">
        <w:rPr>
          <w:sz w:val="20"/>
          <w:szCs w:val="20"/>
        </w:rPr>
        <w:t>Vīksna, 67013140</w:t>
      </w:r>
    </w:p>
    <w:p w14:paraId="25DA7936" w14:textId="443E5723" w:rsidR="008350D9" w:rsidRDefault="008350D9">
      <w:r w:rsidRPr="005D344C">
        <w:rPr>
          <w:sz w:val="20"/>
          <w:szCs w:val="20"/>
        </w:rPr>
        <w:t>Marija.Viksna@em.gov.lv</w:t>
      </w:r>
    </w:p>
    <w:sectPr w:rsidR="008350D9" w:rsidSect="009D41E0">
      <w:headerReference w:type="default" r:id="rId8"/>
      <w:footerReference w:type="default" r:id="rId9"/>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5B1F" w14:textId="77777777" w:rsidR="000E46F9" w:rsidRDefault="000E46F9" w:rsidP="00997FEC">
      <w:r>
        <w:separator/>
      </w:r>
    </w:p>
  </w:endnote>
  <w:endnote w:type="continuationSeparator" w:id="0">
    <w:p w14:paraId="3E041208" w14:textId="77777777" w:rsidR="000E46F9" w:rsidRDefault="000E46F9" w:rsidP="009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00D" w14:textId="1957E7F6" w:rsidR="00997FEC" w:rsidRPr="00E07613" w:rsidRDefault="00997FEC">
    <w:pPr>
      <w:pStyle w:val="Footer"/>
      <w:rPr>
        <w:sz w:val="20"/>
        <w:szCs w:val="20"/>
      </w:rPr>
    </w:pPr>
    <w:r w:rsidRPr="00E07613">
      <w:rPr>
        <w:sz w:val="20"/>
        <w:szCs w:val="20"/>
      </w:rPr>
      <w:t>EMizz_151220</w:t>
    </w:r>
    <w:r w:rsidR="00E07613" w:rsidRPr="00E07613">
      <w:rPr>
        <w:sz w:val="20"/>
        <w:szCs w:val="20"/>
      </w:rPr>
      <w:t>_LBN003_19groz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7306" w14:textId="77777777" w:rsidR="000E46F9" w:rsidRDefault="000E46F9" w:rsidP="00997FEC">
      <w:r>
        <w:separator/>
      </w:r>
    </w:p>
  </w:footnote>
  <w:footnote w:type="continuationSeparator" w:id="0">
    <w:p w14:paraId="156136D1" w14:textId="77777777" w:rsidR="000E46F9" w:rsidRDefault="000E46F9" w:rsidP="0099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620147"/>
      <w:docPartObj>
        <w:docPartGallery w:val="Page Numbers (Top of Page)"/>
        <w:docPartUnique/>
      </w:docPartObj>
    </w:sdtPr>
    <w:sdtEndPr>
      <w:rPr>
        <w:noProof/>
      </w:rPr>
    </w:sdtEndPr>
    <w:sdtContent>
      <w:p w14:paraId="327FB0D6" w14:textId="61370CE9" w:rsidR="00997FEC" w:rsidRDefault="00997F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C4661A" w14:textId="77777777" w:rsidR="00997FEC" w:rsidRDefault="00997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97106"/>
    <w:multiLevelType w:val="hybridMultilevel"/>
    <w:tmpl w:val="8A14AD76"/>
    <w:lvl w:ilvl="0" w:tplc="0A84A892">
      <w:start w:val="5"/>
      <w:numFmt w:val="bullet"/>
      <w:lvlText w:val="-"/>
      <w:lvlJc w:val="left"/>
      <w:pPr>
        <w:ind w:left="480" w:hanging="360"/>
      </w:pPr>
      <w:rPr>
        <w:rFonts w:ascii="Times New Roman" w:eastAsia="Times New Roman" w:hAnsi="Times New Roman" w:cs="Times New Roman" w:hint="default"/>
        <w:sz w:val="24"/>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D9"/>
    <w:rsid w:val="0008440E"/>
    <w:rsid w:val="000E46F9"/>
    <w:rsid w:val="001D7EFB"/>
    <w:rsid w:val="001E2C08"/>
    <w:rsid w:val="001E5858"/>
    <w:rsid w:val="0025253E"/>
    <w:rsid w:val="002D0965"/>
    <w:rsid w:val="004F01A6"/>
    <w:rsid w:val="00527737"/>
    <w:rsid w:val="0070404D"/>
    <w:rsid w:val="008350D9"/>
    <w:rsid w:val="00873B18"/>
    <w:rsid w:val="00902690"/>
    <w:rsid w:val="00997FEC"/>
    <w:rsid w:val="009D41E0"/>
    <w:rsid w:val="009E59F2"/>
    <w:rsid w:val="00A215BE"/>
    <w:rsid w:val="00A41DAD"/>
    <w:rsid w:val="00B705CC"/>
    <w:rsid w:val="00BB4AA9"/>
    <w:rsid w:val="00D110CF"/>
    <w:rsid w:val="00D82D6B"/>
    <w:rsid w:val="00DB510D"/>
    <w:rsid w:val="00E07613"/>
    <w:rsid w:val="00E24579"/>
    <w:rsid w:val="00E86E65"/>
    <w:rsid w:val="00F4239A"/>
    <w:rsid w:val="00F635E1"/>
    <w:rsid w:val="00FB3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8EF2"/>
  <w15:chartTrackingRefBased/>
  <w15:docId w15:val="{D2EC3B74-4EC9-4518-8D47-34DD18A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350D9"/>
    <w:pPr>
      <w:spacing w:before="75" w:after="75"/>
      <w:ind w:firstLine="375"/>
      <w:jc w:val="both"/>
    </w:pPr>
  </w:style>
  <w:style w:type="paragraph" w:customStyle="1" w:styleId="naisnod">
    <w:name w:val="naisnod"/>
    <w:basedOn w:val="Normal"/>
    <w:uiPriority w:val="99"/>
    <w:rsid w:val="008350D9"/>
    <w:pPr>
      <w:spacing w:before="150" w:after="150"/>
      <w:jc w:val="center"/>
    </w:pPr>
    <w:rPr>
      <w:b/>
      <w:bCs/>
    </w:rPr>
  </w:style>
  <w:style w:type="paragraph" w:customStyle="1" w:styleId="naiskr">
    <w:name w:val="naiskr"/>
    <w:basedOn w:val="Normal"/>
    <w:rsid w:val="008350D9"/>
    <w:pPr>
      <w:spacing w:before="75" w:after="75"/>
    </w:pPr>
  </w:style>
  <w:style w:type="paragraph" w:customStyle="1" w:styleId="naisc">
    <w:name w:val="naisc"/>
    <w:basedOn w:val="Normal"/>
    <w:rsid w:val="008350D9"/>
    <w:pPr>
      <w:spacing w:before="75" w:after="75"/>
      <w:jc w:val="center"/>
    </w:pPr>
  </w:style>
  <w:style w:type="paragraph" w:styleId="NormalWeb">
    <w:name w:val="Normal (Web)"/>
    <w:basedOn w:val="Normal"/>
    <w:uiPriority w:val="99"/>
    <w:semiHidden/>
    <w:unhideWhenUsed/>
    <w:rsid w:val="008350D9"/>
    <w:pPr>
      <w:spacing w:before="100" w:beforeAutospacing="1" w:after="100" w:afterAutospacing="1"/>
    </w:pPr>
  </w:style>
  <w:style w:type="paragraph" w:styleId="Header">
    <w:name w:val="header"/>
    <w:basedOn w:val="Normal"/>
    <w:link w:val="HeaderChar"/>
    <w:uiPriority w:val="99"/>
    <w:unhideWhenUsed/>
    <w:rsid w:val="00997FEC"/>
    <w:pPr>
      <w:tabs>
        <w:tab w:val="center" w:pos="4153"/>
        <w:tab w:val="right" w:pos="8306"/>
      </w:tabs>
    </w:pPr>
  </w:style>
  <w:style w:type="character" w:customStyle="1" w:styleId="HeaderChar">
    <w:name w:val="Header Char"/>
    <w:basedOn w:val="DefaultParagraphFont"/>
    <w:link w:val="Header"/>
    <w:uiPriority w:val="99"/>
    <w:rsid w:val="00997F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97FEC"/>
    <w:pPr>
      <w:tabs>
        <w:tab w:val="center" w:pos="4153"/>
        <w:tab w:val="right" w:pos="8306"/>
      </w:tabs>
    </w:pPr>
  </w:style>
  <w:style w:type="character" w:customStyle="1" w:styleId="FooterChar">
    <w:name w:val="Footer Char"/>
    <w:basedOn w:val="DefaultParagraphFont"/>
    <w:link w:val="Footer"/>
    <w:uiPriority w:val="99"/>
    <w:rsid w:val="00997FE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D686-166C-444C-8ED7-F5BC4B02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9804</Words>
  <Characters>5589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11</cp:revision>
  <dcterms:created xsi:type="dcterms:W3CDTF">2020-12-15T12:46:00Z</dcterms:created>
  <dcterms:modified xsi:type="dcterms:W3CDTF">2021-01-18T13:02:00Z</dcterms:modified>
</cp:coreProperties>
</file>