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4554FA5" w14:textId="572E51B6" w:rsidR="001A75F3" w:rsidRPr="00A32056" w:rsidRDefault="001A75F3" w:rsidP="001A75F3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</w:rPr>
        <w:fldChar w:fldCharType="begin"/>
      </w:r>
      <w:r w:rsidRPr="00A32056">
        <w:rPr>
          <w:rFonts w:ascii="Times New Roman" w:hAnsi="Times New Roman"/>
          <w:sz w:val="28"/>
          <w:szCs w:val="28"/>
          <w:lang w:val="de-DE"/>
        </w:rPr>
        <w:instrText xml:space="preserve"> HYPERLINK "https://m.likumi.lv/wwwraksti/2013/138/383/P3.DOC" \o "Atvērt citā formātā" </w:instrText>
      </w:r>
      <w:r w:rsidRPr="00A32056">
        <w:rPr>
          <w:rFonts w:ascii="Times New Roman" w:hAnsi="Times New Roman"/>
          <w:sz w:val="28"/>
          <w:szCs w:val="28"/>
        </w:rPr>
        <w:fldChar w:fldCharType="separate"/>
      </w:r>
      <w:r w:rsidRPr="00A32056">
        <w:rPr>
          <w:rFonts w:ascii="Times New Roman" w:hAnsi="Times New Roman"/>
          <w:sz w:val="28"/>
          <w:szCs w:val="28"/>
          <w:lang w:val="de-DE"/>
        </w:rPr>
        <w:t xml:space="preserve">4. </w:t>
      </w:r>
      <w:proofErr w:type="spellStart"/>
      <w:r w:rsidRPr="00A32056">
        <w:rPr>
          <w:rFonts w:ascii="Times New Roman" w:hAnsi="Times New Roman"/>
          <w:sz w:val="28"/>
          <w:szCs w:val="28"/>
          <w:lang w:val="de-DE"/>
        </w:rPr>
        <w:t>pielikums</w:t>
      </w:r>
      <w:proofErr w:type="spellEnd"/>
      <w:r w:rsidRPr="00A32056">
        <w:rPr>
          <w:rFonts w:ascii="Times New Roman" w:hAnsi="Times New Roman"/>
          <w:sz w:val="28"/>
          <w:szCs w:val="28"/>
        </w:rPr>
        <w:fldChar w:fldCharType="end"/>
      </w:r>
      <w:r w:rsidRPr="00A32056">
        <w:rPr>
          <w:rFonts w:ascii="Times New Roman" w:hAnsi="Times New Roman"/>
          <w:sz w:val="28"/>
          <w:szCs w:val="28"/>
          <w:lang w:val="de-DE"/>
        </w:rPr>
        <w:br/>
      </w:r>
      <w:proofErr w:type="spellStart"/>
      <w:r w:rsidRPr="00A32056">
        <w:rPr>
          <w:rFonts w:ascii="Times New Roman" w:hAnsi="Times New Roman"/>
          <w:sz w:val="28"/>
          <w:szCs w:val="28"/>
          <w:lang w:val="de-DE"/>
        </w:rPr>
        <w:t>Ministru</w:t>
      </w:r>
      <w:proofErr w:type="spellEnd"/>
      <w:r w:rsidRPr="00A32056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de-DE"/>
        </w:rPr>
        <w:t>kabineta</w:t>
      </w:r>
      <w:proofErr w:type="spellEnd"/>
      <w:r w:rsidRPr="00A32056">
        <w:rPr>
          <w:rFonts w:ascii="Times New Roman" w:hAnsi="Times New Roman"/>
          <w:sz w:val="28"/>
          <w:szCs w:val="28"/>
          <w:lang w:val="de-DE"/>
        </w:rPr>
        <w:br/>
        <w:t xml:space="preserve">2021. </w:t>
      </w:r>
      <w:proofErr w:type="spellStart"/>
      <w:r w:rsidRPr="00A32056">
        <w:rPr>
          <w:rFonts w:ascii="Times New Roman" w:hAnsi="Times New Roman"/>
          <w:sz w:val="28"/>
          <w:szCs w:val="28"/>
          <w:lang w:val="de-DE"/>
        </w:rPr>
        <w:t>gada</w:t>
      </w:r>
      <w:proofErr w:type="spellEnd"/>
      <w:r w:rsidRPr="00A32056">
        <w:rPr>
          <w:rFonts w:ascii="Times New Roman" w:hAnsi="Times New Roman"/>
          <w:sz w:val="28"/>
          <w:szCs w:val="28"/>
          <w:lang w:val="de-DE"/>
        </w:rPr>
        <w:t xml:space="preserve"> _________</w:t>
      </w:r>
      <w:r w:rsidRPr="00A32056">
        <w:rPr>
          <w:rFonts w:ascii="Times New Roman" w:hAnsi="Times New Roman"/>
          <w:sz w:val="28"/>
          <w:szCs w:val="28"/>
          <w:lang w:val="de-DE"/>
        </w:rPr>
        <w:br/>
      </w:r>
      <w:proofErr w:type="spellStart"/>
      <w:r w:rsidRPr="00A32056">
        <w:rPr>
          <w:rFonts w:ascii="Times New Roman" w:hAnsi="Times New Roman"/>
          <w:sz w:val="28"/>
          <w:szCs w:val="28"/>
          <w:lang w:val="de-DE"/>
        </w:rPr>
        <w:t>noteikumiem</w:t>
      </w:r>
      <w:proofErr w:type="spellEnd"/>
      <w:r w:rsidRPr="00A32056">
        <w:rPr>
          <w:rFonts w:ascii="Times New Roman" w:hAnsi="Times New Roman"/>
          <w:sz w:val="28"/>
          <w:szCs w:val="28"/>
          <w:lang w:val="de-DE"/>
        </w:rPr>
        <w:t xml:space="preserve"> Nr. </w:t>
      </w:r>
      <w:bookmarkStart w:id="1" w:name="piel-568461"/>
      <w:bookmarkEnd w:id="1"/>
      <w:r w:rsidRPr="00A32056">
        <w:rPr>
          <w:rFonts w:ascii="Times New Roman" w:hAnsi="Times New Roman"/>
          <w:sz w:val="28"/>
          <w:szCs w:val="28"/>
        </w:rPr>
        <w:t>____</w:t>
      </w:r>
    </w:p>
    <w:p w14:paraId="186812BB" w14:textId="7D800BE5" w:rsidR="00DE1F72" w:rsidRPr="00A32056" w:rsidRDefault="001A75F3" w:rsidP="001A75F3">
      <w:pPr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A32056">
        <w:rPr>
          <w:rFonts w:ascii="Times New Roman" w:hAnsi="Times New Roman"/>
          <w:b/>
          <w:sz w:val="28"/>
          <w:szCs w:val="28"/>
          <w:lang w:val="lv-LV"/>
        </w:rPr>
        <w:t>Ēku energoefektivitātes aprēķina standarti</w:t>
      </w:r>
    </w:p>
    <w:p w14:paraId="7194825B" w14:textId="4BE1B4D2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52000-1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373F6873" w14:textId="086CAAD0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52000-1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348A2A87" w14:textId="6BD93FAC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 52003-1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Rādītāji, prasības un sertifikācija. 1.daļa: Vispārīgie aspekti un pielietošana kopējai energoefektivitātei (ISO 52003-1:2017);</w:t>
      </w:r>
    </w:p>
    <w:p w14:paraId="76D30BD5" w14:textId="32EDE790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52000-1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7194310E" w14:textId="72FB6F68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52000-1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Vispārējs ēku energoefektivitātes novērtējums. 1.daļa: Vispārīgas pamatnostādnes un procedūras (ISO 52000-1:2017);</w:t>
      </w:r>
    </w:p>
    <w:p w14:paraId="5D2AC9BD" w14:textId="0EF392DD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ISO 17772-1</w:t>
      </w:r>
      <w:r w:rsidRPr="00A3205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Energy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performance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buildings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—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Indoor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environmental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quality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—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Part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1: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Indoor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environmental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input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parameters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for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design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and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assessment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energy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performance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buildings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;</w:t>
      </w:r>
    </w:p>
    <w:p w14:paraId="4D8A47FA" w14:textId="16048592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1.daļa: Telpu mikroklimata ievades parametri ēku energoefektivitātes projektēšanai un novērtēšanai, ņemot vērā telpu gaisa kvalitāti, temperatūras režīmu, apgaismojumu un akustiku. M1-6 modulis;</w:t>
      </w:r>
    </w:p>
    <w:p w14:paraId="4CF82660" w14:textId="1E8CAE39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ISO 17772 1</w:t>
      </w:r>
      <w:r w:rsidRPr="00A32056">
        <w:rPr>
          <w:rFonts w:ascii="Times New Roman" w:hAnsi="Times New Roman"/>
          <w:sz w:val="28"/>
          <w:szCs w:val="28"/>
          <w:lang w:val="lv-LV"/>
        </w:rPr>
        <w:tab/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Energy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performance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buildings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—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Indoor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environmental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quality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—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Part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1: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Indoor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environmental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input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parameters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for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the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design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and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assessment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energy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performance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of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buildings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;</w:t>
      </w:r>
    </w:p>
    <w:p w14:paraId="66E50192" w14:textId="26CCEC29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 52010-1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Ārējās vides apstākļi. 1.daļa: Klimatisko datu pārveidošana enerģijas aprēķinos (ISO 52010-1:2017);</w:t>
      </w:r>
    </w:p>
    <w:p w14:paraId="7A7A2FED" w14:textId="359EC3DE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15459-1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energosistēmu ekonomiskā izvērtēšanas procedūra. 1.daļa: Aprēķinu procedūras, M1-14 modulis;</w:t>
      </w:r>
    </w:p>
    <w:p w14:paraId="3C8D9AE6" w14:textId="2323F5F0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52016-1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Apkurei un dzesēšanai nepieciešamās enerģijas, iekšējās temperatūras un sajūtamā un latentā siltuma slodzes. 1.daļa: Aprēķina procedūras (ISO 52016-1:2017);</w:t>
      </w:r>
    </w:p>
    <w:p w14:paraId="7A5DEBF3" w14:textId="013D2E40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52017-1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Sajūtamā un latentā siltuma slodzes un telpu temperatūras. 1.daļa. Vispārējas aprēķina procedūras (ISO 52017-1:2017);</w:t>
      </w:r>
    </w:p>
    <w:p w14:paraId="0031CBBB" w14:textId="1DCA9EDC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lastRenderedPageBreak/>
        <w:t>LVS EN ISO 52018-1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Rādītāji daļai ēku energoefektivitātes (EPB) prasību, kas saistītas ar siltumenerģijas bilanci un struktūras īpatnībām. 1.daļa: Pārskats par iespējām (ISO 52018-1:2017);</w:t>
      </w:r>
    </w:p>
    <w:p w14:paraId="64B3D60A" w14:textId="5D0AB28D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13789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siltumtehniskās īpašības.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Siltumpārvades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un ventilācijas siltumapmaiņas koeficienti. Aprēķināšanas metodika (ISO 13789:2017)</w:t>
      </w:r>
    </w:p>
    <w:p w14:paraId="62272158" w14:textId="4224EDFB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13370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siltumtehniskās īpašības. Siltuma zudumi caur zemi. Aprēķina metodes (ISO 13370:2017);</w:t>
      </w:r>
    </w:p>
    <w:p w14:paraId="1237059D" w14:textId="3E5E490B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6946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Būvdetaļas un būvelementi.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Siltumpretestība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siltumcaurlaidība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. Aprēķinu metodes (ISO 6946:2017) ;</w:t>
      </w:r>
    </w:p>
    <w:p w14:paraId="63DF06F0" w14:textId="7E70C01B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10211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Termiskie tilti būvkonstrukcijās. Siltuma plūsmas un virsmas temperatūras. Detalizēti aprēķini (ISO 10211:2017);</w:t>
      </w:r>
    </w:p>
    <w:p w14:paraId="4A6A1266" w14:textId="5BE08DFC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14683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Termiskie tilti būvkonstrukcijās. Lineārās siltuma caurlaidības koeficients. Vienkāršotas metodes un pieņemtās vērtības (ISO 14683:2017);</w:t>
      </w:r>
    </w:p>
    <w:p w14:paraId="6250B0CA" w14:textId="21452255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10077 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Logu, durvju un slēģu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siltumefektivitāte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. Siltuma caurlaidības aprēķini. 1.daļa: Vispārīgi (ISO 10077-1:2017) ;</w:t>
      </w:r>
    </w:p>
    <w:p w14:paraId="4C9B1823" w14:textId="45284AE4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10077 2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Logu, durvju un slēģu termiskās īpašības -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Siltumvadītspējas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koeficienta aprēķināšana - 2.daļa: Aprēķina metode rāmjiem ;</w:t>
      </w:r>
    </w:p>
    <w:p w14:paraId="3112CE9E" w14:textId="35CDD655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12631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Piekārto sienu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termoefektivitāte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.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Siltumcaurlaidības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aprēķini (ISO 12631:2017);</w:t>
      </w:r>
    </w:p>
    <w:p w14:paraId="398D57D8" w14:textId="34A45BFD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ISO 13786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būvkomponentu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siltumtehniskās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īpašības. Dinamiskie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siltumtehniskie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raksturlielumi. Aprēķinu metodes (ISO 13786:2017, koriģēta versija 2018-03);</w:t>
      </w:r>
    </w:p>
    <w:p w14:paraId="7E6FC824" w14:textId="2069BBF9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ISO EN 52022 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Būvdetaļu un būvelementu siltumenerģijas, saules starojuma un dienasgaismas īpašības. 3.daļa: Saules starojuma un dienasgaismas raksturlielumu detalizēta aprēķinu metode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saulsargiem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kopā ar stiklojumu (ISO 52022-3:2017);</w:t>
      </w:r>
    </w:p>
    <w:p w14:paraId="215E02A5" w14:textId="135D08BD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ISO EN 52022 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Būvdetaļu un būvelementu siltumenerģijas, saules starojuma un dienasgaismas īpašības. 1.daļa: Saules starojuma un dienasgaismas raksturlielumu vienkāršota aprēķinu metode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saulsargiem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kopā ar stiklojumu (ISO 52022-1:2017);</w:t>
      </w:r>
    </w:p>
    <w:p w14:paraId="2E982745" w14:textId="732506DC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1.daļa: Vispārējā un energoefektivitātes atspoguļošana M3-1, M3-4, M3-9, M8-1 un M8-4 moduļiem;</w:t>
      </w:r>
    </w:p>
    <w:p w14:paraId="1E2745CE" w14:textId="6E851BB5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12831-1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Siltumslodzes projektēšanas aprēķina metode. 1.daļa: Telpu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siltumslodze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. M3-3 modulis;</w:t>
      </w:r>
    </w:p>
    <w:p w14:paraId="1889F84A" w14:textId="1B299D46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lastRenderedPageBreak/>
        <w:t>LVS EN 15316-2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2.daļa: Telpu emisijas sistēmas (apkure un dzesēšana), M3-5 un M4-5 moduļi ;</w:t>
      </w:r>
    </w:p>
    <w:p w14:paraId="0006DB52" w14:textId="1650C86D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3.daļa: Telpu apgādes sistēmas (DHW, apkure un dzesēšana). M3-6, M4-6 un M8-6 moduļi ;</w:t>
      </w:r>
    </w:p>
    <w:p w14:paraId="22188141" w14:textId="26CA4346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15316-5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5.daļa: Telpu apkures un DHW uzglabāšanas sistēmas (izņemot dzesēšanu), M3-7 un M8-7 moduļi ;</w:t>
      </w:r>
    </w:p>
    <w:p w14:paraId="21235164" w14:textId="29B6B8CF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Sistēmu energoprasību un efektivitātes aprēķināšanas metodes. 4-1.daļa: Telpu apkure un DHW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ģenerētājsistēmas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,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degsistēmas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(biomasas boileri), M3-8-1 un M8-8-1 moduļi ;</w:t>
      </w:r>
    </w:p>
    <w:p w14:paraId="62F621F9" w14:textId="66EBDFE7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15316-4-2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Sistēmu energoprasību un efektivitātes aprēķināšanas metodes. 4-2.daļa: Telpu apkures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ģenerētājsistēmas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siltumsūkņu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sistēmas. M3-8-2 un M8-8-2 moduļi ;</w:t>
      </w:r>
    </w:p>
    <w:p w14:paraId="17823396" w14:textId="5FC99DE4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apkures sistēmas un dzesēšanas sistēmas uz ūdens bāzes. Sistēmu energoprasību un efektivitātes aprēķināšanas metodes. 4-3.daļa: Siltuma ģenerēšanas, saules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siltumenerģētiskās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fotoelektriskās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sistēmas M3-8-3, M8-8-3 un M11-8-3 moduļi ;</w:t>
      </w:r>
    </w:p>
    <w:p w14:paraId="7901CB12" w14:textId="28869099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15316-4-4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4-4.daļa: Siltuma ģenerēšanas un ēkās integrētās koģenerācijas sistēmas, M8-3-4, M8-8-4 un M8-11-4 moduļi ;</w:t>
      </w:r>
    </w:p>
    <w:p w14:paraId="54D8599D" w14:textId="5D89BF57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15316-4-5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4-5.daļa: Centralizētā apkure un dzesēšana, M3-8-5, M4-8-5, M8-8-5 un M11-8-5 moduļi ;</w:t>
      </w:r>
    </w:p>
    <w:p w14:paraId="0AF2C16B" w14:textId="087E56A2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15316-4-8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Sistēmu energoprasību un efektivitātes aprēķināšanas metodes. 4-8.daļa: Telpu apkures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ģenerētājsistēmas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>, gaisa apsildes un pie griestiem piestiprināmu siltuma izstarotāju sistēmas, ieskaitot krāsnis (vietējās). M3-8-8 modulis;</w:t>
      </w:r>
    </w:p>
    <w:p w14:paraId="1DF2D022" w14:textId="71CE3926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15378-3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apkures sistēmas un DHW. 3.daļa: Izmērītā energoefektivitāte M3-10 un M8-10 moduļiem;</w:t>
      </w:r>
    </w:p>
    <w:p w14:paraId="07276CEA" w14:textId="0F735EC5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15378-1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apkures sistēmas un DHW. 1.daļa: Apkures katlu, sistēmu un DHW inspicēšana, M3-11 un M8-11 moduļi;</w:t>
      </w:r>
    </w:p>
    <w:p w14:paraId="0E8A0834" w14:textId="580757B3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16798-9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9.daļa: Dzesēšanas sistēmu energoprasību aprēķināšanas metodes (M4-1,M4-4 un M4-9 moduļi). Vispārīgi;</w:t>
      </w:r>
    </w:p>
    <w:p w14:paraId="60697966" w14:textId="2CBC4758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16798-15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15.daļa: Dzesēšanas sistēmu aprēķins (M4-7 modulis). Uzglabāšana;</w:t>
      </w:r>
    </w:p>
    <w:p w14:paraId="496314F9" w14:textId="4E09C23A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16798-13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13.daļa: Dzesēšanas sistēmu aprēķins (M4-8 modulis). Ģenerēšana;</w:t>
      </w:r>
    </w:p>
    <w:p w14:paraId="792862E7" w14:textId="676CFAF1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lastRenderedPageBreak/>
        <w:t>LVS EN 16798-17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17.daļa: Vadlīnijas ventilācijas un gaisa kondicionēšanas sistēmu inspicēšanai (M4-11, M5-11, M6-11 un M7-11 moduļi);</w:t>
      </w:r>
    </w:p>
    <w:p w14:paraId="1D673EF1" w14:textId="5AE3E184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3.daļa: Nedzīvojamās ēkas. Veiktspējas prasības ventilācijas un telpu kondicionēšanas sistēmām (M5-1 un M5-4 moduļi);</w:t>
      </w:r>
    </w:p>
    <w:p w14:paraId="1CE66351" w14:textId="734F695B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16798-7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7.daļa: Aprēķina metodes gaisa plūsmas intensitātes noteikšanai ēkās, ieskaitot infiltrāciju (M5-5 modulis);</w:t>
      </w:r>
    </w:p>
    <w:p w14:paraId="4D7CE401" w14:textId="4889B12F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16798-5-1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Ēku ventilācija. 5-1.daļa: Ventilācijas un gaisa kondicionēšanas sistēmu energoprasību aprēķināšanas metodes (M5-6, M5-8, M6-5, M6-8, M7-5 un M7-8 moduļi). 1.metode: Izplatīšana un ģenerēšana;</w:t>
      </w:r>
    </w:p>
    <w:p w14:paraId="4B43E270" w14:textId="655F2BEB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12831-3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Siltumslodzes projektēšanas aprēķina metode. 3.daļa: Mājsaimniecību karstā ūdens sistēmu siltumslodzes un prasību raksturošana. M8-2 un M8-3 moduļi;</w:t>
      </w:r>
    </w:p>
    <w:p w14:paraId="0652C7FF" w14:textId="0F24BA07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15193-1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</w:t>
      </w:r>
      <w:proofErr w:type="spellStart"/>
      <w:r w:rsidRPr="00A32056">
        <w:rPr>
          <w:rFonts w:ascii="Times New Roman" w:hAnsi="Times New Roman"/>
          <w:sz w:val="28"/>
          <w:szCs w:val="28"/>
          <w:lang w:val="lv-LV"/>
        </w:rPr>
        <w:t>Energoprasības</w:t>
      </w:r>
      <w:proofErr w:type="spellEnd"/>
      <w:r w:rsidRPr="00A32056">
        <w:rPr>
          <w:rFonts w:ascii="Times New Roman" w:hAnsi="Times New Roman"/>
          <w:sz w:val="28"/>
          <w:szCs w:val="28"/>
          <w:lang w:val="lv-LV"/>
        </w:rPr>
        <w:t xml:space="preserve"> apgaismei. 1.daļa: M9 moduļa specifikācija;</w:t>
      </w:r>
    </w:p>
    <w:p w14:paraId="30CF24EE" w14:textId="0F01685A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15232-1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1.daļa: Ēku vadības un automātikas sistēmas ietekme. M10-4,5,6,7,8,9,10 moduļi;</w:t>
      </w:r>
    </w:p>
    <w:p w14:paraId="15C88725" w14:textId="440CF4F3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16946-1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Automatizācijas, kontroles un ēkas tehniskās vadības inspicēšana. 1.daļa. Modulis M10-11;</w:t>
      </w:r>
    </w:p>
    <w:p w14:paraId="48F55143" w14:textId="1BFEE9E2" w:rsidR="00DE1F72" w:rsidRPr="00A32056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16947-1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Ēkas vadības sistēma. 1.daļa: Modulis</w:t>
      </w:r>
      <w:r w:rsidR="001A75F3" w:rsidRPr="00A32056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1A75F3" w:rsidRPr="00A32056">
        <w:rPr>
          <w:rFonts w:ascii="Times New Roman" w:hAnsi="Times New Roman"/>
          <w:i/>
          <w:color w:val="000000"/>
          <w:sz w:val="28"/>
          <w:szCs w:val="28"/>
        </w:rPr>
        <w:t>M10-12</w:t>
      </w:r>
      <w:r w:rsidRPr="00A32056">
        <w:rPr>
          <w:rFonts w:ascii="Times New Roman" w:hAnsi="Times New Roman"/>
          <w:sz w:val="28"/>
          <w:szCs w:val="28"/>
          <w:lang w:val="lv-LV"/>
        </w:rPr>
        <w:t>;</w:t>
      </w:r>
    </w:p>
    <w:p w14:paraId="1F8C3F9A" w14:textId="43CD7892" w:rsidR="00E071D0" w:rsidRDefault="00DE1F72" w:rsidP="001A75F3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A32056">
        <w:rPr>
          <w:rFonts w:ascii="Times New Roman" w:hAnsi="Times New Roman"/>
          <w:sz w:val="28"/>
          <w:szCs w:val="28"/>
          <w:lang w:val="lv-LV"/>
        </w:rPr>
        <w:t>LVS EN 15316-4-10</w:t>
      </w:r>
      <w:r w:rsidRPr="00A32056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4-10.daļa: Vēja enerģijas ģenerēšanas sistēmas, M11-8-7 modulis</w:t>
      </w:r>
      <w:r w:rsidR="001A75F3" w:rsidRPr="00A32056">
        <w:rPr>
          <w:rFonts w:ascii="Times New Roman" w:hAnsi="Times New Roman"/>
          <w:sz w:val="28"/>
          <w:szCs w:val="28"/>
          <w:lang w:val="lv-LV"/>
        </w:rPr>
        <w:t>.</w:t>
      </w:r>
    </w:p>
    <w:p w14:paraId="3C974085" w14:textId="63E4BE51" w:rsidR="00B846B9" w:rsidRDefault="00B846B9" w:rsidP="00B846B9">
      <w:pPr>
        <w:rPr>
          <w:rFonts w:ascii="Times New Roman" w:hAnsi="Times New Roman"/>
          <w:sz w:val="28"/>
          <w:szCs w:val="28"/>
          <w:lang w:val="lv-LV"/>
        </w:rPr>
      </w:pPr>
    </w:p>
    <w:p w14:paraId="3D806C5F" w14:textId="2A3A08C0" w:rsidR="00B846B9" w:rsidRPr="00B846B9" w:rsidRDefault="00B846B9" w:rsidP="00B846B9">
      <w:pPr>
        <w:jc w:val="center"/>
        <w:rPr>
          <w:b/>
          <w:bCs/>
          <w:lang w:val="lv-LV"/>
        </w:rPr>
      </w:pPr>
      <w:r w:rsidRPr="00A32056">
        <w:rPr>
          <w:rFonts w:ascii="Times New Roman" w:hAnsi="Times New Roman"/>
          <w:b/>
          <w:sz w:val="28"/>
          <w:szCs w:val="28"/>
          <w:lang w:val="lv-LV"/>
        </w:rPr>
        <w:t>Ēku energoefektivitātes aprēķina standart</w:t>
      </w:r>
      <w:r>
        <w:rPr>
          <w:rFonts w:ascii="Times New Roman" w:hAnsi="Times New Roman"/>
          <w:b/>
          <w:sz w:val="28"/>
          <w:szCs w:val="28"/>
          <w:lang w:val="lv-LV"/>
        </w:rPr>
        <w:t>u nacionālie pielikumi</w:t>
      </w:r>
    </w:p>
    <w:p w14:paraId="02CA4338" w14:textId="1AFDF76E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52000-1:2017/NA:2020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846B9">
        <w:rPr>
          <w:rFonts w:ascii="Times New Roman" w:hAnsi="Times New Roman"/>
          <w:sz w:val="28"/>
          <w:szCs w:val="28"/>
          <w:lang w:val="lv-LV"/>
        </w:rPr>
        <w:t>Ēku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846B9">
        <w:rPr>
          <w:rFonts w:ascii="Times New Roman" w:hAnsi="Times New Roman"/>
          <w:sz w:val="28"/>
          <w:szCs w:val="28"/>
          <w:lang w:val="lv-LV"/>
        </w:rPr>
        <w:t>energoefektivitāte. Vispārējs ēku energoefektivitātes novērtējums. 1.daļa: Vispārīgas pamatnostādnes un procedūras (ISO 52000-1:2017). Nacionālais pielikums</w:t>
      </w:r>
    </w:p>
    <w:p w14:paraId="2481727E" w14:textId="478A7566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52003-1:2017/NA:2020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B846B9">
        <w:rPr>
          <w:rFonts w:ascii="Times New Roman" w:hAnsi="Times New Roman"/>
          <w:sz w:val="28"/>
          <w:szCs w:val="28"/>
          <w:lang w:val="lv-LV"/>
        </w:rPr>
        <w:t>Ēku</w:t>
      </w:r>
      <w:r>
        <w:rPr>
          <w:rFonts w:ascii="Times New Roman" w:hAnsi="Times New Roman"/>
          <w:sz w:val="28"/>
          <w:szCs w:val="28"/>
          <w:lang w:val="lv-LV"/>
        </w:rPr>
        <w:tab/>
      </w:r>
      <w:r w:rsidRPr="00B846B9">
        <w:rPr>
          <w:rFonts w:ascii="Times New Roman" w:hAnsi="Times New Roman"/>
          <w:sz w:val="28"/>
          <w:szCs w:val="28"/>
          <w:lang w:val="lv-LV"/>
        </w:rPr>
        <w:t>energoefektivitāte.</w:t>
      </w:r>
      <w:r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B846B9">
        <w:rPr>
          <w:rFonts w:ascii="Times New Roman" w:hAnsi="Times New Roman"/>
          <w:sz w:val="28"/>
          <w:szCs w:val="28"/>
          <w:lang w:val="lv-LV"/>
        </w:rPr>
        <w:t>Rādītāji, prasības un sertifikācija. 1.daļa: Vispārīgie aspekti un pielietošana kopējai energoefektivitātei (ISO 52003-1:2017). Nacionālais pielikums</w:t>
      </w:r>
    </w:p>
    <w:p w14:paraId="151219A1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52010-1:2017/NA:2020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Ārējās vides apstākļi. 1.daļa: Klimatisko datu pārveidošana enerģijas aprēķinos (ISO 52010-1:2017). Nacionālais pielikums.</w:t>
      </w:r>
    </w:p>
    <w:p w14:paraId="726DF566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52016-1:2017/NA:2020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Apkurei un dzesēšanai nepieciešamās enerģijas, iekšējās temperatūras un </w:t>
      </w:r>
      <w:r w:rsidRPr="00B846B9">
        <w:rPr>
          <w:rFonts w:ascii="Times New Roman" w:hAnsi="Times New Roman"/>
          <w:sz w:val="28"/>
          <w:szCs w:val="28"/>
          <w:lang w:val="lv-LV"/>
        </w:rPr>
        <w:lastRenderedPageBreak/>
        <w:t>sajūtamā un latentā siltuma slodzes. 1.daļa: Aprēķina procedūras (ISO 52016-1:2017). Nacionālais pielikums</w:t>
      </w:r>
    </w:p>
    <w:p w14:paraId="7F6C47EE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52018-1:2017/NA:2020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Rādītāji daļai ēku energoefektivitātes (ĒEE) prasību, kas saistītas ar siltumenerģijas bilanci un struktūras īpatnībām. 1.daļa: Pārskats par iespējām (ISO 52018-1:2017). Nacionālais pielikums</w:t>
      </w:r>
    </w:p>
    <w:p w14:paraId="78107BA8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6946:2017/NA:2020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 xml:space="preserve">Būvdetaļas un būvelementi.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Siltumpretestība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siltumcaurlaidība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>. Aprēķinu metodes (ISO 6946:2017). Nacionālais pielikums</w:t>
      </w:r>
    </w:p>
    <w:p w14:paraId="2B64C229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10077-1:2017/NA:2020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 xml:space="preserve">Logu, durvju un slēģu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siltumefektivitāte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>. Siltuma caurlaidības aprēķini. 1.daļa: Vispārīgi (ISO 10077-1:2017). Nacionālais pielikums</w:t>
      </w:r>
    </w:p>
    <w:p w14:paraId="5379688C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10211:2017/NA:2020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Termiskie tilti būvkonstrukcijās. Siltuma plūsmas un virsmas temperatūras. Detalizēti aprēķini (ISO 10211:2017). Nacionālais pielikums</w:t>
      </w:r>
    </w:p>
    <w:p w14:paraId="73ACB1E6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ISO 13370:2017/NA:2020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 xml:space="preserve">Ēku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siltumtehniskās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 xml:space="preserve"> īpašības. Siltuma zudumi caur zemi. Aprēķina metodes (ISO 13370:2017). Nacionālais pielikums</w:t>
      </w:r>
    </w:p>
    <w:p w14:paraId="4331CC1A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15316-2:2017/NA:2020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2.daļa: Telpu emisijas sistēmas (apkure un dzesēšana), M3-5 un M4-5 moduļi. Nacionālais pielikums</w:t>
      </w:r>
    </w:p>
    <w:p w14:paraId="686FCB8C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15316-3:2017/NA:2020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3.daļa: Telpu apgādes sistēmas (SKŪ, apkure un dzesēšana). M3-6, M4-6 un M8-6 moduļi. Nacionālais pielikums</w:t>
      </w:r>
    </w:p>
    <w:p w14:paraId="23E0AC5A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15316-1:2017/NA:2020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1.daļa: Vispārējā un energoefektivitātes atspoguļošana M3-1, M3-4, M3-9, M8-1 un M8-4 moduļiem. Nacionālais pielikums</w:t>
      </w:r>
    </w:p>
    <w:p w14:paraId="7D40C126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15316-4-2:2017/NA:2020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 xml:space="preserve">Ēku energoefektivitāte. Sistēmu energoprasību un efektivitātes aprēķināšanas metodes. 4-2.daļa: Telpu apkures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ģenerētājsistēmas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 xml:space="preserve"> un </w:t>
      </w:r>
      <w:proofErr w:type="spellStart"/>
      <w:r w:rsidRPr="00B846B9">
        <w:rPr>
          <w:rFonts w:ascii="Times New Roman" w:hAnsi="Times New Roman"/>
          <w:sz w:val="28"/>
          <w:szCs w:val="28"/>
          <w:lang w:val="lv-LV"/>
        </w:rPr>
        <w:t>siltumsūkņu</w:t>
      </w:r>
      <w:proofErr w:type="spellEnd"/>
      <w:r w:rsidRPr="00B846B9">
        <w:rPr>
          <w:rFonts w:ascii="Times New Roman" w:hAnsi="Times New Roman"/>
          <w:sz w:val="28"/>
          <w:szCs w:val="28"/>
          <w:lang w:val="lv-LV"/>
        </w:rPr>
        <w:t xml:space="preserve"> sistēmas. M3-8-2 un M8-8-2 moduļi. Nacionālais pielikums</w:t>
      </w:r>
    </w:p>
    <w:p w14:paraId="383EC172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15316-5:2017/NA:2020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Sistēmu energoprasību un efektivitātes aprēķināšanas metodes. 5.daļa: Telpu apkures un SKŪ uzglabāšanas sistēmas (izņemot dzesēšanu), M3-7 un M8-7 moduļi. Nacionālais pielikums</w:t>
      </w:r>
    </w:p>
    <w:p w14:paraId="5A9008F4" w14:textId="77777777" w:rsidR="00B846B9" w:rsidRPr="00B846B9" w:rsidRDefault="00B846B9" w:rsidP="00B846B9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8"/>
          <w:szCs w:val="28"/>
          <w:lang w:val="lv-LV"/>
        </w:rPr>
      </w:pPr>
      <w:r w:rsidRPr="00B846B9">
        <w:rPr>
          <w:rFonts w:ascii="Times New Roman" w:hAnsi="Times New Roman"/>
          <w:sz w:val="28"/>
          <w:szCs w:val="28"/>
          <w:lang w:val="lv-LV"/>
        </w:rPr>
        <w:t>LVS EN 16798-15:2017/NA:2020</w:t>
      </w:r>
      <w:r w:rsidRPr="00B846B9">
        <w:rPr>
          <w:rFonts w:ascii="Times New Roman" w:hAnsi="Times New Roman"/>
          <w:sz w:val="28"/>
          <w:szCs w:val="28"/>
          <w:lang w:val="lv-LV"/>
        </w:rPr>
        <w:tab/>
        <w:t>Ēku energoefektivitāte. Ēku ventilācija. 15.daļa: Dzesēšanas sistēmu aprēķins (M4-7 modulis). Uzglabāšana. Nacionālais pielikums</w:t>
      </w:r>
    </w:p>
    <w:sectPr w:rsidR="00B846B9" w:rsidRPr="00B846B9" w:rsidSect="00DE1F72">
      <w:headerReference w:type="default" r:id="rId12"/>
      <w:footerReference w:type="default" r:id="rId13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23205" w14:textId="77777777" w:rsidR="00893673" w:rsidRDefault="00893673" w:rsidP="008A2F32">
      <w:pPr>
        <w:spacing w:after="0" w:line="240" w:lineRule="auto"/>
      </w:pPr>
      <w:r>
        <w:separator/>
      </w:r>
    </w:p>
  </w:endnote>
  <w:endnote w:type="continuationSeparator" w:id="0">
    <w:p w14:paraId="2CBFE875" w14:textId="77777777" w:rsidR="00893673" w:rsidRDefault="00893673" w:rsidP="008A2F32">
      <w:pPr>
        <w:spacing w:after="0" w:line="240" w:lineRule="auto"/>
      </w:pPr>
      <w:r>
        <w:continuationSeparator/>
      </w:r>
    </w:p>
  </w:endnote>
  <w:endnote w:type="continuationNotice" w:id="1">
    <w:p w14:paraId="7EE10113" w14:textId="77777777" w:rsidR="00893673" w:rsidRDefault="008936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E71DA" w14:textId="77777777" w:rsidR="00893673" w:rsidRDefault="00893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2945" w14:textId="77777777" w:rsidR="00893673" w:rsidRDefault="00893673" w:rsidP="008A2F32">
      <w:pPr>
        <w:spacing w:after="0" w:line="240" w:lineRule="auto"/>
      </w:pPr>
      <w:r>
        <w:separator/>
      </w:r>
    </w:p>
  </w:footnote>
  <w:footnote w:type="continuationSeparator" w:id="0">
    <w:p w14:paraId="04B085B3" w14:textId="77777777" w:rsidR="00893673" w:rsidRDefault="00893673" w:rsidP="008A2F32">
      <w:pPr>
        <w:spacing w:after="0" w:line="240" w:lineRule="auto"/>
      </w:pPr>
      <w:r>
        <w:continuationSeparator/>
      </w:r>
    </w:p>
  </w:footnote>
  <w:footnote w:type="continuationNotice" w:id="1">
    <w:p w14:paraId="0626CEA5" w14:textId="77777777" w:rsidR="00893673" w:rsidRDefault="008936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B54F" w14:textId="77777777" w:rsidR="00893673" w:rsidRDefault="00893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25C5"/>
    <w:multiLevelType w:val="hybridMultilevel"/>
    <w:tmpl w:val="5532C1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C639D"/>
    <w:multiLevelType w:val="hybridMultilevel"/>
    <w:tmpl w:val="B38EC7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F72"/>
    <w:rsid w:val="0006218D"/>
    <w:rsid w:val="001A75F3"/>
    <w:rsid w:val="005E0301"/>
    <w:rsid w:val="0062331D"/>
    <w:rsid w:val="00783BC9"/>
    <w:rsid w:val="00885BF1"/>
    <w:rsid w:val="00893673"/>
    <w:rsid w:val="008A2F32"/>
    <w:rsid w:val="008F18AF"/>
    <w:rsid w:val="00932522"/>
    <w:rsid w:val="00A32056"/>
    <w:rsid w:val="00A67383"/>
    <w:rsid w:val="00B846B9"/>
    <w:rsid w:val="00BE11C7"/>
    <w:rsid w:val="00BE6EE9"/>
    <w:rsid w:val="00D135F2"/>
    <w:rsid w:val="00DE1F72"/>
    <w:rsid w:val="00E6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18AB32DF"/>
  <w15:chartTrackingRefBased/>
  <w15:docId w15:val="{D6643402-8A9F-49B0-A943-EE712DA4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F72"/>
    <w:pPr>
      <w:spacing w:after="240" w:line="240" w:lineRule="atLeast"/>
      <w:jc w:val="both"/>
    </w:pPr>
    <w:rPr>
      <w:rFonts w:ascii="Cambria" w:eastAsia="MS Mincho" w:hAnsi="Cambria" w:cs="Times New Roman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basedOn w:val="Normal"/>
    <w:rsid w:val="00DE1F72"/>
    <w:pPr>
      <w:spacing w:before="60" w:after="60" w:line="210" w:lineRule="atLeast"/>
      <w:jc w:val="left"/>
    </w:pPr>
    <w:rPr>
      <w:rFonts w:eastAsia="Calibri"/>
      <w:szCs w:val="22"/>
      <w:lang w:eastAsia="en-US"/>
    </w:rPr>
  </w:style>
  <w:style w:type="paragraph" w:customStyle="1" w:styleId="Tableheader">
    <w:name w:val="Table header"/>
    <w:basedOn w:val="Tablebody"/>
    <w:rsid w:val="00DE1F72"/>
  </w:style>
  <w:style w:type="paragraph" w:styleId="BalloonText">
    <w:name w:val="Balloon Text"/>
    <w:basedOn w:val="Normal"/>
    <w:link w:val="BalloonTextChar"/>
    <w:uiPriority w:val="99"/>
    <w:semiHidden/>
    <w:unhideWhenUsed/>
    <w:rsid w:val="00DE1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F72"/>
    <w:rPr>
      <w:rFonts w:ascii="Segoe UI" w:eastAsia="MS Mincho" w:hAnsi="Segoe UI" w:cs="Segoe UI"/>
      <w:sz w:val="18"/>
      <w:szCs w:val="18"/>
      <w:lang w:val="en-GB" w:eastAsia="ja-JP"/>
    </w:rPr>
  </w:style>
  <w:style w:type="paragraph" w:styleId="ListParagraph">
    <w:name w:val="List Paragraph"/>
    <w:basedOn w:val="Normal"/>
    <w:uiPriority w:val="34"/>
    <w:qFormat/>
    <w:rsid w:val="00DE1F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673"/>
    <w:rPr>
      <w:rFonts w:ascii="Cambria" w:eastAsia="MS Mincho" w:hAnsi="Cambria" w:cs="Times New Roman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8936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673"/>
    <w:rPr>
      <w:rFonts w:ascii="Cambria" w:eastAsia="MS Mincho" w:hAnsi="Cambria" w:cs="Times New Roman"/>
      <w:szCs w:val="20"/>
      <w:lang w:val="en-GB" w:eastAsia="ja-JP"/>
    </w:rPr>
  </w:style>
  <w:style w:type="paragraph" w:styleId="Revision">
    <w:name w:val="Revision"/>
    <w:hidden/>
    <w:uiPriority w:val="99"/>
    <w:semiHidden/>
    <w:rsid w:val="00893673"/>
    <w:pPr>
      <w:spacing w:after="0" w:line="240" w:lineRule="auto"/>
    </w:pPr>
    <w:rPr>
      <w:rFonts w:ascii="Cambria" w:eastAsia="MS Mincho" w:hAnsi="Cambria" w:cs="Times New Roman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856F525BC6B4AAC9326C419DA09EB" ma:contentTypeVersion="12" ma:contentTypeDescription="Create a new document." ma:contentTypeScope="" ma:versionID="bcf1a48a89e02a97a6c4739a2f953d27">
  <xsd:schema xmlns:xsd="http://www.w3.org/2001/XMLSchema" xmlns:xs="http://www.w3.org/2001/XMLSchema" xmlns:p="http://schemas.microsoft.com/office/2006/metadata/properties" xmlns:ns2="e793aee2-0702-45ff-9c51-b29030239f5c" xmlns:ns3="98d6c3d8-aeaf-4e5b-adb6-e1ad8a72b2c7" targetNamespace="http://schemas.microsoft.com/office/2006/metadata/properties" ma:root="true" ma:fieldsID="d22eb6b0f542f571ecdefc6a3192053d" ns2:_="" ns3:_="">
    <xsd:import namespace="e793aee2-0702-45ff-9c51-b29030239f5c"/>
    <xsd:import namespace="98d6c3d8-aeaf-4e5b-adb6-e1ad8a72b2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3aee2-0702-45ff-9c51-b29030239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6c3d8-aeaf-4e5b-adb6-e1ad8a72b2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EAB8-4BD7-4FC2-9CC9-30C51805CFB2}"/>
</file>

<file path=customXml/itemProps2.xml><?xml version="1.0" encoding="utf-8"?>
<ds:datastoreItem xmlns:ds="http://schemas.openxmlformats.org/officeDocument/2006/customXml" ds:itemID="{EFA54E70-CDAF-40FD-ADA7-D0D6048D8751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98d6c3d8-aeaf-4e5b-adb6-e1ad8a72b2c7"/>
    <ds:schemaRef ds:uri="http://purl.org/dc/elements/1.1/"/>
    <ds:schemaRef ds:uri="http://schemas.openxmlformats.org/package/2006/metadata/core-properties"/>
    <ds:schemaRef ds:uri="e793aee2-0702-45ff-9c51-b29030239f5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E70CDF-AAB7-49FE-82C3-B6DCCD5796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F890CF-2E1D-49BB-B4F6-15B7469C43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689B1AE1-F524-4A54-BAC3-031C265A8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7435</Words>
  <Characters>4239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“Ēku energoefektivitātes aprēķina metodes un ēku energosertifikācijas noteikumi” </vt:lpstr>
    </vt:vector>
  </TitlesOfParts>
  <Company>Ekonomikas ministrija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“Ēku energoefektivitātes aprēķina metodes un ēku energosertifikācijas noteikumi” </dc:title>
  <dc:subject>4.pielikums</dc:subject>
  <dc:creator>Karina Truhanova</dc:creator>
  <cp:keywords/>
  <dc:description>67013006; karina.truhanova@em.gov.lv</dc:description>
  <cp:lastModifiedBy>Karina Truhanova</cp:lastModifiedBy>
  <cp:revision>3</cp:revision>
  <dcterms:created xsi:type="dcterms:W3CDTF">2021-03-01T12:33:00Z</dcterms:created>
  <dcterms:modified xsi:type="dcterms:W3CDTF">2021-03-01T14:02:00Z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0x010100D75856F525BC6B4AAC9326C419DA09EB</vt:lpwstr>
  </property>
</Properties>
</file>