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 Target="docProps/thumbnail.emf" Type="http://schemas.openxmlformats.org/package/2006/relationships/metadata/thumbnail" Id="rId6"/>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9656E7" w:rsidR="009656E7" w:rsidP="00CF6A23" w:rsidRDefault="009656E7" w14:paraId="1DA983EC" w14:textId="77777777">
      <w:pPr>
        <w:spacing w:before="240" w:after="0" w:line="240" w:lineRule="auto"/>
        <w:jc w:val="center"/>
        <w15:collapsed w:val="false"/>
        <w:rPr>
          <w:rFonts w:ascii="Times New Roman" w:hAnsi="Times New Roman" w:cs="Times New Roman"/>
          <w:b/>
          <w:bCs/>
          <w:sz w:val="24"/>
          <w:szCs w:val="24"/>
        </w:rPr>
      </w:pPr>
      <w:r w:rsidRPr="009656E7">
        <w:rPr>
          <w:rFonts w:ascii="Times New Roman" w:hAnsi="Times New Roman" w:cs="Times New Roman"/>
          <w:b/>
          <w:bCs/>
          <w:sz w:val="24"/>
          <w:szCs w:val="24"/>
        </w:rPr>
        <w:t>INFORMATĪVAIS ZIŅOJUMS</w:t>
      </w:r>
    </w:p>
    <w:p w:rsidR="009656E7" w:rsidP="00CF6A23" w:rsidRDefault="009656E7" w14:paraId="41209702" w14:textId="0ACE05EA">
      <w:pPr>
        <w:spacing w:before="240" w:after="0" w:line="240" w:lineRule="auto"/>
        <w:jc w:val="center"/>
        <w:rPr>
          <w:rFonts w:ascii="Times New Roman" w:hAnsi="Times New Roman" w:cs="Times New Roman"/>
          <w:b/>
          <w:bCs/>
          <w:sz w:val="24"/>
          <w:szCs w:val="24"/>
        </w:rPr>
      </w:pPr>
      <w:r w:rsidRPr="009656E7">
        <w:rPr>
          <w:rFonts w:ascii="Times New Roman" w:hAnsi="Times New Roman" w:cs="Times New Roman"/>
          <w:b/>
          <w:bCs/>
          <w:sz w:val="24"/>
          <w:szCs w:val="24"/>
        </w:rPr>
        <w:t>par Eiropas Savienības Konkurētspējas ministru padomes 202</w:t>
      </w:r>
      <w:r>
        <w:rPr>
          <w:rFonts w:ascii="Times New Roman" w:hAnsi="Times New Roman" w:cs="Times New Roman"/>
          <w:b/>
          <w:bCs/>
          <w:sz w:val="24"/>
          <w:szCs w:val="24"/>
        </w:rPr>
        <w:t>1</w:t>
      </w:r>
      <w:r w:rsidRPr="009656E7">
        <w:rPr>
          <w:rFonts w:ascii="Times New Roman" w:hAnsi="Times New Roman" w:cs="Times New Roman"/>
          <w:b/>
          <w:bCs/>
          <w:sz w:val="24"/>
          <w:szCs w:val="24"/>
        </w:rPr>
        <w:t xml:space="preserve">. gada </w:t>
      </w:r>
      <w:r>
        <w:rPr>
          <w:rFonts w:ascii="Times New Roman" w:hAnsi="Times New Roman" w:cs="Times New Roman"/>
          <w:b/>
          <w:bCs/>
          <w:sz w:val="24"/>
          <w:szCs w:val="24"/>
        </w:rPr>
        <w:t>25.februāra</w:t>
      </w:r>
      <w:r w:rsidRPr="009656E7">
        <w:rPr>
          <w:rFonts w:ascii="Times New Roman" w:hAnsi="Times New Roman" w:cs="Times New Roman"/>
          <w:b/>
          <w:bCs/>
          <w:sz w:val="24"/>
          <w:szCs w:val="24"/>
        </w:rPr>
        <w:t xml:space="preserve"> sanāksmē izskatāmajiem jautājumiem</w:t>
      </w:r>
    </w:p>
    <w:p w:rsidRPr="006849D6" w:rsidR="009656E7" w:rsidP="00CF6A23" w:rsidRDefault="006849D6" w14:paraId="64353A02" w14:textId="61E66762">
      <w:pPr>
        <w:spacing w:before="240" w:after="0" w:line="240" w:lineRule="auto"/>
        <w:jc w:val="both"/>
        <w:rPr>
          <w:rFonts w:ascii="Times New Roman" w:hAnsi="Times New Roman" w:cs="Times New Roman"/>
          <w:sz w:val="24"/>
          <w:szCs w:val="24"/>
        </w:rPr>
      </w:pPr>
      <w:r w:rsidRPr="006849D6">
        <w:rPr>
          <w:rFonts w:ascii="Times New Roman" w:hAnsi="Times New Roman" w:cs="Times New Roman"/>
          <w:sz w:val="24"/>
          <w:szCs w:val="24"/>
        </w:rPr>
        <w:t>202</w:t>
      </w:r>
      <w:r>
        <w:rPr>
          <w:rFonts w:ascii="Times New Roman" w:hAnsi="Times New Roman" w:cs="Times New Roman"/>
          <w:sz w:val="24"/>
          <w:szCs w:val="24"/>
        </w:rPr>
        <w:t>1</w:t>
      </w:r>
      <w:r w:rsidRPr="006849D6">
        <w:rPr>
          <w:rFonts w:ascii="Times New Roman" w:hAnsi="Times New Roman" w:cs="Times New Roman"/>
          <w:sz w:val="24"/>
          <w:szCs w:val="24"/>
        </w:rPr>
        <w:t xml:space="preserve">.gada </w:t>
      </w:r>
      <w:r>
        <w:rPr>
          <w:rFonts w:ascii="Times New Roman" w:hAnsi="Times New Roman" w:cs="Times New Roman"/>
          <w:sz w:val="24"/>
          <w:szCs w:val="24"/>
        </w:rPr>
        <w:t>25</w:t>
      </w:r>
      <w:r w:rsidRPr="006849D6">
        <w:rPr>
          <w:rFonts w:ascii="Times New Roman" w:hAnsi="Times New Roman" w:cs="Times New Roman"/>
          <w:sz w:val="24"/>
          <w:szCs w:val="24"/>
        </w:rPr>
        <w:t>.</w:t>
      </w:r>
      <w:r>
        <w:rPr>
          <w:rFonts w:ascii="Times New Roman" w:hAnsi="Times New Roman" w:cs="Times New Roman"/>
          <w:sz w:val="24"/>
          <w:szCs w:val="24"/>
        </w:rPr>
        <w:t>februārī</w:t>
      </w:r>
      <w:r w:rsidRPr="006849D6">
        <w:rPr>
          <w:rFonts w:ascii="Times New Roman" w:hAnsi="Times New Roman" w:cs="Times New Roman"/>
          <w:sz w:val="24"/>
          <w:szCs w:val="24"/>
        </w:rPr>
        <w:t xml:space="preserve"> notiks neformālā Eiropas Savienības (turpmāk - ES) Konkurētspējas ministru videokonference. Darba kārtībā plānota viedokļu apmaiņa par</w:t>
      </w:r>
      <w:r w:rsidR="00AA4E16">
        <w:rPr>
          <w:rFonts w:ascii="Times New Roman" w:hAnsi="Times New Roman" w:cs="Times New Roman"/>
          <w:sz w:val="24"/>
          <w:szCs w:val="24"/>
        </w:rPr>
        <w:t xml:space="preserve"> ekonomikas atveseļošan</w:t>
      </w:r>
      <w:r w:rsidR="00DD00DF">
        <w:rPr>
          <w:rFonts w:ascii="Times New Roman" w:hAnsi="Times New Roman" w:cs="Times New Roman"/>
          <w:sz w:val="24"/>
          <w:szCs w:val="24"/>
        </w:rPr>
        <w:t>as, uzņēmējdarbības un patērētāju jautājumiem</w:t>
      </w:r>
      <w:r w:rsidRPr="006849D6">
        <w:rPr>
          <w:rFonts w:ascii="Times New Roman" w:hAnsi="Times New Roman" w:cs="Times New Roman"/>
          <w:sz w:val="24"/>
          <w:szCs w:val="24"/>
        </w:rPr>
        <w:t>.</w:t>
      </w:r>
      <w:r w:rsidRPr="006E3B8B" w:rsidR="006E3B8B">
        <w:t xml:space="preserve"> </w:t>
      </w:r>
      <w:r w:rsidRPr="006E3B8B" w:rsidR="006E3B8B">
        <w:rPr>
          <w:rFonts w:ascii="Times New Roman" w:hAnsi="Times New Roman" w:cs="Times New Roman"/>
          <w:sz w:val="24"/>
          <w:szCs w:val="24"/>
        </w:rPr>
        <w:t>Sanāksmē tiks izskatīti šādi Ekonomikas ministrijas</w:t>
      </w:r>
      <w:r w:rsidR="006E3B8B">
        <w:rPr>
          <w:rFonts w:ascii="Times New Roman" w:hAnsi="Times New Roman" w:cs="Times New Roman"/>
          <w:sz w:val="24"/>
          <w:szCs w:val="24"/>
        </w:rPr>
        <w:t xml:space="preserve"> un</w:t>
      </w:r>
      <w:r w:rsidRPr="006E3B8B" w:rsidR="006E3B8B">
        <w:rPr>
          <w:rFonts w:ascii="Times New Roman" w:hAnsi="Times New Roman" w:cs="Times New Roman"/>
          <w:sz w:val="24"/>
          <w:szCs w:val="24"/>
        </w:rPr>
        <w:t xml:space="preserve"> Finanšu ministrijas kompetences jautājumi</w:t>
      </w:r>
      <w:r w:rsidR="000D1E83">
        <w:rPr>
          <w:rFonts w:ascii="Times New Roman" w:hAnsi="Times New Roman" w:cs="Times New Roman"/>
          <w:sz w:val="24"/>
          <w:szCs w:val="24"/>
        </w:rPr>
        <w:t>:</w:t>
      </w:r>
    </w:p>
    <w:p w:rsidRPr="00F3119D" w:rsidR="006849D6" w:rsidP="00CF6A23" w:rsidRDefault="00F3119D" w14:paraId="12617A3D" w14:textId="4950021E">
      <w:pPr>
        <w:pStyle w:val="DashEqual1"/>
        <w:keepNext/>
        <w:keepLines/>
        <w:numPr>
          <w:ilvl w:val="0"/>
          <w:numId w:val="0"/>
        </w:numPr>
        <w:spacing w:before="240" w:after="0"/>
        <w:ind w:left="927"/>
        <w:rPr>
          <w:b/>
          <w:bCs/>
          <w:lang w:val="lv-LV"/>
        </w:rPr>
      </w:pPr>
      <w:r w:rsidRPr="00F3119D">
        <w:rPr>
          <w:b/>
          <w:bCs/>
          <w:lang w:val="lv-LV"/>
        </w:rPr>
        <w:t>1)</w:t>
      </w:r>
      <w:r>
        <w:rPr>
          <w:b/>
          <w:bCs/>
          <w:lang w:val="lv-LV"/>
        </w:rPr>
        <w:t xml:space="preserve"> </w:t>
      </w:r>
      <w:r w:rsidRPr="00F3119D" w:rsidR="006849D6">
        <w:rPr>
          <w:b/>
          <w:bCs/>
          <w:lang w:val="lv-LV"/>
        </w:rPr>
        <w:t xml:space="preserve">Eiropas pusgads — valstu atveseļošanas un noturības </w:t>
      </w:r>
      <w:r w:rsidRPr="00F3119D" w:rsidR="00BA1C5D">
        <w:rPr>
          <w:b/>
          <w:bCs/>
          <w:lang w:val="lv-LV"/>
        </w:rPr>
        <w:t xml:space="preserve">mehānismi </w:t>
      </w:r>
      <w:r w:rsidRPr="00F3119D" w:rsidR="00BA1C5D">
        <w:rPr>
          <w:b/>
          <w:bCs/>
          <w:i/>
          <w:iCs/>
          <w:lang w:val="lv-LV"/>
        </w:rPr>
        <w:t>(turpmāk - ANM)</w:t>
      </w:r>
      <w:r w:rsidRPr="00F3119D" w:rsidR="006849D6">
        <w:rPr>
          <w:b/>
          <w:bCs/>
          <w:lang w:val="lv-LV"/>
        </w:rPr>
        <w:t xml:space="preserve"> kā instruments rūpniecības politikas mērķu sasniegšanai: vienotā tirgus nostiprināšana, pāreja uz zaļo ekonomiku un stratēģiskā autonomija atvērtai ES.</w:t>
      </w:r>
    </w:p>
    <w:p w:rsidRPr="009656E7" w:rsidR="00294D99" w:rsidP="00CF6A23" w:rsidRDefault="00294D99" w14:paraId="10FEF009" w14:textId="77777777">
      <w:pPr>
        <w:pStyle w:val="DashEqual1"/>
        <w:numPr>
          <w:ilvl w:val="0"/>
          <w:numId w:val="0"/>
        </w:numPr>
        <w:spacing w:before="240" w:after="0"/>
        <w:ind w:firstLine="567"/>
        <w:rPr>
          <w:lang w:val="lv-LV"/>
        </w:rPr>
      </w:pPr>
      <w:r w:rsidRPr="009656E7">
        <w:rPr>
          <w:lang w:val="lv-LV"/>
        </w:rPr>
        <w:t xml:space="preserve">=  </w:t>
      </w:r>
      <w:r w:rsidRPr="009656E7">
        <w:rPr>
          <w:i/>
          <w:iCs/>
          <w:lang w:val="lv-LV"/>
        </w:rPr>
        <w:t>Politikas debates</w:t>
      </w:r>
    </w:p>
    <w:p w:rsidRPr="006849D6" w:rsidR="00E43080" w:rsidP="00E43080" w:rsidRDefault="00E43080" w14:paraId="4A770A8F" w14:textId="77777777">
      <w:pPr>
        <w:spacing w:before="240" w:after="0" w:line="240" w:lineRule="auto"/>
        <w:jc w:val="both"/>
        <w:rPr>
          <w:rFonts w:ascii="Times New Roman" w:hAnsi="Times New Roman" w:cs="Times New Roman"/>
          <w:sz w:val="24"/>
          <w:szCs w:val="24"/>
        </w:rPr>
      </w:pPr>
      <w:r w:rsidRPr="006849D6">
        <w:rPr>
          <w:rFonts w:ascii="Times New Roman" w:hAnsi="Times New Roman" w:cs="Times New Roman"/>
          <w:sz w:val="24"/>
          <w:szCs w:val="24"/>
        </w:rPr>
        <w:t xml:space="preserve">ES ilgtermiņa budžets kopā ar iniciatīvu </w:t>
      </w:r>
      <w:proofErr w:type="spellStart"/>
      <w:r w:rsidRPr="006849D6">
        <w:rPr>
          <w:rFonts w:ascii="Times New Roman" w:hAnsi="Times New Roman" w:cs="Times New Roman"/>
          <w:sz w:val="24"/>
          <w:szCs w:val="24"/>
        </w:rPr>
        <w:t>Next</w:t>
      </w:r>
      <w:proofErr w:type="spellEnd"/>
      <w:r w:rsidRPr="006849D6">
        <w:rPr>
          <w:rFonts w:ascii="Times New Roman" w:hAnsi="Times New Roman" w:cs="Times New Roman"/>
          <w:sz w:val="24"/>
          <w:szCs w:val="24"/>
        </w:rPr>
        <w:t xml:space="preserve"> </w:t>
      </w:r>
      <w:proofErr w:type="spellStart"/>
      <w:r w:rsidRPr="006849D6">
        <w:rPr>
          <w:rFonts w:ascii="Times New Roman" w:hAnsi="Times New Roman" w:cs="Times New Roman"/>
          <w:sz w:val="24"/>
          <w:szCs w:val="24"/>
        </w:rPr>
        <w:t>Generation</w:t>
      </w:r>
      <w:proofErr w:type="spellEnd"/>
      <w:r w:rsidRPr="006849D6">
        <w:rPr>
          <w:rFonts w:ascii="Times New Roman" w:hAnsi="Times New Roman" w:cs="Times New Roman"/>
          <w:sz w:val="24"/>
          <w:szCs w:val="24"/>
        </w:rPr>
        <w:t xml:space="preserve"> EU, kas ir pagaidu instruments atveseļošanās veicināšanai, būs visapjomīgākais stimulu kopums, kāds jebkad finansēts </w:t>
      </w:r>
      <w:r>
        <w:rPr>
          <w:rFonts w:ascii="Times New Roman" w:hAnsi="Times New Roman" w:cs="Times New Roman"/>
          <w:sz w:val="24"/>
          <w:szCs w:val="24"/>
        </w:rPr>
        <w:t>ar</w:t>
      </w:r>
      <w:r w:rsidRPr="006849D6">
        <w:rPr>
          <w:rFonts w:ascii="Times New Roman" w:hAnsi="Times New Roman" w:cs="Times New Roman"/>
          <w:sz w:val="24"/>
          <w:szCs w:val="24"/>
        </w:rPr>
        <w:t xml:space="preserve"> ES budžeta</w:t>
      </w:r>
      <w:r>
        <w:rPr>
          <w:rFonts w:ascii="Times New Roman" w:hAnsi="Times New Roman" w:cs="Times New Roman"/>
          <w:sz w:val="24"/>
          <w:szCs w:val="24"/>
        </w:rPr>
        <w:t xml:space="preserve"> starpniecību</w:t>
      </w:r>
      <w:r w:rsidRPr="006849D6">
        <w:rPr>
          <w:rFonts w:ascii="Times New Roman" w:hAnsi="Times New Roman" w:cs="Times New Roman"/>
          <w:sz w:val="24"/>
          <w:szCs w:val="24"/>
        </w:rPr>
        <w:t>. Tas pēc Covid-19 pandēmijas palīdzēs atjaunot Eiropas ekonomiku iepludinot tajā 1,8 triljonus eiro. Tā būs zaļāka, digitālāka, noturīgāka Eiropa.</w:t>
      </w:r>
    </w:p>
    <w:p w:rsidR="00E43080" w:rsidP="00E43080" w:rsidRDefault="00E43080" w14:paraId="53DCED02" w14:textId="192D0F86">
      <w:pPr>
        <w:spacing w:before="240" w:after="0" w:line="240" w:lineRule="auto"/>
        <w:jc w:val="both"/>
        <w:rPr>
          <w:rFonts w:ascii="Times New Roman" w:hAnsi="Times New Roman" w:cs="Times New Roman"/>
          <w:sz w:val="24"/>
          <w:szCs w:val="24"/>
        </w:rPr>
      </w:pPr>
      <w:proofErr w:type="spellStart"/>
      <w:r w:rsidRPr="00BA1C5D">
        <w:rPr>
          <w:rFonts w:ascii="Times New Roman" w:hAnsi="Times New Roman" w:cs="Times New Roman"/>
          <w:sz w:val="24"/>
          <w:szCs w:val="24"/>
        </w:rPr>
        <w:t>Next</w:t>
      </w:r>
      <w:proofErr w:type="spellEnd"/>
      <w:r w:rsidRPr="00BA1C5D">
        <w:rPr>
          <w:rFonts w:ascii="Times New Roman" w:hAnsi="Times New Roman" w:cs="Times New Roman"/>
          <w:sz w:val="24"/>
          <w:szCs w:val="24"/>
        </w:rPr>
        <w:t xml:space="preserve"> </w:t>
      </w:r>
      <w:proofErr w:type="spellStart"/>
      <w:r w:rsidRPr="00BA1C5D">
        <w:rPr>
          <w:rFonts w:ascii="Times New Roman" w:hAnsi="Times New Roman" w:cs="Times New Roman"/>
          <w:sz w:val="24"/>
          <w:szCs w:val="24"/>
        </w:rPr>
        <w:t>generation</w:t>
      </w:r>
      <w:proofErr w:type="spellEnd"/>
      <w:r w:rsidRPr="00BA1C5D">
        <w:rPr>
          <w:rFonts w:ascii="Times New Roman" w:hAnsi="Times New Roman" w:cs="Times New Roman"/>
          <w:sz w:val="24"/>
          <w:szCs w:val="24"/>
        </w:rPr>
        <w:t xml:space="preserve"> EU ietvarā </w:t>
      </w:r>
      <w:r>
        <w:rPr>
          <w:rFonts w:ascii="Times New Roman" w:hAnsi="Times New Roman" w:cs="Times New Roman"/>
          <w:sz w:val="24"/>
          <w:szCs w:val="24"/>
        </w:rPr>
        <w:t>būtiska nozīme ir ANM</w:t>
      </w:r>
      <w:r w:rsidRPr="001A65C5">
        <w:rPr>
          <w:rFonts w:ascii="Times New Roman" w:hAnsi="Times New Roman" w:cs="Times New Roman"/>
          <w:sz w:val="24"/>
          <w:szCs w:val="24"/>
        </w:rPr>
        <w:t>, kas būs jauna Eiropas Komisijas centralizēti pārvaldīta budžeta programma</w:t>
      </w:r>
      <w:r w:rsidRPr="006849D6">
        <w:rPr>
          <w:rFonts w:ascii="Times New Roman" w:hAnsi="Times New Roman" w:cs="Times New Roman"/>
          <w:sz w:val="24"/>
          <w:szCs w:val="24"/>
        </w:rPr>
        <w:t>, kas paredz 672,5 miljardi eiro</w:t>
      </w:r>
      <w:r>
        <w:rPr>
          <w:rStyle w:val="FootnoteReference"/>
          <w:rFonts w:ascii="Times New Roman" w:hAnsi="Times New Roman" w:cs="Times New Roman"/>
          <w:sz w:val="24"/>
          <w:szCs w:val="24"/>
        </w:rPr>
        <w:footnoteReference w:id="1"/>
      </w:r>
      <w:r w:rsidRPr="006849D6">
        <w:rPr>
          <w:rFonts w:ascii="Times New Roman" w:hAnsi="Times New Roman" w:cs="Times New Roman"/>
          <w:sz w:val="24"/>
          <w:szCs w:val="24"/>
        </w:rPr>
        <w:t xml:space="preserve"> reformu un investīciju atbalstam. </w:t>
      </w:r>
      <w:r w:rsidR="005B3BE7">
        <w:rPr>
          <w:rFonts w:ascii="Times New Roman" w:hAnsi="Times New Roman" w:cs="Times New Roman"/>
          <w:sz w:val="24"/>
          <w:szCs w:val="24"/>
        </w:rPr>
        <w:t>ANM</w:t>
      </w:r>
      <w:r w:rsidRPr="006849D6">
        <w:rPr>
          <w:rFonts w:ascii="Times New Roman" w:hAnsi="Times New Roman" w:cs="Times New Roman"/>
          <w:sz w:val="24"/>
          <w:szCs w:val="24"/>
        </w:rPr>
        <w:t xml:space="preserve"> regulējumā ir uzsvērts, ka labi funkcionējošs vienotais tirgus, inovācijas un pētniecība ir atslēgas elementi ekonomikas izaugsmei un jaunu darba vietu radīšanai. </w:t>
      </w:r>
    </w:p>
    <w:p w:rsidRPr="006849D6" w:rsidR="00BA1C5D" w:rsidP="00CF6A23" w:rsidRDefault="00DC03BF" w14:paraId="600A754E" w14:textId="62F795D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ANM </w:t>
      </w:r>
      <w:r w:rsidRPr="00BA1C5D" w:rsidR="00BA1C5D">
        <w:rPr>
          <w:rFonts w:ascii="Times New Roman" w:hAnsi="Times New Roman" w:cs="Times New Roman"/>
          <w:sz w:val="24"/>
          <w:szCs w:val="24"/>
        </w:rPr>
        <w:t xml:space="preserve">tematiskais tvērums aptver visas šobrīd ES aktuālās tēmas – ekonomiskā, sociālā un teritoriālā kohēzija, pāreja uz zaļo un digitālo ekonomiku, veselība, konkurētspēja, noturība, produktivitāte, izglītība un prasmes, pētniecība un inovācijas, vieda, ilgtspējīga un iekļaujoša izaugsme, darba vietas un ieguldījumi, finanšu sistēmu stabilitāte. </w:t>
      </w:r>
    </w:p>
    <w:p w:rsidRPr="006849D6" w:rsidR="006849D6" w:rsidP="00CF6A23" w:rsidRDefault="006849D6" w14:paraId="06FFC775" w14:textId="7106276A">
      <w:pPr>
        <w:spacing w:before="240" w:after="0" w:line="240" w:lineRule="auto"/>
        <w:jc w:val="both"/>
        <w:rPr>
          <w:rFonts w:ascii="Times New Roman" w:hAnsi="Times New Roman" w:cs="Times New Roman"/>
          <w:sz w:val="24"/>
          <w:szCs w:val="24"/>
        </w:rPr>
      </w:pPr>
      <w:r w:rsidRPr="006849D6">
        <w:rPr>
          <w:rFonts w:ascii="Times New Roman" w:hAnsi="Times New Roman" w:cs="Times New Roman"/>
          <w:sz w:val="24"/>
          <w:szCs w:val="24"/>
        </w:rPr>
        <w:t>Sekmīgai ekonomikas atveseļošanas procesa nodrošināšanai, Eiropas Semestris ir pielāgots atveseļošanas un noturības mehānisma ieviešanai, lai identificētu valstī esošās problēmas, uz kurām būtu jākoncentrē valsts ekonomikas atveseļošanas plāns, gan valsts ieguldījumu prioritātes.</w:t>
      </w:r>
    </w:p>
    <w:p w:rsidR="00F3119D" w:rsidP="00CF6A23" w:rsidRDefault="006849D6" w14:paraId="12C5D794" w14:textId="77777777">
      <w:pPr>
        <w:spacing w:before="240" w:after="0" w:line="240" w:lineRule="auto"/>
        <w:jc w:val="both"/>
        <w:rPr>
          <w:rFonts w:ascii="Times New Roman" w:hAnsi="Times New Roman" w:cs="Times New Roman"/>
          <w:sz w:val="24"/>
          <w:szCs w:val="24"/>
        </w:rPr>
      </w:pPr>
      <w:r w:rsidRPr="006849D6">
        <w:rPr>
          <w:rFonts w:ascii="Times New Roman" w:hAnsi="Times New Roman" w:cs="Times New Roman"/>
          <w:sz w:val="24"/>
          <w:szCs w:val="24"/>
        </w:rPr>
        <w:t xml:space="preserve">Mazie un vidējie uzņēmumi (turpmāk -MVU) ir Eiropas ekonomikas mugurkauls, un tie ir būtisks darbavietu radīšanas un inovācijas virzītājspēks. Īpaši smagi šos uzņēmumus ir </w:t>
      </w:r>
      <w:proofErr w:type="spellStart"/>
      <w:r w:rsidRPr="006849D6">
        <w:rPr>
          <w:rFonts w:ascii="Times New Roman" w:hAnsi="Times New Roman" w:cs="Times New Roman"/>
          <w:sz w:val="24"/>
          <w:szCs w:val="24"/>
        </w:rPr>
        <w:t>skārusi</w:t>
      </w:r>
      <w:proofErr w:type="spellEnd"/>
      <w:r w:rsidRPr="006849D6">
        <w:rPr>
          <w:rFonts w:ascii="Times New Roman" w:hAnsi="Times New Roman" w:cs="Times New Roman"/>
          <w:sz w:val="24"/>
          <w:szCs w:val="24"/>
        </w:rPr>
        <w:t xml:space="preserve"> COVID-19 pandēmija. Tāpēc būtu jāsniedz atbalsts visu veidu MVU īpašajām vajadzībām – prasmju pilnveidošana, labākas piekļuves finanšu resursiem un ciešākas integrācijas Eiropas vērtību ķēdēs.</w:t>
      </w:r>
      <w:r w:rsidRPr="00F3119D" w:rsidR="00F3119D">
        <w:rPr>
          <w:rFonts w:ascii="Times New Roman" w:hAnsi="Times New Roman" w:cs="Times New Roman"/>
          <w:sz w:val="24"/>
          <w:szCs w:val="24"/>
        </w:rPr>
        <w:t xml:space="preserve"> </w:t>
      </w:r>
    </w:p>
    <w:p w:rsidR="00EC524A" w:rsidP="00EC524A" w:rsidRDefault="00EC524A" w14:paraId="283EBED5" w14:textId="7A1AB2DC">
      <w:pPr>
        <w:spacing w:before="240" w:after="0" w:line="240" w:lineRule="auto"/>
        <w:jc w:val="both"/>
        <w:rPr>
          <w:rFonts w:ascii="Times New Roman" w:hAnsi="Times New Roman" w:cs="Times New Roman"/>
          <w:sz w:val="24"/>
          <w:szCs w:val="24"/>
        </w:rPr>
      </w:pPr>
      <w:r w:rsidRPr="003178E0">
        <w:rPr>
          <w:rFonts w:ascii="Times New Roman" w:hAnsi="Times New Roman" w:cs="Times New Roman"/>
          <w:sz w:val="24"/>
          <w:szCs w:val="24"/>
        </w:rPr>
        <w:t>Latvijas  aploksn</w:t>
      </w:r>
      <w:r>
        <w:rPr>
          <w:rFonts w:ascii="Times New Roman" w:hAnsi="Times New Roman" w:cs="Times New Roman"/>
          <w:sz w:val="24"/>
          <w:szCs w:val="24"/>
        </w:rPr>
        <w:t>i</w:t>
      </w:r>
      <w:r w:rsidRPr="003178E0">
        <w:rPr>
          <w:rFonts w:ascii="Times New Roman" w:hAnsi="Times New Roman" w:cs="Times New Roman"/>
          <w:sz w:val="24"/>
          <w:szCs w:val="24"/>
        </w:rPr>
        <w:t xml:space="preserve"> ES </w:t>
      </w:r>
      <w:r w:rsidR="005B2798">
        <w:rPr>
          <w:rFonts w:ascii="Times New Roman" w:hAnsi="Times New Roman" w:cs="Times New Roman"/>
          <w:sz w:val="24"/>
          <w:szCs w:val="24"/>
        </w:rPr>
        <w:t>ANM</w:t>
      </w:r>
      <w:r w:rsidRPr="003178E0">
        <w:rPr>
          <w:rFonts w:ascii="Times New Roman" w:hAnsi="Times New Roman" w:cs="Times New Roman"/>
          <w:sz w:val="24"/>
          <w:szCs w:val="24"/>
        </w:rPr>
        <w:t xml:space="preserve"> dotāciju/</w:t>
      </w:r>
      <w:proofErr w:type="spellStart"/>
      <w:r w:rsidRPr="003178E0">
        <w:rPr>
          <w:rFonts w:ascii="Times New Roman" w:hAnsi="Times New Roman" w:cs="Times New Roman"/>
          <w:sz w:val="24"/>
          <w:szCs w:val="24"/>
        </w:rPr>
        <w:t>grantu</w:t>
      </w:r>
      <w:proofErr w:type="spellEnd"/>
      <w:r w:rsidRPr="003178E0">
        <w:rPr>
          <w:rFonts w:ascii="Times New Roman" w:hAnsi="Times New Roman" w:cs="Times New Roman"/>
          <w:sz w:val="24"/>
          <w:szCs w:val="24"/>
        </w:rPr>
        <w:t xml:space="preserve"> veidā </w:t>
      </w:r>
      <w:r>
        <w:rPr>
          <w:rFonts w:ascii="Times New Roman" w:hAnsi="Times New Roman" w:cs="Times New Roman"/>
          <w:sz w:val="24"/>
          <w:szCs w:val="24"/>
        </w:rPr>
        <w:t>veido divas daļas:</w:t>
      </w:r>
      <w:r w:rsidRPr="003178E0">
        <w:rPr>
          <w:rFonts w:ascii="Times New Roman" w:hAnsi="Times New Roman" w:cs="Times New Roman"/>
          <w:sz w:val="24"/>
          <w:szCs w:val="24"/>
        </w:rPr>
        <w:t>1,6</w:t>
      </w:r>
      <w:r>
        <w:rPr>
          <w:rFonts w:ascii="Times New Roman" w:hAnsi="Times New Roman" w:cs="Times New Roman"/>
          <w:sz w:val="24"/>
          <w:szCs w:val="24"/>
        </w:rPr>
        <w:t>4</w:t>
      </w:r>
      <w:r w:rsidRPr="003178E0">
        <w:rPr>
          <w:rFonts w:ascii="Times New Roman" w:hAnsi="Times New Roman" w:cs="Times New Roman"/>
          <w:sz w:val="24"/>
          <w:szCs w:val="24"/>
        </w:rPr>
        <w:t xml:space="preserve"> mljrd. e</w:t>
      </w:r>
      <w:r>
        <w:rPr>
          <w:rFonts w:ascii="Times New Roman" w:hAnsi="Times New Roman" w:cs="Times New Roman"/>
          <w:sz w:val="24"/>
          <w:szCs w:val="24"/>
        </w:rPr>
        <w:t>i</w:t>
      </w:r>
      <w:r w:rsidRPr="003178E0">
        <w:rPr>
          <w:rFonts w:ascii="Times New Roman" w:hAnsi="Times New Roman" w:cs="Times New Roman"/>
          <w:sz w:val="24"/>
          <w:szCs w:val="24"/>
        </w:rPr>
        <w:t>ro</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apmērā galīgi aprēķināti</w:t>
      </w:r>
      <w:r w:rsidRPr="003178E0">
        <w:rPr>
          <w:rFonts w:ascii="Times New Roman" w:hAnsi="Times New Roman" w:cs="Times New Roman"/>
          <w:sz w:val="24"/>
          <w:szCs w:val="24"/>
        </w:rPr>
        <w:t xml:space="preserve"> </w:t>
      </w:r>
      <w:r>
        <w:rPr>
          <w:rFonts w:ascii="Times New Roman" w:hAnsi="Times New Roman" w:cs="Times New Roman"/>
          <w:sz w:val="24"/>
          <w:szCs w:val="24"/>
        </w:rPr>
        <w:t xml:space="preserve">saskaņā ar apstiprināto metodoloģiju 2021. un 2022.gada </w:t>
      </w:r>
      <w:r>
        <w:rPr>
          <w:rFonts w:ascii="Times New Roman" w:hAnsi="Times New Roman" w:cs="Times New Roman"/>
          <w:sz w:val="24"/>
          <w:szCs w:val="24"/>
        </w:rPr>
        <w:lastRenderedPageBreak/>
        <w:t>saistībām</w:t>
      </w:r>
      <w:r w:rsidRPr="003178E0">
        <w:rPr>
          <w:rFonts w:ascii="Times New Roman" w:hAnsi="Times New Roman" w:cs="Times New Roman"/>
          <w:sz w:val="24"/>
          <w:szCs w:val="24"/>
        </w:rPr>
        <w:t xml:space="preserve"> un </w:t>
      </w:r>
      <w:r>
        <w:rPr>
          <w:rFonts w:ascii="Times New Roman" w:hAnsi="Times New Roman" w:cs="Times New Roman"/>
          <w:sz w:val="24"/>
          <w:szCs w:val="24"/>
        </w:rPr>
        <w:t>indikatīvi, balstoties uz prognozi, aprēķinātā</w:t>
      </w:r>
      <w:r w:rsidRPr="003178E0">
        <w:rPr>
          <w:rFonts w:ascii="Times New Roman" w:hAnsi="Times New Roman" w:cs="Times New Roman"/>
          <w:sz w:val="24"/>
          <w:szCs w:val="24"/>
        </w:rPr>
        <w:t xml:space="preserve"> daļa </w:t>
      </w:r>
      <w:r>
        <w:rPr>
          <w:rFonts w:ascii="Times New Roman" w:hAnsi="Times New Roman" w:cs="Times New Roman"/>
          <w:sz w:val="24"/>
          <w:szCs w:val="24"/>
        </w:rPr>
        <w:t>veido</w:t>
      </w:r>
      <w:r w:rsidRPr="003178E0" w:rsidDel="00E12141">
        <w:rPr>
          <w:rFonts w:ascii="Times New Roman" w:hAnsi="Times New Roman" w:cs="Times New Roman"/>
          <w:sz w:val="24"/>
          <w:szCs w:val="24"/>
        </w:rPr>
        <w:t xml:space="preserve"> </w:t>
      </w:r>
      <w:r w:rsidRPr="003178E0">
        <w:rPr>
          <w:rFonts w:ascii="Times New Roman" w:hAnsi="Times New Roman" w:cs="Times New Roman"/>
          <w:sz w:val="24"/>
          <w:szCs w:val="24"/>
        </w:rPr>
        <w:t>0,3</w:t>
      </w:r>
      <w:r>
        <w:rPr>
          <w:rFonts w:ascii="Times New Roman" w:hAnsi="Times New Roman" w:cs="Times New Roman"/>
          <w:sz w:val="24"/>
          <w:szCs w:val="24"/>
        </w:rPr>
        <w:t>2</w:t>
      </w:r>
      <w:r w:rsidRPr="003178E0">
        <w:rPr>
          <w:rFonts w:ascii="Times New Roman" w:hAnsi="Times New Roman" w:cs="Times New Roman"/>
          <w:sz w:val="24"/>
          <w:szCs w:val="24"/>
        </w:rPr>
        <w:t xml:space="preserve"> mljrd. e</w:t>
      </w:r>
      <w:r>
        <w:rPr>
          <w:rFonts w:ascii="Times New Roman" w:hAnsi="Times New Roman" w:cs="Times New Roman"/>
          <w:sz w:val="24"/>
          <w:szCs w:val="24"/>
        </w:rPr>
        <w:t>i</w:t>
      </w:r>
      <w:r w:rsidRPr="003178E0">
        <w:rPr>
          <w:rFonts w:ascii="Times New Roman" w:hAnsi="Times New Roman" w:cs="Times New Roman"/>
          <w:sz w:val="24"/>
          <w:szCs w:val="24"/>
        </w:rPr>
        <w:t>ro (š</w:t>
      </w:r>
      <w:r>
        <w:rPr>
          <w:rFonts w:ascii="Times New Roman" w:hAnsi="Times New Roman" w:cs="Times New Roman"/>
          <w:sz w:val="24"/>
          <w:szCs w:val="24"/>
        </w:rPr>
        <w:t xml:space="preserve">ī summa </w:t>
      </w:r>
      <w:r w:rsidRPr="003178E0">
        <w:rPr>
          <w:rFonts w:ascii="Times New Roman" w:hAnsi="Times New Roman" w:cs="Times New Roman"/>
          <w:sz w:val="24"/>
          <w:szCs w:val="24"/>
        </w:rPr>
        <w:t xml:space="preserve"> tiks precizēt</w:t>
      </w:r>
      <w:r>
        <w:rPr>
          <w:rFonts w:ascii="Times New Roman" w:hAnsi="Times New Roman" w:cs="Times New Roman"/>
          <w:sz w:val="24"/>
          <w:szCs w:val="24"/>
        </w:rPr>
        <w:t>a</w:t>
      </w:r>
      <w:r w:rsidRPr="003178E0">
        <w:rPr>
          <w:rFonts w:ascii="Times New Roman" w:hAnsi="Times New Roman" w:cs="Times New Roman"/>
          <w:sz w:val="24"/>
          <w:szCs w:val="24"/>
        </w:rPr>
        <w:t xml:space="preserve"> līdz 2022.gada </w:t>
      </w:r>
      <w:r>
        <w:rPr>
          <w:rFonts w:ascii="Times New Roman" w:hAnsi="Times New Roman" w:cs="Times New Roman"/>
          <w:sz w:val="24"/>
          <w:szCs w:val="24"/>
        </w:rPr>
        <w:t>30.</w:t>
      </w:r>
      <w:r w:rsidRPr="003178E0">
        <w:rPr>
          <w:rFonts w:ascii="Times New Roman" w:hAnsi="Times New Roman" w:cs="Times New Roman"/>
          <w:sz w:val="24"/>
          <w:szCs w:val="24"/>
        </w:rPr>
        <w:t>jūnijam</w:t>
      </w:r>
      <w:r>
        <w:rPr>
          <w:rFonts w:ascii="Times New Roman" w:hAnsi="Times New Roman" w:cs="Times New Roman"/>
          <w:sz w:val="24"/>
          <w:szCs w:val="24"/>
        </w:rPr>
        <w:t>, balstoties uz attiecīgo metodoloģijā izmantoto kritēriju faktiskajiem rādītājiem</w:t>
      </w:r>
      <w:r w:rsidRPr="003178E0">
        <w:rPr>
          <w:rFonts w:ascii="Times New Roman" w:hAnsi="Times New Roman" w:cs="Times New Roman"/>
          <w:sz w:val="24"/>
          <w:szCs w:val="24"/>
        </w:rPr>
        <w:t xml:space="preserve">). Līdz ar to </w:t>
      </w:r>
      <w:r>
        <w:rPr>
          <w:rFonts w:ascii="Times New Roman" w:hAnsi="Times New Roman" w:cs="Times New Roman"/>
          <w:sz w:val="24"/>
          <w:szCs w:val="24"/>
        </w:rPr>
        <w:t xml:space="preserve">uz šo brīdi </w:t>
      </w:r>
      <w:r w:rsidRPr="003178E0">
        <w:rPr>
          <w:rFonts w:ascii="Times New Roman" w:hAnsi="Times New Roman" w:cs="Times New Roman"/>
          <w:sz w:val="24"/>
          <w:szCs w:val="24"/>
        </w:rPr>
        <w:t xml:space="preserve">maksimālais Latvijai pieejamais finansējums tiek </w:t>
      </w:r>
      <w:r>
        <w:rPr>
          <w:rFonts w:ascii="Times New Roman" w:hAnsi="Times New Roman" w:cs="Times New Roman"/>
          <w:sz w:val="24"/>
          <w:szCs w:val="24"/>
        </w:rPr>
        <w:t>indikatīvi lēsts</w:t>
      </w:r>
      <w:r w:rsidRPr="003178E0">
        <w:rPr>
          <w:rFonts w:ascii="Times New Roman" w:hAnsi="Times New Roman" w:cs="Times New Roman"/>
          <w:sz w:val="24"/>
          <w:szCs w:val="24"/>
        </w:rPr>
        <w:t xml:space="preserve"> </w:t>
      </w:r>
      <w:r>
        <w:rPr>
          <w:rFonts w:ascii="Times New Roman" w:hAnsi="Times New Roman" w:cs="Times New Roman"/>
          <w:sz w:val="24"/>
          <w:szCs w:val="24"/>
        </w:rPr>
        <w:t>1,96</w:t>
      </w:r>
      <w:r w:rsidRPr="003178E0">
        <w:rPr>
          <w:rFonts w:ascii="Times New Roman" w:hAnsi="Times New Roman" w:cs="Times New Roman"/>
          <w:sz w:val="24"/>
          <w:szCs w:val="24"/>
        </w:rPr>
        <w:t xml:space="preserve"> mljrd. e</w:t>
      </w:r>
      <w:r>
        <w:rPr>
          <w:rFonts w:ascii="Times New Roman" w:hAnsi="Times New Roman" w:cs="Times New Roman"/>
          <w:sz w:val="24"/>
          <w:szCs w:val="24"/>
        </w:rPr>
        <w:t>i</w:t>
      </w:r>
      <w:r w:rsidRPr="003178E0">
        <w:rPr>
          <w:rFonts w:ascii="Times New Roman" w:hAnsi="Times New Roman" w:cs="Times New Roman"/>
          <w:sz w:val="24"/>
          <w:szCs w:val="24"/>
        </w:rPr>
        <w:t>ro apmērā.</w:t>
      </w:r>
    </w:p>
    <w:p w:rsidRPr="003178E0" w:rsidR="00F3119D" w:rsidP="00CF6A23" w:rsidRDefault="00F3119D" w14:paraId="57710A48" w14:textId="5EE8311C">
      <w:pPr>
        <w:spacing w:before="240" w:after="0" w:line="240" w:lineRule="auto"/>
        <w:jc w:val="both"/>
        <w:rPr>
          <w:rFonts w:ascii="Times New Roman" w:hAnsi="Times New Roman" w:cs="Times New Roman"/>
          <w:sz w:val="24"/>
          <w:szCs w:val="24"/>
        </w:rPr>
      </w:pPr>
      <w:r w:rsidRPr="003178E0">
        <w:rPr>
          <w:rFonts w:ascii="Times New Roman" w:hAnsi="Times New Roman" w:cs="Times New Roman"/>
          <w:sz w:val="24"/>
          <w:szCs w:val="24"/>
        </w:rPr>
        <w:t>Lai saņemtu ANM finansējumu, Latvijai jāsagatavo ekonomikas Atveseļošanas un noturības plāns iesniegšanai Eiropas Komisijā</w:t>
      </w:r>
      <w:r w:rsidR="00FC0890">
        <w:rPr>
          <w:rFonts w:ascii="Times New Roman" w:hAnsi="Times New Roman" w:cs="Times New Roman"/>
          <w:sz w:val="24"/>
          <w:szCs w:val="24"/>
        </w:rPr>
        <w:t xml:space="preserve"> (turpmāk – EK)</w:t>
      </w:r>
      <w:r w:rsidRPr="003178E0">
        <w:rPr>
          <w:rFonts w:ascii="Times New Roman" w:hAnsi="Times New Roman" w:cs="Times New Roman"/>
          <w:sz w:val="24"/>
          <w:szCs w:val="24"/>
        </w:rPr>
        <w:t>.</w:t>
      </w:r>
    </w:p>
    <w:p w:rsidR="00F3119D" w:rsidP="00CF6A23" w:rsidRDefault="00F3119D" w14:paraId="26A444CC" w14:textId="79428595">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3178E0">
        <w:rPr>
          <w:rFonts w:ascii="Times New Roman" w:hAnsi="Times New Roman" w:cs="Times New Roman"/>
          <w:sz w:val="24"/>
          <w:szCs w:val="24"/>
        </w:rPr>
        <w:t>r sagatavo</w:t>
      </w:r>
      <w:r>
        <w:rPr>
          <w:rFonts w:ascii="Times New Roman" w:hAnsi="Times New Roman" w:cs="Times New Roman"/>
          <w:sz w:val="24"/>
          <w:szCs w:val="24"/>
        </w:rPr>
        <w:t>ts</w:t>
      </w:r>
      <w:r w:rsidRPr="003178E0">
        <w:rPr>
          <w:rFonts w:ascii="Times New Roman" w:hAnsi="Times New Roman" w:cs="Times New Roman"/>
          <w:sz w:val="24"/>
          <w:szCs w:val="24"/>
        </w:rPr>
        <w:t xml:space="preserve"> ANM plāna projekt</w:t>
      </w:r>
      <w:r>
        <w:rPr>
          <w:rFonts w:ascii="Times New Roman" w:hAnsi="Times New Roman" w:cs="Times New Roman"/>
          <w:sz w:val="24"/>
          <w:szCs w:val="24"/>
        </w:rPr>
        <w:t>s</w:t>
      </w:r>
      <w:r w:rsidRPr="003178E0">
        <w:rPr>
          <w:rFonts w:ascii="Times New Roman" w:hAnsi="Times New Roman" w:cs="Times New Roman"/>
          <w:sz w:val="24"/>
          <w:szCs w:val="24"/>
        </w:rPr>
        <w:t>, kas izstrādāts ņemot vērā nozaru ministriju sagatavoto prioritāro reformu un investīciju piedāvājumu, kā arī neformāli saņemto EK sākotnējo redzējumu par plāna saturu. 2021. gada 4.februārī, ANM plāna projekts tika izskatīts un atbalstīts Ministru kabinetā</w:t>
      </w:r>
      <w:r w:rsidRPr="001A65C5">
        <w:footnoteReference w:id="3"/>
      </w:r>
      <w:r w:rsidRPr="003178E0">
        <w:rPr>
          <w:rFonts w:ascii="Times New Roman" w:hAnsi="Times New Roman" w:cs="Times New Roman"/>
          <w:sz w:val="24"/>
          <w:szCs w:val="24"/>
        </w:rPr>
        <w:t xml:space="preserve">. </w:t>
      </w:r>
      <w:r>
        <w:rPr>
          <w:rFonts w:ascii="Times New Roman" w:hAnsi="Times New Roman" w:cs="Times New Roman"/>
          <w:sz w:val="24"/>
          <w:szCs w:val="24"/>
        </w:rPr>
        <w:t xml:space="preserve">Šobrīd noris ANM plāna sabiedriskā apspriešana līdz 2021.gada 9.martam. </w:t>
      </w:r>
      <w:r w:rsidRPr="003178E0">
        <w:rPr>
          <w:rFonts w:ascii="Times New Roman" w:hAnsi="Times New Roman" w:cs="Times New Roman"/>
          <w:sz w:val="24"/>
          <w:szCs w:val="24"/>
        </w:rPr>
        <w:t xml:space="preserve">Pēc apstiprināšanas valdībā plānu iesniegs Eiropas Komisijā (EK), kur eksperti vērtēs un sniegs komentārus, vai šo plānu var atzīt par atbilstošu valsts specifisko rekomendāciju izpildei un reformu virzieniem. </w:t>
      </w:r>
    </w:p>
    <w:p w:rsidRPr="006849D6" w:rsidR="006849D6" w:rsidP="00CF6A23" w:rsidRDefault="006849D6" w14:paraId="2B0CF0E4" w14:textId="77777777">
      <w:pPr>
        <w:spacing w:before="240" w:after="0" w:line="240" w:lineRule="auto"/>
        <w:jc w:val="both"/>
        <w:rPr>
          <w:rFonts w:ascii="Times New Roman" w:hAnsi="Times New Roman" w:cs="Times New Roman"/>
          <w:b/>
          <w:bCs/>
          <w:sz w:val="24"/>
          <w:szCs w:val="24"/>
        </w:rPr>
      </w:pPr>
      <w:r w:rsidRPr="006849D6">
        <w:rPr>
          <w:rFonts w:ascii="Times New Roman" w:hAnsi="Times New Roman" w:cs="Times New Roman"/>
          <w:b/>
          <w:bCs/>
          <w:sz w:val="24"/>
          <w:szCs w:val="24"/>
        </w:rPr>
        <w:t>Latvijas nostāja:</w:t>
      </w:r>
    </w:p>
    <w:p w:rsidR="00551782" w:rsidP="00CF6A23" w:rsidRDefault="00551782" w14:paraId="0ECC3338" w14:textId="265C42DF">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Latvija </w:t>
      </w:r>
      <w:r w:rsidR="0036618D">
        <w:rPr>
          <w:rFonts w:ascii="Times New Roman" w:hAnsi="Times New Roman" w:cs="Times New Roman"/>
          <w:sz w:val="24"/>
          <w:szCs w:val="24"/>
        </w:rPr>
        <w:t xml:space="preserve">kopumā pozitīvi vērtē ANM </w:t>
      </w:r>
      <w:r w:rsidR="007971CF">
        <w:rPr>
          <w:rFonts w:ascii="Times New Roman" w:hAnsi="Times New Roman" w:cs="Times New Roman"/>
          <w:sz w:val="24"/>
          <w:szCs w:val="24"/>
        </w:rPr>
        <w:t xml:space="preserve">un </w:t>
      </w:r>
      <w:r w:rsidR="0009181E">
        <w:rPr>
          <w:rFonts w:ascii="Times New Roman" w:hAnsi="Times New Roman" w:cs="Times New Roman"/>
          <w:sz w:val="24"/>
          <w:szCs w:val="24"/>
        </w:rPr>
        <w:t xml:space="preserve">uzskata, ka </w:t>
      </w:r>
      <w:r w:rsidR="00563831">
        <w:rPr>
          <w:rFonts w:ascii="Times New Roman" w:hAnsi="Times New Roman" w:cs="Times New Roman"/>
          <w:sz w:val="24"/>
          <w:szCs w:val="24"/>
        </w:rPr>
        <w:t>dalīb</w:t>
      </w:r>
      <w:r w:rsidR="008C7D6F">
        <w:rPr>
          <w:rFonts w:ascii="Times New Roman" w:hAnsi="Times New Roman" w:cs="Times New Roman"/>
          <w:sz w:val="24"/>
          <w:szCs w:val="24"/>
        </w:rPr>
        <w:t xml:space="preserve">valstu atveseļošanas un noturības </w:t>
      </w:r>
      <w:proofErr w:type="spellStart"/>
      <w:r w:rsidR="00563831">
        <w:rPr>
          <w:rFonts w:ascii="Times New Roman" w:hAnsi="Times New Roman" w:cs="Times New Roman"/>
          <w:sz w:val="24"/>
          <w:szCs w:val="24"/>
        </w:rPr>
        <w:t>plānoi</w:t>
      </w:r>
      <w:proofErr w:type="spellEnd"/>
      <w:r w:rsidR="00563831">
        <w:rPr>
          <w:rFonts w:ascii="Times New Roman" w:hAnsi="Times New Roman" w:cs="Times New Roman"/>
          <w:sz w:val="24"/>
          <w:szCs w:val="24"/>
        </w:rPr>
        <w:t xml:space="preserve"> </w:t>
      </w:r>
      <w:r w:rsidR="00DC03BF">
        <w:rPr>
          <w:rFonts w:ascii="Times New Roman" w:hAnsi="Times New Roman" w:cs="Times New Roman"/>
          <w:sz w:val="24"/>
          <w:szCs w:val="24"/>
        </w:rPr>
        <w:t xml:space="preserve">ciešā sasaistē ar Eiropas pusgadu dos </w:t>
      </w:r>
      <w:r w:rsidR="00683912">
        <w:rPr>
          <w:rFonts w:ascii="Times New Roman" w:hAnsi="Times New Roman" w:cs="Times New Roman"/>
          <w:sz w:val="24"/>
          <w:szCs w:val="24"/>
        </w:rPr>
        <w:t>būtisku ieguldījumu valstu ekonomikas atveseļošanai</w:t>
      </w:r>
      <w:r w:rsidR="00D30DD1">
        <w:rPr>
          <w:rFonts w:ascii="Times New Roman" w:hAnsi="Times New Roman" w:cs="Times New Roman"/>
          <w:sz w:val="24"/>
          <w:szCs w:val="24"/>
        </w:rPr>
        <w:t xml:space="preserve">, lai atkoptos pēc COVID-19 pandēmijas izraisītās krīzes. </w:t>
      </w:r>
      <w:r w:rsidR="00A40F77">
        <w:rPr>
          <w:rFonts w:ascii="Times New Roman" w:hAnsi="Times New Roman" w:cs="Times New Roman"/>
          <w:sz w:val="24"/>
          <w:szCs w:val="24"/>
        </w:rPr>
        <w:t xml:space="preserve">Tas veicinās </w:t>
      </w:r>
      <w:r w:rsidR="00142E65">
        <w:rPr>
          <w:rFonts w:ascii="Times New Roman" w:hAnsi="Times New Roman" w:cs="Times New Roman"/>
          <w:sz w:val="24"/>
          <w:szCs w:val="24"/>
        </w:rPr>
        <w:t>pāreju uz videi draudzīgāku un digitālāku ekonomiku.</w:t>
      </w:r>
    </w:p>
    <w:p w:rsidRPr="00294D99" w:rsidR="00294D99" w:rsidP="00CF6A23" w:rsidRDefault="00294D99" w14:paraId="299ECACA" w14:textId="4417BA29">
      <w:pPr>
        <w:spacing w:before="240" w:after="0" w:line="240" w:lineRule="auto"/>
        <w:jc w:val="both"/>
        <w:rPr>
          <w:rFonts w:ascii="Times New Roman" w:hAnsi="Times New Roman" w:cs="Times New Roman"/>
          <w:i/>
          <w:iCs/>
          <w:sz w:val="24"/>
          <w:szCs w:val="24"/>
        </w:rPr>
      </w:pPr>
      <w:r w:rsidRPr="00294D99">
        <w:rPr>
          <w:rFonts w:ascii="Times New Roman" w:hAnsi="Times New Roman" w:cs="Times New Roman"/>
          <w:i/>
          <w:iCs/>
          <w:sz w:val="24"/>
          <w:szCs w:val="24"/>
        </w:rPr>
        <w:t>Diskusijas jautājumi:</w:t>
      </w:r>
    </w:p>
    <w:p w:rsidRPr="003178E0" w:rsidR="006849D6" w:rsidP="00CF6A23" w:rsidRDefault="006849D6" w14:paraId="355A5826" w14:textId="7942B2A4">
      <w:pPr>
        <w:pStyle w:val="ListParagraph"/>
        <w:numPr>
          <w:ilvl w:val="0"/>
          <w:numId w:val="5"/>
        </w:numPr>
        <w:spacing w:before="240" w:after="0" w:line="240" w:lineRule="auto"/>
        <w:jc w:val="both"/>
        <w:rPr>
          <w:rFonts w:ascii="Times New Roman" w:hAnsi="Times New Roman" w:cs="Times New Roman"/>
          <w:i/>
          <w:iCs/>
          <w:sz w:val="24"/>
          <w:szCs w:val="24"/>
        </w:rPr>
      </w:pPr>
      <w:r w:rsidRPr="003178E0">
        <w:rPr>
          <w:rFonts w:ascii="Times New Roman" w:hAnsi="Times New Roman" w:cs="Times New Roman"/>
          <w:i/>
          <w:iCs/>
          <w:sz w:val="24"/>
          <w:szCs w:val="24"/>
        </w:rPr>
        <w:t xml:space="preserve">Kādas prioritātes dalībvalstis ir apzinājušas, lai novirzītu ieguldījumus no </w:t>
      </w:r>
      <w:r w:rsidR="003178E0">
        <w:rPr>
          <w:rFonts w:ascii="Times New Roman" w:hAnsi="Times New Roman" w:cs="Times New Roman"/>
          <w:i/>
          <w:iCs/>
          <w:sz w:val="24"/>
          <w:szCs w:val="24"/>
        </w:rPr>
        <w:t>ANM</w:t>
      </w:r>
      <w:r w:rsidRPr="003178E0">
        <w:rPr>
          <w:rFonts w:ascii="Times New Roman" w:hAnsi="Times New Roman" w:cs="Times New Roman"/>
          <w:i/>
          <w:iCs/>
          <w:sz w:val="24"/>
          <w:szCs w:val="24"/>
        </w:rPr>
        <w:t xml:space="preserve">   rūpniecības transformācijai, virzoties uz videi nekaitīgu un digitālu pāreju? Kā Konkurētspējas padome varētu atvieglot šo darbu un palīdzēt koordinēt dalībvalstu ieguldījumus?</w:t>
      </w:r>
    </w:p>
    <w:p w:rsidRPr="00CB0754" w:rsidR="00DF05BB" w:rsidP="00CF6A23" w:rsidRDefault="00DF05BB" w14:paraId="3E832CD9" w14:textId="344E36A3">
      <w:pPr>
        <w:spacing w:before="240" w:after="0" w:line="240" w:lineRule="auto"/>
        <w:jc w:val="both"/>
        <w:rPr>
          <w:rFonts w:ascii="Times New Roman" w:hAnsi="Times New Roman" w:cs="Times New Roman"/>
          <w:sz w:val="24"/>
          <w:szCs w:val="24"/>
        </w:rPr>
      </w:pPr>
      <w:r w:rsidRPr="00CB0754">
        <w:rPr>
          <w:rFonts w:ascii="Times New Roman" w:hAnsi="Times New Roman" w:cs="Times New Roman"/>
          <w:sz w:val="24"/>
          <w:szCs w:val="24"/>
        </w:rPr>
        <w:t>Latvijai svarīga produktivitātes paaugstināšana caur investīciju apjoma palielināšanu pētniecībai un attīstībai, ietverot inovāciju pārvaldības sistēmas stiprināšanu.</w:t>
      </w:r>
    </w:p>
    <w:p w:rsidRPr="003B7439" w:rsidR="003B7439" w:rsidP="003B7439" w:rsidRDefault="003B7439" w14:paraId="13E3F12A" w14:textId="77777777">
      <w:pPr>
        <w:spacing w:before="240" w:after="0" w:line="240" w:lineRule="auto"/>
        <w:jc w:val="both"/>
        <w:rPr>
          <w:rFonts w:ascii="Times New Roman" w:hAnsi="Times New Roman" w:eastAsia="Times New Roman" w:cs="Times New Roman"/>
          <w:sz w:val="24"/>
          <w:szCs w:val="24"/>
          <w:lang w:eastAsia="lv-LV"/>
        </w:rPr>
      </w:pPr>
      <w:r w:rsidRPr="003B7439">
        <w:rPr>
          <w:rFonts w:ascii="Times New Roman" w:hAnsi="Times New Roman" w:cs="Times New Roman"/>
          <w:sz w:val="24"/>
          <w:szCs w:val="24"/>
        </w:rPr>
        <w:t xml:space="preserve">Tāpat Latvijas ieskatā </w:t>
      </w:r>
      <w:r w:rsidRPr="003B7439">
        <w:rPr>
          <w:rFonts w:ascii="Times New Roman" w:hAnsi="Times New Roman" w:eastAsia="Times New Roman" w:cs="Times New Roman"/>
          <w:sz w:val="24"/>
          <w:szCs w:val="24"/>
          <w:lang w:eastAsia="lv-LV"/>
        </w:rPr>
        <w:t>industriālo parku un teritoriju attīstība, izmantojot viedus un energoefektīvus risinājumus</w:t>
      </w:r>
      <w:r w:rsidRPr="003B7439">
        <w:rPr>
          <w:rFonts w:ascii="Times New Roman" w:hAnsi="Times New Roman" w:cs="Times New Roman"/>
          <w:sz w:val="24"/>
          <w:szCs w:val="24"/>
        </w:rPr>
        <w:t xml:space="preserve"> i</w:t>
      </w:r>
      <w:r w:rsidRPr="003B7439">
        <w:rPr>
          <w:rFonts w:ascii="Times New Roman" w:hAnsi="Times New Roman" w:eastAsia="Times New Roman" w:cs="Times New Roman"/>
          <w:sz w:val="24"/>
          <w:szCs w:val="24"/>
          <w:lang w:eastAsia="lv-LV"/>
        </w:rPr>
        <w:t xml:space="preserve">ndustriālajās ražotnēs, sekmēs uzņēmumu paplašināšanos un produktivitātes paaugstināšanos, ļaujot uzņēmumam finanšu resursus novirzīt investīcijām uzņēmumu </w:t>
      </w:r>
      <w:proofErr w:type="spellStart"/>
      <w:r w:rsidRPr="003B7439">
        <w:rPr>
          <w:rFonts w:ascii="Times New Roman" w:hAnsi="Times New Roman" w:eastAsia="Times New Roman" w:cs="Times New Roman"/>
          <w:sz w:val="24"/>
          <w:szCs w:val="24"/>
          <w:lang w:eastAsia="lv-LV"/>
        </w:rPr>
        <w:t>digitalizācijā</w:t>
      </w:r>
      <w:proofErr w:type="spellEnd"/>
      <w:r w:rsidRPr="003B7439">
        <w:rPr>
          <w:rFonts w:ascii="Times New Roman" w:hAnsi="Times New Roman" w:eastAsia="Times New Roman" w:cs="Times New Roman"/>
          <w:sz w:val="24"/>
          <w:szCs w:val="24"/>
          <w:lang w:eastAsia="lv-LV"/>
        </w:rPr>
        <w:t xml:space="preserve"> un automatizācijā caur inovatīvu tehnoloģiju ieviešanu, nodrošinot industriālās infrastruktūras pielāgošanu nozarēm, kas spēj radīt produktus ar augstu pievienoto vērtību. </w:t>
      </w:r>
    </w:p>
    <w:p w:rsidR="008E5F39" w:rsidP="00CF6A23" w:rsidRDefault="008E5F39" w14:paraId="373742FE" w14:textId="6816A963">
      <w:pPr>
        <w:spacing w:before="240" w:after="0" w:line="240" w:lineRule="auto"/>
        <w:jc w:val="both"/>
        <w:rPr>
          <w:rFonts w:ascii="Times New Roman" w:hAnsi="Times New Roman" w:cs="Times New Roman"/>
          <w:sz w:val="24"/>
          <w:szCs w:val="24"/>
        </w:rPr>
      </w:pPr>
      <w:r w:rsidRPr="00CB0754">
        <w:rPr>
          <w:rFonts w:ascii="Times New Roman" w:hAnsi="Times New Roman" w:cs="Times New Roman"/>
          <w:sz w:val="24"/>
          <w:szCs w:val="24"/>
        </w:rPr>
        <w:t xml:space="preserve">Attiecībā uz digitālajām pārveides iniciatīvām </w:t>
      </w:r>
      <w:r>
        <w:rPr>
          <w:rFonts w:ascii="Times New Roman" w:hAnsi="Times New Roman" w:cs="Times New Roman"/>
          <w:sz w:val="24"/>
          <w:szCs w:val="24"/>
        </w:rPr>
        <w:t xml:space="preserve">Latvija ir veikusi nacionālo </w:t>
      </w:r>
      <w:proofErr w:type="spellStart"/>
      <w:r>
        <w:rPr>
          <w:rFonts w:ascii="Times New Roman" w:hAnsi="Times New Roman" w:cs="Times New Roman"/>
          <w:sz w:val="24"/>
          <w:szCs w:val="24"/>
        </w:rPr>
        <w:t>priekšatlasi</w:t>
      </w:r>
      <w:proofErr w:type="spellEnd"/>
      <w:r>
        <w:rPr>
          <w:rFonts w:ascii="Times New Roman" w:hAnsi="Times New Roman" w:cs="Times New Roman"/>
          <w:sz w:val="24"/>
          <w:szCs w:val="24"/>
        </w:rPr>
        <w:t xml:space="preserve"> un paredzējusi atbalstu ANM un E</w:t>
      </w:r>
      <w:r w:rsidR="00711BCB">
        <w:rPr>
          <w:rFonts w:ascii="Times New Roman" w:hAnsi="Times New Roman" w:cs="Times New Roman"/>
          <w:sz w:val="24"/>
          <w:szCs w:val="24"/>
        </w:rPr>
        <w:t xml:space="preserve">iropas </w:t>
      </w:r>
      <w:r>
        <w:rPr>
          <w:rFonts w:ascii="Times New Roman" w:hAnsi="Times New Roman" w:cs="Times New Roman"/>
          <w:sz w:val="24"/>
          <w:szCs w:val="24"/>
        </w:rPr>
        <w:t>R</w:t>
      </w:r>
      <w:r w:rsidR="00711BCB">
        <w:rPr>
          <w:rFonts w:ascii="Times New Roman" w:hAnsi="Times New Roman" w:cs="Times New Roman"/>
          <w:sz w:val="24"/>
          <w:szCs w:val="24"/>
        </w:rPr>
        <w:t xml:space="preserve">eģionālās </w:t>
      </w:r>
      <w:r>
        <w:rPr>
          <w:rFonts w:ascii="Times New Roman" w:hAnsi="Times New Roman" w:cs="Times New Roman"/>
          <w:sz w:val="24"/>
          <w:szCs w:val="24"/>
        </w:rPr>
        <w:t>A</w:t>
      </w:r>
      <w:r w:rsidR="00711BCB">
        <w:rPr>
          <w:rFonts w:ascii="Times New Roman" w:hAnsi="Times New Roman" w:cs="Times New Roman"/>
          <w:sz w:val="24"/>
          <w:szCs w:val="24"/>
        </w:rPr>
        <w:t xml:space="preserve">ttīstības </w:t>
      </w:r>
      <w:r>
        <w:rPr>
          <w:rFonts w:ascii="Times New Roman" w:hAnsi="Times New Roman" w:cs="Times New Roman"/>
          <w:sz w:val="24"/>
          <w:szCs w:val="24"/>
        </w:rPr>
        <w:t>F</w:t>
      </w:r>
      <w:r w:rsidR="00711BCB">
        <w:rPr>
          <w:rFonts w:ascii="Times New Roman" w:hAnsi="Times New Roman" w:cs="Times New Roman"/>
          <w:sz w:val="24"/>
          <w:szCs w:val="24"/>
        </w:rPr>
        <w:t>onds (ERAF)</w:t>
      </w:r>
      <w:r>
        <w:rPr>
          <w:rFonts w:ascii="Times New Roman" w:hAnsi="Times New Roman" w:cs="Times New Roman"/>
          <w:sz w:val="24"/>
          <w:szCs w:val="24"/>
        </w:rPr>
        <w:t xml:space="preserve"> 2 Eiropas Digitālo inovāciju centriem (turpmāk – EDIC) darbībai un līdzfinansēšanai, kas darbosies vienotajā ES EDIC tīklā</w:t>
      </w:r>
      <w:r w:rsidRPr="00CB0754">
        <w:rPr>
          <w:rFonts w:ascii="Times New Roman" w:hAnsi="Times New Roman" w:cs="Times New Roman"/>
          <w:sz w:val="24"/>
          <w:szCs w:val="24"/>
        </w:rPr>
        <w:t xml:space="preserve">, lai palīdzētu uzņēmumiem uzlabot procesus, produktus un pakalpojumus, izmantojot digitālās tehnoloģijas, t.sk. specializēsies pakalpojumu un kompetenču sniegšanā </w:t>
      </w:r>
      <w:proofErr w:type="spellStart"/>
      <w:r w:rsidRPr="00CB0754">
        <w:rPr>
          <w:rFonts w:ascii="Times New Roman" w:hAnsi="Times New Roman" w:cs="Times New Roman"/>
          <w:sz w:val="24"/>
          <w:szCs w:val="24"/>
        </w:rPr>
        <w:t>kiberdrošības</w:t>
      </w:r>
      <w:proofErr w:type="spellEnd"/>
      <w:r w:rsidRPr="00CB0754">
        <w:rPr>
          <w:rFonts w:ascii="Times New Roman" w:hAnsi="Times New Roman" w:cs="Times New Roman"/>
          <w:sz w:val="24"/>
          <w:szCs w:val="24"/>
        </w:rPr>
        <w:t>, mākslīgā inte</w:t>
      </w:r>
      <w:r>
        <w:rPr>
          <w:rFonts w:ascii="Times New Roman" w:hAnsi="Times New Roman" w:cs="Times New Roman"/>
          <w:sz w:val="24"/>
          <w:szCs w:val="24"/>
        </w:rPr>
        <w:t>lekta</w:t>
      </w:r>
      <w:r w:rsidRPr="00CB0754">
        <w:rPr>
          <w:rFonts w:ascii="Times New Roman" w:hAnsi="Times New Roman" w:cs="Times New Roman"/>
          <w:sz w:val="24"/>
          <w:szCs w:val="24"/>
        </w:rPr>
        <w:t xml:space="preserve"> un augstas veiktspējas </w:t>
      </w:r>
      <w:proofErr w:type="spellStart"/>
      <w:r>
        <w:rPr>
          <w:rFonts w:ascii="Times New Roman" w:hAnsi="Times New Roman" w:cs="Times New Roman"/>
          <w:sz w:val="24"/>
          <w:szCs w:val="24"/>
        </w:rPr>
        <w:t>datošanas</w:t>
      </w:r>
      <w:proofErr w:type="spellEnd"/>
      <w:r w:rsidRPr="00CB0754">
        <w:rPr>
          <w:rFonts w:ascii="Times New Roman" w:hAnsi="Times New Roman" w:cs="Times New Roman"/>
          <w:sz w:val="24"/>
          <w:szCs w:val="24"/>
        </w:rPr>
        <w:t xml:space="preserve"> jomā. </w:t>
      </w:r>
      <w:r w:rsidRPr="004B41A3">
        <w:rPr>
          <w:rFonts w:ascii="Times New Roman" w:hAnsi="Times New Roman" w:cs="Times New Roman"/>
          <w:sz w:val="24"/>
          <w:szCs w:val="24"/>
        </w:rPr>
        <w:t>EDIC darbo</w:t>
      </w:r>
      <w:r>
        <w:rPr>
          <w:rFonts w:ascii="Times New Roman" w:hAnsi="Times New Roman" w:cs="Times New Roman"/>
          <w:sz w:val="24"/>
          <w:szCs w:val="24"/>
        </w:rPr>
        <w:t>sies</w:t>
      </w:r>
      <w:r w:rsidRPr="004B41A3">
        <w:rPr>
          <w:rFonts w:ascii="Times New Roman" w:hAnsi="Times New Roman" w:cs="Times New Roman"/>
          <w:sz w:val="24"/>
          <w:szCs w:val="24"/>
        </w:rPr>
        <w:t xml:space="preserve">, </w:t>
      </w:r>
      <w:r>
        <w:rPr>
          <w:rFonts w:ascii="Times New Roman" w:hAnsi="Times New Roman" w:cs="Times New Roman"/>
          <w:sz w:val="24"/>
          <w:szCs w:val="24"/>
        </w:rPr>
        <w:t xml:space="preserve">un palīdzēs </w:t>
      </w:r>
      <w:r w:rsidRPr="004B41A3">
        <w:rPr>
          <w:rFonts w:ascii="Times New Roman" w:hAnsi="Times New Roman" w:cs="Times New Roman"/>
          <w:sz w:val="24"/>
          <w:szCs w:val="24"/>
        </w:rPr>
        <w:t xml:space="preserve"> ieviest un </w:t>
      </w:r>
      <w:r>
        <w:rPr>
          <w:rFonts w:ascii="Times New Roman" w:hAnsi="Times New Roman" w:cs="Times New Roman"/>
          <w:sz w:val="24"/>
          <w:szCs w:val="24"/>
        </w:rPr>
        <w:t>piemērot,</w:t>
      </w:r>
      <w:r w:rsidRPr="004B41A3">
        <w:rPr>
          <w:rFonts w:ascii="Times New Roman" w:hAnsi="Times New Roman" w:cs="Times New Roman"/>
          <w:sz w:val="24"/>
          <w:szCs w:val="24"/>
        </w:rPr>
        <w:t xml:space="preserve"> nodrošin</w:t>
      </w:r>
      <w:r>
        <w:rPr>
          <w:rFonts w:ascii="Times New Roman" w:hAnsi="Times New Roman" w:cs="Times New Roman"/>
          <w:sz w:val="24"/>
          <w:szCs w:val="24"/>
        </w:rPr>
        <w:t>āt</w:t>
      </w:r>
      <w:r w:rsidRPr="004B41A3">
        <w:rPr>
          <w:rFonts w:ascii="Times New Roman" w:hAnsi="Times New Roman" w:cs="Times New Roman"/>
          <w:sz w:val="24"/>
          <w:szCs w:val="24"/>
        </w:rPr>
        <w:t xml:space="preserve"> piekļuvi tehniskajām kompetencēm un rad</w:t>
      </w:r>
      <w:r>
        <w:rPr>
          <w:rFonts w:ascii="Times New Roman" w:hAnsi="Times New Roman" w:cs="Times New Roman"/>
          <w:sz w:val="24"/>
          <w:szCs w:val="24"/>
        </w:rPr>
        <w:t>īs</w:t>
      </w:r>
      <w:r w:rsidRPr="004B41A3">
        <w:rPr>
          <w:rFonts w:ascii="Times New Roman" w:hAnsi="Times New Roman" w:cs="Times New Roman"/>
          <w:sz w:val="24"/>
          <w:szCs w:val="24"/>
        </w:rPr>
        <w:t xml:space="preserve"> vidi</w:t>
      </w:r>
      <w:r>
        <w:rPr>
          <w:rFonts w:ascii="Times New Roman" w:hAnsi="Times New Roman" w:cs="Times New Roman"/>
          <w:sz w:val="24"/>
          <w:szCs w:val="24"/>
        </w:rPr>
        <w:t xml:space="preserve"> (ekosistēmu)</w:t>
      </w:r>
      <w:r w:rsidRPr="004B41A3">
        <w:rPr>
          <w:rFonts w:ascii="Times New Roman" w:hAnsi="Times New Roman" w:cs="Times New Roman"/>
          <w:sz w:val="24"/>
          <w:szCs w:val="24"/>
        </w:rPr>
        <w:t xml:space="preserve"> risinājumu testēšanai pirms ieviešanas ražošanā. EDIC kompetence </w:t>
      </w:r>
      <w:r>
        <w:rPr>
          <w:rFonts w:ascii="Times New Roman" w:hAnsi="Times New Roman" w:cs="Times New Roman"/>
          <w:sz w:val="24"/>
          <w:szCs w:val="24"/>
        </w:rPr>
        <w:t>iekļauj</w:t>
      </w:r>
      <w:r w:rsidRPr="004B41A3">
        <w:rPr>
          <w:rFonts w:ascii="Times New Roman" w:hAnsi="Times New Roman" w:cs="Times New Roman"/>
          <w:sz w:val="24"/>
          <w:szCs w:val="24"/>
        </w:rPr>
        <w:t xml:space="preserve"> inovāciju atbalsta</w:t>
      </w:r>
      <w:r>
        <w:rPr>
          <w:rFonts w:ascii="Times New Roman" w:hAnsi="Times New Roman" w:cs="Times New Roman"/>
          <w:sz w:val="24"/>
          <w:szCs w:val="24"/>
        </w:rPr>
        <w:t xml:space="preserve"> </w:t>
      </w:r>
      <w:r w:rsidRPr="004B41A3">
        <w:rPr>
          <w:rFonts w:ascii="Times New Roman" w:hAnsi="Times New Roman" w:cs="Times New Roman"/>
          <w:sz w:val="24"/>
          <w:szCs w:val="24"/>
        </w:rPr>
        <w:t>pakalpojumu</w:t>
      </w:r>
      <w:r>
        <w:rPr>
          <w:rFonts w:ascii="Times New Roman" w:hAnsi="Times New Roman" w:cs="Times New Roman"/>
          <w:sz w:val="24"/>
          <w:szCs w:val="24"/>
        </w:rPr>
        <w:t>s</w:t>
      </w:r>
      <w:r w:rsidRPr="004B41A3">
        <w:rPr>
          <w:rFonts w:ascii="Times New Roman" w:hAnsi="Times New Roman" w:cs="Times New Roman"/>
          <w:sz w:val="24"/>
          <w:szCs w:val="24"/>
        </w:rPr>
        <w:t xml:space="preserve">, finansējuma piesaistes atbalstu, apmācību un prasmju pilnveidošanu u.c. funkcijas, kas nodrošinātu koordinētu pieeju uzņēmējdarbības </w:t>
      </w:r>
      <w:proofErr w:type="spellStart"/>
      <w:r w:rsidRPr="004B41A3">
        <w:rPr>
          <w:rFonts w:ascii="Times New Roman" w:hAnsi="Times New Roman" w:cs="Times New Roman"/>
          <w:sz w:val="24"/>
          <w:szCs w:val="24"/>
        </w:rPr>
        <w:t>digitalizācijas</w:t>
      </w:r>
      <w:proofErr w:type="spellEnd"/>
      <w:r w:rsidRPr="004B41A3">
        <w:rPr>
          <w:rFonts w:ascii="Times New Roman" w:hAnsi="Times New Roman" w:cs="Times New Roman"/>
          <w:sz w:val="24"/>
          <w:szCs w:val="24"/>
        </w:rPr>
        <w:t xml:space="preserve"> veicināšanai</w:t>
      </w:r>
      <w:r>
        <w:rPr>
          <w:rFonts w:ascii="Times New Roman" w:hAnsi="Times New Roman" w:cs="Times New Roman"/>
          <w:sz w:val="24"/>
          <w:szCs w:val="24"/>
        </w:rPr>
        <w:t>, kā arī jaunu un inovatīvu procesu un pakalpojumu izvēršanu visās tautsaimniecības jomās</w:t>
      </w:r>
      <w:r w:rsidR="00D20FE2">
        <w:rPr>
          <w:rFonts w:ascii="Times New Roman" w:hAnsi="Times New Roman" w:cs="Times New Roman"/>
          <w:sz w:val="24"/>
          <w:szCs w:val="24"/>
        </w:rPr>
        <w:t>.</w:t>
      </w:r>
    </w:p>
    <w:p w:rsidRPr="00CB0754" w:rsidR="00A34E92" w:rsidP="00CF6A23" w:rsidRDefault="00CB0754" w14:paraId="0D5819A7" w14:textId="486D395F">
      <w:pPr>
        <w:spacing w:before="240" w:after="0" w:line="240" w:lineRule="auto"/>
        <w:jc w:val="both"/>
        <w:rPr>
          <w:rFonts w:ascii="Times New Roman" w:hAnsi="Times New Roman" w:cs="Times New Roman"/>
          <w:sz w:val="24"/>
          <w:szCs w:val="24"/>
        </w:rPr>
      </w:pPr>
      <w:r w:rsidRPr="00CB0754">
        <w:rPr>
          <w:rFonts w:ascii="Times New Roman" w:hAnsi="Times New Roman" w:cs="Times New Roman"/>
          <w:sz w:val="24"/>
          <w:szCs w:val="24"/>
        </w:rPr>
        <w:t>Svarīga ir arī</w:t>
      </w:r>
      <w:r w:rsidRPr="00CB0754" w:rsidR="00A34E92">
        <w:rPr>
          <w:rFonts w:ascii="Times New Roman" w:hAnsi="Times New Roman" w:cs="Times New Roman"/>
          <w:sz w:val="24"/>
          <w:szCs w:val="24"/>
        </w:rPr>
        <w:t xml:space="preserve"> augsta līmeņa digitālo prasmju programmu izstrād</w:t>
      </w:r>
      <w:r w:rsidRPr="00CB0754">
        <w:rPr>
          <w:rFonts w:ascii="Times New Roman" w:hAnsi="Times New Roman" w:cs="Times New Roman"/>
          <w:sz w:val="24"/>
          <w:szCs w:val="24"/>
        </w:rPr>
        <w:t>e</w:t>
      </w:r>
      <w:r w:rsidRPr="00CB0754" w:rsidR="00A34E92">
        <w:rPr>
          <w:rFonts w:ascii="Times New Roman" w:hAnsi="Times New Roman" w:cs="Times New Roman"/>
          <w:sz w:val="24"/>
          <w:szCs w:val="24"/>
        </w:rPr>
        <w:t>, ieskaitot kvantu skaitļošanas sistēmas izveidi, robotikas veicināšanu, augstas veiktspējas skaitļošanas centra (</w:t>
      </w:r>
      <w:r w:rsidRPr="001A65C5" w:rsidR="00A34E92">
        <w:rPr>
          <w:rFonts w:ascii="Times New Roman" w:hAnsi="Times New Roman" w:cs="Times New Roman"/>
          <w:sz w:val="24"/>
          <w:szCs w:val="24"/>
        </w:rPr>
        <w:t>HPC</w:t>
      </w:r>
      <w:r w:rsidRPr="00CB0754" w:rsidR="00A34E92">
        <w:rPr>
          <w:rFonts w:ascii="Times New Roman" w:hAnsi="Times New Roman" w:cs="Times New Roman"/>
          <w:sz w:val="24"/>
          <w:szCs w:val="24"/>
        </w:rPr>
        <w:t xml:space="preserve">) lietojumprogrammu attīstību, mikroshēmu un procesoru izstrādi. Latvija nesen pievienojās </w:t>
      </w:r>
      <w:r w:rsidRPr="00CB0754">
        <w:rPr>
          <w:rFonts w:ascii="Times New Roman" w:hAnsi="Times New Roman" w:cs="Times New Roman"/>
          <w:sz w:val="24"/>
          <w:szCs w:val="24"/>
        </w:rPr>
        <w:t xml:space="preserve">Eiropas </w:t>
      </w:r>
      <w:r w:rsidRPr="00CB0754" w:rsidR="00A34E92">
        <w:rPr>
          <w:rFonts w:ascii="Times New Roman" w:hAnsi="Times New Roman" w:cs="Times New Roman"/>
          <w:sz w:val="24"/>
          <w:szCs w:val="24"/>
        </w:rPr>
        <w:t xml:space="preserve">deklarācijai par procesoriem un pusvadītāju tehnoloģijām un apņēmās sadarboties ar citām dalībvalstīm, </w:t>
      </w:r>
      <w:r w:rsidRPr="00CB0754">
        <w:rPr>
          <w:rFonts w:ascii="Times New Roman" w:hAnsi="Times New Roman" w:cs="Times New Roman"/>
          <w:sz w:val="24"/>
          <w:szCs w:val="24"/>
        </w:rPr>
        <w:t>lai stiprinātu ES procesoru un pusvadītāju projektēšanas un ražošanas ekosistēmu un paplašinātu industriālo klātbūtni visos piegādes ķēdes posmos, tādā veidā nostiprinot ES pozīcijas.</w:t>
      </w:r>
      <w:r w:rsidR="004B41A3">
        <w:rPr>
          <w:rFonts w:ascii="Times New Roman" w:hAnsi="Times New Roman" w:cs="Times New Roman"/>
          <w:sz w:val="24"/>
          <w:szCs w:val="24"/>
        </w:rPr>
        <w:t xml:space="preserve"> Lai veicinātu komersantu pieeju augsta līmeņa digitālajām prasmēm, Izglītības un zinātnes ministrija ANM ietvaros ir paredzējusi virkni atbalsta aktivitātes, kas tiks īstenotas ar kvalificētu speciālistu un zinātnes ekselences centru starpniecību.</w:t>
      </w:r>
    </w:p>
    <w:p w:rsidR="006849D6" w:rsidP="00CF6A23" w:rsidRDefault="006849D6" w14:paraId="65F46A51" w14:textId="61CDDE18">
      <w:pPr>
        <w:pStyle w:val="ListParagraph"/>
        <w:numPr>
          <w:ilvl w:val="0"/>
          <w:numId w:val="5"/>
        </w:numPr>
        <w:spacing w:before="240" w:after="0" w:line="240" w:lineRule="auto"/>
        <w:jc w:val="both"/>
        <w:rPr>
          <w:rFonts w:ascii="Times New Roman" w:hAnsi="Times New Roman" w:cs="Times New Roman"/>
          <w:i/>
          <w:iCs/>
          <w:sz w:val="24"/>
          <w:szCs w:val="24"/>
        </w:rPr>
      </w:pPr>
      <w:r w:rsidRPr="003178E0">
        <w:rPr>
          <w:rFonts w:ascii="Times New Roman" w:hAnsi="Times New Roman" w:cs="Times New Roman"/>
          <w:i/>
          <w:iCs/>
          <w:sz w:val="24"/>
          <w:szCs w:val="24"/>
        </w:rPr>
        <w:t xml:space="preserve">Kādus pasākumus dalībvalstis plāno veikt, lai nodrošinātu, ka </w:t>
      </w:r>
      <w:r w:rsidRPr="003178E0" w:rsidR="003178E0">
        <w:rPr>
          <w:rFonts w:ascii="Times New Roman" w:hAnsi="Times New Roman" w:cs="Times New Roman"/>
          <w:i/>
          <w:iCs/>
          <w:sz w:val="24"/>
          <w:szCs w:val="24"/>
        </w:rPr>
        <w:t>ANM</w:t>
      </w:r>
      <w:r w:rsidRPr="003178E0">
        <w:rPr>
          <w:rFonts w:ascii="Times New Roman" w:hAnsi="Times New Roman" w:cs="Times New Roman"/>
          <w:i/>
          <w:iCs/>
          <w:sz w:val="24"/>
          <w:szCs w:val="24"/>
        </w:rPr>
        <w:t xml:space="preserve"> fondi tiek ātri un efektīvi novirzīti arī </w:t>
      </w:r>
      <w:r w:rsidR="00CB0754">
        <w:rPr>
          <w:rFonts w:ascii="Times New Roman" w:hAnsi="Times New Roman" w:cs="Times New Roman"/>
          <w:i/>
          <w:iCs/>
          <w:sz w:val="24"/>
          <w:szCs w:val="24"/>
        </w:rPr>
        <w:t xml:space="preserve">mazo un vidējo uzņēmumu (turpmāk- </w:t>
      </w:r>
      <w:r w:rsidRPr="003178E0">
        <w:rPr>
          <w:rFonts w:ascii="Times New Roman" w:hAnsi="Times New Roman" w:cs="Times New Roman"/>
          <w:i/>
          <w:iCs/>
          <w:sz w:val="24"/>
          <w:szCs w:val="24"/>
        </w:rPr>
        <w:t>MVU</w:t>
      </w:r>
      <w:r w:rsidR="00CB0754">
        <w:rPr>
          <w:rFonts w:ascii="Times New Roman" w:hAnsi="Times New Roman" w:cs="Times New Roman"/>
          <w:i/>
          <w:iCs/>
          <w:sz w:val="24"/>
          <w:szCs w:val="24"/>
        </w:rPr>
        <w:t>)</w:t>
      </w:r>
      <w:r w:rsidRPr="003178E0">
        <w:rPr>
          <w:rFonts w:ascii="Times New Roman" w:hAnsi="Times New Roman" w:cs="Times New Roman"/>
          <w:i/>
          <w:iCs/>
          <w:sz w:val="24"/>
          <w:szCs w:val="24"/>
        </w:rPr>
        <w:t>, lai atbalstītu tos pārej</w:t>
      </w:r>
      <w:r w:rsidR="003178E0">
        <w:rPr>
          <w:rFonts w:ascii="Times New Roman" w:hAnsi="Times New Roman" w:cs="Times New Roman"/>
          <w:i/>
          <w:iCs/>
          <w:sz w:val="24"/>
          <w:szCs w:val="24"/>
        </w:rPr>
        <w:t>ā uz digitālu un zaļu ekonomiku</w:t>
      </w:r>
      <w:r w:rsidRPr="003178E0">
        <w:rPr>
          <w:rFonts w:ascii="Times New Roman" w:hAnsi="Times New Roman" w:cs="Times New Roman"/>
          <w:i/>
          <w:iCs/>
          <w:sz w:val="24"/>
          <w:szCs w:val="24"/>
        </w:rPr>
        <w:t>?</w:t>
      </w:r>
    </w:p>
    <w:p w:rsidRPr="00DD21CA" w:rsidR="00CB0754" w:rsidP="00CF6A23" w:rsidRDefault="00DF05BB" w14:paraId="5211FFA4" w14:textId="03F8F9A7">
      <w:pPr>
        <w:spacing w:before="240" w:after="0" w:line="240" w:lineRule="auto"/>
        <w:jc w:val="both"/>
        <w:rPr>
          <w:rFonts w:ascii="Times New Roman" w:hAnsi="Times New Roman" w:cs="Times New Roman"/>
          <w:sz w:val="24"/>
          <w:szCs w:val="24"/>
        </w:rPr>
      </w:pPr>
      <w:r w:rsidRPr="00DD21CA">
        <w:rPr>
          <w:rFonts w:ascii="Times New Roman" w:hAnsi="Times New Roman" w:cs="Times New Roman"/>
          <w:sz w:val="24"/>
          <w:szCs w:val="24"/>
        </w:rPr>
        <w:t xml:space="preserve">Lai īstenotu </w:t>
      </w:r>
      <w:r w:rsidRPr="00DD21CA" w:rsidR="00CB0754">
        <w:rPr>
          <w:rFonts w:ascii="Times New Roman" w:hAnsi="Times New Roman" w:cs="Times New Roman"/>
          <w:sz w:val="24"/>
          <w:szCs w:val="24"/>
        </w:rPr>
        <w:t xml:space="preserve">MVU </w:t>
      </w:r>
      <w:r w:rsidRPr="00DD21CA">
        <w:rPr>
          <w:rFonts w:ascii="Times New Roman" w:hAnsi="Times New Roman" w:cs="Times New Roman"/>
          <w:sz w:val="24"/>
          <w:szCs w:val="24"/>
        </w:rPr>
        <w:t xml:space="preserve">digitālo transformāciju </w:t>
      </w:r>
      <w:r w:rsidRPr="00DD21CA" w:rsidR="00CB0754">
        <w:rPr>
          <w:rFonts w:ascii="Times New Roman" w:hAnsi="Times New Roman" w:cs="Times New Roman"/>
          <w:sz w:val="24"/>
          <w:szCs w:val="24"/>
        </w:rPr>
        <w:t xml:space="preserve">viens no virzītājspēkiem ir </w:t>
      </w:r>
      <w:r w:rsidRPr="00DD21CA" w:rsidR="000172A1">
        <w:rPr>
          <w:rFonts w:ascii="Times New Roman" w:hAnsi="Times New Roman" w:cs="Times New Roman"/>
          <w:sz w:val="24"/>
          <w:szCs w:val="24"/>
        </w:rPr>
        <w:t>u</w:t>
      </w:r>
      <w:r w:rsidRPr="00DD21CA">
        <w:rPr>
          <w:rFonts w:ascii="Times New Roman" w:hAnsi="Times New Roman" w:cs="Times New Roman"/>
          <w:sz w:val="24"/>
          <w:szCs w:val="24"/>
        </w:rPr>
        <w:t xml:space="preserve">zņēmumu </w:t>
      </w:r>
      <w:proofErr w:type="spellStart"/>
      <w:r w:rsidRPr="00DD21CA">
        <w:rPr>
          <w:rFonts w:ascii="Times New Roman" w:hAnsi="Times New Roman" w:cs="Times New Roman"/>
          <w:sz w:val="24"/>
          <w:szCs w:val="24"/>
        </w:rPr>
        <w:t>digitalizācija</w:t>
      </w:r>
      <w:proofErr w:type="spellEnd"/>
      <w:r w:rsidRPr="00DD21CA">
        <w:rPr>
          <w:rFonts w:ascii="Times New Roman" w:hAnsi="Times New Roman" w:cs="Times New Roman"/>
          <w:sz w:val="24"/>
          <w:szCs w:val="24"/>
        </w:rPr>
        <w:t xml:space="preserve"> un inovācijas, t.sk. uzņēmējdarbības digitālās transformācijas pilna cikla atbalsta izveide</w:t>
      </w:r>
      <w:r w:rsidRPr="00DD21CA" w:rsidR="000172A1">
        <w:rPr>
          <w:rFonts w:ascii="Times New Roman" w:hAnsi="Times New Roman" w:cs="Times New Roman"/>
          <w:sz w:val="24"/>
          <w:szCs w:val="24"/>
        </w:rPr>
        <w:t>.</w:t>
      </w:r>
      <w:r w:rsidRPr="00DD21CA">
        <w:rPr>
          <w:rFonts w:ascii="Times New Roman" w:hAnsi="Times New Roman" w:cs="Times New Roman"/>
          <w:sz w:val="24"/>
          <w:szCs w:val="24"/>
        </w:rPr>
        <w:t xml:space="preserve"> </w:t>
      </w:r>
      <w:r w:rsidR="004B41A3">
        <w:rPr>
          <w:rFonts w:ascii="Times New Roman" w:hAnsi="Times New Roman" w:cs="Times New Roman"/>
          <w:sz w:val="24"/>
          <w:szCs w:val="24"/>
        </w:rPr>
        <w:t>Ekonomikas ministrijas ANM ietvaros pieteiktais a</w:t>
      </w:r>
      <w:r w:rsidRPr="00DD21CA" w:rsidR="000172A1">
        <w:rPr>
          <w:rFonts w:ascii="Times New Roman" w:hAnsi="Times New Roman" w:cs="Times New Roman"/>
          <w:sz w:val="24"/>
          <w:szCs w:val="24"/>
        </w:rPr>
        <w:t>tbalsts uzņēmējdarbības</w:t>
      </w:r>
      <w:r w:rsidR="004B41A3">
        <w:rPr>
          <w:rFonts w:ascii="Times New Roman" w:hAnsi="Times New Roman" w:cs="Times New Roman"/>
          <w:sz w:val="24"/>
          <w:szCs w:val="24"/>
        </w:rPr>
        <w:t xml:space="preserve"> digitālās transformācijas</w:t>
      </w:r>
      <w:r w:rsidRPr="00DD21CA" w:rsidR="000172A1">
        <w:rPr>
          <w:rFonts w:ascii="Times New Roman" w:hAnsi="Times New Roman" w:cs="Times New Roman"/>
          <w:sz w:val="24"/>
          <w:szCs w:val="24"/>
        </w:rPr>
        <w:t xml:space="preserve"> attīstīšanai </w:t>
      </w:r>
      <w:r w:rsidR="004B41A3">
        <w:rPr>
          <w:rFonts w:ascii="Times New Roman" w:hAnsi="Times New Roman" w:cs="Times New Roman"/>
          <w:sz w:val="24"/>
          <w:szCs w:val="24"/>
        </w:rPr>
        <w:t>iekļauj jau iepriekšminēt</w:t>
      </w:r>
      <w:r w:rsidR="00E40256">
        <w:rPr>
          <w:rFonts w:ascii="Times New Roman" w:hAnsi="Times New Roman" w:cs="Times New Roman"/>
          <w:sz w:val="24"/>
          <w:szCs w:val="24"/>
        </w:rPr>
        <w:t>o</w:t>
      </w:r>
      <w:r w:rsidR="004B41A3">
        <w:rPr>
          <w:rFonts w:ascii="Times New Roman" w:hAnsi="Times New Roman" w:cs="Times New Roman"/>
          <w:sz w:val="24"/>
          <w:szCs w:val="24"/>
        </w:rPr>
        <w:t xml:space="preserve"> EDIC</w:t>
      </w:r>
      <w:r w:rsidR="00E40256">
        <w:rPr>
          <w:rFonts w:ascii="Times New Roman" w:hAnsi="Times New Roman" w:cs="Times New Roman"/>
          <w:sz w:val="24"/>
          <w:szCs w:val="24"/>
        </w:rPr>
        <w:t xml:space="preserve"> izveidi, kas tiktu papildināta ar reģionālo uzņēmējdarbības centru kapacitātes stiprināšanu piecos Latvijas plānošanas reģionos, lai veidotu visu Latvijas komersantu un EDIC saskarsmi pakalpojumu sniegšanā. Būtisks a</w:t>
      </w:r>
      <w:r w:rsidRPr="00E40256" w:rsidR="00E40256">
        <w:rPr>
          <w:rFonts w:ascii="Times New Roman" w:hAnsi="Times New Roman" w:cs="Times New Roman"/>
          <w:sz w:val="24"/>
          <w:szCs w:val="24"/>
        </w:rPr>
        <w:t>tbalsts</w:t>
      </w:r>
      <w:r w:rsidR="00E40256">
        <w:rPr>
          <w:rFonts w:ascii="Times New Roman" w:hAnsi="Times New Roman" w:cs="Times New Roman"/>
          <w:sz w:val="24"/>
          <w:szCs w:val="24"/>
        </w:rPr>
        <w:t xml:space="preserve"> paredzēts arī</w:t>
      </w:r>
      <w:r w:rsidRPr="00E40256" w:rsidR="00E40256">
        <w:rPr>
          <w:rFonts w:ascii="Times New Roman" w:hAnsi="Times New Roman" w:cs="Times New Roman"/>
          <w:sz w:val="24"/>
          <w:szCs w:val="24"/>
        </w:rPr>
        <w:t xml:space="preserve"> </w:t>
      </w:r>
      <w:r w:rsidR="00E40256">
        <w:rPr>
          <w:rFonts w:ascii="Times New Roman" w:hAnsi="Times New Roman" w:cs="Times New Roman"/>
          <w:sz w:val="24"/>
          <w:szCs w:val="24"/>
        </w:rPr>
        <w:t>MV</w:t>
      </w:r>
      <w:r w:rsidR="00A802A8">
        <w:rPr>
          <w:rFonts w:ascii="Times New Roman" w:hAnsi="Times New Roman" w:cs="Times New Roman"/>
          <w:sz w:val="24"/>
          <w:szCs w:val="24"/>
        </w:rPr>
        <w:t>U</w:t>
      </w:r>
      <w:r w:rsidR="00E40256">
        <w:rPr>
          <w:rFonts w:ascii="Times New Roman" w:hAnsi="Times New Roman" w:cs="Times New Roman"/>
          <w:sz w:val="24"/>
          <w:szCs w:val="24"/>
        </w:rPr>
        <w:t xml:space="preserve"> </w:t>
      </w:r>
      <w:r w:rsidRPr="00E40256" w:rsidR="00E40256">
        <w:rPr>
          <w:rFonts w:ascii="Times New Roman" w:hAnsi="Times New Roman" w:cs="Times New Roman"/>
          <w:sz w:val="24"/>
          <w:szCs w:val="24"/>
        </w:rPr>
        <w:t xml:space="preserve">procesu </w:t>
      </w:r>
      <w:proofErr w:type="spellStart"/>
      <w:r w:rsidRPr="00E40256" w:rsidR="00E40256">
        <w:rPr>
          <w:rFonts w:ascii="Times New Roman" w:hAnsi="Times New Roman" w:cs="Times New Roman"/>
          <w:sz w:val="24"/>
          <w:szCs w:val="24"/>
        </w:rPr>
        <w:t>digitalizācijai</w:t>
      </w:r>
      <w:proofErr w:type="spellEnd"/>
      <w:r w:rsidRPr="00E40256" w:rsidR="00E40256">
        <w:rPr>
          <w:rFonts w:ascii="Times New Roman" w:hAnsi="Times New Roman" w:cs="Times New Roman"/>
          <w:sz w:val="24"/>
          <w:szCs w:val="24"/>
        </w:rPr>
        <w:t xml:space="preserve"> komercdarbībā </w:t>
      </w:r>
      <w:r w:rsidR="00E40256">
        <w:rPr>
          <w:rFonts w:ascii="Times New Roman" w:hAnsi="Times New Roman" w:cs="Times New Roman"/>
          <w:sz w:val="24"/>
          <w:szCs w:val="24"/>
        </w:rPr>
        <w:t xml:space="preserve">un atbalsts </w:t>
      </w:r>
      <w:r w:rsidRPr="00E40256" w:rsidR="00E40256">
        <w:rPr>
          <w:rFonts w:ascii="Times New Roman" w:hAnsi="Times New Roman" w:cs="Times New Roman"/>
          <w:sz w:val="24"/>
          <w:szCs w:val="24"/>
        </w:rPr>
        <w:t>jaunu</w:t>
      </w:r>
      <w:r w:rsidR="00E40256">
        <w:rPr>
          <w:rFonts w:ascii="Times New Roman" w:hAnsi="Times New Roman" w:cs="Times New Roman"/>
          <w:sz w:val="24"/>
          <w:szCs w:val="24"/>
        </w:rPr>
        <w:t xml:space="preserve"> digitālu</w:t>
      </w:r>
      <w:r w:rsidRPr="00E40256" w:rsidR="00E40256">
        <w:rPr>
          <w:rFonts w:ascii="Times New Roman" w:hAnsi="Times New Roman" w:cs="Times New Roman"/>
          <w:sz w:val="24"/>
          <w:szCs w:val="24"/>
        </w:rPr>
        <w:t xml:space="preserve"> produktu un pakalpojumu ieviešanai uzņēmējdarbībā</w:t>
      </w:r>
      <w:r w:rsidR="00E40256">
        <w:rPr>
          <w:rFonts w:ascii="Times New Roman" w:hAnsi="Times New Roman" w:cs="Times New Roman"/>
          <w:sz w:val="24"/>
          <w:szCs w:val="24"/>
        </w:rPr>
        <w:t>, kas ietvers</w:t>
      </w:r>
      <w:r w:rsidRPr="00E40256" w:rsidR="00E40256">
        <w:rPr>
          <w:rFonts w:ascii="Times New Roman" w:hAnsi="Times New Roman" w:cs="Times New Roman"/>
          <w:sz w:val="24"/>
          <w:szCs w:val="24"/>
        </w:rPr>
        <w:t xml:space="preserve"> </w:t>
      </w:r>
      <w:r w:rsidRPr="00DD21CA" w:rsidR="000172A1">
        <w:rPr>
          <w:rFonts w:ascii="Times New Roman" w:hAnsi="Times New Roman" w:cs="Times New Roman"/>
          <w:sz w:val="24"/>
          <w:szCs w:val="24"/>
        </w:rPr>
        <w:t>piemēram, e-komercija</w:t>
      </w:r>
      <w:r w:rsidR="00E40256">
        <w:rPr>
          <w:rFonts w:ascii="Times New Roman" w:hAnsi="Times New Roman" w:cs="Times New Roman"/>
          <w:sz w:val="24"/>
          <w:szCs w:val="24"/>
        </w:rPr>
        <w:t>s</w:t>
      </w:r>
      <w:r w:rsidRPr="00DD21CA" w:rsidR="000172A1">
        <w:rPr>
          <w:rFonts w:ascii="Times New Roman" w:hAnsi="Times New Roman" w:cs="Times New Roman"/>
          <w:sz w:val="24"/>
          <w:szCs w:val="24"/>
        </w:rPr>
        <w:t>, digitāl</w:t>
      </w:r>
      <w:r w:rsidR="00E40256">
        <w:rPr>
          <w:rFonts w:ascii="Times New Roman" w:hAnsi="Times New Roman" w:cs="Times New Roman"/>
          <w:sz w:val="24"/>
          <w:szCs w:val="24"/>
        </w:rPr>
        <w:t>ā</w:t>
      </w:r>
      <w:r w:rsidRPr="00DD21CA" w:rsidR="000172A1">
        <w:rPr>
          <w:rFonts w:ascii="Times New Roman" w:hAnsi="Times New Roman" w:cs="Times New Roman"/>
          <w:sz w:val="24"/>
          <w:szCs w:val="24"/>
        </w:rPr>
        <w:t xml:space="preserve"> mārketing</w:t>
      </w:r>
      <w:r w:rsidR="00E40256">
        <w:rPr>
          <w:rFonts w:ascii="Times New Roman" w:hAnsi="Times New Roman" w:cs="Times New Roman"/>
          <w:sz w:val="24"/>
          <w:szCs w:val="24"/>
        </w:rPr>
        <w:t>a</w:t>
      </w:r>
      <w:r w:rsidRPr="00DD21CA" w:rsidR="000172A1">
        <w:rPr>
          <w:rFonts w:ascii="Times New Roman" w:hAnsi="Times New Roman" w:cs="Times New Roman"/>
          <w:sz w:val="24"/>
          <w:szCs w:val="24"/>
        </w:rPr>
        <w:t>, digitāl</w:t>
      </w:r>
      <w:r w:rsidR="00E40256">
        <w:rPr>
          <w:rFonts w:ascii="Times New Roman" w:hAnsi="Times New Roman" w:cs="Times New Roman"/>
          <w:sz w:val="24"/>
          <w:szCs w:val="24"/>
        </w:rPr>
        <w:t>o</w:t>
      </w:r>
      <w:r w:rsidRPr="00DD21CA" w:rsidR="000172A1">
        <w:rPr>
          <w:rFonts w:ascii="Times New Roman" w:hAnsi="Times New Roman" w:cs="Times New Roman"/>
          <w:sz w:val="24"/>
          <w:szCs w:val="24"/>
        </w:rPr>
        <w:t xml:space="preserve"> kravu pavadzīm</w:t>
      </w:r>
      <w:r w:rsidR="00E40256">
        <w:rPr>
          <w:rFonts w:ascii="Times New Roman" w:hAnsi="Times New Roman" w:cs="Times New Roman"/>
          <w:sz w:val="24"/>
          <w:szCs w:val="24"/>
        </w:rPr>
        <w:t xml:space="preserve">ju, </w:t>
      </w:r>
      <w:r w:rsidRPr="00E40256" w:rsidR="00E40256">
        <w:rPr>
          <w:rFonts w:ascii="Times New Roman" w:hAnsi="Times New Roman" w:cs="Times New Roman"/>
          <w:sz w:val="24"/>
          <w:szCs w:val="24"/>
        </w:rPr>
        <w:t>iekārtu atjaunošan</w:t>
      </w:r>
      <w:r w:rsidR="00E40256">
        <w:rPr>
          <w:rFonts w:ascii="Times New Roman" w:hAnsi="Times New Roman" w:cs="Times New Roman"/>
          <w:sz w:val="24"/>
          <w:szCs w:val="24"/>
        </w:rPr>
        <w:t>as, automatizācijas un saistīto digitālās transformācijas atbalstu</w:t>
      </w:r>
      <w:r w:rsidRPr="00DD21CA" w:rsidR="000172A1">
        <w:rPr>
          <w:rFonts w:ascii="Times New Roman" w:hAnsi="Times New Roman" w:cs="Times New Roman"/>
          <w:sz w:val="24"/>
          <w:szCs w:val="24"/>
        </w:rPr>
        <w:t xml:space="preserve">. </w:t>
      </w:r>
    </w:p>
    <w:p w:rsidRPr="00DD21CA" w:rsidR="00E40256" w:rsidP="00CF6A23" w:rsidRDefault="00E40256" w14:paraId="387824D1" w14:textId="3F491B04">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Būtiskākais aspekts sekmīgai digitālās transformācijas</w:t>
      </w:r>
      <w:r w:rsidR="00A802A8">
        <w:rPr>
          <w:rFonts w:ascii="Times New Roman" w:hAnsi="Times New Roman" w:cs="Times New Roman"/>
          <w:sz w:val="24"/>
          <w:szCs w:val="24"/>
        </w:rPr>
        <w:t xml:space="preserve"> norisei komercdarbībā ir MVU digitālo </w:t>
      </w:r>
      <w:proofErr w:type="spellStart"/>
      <w:r w:rsidR="00A802A8">
        <w:rPr>
          <w:rFonts w:ascii="Times New Roman" w:hAnsi="Times New Roman" w:cs="Times New Roman"/>
          <w:sz w:val="24"/>
          <w:szCs w:val="24"/>
        </w:rPr>
        <w:t>pamatprasmju</w:t>
      </w:r>
      <w:proofErr w:type="spellEnd"/>
      <w:r w:rsidR="00A802A8">
        <w:rPr>
          <w:rFonts w:ascii="Times New Roman" w:hAnsi="Times New Roman" w:cs="Times New Roman"/>
          <w:sz w:val="24"/>
          <w:szCs w:val="24"/>
        </w:rPr>
        <w:t xml:space="preserve"> attīstība, jeb spēja izmantot mūsdienīgus digitālos rīkus pakalpojumu nodrošināšanā un ražošanā.</w:t>
      </w:r>
      <w:r w:rsidRPr="00A802A8" w:rsidR="00A802A8">
        <w:t xml:space="preserve"> </w:t>
      </w:r>
      <w:r w:rsidRPr="00A802A8" w:rsidR="00A802A8">
        <w:rPr>
          <w:rFonts w:ascii="Times New Roman" w:hAnsi="Times New Roman" w:cs="Times New Roman"/>
          <w:sz w:val="24"/>
          <w:szCs w:val="24"/>
        </w:rPr>
        <w:t>Digitālo prasmju trūkums ir pamata cēlonis zemai digitālo tehnoloģiju integrācijai uzņēmumos un nepietiekamam e</w:t>
      </w:r>
      <w:r w:rsidR="0032589A">
        <w:rPr>
          <w:rFonts w:ascii="Times New Roman" w:hAnsi="Times New Roman" w:cs="Times New Roman"/>
          <w:sz w:val="24"/>
          <w:szCs w:val="24"/>
        </w:rPr>
        <w:t>-</w:t>
      </w:r>
      <w:r w:rsidRPr="00A802A8" w:rsidR="00A802A8">
        <w:rPr>
          <w:rFonts w:ascii="Times New Roman" w:hAnsi="Times New Roman" w:cs="Times New Roman"/>
          <w:sz w:val="24"/>
          <w:szCs w:val="24"/>
        </w:rPr>
        <w:t>komercijas apjomam.</w:t>
      </w:r>
      <w:r w:rsidR="00A802A8">
        <w:rPr>
          <w:rFonts w:ascii="Times New Roman" w:hAnsi="Times New Roman" w:cs="Times New Roman"/>
          <w:sz w:val="24"/>
          <w:szCs w:val="24"/>
        </w:rPr>
        <w:t xml:space="preserve"> Šim nolūkam Ekonomikas ministrija ir paredzējusi līdzekļus ANM plāna ietvaros, lai b</w:t>
      </w:r>
      <w:r w:rsidRPr="00A802A8" w:rsidR="00A802A8">
        <w:rPr>
          <w:rFonts w:ascii="Times New Roman" w:hAnsi="Times New Roman" w:cs="Times New Roman"/>
          <w:sz w:val="24"/>
          <w:szCs w:val="24"/>
        </w:rPr>
        <w:t xml:space="preserve">alstoties uz </w:t>
      </w:r>
      <w:r w:rsidR="00A802A8">
        <w:rPr>
          <w:rFonts w:ascii="Times New Roman" w:hAnsi="Times New Roman" w:cs="Times New Roman"/>
          <w:sz w:val="24"/>
          <w:szCs w:val="24"/>
        </w:rPr>
        <w:t>MVU digitālās attīstības</w:t>
      </w:r>
      <w:r w:rsidRPr="00A802A8" w:rsidR="00A802A8">
        <w:rPr>
          <w:rFonts w:ascii="Times New Roman" w:hAnsi="Times New Roman" w:cs="Times New Roman"/>
          <w:sz w:val="24"/>
          <w:szCs w:val="24"/>
        </w:rPr>
        <w:t xml:space="preserve"> novērtējumu un identificētajām vajadzībām, </w:t>
      </w:r>
      <w:r w:rsidR="00A802A8">
        <w:rPr>
          <w:rFonts w:ascii="Times New Roman" w:hAnsi="Times New Roman" w:cs="Times New Roman"/>
          <w:sz w:val="24"/>
          <w:szCs w:val="24"/>
        </w:rPr>
        <w:t>MVU</w:t>
      </w:r>
      <w:r w:rsidRPr="00A802A8" w:rsidR="00A802A8">
        <w:rPr>
          <w:rFonts w:ascii="Times New Roman" w:hAnsi="Times New Roman" w:cs="Times New Roman"/>
          <w:sz w:val="24"/>
          <w:szCs w:val="24"/>
        </w:rPr>
        <w:t xml:space="preserve"> darbiniekiem tik</w:t>
      </w:r>
      <w:r w:rsidR="00A802A8">
        <w:rPr>
          <w:rFonts w:ascii="Times New Roman" w:hAnsi="Times New Roman" w:cs="Times New Roman"/>
          <w:sz w:val="24"/>
          <w:szCs w:val="24"/>
        </w:rPr>
        <w:t>tu</w:t>
      </w:r>
      <w:r w:rsidRPr="00A802A8" w:rsidR="00A802A8">
        <w:rPr>
          <w:rFonts w:ascii="Times New Roman" w:hAnsi="Times New Roman" w:cs="Times New Roman"/>
          <w:sz w:val="24"/>
          <w:szCs w:val="24"/>
        </w:rPr>
        <w:t xml:space="preserve"> nodrošinātas</w:t>
      </w:r>
      <w:r w:rsidR="00A802A8">
        <w:rPr>
          <w:rFonts w:ascii="Times New Roman" w:hAnsi="Times New Roman" w:cs="Times New Roman"/>
          <w:sz w:val="24"/>
          <w:szCs w:val="24"/>
        </w:rPr>
        <w:t xml:space="preserve"> pamata un</w:t>
      </w:r>
      <w:r w:rsidRPr="00A802A8" w:rsidR="00A802A8">
        <w:rPr>
          <w:rFonts w:ascii="Times New Roman" w:hAnsi="Times New Roman" w:cs="Times New Roman"/>
          <w:sz w:val="24"/>
          <w:szCs w:val="24"/>
        </w:rPr>
        <w:t xml:space="preserve"> vidēja līmeņa digitāl</w:t>
      </w:r>
      <w:r w:rsidR="00A802A8">
        <w:rPr>
          <w:rFonts w:ascii="Times New Roman" w:hAnsi="Times New Roman" w:cs="Times New Roman"/>
          <w:sz w:val="24"/>
          <w:szCs w:val="24"/>
        </w:rPr>
        <w:t>ās</w:t>
      </w:r>
      <w:r w:rsidRPr="00A802A8" w:rsidR="00A802A8">
        <w:rPr>
          <w:rFonts w:ascii="Times New Roman" w:hAnsi="Times New Roman" w:cs="Times New Roman"/>
          <w:sz w:val="24"/>
          <w:szCs w:val="24"/>
        </w:rPr>
        <w:t xml:space="preserve"> pārvaldības  prasmju apmācības, kas ietver zināšanu apguvi ar mērķi veicināt uzņēmumu eksportspēju caur darbinieku prasmju pilnveidošanu mūsdienīgu digitālo analītikas un e-komercijas rīku, sistēmu un programmatūru izmantošanā.</w:t>
      </w:r>
    </w:p>
    <w:p w:rsidRPr="00DD21CA" w:rsidR="000172A1" w:rsidP="00CF6A23" w:rsidRDefault="00DF05BB" w14:paraId="0C110D27" w14:textId="77777777">
      <w:pPr>
        <w:spacing w:before="240" w:after="0" w:line="240" w:lineRule="auto"/>
        <w:jc w:val="both"/>
        <w:rPr>
          <w:rFonts w:ascii="Times New Roman" w:hAnsi="Times New Roman" w:cs="Times New Roman"/>
          <w:sz w:val="24"/>
          <w:szCs w:val="24"/>
        </w:rPr>
      </w:pPr>
      <w:r w:rsidRPr="00DD21CA">
        <w:rPr>
          <w:rFonts w:ascii="Times New Roman" w:hAnsi="Times New Roman" w:cs="Times New Roman"/>
          <w:sz w:val="24"/>
          <w:szCs w:val="24"/>
        </w:rPr>
        <w:t xml:space="preserve">Digitālās infrastruktūras transformācija, ietverot 5G infrastruktūras izbūvi </w:t>
      </w:r>
      <w:proofErr w:type="spellStart"/>
      <w:r w:rsidRPr="00DD21CA">
        <w:rPr>
          <w:rFonts w:ascii="Times New Roman" w:hAnsi="Times New Roman" w:cs="Times New Roman"/>
          <w:sz w:val="24"/>
          <w:szCs w:val="24"/>
        </w:rPr>
        <w:t>Via</w:t>
      </w:r>
      <w:proofErr w:type="spellEnd"/>
      <w:r w:rsidRPr="00DD21CA">
        <w:rPr>
          <w:rFonts w:ascii="Times New Roman" w:hAnsi="Times New Roman" w:cs="Times New Roman"/>
          <w:sz w:val="24"/>
          <w:szCs w:val="24"/>
        </w:rPr>
        <w:t xml:space="preserve"> </w:t>
      </w:r>
      <w:proofErr w:type="spellStart"/>
      <w:r w:rsidRPr="00DD21CA">
        <w:rPr>
          <w:rFonts w:ascii="Times New Roman" w:hAnsi="Times New Roman" w:cs="Times New Roman"/>
          <w:sz w:val="24"/>
          <w:szCs w:val="24"/>
        </w:rPr>
        <w:t>Baltica</w:t>
      </w:r>
      <w:proofErr w:type="spellEnd"/>
      <w:r w:rsidRPr="00DD21CA">
        <w:rPr>
          <w:rFonts w:ascii="Times New Roman" w:hAnsi="Times New Roman" w:cs="Times New Roman"/>
          <w:sz w:val="24"/>
          <w:szCs w:val="24"/>
        </w:rPr>
        <w:t xml:space="preserve"> koridorā, kā arī platjoslas </w:t>
      </w:r>
      <w:proofErr w:type="spellStart"/>
      <w:r w:rsidRPr="00DD21CA">
        <w:rPr>
          <w:rFonts w:ascii="Times New Roman" w:hAnsi="Times New Roman" w:cs="Times New Roman"/>
          <w:sz w:val="24"/>
          <w:szCs w:val="24"/>
        </w:rPr>
        <w:t>pieslēgumi</w:t>
      </w:r>
      <w:proofErr w:type="spellEnd"/>
      <w:r w:rsidRPr="00DD21CA">
        <w:rPr>
          <w:rFonts w:ascii="Times New Roman" w:hAnsi="Times New Roman" w:cs="Times New Roman"/>
          <w:sz w:val="24"/>
          <w:szCs w:val="24"/>
        </w:rPr>
        <w:t xml:space="preserve"> “pēdējās jūdzes” infrastruktūras attīstībā.</w:t>
      </w:r>
      <w:r w:rsidRPr="00DD21CA" w:rsidR="000172A1">
        <w:rPr>
          <w:rFonts w:ascii="Times New Roman" w:hAnsi="Times New Roman" w:cs="Times New Roman"/>
          <w:sz w:val="24"/>
          <w:szCs w:val="24"/>
        </w:rPr>
        <w:t xml:space="preserve"> </w:t>
      </w:r>
    </w:p>
    <w:p w:rsidRPr="00DD21CA" w:rsidR="00DF05BB" w:rsidP="00CF6A23" w:rsidRDefault="000172A1" w14:paraId="1B795250" w14:textId="61C9A13D">
      <w:pPr>
        <w:spacing w:before="240" w:after="0" w:line="240" w:lineRule="auto"/>
        <w:jc w:val="both"/>
        <w:rPr>
          <w:rFonts w:ascii="Times New Roman" w:hAnsi="Times New Roman" w:cs="Times New Roman"/>
          <w:sz w:val="24"/>
          <w:szCs w:val="24"/>
        </w:rPr>
      </w:pPr>
      <w:r w:rsidRPr="00DD21CA">
        <w:rPr>
          <w:rFonts w:ascii="Times New Roman" w:hAnsi="Times New Roman" w:cs="Times New Roman"/>
          <w:sz w:val="24"/>
          <w:szCs w:val="24"/>
        </w:rPr>
        <w:t>Būtiska ir arī valsts pārvaldes digitālā transformācija, ietverot pakalpojumu uzlabošanu un valsts informācijas komunikācijas tehnoloģiju (</w:t>
      </w:r>
      <w:proofErr w:type="spellStart"/>
      <w:r w:rsidRPr="001A65C5">
        <w:rPr>
          <w:rFonts w:ascii="Times New Roman" w:hAnsi="Times New Roman" w:cs="Times New Roman"/>
          <w:sz w:val="24"/>
          <w:szCs w:val="24"/>
        </w:rPr>
        <w:t>turpmā</w:t>
      </w:r>
      <w:proofErr w:type="spellEnd"/>
      <w:r w:rsidRPr="001A65C5">
        <w:rPr>
          <w:rFonts w:ascii="Times New Roman" w:hAnsi="Times New Roman" w:cs="Times New Roman"/>
          <w:sz w:val="24"/>
          <w:szCs w:val="24"/>
        </w:rPr>
        <w:t>-IKT</w:t>
      </w:r>
      <w:r w:rsidRPr="00DD21CA">
        <w:rPr>
          <w:rFonts w:ascii="Times New Roman" w:hAnsi="Times New Roman" w:cs="Times New Roman"/>
          <w:sz w:val="24"/>
          <w:szCs w:val="24"/>
        </w:rPr>
        <w:t>) resursu izmantošanas efektivitātes paaugstināšanu, kā arī tautsaimniecības datu un digitālo pakalpojumu ekonomikas attīstīšanu.</w:t>
      </w:r>
    </w:p>
    <w:p w:rsidR="006849D6" w:rsidP="00CF6A23" w:rsidRDefault="006849D6" w14:paraId="6CF73673" w14:textId="44FFED9A">
      <w:pPr>
        <w:pStyle w:val="ListParagraph"/>
        <w:numPr>
          <w:ilvl w:val="0"/>
          <w:numId w:val="5"/>
        </w:numPr>
        <w:spacing w:before="240" w:after="0" w:line="240" w:lineRule="auto"/>
        <w:jc w:val="both"/>
        <w:rPr>
          <w:rFonts w:ascii="Times New Roman" w:hAnsi="Times New Roman" w:cs="Times New Roman"/>
          <w:i/>
          <w:iCs/>
          <w:sz w:val="24"/>
          <w:szCs w:val="24"/>
        </w:rPr>
      </w:pPr>
      <w:r w:rsidRPr="005C73F1">
        <w:rPr>
          <w:rFonts w:ascii="Times New Roman" w:hAnsi="Times New Roman" w:cs="Times New Roman"/>
          <w:i/>
          <w:iCs/>
          <w:sz w:val="24"/>
          <w:szCs w:val="24"/>
        </w:rPr>
        <w:t xml:space="preserve">Kā </w:t>
      </w:r>
      <w:r w:rsidRPr="005C73F1" w:rsidR="003178E0">
        <w:rPr>
          <w:rFonts w:ascii="Times New Roman" w:hAnsi="Times New Roman" w:cs="Times New Roman"/>
          <w:i/>
          <w:iCs/>
          <w:sz w:val="24"/>
          <w:szCs w:val="24"/>
        </w:rPr>
        <w:t>ANM</w:t>
      </w:r>
      <w:r w:rsidRPr="005C73F1">
        <w:rPr>
          <w:rFonts w:ascii="Times New Roman" w:hAnsi="Times New Roman" w:cs="Times New Roman"/>
          <w:i/>
          <w:iCs/>
          <w:sz w:val="24"/>
          <w:szCs w:val="24"/>
        </w:rPr>
        <w:t xml:space="preserve"> īstenošana var veicināt ES stratēģiskās autonomijas stiprināšanu?</w:t>
      </w:r>
    </w:p>
    <w:p w:rsidRPr="001A65C5" w:rsidR="000172A1" w:rsidP="00CF6A23" w:rsidRDefault="000172A1" w14:paraId="03EFC1D3" w14:textId="369DA4E2">
      <w:pPr>
        <w:spacing w:before="240" w:after="0" w:line="240" w:lineRule="auto"/>
        <w:jc w:val="both"/>
        <w:rPr>
          <w:rFonts w:ascii="Times New Roman" w:hAnsi="Times New Roman" w:cs="Times New Roman"/>
          <w:sz w:val="24"/>
          <w:szCs w:val="24"/>
        </w:rPr>
      </w:pPr>
      <w:r w:rsidRPr="001A65C5">
        <w:rPr>
          <w:rFonts w:ascii="Times New Roman" w:hAnsi="Times New Roman" w:cs="Times New Roman"/>
          <w:sz w:val="24"/>
          <w:szCs w:val="24"/>
        </w:rPr>
        <w:t xml:space="preserve">Stratēģiskā autonomija ir spēja sevi nodrošināt jomās, kas nepieciešamas dažādu krīžu pārvarēšanai ģeopolitisko pārmaiņu kontekstā, lai nodrošinātu iedzīvotāju veselību, dzīvību un drošību, un nepārtrauktību preču un pakalpojumu sniegšanā. </w:t>
      </w:r>
      <w:r w:rsidRPr="001A65C5" w:rsidR="00DD21CA">
        <w:rPr>
          <w:rFonts w:ascii="Times New Roman" w:hAnsi="Times New Roman" w:cs="Times New Roman"/>
          <w:sz w:val="24"/>
          <w:szCs w:val="24"/>
        </w:rPr>
        <w:t>Šobrīd E</w:t>
      </w:r>
      <w:r w:rsidRPr="001A65C5">
        <w:rPr>
          <w:rFonts w:ascii="Times New Roman" w:hAnsi="Times New Roman" w:cs="Times New Roman"/>
          <w:sz w:val="24"/>
          <w:szCs w:val="24"/>
        </w:rPr>
        <w:t>iropas ekonomika ir atkarīga no ārējiem enerģijas avotiem, izejvielām, tehnoloģijām, kā arī un to piegādātājiem un piegādes ķēdēm.</w:t>
      </w:r>
    </w:p>
    <w:p w:rsidRPr="001A65C5" w:rsidR="00DD21CA" w:rsidP="00CF6A23" w:rsidRDefault="00DD21CA" w14:paraId="21366DE8" w14:textId="32D2A9EF">
      <w:pPr>
        <w:spacing w:before="240" w:after="0" w:line="240" w:lineRule="auto"/>
        <w:jc w:val="both"/>
        <w:rPr>
          <w:rFonts w:ascii="Times New Roman" w:hAnsi="Times New Roman" w:cs="Times New Roman"/>
          <w:sz w:val="24"/>
          <w:szCs w:val="24"/>
        </w:rPr>
      </w:pPr>
      <w:r w:rsidRPr="001A65C5">
        <w:rPr>
          <w:rFonts w:ascii="Times New Roman" w:hAnsi="Times New Roman" w:cs="Times New Roman"/>
          <w:sz w:val="24"/>
          <w:szCs w:val="24"/>
        </w:rPr>
        <w:t xml:space="preserve">ANM ir instruments, kas dod iespēju stiprināt Eiropas stratēģisko autonomiju, attīstot tehnoloģijas, dodot iespēju uzņēmumiem darboties kopīgos Eiropas projektos. </w:t>
      </w:r>
      <w:r>
        <w:rPr>
          <w:rFonts w:ascii="Times New Roman" w:hAnsi="Times New Roman" w:cs="Times New Roman"/>
          <w:sz w:val="24"/>
          <w:szCs w:val="24"/>
        </w:rPr>
        <w:t xml:space="preserve">Uzskatām, ka </w:t>
      </w:r>
      <w:r w:rsidRPr="00B35A3E">
        <w:rPr>
          <w:rFonts w:ascii="Times New Roman" w:hAnsi="Times New Roman" w:cs="Times New Roman"/>
          <w:sz w:val="24"/>
          <w:szCs w:val="24"/>
        </w:rPr>
        <w:t>kopīgie ES pārrobežu projekti ir pareizais ceļš uz priekšu, lai arī stiprinātu stratēģisko noturību</w:t>
      </w:r>
      <w:r>
        <w:rPr>
          <w:rFonts w:ascii="Times New Roman" w:hAnsi="Times New Roman" w:cs="Times New Roman"/>
          <w:sz w:val="24"/>
          <w:szCs w:val="24"/>
        </w:rPr>
        <w:t>.</w:t>
      </w:r>
    </w:p>
    <w:p w:rsidR="000172A1" w:rsidP="00CF6A23" w:rsidRDefault="000172A1" w14:paraId="62B8E76A" w14:textId="1C691234">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Latvija kopā ar Dāniju, Čehiju, Igauniju, Somiju, Īriju, Lietuvu, Maltu, Nīderlandi</w:t>
      </w:r>
      <w:r w:rsidR="00DD21CA">
        <w:rPr>
          <w:rFonts w:ascii="Times New Roman" w:hAnsi="Times New Roman" w:cs="Times New Roman"/>
          <w:sz w:val="24"/>
          <w:szCs w:val="24"/>
        </w:rPr>
        <w:t xml:space="preserve">, Slovākiju un Zviedriju ir iesniegušas Eiropas Komisijai ne-papīru  ar savu redzējumu par </w:t>
      </w:r>
      <w:r w:rsidRPr="00DD21CA" w:rsidR="00DD21CA">
        <w:rPr>
          <w:rFonts w:ascii="Times New Roman" w:hAnsi="Times New Roman" w:cs="Times New Roman"/>
          <w:sz w:val="24"/>
          <w:szCs w:val="24"/>
        </w:rPr>
        <w:t>Stratēģiskas autonomijas panākšan</w:t>
      </w:r>
      <w:r w:rsidR="00DD21CA">
        <w:rPr>
          <w:rFonts w:ascii="Times New Roman" w:hAnsi="Times New Roman" w:cs="Times New Roman"/>
          <w:sz w:val="24"/>
          <w:szCs w:val="24"/>
        </w:rPr>
        <w:t>u ES</w:t>
      </w:r>
      <w:r w:rsidRPr="00DD21CA" w:rsidR="00DD21CA">
        <w:rPr>
          <w:rFonts w:ascii="Times New Roman" w:hAnsi="Times New Roman" w:cs="Times New Roman"/>
          <w:sz w:val="24"/>
          <w:szCs w:val="24"/>
        </w:rPr>
        <w:t>, saglabājot atvērtu ekonomiku</w:t>
      </w:r>
      <w:r w:rsidR="00DD21CA">
        <w:rPr>
          <w:rFonts w:ascii="Times New Roman" w:hAnsi="Times New Roman" w:cs="Times New Roman"/>
          <w:sz w:val="24"/>
          <w:szCs w:val="24"/>
        </w:rPr>
        <w:t xml:space="preserve">. </w:t>
      </w:r>
    </w:p>
    <w:p w:rsidRPr="003B7439" w:rsidR="00E52032" w:rsidP="00CF6A23" w:rsidRDefault="001D6AE5" w14:paraId="7AF22EF9" w14:textId="30157AE1">
      <w:pPr>
        <w:pStyle w:val="DashEqual1"/>
        <w:keepNext/>
        <w:keepLines/>
        <w:numPr>
          <w:ilvl w:val="0"/>
          <w:numId w:val="0"/>
        </w:numPr>
        <w:spacing w:before="240" w:after="0"/>
        <w:ind w:left="927"/>
        <w:rPr>
          <w:b/>
          <w:bCs/>
          <w:lang w:val="lv-LV"/>
        </w:rPr>
      </w:pPr>
      <w:r w:rsidRPr="003B7439">
        <w:rPr>
          <w:b/>
          <w:bCs/>
          <w:lang w:val="lv-LV"/>
        </w:rPr>
        <w:t xml:space="preserve">2) </w:t>
      </w:r>
      <w:r w:rsidRPr="003B7439" w:rsidR="00E52032">
        <w:rPr>
          <w:b/>
          <w:bCs/>
          <w:lang w:val="lv-LV"/>
        </w:rPr>
        <w:t xml:space="preserve">Jaunā </w:t>
      </w:r>
      <w:r w:rsidRPr="001D6AE5" w:rsidR="00E52032">
        <w:rPr>
          <w:rFonts w:ascii="TimesNewRomanPS-BoldMT" w:hAnsi="TimesNewRomanPS-BoldMT" w:cs="TimesNewRomanPS-BoldMT"/>
          <w:b/>
          <w:bCs/>
          <w:lang w:val="lv-LV"/>
        </w:rPr>
        <w:t>patērētāju</w:t>
      </w:r>
      <w:r w:rsidRPr="003B7439" w:rsidR="00E52032">
        <w:rPr>
          <w:b/>
          <w:bCs/>
          <w:lang w:val="lv-LV"/>
        </w:rPr>
        <w:t xml:space="preserve"> programma - galvenā patērētāju loma ekonomikas atveseļošanā un nepieciešamība stiprināt patērētāju noturību</w:t>
      </w:r>
    </w:p>
    <w:p w:rsidRPr="009656E7" w:rsidR="00E52032" w:rsidP="00CF6A23" w:rsidRDefault="00E52032" w14:paraId="2707AB94" w14:textId="06BD75E3">
      <w:pPr>
        <w:pStyle w:val="DashEqual1"/>
        <w:numPr>
          <w:ilvl w:val="0"/>
          <w:numId w:val="0"/>
        </w:numPr>
        <w:spacing w:before="240" w:after="0"/>
        <w:ind w:firstLine="567"/>
        <w:rPr>
          <w:lang w:val="lv-LV"/>
        </w:rPr>
      </w:pPr>
      <w:r w:rsidRPr="009656E7">
        <w:rPr>
          <w:lang w:val="lv-LV"/>
        </w:rPr>
        <w:t>=</w:t>
      </w:r>
      <w:r w:rsidRPr="009656E7">
        <w:rPr>
          <w:i/>
          <w:iCs/>
          <w:lang w:val="lv-LV"/>
        </w:rPr>
        <w:t>Politikas debates</w:t>
      </w:r>
    </w:p>
    <w:p w:rsidRPr="009656E7" w:rsidR="00E52032" w:rsidP="00CF6A23" w:rsidRDefault="009656E7" w14:paraId="6C4E1BF6" w14:textId="5EF9ACC8">
      <w:pPr>
        <w:pStyle w:val="DashEqual1"/>
        <w:numPr>
          <w:ilvl w:val="0"/>
          <w:numId w:val="0"/>
        </w:numPr>
        <w:spacing w:before="240" w:after="0"/>
        <w:rPr>
          <w:lang w:val="lv-LV"/>
        </w:rPr>
      </w:pPr>
      <w:r w:rsidRPr="009656E7">
        <w:rPr>
          <w:lang w:val="lv-LV"/>
        </w:rPr>
        <w:t>COVID-19 pandēmijas rezultātā ir ievērojami samazinājies privātais patēriņš, kas ir ietekmējis ne tikai pieprasījumu, bet arī piedāvājumu</w:t>
      </w:r>
      <w:r>
        <w:rPr>
          <w:lang w:val="lv-LV"/>
        </w:rPr>
        <w:t xml:space="preserve"> Eiropas Savienīb</w:t>
      </w:r>
      <w:r w:rsidR="00EE48CC">
        <w:rPr>
          <w:lang w:val="lv-LV"/>
        </w:rPr>
        <w:t>as</w:t>
      </w:r>
      <w:r>
        <w:rPr>
          <w:lang w:val="lv-LV"/>
        </w:rPr>
        <w:t xml:space="preserve"> (turp</w:t>
      </w:r>
      <w:r w:rsidR="00EE48CC">
        <w:rPr>
          <w:lang w:val="lv-LV"/>
        </w:rPr>
        <w:t>m</w:t>
      </w:r>
      <w:r>
        <w:rPr>
          <w:lang w:val="lv-LV"/>
        </w:rPr>
        <w:t>āk – ES)</w:t>
      </w:r>
      <w:r w:rsidR="00EE48CC">
        <w:rPr>
          <w:lang w:val="lv-LV"/>
        </w:rPr>
        <w:t xml:space="preserve"> ekonomikā</w:t>
      </w:r>
      <w:r w:rsidRPr="009656E7">
        <w:rPr>
          <w:lang w:val="lv-LV"/>
        </w:rPr>
        <w:t>.</w:t>
      </w:r>
      <w:r>
        <w:rPr>
          <w:lang w:val="lv-LV"/>
        </w:rPr>
        <w:t xml:space="preserve"> </w:t>
      </w:r>
      <w:r w:rsidR="00EE48CC">
        <w:rPr>
          <w:lang w:val="lv-LV"/>
        </w:rPr>
        <w:t>Ņemot vērā, ka p</w:t>
      </w:r>
      <w:r w:rsidRPr="009656E7" w:rsidR="00EA7656">
        <w:rPr>
          <w:lang w:val="lv-LV"/>
        </w:rPr>
        <w:t xml:space="preserve">rivātie izdevumi veido apmēram pusi no </w:t>
      </w:r>
      <w:r w:rsidR="00EE48CC">
        <w:rPr>
          <w:lang w:val="lv-LV"/>
        </w:rPr>
        <w:t xml:space="preserve">ES </w:t>
      </w:r>
      <w:r w:rsidRPr="009656E7" w:rsidR="00622C36">
        <w:rPr>
          <w:lang w:val="lv-LV"/>
        </w:rPr>
        <w:t xml:space="preserve">iekšzemes kopprodukta, </w:t>
      </w:r>
      <w:r w:rsidRPr="009656E7" w:rsidR="00EA7656">
        <w:rPr>
          <w:lang w:val="lv-LV"/>
        </w:rPr>
        <w:t xml:space="preserve">patērētāju uzticēšanās un iespēju apzināšanās ir </w:t>
      </w:r>
      <w:r w:rsidRPr="009656E7" w:rsidR="00622C36">
        <w:rPr>
          <w:lang w:val="lv-LV"/>
        </w:rPr>
        <w:t>būtiska</w:t>
      </w:r>
      <w:r w:rsidRPr="009656E7" w:rsidR="00EA7656">
        <w:rPr>
          <w:lang w:val="lv-LV"/>
        </w:rPr>
        <w:t>, lai stimulētu ekonomikas atveseļošanos</w:t>
      </w:r>
      <w:r w:rsidRPr="009656E7" w:rsidR="00622C36">
        <w:rPr>
          <w:lang w:val="lv-LV"/>
        </w:rPr>
        <w:t>.</w:t>
      </w:r>
    </w:p>
    <w:p w:rsidRPr="009656E7" w:rsidR="003C5223" w:rsidP="00CF6A23" w:rsidRDefault="00622C36" w14:paraId="263EE47B" w14:textId="007260DD">
      <w:pPr>
        <w:pStyle w:val="DashEqual1"/>
        <w:numPr>
          <w:ilvl w:val="0"/>
          <w:numId w:val="0"/>
        </w:numPr>
        <w:spacing w:before="240" w:after="0"/>
        <w:rPr>
          <w:lang w:val="lv-LV"/>
        </w:rPr>
      </w:pPr>
      <w:r w:rsidRPr="009656E7">
        <w:rPr>
          <w:lang w:val="lv-LV"/>
        </w:rPr>
        <w:t>Pašreizējā krīze pastiprina problēmas patērētāju aizsardzīb</w:t>
      </w:r>
      <w:r w:rsidR="00CC45BF">
        <w:rPr>
          <w:lang w:val="lv-LV"/>
        </w:rPr>
        <w:t>ā</w:t>
      </w:r>
      <w:r w:rsidRPr="009656E7">
        <w:rPr>
          <w:lang w:val="lv-LV"/>
        </w:rPr>
        <w:t xml:space="preserve">, </w:t>
      </w:r>
      <w:r w:rsidR="00EE48CC">
        <w:rPr>
          <w:lang w:val="lv-LV"/>
        </w:rPr>
        <w:t xml:space="preserve">jo </w:t>
      </w:r>
      <w:r w:rsidRPr="009656E7">
        <w:rPr>
          <w:lang w:val="lv-LV"/>
        </w:rPr>
        <w:t>nākas saskarties ar negodīgiem tirgotājiem, kuri izmanto vājās vietas</w:t>
      </w:r>
      <w:r w:rsidR="00AA611D">
        <w:rPr>
          <w:lang w:val="lv-LV"/>
        </w:rPr>
        <w:t xml:space="preserve"> </w:t>
      </w:r>
      <w:r w:rsidRPr="009656E7">
        <w:rPr>
          <w:lang w:val="lv-LV"/>
        </w:rPr>
        <w:t>tirgos</w:t>
      </w:r>
      <w:r w:rsidR="00AA611D">
        <w:rPr>
          <w:lang w:val="lv-LV"/>
        </w:rPr>
        <w:t>, kas strauji attīstās</w:t>
      </w:r>
      <w:r w:rsidRPr="009656E7">
        <w:rPr>
          <w:lang w:val="lv-LV"/>
        </w:rPr>
        <w:t>, reklāmām ar viltus apgalvojumiem vai pat nedrošu produktu piedāvājumiem.</w:t>
      </w:r>
      <w:r w:rsidR="00EE48CC">
        <w:rPr>
          <w:lang w:val="lv-LV"/>
        </w:rPr>
        <w:t xml:space="preserve"> Tādēļ, l</w:t>
      </w:r>
      <w:r w:rsidRPr="009656E7">
        <w:rPr>
          <w:lang w:val="lv-LV"/>
        </w:rPr>
        <w:t xml:space="preserve">ai veicinātu </w:t>
      </w:r>
      <w:r w:rsidRPr="009656E7" w:rsidR="003C5223">
        <w:rPr>
          <w:lang w:val="lv-LV"/>
        </w:rPr>
        <w:t xml:space="preserve">patērētāju nozares </w:t>
      </w:r>
      <w:r w:rsidRPr="009656E7">
        <w:rPr>
          <w:lang w:val="lv-LV"/>
        </w:rPr>
        <w:t xml:space="preserve">atveseļošanos, svarīgi izprast un </w:t>
      </w:r>
      <w:r w:rsidR="00CC45BF">
        <w:rPr>
          <w:lang w:val="lv-LV"/>
        </w:rPr>
        <w:t>vadī</w:t>
      </w:r>
      <w:r w:rsidRPr="009656E7" w:rsidR="00CC45BF">
        <w:rPr>
          <w:lang w:val="lv-LV"/>
        </w:rPr>
        <w:t xml:space="preserve">t </w:t>
      </w:r>
      <w:r w:rsidRPr="009656E7">
        <w:rPr>
          <w:lang w:val="lv-LV"/>
        </w:rPr>
        <w:t xml:space="preserve">patērētāju uzvedības attīstību pēc COVID-19 pandēmijas zaļās un digitālās pārejas kontekstā, </w:t>
      </w:r>
      <w:r w:rsidR="00EE48CC">
        <w:rPr>
          <w:lang w:val="lv-LV"/>
        </w:rPr>
        <w:t>kas</w:t>
      </w:r>
      <w:r w:rsidRPr="009656E7">
        <w:rPr>
          <w:lang w:val="lv-LV"/>
        </w:rPr>
        <w:t xml:space="preserve"> vidējā termiņā un ilgtermiņā </w:t>
      </w:r>
      <w:r w:rsidR="00ED736B">
        <w:rPr>
          <w:lang w:val="lv-LV"/>
        </w:rPr>
        <w:t>noteiktu</w:t>
      </w:r>
      <w:r w:rsidRPr="009656E7">
        <w:rPr>
          <w:lang w:val="lv-LV"/>
        </w:rPr>
        <w:t xml:space="preserve"> patēriņa modeļu attīstību</w:t>
      </w:r>
      <w:r w:rsidRPr="00EE48CC" w:rsidR="003C5223">
        <w:rPr>
          <w:lang w:val="lv-LV"/>
        </w:rPr>
        <w:t>.</w:t>
      </w:r>
      <w:r w:rsidR="00EE48CC">
        <w:rPr>
          <w:lang w:val="lv-LV"/>
        </w:rPr>
        <w:t xml:space="preserve"> </w:t>
      </w:r>
      <w:r w:rsidRPr="009656E7" w:rsidR="003C5223">
        <w:rPr>
          <w:lang w:val="lv-LV"/>
        </w:rPr>
        <w:t>T</w:t>
      </w:r>
      <w:r w:rsidR="005F0927">
        <w:rPr>
          <w:lang w:val="lv-LV"/>
        </w:rPr>
        <w:t xml:space="preserve">urklāt, </w:t>
      </w:r>
      <w:r w:rsidRPr="009656E7" w:rsidR="00AA611D">
        <w:rPr>
          <w:lang w:val="lv-LV"/>
        </w:rPr>
        <w:t>ir svarīgi pieņemt visaptverošu un līdzsvarotu pieeju</w:t>
      </w:r>
      <w:r w:rsidR="00AA611D">
        <w:rPr>
          <w:lang w:val="lv-LV"/>
        </w:rPr>
        <w:t xml:space="preserve">, </w:t>
      </w:r>
      <w:r w:rsidR="005F0927">
        <w:rPr>
          <w:lang w:val="lv-LV"/>
        </w:rPr>
        <w:t>t</w:t>
      </w:r>
      <w:r w:rsidRPr="009656E7" w:rsidR="003C5223">
        <w:rPr>
          <w:lang w:val="lv-LV"/>
        </w:rPr>
        <w:t xml:space="preserve">urpinot </w:t>
      </w:r>
      <w:r w:rsidRPr="00EE48CC" w:rsidR="003C5223">
        <w:rPr>
          <w:lang w:val="lv-LV"/>
        </w:rPr>
        <w:t>darbu pie</w:t>
      </w:r>
      <w:r w:rsidRPr="009656E7" w:rsidR="003C5223">
        <w:rPr>
          <w:lang w:val="lv-LV"/>
        </w:rPr>
        <w:t xml:space="preserve"> Eiropas patērētāju tiesību aktu</w:t>
      </w:r>
      <w:r w:rsidRPr="00EE48CC" w:rsidR="003C5223">
        <w:rPr>
          <w:lang w:val="lv-LV"/>
        </w:rPr>
        <w:t xml:space="preserve"> izstrādes</w:t>
      </w:r>
      <w:r w:rsidR="00AA611D">
        <w:rPr>
          <w:lang w:val="lv-LV"/>
        </w:rPr>
        <w:t xml:space="preserve">, jo jāņem </w:t>
      </w:r>
      <w:r w:rsidRPr="009656E7" w:rsidR="003C5223">
        <w:rPr>
          <w:lang w:val="lv-LV"/>
        </w:rPr>
        <w:t>vērā tirgus attīstīb</w:t>
      </w:r>
      <w:r w:rsidR="00AA611D">
        <w:rPr>
          <w:lang w:val="lv-LV"/>
        </w:rPr>
        <w:t>a</w:t>
      </w:r>
      <w:r w:rsidRPr="009656E7" w:rsidR="003C5223">
        <w:rPr>
          <w:lang w:val="lv-LV"/>
        </w:rPr>
        <w:t xml:space="preserve"> un zaļ</w:t>
      </w:r>
      <w:r w:rsidR="00AA611D">
        <w:rPr>
          <w:lang w:val="lv-LV"/>
        </w:rPr>
        <w:t>ā</w:t>
      </w:r>
      <w:r w:rsidRPr="009656E7" w:rsidR="003C5223">
        <w:rPr>
          <w:lang w:val="lv-LV"/>
        </w:rPr>
        <w:t xml:space="preserve"> un digitāl</w:t>
      </w:r>
      <w:r w:rsidR="00AA611D">
        <w:rPr>
          <w:lang w:val="lv-LV"/>
        </w:rPr>
        <w:t>ā</w:t>
      </w:r>
      <w:r w:rsidRPr="009656E7" w:rsidR="003C5223">
        <w:rPr>
          <w:lang w:val="lv-LV"/>
        </w:rPr>
        <w:t xml:space="preserve"> pārej</w:t>
      </w:r>
      <w:r w:rsidR="00AA611D">
        <w:rPr>
          <w:lang w:val="lv-LV"/>
        </w:rPr>
        <w:t>a</w:t>
      </w:r>
      <w:r w:rsidRPr="009656E7" w:rsidR="003C5223">
        <w:rPr>
          <w:lang w:val="lv-LV"/>
        </w:rPr>
        <w:t xml:space="preserve">. </w:t>
      </w:r>
      <w:proofErr w:type="spellStart"/>
      <w:r w:rsidRPr="009656E7" w:rsidR="003C5223">
        <w:rPr>
          <w:lang w:val="lv-LV"/>
        </w:rPr>
        <w:t>Pēckrīzes</w:t>
      </w:r>
      <w:proofErr w:type="spellEnd"/>
      <w:r w:rsidRPr="009656E7" w:rsidR="003C5223">
        <w:rPr>
          <w:lang w:val="lv-LV"/>
        </w:rPr>
        <w:t xml:space="preserve"> atveseļošan</w:t>
      </w:r>
      <w:r w:rsidRPr="005F0927" w:rsidR="003C5223">
        <w:rPr>
          <w:lang w:val="lv-LV"/>
        </w:rPr>
        <w:t>ās procesā</w:t>
      </w:r>
      <w:r w:rsidRPr="009656E7" w:rsidR="003C5223">
        <w:rPr>
          <w:lang w:val="lv-LV"/>
        </w:rPr>
        <w:t xml:space="preserve"> </w:t>
      </w:r>
      <w:r w:rsidR="00AA611D">
        <w:rPr>
          <w:lang w:val="lv-LV"/>
        </w:rPr>
        <w:t>jāvērš uzmanība</w:t>
      </w:r>
      <w:r w:rsidRPr="009656E7" w:rsidR="003C5223">
        <w:rPr>
          <w:lang w:val="lv-LV"/>
        </w:rPr>
        <w:t xml:space="preserve"> augsta līmeņa patērētāju aizsardzībai, </w:t>
      </w:r>
      <w:r w:rsidR="005F0927">
        <w:rPr>
          <w:lang w:val="lv-LV"/>
        </w:rPr>
        <w:t xml:space="preserve">kas </w:t>
      </w:r>
      <w:r w:rsidRPr="009656E7" w:rsidR="003C5223">
        <w:rPr>
          <w:lang w:val="lv-LV"/>
        </w:rPr>
        <w:t>nodrošin</w:t>
      </w:r>
      <w:r w:rsidR="005F0927">
        <w:rPr>
          <w:lang w:val="lv-LV"/>
        </w:rPr>
        <w:t>ātu</w:t>
      </w:r>
      <w:r w:rsidRPr="009656E7" w:rsidR="003C5223">
        <w:rPr>
          <w:lang w:val="lv-LV"/>
        </w:rPr>
        <w:t xml:space="preserve">, ka patērētāju tiesības paliek efektīvas un aizsargātas. </w:t>
      </w:r>
    </w:p>
    <w:p w:rsidRPr="009656E7" w:rsidR="00EE48CC" w:rsidP="00CF6A23" w:rsidRDefault="00EE48CC" w14:paraId="6013DFA7" w14:textId="0AD4F6E0">
      <w:pPr>
        <w:pStyle w:val="DashEqual1"/>
        <w:numPr>
          <w:ilvl w:val="0"/>
          <w:numId w:val="0"/>
        </w:numPr>
        <w:spacing w:before="240" w:after="0"/>
        <w:rPr>
          <w:lang w:val="lv-LV"/>
        </w:rPr>
      </w:pPr>
      <w:r w:rsidRPr="009656E7">
        <w:rPr>
          <w:lang w:val="lv-LV"/>
        </w:rPr>
        <w:t>2020. gada 13. novembrī</w:t>
      </w:r>
      <w:r>
        <w:rPr>
          <w:lang w:val="lv-LV"/>
        </w:rPr>
        <w:t xml:space="preserve"> </w:t>
      </w:r>
      <w:r w:rsidRPr="009656E7">
        <w:rPr>
          <w:lang w:val="lv-LV"/>
        </w:rPr>
        <w:t>Eiropas Komisija nāca klajā</w:t>
      </w:r>
      <w:r>
        <w:rPr>
          <w:lang w:val="lv-LV"/>
        </w:rPr>
        <w:t xml:space="preserve"> ar jauno patērētāju programmu </w:t>
      </w:r>
      <w:r w:rsidRPr="009656E7">
        <w:rPr>
          <w:lang w:val="lv-LV"/>
        </w:rPr>
        <w:t>“</w:t>
      </w:r>
      <w:r w:rsidRPr="0079639C">
        <w:rPr>
          <w:i/>
          <w:iCs/>
          <w:lang w:val="lv-LV"/>
        </w:rPr>
        <w:t>Jaunā patērētāju tiesību aizsardzības programma. Patērētāju noturības stiprināšana, lai panāktu ilgtspējīgu atveseļošanos</w:t>
      </w:r>
      <w:r w:rsidRPr="009656E7">
        <w:rPr>
          <w:lang w:val="lv-LV"/>
        </w:rPr>
        <w:t>”</w:t>
      </w:r>
      <w:r>
        <w:rPr>
          <w:lang w:val="lv-LV"/>
        </w:rPr>
        <w:t xml:space="preserve">, kurā </w:t>
      </w:r>
      <w:r w:rsidRPr="009656E7">
        <w:rPr>
          <w:lang w:val="lv-LV"/>
        </w:rPr>
        <w:t>izklāstīti pasākumi</w:t>
      </w:r>
      <w:r>
        <w:rPr>
          <w:lang w:val="lv-LV"/>
        </w:rPr>
        <w:t xml:space="preserve"> ar </w:t>
      </w:r>
      <w:r w:rsidRPr="009656E7">
        <w:rPr>
          <w:lang w:val="lv-LV"/>
        </w:rPr>
        <w:t>mērķi veicināt videi draudzīgāku un taisnīgāku Vienoto tirgu, kā arī palielināt patērētāju uzticību.</w:t>
      </w:r>
      <w:r>
        <w:rPr>
          <w:lang w:val="lv-LV"/>
        </w:rPr>
        <w:t xml:space="preserve"> </w:t>
      </w:r>
      <w:r w:rsidRPr="009656E7">
        <w:rPr>
          <w:lang w:val="lv-LV"/>
        </w:rPr>
        <w:t xml:space="preserve">Turklāt jaunajā patērētāju programmā arī uzsvērta nepieciešamība pēc tādiem politikas pasākumiem, kas sniegtu atbildes jautājumiem, kas radušies digitālās transformācijas rezultātā, piemēram, mākslīgais intelekts. </w:t>
      </w:r>
      <w:r w:rsidR="00F10622">
        <w:rPr>
          <w:lang w:val="lv-LV"/>
        </w:rPr>
        <w:t>Vienlaikus n</w:t>
      </w:r>
      <w:r w:rsidRPr="009656E7">
        <w:rPr>
          <w:lang w:val="lv-LV"/>
        </w:rPr>
        <w:t>epieciešam</w:t>
      </w:r>
      <w:r w:rsidR="00AA611D">
        <w:rPr>
          <w:lang w:val="lv-LV"/>
        </w:rPr>
        <w:t>s izstrādāt</w:t>
      </w:r>
      <w:r w:rsidRPr="009656E7">
        <w:rPr>
          <w:lang w:val="lv-LV"/>
        </w:rPr>
        <w:t xml:space="preserve"> sistēm</w:t>
      </w:r>
      <w:r w:rsidR="00AA611D">
        <w:rPr>
          <w:lang w:val="lv-LV"/>
        </w:rPr>
        <w:t>u</w:t>
      </w:r>
      <w:r w:rsidRPr="009656E7">
        <w:rPr>
          <w:lang w:val="lv-LV"/>
        </w:rPr>
        <w:t>, kas garantē augstu patērētāju aizsardzības līmeni</w:t>
      </w:r>
      <w:r w:rsidR="00AA611D">
        <w:rPr>
          <w:lang w:val="lv-LV"/>
        </w:rPr>
        <w:t>, ņemot vērā, ka d</w:t>
      </w:r>
      <w:r w:rsidRPr="009656E7">
        <w:rPr>
          <w:lang w:val="lv-LV"/>
        </w:rPr>
        <w:t>igitālā pāreja noved pie jaunu preču un pakalpojumu radīšanas</w:t>
      </w:r>
      <w:r w:rsidR="00ED736B">
        <w:rPr>
          <w:lang w:val="lv-LV"/>
        </w:rPr>
        <w:t xml:space="preserve">, kā arī </w:t>
      </w:r>
      <w:r w:rsidRPr="009656E7" w:rsidR="00ED736B">
        <w:rPr>
          <w:lang w:val="lv-LV"/>
        </w:rPr>
        <w:t xml:space="preserve">maina patērētāju </w:t>
      </w:r>
      <w:r w:rsidR="00ED736B">
        <w:rPr>
          <w:lang w:val="lv-LV"/>
        </w:rPr>
        <w:t xml:space="preserve">lomu. </w:t>
      </w:r>
      <w:r w:rsidRPr="009656E7">
        <w:rPr>
          <w:lang w:val="lv-LV"/>
        </w:rPr>
        <w:t xml:space="preserve">Šīs izmaiņas ļauj patērētājiem iepirkties visā pasaulē, bet rada arī jaunus izaicinājumus patērētāju aizsardzībai. </w:t>
      </w:r>
    </w:p>
    <w:p w:rsidRPr="009656E7" w:rsidR="009656E7" w:rsidP="00CF6A23" w:rsidRDefault="009656E7" w14:paraId="7E72F8A4" w14:textId="335E43B9">
      <w:pPr>
        <w:pStyle w:val="DashEqual1"/>
        <w:numPr>
          <w:ilvl w:val="0"/>
          <w:numId w:val="0"/>
        </w:numPr>
        <w:spacing w:before="240" w:after="0"/>
        <w:rPr>
          <w:lang w:val="lv-LV"/>
        </w:rPr>
      </w:pPr>
      <w:r w:rsidRPr="009656E7">
        <w:rPr>
          <w:lang w:val="lv-LV"/>
        </w:rPr>
        <w:t>Pašreizējā situācija prasa plašu partnerību starp valsts iestādēm, patērētāju organizācijām, uzņēmumiem un citām ieinteresētajām pusēm, kas atspoguļota jaunajā patērētāju programmā. Tas būs svarīgs atveseļošanās faktors, jo uzņēmumi iepriekš nebija pietiekami iekļauti attiecīgajās politikas veidošanas struktūrās.</w:t>
      </w:r>
    </w:p>
    <w:p w:rsidR="00E52032" w:rsidP="00CF6A23" w:rsidRDefault="00E52032" w14:paraId="3B478F19" w14:textId="4BA2DFD4">
      <w:pPr>
        <w:pBdr>
          <w:top w:val="nil"/>
          <w:left w:val="nil"/>
          <w:bottom w:val="nil"/>
          <w:right w:val="nil"/>
          <w:between w:val="nil"/>
          <w:bar w:val="nil"/>
        </w:pBdr>
        <w:spacing w:before="240" w:after="0" w:line="240" w:lineRule="auto"/>
        <w:rPr>
          <w:rFonts w:ascii="Times New Roman" w:hAnsi="Times New Roman" w:cs="Times New Roman"/>
          <w:b/>
          <w:noProof/>
          <w:sz w:val="24"/>
          <w:szCs w:val="24"/>
        </w:rPr>
      </w:pPr>
      <w:r w:rsidRPr="009656E7">
        <w:rPr>
          <w:rFonts w:ascii="Times New Roman" w:hAnsi="Times New Roman" w:cs="Times New Roman"/>
          <w:b/>
          <w:noProof/>
          <w:sz w:val="24"/>
          <w:szCs w:val="24"/>
        </w:rPr>
        <w:t>Latvijas nostāja:</w:t>
      </w:r>
    </w:p>
    <w:p w:rsidRPr="005F0927" w:rsidR="005F0927" w:rsidP="00CF6A23" w:rsidRDefault="005F0927" w14:paraId="427199D6" w14:textId="722827B1">
      <w:pPr>
        <w:pBdr>
          <w:top w:val="nil"/>
          <w:left w:val="nil"/>
          <w:bottom w:val="nil"/>
          <w:right w:val="nil"/>
          <w:between w:val="nil"/>
          <w:bar w:val="nil"/>
        </w:pBdr>
        <w:spacing w:before="240" w:after="0" w:line="240" w:lineRule="auto"/>
        <w:jc w:val="both"/>
        <w:rPr>
          <w:rFonts w:ascii="Times New Roman" w:hAnsi="Times New Roman" w:cs="Times New Roman"/>
          <w:bCs/>
          <w:noProof/>
          <w:sz w:val="24"/>
          <w:szCs w:val="24"/>
        </w:rPr>
      </w:pPr>
      <w:r w:rsidRPr="005F0927">
        <w:rPr>
          <w:rFonts w:ascii="Times New Roman" w:hAnsi="Times New Roman" w:cs="Times New Roman"/>
          <w:bCs/>
          <w:noProof/>
          <w:sz w:val="24"/>
          <w:szCs w:val="24"/>
        </w:rPr>
        <w:t xml:space="preserve">Latvija </w:t>
      </w:r>
      <w:r w:rsidRPr="005F0927">
        <w:rPr>
          <w:rFonts w:ascii="Times New Roman" w:hAnsi="Times New Roman" w:cs="Times New Roman"/>
          <w:b/>
          <w:noProof/>
          <w:sz w:val="24"/>
          <w:szCs w:val="24"/>
        </w:rPr>
        <w:t>kopumā atbalsta</w:t>
      </w:r>
      <w:r w:rsidRPr="005F0927">
        <w:rPr>
          <w:rFonts w:ascii="Times New Roman" w:hAnsi="Times New Roman" w:cs="Times New Roman"/>
          <w:bCs/>
          <w:noProof/>
          <w:sz w:val="24"/>
          <w:szCs w:val="24"/>
        </w:rPr>
        <w:t xml:space="preserve"> </w:t>
      </w:r>
      <w:r w:rsidR="0079639C">
        <w:rPr>
          <w:rFonts w:ascii="Times New Roman" w:hAnsi="Times New Roman" w:cs="Times New Roman"/>
          <w:bCs/>
          <w:noProof/>
          <w:sz w:val="24"/>
          <w:szCs w:val="24"/>
        </w:rPr>
        <w:t>jaunās p</w:t>
      </w:r>
      <w:r w:rsidRPr="005F0927">
        <w:rPr>
          <w:rFonts w:ascii="Times New Roman" w:hAnsi="Times New Roman" w:cs="Times New Roman"/>
          <w:bCs/>
          <w:noProof/>
          <w:sz w:val="24"/>
          <w:szCs w:val="24"/>
        </w:rPr>
        <w:t>atērētāju programmas mērķus un tajā paredzētos uzdevumus un aktivitātes. Latvija atbalsta zaļās un digitālās pārejas izvirzīšanu Programmas prioritāšu priekšgalā, ņemot vērā šo jautājumu aktualitāti un patērētāju ietekmi abās jomās.</w:t>
      </w:r>
      <w:r w:rsidR="00A4519C">
        <w:rPr>
          <w:rFonts w:ascii="Times New Roman" w:hAnsi="Times New Roman" w:cs="Times New Roman"/>
          <w:bCs/>
          <w:noProof/>
          <w:sz w:val="24"/>
          <w:szCs w:val="24"/>
        </w:rPr>
        <w:t xml:space="preserve"> Detalizēta Latvijas nostāja ir pausta Nacionālajā pozīcijā “</w:t>
      </w:r>
      <w:r w:rsidRPr="0079639C" w:rsidR="00CF32E2">
        <w:rPr>
          <w:rFonts w:ascii="Times New Roman" w:hAnsi="Times New Roman" w:cs="Times New Roman"/>
          <w:bCs/>
          <w:i/>
          <w:iCs/>
          <w:noProof/>
          <w:sz w:val="24"/>
          <w:szCs w:val="24"/>
        </w:rPr>
        <w:t>Par Komisijas paziņojumu Eiropas Parlamentam un Padomei “Jaunā patērētāju tiesību aizsardzības programma. Patērētāju noturības stiprināšana, lai panāktu ilgtspējīgu atveseļošanos”</w:t>
      </w:r>
      <w:r w:rsidRPr="0079639C" w:rsidR="002B1DAA">
        <w:rPr>
          <w:rFonts w:ascii="Times New Roman" w:hAnsi="Times New Roman" w:cs="Times New Roman"/>
          <w:bCs/>
          <w:i/>
          <w:iCs/>
          <w:noProof/>
          <w:sz w:val="24"/>
          <w:szCs w:val="24"/>
        </w:rPr>
        <w:t>”.</w:t>
      </w:r>
    </w:p>
    <w:p w:rsidRPr="005F0927" w:rsidR="00B27B71" w:rsidP="00CF6A23" w:rsidRDefault="00E52032" w14:paraId="518A80E7" w14:textId="56A13C97">
      <w:pPr>
        <w:spacing w:before="240" w:after="0" w:line="240" w:lineRule="auto"/>
        <w:rPr>
          <w:rFonts w:ascii="Times New Roman" w:hAnsi="Times New Roman" w:cs="Times New Roman"/>
          <w:bCs/>
          <w:i/>
          <w:iCs/>
          <w:sz w:val="24"/>
          <w:szCs w:val="24"/>
        </w:rPr>
      </w:pPr>
      <w:r w:rsidRPr="005F0927">
        <w:rPr>
          <w:rFonts w:ascii="Times New Roman" w:hAnsi="Times New Roman" w:cs="Times New Roman"/>
          <w:bCs/>
          <w:i/>
          <w:iCs/>
          <w:sz w:val="24"/>
          <w:szCs w:val="24"/>
        </w:rPr>
        <w:t xml:space="preserve">Diskusijas jautājumi: </w:t>
      </w:r>
    </w:p>
    <w:p w:rsidRPr="006849D6" w:rsidR="00230DA0" w:rsidP="00F87A0D" w:rsidRDefault="00E52032" w14:paraId="457EF204" w14:textId="14FB5E33">
      <w:pPr>
        <w:pStyle w:val="ListParagraph"/>
        <w:numPr>
          <w:ilvl w:val="0"/>
          <w:numId w:val="10"/>
        </w:numPr>
        <w:spacing w:before="240" w:after="0" w:line="240" w:lineRule="auto"/>
        <w:jc w:val="both"/>
        <w:rPr>
          <w:rFonts w:ascii="Times New Roman" w:hAnsi="Times New Roman" w:cs="Times New Roman"/>
          <w:bCs/>
          <w:i/>
          <w:iCs/>
          <w:sz w:val="24"/>
          <w:szCs w:val="24"/>
        </w:rPr>
      </w:pPr>
      <w:r w:rsidRPr="005F0927">
        <w:rPr>
          <w:rFonts w:ascii="Times New Roman" w:hAnsi="Times New Roman" w:cs="Times New Roman"/>
          <w:bCs/>
          <w:i/>
          <w:iCs/>
          <w:sz w:val="24"/>
          <w:szCs w:val="24"/>
        </w:rPr>
        <w:t xml:space="preserve">Cik lielā mērā </w:t>
      </w:r>
      <w:r w:rsidRPr="005F0927" w:rsidR="00EA7656">
        <w:rPr>
          <w:rFonts w:ascii="Times New Roman" w:hAnsi="Times New Roman" w:cs="Times New Roman"/>
          <w:bCs/>
          <w:i/>
          <w:iCs/>
          <w:sz w:val="24"/>
          <w:szCs w:val="24"/>
        </w:rPr>
        <w:t>šobrīd</w:t>
      </w:r>
      <w:r w:rsidRPr="005F0927">
        <w:rPr>
          <w:rFonts w:ascii="Times New Roman" w:hAnsi="Times New Roman" w:cs="Times New Roman"/>
          <w:bCs/>
          <w:i/>
          <w:iCs/>
          <w:sz w:val="24"/>
          <w:szCs w:val="24"/>
        </w:rPr>
        <w:t xml:space="preserve"> pieņemtie </w:t>
      </w:r>
      <w:r w:rsidRPr="005F0927" w:rsidR="00EA7656">
        <w:rPr>
          <w:rFonts w:ascii="Times New Roman" w:hAnsi="Times New Roman" w:cs="Times New Roman"/>
          <w:bCs/>
          <w:i/>
          <w:iCs/>
          <w:sz w:val="24"/>
          <w:szCs w:val="24"/>
        </w:rPr>
        <w:t xml:space="preserve">dalībvalstu </w:t>
      </w:r>
      <w:r w:rsidRPr="005F0927">
        <w:rPr>
          <w:rFonts w:ascii="Times New Roman" w:hAnsi="Times New Roman" w:cs="Times New Roman"/>
          <w:bCs/>
          <w:i/>
          <w:iCs/>
          <w:sz w:val="24"/>
          <w:szCs w:val="24"/>
        </w:rPr>
        <w:t>pasākumi, lai palīdzētu uzņēmumiem un atbalstītu ekonomikas atveseļošanos,</w:t>
      </w:r>
      <w:r w:rsidR="00000F5B">
        <w:rPr>
          <w:rFonts w:ascii="Times New Roman" w:hAnsi="Times New Roman" w:cs="Times New Roman"/>
          <w:bCs/>
          <w:i/>
          <w:iCs/>
          <w:sz w:val="24"/>
          <w:szCs w:val="24"/>
        </w:rPr>
        <w:t xml:space="preserve"> </w:t>
      </w:r>
      <w:r w:rsidRPr="005F0927">
        <w:rPr>
          <w:rFonts w:ascii="Times New Roman" w:hAnsi="Times New Roman" w:cs="Times New Roman"/>
          <w:bCs/>
          <w:i/>
          <w:iCs/>
          <w:sz w:val="24"/>
          <w:szCs w:val="24"/>
        </w:rPr>
        <w:t xml:space="preserve">veicina patērētāju uzticības stiprināšanu un </w:t>
      </w:r>
      <w:r w:rsidRPr="005F0927" w:rsidR="00EA7656">
        <w:rPr>
          <w:rFonts w:ascii="Times New Roman" w:hAnsi="Times New Roman" w:cs="Times New Roman"/>
          <w:bCs/>
          <w:i/>
          <w:iCs/>
          <w:sz w:val="24"/>
          <w:szCs w:val="24"/>
        </w:rPr>
        <w:t>no</w:t>
      </w:r>
      <w:r w:rsidRPr="005F0927">
        <w:rPr>
          <w:rFonts w:ascii="Times New Roman" w:hAnsi="Times New Roman" w:cs="Times New Roman"/>
          <w:bCs/>
          <w:i/>
          <w:iCs/>
          <w:sz w:val="24"/>
          <w:szCs w:val="24"/>
        </w:rPr>
        <w:t>turības palielināšanu?</w:t>
      </w:r>
    </w:p>
    <w:p w:rsidRPr="006849D6" w:rsidR="00230DA0" w:rsidP="00CF6A23" w:rsidRDefault="00A12581" w14:paraId="4656D339" w14:textId="77EC3E19">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Uzņēmumu atbalstīšana ir ekonomikas atveseļošanas svarīgs elements, kas viennozīmīgi ir patērētāju interesēs, saglabājot pieeju svarīgām precēm un pakalpojumiem un tādejādi veicinot uzticēšanos </w:t>
      </w:r>
      <w:r w:rsidR="003E5BD1">
        <w:rPr>
          <w:rFonts w:ascii="Times New Roman" w:hAnsi="Times New Roman" w:cs="Times New Roman"/>
          <w:bCs/>
          <w:sz w:val="24"/>
          <w:szCs w:val="24"/>
        </w:rPr>
        <w:t>tirgum kopumā</w:t>
      </w:r>
      <w:r>
        <w:rPr>
          <w:rFonts w:ascii="Times New Roman" w:hAnsi="Times New Roman" w:cs="Times New Roman"/>
          <w:bCs/>
          <w:sz w:val="24"/>
          <w:szCs w:val="24"/>
        </w:rPr>
        <w:t xml:space="preserve">. </w:t>
      </w:r>
      <w:r w:rsidR="003E5BD1">
        <w:rPr>
          <w:rFonts w:ascii="Times New Roman" w:hAnsi="Times New Roman" w:cs="Times New Roman"/>
          <w:bCs/>
          <w:sz w:val="24"/>
          <w:szCs w:val="24"/>
        </w:rPr>
        <w:t xml:space="preserve">Patērētājam ir svarīgi apzināties, ka tā noslēgtie līgumi tiks izpildīti vai ciestie zaudējumi tiks kompensēti, ņemot vērā grūtos apstākļus. </w:t>
      </w:r>
      <w:r>
        <w:rPr>
          <w:rFonts w:ascii="Times New Roman" w:hAnsi="Times New Roman" w:cs="Times New Roman"/>
          <w:bCs/>
          <w:sz w:val="24"/>
          <w:szCs w:val="24"/>
        </w:rPr>
        <w:t>Vienlaikus</w:t>
      </w:r>
      <w:r w:rsidR="003E5BD1">
        <w:rPr>
          <w:rFonts w:ascii="Times New Roman" w:hAnsi="Times New Roman" w:cs="Times New Roman"/>
          <w:bCs/>
          <w:sz w:val="24"/>
          <w:szCs w:val="24"/>
        </w:rPr>
        <w:t>, svarīgi lai uzņēmumu atbalsts tiktu veikts ar skatījumu ilgtermiņā, saprotot kādas prasmes un investīcijas nepieciešamas ekonomikas attīstībai nākotnē, ņemot vērā prioritātes zaļ</w:t>
      </w:r>
      <w:r w:rsidR="00D23AF8">
        <w:rPr>
          <w:rFonts w:ascii="Times New Roman" w:hAnsi="Times New Roman" w:cs="Times New Roman"/>
          <w:bCs/>
          <w:sz w:val="24"/>
          <w:szCs w:val="24"/>
        </w:rPr>
        <w:t>ā</w:t>
      </w:r>
      <w:r w:rsidR="003E5BD1">
        <w:rPr>
          <w:rFonts w:ascii="Times New Roman" w:hAnsi="Times New Roman" w:cs="Times New Roman"/>
          <w:bCs/>
          <w:sz w:val="24"/>
          <w:szCs w:val="24"/>
        </w:rPr>
        <w:t>s un digitālās pārejas īstenošanā.</w:t>
      </w:r>
    </w:p>
    <w:p w:rsidRPr="005F0927" w:rsidR="00E52032" w:rsidP="00F87A0D" w:rsidRDefault="00E52032" w14:paraId="029E4D84" w14:textId="34C53043">
      <w:pPr>
        <w:pStyle w:val="ListParagraph"/>
        <w:numPr>
          <w:ilvl w:val="0"/>
          <w:numId w:val="10"/>
        </w:numPr>
        <w:spacing w:before="240" w:after="0" w:line="240" w:lineRule="auto"/>
        <w:jc w:val="both"/>
        <w:rPr>
          <w:rFonts w:ascii="Times New Roman" w:hAnsi="Times New Roman" w:cs="Times New Roman"/>
          <w:bCs/>
          <w:i/>
          <w:iCs/>
          <w:sz w:val="24"/>
          <w:szCs w:val="24"/>
        </w:rPr>
      </w:pPr>
      <w:r w:rsidRPr="005F0927">
        <w:rPr>
          <w:rFonts w:ascii="Times New Roman" w:hAnsi="Times New Roman" w:cs="Times New Roman"/>
          <w:bCs/>
          <w:i/>
          <w:iCs/>
          <w:sz w:val="24"/>
          <w:szCs w:val="24"/>
        </w:rPr>
        <w:t xml:space="preserve">Kā pasākumi patērētāju noturības stiprināšanai var veicināt </w:t>
      </w:r>
      <w:r w:rsidRPr="005F0927" w:rsidR="00EA7656">
        <w:rPr>
          <w:rFonts w:ascii="Times New Roman" w:hAnsi="Times New Roman" w:cs="Times New Roman"/>
          <w:bCs/>
          <w:i/>
          <w:iCs/>
          <w:sz w:val="24"/>
          <w:szCs w:val="24"/>
        </w:rPr>
        <w:t>V</w:t>
      </w:r>
      <w:r w:rsidRPr="005F0927">
        <w:rPr>
          <w:rFonts w:ascii="Times New Roman" w:hAnsi="Times New Roman" w:cs="Times New Roman"/>
          <w:bCs/>
          <w:i/>
          <w:iCs/>
          <w:sz w:val="24"/>
          <w:szCs w:val="24"/>
        </w:rPr>
        <w:t>ienotā tirgus konkurētspējas uzlabošanu saistībā ar zaļo un digitālo pāreju?</w:t>
      </w:r>
    </w:p>
    <w:p w:rsidR="005E761F" w:rsidP="00CF6A23" w:rsidRDefault="00D23AF8" w14:paraId="4E245DE8" w14:textId="17DC24C4">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E5BD1">
        <w:rPr>
          <w:rFonts w:ascii="Times New Roman" w:hAnsi="Times New Roman" w:cs="Times New Roman"/>
          <w:sz w:val="24"/>
          <w:szCs w:val="24"/>
        </w:rPr>
        <w:t xml:space="preserve">atērētājiem </w:t>
      </w:r>
      <w:r>
        <w:rPr>
          <w:rFonts w:ascii="Times New Roman" w:hAnsi="Times New Roman" w:cs="Times New Roman"/>
          <w:sz w:val="24"/>
          <w:szCs w:val="24"/>
        </w:rPr>
        <w:t>būtu</w:t>
      </w:r>
      <w:r w:rsidR="003E5BD1">
        <w:rPr>
          <w:rFonts w:ascii="Times New Roman" w:hAnsi="Times New Roman" w:cs="Times New Roman"/>
          <w:sz w:val="24"/>
          <w:szCs w:val="24"/>
        </w:rPr>
        <w:t xml:space="preserve"> jādod reāls atbalsts zaļajā un digitālajā pārejā, lai tam būtu ietekme ilgtermiņā uz Vienotā tirgus konkurētspēju. Patērētāju tiesību ievērošanas nodrošināšana, atbalsts jūtīgām patērētāju grupām (bērni, vecāka gada gājuma iedzīvotāji, </w:t>
      </w:r>
      <w:r w:rsidR="00BE6994">
        <w:rPr>
          <w:rFonts w:ascii="Times New Roman" w:hAnsi="Times New Roman" w:cs="Times New Roman"/>
          <w:sz w:val="24"/>
          <w:szCs w:val="24"/>
        </w:rPr>
        <w:t>personas</w:t>
      </w:r>
      <w:r w:rsidR="003E5BD1">
        <w:rPr>
          <w:rFonts w:ascii="Times New Roman" w:hAnsi="Times New Roman" w:cs="Times New Roman"/>
          <w:sz w:val="24"/>
          <w:szCs w:val="24"/>
        </w:rPr>
        <w:t xml:space="preserve"> ar īpašām vajadzībām, </w:t>
      </w:r>
      <w:r w:rsidR="00BE6994">
        <w:rPr>
          <w:rFonts w:ascii="Times New Roman" w:hAnsi="Times New Roman" w:cs="Times New Roman"/>
          <w:sz w:val="24"/>
          <w:szCs w:val="24"/>
        </w:rPr>
        <w:t xml:space="preserve">personas ar finansiālām problēmām un parādu slogu, u.c.), jaunu prasmju attīstīšana, izglītošana un informācijas pieejamības nodrošināšana ir tikai daži no piemēriem patērētāju noturības stiprināšanai. </w:t>
      </w:r>
      <w:r w:rsidR="005E761F">
        <w:rPr>
          <w:rFonts w:ascii="Times New Roman" w:hAnsi="Times New Roman" w:cs="Times New Roman"/>
          <w:sz w:val="24"/>
          <w:szCs w:val="24"/>
        </w:rPr>
        <w:t>Ieguldījumus digitālajā transformācijā un zaļajā pārejā būtu jāveic tā, lai tiktu maksimāli ņemtās vērā patērētāju kā preču un pakalpojumu gala lietotāju intereses un vajadzības.</w:t>
      </w:r>
      <w:r>
        <w:rPr>
          <w:rFonts w:ascii="Times New Roman" w:hAnsi="Times New Roman" w:cs="Times New Roman"/>
          <w:sz w:val="24"/>
          <w:szCs w:val="24"/>
        </w:rPr>
        <w:t xml:space="preserve"> Piemēram, digitālajā pārejā ir svarīgas patērētāju prasmes un iespējas izmantot digitālās pārejas sniegtās priekšrocības </w:t>
      </w:r>
      <w:r w:rsidR="00CE05F8">
        <w:rPr>
          <w:rFonts w:ascii="Times New Roman" w:hAnsi="Times New Roman" w:cs="Times New Roman"/>
          <w:sz w:val="24"/>
          <w:szCs w:val="24"/>
        </w:rPr>
        <w:t xml:space="preserve">un droša interneta vide, </w:t>
      </w:r>
      <w:r>
        <w:rPr>
          <w:rFonts w:ascii="Times New Roman" w:hAnsi="Times New Roman" w:cs="Times New Roman"/>
          <w:sz w:val="24"/>
          <w:szCs w:val="24"/>
        </w:rPr>
        <w:t>savukārt, zaļajā pārejā ir svarīga ilgtspējīgu preču un pakalpojumu plaša pieejamība par saprātīgām cenām</w:t>
      </w:r>
      <w:r w:rsidR="00CE05F8">
        <w:rPr>
          <w:rFonts w:ascii="Times New Roman" w:hAnsi="Times New Roman" w:cs="Times New Roman"/>
          <w:sz w:val="24"/>
          <w:szCs w:val="24"/>
        </w:rPr>
        <w:t xml:space="preserve"> visām sabiedrības grupām, lai jebkuram no mums būtu iespēja izdarīt ilgtspējīgu izvēli.</w:t>
      </w:r>
    </w:p>
    <w:p w:rsidRPr="00505C24" w:rsidR="001D6AE5" w:rsidP="00CF6A23" w:rsidRDefault="001D6AE5" w14:paraId="560658B4" w14:textId="526F214E">
      <w:pPr>
        <w:pStyle w:val="DashEqual1"/>
        <w:keepNext/>
        <w:keepLines/>
        <w:numPr>
          <w:ilvl w:val="0"/>
          <w:numId w:val="7"/>
        </w:numPr>
        <w:spacing w:before="240" w:after="0"/>
        <w:rPr>
          <w:b/>
          <w:lang w:val="lv-LV"/>
        </w:rPr>
      </w:pPr>
      <w:r>
        <w:rPr>
          <w:rFonts w:ascii="TimesNewRomanPS-BoldMT" w:hAnsi="TimesNewRomanPS-BoldMT" w:cs="TimesNewRomanPS-BoldMT"/>
          <w:b/>
          <w:bCs/>
          <w:lang w:val="lv-LV"/>
        </w:rPr>
        <w:t>D</w:t>
      </w:r>
      <w:r w:rsidRPr="00BC2C2E">
        <w:rPr>
          <w:rFonts w:ascii="TimesNewRomanPS-BoldMT" w:hAnsi="TimesNewRomanPS-BoldMT" w:cs="TimesNewRomanPS-BoldMT"/>
          <w:b/>
          <w:bCs/>
          <w:lang w:val="lv-LV"/>
        </w:rPr>
        <w:t>irektīva ar ko groza Direktīvu 2013/34/ES attiecībā uz ienākuma nodokļa informācijas atklāšanu, ko veic konkrēti uzņēmumi un filiāles</w:t>
      </w:r>
    </w:p>
    <w:p w:rsidRPr="009656E7" w:rsidR="00294D99" w:rsidP="00CF6A23" w:rsidRDefault="00294D99" w14:paraId="12F89285" w14:textId="366BCEAF">
      <w:pPr>
        <w:pStyle w:val="DashEqual1"/>
        <w:numPr>
          <w:ilvl w:val="0"/>
          <w:numId w:val="0"/>
        </w:numPr>
        <w:spacing w:before="240" w:after="0"/>
        <w:ind w:left="567"/>
        <w:rPr>
          <w:lang w:val="lv-LV"/>
        </w:rPr>
      </w:pPr>
      <w:r w:rsidRPr="009656E7">
        <w:rPr>
          <w:lang w:val="lv-LV"/>
        </w:rPr>
        <w:t>=</w:t>
      </w:r>
      <w:r w:rsidRPr="009656E7">
        <w:rPr>
          <w:i/>
          <w:iCs/>
          <w:lang w:val="lv-LV"/>
        </w:rPr>
        <w:t>Politikas debates</w:t>
      </w:r>
    </w:p>
    <w:p w:rsidRPr="006E3B8B" w:rsidR="001D6AE5" w:rsidP="00CF6A23" w:rsidRDefault="00611341" w14:paraId="42CFB3BF" w14:textId="28AE3B86">
      <w:pPr>
        <w:spacing w:before="240" w:after="0" w:line="240" w:lineRule="auto"/>
        <w:jc w:val="both"/>
        <w:rPr>
          <w:rFonts w:ascii="Times New Roman" w:hAnsi="Times New Roman" w:eastAsia="Arial Unicode MS" w:cs="Times New Roman"/>
          <w:spacing w:val="4"/>
          <w:sz w:val="24"/>
          <w:szCs w:val="24"/>
        </w:rPr>
      </w:pPr>
      <w:r>
        <w:rPr>
          <w:rFonts w:ascii="Times New Roman" w:hAnsi="Times New Roman" w:eastAsia="Arial Unicode MS" w:cs="Times New Roman"/>
          <w:spacing w:val="4"/>
          <w:sz w:val="24"/>
          <w:szCs w:val="24"/>
        </w:rPr>
        <w:t>Plānots</w:t>
      </w:r>
      <w:r w:rsidRPr="006E3B8B" w:rsidR="001D6AE5">
        <w:rPr>
          <w:rFonts w:ascii="Times New Roman" w:hAnsi="Times New Roman" w:eastAsia="Arial Unicode MS" w:cs="Times New Roman"/>
          <w:spacing w:val="4"/>
          <w:sz w:val="24"/>
          <w:szCs w:val="24"/>
        </w:rPr>
        <w:t xml:space="preserve"> </w:t>
      </w:r>
      <w:r w:rsidR="00E85BAF">
        <w:rPr>
          <w:rFonts w:ascii="Times New Roman" w:hAnsi="Times New Roman" w:eastAsia="Arial Unicode MS" w:cs="Times New Roman"/>
          <w:spacing w:val="4"/>
          <w:sz w:val="24"/>
          <w:szCs w:val="24"/>
        </w:rPr>
        <w:t xml:space="preserve">diskutēt par iespēju panākt </w:t>
      </w:r>
      <w:r w:rsidRPr="006E3B8B" w:rsidR="001D6AE5">
        <w:rPr>
          <w:rFonts w:ascii="Times New Roman" w:hAnsi="Times New Roman" w:eastAsia="Arial Unicode MS" w:cs="Times New Roman"/>
          <w:spacing w:val="4"/>
          <w:sz w:val="24"/>
          <w:szCs w:val="24"/>
        </w:rPr>
        <w:t xml:space="preserve">vienošanos par vispārējo pieeju par kompromisa teksta priekšlikumu attiecībā uz Komisijas 2016. gada 12. aprīļa priekšlikumu </w:t>
      </w:r>
      <w:r w:rsidRPr="006E3B8B" w:rsidR="001D6AE5">
        <w:rPr>
          <w:rFonts w:ascii="Times New Roman" w:hAnsi="Times New Roman" w:eastAsia="Arial Unicode MS" w:cs="Times New Roman"/>
          <w:sz w:val="24"/>
          <w:szCs w:val="24"/>
        </w:rPr>
        <w:t>Eiropas Parlamenta un Padomes direktīvai</w:t>
      </w:r>
      <w:r w:rsidRPr="006E3B8B" w:rsidR="001D6AE5">
        <w:rPr>
          <w:rFonts w:ascii="Times New Roman" w:hAnsi="Times New Roman" w:eastAsia="Arial Unicode MS" w:cs="Times New Roman"/>
          <w:spacing w:val="4"/>
          <w:sz w:val="24"/>
          <w:szCs w:val="24"/>
        </w:rPr>
        <w:t>, ar ko groza Direktīvu 2013/34/ES attiecībā uz ienākuma nodokļa informācijas atklāšanu, ko veic konkrēti uzņēmumi un filiāles (turpmāk – priekšlikums).</w:t>
      </w:r>
    </w:p>
    <w:p w:rsidRPr="006E3B8B" w:rsidR="001D6AE5" w:rsidP="00CF6A23" w:rsidRDefault="001D6AE5" w14:paraId="352F730A" w14:textId="77777777">
      <w:pPr>
        <w:spacing w:before="240" w:after="0" w:line="240" w:lineRule="auto"/>
        <w:ind w:left="8"/>
        <w:jc w:val="both"/>
        <w:rPr>
          <w:rFonts w:ascii="Times New Roman" w:hAnsi="Times New Roman" w:eastAsia="Arial Unicode MS" w:cs="Times New Roman"/>
          <w:spacing w:val="4"/>
          <w:sz w:val="24"/>
          <w:szCs w:val="24"/>
        </w:rPr>
      </w:pPr>
      <w:r w:rsidRPr="006E3B8B">
        <w:rPr>
          <w:rFonts w:ascii="Times New Roman" w:hAnsi="Times New Roman" w:eastAsia="Arial Unicode MS" w:cs="Times New Roman"/>
          <w:spacing w:val="4"/>
          <w:sz w:val="24"/>
          <w:szCs w:val="24"/>
        </w:rPr>
        <w:t>Aicinot nodrošināt pasaulē taisnīgu un modernu starptautisko nodokļu sistēmu, 2015. gada novembrī G20 apstiprināja ESAO rīcības plānu, lai cīnītos pret nodokļu bāzes samazināšanu un peļņas novirzīšanu (turpmāk - BEPS), kura mērķis ir sniegt valdībām skaidrus starptautiskus risinājumus, lai novērstu trūkumus spēkā esošajos noteikumos, kas ļauj novirzīt uzņēmumu peļņu uz beznodokļu vai zemu nodokļu jurisdikcijām.</w:t>
      </w:r>
    </w:p>
    <w:p w:rsidRPr="006E3B8B" w:rsidR="001D6AE5" w:rsidP="00CF6A23" w:rsidRDefault="001D6AE5" w14:paraId="26A83FA8" w14:textId="77777777">
      <w:pPr>
        <w:spacing w:before="240" w:after="0" w:line="240" w:lineRule="auto"/>
        <w:ind w:left="8"/>
        <w:jc w:val="both"/>
        <w:rPr>
          <w:rFonts w:ascii="Times New Roman" w:hAnsi="Times New Roman" w:eastAsia="Arial Unicode MS" w:cs="Times New Roman"/>
          <w:spacing w:val="4"/>
          <w:sz w:val="24"/>
          <w:szCs w:val="24"/>
        </w:rPr>
      </w:pPr>
      <w:r w:rsidRPr="006E3B8B">
        <w:rPr>
          <w:rFonts w:ascii="Times New Roman" w:hAnsi="Times New Roman" w:eastAsia="Arial Unicode MS" w:cs="Times New Roman"/>
          <w:spacing w:val="4"/>
          <w:sz w:val="24"/>
          <w:szCs w:val="24"/>
        </w:rPr>
        <w:t>Daļa no BEPS 13. darbības – “Transfertcenu dokumentēšana un par katru valsti atsevišķi ziņošana” - ir pārņemta ar Padomes Direktīvu (ES) 2016/881</w:t>
      </w:r>
      <w:r w:rsidRPr="006E3B8B">
        <w:rPr>
          <w:rFonts w:ascii="Times New Roman" w:hAnsi="Times New Roman" w:eastAsia="Arial Unicode MS" w:cs="Times New Roman"/>
          <w:spacing w:val="4"/>
          <w:sz w:val="24"/>
          <w:szCs w:val="24"/>
          <w:vertAlign w:val="superscript"/>
        </w:rPr>
        <w:footnoteReference w:id="4"/>
      </w:r>
      <w:r w:rsidRPr="006E3B8B">
        <w:rPr>
          <w:rFonts w:ascii="Times New Roman" w:hAnsi="Times New Roman" w:eastAsia="Arial Unicode MS" w:cs="Times New Roman"/>
          <w:spacing w:val="4"/>
          <w:sz w:val="24"/>
          <w:szCs w:val="24"/>
        </w:rPr>
        <w:t xml:space="preserve">, </w:t>
      </w:r>
      <w:r w:rsidRPr="006E3B8B">
        <w:rPr>
          <w:rFonts w:ascii="Times New Roman" w:hAnsi="Times New Roman" w:eastAsia="Arial Unicode MS" w:cs="Times New Roman"/>
          <w:sz w:val="24"/>
          <w:szCs w:val="24"/>
        </w:rPr>
        <w:t xml:space="preserve">uzliekot pienākumu starptautiskiem koncerniem, kuru konsolidētie ieņēmumi ir 750 000 000 </w:t>
      </w:r>
      <w:proofErr w:type="spellStart"/>
      <w:r w:rsidRPr="006E3B8B">
        <w:rPr>
          <w:rFonts w:ascii="Times New Roman" w:hAnsi="Times New Roman" w:eastAsia="Arial Unicode MS" w:cs="Times New Roman"/>
          <w:i/>
          <w:sz w:val="24"/>
          <w:szCs w:val="24"/>
        </w:rPr>
        <w:t>euro</w:t>
      </w:r>
      <w:proofErr w:type="spellEnd"/>
      <w:r w:rsidRPr="006E3B8B">
        <w:rPr>
          <w:rFonts w:ascii="Times New Roman" w:hAnsi="Times New Roman" w:eastAsia="Arial Unicode MS" w:cs="Times New Roman"/>
          <w:sz w:val="24"/>
          <w:szCs w:val="24"/>
        </w:rPr>
        <w:t xml:space="preserve"> vai vairāk un kas veic saimniecisku darbību ES teritorijā, katru gadu sniegt pārskatu tās dalībvalsts nodokļu administrācijai, kurā tās veic saimniecisko darbību</w:t>
      </w:r>
      <w:r w:rsidRPr="006E3B8B">
        <w:rPr>
          <w:rFonts w:ascii="Times New Roman" w:hAnsi="Times New Roman" w:eastAsia="Arial Unicode MS" w:cs="Times New Roman"/>
          <w:b/>
          <w:sz w:val="24"/>
          <w:szCs w:val="24"/>
        </w:rPr>
        <w:t xml:space="preserve"> </w:t>
      </w:r>
      <w:r w:rsidRPr="006E3B8B">
        <w:rPr>
          <w:rFonts w:ascii="Times New Roman" w:hAnsi="Times New Roman" w:eastAsia="Arial Unicode MS" w:cs="Times New Roman"/>
          <w:spacing w:val="4"/>
          <w:sz w:val="24"/>
          <w:szCs w:val="24"/>
        </w:rPr>
        <w:t xml:space="preserve">(turpmāk – </w:t>
      </w:r>
      <w:proofErr w:type="spellStart"/>
      <w:r w:rsidRPr="006E3B8B">
        <w:rPr>
          <w:rFonts w:ascii="Times New Roman" w:hAnsi="Times New Roman" w:eastAsia="Arial Unicode MS" w:cs="Times New Roman"/>
          <w:i/>
          <w:spacing w:val="4"/>
          <w:sz w:val="24"/>
          <w:szCs w:val="24"/>
        </w:rPr>
        <w:t>country</w:t>
      </w:r>
      <w:proofErr w:type="spellEnd"/>
      <w:r w:rsidRPr="006E3B8B">
        <w:rPr>
          <w:rFonts w:ascii="Times New Roman" w:hAnsi="Times New Roman" w:eastAsia="Arial Unicode MS" w:cs="Times New Roman"/>
          <w:i/>
          <w:spacing w:val="4"/>
          <w:sz w:val="24"/>
          <w:szCs w:val="24"/>
        </w:rPr>
        <w:t xml:space="preserve"> </w:t>
      </w:r>
      <w:proofErr w:type="spellStart"/>
      <w:r w:rsidRPr="006E3B8B">
        <w:rPr>
          <w:rFonts w:ascii="Times New Roman" w:hAnsi="Times New Roman" w:eastAsia="Arial Unicode MS" w:cs="Times New Roman"/>
          <w:i/>
          <w:spacing w:val="4"/>
          <w:sz w:val="24"/>
          <w:szCs w:val="24"/>
        </w:rPr>
        <w:t>by</w:t>
      </w:r>
      <w:proofErr w:type="spellEnd"/>
      <w:r w:rsidRPr="006E3B8B">
        <w:rPr>
          <w:rFonts w:ascii="Times New Roman" w:hAnsi="Times New Roman" w:eastAsia="Arial Unicode MS" w:cs="Times New Roman"/>
          <w:i/>
          <w:spacing w:val="4"/>
          <w:sz w:val="24"/>
          <w:szCs w:val="24"/>
        </w:rPr>
        <w:t xml:space="preserve"> </w:t>
      </w:r>
      <w:proofErr w:type="spellStart"/>
      <w:r w:rsidRPr="006E3B8B">
        <w:rPr>
          <w:rFonts w:ascii="Times New Roman" w:hAnsi="Times New Roman" w:eastAsia="Arial Unicode MS" w:cs="Times New Roman"/>
          <w:i/>
          <w:spacing w:val="4"/>
          <w:sz w:val="24"/>
          <w:szCs w:val="24"/>
        </w:rPr>
        <w:t>country</w:t>
      </w:r>
      <w:proofErr w:type="spellEnd"/>
      <w:r w:rsidRPr="006E3B8B">
        <w:rPr>
          <w:rFonts w:ascii="Times New Roman" w:hAnsi="Times New Roman" w:eastAsia="Arial Unicode MS" w:cs="Times New Roman"/>
          <w:i/>
          <w:spacing w:val="4"/>
          <w:sz w:val="24"/>
          <w:szCs w:val="24"/>
        </w:rPr>
        <w:t xml:space="preserve"> </w:t>
      </w:r>
      <w:proofErr w:type="spellStart"/>
      <w:r w:rsidRPr="006E3B8B">
        <w:rPr>
          <w:rFonts w:ascii="Times New Roman" w:hAnsi="Times New Roman" w:eastAsia="Arial Unicode MS" w:cs="Times New Roman"/>
          <w:i/>
          <w:spacing w:val="4"/>
          <w:sz w:val="24"/>
          <w:szCs w:val="24"/>
        </w:rPr>
        <w:t>report</w:t>
      </w:r>
      <w:proofErr w:type="spellEnd"/>
      <w:r w:rsidRPr="006E3B8B">
        <w:rPr>
          <w:rFonts w:ascii="Times New Roman" w:hAnsi="Times New Roman" w:eastAsia="Arial Unicode MS" w:cs="Times New Roman"/>
          <w:spacing w:val="4"/>
          <w:sz w:val="24"/>
          <w:szCs w:val="24"/>
        </w:rPr>
        <w:t xml:space="preserve"> jeb </w:t>
      </w:r>
      <w:r w:rsidRPr="006E3B8B">
        <w:rPr>
          <w:rFonts w:ascii="Times New Roman" w:hAnsi="Times New Roman" w:eastAsia="Arial Unicode MS" w:cs="Times New Roman"/>
          <w:i/>
          <w:spacing w:val="4"/>
          <w:sz w:val="24"/>
          <w:szCs w:val="24"/>
        </w:rPr>
        <w:t>CBCR</w:t>
      </w:r>
      <w:r w:rsidRPr="006E3B8B">
        <w:rPr>
          <w:rFonts w:ascii="Times New Roman" w:hAnsi="Times New Roman" w:eastAsia="Arial Unicode MS" w:cs="Times New Roman"/>
          <w:spacing w:val="4"/>
          <w:sz w:val="24"/>
          <w:szCs w:val="24"/>
        </w:rPr>
        <w:t xml:space="preserve">). </w:t>
      </w:r>
      <w:r w:rsidRPr="006E3B8B">
        <w:rPr>
          <w:rFonts w:ascii="Times New Roman" w:hAnsi="Times New Roman" w:eastAsia="Arial Unicode MS" w:cs="Times New Roman"/>
          <w:sz w:val="24"/>
          <w:szCs w:val="24"/>
        </w:rPr>
        <w:t xml:space="preserve">Pārskatā iekļauj informāciju par ieņēmumu summu, peļņu pirms ienākumu nodokļa nomaksāšanas, nomaksāto un uzkrāto ienākuma nodokli, darbinieku skaitu, pamatkapitālu, nesadalīto peļņu un materiālajiem aktīviem. Savukārt nodokļu administrācija, kura saņem </w:t>
      </w:r>
      <w:r w:rsidRPr="006E3B8B">
        <w:rPr>
          <w:rFonts w:ascii="Times New Roman" w:hAnsi="Times New Roman" w:eastAsia="Arial Unicode MS" w:cs="Times New Roman"/>
          <w:i/>
          <w:spacing w:val="4"/>
          <w:sz w:val="24"/>
          <w:szCs w:val="24"/>
        </w:rPr>
        <w:t>CBCR</w:t>
      </w:r>
      <w:r w:rsidRPr="006E3B8B">
        <w:rPr>
          <w:rFonts w:ascii="Times New Roman" w:hAnsi="Times New Roman" w:eastAsia="Arial Unicode MS" w:cs="Times New Roman"/>
          <w:sz w:val="24"/>
          <w:szCs w:val="24"/>
        </w:rPr>
        <w:t xml:space="preserve">, </w:t>
      </w:r>
      <w:proofErr w:type="spellStart"/>
      <w:r w:rsidRPr="006E3B8B">
        <w:rPr>
          <w:rFonts w:ascii="Times New Roman" w:hAnsi="Times New Roman" w:eastAsia="Arial Unicode MS" w:cs="Times New Roman"/>
          <w:sz w:val="24"/>
          <w:szCs w:val="24"/>
        </w:rPr>
        <w:t>nosūta</w:t>
      </w:r>
      <w:proofErr w:type="spellEnd"/>
      <w:r w:rsidRPr="006E3B8B">
        <w:rPr>
          <w:rFonts w:ascii="Times New Roman" w:hAnsi="Times New Roman" w:eastAsia="Arial Unicode MS" w:cs="Times New Roman"/>
          <w:sz w:val="24"/>
          <w:szCs w:val="24"/>
        </w:rPr>
        <w:t xml:space="preserve"> to visām pārējām ES dalībvalstu nodokļu administrācijām, kurās ir pārstāvēts attiecīgais starptautiskais koncerns.</w:t>
      </w:r>
    </w:p>
    <w:p w:rsidRPr="006E3B8B" w:rsidR="001D6AE5" w:rsidP="00CF6A23" w:rsidRDefault="001D6AE5" w14:paraId="2E6222FA" w14:textId="77777777">
      <w:pPr>
        <w:spacing w:before="240" w:after="0" w:line="240" w:lineRule="auto"/>
        <w:jc w:val="both"/>
        <w:rPr>
          <w:rFonts w:ascii="Times New Roman" w:hAnsi="Times New Roman" w:eastAsia="Arial Unicode MS" w:cs="Times New Roman"/>
          <w:spacing w:val="4"/>
          <w:sz w:val="24"/>
          <w:szCs w:val="24"/>
        </w:rPr>
      </w:pPr>
      <w:r w:rsidRPr="006E3B8B">
        <w:rPr>
          <w:rFonts w:ascii="Times New Roman" w:hAnsi="Times New Roman" w:eastAsia="Arial Unicode MS" w:cs="Times New Roman"/>
          <w:spacing w:val="4"/>
          <w:sz w:val="24"/>
          <w:szCs w:val="24"/>
        </w:rPr>
        <w:t>Priekšlikumā ir paredzēts, ka daļa no CBCR iekļautās informācijas būs jāpublisko konkrēta uzņēmuma mājaslapā. Prasības attieksies uz starptautiskiem uzņēmumiem un to grupām, kuri veic saimniecisko darbību ES un kuru ieņēmumi (vai attiecīgi konsolidētie ieņēmumi) pārsniedz 750 000 000 EUR gadā, neatkarīgi no tā, vai to galvenā mītne atrodas ES vai ārpus tās.</w:t>
      </w:r>
    </w:p>
    <w:p w:rsidRPr="00596DB1" w:rsidR="001D6AE5" w:rsidP="00CF6A23" w:rsidRDefault="001D6AE5" w14:paraId="05E4AD10" w14:textId="71621171">
      <w:pPr>
        <w:spacing w:before="240" w:after="0" w:line="240" w:lineRule="auto"/>
        <w:jc w:val="both"/>
        <w:rPr>
          <w:rFonts w:ascii="Times New Roman" w:hAnsi="Times New Roman" w:cs="Times New Roman"/>
          <w:bCs/>
          <w:spacing w:val="4"/>
          <w:sz w:val="24"/>
          <w:szCs w:val="24"/>
        </w:rPr>
      </w:pPr>
      <w:r w:rsidRPr="006E3B8B">
        <w:rPr>
          <w:rFonts w:ascii="Times New Roman" w:hAnsi="Times New Roman" w:cs="Times New Roman"/>
          <w:spacing w:val="4"/>
          <w:sz w:val="24"/>
          <w:szCs w:val="24"/>
        </w:rPr>
        <w:t>ES Padomes</w:t>
      </w:r>
      <w:r w:rsidRPr="006E3B8B">
        <w:rPr>
          <w:rFonts w:ascii="Times New Roman" w:hAnsi="Times New Roman" w:cs="Times New Roman"/>
          <w:b/>
          <w:spacing w:val="4"/>
          <w:sz w:val="24"/>
          <w:szCs w:val="24"/>
        </w:rPr>
        <w:t xml:space="preserve"> </w:t>
      </w:r>
      <w:r w:rsidRPr="006E3B8B">
        <w:rPr>
          <w:rFonts w:ascii="Times New Roman" w:hAnsi="Times New Roman" w:cs="Times New Roman"/>
          <w:spacing w:val="4"/>
          <w:sz w:val="24"/>
          <w:szCs w:val="24"/>
        </w:rPr>
        <w:t xml:space="preserve">Juridiskais dienests par priekšlikumu ir sniedzis viedokli, norādot, ka Komisijas priekšlikuma galvenais mērķis ir cīnīties ar izvairīšanos no nodokļu maksāšanas, savukārt priekšlikuma būtība ir uzlikt par pienākumu konkrētiem uzņēmumiem un filiālēm publiskot informāciju par nodokļu nomaksu un citu, ar to tieši saistītu, informāciju. Tā kā priekšlikumā ir iekļautas nodokļu normas, un tā galvenais mērķis un būtība ir nodokļu jautājums, </w:t>
      </w:r>
      <w:r w:rsidRPr="00596DB1">
        <w:rPr>
          <w:rFonts w:ascii="Times New Roman" w:hAnsi="Times New Roman" w:cs="Times New Roman"/>
          <w:bCs/>
          <w:spacing w:val="4"/>
          <w:sz w:val="24"/>
          <w:szCs w:val="24"/>
        </w:rPr>
        <w:t>ES Padomes Juridiskais dienests uzskata, ka priekšlikuma juridiskajam pamatojumam jābūt LESD 115.pantam</w:t>
      </w:r>
      <w:r w:rsidRPr="00596DB1">
        <w:rPr>
          <w:rFonts w:ascii="Times New Roman" w:hAnsi="Times New Roman" w:cs="Times New Roman"/>
          <w:sz w:val="24"/>
          <w:szCs w:val="24"/>
        </w:rPr>
        <w:t xml:space="preserve"> nevis LESD 50. panta 1.punktam,</w:t>
      </w:r>
      <w:r w:rsidRPr="00596DB1">
        <w:rPr>
          <w:rFonts w:ascii="Times New Roman" w:hAnsi="Times New Roman" w:cs="Times New Roman"/>
          <w:bCs/>
          <w:spacing w:val="4"/>
          <w:sz w:val="24"/>
          <w:szCs w:val="24"/>
        </w:rPr>
        <w:t xml:space="preserve"> kas nozīmē, ka priekšlikuma pieņemšanai būtu jānotiek pēc īpašas likumdošanas procedūras, kurai nepieciešama vienprātīga piekrišana.</w:t>
      </w:r>
    </w:p>
    <w:p w:rsidR="007E35BC" w:rsidRDefault="007E35BC" w14:paraId="465A5605"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6E3B8B" w:rsidR="001D6AE5" w:rsidP="00CF6A23" w:rsidRDefault="001D6AE5" w14:paraId="30CFE2EE" w14:textId="60E4D8B4">
      <w:pPr>
        <w:spacing w:before="240" w:after="0" w:line="240" w:lineRule="auto"/>
        <w:jc w:val="both"/>
        <w:rPr>
          <w:rFonts w:ascii="Times New Roman" w:hAnsi="Times New Roman" w:cs="Times New Roman"/>
          <w:b/>
          <w:bCs/>
          <w:sz w:val="24"/>
          <w:szCs w:val="24"/>
        </w:rPr>
      </w:pPr>
      <w:r w:rsidRPr="006E3B8B">
        <w:rPr>
          <w:rFonts w:ascii="Times New Roman" w:hAnsi="Times New Roman" w:cs="Times New Roman"/>
          <w:b/>
          <w:bCs/>
          <w:sz w:val="24"/>
          <w:szCs w:val="24"/>
        </w:rPr>
        <w:t>Latvijas nostāja:</w:t>
      </w:r>
    </w:p>
    <w:p w:rsidRPr="00222F10" w:rsidR="001D6AE5" w:rsidP="00CF6A23" w:rsidRDefault="001D6AE5" w14:paraId="32418D11" w14:textId="77777777">
      <w:pPr>
        <w:spacing w:before="240" w:after="0" w:line="240" w:lineRule="auto"/>
        <w:jc w:val="both"/>
        <w:rPr>
          <w:rFonts w:ascii="Times New Roman" w:hAnsi="Times New Roman" w:cs="Times New Roman"/>
          <w:spacing w:val="4"/>
          <w:sz w:val="24"/>
          <w:szCs w:val="24"/>
        </w:rPr>
      </w:pPr>
      <w:r w:rsidRPr="00222F10">
        <w:rPr>
          <w:rFonts w:ascii="Times New Roman" w:hAnsi="Times New Roman" w:cs="Times New Roman"/>
          <w:spacing w:val="4"/>
          <w:sz w:val="24"/>
          <w:szCs w:val="24"/>
        </w:rPr>
        <w:t>Latvija kopumā atbalsta priekšlikuma galveno mērķi cīnīties pret izvairīšanos no nodokļu maksāšanas, uzliekot par pienākumu konkrētiem daudznacionālajiem uzņēmumiem un to filiālēm publiskot informāciju par nodokļu nomaksu un citu, ar to saistītu informāciju. </w:t>
      </w:r>
    </w:p>
    <w:p w:rsidRPr="00222F10" w:rsidR="001D6AE5" w:rsidP="00CF6A23" w:rsidRDefault="001D6AE5" w14:paraId="17CD9F64" w14:textId="77777777">
      <w:pPr>
        <w:spacing w:before="240" w:after="0" w:line="240" w:lineRule="auto"/>
        <w:jc w:val="both"/>
        <w:rPr>
          <w:rFonts w:ascii="Times New Roman" w:hAnsi="Times New Roman" w:cs="Times New Roman"/>
          <w:spacing w:val="4"/>
          <w:sz w:val="24"/>
          <w:szCs w:val="24"/>
        </w:rPr>
      </w:pPr>
      <w:r w:rsidRPr="00222F10">
        <w:rPr>
          <w:rFonts w:ascii="Times New Roman" w:hAnsi="Times New Roman" w:cs="Times New Roman"/>
          <w:spacing w:val="4"/>
          <w:sz w:val="24"/>
          <w:szCs w:val="24"/>
        </w:rPr>
        <w:t>Attiecībā uz priekšlikuma juridisko bāzi, Latvija uzskata, ka ES Padomes Juridiskā dienesta viedoklis ir pamatots un Eiropas Komisijas priekšlikuma izvēlētais juridiskais pamatojums ir neatbilstošs, jo priekšlikums attiecas uz nodokļu jautājumiem. Līdz ar to priekšlikuma juridiskajam pamatojumam jābūt LESD 115.pantam un diskusijām par šo priekšlikumu ir jānotiek Ekonomikas un finanšu padomē (ECOFIN). </w:t>
      </w:r>
    </w:p>
    <w:p w:rsidRPr="00BE1D02" w:rsidR="00BE1D02" w:rsidP="00BE1D02" w:rsidRDefault="00BE1D02" w14:paraId="017542CF" w14:textId="77777777">
      <w:pPr>
        <w:spacing w:before="240" w:after="0" w:line="240" w:lineRule="auto"/>
        <w:jc w:val="both"/>
        <w:rPr>
          <w:rFonts w:ascii="Times New Roman" w:hAnsi="Times New Roman" w:cs="Times New Roman"/>
          <w:spacing w:val="4"/>
          <w:sz w:val="24"/>
          <w:szCs w:val="24"/>
        </w:rPr>
      </w:pPr>
      <w:r w:rsidRPr="00BE1D02">
        <w:rPr>
          <w:rFonts w:ascii="Times New Roman" w:hAnsi="Times New Roman" w:cs="Times New Roman"/>
          <w:spacing w:val="4"/>
          <w:sz w:val="24"/>
          <w:szCs w:val="24"/>
        </w:rPr>
        <w:t>Latvija  pieņem zināšanai ES Padomes Juridiskā dienesta iesaisti centienos rast izeju no strupceļa, kurā ir nonācis šis priekšlikums.</w:t>
      </w:r>
    </w:p>
    <w:p w:rsidRPr="00977D5D" w:rsidR="00BE1D02" w:rsidP="00BE1D02" w:rsidRDefault="00BE1D02" w14:paraId="1DD1A960" w14:textId="0A90B7EC">
      <w:pPr>
        <w:spacing w:before="240" w:after="0" w:line="240" w:lineRule="auto"/>
        <w:jc w:val="both"/>
        <w:rPr>
          <w:rFonts w:ascii="Times New Roman" w:hAnsi="Times New Roman" w:cs="Times New Roman"/>
          <w:b/>
          <w:bCs/>
          <w:spacing w:val="4"/>
          <w:sz w:val="24"/>
          <w:szCs w:val="24"/>
        </w:rPr>
      </w:pPr>
      <w:r w:rsidRPr="00516C12">
        <w:rPr>
          <w:rFonts w:ascii="Times New Roman" w:hAnsi="Times New Roman" w:cs="Times New Roman"/>
          <w:spacing w:val="4"/>
          <w:sz w:val="24"/>
          <w:szCs w:val="24"/>
        </w:rPr>
        <w:t>Ņemot vērā, ka starp dalībvalstīm nav nepieciešamā vienprātība priekšlikuma juridiskā pamata maiņai</w:t>
      </w:r>
      <w:r w:rsidRPr="00977D5D">
        <w:rPr>
          <w:rFonts w:ascii="Times New Roman" w:hAnsi="Times New Roman" w:cs="Times New Roman"/>
          <w:b/>
          <w:bCs/>
          <w:spacing w:val="4"/>
          <w:sz w:val="24"/>
          <w:szCs w:val="24"/>
        </w:rPr>
        <w:t>, Latvija šobrīd neiebilst pret priekšlikuma tālāku virzību esošajā redakcijā.</w:t>
      </w:r>
    </w:p>
    <w:p w:rsidR="007E35BC" w:rsidP="00CF6A23" w:rsidRDefault="007E35BC" w14:paraId="6144E8F3" w14:textId="77777777">
      <w:pPr>
        <w:spacing w:before="240" w:after="0" w:line="240" w:lineRule="auto"/>
        <w:jc w:val="both"/>
        <w:rPr>
          <w:rFonts w:ascii="Times New Roman" w:hAnsi="Times New Roman" w:cs="Times New Roman"/>
          <w:spacing w:val="4"/>
          <w:sz w:val="24"/>
          <w:szCs w:val="24"/>
        </w:rPr>
      </w:pPr>
    </w:p>
    <w:p w:rsidR="007E35BC" w:rsidP="00CF6A23" w:rsidRDefault="007E35BC" w14:paraId="24D29128" w14:textId="77777777">
      <w:pPr>
        <w:spacing w:before="240" w:after="0" w:line="240" w:lineRule="auto"/>
        <w:jc w:val="both"/>
        <w:rPr>
          <w:rFonts w:ascii="Times New Roman" w:hAnsi="Times New Roman" w:cs="Times New Roman"/>
          <w:spacing w:val="4"/>
          <w:sz w:val="24"/>
          <w:szCs w:val="24"/>
        </w:rPr>
      </w:pPr>
    </w:p>
    <w:p w:rsidRPr="00D322F8" w:rsidR="004D4DFF" w:rsidP="00CF6A23" w:rsidRDefault="004D4DFF" w14:paraId="62BB9D85" w14:textId="2BA99C01">
      <w:pPr>
        <w:spacing w:before="240" w:after="0" w:line="240" w:lineRule="auto"/>
        <w:jc w:val="both"/>
        <w:rPr>
          <w:rFonts w:ascii="Times New Roman" w:hAnsi="Times New Roman" w:cs="Times New Roman"/>
          <w:b/>
          <w:bCs/>
          <w:spacing w:val="4"/>
          <w:sz w:val="24"/>
          <w:szCs w:val="24"/>
        </w:rPr>
      </w:pPr>
      <w:r w:rsidRPr="00D322F8">
        <w:rPr>
          <w:rFonts w:ascii="Times New Roman" w:hAnsi="Times New Roman" w:cs="Times New Roman"/>
          <w:b/>
          <w:bCs/>
          <w:spacing w:val="4"/>
          <w:sz w:val="24"/>
          <w:szCs w:val="24"/>
        </w:rPr>
        <w:t>Latvijas delegācija:</w:t>
      </w:r>
    </w:p>
    <w:p w:rsidR="00BB29ED" w:rsidP="00CF6A23" w:rsidRDefault="004D4DFF" w14:paraId="057E3120" w14:textId="77777777">
      <w:pPr>
        <w:spacing w:before="240" w:after="0" w:line="240" w:lineRule="auto"/>
        <w:jc w:val="both"/>
        <w:rPr>
          <w:rFonts w:ascii="Times New Roman" w:hAnsi="Times New Roman" w:cs="Times New Roman"/>
          <w:spacing w:val="4"/>
          <w:sz w:val="24"/>
          <w:szCs w:val="24"/>
        </w:rPr>
      </w:pPr>
      <w:r w:rsidRPr="00D322F8">
        <w:rPr>
          <w:rFonts w:ascii="Times New Roman" w:hAnsi="Times New Roman" w:cs="Times New Roman"/>
          <w:spacing w:val="4"/>
          <w:sz w:val="24"/>
          <w:szCs w:val="24"/>
        </w:rPr>
        <w:t xml:space="preserve">Delegācijas vadītājs: </w:t>
      </w:r>
    </w:p>
    <w:p w:rsidRPr="00D322F8" w:rsidR="004D4DFF" w:rsidP="00CF6A23" w:rsidRDefault="004D4DFF" w14:paraId="5296D25A" w14:textId="2F5C5D90">
      <w:pPr>
        <w:spacing w:before="240" w:after="0" w:line="240" w:lineRule="auto"/>
        <w:jc w:val="both"/>
        <w:rPr>
          <w:rFonts w:ascii="Times New Roman" w:hAnsi="Times New Roman" w:cs="Times New Roman"/>
          <w:spacing w:val="4"/>
          <w:sz w:val="24"/>
          <w:szCs w:val="24"/>
        </w:rPr>
      </w:pPr>
      <w:r w:rsidRPr="00D322F8">
        <w:rPr>
          <w:rFonts w:ascii="Times New Roman" w:hAnsi="Times New Roman" w:cs="Times New Roman"/>
          <w:spacing w:val="4"/>
          <w:sz w:val="24"/>
          <w:szCs w:val="24"/>
        </w:rPr>
        <w:tab/>
        <w:t>Jurģis Miezainis, Ekonomikas ministrijas Parlamentārais sekretārs</w:t>
      </w:r>
    </w:p>
    <w:p w:rsidR="00D322F8" w:rsidP="00CF6A23" w:rsidRDefault="00D322F8" w14:paraId="5CEDD1F7" w14:textId="3D176740">
      <w:pPr>
        <w:spacing w:before="240" w:after="0" w:line="240" w:lineRule="auto"/>
        <w:jc w:val="both"/>
        <w:rPr>
          <w:rFonts w:ascii="Times New Roman" w:hAnsi="Times New Roman" w:cs="Times New Roman"/>
          <w:spacing w:val="4"/>
          <w:sz w:val="24"/>
          <w:szCs w:val="24"/>
        </w:rPr>
      </w:pPr>
    </w:p>
    <w:p w:rsidR="007E35BC" w:rsidP="00CF6A23" w:rsidRDefault="007E35BC" w14:paraId="45E0D32C" w14:textId="5D121F6A">
      <w:pPr>
        <w:spacing w:before="240" w:after="0" w:line="240" w:lineRule="auto"/>
        <w:jc w:val="both"/>
        <w:rPr>
          <w:rFonts w:ascii="Times New Roman" w:hAnsi="Times New Roman" w:cs="Times New Roman"/>
          <w:spacing w:val="4"/>
          <w:sz w:val="24"/>
          <w:szCs w:val="24"/>
        </w:rPr>
      </w:pPr>
    </w:p>
    <w:p w:rsidR="007E35BC" w:rsidP="00CF6A23" w:rsidRDefault="007E35BC" w14:paraId="1B4C1CF2" w14:textId="77777777">
      <w:pPr>
        <w:spacing w:before="240" w:after="0" w:line="240" w:lineRule="auto"/>
        <w:jc w:val="both"/>
        <w:rPr>
          <w:rFonts w:ascii="Times New Roman" w:hAnsi="Times New Roman" w:cs="Times New Roman"/>
          <w:spacing w:val="4"/>
          <w:sz w:val="24"/>
          <w:szCs w:val="24"/>
        </w:rPr>
      </w:pPr>
    </w:p>
    <w:p w:rsidRPr="00D322F8" w:rsidR="004D4DFF" w:rsidP="00CF6A23" w:rsidRDefault="004D4DFF" w14:paraId="7F10BB21" w14:textId="5DB312B1">
      <w:pPr>
        <w:spacing w:before="240" w:after="0" w:line="240" w:lineRule="auto"/>
        <w:jc w:val="both"/>
        <w:rPr>
          <w:rFonts w:ascii="Times New Roman" w:hAnsi="Times New Roman" w:cs="Times New Roman"/>
          <w:spacing w:val="4"/>
          <w:sz w:val="24"/>
          <w:szCs w:val="24"/>
        </w:rPr>
      </w:pPr>
      <w:r w:rsidRPr="00D322F8">
        <w:rPr>
          <w:rFonts w:ascii="Times New Roman" w:hAnsi="Times New Roman" w:cs="Times New Roman"/>
          <w:spacing w:val="4"/>
          <w:sz w:val="24"/>
          <w:szCs w:val="24"/>
        </w:rPr>
        <w:t>Ekonomikas ministrs</w:t>
      </w:r>
      <w:r w:rsidRPr="00D322F8">
        <w:rPr>
          <w:rFonts w:ascii="Times New Roman" w:hAnsi="Times New Roman" w:cs="Times New Roman"/>
          <w:spacing w:val="4"/>
          <w:sz w:val="24"/>
          <w:szCs w:val="24"/>
        </w:rPr>
        <w:tab/>
      </w:r>
      <w:r w:rsidR="00D322F8">
        <w:rPr>
          <w:rFonts w:ascii="Times New Roman" w:hAnsi="Times New Roman" w:cs="Times New Roman"/>
          <w:spacing w:val="4"/>
          <w:sz w:val="24"/>
          <w:szCs w:val="24"/>
        </w:rPr>
        <w:tab/>
      </w:r>
      <w:r w:rsidR="00D322F8">
        <w:rPr>
          <w:rFonts w:ascii="Times New Roman" w:hAnsi="Times New Roman" w:cs="Times New Roman"/>
          <w:spacing w:val="4"/>
          <w:sz w:val="24"/>
          <w:szCs w:val="24"/>
        </w:rPr>
        <w:tab/>
      </w:r>
      <w:r w:rsidR="00D322F8">
        <w:rPr>
          <w:rFonts w:ascii="Times New Roman" w:hAnsi="Times New Roman" w:cs="Times New Roman"/>
          <w:spacing w:val="4"/>
          <w:sz w:val="24"/>
          <w:szCs w:val="24"/>
        </w:rPr>
        <w:tab/>
      </w:r>
      <w:r w:rsidR="00D322F8">
        <w:rPr>
          <w:rFonts w:ascii="Times New Roman" w:hAnsi="Times New Roman" w:cs="Times New Roman"/>
          <w:spacing w:val="4"/>
          <w:sz w:val="24"/>
          <w:szCs w:val="24"/>
        </w:rPr>
        <w:tab/>
      </w:r>
      <w:r w:rsidR="00D322F8">
        <w:rPr>
          <w:rFonts w:ascii="Times New Roman" w:hAnsi="Times New Roman" w:cs="Times New Roman"/>
          <w:spacing w:val="4"/>
          <w:sz w:val="24"/>
          <w:szCs w:val="24"/>
        </w:rPr>
        <w:tab/>
      </w:r>
      <w:r w:rsidR="00D322F8">
        <w:rPr>
          <w:rFonts w:ascii="Times New Roman" w:hAnsi="Times New Roman" w:cs="Times New Roman"/>
          <w:spacing w:val="4"/>
          <w:sz w:val="24"/>
          <w:szCs w:val="24"/>
        </w:rPr>
        <w:tab/>
      </w:r>
      <w:r w:rsidRPr="00D322F8">
        <w:rPr>
          <w:rFonts w:ascii="Times New Roman" w:hAnsi="Times New Roman" w:cs="Times New Roman"/>
          <w:spacing w:val="4"/>
          <w:sz w:val="24"/>
          <w:szCs w:val="24"/>
        </w:rPr>
        <w:t xml:space="preserve">J. </w:t>
      </w:r>
      <w:proofErr w:type="spellStart"/>
      <w:r w:rsidRPr="00D322F8">
        <w:rPr>
          <w:rFonts w:ascii="Times New Roman" w:hAnsi="Times New Roman" w:cs="Times New Roman"/>
          <w:spacing w:val="4"/>
          <w:sz w:val="24"/>
          <w:szCs w:val="24"/>
        </w:rPr>
        <w:t>Vitenbergs</w:t>
      </w:r>
      <w:proofErr w:type="spellEnd"/>
    </w:p>
    <w:p w:rsidR="006D6F19" w:rsidP="006D6F19" w:rsidRDefault="006D6F19" w14:paraId="210716B8" w14:textId="51FF37EB">
      <w:pPr>
        <w:spacing w:after="0" w:line="240" w:lineRule="auto"/>
        <w:jc w:val="both"/>
        <w:rPr>
          <w:rFonts w:ascii="Times New Roman" w:hAnsi="Times New Roman" w:cs="Times New Roman"/>
          <w:spacing w:val="4"/>
          <w:sz w:val="24"/>
          <w:szCs w:val="24"/>
        </w:rPr>
      </w:pPr>
    </w:p>
    <w:p w:rsidR="007E35BC" w:rsidP="006D6F19" w:rsidRDefault="007E35BC" w14:paraId="47112191" w14:textId="77777777">
      <w:pPr>
        <w:spacing w:after="0" w:line="240" w:lineRule="auto"/>
        <w:jc w:val="both"/>
        <w:rPr>
          <w:rFonts w:ascii="Times New Roman" w:hAnsi="Times New Roman" w:cs="Times New Roman"/>
          <w:spacing w:val="4"/>
          <w:sz w:val="24"/>
          <w:szCs w:val="24"/>
        </w:rPr>
      </w:pPr>
    </w:p>
    <w:p w:rsidRPr="00D322F8" w:rsidR="004D4DFF" w:rsidP="006D6F19" w:rsidRDefault="004D4DFF" w14:paraId="3FE7EB88" w14:textId="5A2F6370">
      <w:pPr>
        <w:spacing w:after="0" w:line="240" w:lineRule="auto"/>
        <w:jc w:val="both"/>
        <w:rPr>
          <w:rFonts w:ascii="Times New Roman" w:hAnsi="Times New Roman" w:cs="Times New Roman"/>
          <w:spacing w:val="4"/>
          <w:sz w:val="24"/>
          <w:szCs w:val="24"/>
        </w:rPr>
      </w:pPr>
      <w:r w:rsidRPr="00D322F8">
        <w:rPr>
          <w:rFonts w:ascii="Times New Roman" w:hAnsi="Times New Roman" w:cs="Times New Roman"/>
          <w:spacing w:val="4"/>
          <w:sz w:val="24"/>
          <w:szCs w:val="24"/>
        </w:rPr>
        <w:t>Valsts sekretār</w:t>
      </w:r>
      <w:r w:rsidR="00745629">
        <w:rPr>
          <w:rFonts w:ascii="Times New Roman" w:hAnsi="Times New Roman" w:cs="Times New Roman"/>
          <w:spacing w:val="4"/>
          <w:sz w:val="24"/>
          <w:szCs w:val="24"/>
        </w:rPr>
        <w:t>a pienākumu izpildītāja</w:t>
      </w:r>
      <w:bookmarkStart w:name="_GoBack" w:id="0"/>
      <w:bookmarkEnd w:id="0"/>
      <w:r w:rsidR="00D322F8">
        <w:rPr>
          <w:rFonts w:ascii="Times New Roman" w:hAnsi="Times New Roman" w:cs="Times New Roman"/>
          <w:spacing w:val="4"/>
          <w:sz w:val="24"/>
          <w:szCs w:val="24"/>
        </w:rPr>
        <w:tab/>
      </w:r>
      <w:r w:rsidR="00D322F8">
        <w:rPr>
          <w:rFonts w:ascii="Times New Roman" w:hAnsi="Times New Roman" w:cs="Times New Roman"/>
          <w:spacing w:val="4"/>
          <w:sz w:val="24"/>
          <w:szCs w:val="24"/>
        </w:rPr>
        <w:tab/>
      </w:r>
      <w:r w:rsidR="00D322F8">
        <w:rPr>
          <w:rFonts w:ascii="Times New Roman" w:hAnsi="Times New Roman" w:cs="Times New Roman"/>
          <w:spacing w:val="4"/>
          <w:sz w:val="24"/>
          <w:szCs w:val="24"/>
        </w:rPr>
        <w:tab/>
      </w:r>
      <w:r w:rsidR="00D322F8">
        <w:rPr>
          <w:rFonts w:ascii="Times New Roman" w:hAnsi="Times New Roman" w:cs="Times New Roman"/>
          <w:spacing w:val="4"/>
          <w:sz w:val="24"/>
          <w:szCs w:val="24"/>
        </w:rPr>
        <w:tab/>
      </w:r>
      <w:proofErr w:type="spellStart"/>
      <w:r w:rsidR="006D6F19">
        <w:rPr>
          <w:rFonts w:ascii="Times New Roman" w:hAnsi="Times New Roman" w:cs="Times New Roman"/>
          <w:spacing w:val="4"/>
          <w:sz w:val="24"/>
          <w:szCs w:val="24"/>
        </w:rPr>
        <w:t>Z.Liepiņa</w:t>
      </w:r>
      <w:proofErr w:type="spellEnd"/>
    </w:p>
    <w:p w:rsidR="009C533D" w:rsidP="00CF6A23" w:rsidRDefault="009C533D" w14:paraId="7F481403" w14:textId="7741806E">
      <w:pPr>
        <w:spacing w:before="240" w:after="0" w:line="240" w:lineRule="auto"/>
        <w:jc w:val="both"/>
        <w:rPr>
          <w:rFonts w:ascii="Times New Roman" w:hAnsi="Times New Roman" w:cs="Times New Roman"/>
          <w:spacing w:val="4"/>
          <w:sz w:val="24"/>
          <w:szCs w:val="24"/>
        </w:rPr>
      </w:pPr>
    </w:p>
    <w:p w:rsidR="007E35BC" w:rsidP="00CF6A23" w:rsidRDefault="007E35BC" w14:paraId="26E8E41D" w14:textId="77777777">
      <w:pPr>
        <w:spacing w:before="240" w:after="0" w:line="240" w:lineRule="auto"/>
        <w:jc w:val="both"/>
        <w:rPr>
          <w:rFonts w:ascii="Times New Roman" w:hAnsi="Times New Roman" w:cs="Times New Roman"/>
          <w:spacing w:val="4"/>
          <w:sz w:val="24"/>
          <w:szCs w:val="24"/>
        </w:rPr>
      </w:pPr>
    </w:p>
    <w:p w:rsidRPr="007E35BC" w:rsidR="004D4DFF" w:rsidP="002C4B71" w:rsidRDefault="00D322F8" w14:paraId="3F4394B3" w14:textId="668B0B94">
      <w:pPr>
        <w:spacing w:after="0" w:line="240" w:lineRule="auto"/>
        <w:jc w:val="both"/>
        <w:rPr>
          <w:rFonts w:ascii="Times New Roman" w:hAnsi="Times New Roman" w:cs="Times New Roman"/>
          <w:spacing w:val="4"/>
          <w:sz w:val="20"/>
          <w:szCs w:val="20"/>
        </w:rPr>
      </w:pPr>
      <w:proofErr w:type="spellStart"/>
      <w:r w:rsidRPr="007E35BC">
        <w:rPr>
          <w:rFonts w:ascii="Times New Roman" w:hAnsi="Times New Roman" w:cs="Times New Roman"/>
          <w:spacing w:val="4"/>
          <w:sz w:val="20"/>
          <w:szCs w:val="20"/>
        </w:rPr>
        <w:t>M.Rone</w:t>
      </w:r>
      <w:proofErr w:type="spellEnd"/>
      <w:r w:rsidRPr="007E35BC">
        <w:rPr>
          <w:rFonts w:ascii="Times New Roman" w:hAnsi="Times New Roman" w:cs="Times New Roman"/>
          <w:spacing w:val="4"/>
          <w:sz w:val="20"/>
          <w:szCs w:val="20"/>
        </w:rPr>
        <w:t>,</w:t>
      </w:r>
      <w:r w:rsidRPr="007E35BC" w:rsidR="004D4DFF">
        <w:rPr>
          <w:rFonts w:ascii="Times New Roman" w:hAnsi="Times New Roman" w:cs="Times New Roman"/>
          <w:spacing w:val="4"/>
          <w:sz w:val="20"/>
          <w:szCs w:val="20"/>
        </w:rPr>
        <w:t xml:space="preserve"> 67013</w:t>
      </w:r>
      <w:r w:rsidRPr="007E35BC" w:rsidR="009C533D">
        <w:rPr>
          <w:rFonts w:ascii="Times New Roman" w:hAnsi="Times New Roman" w:cs="Times New Roman"/>
          <w:spacing w:val="4"/>
          <w:sz w:val="20"/>
          <w:szCs w:val="20"/>
        </w:rPr>
        <w:t>265</w:t>
      </w:r>
    </w:p>
    <w:p w:rsidRPr="007E35BC" w:rsidR="004D4DFF" w:rsidP="002C4B71" w:rsidRDefault="009C533D" w14:paraId="53820D4D" w14:textId="3E01CFBB">
      <w:pPr>
        <w:spacing w:after="0" w:line="240" w:lineRule="auto"/>
        <w:jc w:val="both"/>
        <w:rPr>
          <w:rFonts w:ascii="Times New Roman" w:hAnsi="Times New Roman" w:cs="Times New Roman"/>
          <w:spacing w:val="4"/>
          <w:sz w:val="20"/>
          <w:szCs w:val="20"/>
        </w:rPr>
      </w:pPr>
      <w:r w:rsidRPr="007E35BC">
        <w:rPr>
          <w:rFonts w:ascii="Times New Roman" w:hAnsi="Times New Roman" w:cs="Times New Roman"/>
          <w:spacing w:val="4"/>
          <w:sz w:val="20"/>
          <w:szCs w:val="20"/>
        </w:rPr>
        <w:t>Mara.rone</w:t>
      </w:r>
      <w:r w:rsidRPr="007E35BC" w:rsidR="004D4DFF">
        <w:rPr>
          <w:rFonts w:ascii="Times New Roman" w:hAnsi="Times New Roman" w:cs="Times New Roman"/>
          <w:spacing w:val="4"/>
          <w:sz w:val="20"/>
          <w:szCs w:val="20"/>
        </w:rPr>
        <w:t>@em.gov.lv</w:t>
      </w:r>
    </w:p>
    <w:sectPr w:rsidRPr="007E35BC" w:rsidR="004D4DFF">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9CDC7" w14:textId="77777777" w:rsidR="00101832" w:rsidRDefault="00101832" w:rsidP="005C73F1">
      <w:pPr>
        <w:spacing w:after="0" w:line="240" w:lineRule="auto"/>
      </w:pPr>
      <w:r>
        <w:separator/>
      </w:r>
    </w:p>
  </w:endnote>
  <w:endnote w:type="continuationSeparator" w:id="0">
    <w:p w14:paraId="47091ED9" w14:textId="77777777" w:rsidR="00101832" w:rsidRDefault="00101832" w:rsidP="005C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NewRomanPS-BoldMT">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BA"/>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977531"/>
      <w:docPartObj>
        <w:docPartGallery w:val="Page Numbers (Bottom of Page)"/>
        <w:docPartUnique/>
      </w:docPartObj>
    </w:sdtPr>
    <w:sdtEndPr>
      <w:rPr>
        <w:noProof/>
      </w:rPr>
    </w:sdtEndPr>
    <w:sdtContent>
      <w:p w14:paraId="09C9AF0E" w14:textId="46863DEF" w:rsidR="005C73F1" w:rsidRDefault="005C73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F8EC49" w14:textId="77777777" w:rsidR="005C73F1" w:rsidRDefault="005C7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46EF5" w14:textId="77777777" w:rsidR="00101832" w:rsidRDefault="00101832" w:rsidP="005C73F1">
      <w:pPr>
        <w:spacing w:after="0" w:line="240" w:lineRule="auto"/>
      </w:pPr>
      <w:r>
        <w:separator/>
      </w:r>
    </w:p>
  </w:footnote>
  <w:footnote w:type="continuationSeparator" w:id="0">
    <w:p w14:paraId="74DB45E6" w14:textId="77777777" w:rsidR="00101832" w:rsidRDefault="00101832" w:rsidP="005C73F1">
      <w:pPr>
        <w:spacing w:after="0" w:line="240" w:lineRule="auto"/>
      </w:pPr>
      <w:r>
        <w:continuationSeparator/>
      </w:r>
    </w:p>
  </w:footnote>
  <w:footnote w:id="1">
    <w:p w14:paraId="5D7D567E" w14:textId="77777777" w:rsidR="00E43080" w:rsidRDefault="00E43080" w:rsidP="00E43080">
      <w:pPr>
        <w:pStyle w:val="FootnoteText"/>
      </w:pPr>
      <w:r>
        <w:rPr>
          <w:rStyle w:val="FootnoteReference"/>
        </w:rPr>
        <w:footnoteRef/>
      </w:r>
      <w:r>
        <w:t xml:space="preserve"> 2018.gada cenās</w:t>
      </w:r>
    </w:p>
  </w:footnote>
  <w:footnote w:id="2">
    <w:p w14:paraId="0A2BCA66" w14:textId="77777777" w:rsidR="00EC524A" w:rsidRPr="00A732D3" w:rsidRDefault="00EC524A" w:rsidP="00EC524A">
      <w:pPr>
        <w:pStyle w:val="Default"/>
      </w:pPr>
      <w:r>
        <w:rPr>
          <w:rStyle w:val="FootnoteReference"/>
        </w:rPr>
        <w:footnoteRef/>
      </w:r>
      <w:r>
        <w:t xml:space="preserve"> </w:t>
      </w:r>
      <w:r>
        <w:rPr>
          <w:sz w:val="23"/>
          <w:szCs w:val="23"/>
        </w:rPr>
        <w:t>PE</w:t>
      </w:r>
      <w:r>
        <w:rPr>
          <w:rFonts w:ascii="Cambria Math" w:hAnsi="Cambria Math" w:cs="Cambria Math"/>
          <w:sz w:val="23"/>
          <w:szCs w:val="23"/>
        </w:rPr>
        <w:noBreakHyphen/>
        <w:t xml:space="preserve"> </w:t>
      </w:r>
      <w:r>
        <w:rPr>
          <w:sz w:val="23"/>
          <w:szCs w:val="23"/>
        </w:rPr>
        <w:t xml:space="preserve">CONS 75/20 </w:t>
      </w:r>
    </w:p>
    <w:p w14:paraId="4D005670" w14:textId="77777777" w:rsidR="00EC524A" w:rsidRDefault="00EC524A" w:rsidP="00EC524A">
      <w:pPr>
        <w:pStyle w:val="FootnoteText"/>
      </w:pPr>
    </w:p>
  </w:footnote>
  <w:footnote w:id="3">
    <w:p w14:paraId="445726D7" w14:textId="77777777" w:rsidR="00F3119D" w:rsidRPr="005C73F1" w:rsidRDefault="00F3119D" w:rsidP="00F3119D">
      <w:pPr>
        <w:pStyle w:val="FootnoteText"/>
      </w:pPr>
      <w:r w:rsidRPr="005C73F1">
        <w:rPr>
          <w:rStyle w:val="FootnoteReference"/>
        </w:rPr>
        <w:footnoteRef/>
      </w:r>
      <w:r w:rsidRPr="005C73F1">
        <w:t xml:space="preserve"> </w:t>
      </w:r>
      <w:r w:rsidRPr="005C73F1">
        <w:rPr>
          <w:color w:val="2A2A2A"/>
          <w:sz w:val="19"/>
          <w:szCs w:val="19"/>
          <w:shd w:val="clear" w:color="auto" w:fill="FFFFFF"/>
        </w:rPr>
        <w:t>Informatīvais ziņojums "Par Eiropas Savienības Atveseļošanas un noturības mehānisma plāna projektu"</w:t>
      </w:r>
      <w:r w:rsidRPr="005C73F1">
        <w:t xml:space="preserve"> </w:t>
      </w:r>
      <w:r w:rsidRPr="005C73F1">
        <w:rPr>
          <w:color w:val="2A2A2A"/>
          <w:sz w:val="19"/>
          <w:szCs w:val="19"/>
          <w:shd w:val="clear" w:color="auto" w:fill="FFFFFF"/>
        </w:rPr>
        <w:t>http://tap.mk.gov.lv/lv/mk/tap/?pid=40497704&amp;mode=mk&amp;date=2021-02-04</w:t>
      </w:r>
    </w:p>
  </w:footnote>
  <w:footnote w:id="4">
    <w:p w14:paraId="423607B1" w14:textId="77777777" w:rsidR="001D6AE5" w:rsidRDefault="001D6AE5" w:rsidP="001D6AE5">
      <w:pPr>
        <w:pStyle w:val="FootnoteText"/>
      </w:pPr>
      <w:r>
        <w:rPr>
          <w:rStyle w:val="FootnoteReference"/>
        </w:rPr>
        <w:footnoteRef/>
      </w:r>
      <w:r>
        <w:t xml:space="preserve"> </w:t>
      </w:r>
      <w:r>
        <w:t>P</w:t>
      </w:r>
      <w:r w:rsidRPr="00BD1932">
        <w:t xml:space="preserve">adomes </w:t>
      </w:r>
      <w:r>
        <w:t>Direktīva</w:t>
      </w:r>
      <w:r w:rsidRPr="00BD1932">
        <w:t xml:space="preserve"> (ES) 2016/881 (2016. gada 25. maijs),</w:t>
      </w:r>
      <w:r>
        <w:t xml:space="preserve"> </w:t>
      </w:r>
      <w:r w:rsidRPr="00BD1932">
        <w:t>ar ko Direktīvu 2011/16/ES groza attiecībā uz obligātu automātisku informācijas apmaiņu nodokļu</w:t>
      </w:r>
      <w:r>
        <w:t xml:space="preserve"> jomā.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B1E"/>
    <w:multiLevelType w:val="multilevel"/>
    <w:tmpl w:val="C4F0E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92903"/>
    <w:multiLevelType w:val="hybridMultilevel"/>
    <w:tmpl w:val="E4A2A838"/>
    <w:lvl w:ilvl="0" w:tplc="8B48B4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5D7C27"/>
    <w:multiLevelType w:val="hybridMultilevel"/>
    <w:tmpl w:val="43BAC146"/>
    <w:lvl w:ilvl="0" w:tplc="07C4557E">
      <w:start w:val="3"/>
      <w:numFmt w:val="decimal"/>
      <w:lvlText w:val="%1)"/>
      <w:lvlJc w:val="left"/>
      <w:pPr>
        <w:ind w:left="927" w:hanging="360"/>
      </w:pPr>
      <w:rPr>
        <w:rFonts w:ascii="TimesNewRomanPS-BoldMT" w:hAnsi="TimesNewRomanPS-BoldMT" w:cs="TimesNewRomanPS-BoldMT"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D9A671F"/>
    <w:multiLevelType w:val="hybridMultilevel"/>
    <w:tmpl w:val="CF9E6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BA609D"/>
    <w:multiLevelType w:val="hybridMultilevel"/>
    <w:tmpl w:val="F96C57AA"/>
    <w:lvl w:ilvl="0" w:tplc="ABD2081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CC621E"/>
    <w:multiLevelType w:val="singleLevel"/>
    <w:tmpl w:val="2CD8C9DC"/>
    <w:name w:val="Dash Equal 1"/>
    <w:lvl w:ilvl="0">
      <w:start w:val="1"/>
      <w:numFmt w:val="bullet"/>
      <w:pStyle w:val="DashEqual1"/>
      <w:lvlText w:val="="/>
      <w:lvlJc w:val="left"/>
      <w:pPr>
        <w:tabs>
          <w:tab w:val="num" w:pos="1134"/>
        </w:tabs>
        <w:ind w:left="1134" w:hanging="567"/>
      </w:pPr>
    </w:lvl>
  </w:abstractNum>
  <w:abstractNum w:abstractNumId="6" w15:restartNumberingAfterBreak="0">
    <w:nsid w:val="5C0B60F5"/>
    <w:multiLevelType w:val="multilevel"/>
    <w:tmpl w:val="D4FC4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D07FB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6"/>
  </w:num>
  <w:num w:numId="4">
    <w:abstractNumId w:val="0"/>
  </w:num>
  <w:num w:numId="5">
    <w:abstractNumId w:val="3"/>
  </w:num>
  <w:num w:numId="6">
    <w:abstractNumId w:val="4"/>
  </w:num>
  <w:num w:numId="7">
    <w:abstractNumId w:val="2"/>
  </w:num>
  <w:num w:numId="8">
    <w:abstractNumId w:val="5"/>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32"/>
    <w:rsid w:val="00000F5B"/>
    <w:rsid w:val="000172A1"/>
    <w:rsid w:val="0009181E"/>
    <w:rsid w:val="000D1E83"/>
    <w:rsid w:val="00101832"/>
    <w:rsid w:val="001040C2"/>
    <w:rsid w:val="00142E65"/>
    <w:rsid w:val="001A65C5"/>
    <w:rsid w:val="001D6AE5"/>
    <w:rsid w:val="001E2C82"/>
    <w:rsid w:val="00222F10"/>
    <w:rsid w:val="00230DA0"/>
    <w:rsid w:val="00294D99"/>
    <w:rsid w:val="002B1DAA"/>
    <w:rsid w:val="002C4B71"/>
    <w:rsid w:val="002E7A84"/>
    <w:rsid w:val="002F1800"/>
    <w:rsid w:val="003178E0"/>
    <w:rsid w:val="0032589A"/>
    <w:rsid w:val="0036618D"/>
    <w:rsid w:val="003B7439"/>
    <w:rsid w:val="003C5223"/>
    <w:rsid w:val="003E5BD1"/>
    <w:rsid w:val="004538A5"/>
    <w:rsid w:val="004B41A3"/>
    <w:rsid w:val="004D4DFF"/>
    <w:rsid w:val="00516C12"/>
    <w:rsid w:val="00551782"/>
    <w:rsid w:val="00563831"/>
    <w:rsid w:val="00596DB1"/>
    <w:rsid w:val="005A1C32"/>
    <w:rsid w:val="005B2798"/>
    <w:rsid w:val="005B3BE7"/>
    <w:rsid w:val="005B4A2A"/>
    <w:rsid w:val="005C73F1"/>
    <w:rsid w:val="005E761F"/>
    <w:rsid w:val="005F0927"/>
    <w:rsid w:val="00611341"/>
    <w:rsid w:val="00622C36"/>
    <w:rsid w:val="00642C6B"/>
    <w:rsid w:val="00683912"/>
    <w:rsid w:val="006849D6"/>
    <w:rsid w:val="0069505F"/>
    <w:rsid w:val="006D6F19"/>
    <w:rsid w:val="006E3B8B"/>
    <w:rsid w:val="00711BCB"/>
    <w:rsid w:val="00745629"/>
    <w:rsid w:val="0079639C"/>
    <w:rsid w:val="007971CF"/>
    <w:rsid w:val="007A79F6"/>
    <w:rsid w:val="007E35BC"/>
    <w:rsid w:val="0085356E"/>
    <w:rsid w:val="008C7D6F"/>
    <w:rsid w:val="008E5F39"/>
    <w:rsid w:val="009656E7"/>
    <w:rsid w:val="00977D5D"/>
    <w:rsid w:val="009C5154"/>
    <w:rsid w:val="009C533D"/>
    <w:rsid w:val="00A12581"/>
    <w:rsid w:val="00A34E92"/>
    <w:rsid w:val="00A40F77"/>
    <w:rsid w:val="00A4519C"/>
    <w:rsid w:val="00A7209F"/>
    <w:rsid w:val="00A802A8"/>
    <w:rsid w:val="00AA4E16"/>
    <w:rsid w:val="00AA611D"/>
    <w:rsid w:val="00B04607"/>
    <w:rsid w:val="00B16DAB"/>
    <w:rsid w:val="00B27B71"/>
    <w:rsid w:val="00B62ED5"/>
    <w:rsid w:val="00BA1C5D"/>
    <w:rsid w:val="00BB29ED"/>
    <w:rsid w:val="00BE1D02"/>
    <w:rsid w:val="00BE6994"/>
    <w:rsid w:val="00CA33C6"/>
    <w:rsid w:val="00CA6EC2"/>
    <w:rsid w:val="00CB0754"/>
    <w:rsid w:val="00CC45BF"/>
    <w:rsid w:val="00CE05F8"/>
    <w:rsid w:val="00CF32E2"/>
    <w:rsid w:val="00CF6A23"/>
    <w:rsid w:val="00D20FE2"/>
    <w:rsid w:val="00D23AF8"/>
    <w:rsid w:val="00D30DD1"/>
    <w:rsid w:val="00D322F8"/>
    <w:rsid w:val="00DC03BF"/>
    <w:rsid w:val="00DC1CFA"/>
    <w:rsid w:val="00DD00DF"/>
    <w:rsid w:val="00DD21CA"/>
    <w:rsid w:val="00DE43F1"/>
    <w:rsid w:val="00DF05BB"/>
    <w:rsid w:val="00DF540A"/>
    <w:rsid w:val="00E40256"/>
    <w:rsid w:val="00E43080"/>
    <w:rsid w:val="00E52032"/>
    <w:rsid w:val="00E85BAF"/>
    <w:rsid w:val="00EA7656"/>
    <w:rsid w:val="00EC524A"/>
    <w:rsid w:val="00ED736B"/>
    <w:rsid w:val="00EE48C2"/>
    <w:rsid w:val="00EE48CC"/>
    <w:rsid w:val="00F10622"/>
    <w:rsid w:val="00F3119D"/>
    <w:rsid w:val="00F50D05"/>
    <w:rsid w:val="00F87A0D"/>
    <w:rsid w:val="00FC0890"/>
  </w:rsids>
  <m:mathPr>
    <m:mathFont m:val="Cambria Math"/>
    <m:brkBin m:val="before"/>
    <m:brkBinSub m:val="--"/>
    <m:smallFrac m:val="0"/>
    <m:dispDef/>
    <m:lMargin m:val="0"/>
    <m:rMargin m:val="0"/>
    <m:defJc m:val="centerGroup"/>
    <m:wrapIndent m:val="1440"/>
    <m:intLim m:val="subSup"/>
    <m:naryLim m:val="undOvr"/>
  </m:mathPr>
  <w:themeFontLang w:val="lv-LV"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3F1"/>
    <w:pPr>
      <w:keepNext/>
      <w:keepLines/>
      <w:spacing w:before="240" w:after="0"/>
      <w:outlineLvl w:val="0"/>
    </w:pPr>
    <w:rPr>
      <w:rFonts w:asciiTheme="majorHAnsi" w:eastAsiaTheme="majorEastAsia" w:hAnsiTheme="majorHAnsi" w:cstheme="majorBidi"/>
      <w:color w:val="2F5496" w:themeColor="accent1" w:themeShade="BF"/>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qual1">
    <w:name w:val="Dash Equal 1"/>
    <w:basedOn w:val="Normal"/>
    <w:rsid w:val="00E52032"/>
    <w:pPr>
      <w:numPr>
        <w:numId w:val="1"/>
      </w:numPr>
      <w:spacing w:after="120" w:line="240" w:lineRule="auto"/>
      <w:jc w:val="both"/>
    </w:pPr>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E52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32"/>
    <w:rPr>
      <w:rFonts w:ascii="Segoe UI" w:hAnsi="Segoe UI" w:cs="Segoe UI"/>
      <w:sz w:val="18"/>
      <w:szCs w:val="18"/>
    </w:rPr>
  </w:style>
  <w:style w:type="character" w:customStyle="1" w:styleId="normaltextrun">
    <w:name w:val="normaltextrun"/>
    <w:basedOn w:val="DefaultParagraphFont"/>
    <w:rsid w:val="00E52032"/>
  </w:style>
  <w:style w:type="character" w:customStyle="1" w:styleId="eop">
    <w:name w:val="eop"/>
    <w:basedOn w:val="DefaultParagraphFont"/>
    <w:rsid w:val="00E52032"/>
  </w:style>
  <w:style w:type="paragraph" w:customStyle="1" w:styleId="paragraph">
    <w:name w:val="paragraph"/>
    <w:basedOn w:val="Normal"/>
    <w:rsid w:val="00E520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EA7656"/>
    <w:pPr>
      <w:ind w:left="720"/>
      <w:contextualSpacing/>
    </w:p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BA1C5D"/>
  </w:style>
  <w:style w:type="character" w:customStyle="1" w:styleId="Heading1Char">
    <w:name w:val="Heading 1 Char"/>
    <w:basedOn w:val="DefaultParagraphFont"/>
    <w:link w:val="Heading1"/>
    <w:uiPriority w:val="9"/>
    <w:rsid w:val="005C73F1"/>
    <w:rPr>
      <w:rFonts w:asciiTheme="majorHAnsi" w:eastAsiaTheme="majorEastAsia" w:hAnsiTheme="majorHAnsi" w:cstheme="majorBidi"/>
      <w:color w:val="2F5496" w:themeColor="accent1" w:themeShade="BF"/>
      <w:sz w:val="32"/>
      <w:szCs w:val="32"/>
      <w:lang w:eastAsia="lv-LV"/>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Char"/>
    <w:basedOn w:val="Normal"/>
    <w:link w:val="FootnoteTextChar"/>
    <w:uiPriority w:val="99"/>
    <w:unhideWhenUsed/>
    <w:qFormat/>
    <w:rsid w:val="005C73F1"/>
    <w:pPr>
      <w:spacing w:after="0" w:line="240" w:lineRule="auto"/>
    </w:pPr>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5C73F1"/>
    <w:rPr>
      <w:sz w:val="20"/>
      <w:szCs w:val="20"/>
    </w:rPr>
  </w:style>
  <w:style w:type="character" w:styleId="FootnoteReference">
    <w:name w:val="footnote reference"/>
    <w:aliases w:val="Footnote Reference Number,Footnote symbol,Footnote Reference Superscript,note TESI,Ref,de nota al pie,fr,SUPERS,Footnote number,o,Source Reference,number,Footnote reference number,-E Fußnotenzeichen,Times 10 Point,Exposant 3 Point,No"/>
    <w:basedOn w:val="DefaultParagraphFont"/>
    <w:link w:val="16Point"/>
    <w:uiPriority w:val="99"/>
    <w:unhideWhenUsed/>
    <w:qFormat/>
    <w:rsid w:val="005C73F1"/>
    <w:rPr>
      <w:vertAlign w:val="superscript"/>
    </w:rPr>
  </w:style>
  <w:style w:type="paragraph" w:styleId="Header">
    <w:name w:val="header"/>
    <w:basedOn w:val="Normal"/>
    <w:link w:val="HeaderChar"/>
    <w:uiPriority w:val="99"/>
    <w:unhideWhenUsed/>
    <w:rsid w:val="005C73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73F1"/>
  </w:style>
  <w:style w:type="paragraph" w:styleId="Footer">
    <w:name w:val="footer"/>
    <w:basedOn w:val="Normal"/>
    <w:link w:val="FooterChar"/>
    <w:uiPriority w:val="99"/>
    <w:unhideWhenUsed/>
    <w:rsid w:val="005C73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73F1"/>
  </w:style>
  <w:style w:type="paragraph" w:customStyle="1" w:styleId="mt-translation">
    <w:name w:val="mt-translation"/>
    <w:basedOn w:val="Normal"/>
    <w:rsid w:val="000172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0172A1"/>
  </w:style>
  <w:style w:type="character" w:customStyle="1" w:styleId="word">
    <w:name w:val="word"/>
    <w:basedOn w:val="DefaultParagraphFont"/>
    <w:rsid w:val="000172A1"/>
  </w:style>
  <w:style w:type="paragraph" w:customStyle="1" w:styleId="16Point">
    <w:name w:val="16 Point"/>
    <w:aliases w:val="Superscript 6 Point,Odwołanie przypisu,footnote ref,2001+ Fußnotenzeichen"/>
    <w:basedOn w:val="Normal"/>
    <w:link w:val="FootnoteReference"/>
    <w:uiPriority w:val="99"/>
    <w:rsid w:val="001D6AE5"/>
    <w:pPr>
      <w:spacing w:line="240" w:lineRule="exact"/>
      <w:ind w:firstLine="567"/>
      <w:jc w:val="both"/>
    </w:pPr>
    <w:rPr>
      <w:vertAlign w:val="superscript"/>
    </w:rPr>
  </w:style>
  <w:style w:type="character" w:styleId="CommentReference">
    <w:name w:val="annotation reference"/>
    <w:basedOn w:val="DefaultParagraphFont"/>
    <w:uiPriority w:val="99"/>
    <w:semiHidden/>
    <w:unhideWhenUsed/>
    <w:rsid w:val="00642C6B"/>
    <w:rPr>
      <w:sz w:val="16"/>
      <w:szCs w:val="16"/>
    </w:rPr>
  </w:style>
  <w:style w:type="paragraph" w:styleId="CommentText">
    <w:name w:val="annotation text"/>
    <w:basedOn w:val="Normal"/>
    <w:link w:val="CommentTextChar"/>
    <w:uiPriority w:val="99"/>
    <w:semiHidden/>
    <w:unhideWhenUsed/>
    <w:rsid w:val="00642C6B"/>
    <w:pPr>
      <w:spacing w:line="240" w:lineRule="auto"/>
    </w:pPr>
    <w:rPr>
      <w:sz w:val="20"/>
      <w:szCs w:val="20"/>
    </w:rPr>
  </w:style>
  <w:style w:type="character" w:customStyle="1" w:styleId="CommentTextChar">
    <w:name w:val="Comment Text Char"/>
    <w:basedOn w:val="DefaultParagraphFont"/>
    <w:link w:val="CommentText"/>
    <w:uiPriority w:val="99"/>
    <w:semiHidden/>
    <w:rsid w:val="00642C6B"/>
    <w:rPr>
      <w:sz w:val="20"/>
      <w:szCs w:val="20"/>
    </w:rPr>
  </w:style>
  <w:style w:type="paragraph" w:styleId="CommentSubject">
    <w:name w:val="annotation subject"/>
    <w:basedOn w:val="CommentText"/>
    <w:next w:val="CommentText"/>
    <w:link w:val="CommentSubjectChar"/>
    <w:uiPriority w:val="99"/>
    <w:semiHidden/>
    <w:unhideWhenUsed/>
    <w:rsid w:val="00642C6B"/>
    <w:rPr>
      <w:b/>
      <w:bCs/>
    </w:rPr>
  </w:style>
  <w:style w:type="character" w:customStyle="1" w:styleId="CommentSubjectChar">
    <w:name w:val="Comment Subject Char"/>
    <w:basedOn w:val="CommentTextChar"/>
    <w:link w:val="CommentSubject"/>
    <w:uiPriority w:val="99"/>
    <w:semiHidden/>
    <w:rsid w:val="00642C6B"/>
    <w:rPr>
      <w:b/>
      <w:bCs/>
      <w:sz w:val="20"/>
      <w:szCs w:val="20"/>
    </w:rPr>
  </w:style>
  <w:style w:type="paragraph" w:customStyle="1" w:styleId="Default">
    <w:name w:val="Default"/>
    <w:rsid w:val="00EC52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97135">
      <w:bodyDiv w:val="1"/>
      <w:marLeft w:val="0"/>
      <w:marRight w:val="0"/>
      <w:marTop w:val="0"/>
      <w:marBottom w:val="0"/>
      <w:divBdr>
        <w:top w:val="none" w:sz="0" w:space="0" w:color="auto"/>
        <w:left w:val="none" w:sz="0" w:space="0" w:color="auto"/>
        <w:bottom w:val="none" w:sz="0" w:space="0" w:color="auto"/>
        <w:right w:val="none" w:sz="0" w:space="0" w:color="auto"/>
      </w:divBdr>
      <w:divsChild>
        <w:div w:id="1643732135">
          <w:marLeft w:val="0"/>
          <w:marRight w:val="0"/>
          <w:marTop w:val="0"/>
          <w:marBottom w:val="0"/>
          <w:divBdr>
            <w:top w:val="none" w:sz="0" w:space="0" w:color="auto"/>
            <w:left w:val="none" w:sz="0" w:space="0" w:color="auto"/>
            <w:bottom w:val="none" w:sz="0" w:space="0" w:color="auto"/>
            <w:right w:val="none" w:sz="0" w:space="0" w:color="auto"/>
          </w:divBdr>
        </w:div>
        <w:div w:id="315032516">
          <w:marLeft w:val="0"/>
          <w:marRight w:val="0"/>
          <w:marTop w:val="0"/>
          <w:marBottom w:val="0"/>
          <w:divBdr>
            <w:top w:val="none" w:sz="0" w:space="0" w:color="auto"/>
            <w:left w:val="none" w:sz="0" w:space="0" w:color="auto"/>
            <w:bottom w:val="none" w:sz="0" w:space="0" w:color="auto"/>
            <w:right w:val="none" w:sz="0" w:space="0" w:color="auto"/>
          </w:divBdr>
        </w:div>
        <w:div w:id="1327171848">
          <w:marLeft w:val="0"/>
          <w:marRight w:val="0"/>
          <w:marTop w:val="0"/>
          <w:marBottom w:val="0"/>
          <w:divBdr>
            <w:top w:val="none" w:sz="0" w:space="0" w:color="auto"/>
            <w:left w:val="none" w:sz="0" w:space="0" w:color="auto"/>
            <w:bottom w:val="none" w:sz="0" w:space="0" w:color="auto"/>
            <w:right w:val="none" w:sz="0" w:space="0" w:color="auto"/>
          </w:divBdr>
        </w:div>
      </w:divsChild>
    </w:div>
    <w:div w:id="1364596161">
      <w:bodyDiv w:val="1"/>
      <w:marLeft w:val="0"/>
      <w:marRight w:val="0"/>
      <w:marTop w:val="0"/>
      <w:marBottom w:val="0"/>
      <w:divBdr>
        <w:top w:val="none" w:sz="0" w:space="0" w:color="auto"/>
        <w:left w:val="none" w:sz="0" w:space="0" w:color="auto"/>
        <w:bottom w:val="none" w:sz="0" w:space="0" w:color="auto"/>
        <w:right w:val="none" w:sz="0" w:space="0" w:color="auto"/>
      </w:divBdr>
    </w:div>
    <w:div w:id="143852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theme/theme1.xml" Type="http://schemas.openxmlformats.org/officeDocument/2006/relationships/theme" Id="rId13"/>
    <Relationship Target="../customXml/item3.xml" Type="http://schemas.openxmlformats.org/officeDocument/2006/relationships/customXml" Id="rId3"/>
    <Relationship Target="settings.xml" Type="http://schemas.openxmlformats.org/officeDocument/2006/relationships/setting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footer1.xml" Type="http://schemas.openxmlformats.org/officeDocument/2006/relationships/footer"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Izveidot jaunu dokumentu." ma:contentTypeID="0x0101001F059607F664B944A5A32F64A128EBB6" ma:contentTypeName="Dokuments" ma:contentTypeScope="" ma:contentTypeVersion="12" ma:versionID="707747afe441903242a7ccab8acd8da6">
  <xsd:schema xmlns:xsd="http://www.w3.org/2001/XMLSchema" xmlns:ns2="55cd6cbe-5b7e-4aba-883d-0304cc960a68" xmlns:ns3="f5fafdac-e366-4ae3-a0be-341ecdadff34" xmlns:p="http://schemas.microsoft.com/office/2006/metadata/properties" xmlns:xs="http://www.w3.org/2001/XMLSchema" ma:fieldsID="00a6da62f902a38d5fd470b6032ec34e" ma:root="true" ns2:_="" ns3:_="" targetNamespace="http://schemas.microsoft.com/office/2006/metadata/properties">
    <xsd:import namespace="55cd6cbe-5b7e-4aba-883d-0304cc960a68"/>
    <xsd:import namespace="f5fafdac-e366-4ae3-a0be-341ecdadff34"/>
    <xsd:element name="properties">
      <xsd:complexType>
        <xsd:sequence>
          <xsd:element name="documentManagement">
            <xsd:complexType>
              <xsd:all>
                <xsd:element minOccurs="0" ref="ns2:MediaServiceMetadata"/>
                <xsd:element minOccurs="0" ref="ns2:MediaServiceFastMetadata"/>
                <xsd:element minOccurs="0" ref="ns2:MediaServiceAutoTags"/>
                <xsd:element minOccurs="0" ref="ns2:MediaServiceOCR"/>
                <xsd:element minOccurs="0" ref="ns2:MediaServiceGenerationTime"/>
                <xsd:element minOccurs="0" ref="ns2:MediaServiceEventHashCode"/>
                <xsd:element minOccurs="0" ref="ns2:MediaServiceDateTaken"/>
                <xsd:element minOccurs="0" ref="ns3:SharedWithUsers"/>
                <xsd:element minOccurs="0" ref="ns3:SharedWithDetails"/>
                <xsd:element minOccurs="0" ref="ns2:MediaServiceAutoKeyPoints"/>
                <xsd:element minOccurs="0" ref="ns2:MediaServiceKeyPoints"/>
                <xsd:element minOccurs="0" ref="ns2:MediaServiceLocation"/>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55cd6cbe-5b7e-4aba-883d-0304cc960a68">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0" ma:internalName="MediaServiceAutoTags" ma:readOnly="true" name="MediaServiceAutoTags" nillable="true">
      <xsd:simpleType>
        <xsd:restriction base="dms:Text"/>
      </xsd:simpleType>
    </xsd:element>
    <xsd:element ma:displayName="Extracted Text" ma:index="11" ma:internalName="MediaServiceOCR" ma:readOnly="true" name="MediaServiceOCR" nillable="true">
      <xsd:simpleType>
        <xsd:restriction base="dms:Note">
          <xsd:maxLength value="255"/>
        </xsd:restriction>
      </xsd:simpleType>
    </xsd:element>
    <xsd:element ma:displayName="MediaServiceGenerationTime" ma:hidden="true" ma:index="12" ma:internalName="MediaServiceGenerationTime" ma:readOnly="true" name="MediaServiceGenerationTime" nillable="true">
      <xsd:simpleType>
        <xsd:restriction base="dms:Text"/>
      </xsd:simpleType>
    </xsd:element>
    <xsd:element ma:displayName="MediaServiceEventHashCode" ma:hidden="true" ma:index="13" ma:internalName="MediaServiceEventHashCode" ma:readOnly="true" name="MediaServiceEventHashCode" nillable="true">
      <xsd:simpleType>
        <xsd:restriction base="dms:Text"/>
      </xsd:simpleType>
    </xsd:element>
    <xsd:element ma:displayName="MediaServiceDateTaken" ma:hidden="true" ma:index="14" ma:internalName="MediaServiceDateTaken" ma:readOnly="true" name="MediaServiceDateTaken" nillable="true">
      <xsd:simpleType>
        <xsd:restriction base="dms:Text"/>
      </xsd:simpleType>
    </xsd:element>
    <xsd:element ma:displayName="MediaServiceAutoKeyPoints" ma:hidden="true" ma:index="17" ma:internalName="MediaServiceAutoKeyPoints" ma:readOnly="true" name="MediaServiceAutoKeyPoints" nillable="true">
      <xsd:simpleType>
        <xsd:restriction base="dms:Note"/>
      </xsd:simpleType>
    </xsd:element>
    <xsd:element ma:displayName="KeyPoints" ma:index="18" ma:internalName="MediaServiceKeyPoints" ma:readOnly="true" name="MediaServiceKeyPoints" nillable="true">
      <xsd:simpleType>
        <xsd:restriction base="dms:Note">
          <xsd:maxLength value="255"/>
        </xsd:restriction>
      </xsd:simpleType>
    </xsd:element>
    <xsd:element ma:displayName="Location" ma:index="19" ma:internalName="MediaServiceLocation" ma:readOnly="true" name="MediaServiceLocation"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f5fafdac-e366-4ae3-a0be-341ecdadff34">
    <xsd:import namespace="http://schemas.microsoft.com/office/2006/documentManagement/types"/>
    <xsd:import namespace="http://schemas.microsoft.com/office/infopath/2007/PartnerControls"/>
    <xsd:element ma:displayName="Koplietots ar"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Koplietots ar: detalizēti" ma:index="16"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Satura tips" ma:index="0" maxOccurs="1" minOccurs="0" name="contentType" type="xsd:string"/>
        <xsd:element ma:displayName="Virsrakst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29DF2315-C181-4929-9560-FFFB4DE02D05}"/>
</file>

<file path=customXml/itemProps2.xml><?xml version="1.0" encoding="utf-8"?>
<ds:datastoreItem xmlns:ds="http://schemas.openxmlformats.org/officeDocument/2006/customXml" ds:itemID="{CC8E3C60-12F8-472F-9653-03A1C7D20CA0}">
  <ds:schemaRefs>
    <ds:schemaRef ds:uri="http://schemas.microsoft.com/sharepoint/v3/contenttype/forms"/>
  </ds:schemaRefs>
</ds:datastoreItem>
</file>

<file path=customXml/itemProps3.xml><?xml version="1.0" encoding="utf-8"?>
<ds:datastoreItem xmlns:ds="http://schemas.openxmlformats.org/officeDocument/2006/customXml" ds:itemID="{F7B3A7A5-BB37-41F0-BE8C-FAB497263086}">
  <ds:schemaRefs>
    <ds:schemaRef ds:uri="f5fafdac-e366-4ae3-a0be-341ecdadff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5cd6cbe-5b7e-4aba-883d-0304cc960a68"/>
    <ds:schemaRef ds:uri="http://www.w3.org/XML/1998/namespace"/>
    <ds:schemaRef ds:uri="http://purl.org/dc/dcmitype/"/>
  </ds:schemaRefs>
</ds:datastoreItem>
</file>

<file path=customXml/itemProps4.xml><?xml version="1.0" encoding="utf-8"?>
<ds:datastoreItem xmlns:ds="http://schemas.openxmlformats.org/officeDocument/2006/customXml" ds:itemID="{E880E547-8D28-4AD4-B3A0-34D96721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12125</Words>
  <Characters>6912</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Strautmane</dc:creator>
  <cp:keywords/>
  <dc:description/>
  <cp:lastModifiedBy>Māra Rone</cp:lastModifiedBy>
  <cp:revision>32</cp:revision>
  <dcterms:created xsi:type="dcterms:W3CDTF">2021-02-16T14:33:00Z</dcterms:created>
  <dcterms:modified xsi:type="dcterms:W3CDTF">2021-02-17T14:41:00Z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y fmtid="{D5CDD505-2E9C-101B-9397-08002B2CF9AE}" pid="3" name="DISCesvisMeetingDate">
    <vt:lpwstr>2021-02-25</vt:lpwstr>
  </property>
  <property fmtid="{D5CDD505-2E9C-101B-9397-08002B2CF9AE}" pid="4" name="DIScgiUrl">
    <vt:lpwstr>https://lim.esvis.gov.lv/cs/idcplg</vt:lpwstr>
  </property>
  <property fmtid="{D5CDD505-2E9C-101B-9397-08002B2CF9AE}" pid="5" name="DISdDocName">
    <vt:lpwstr>L263852</vt:lpwstr>
  </property>
  <property fmtid="{D5CDD505-2E9C-101B-9397-08002B2CF9AE}" pid="6" name="DISCesvisSigner">
    <vt:lpwstr> Jānis Vitenbergs</vt:lpwstr>
  </property>
  <property fmtid="{D5CDD505-2E9C-101B-9397-08002B2CF9AE}" pid="7" name="DISTaskPaneUrl">
    <vt:lpwstr>https://lim.esvis.gov.lv/cs/idcplg?ClientControlled=DocMan&amp;coreContentOnly=1&amp;WebdavRequest=1&amp;IdcService=DOC_INFO&amp;dID=339797</vt:lpwstr>
  </property>
  <property fmtid="{D5CDD505-2E9C-101B-9397-08002B2CF9AE}" pid="8" name="DISCesvisSafetyLevel">
    <vt:lpwstr>Vispārpieejams</vt:lpwstr>
  </property>
  <property fmtid="{D5CDD505-2E9C-101B-9397-08002B2CF9AE}" pid="9" name="DISCesvisTitle">
    <vt:lpwstr>Informatīvais ziņojums par Eiropas Savienības Konkurētspējas ministru padomes 2021. gada 25.februāra sanāksmē izskatāmajiem jautājumiem
</vt:lpwstr>
  </property>
  <property fmtid="{D5CDD505-2E9C-101B-9397-08002B2CF9AE}" pid="10" name="DISCesvisMinistryOfMinister">
    <vt:lpwstr>Ekonomikas ministra pienākumu izpildītājs - </vt:lpwstr>
  </property>
  <property fmtid="{D5CDD505-2E9C-101B-9397-08002B2CF9AE}" pid="11" name="DISCesvisAuthor">
    <vt:lpwstr>Ekonomikas ministrija</vt:lpwstr>
  </property>
  <property fmtid="{D5CDD505-2E9C-101B-9397-08002B2CF9AE}" pid="12" name="DISidcName">
    <vt:lpwstr>1020404016200</vt:lpwstr>
  </property>
  <property fmtid="{D5CDD505-2E9C-101B-9397-08002B2CF9AE}" pid="13"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idcName,DISCesvisDescription,DISCesvisAdditionalMakersMail,DISdUser,DISCesvisRegDate,DISCesvisDocRegNr,DISdID,DISCesvisForInforming,DISCesvisMainMakerOrgUnitTitle</vt:lpwstr>
  </property>
  <property fmtid="{D5CDD505-2E9C-101B-9397-08002B2CF9AE}" pid="14" name="DISCesvisDescription">
    <vt:lpwstr>
</vt:lpwstr>
  </property>
  <property fmtid="{D5CDD505-2E9C-101B-9397-08002B2CF9AE}" pid="15" name="DISdUser">
    <vt:lpwstr>vk_ladlere</vt:lpwstr>
  </property>
  <property fmtid="{D5CDD505-2E9C-101B-9397-08002B2CF9AE}" pid="16" name="DISdID">
    <vt:lpwstr>339797</vt:lpwstr>
  </property>
  <property fmtid="{D5CDD505-2E9C-101B-9397-08002B2CF9AE}" pid="17" name="DISCesvisAdditionalMakers">
    <vt:lpwstr>Nodaļas vadītājs Māra Rone</vt:lpwstr>
  </property>
  <property fmtid="{D5CDD505-2E9C-101B-9397-08002B2CF9AE}" pid="18" name="DISCesvisAdditionalTutors">
    <vt:lpwstr>Vecākā referente Elīna Raģe</vt:lpwstr>
  </property>
  <property fmtid="{D5CDD505-2E9C-101B-9397-08002B2CF9AE}" pid="19" name="DISCesvisAdditionalMakersPhone">
    <vt:lpwstr>67013265</vt:lpwstr>
  </property>
  <property fmtid="{D5CDD505-2E9C-101B-9397-08002B2CF9AE}" pid="20" name="DISCesvisMainMaker">
    <vt:lpwstr>Nodaļas vadītājs Māra Rone</vt:lpwstr>
  </property>
  <property fmtid="{D5CDD505-2E9C-101B-9397-08002B2CF9AE}" pid="21" name="DISCesvisAdditionalTutorsMail">
    <vt:lpwstr>elina.rage@em.gov.lv</vt:lpwstr>
  </property>
  <property fmtid="{D5CDD505-2E9C-101B-9397-08002B2CF9AE}" pid="22" name="DISCesvisAdditionalTutorsPhone">
    <vt:lpwstr>67013265</vt:lpwstr>
  </property>
  <property fmtid="{D5CDD505-2E9C-101B-9397-08002B2CF9AE}" pid="23" name="DISCesvisAdditionalMakersMail">
    <vt:lpwstr>Mara.Rone@em.gov.lv</vt:lpwstr>
  </property>
  <property fmtid="{D5CDD505-2E9C-101B-9397-08002B2CF9AE}" pid="24" name="DISCesvisMainMakerOrgUnitTitle">
    <vt:lpwstr>ES un ārējo ekonomisko attiecību departamenta ES lietu nodaļa</vt:lpwstr>
  </property>
  <property fmtid="{D5CDD505-2E9C-101B-9397-08002B2CF9AE}" pid="25" name="DISCesvisForInforming">
    <vt:lpwstr>Specializētais atašejs - nozares padomnieks Rinalds Celmiņš, Specializētais atašejs-nozares padomniece Linda Duntava</vt:lpwstr>
  </property>
  <property fmtid="{D5CDD505-2E9C-101B-9397-08002B2CF9AE}" pid="26" name="DISCesvisDocRegDate">
    <vt:lpwstr>2021-02-18</vt:lpwstr>
  </property>
  <property fmtid="{D5CDD505-2E9C-101B-9397-08002B2CF9AE}" pid="27" name="DISCesvisRegDate">
    <vt:lpwstr>2021-02-18</vt:lpwstr>
  </property>
  <property fmtid="{D5CDD505-2E9C-101B-9397-08002B2CF9AE}" pid="28" name="DISCesvisDocRegNr">
    <vt:lpwstr>3.3-27.1/2021/IZ-1</vt:lpwstr>
  </property>
</Properties>
</file>