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F098" w14:textId="0102EF39" w:rsidR="00C97FBD" w:rsidRPr="00D21106" w:rsidRDefault="00C97FBD" w:rsidP="002A4AF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21106">
        <w:rPr>
          <w:rFonts w:ascii="Times New Roman" w:hAnsi="Times New Roman"/>
          <w:b/>
          <w:bCs/>
          <w:sz w:val="28"/>
          <w:szCs w:val="28"/>
        </w:rPr>
        <w:t>Minist</w:t>
      </w:r>
      <w:r w:rsidR="001C13B5" w:rsidRPr="00D21106">
        <w:rPr>
          <w:rFonts w:ascii="Times New Roman" w:hAnsi="Times New Roman"/>
          <w:b/>
          <w:bCs/>
          <w:sz w:val="28"/>
          <w:szCs w:val="28"/>
        </w:rPr>
        <w:t>ru kabineta noteikumu projekta</w:t>
      </w:r>
      <w:r w:rsidRPr="00D21106">
        <w:rPr>
          <w:rFonts w:ascii="Times New Roman" w:hAnsi="Times New Roman"/>
          <w:b/>
          <w:sz w:val="28"/>
          <w:szCs w:val="28"/>
        </w:rPr>
        <w:t xml:space="preserve"> </w:t>
      </w:r>
      <w:r w:rsidR="00A829CF" w:rsidRPr="00D21106">
        <w:rPr>
          <w:rFonts w:ascii="Times New Roman" w:hAnsi="Times New Roman"/>
          <w:b/>
          <w:sz w:val="28"/>
          <w:szCs w:val="28"/>
        </w:rPr>
        <w:t>“</w:t>
      </w:r>
      <w:r w:rsidR="002A4AFA" w:rsidRPr="00D211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nodrošina informācijas </w:t>
      </w:r>
      <w:r w:rsidR="005C50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apriti, izmantojot Valsts kases</w:t>
      </w:r>
      <w:r w:rsidR="002A4AFA" w:rsidRPr="00D211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e-pakalpojumus</w:t>
      </w:r>
      <w:r w:rsidRPr="00D21106">
        <w:rPr>
          <w:rFonts w:ascii="Times New Roman" w:hAnsi="Times New Roman"/>
          <w:b/>
          <w:sz w:val="28"/>
          <w:szCs w:val="28"/>
        </w:rPr>
        <w:t>”</w:t>
      </w:r>
      <w:r w:rsidRPr="00D21106">
        <w:rPr>
          <w:rFonts w:ascii="Times New Roman" w:hAnsi="Times New Roman"/>
          <w:b/>
          <w:bCs/>
          <w:sz w:val="28"/>
          <w:szCs w:val="28"/>
        </w:rPr>
        <w:t xml:space="preserve"> sākotnējās ietekmes novērtējuma ziņojums (anotācija)</w:t>
      </w:r>
    </w:p>
    <w:p w14:paraId="443511EA" w14:textId="5647671D" w:rsidR="005769D4" w:rsidRDefault="005769D4" w:rsidP="00D7612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95707AD" w14:textId="77777777" w:rsidR="005769D4" w:rsidRPr="005B1D34" w:rsidRDefault="005769D4" w:rsidP="005769D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72"/>
      </w:tblGrid>
      <w:tr w:rsidR="005769D4" w:rsidRPr="005B1D34" w14:paraId="2626B55F" w14:textId="77777777" w:rsidTr="00F211B3">
        <w:tc>
          <w:tcPr>
            <w:tcW w:w="5000" w:type="pct"/>
            <w:gridSpan w:val="2"/>
            <w:hideMark/>
          </w:tcPr>
          <w:p w14:paraId="0ACE4481" w14:textId="77777777" w:rsidR="005769D4" w:rsidRPr="005B1D34" w:rsidRDefault="005769D4" w:rsidP="00F211B3">
            <w:pPr>
              <w:spacing w:after="12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769D4" w:rsidRPr="005B1D34" w14:paraId="750EBE70" w14:textId="77777777" w:rsidTr="003D4919">
        <w:trPr>
          <w:trHeight w:val="2255"/>
        </w:trPr>
        <w:tc>
          <w:tcPr>
            <w:tcW w:w="1484" w:type="pct"/>
            <w:hideMark/>
          </w:tcPr>
          <w:p w14:paraId="3608D34E" w14:textId="447B94A6" w:rsidR="005769D4" w:rsidRPr="005B1D34" w:rsidRDefault="000F41AE" w:rsidP="00F211B3"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F41AE">
              <w:rPr>
                <w:rFonts w:cs="Times New Roman"/>
                <w:color w:val="000000" w:themeColor="text1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516" w:type="pct"/>
            <w:shd w:val="clear" w:color="auto" w:fill="auto"/>
            <w:hideMark/>
          </w:tcPr>
          <w:p w14:paraId="0B9F305B" w14:textId="06C88A9E" w:rsidR="005769D4" w:rsidRPr="005B1D34" w:rsidRDefault="009A55F1" w:rsidP="00042E8A">
            <w:pPr>
              <w:spacing w:after="12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Ministru kabineta noteikumu projekta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A55F1">
              <w:rPr>
                <w:rFonts w:eastAsia="Times New Roman" w:cs="Times New Roman"/>
                <w:sz w:val="24"/>
                <w:szCs w:val="24"/>
                <w:lang w:eastAsia="lv-LV"/>
              </w:rPr>
              <w:t>“Kārtība, kādā nodrošina informācijas apriti, izmantojot Valsts kases e-pakalpojumus”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(turpmāk</w:t>
            </w:r>
            <w:r w:rsidR="00E122C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– noteikumu projekts)</w:t>
            </w:r>
            <w:r w:rsidRPr="001B7D7B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mērķis ir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normatīvisma mazināšana, paredzot, ka normatīvajā aktā ir aprakstītas e-pakalpojumu pārvaldībai nepieciešamās 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>veidlap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>as un tajās ietvertā informācija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savukārt 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veidlapu 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>dizain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form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>ir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Valsts kases </w:t>
            </w:r>
            <w:r w:rsidR="00042E8A">
              <w:rPr>
                <w:rFonts w:eastAsia="Times New Roman" w:cs="Times New Roman"/>
                <w:sz w:val="24"/>
                <w:szCs w:val="24"/>
                <w:lang w:eastAsia="lv-LV"/>
              </w:rPr>
              <w:t>tīmekļvietnē</w:t>
            </w:r>
            <w:r w:rsidR="00042E8A" w:rsidRPr="00042E8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293E" w:rsidRPr="001B293E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="001B29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stāsies spēkā vispārējā kārtībā</w:t>
            </w:r>
            <w:r w:rsidR="003E7927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1ACD568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267"/>
        <w:gridCol w:w="6228"/>
      </w:tblGrid>
      <w:tr w:rsidR="005769D4" w:rsidRPr="005B1D34" w14:paraId="55510E1E" w14:textId="77777777" w:rsidTr="00F211B3">
        <w:trPr>
          <w:trHeight w:val="2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3E765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0F1969" w:rsidRPr="005B1D34" w14:paraId="25B2F02B" w14:textId="77777777" w:rsidTr="0061089A">
        <w:trPr>
          <w:trHeight w:val="1772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77BA1" w14:textId="77777777" w:rsidR="000F1969" w:rsidRPr="005B1D34" w:rsidRDefault="000F1969" w:rsidP="000F19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E8416" w14:textId="77777777" w:rsidR="000F1969" w:rsidRPr="002E3365" w:rsidRDefault="000F1969" w:rsidP="000F196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3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E2D76" w14:textId="48F02CB5" w:rsidR="009A55F1" w:rsidRPr="00EA199E" w:rsidRDefault="004D17E3" w:rsidP="006108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A26E7" w:rsidRPr="00EA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oteikumu projekts</w:t>
            </w:r>
            <w:r w:rsidR="00EA199E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5F1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izstrādāts </w:t>
            </w:r>
            <w:r w:rsidR="00D23F3A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pēc </w:t>
            </w:r>
            <w:r w:rsidR="00D87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Finanšu ministrijas (</w:t>
            </w:r>
            <w:r w:rsidR="00D23F3A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kases</w:t>
            </w:r>
            <w:r w:rsidR="00D87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23F3A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iniciatīvas.</w:t>
            </w:r>
            <w:r w:rsidR="002E3365" w:rsidRPr="0079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Šobrīd spēkā esošajos noteikumos nepieciešamo grozījumu apjoms pārsniedz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%, tādēļ Ministru kabineta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septembra noteikumi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430 "</w:t>
            </w:r>
            <w:r w:rsidR="00122310" w:rsidRPr="00EA1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Kārtība, kādā nodrošina informācijas apriti, izmantojot Valsts kases e-pakalpojumus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DD4E32" w:rsidRPr="00DD4E32">
              <w:rPr>
                <w:rFonts w:ascii="Times New Roman" w:hAnsi="Times New Roman" w:cs="Times New Roman"/>
                <w:sz w:val="24"/>
                <w:szCs w:val="24"/>
              </w:rPr>
              <w:t>MK noteikumi Nr.</w:t>
            </w:r>
            <w:r w:rsidR="003023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4E32" w:rsidRPr="00DD4E3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2310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tiks izdoti jaunā redakcijā.</w:t>
            </w:r>
          </w:p>
        </w:tc>
      </w:tr>
      <w:tr w:rsidR="000F1969" w:rsidRPr="005B1D34" w14:paraId="2EB972DD" w14:textId="77777777" w:rsidTr="00D0782D">
        <w:trPr>
          <w:trHeight w:val="5026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47577" w14:textId="77777777" w:rsidR="000F1969" w:rsidRPr="005B1D34" w:rsidRDefault="000F1969" w:rsidP="000F19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4E5B0" w14:textId="697FD4CE" w:rsidR="00C171F8" w:rsidRPr="003E5322" w:rsidRDefault="000F1969" w:rsidP="008B18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E1D3041" w14:textId="77777777" w:rsidR="00C171F8" w:rsidRPr="003E5322" w:rsidRDefault="00C171F8" w:rsidP="003E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72527" w14:textId="37AF1C88" w:rsidR="00777132" w:rsidRDefault="00777132" w:rsidP="003E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8A982C" w14:textId="77777777" w:rsidR="00777132" w:rsidRPr="00777132" w:rsidRDefault="00777132" w:rsidP="0077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C72F73" w14:textId="77777777" w:rsidR="00777132" w:rsidRPr="00777132" w:rsidRDefault="00777132" w:rsidP="0077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7B1BC4" w14:textId="77777777" w:rsidR="00777132" w:rsidRPr="00777132" w:rsidRDefault="00777132" w:rsidP="0077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B5563E" w14:textId="77777777" w:rsidR="00777132" w:rsidRPr="00777132" w:rsidRDefault="00777132" w:rsidP="0077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33C653" w14:textId="77777777" w:rsidR="00777132" w:rsidRPr="00777132" w:rsidRDefault="00777132" w:rsidP="0077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E66E36" w14:textId="5FBA6EA6" w:rsidR="000F1969" w:rsidRPr="00777132" w:rsidRDefault="000F1969" w:rsidP="00777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3101091" w14:textId="30E48F76" w:rsidR="00FA046C" w:rsidRDefault="00FA046C" w:rsidP="00066982">
            <w:pPr>
              <w:pStyle w:val="tv2132"/>
              <w:spacing w:line="240" w:lineRule="auto"/>
              <w:ind w:firstLine="514"/>
              <w:jc w:val="both"/>
              <w:rPr>
                <w:iCs/>
                <w:color w:val="auto"/>
                <w:sz w:val="24"/>
                <w:szCs w:val="24"/>
              </w:rPr>
            </w:pPr>
            <w:r w:rsidRPr="00EA199E">
              <w:rPr>
                <w:color w:val="auto"/>
                <w:sz w:val="24"/>
                <w:szCs w:val="24"/>
              </w:rPr>
              <w:t>Ministru kabineta noteikumi tiek izdoti jaunā redakcijā</w:t>
            </w:r>
            <w:r w:rsidRPr="00EA199E">
              <w:rPr>
                <w:iCs/>
                <w:color w:val="auto"/>
                <w:sz w:val="24"/>
                <w:szCs w:val="24"/>
              </w:rPr>
              <w:t xml:space="preserve">. Līdz attiecīgo noteikumu spēkā stāšanās dienai ir spēkā </w:t>
            </w:r>
            <w:r w:rsidRPr="00DD4E32">
              <w:rPr>
                <w:iCs/>
                <w:color w:val="auto"/>
                <w:sz w:val="24"/>
                <w:szCs w:val="24"/>
              </w:rPr>
              <w:t>MK noteikumi Nr.</w:t>
            </w:r>
            <w:r w:rsidR="003023FE">
              <w:rPr>
                <w:iCs/>
                <w:color w:val="auto"/>
                <w:sz w:val="24"/>
                <w:szCs w:val="24"/>
              </w:rPr>
              <w:t> </w:t>
            </w:r>
            <w:r w:rsidRPr="00DD4E32">
              <w:rPr>
                <w:iCs/>
                <w:color w:val="auto"/>
                <w:sz w:val="24"/>
                <w:szCs w:val="24"/>
              </w:rPr>
              <w:t>430</w:t>
            </w:r>
            <w:r w:rsidRPr="00EA199E">
              <w:rPr>
                <w:iCs/>
                <w:color w:val="auto"/>
                <w:sz w:val="24"/>
                <w:szCs w:val="24"/>
              </w:rPr>
              <w:t>.</w:t>
            </w:r>
          </w:p>
          <w:p w14:paraId="15797AE6" w14:textId="1256342E" w:rsidR="005A557E" w:rsidRDefault="00B32619" w:rsidP="00066982">
            <w:pPr>
              <w:pStyle w:val="tv2132"/>
              <w:spacing w:line="240" w:lineRule="auto"/>
              <w:ind w:firstLine="514"/>
              <w:jc w:val="both"/>
              <w:rPr>
                <w:color w:val="auto"/>
                <w:sz w:val="24"/>
                <w:szCs w:val="24"/>
              </w:rPr>
            </w:pPr>
            <w:r w:rsidRPr="00EA199E">
              <w:rPr>
                <w:color w:val="auto"/>
                <w:sz w:val="24"/>
                <w:szCs w:val="24"/>
              </w:rPr>
              <w:t>Valsts kases e-pakalpojumiem</w:t>
            </w:r>
            <w:r w:rsidR="003D4919" w:rsidRPr="00EA199E">
              <w:rPr>
                <w:color w:val="auto"/>
                <w:sz w:val="24"/>
                <w:szCs w:val="24"/>
              </w:rPr>
              <w:t xml:space="preserve"> pastāvīgi attīstoties un ieviešot jaunas funkcionālās iespējas, lai nodrošinātu e-pakalpojumu lietošanas tiesisko pamatu</w:t>
            </w:r>
            <w:r w:rsidR="00D0782D">
              <w:rPr>
                <w:color w:val="auto"/>
                <w:sz w:val="24"/>
                <w:szCs w:val="24"/>
              </w:rPr>
              <w:t>,</w:t>
            </w:r>
            <w:r w:rsidR="003D4919" w:rsidRPr="00EA199E">
              <w:rPr>
                <w:color w:val="auto"/>
                <w:sz w:val="24"/>
                <w:szCs w:val="24"/>
              </w:rPr>
              <w:t xml:space="preserve"> ik reiz ir nepieciešams veikt grozījumus to lietošanu reglamentējošos Ministru kabineta noteikumos. Lai risinātu šo problēmu </w:t>
            </w:r>
            <w:r w:rsidR="007631C1" w:rsidRPr="00EA199E">
              <w:rPr>
                <w:color w:val="auto"/>
                <w:sz w:val="24"/>
                <w:szCs w:val="24"/>
              </w:rPr>
              <w:t>un mazinātu normatīvismu</w:t>
            </w:r>
            <w:r w:rsidR="00D0782D">
              <w:rPr>
                <w:color w:val="auto"/>
                <w:sz w:val="24"/>
                <w:szCs w:val="24"/>
              </w:rPr>
              <w:t>,</w:t>
            </w:r>
            <w:r w:rsidR="007631C1" w:rsidRPr="00EA199E">
              <w:rPr>
                <w:color w:val="auto"/>
                <w:sz w:val="24"/>
                <w:szCs w:val="24"/>
              </w:rPr>
              <w:t xml:space="preserve"> normatīvajā aktā</w:t>
            </w:r>
            <w:r w:rsidR="003D4919" w:rsidRPr="00EA199E">
              <w:rPr>
                <w:color w:val="auto"/>
                <w:sz w:val="24"/>
                <w:szCs w:val="24"/>
              </w:rPr>
              <w:t xml:space="preserve"> </w:t>
            </w:r>
            <w:r w:rsidR="00EA199E" w:rsidRPr="00EA199E">
              <w:rPr>
                <w:color w:val="auto"/>
                <w:sz w:val="24"/>
                <w:szCs w:val="24"/>
              </w:rPr>
              <w:t>ar noteikumu projektu ir paredzēts svītrot veidlapu dizainu un formu, e-pakalpojumu pieejas režīmu aprakstu</w:t>
            </w:r>
            <w:r w:rsidR="00757847">
              <w:rPr>
                <w:color w:val="auto"/>
                <w:sz w:val="24"/>
                <w:szCs w:val="24"/>
              </w:rPr>
              <w:t xml:space="preserve">, e-pakalpojumu un atbalsta dienesta darba laiku. Šo informāciju ir paredzēts 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publicēt Valsts kases tīmekļvietnē </w:t>
            </w:r>
            <w:hyperlink r:id="rId11" w:history="1">
              <w:r w:rsidR="00EA199E" w:rsidRPr="00EA199E">
                <w:rPr>
                  <w:rStyle w:val="Hyperlink"/>
                  <w:color w:val="auto"/>
                  <w:sz w:val="24"/>
                  <w:szCs w:val="24"/>
                </w:rPr>
                <w:t>https://www.kase.gov.lv</w:t>
              </w:r>
            </w:hyperlink>
            <w:r w:rsidR="00EA199E" w:rsidRPr="00EA199E">
              <w:rPr>
                <w:color w:val="auto"/>
                <w:sz w:val="24"/>
                <w:szCs w:val="24"/>
              </w:rPr>
              <w:t xml:space="preserve">. </w:t>
            </w:r>
          </w:p>
          <w:p w14:paraId="5B065953" w14:textId="07081998" w:rsidR="0046565E" w:rsidRPr="005A557E" w:rsidRDefault="003B7787" w:rsidP="00066982">
            <w:pPr>
              <w:pStyle w:val="tv2132"/>
              <w:spacing w:line="240" w:lineRule="auto"/>
              <w:ind w:firstLine="51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Noteikumu projektā ir paredzēts noteikt jaunu e-pakalpojumu pieteikumu iesniegšanas kārtību, nosakot, ka 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</w:t>
            </w:r>
            <w:r w:rsidR="00DA08C1">
              <w:rPr>
                <w:color w:val="auto"/>
                <w:sz w:val="24"/>
                <w:szCs w:val="24"/>
              </w:rPr>
              <w:t>pieteikums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ir iesniedzamas</w:t>
            </w:r>
            <w:r w:rsidR="0061089A">
              <w:rPr>
                <w:color w:val="auto"/>
                <w:sz w:val="24"/>
                <w:szCs w:val="24"/>
              </w:rPr>
              <w:t xml:space="preserve"> elektroniska dokumenta </w:t>
            </w:r>
            <w:r w:rsidR="00C84859">
              <w:rPr>
                <w:color w:val="auto"/>
                <w:sz w:val="24"/>
                <w:szCs w:val="24"/>
              </w:rPr>
              <w:t>formā</w:t>
            </w:r>
            <w:r w:rsidR="0061089A">
              <w:rPr>
                <w:color w:val="auto"/>
                <w:sz w:val="24"/>
                <w:szCs w:val="24"/>
              </w:rPr>
              <w:t>, nosūtot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uz Valsts kases oficiāl</w:t>
            </w:r>
            <w:r>
              <w:rPr>
                <w:color w:val="auto"/>
                <w:sz w:val="24"/>
                <w:szCs w:val="24"/>
              </w:rPr>
              <w:t>ās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elektronisk</w:t>
            </w:r>
            <w:r>
              <w:rPr>
                <w:color w:val="auto"/>
                <w:sz w:val="24"/>
                <w:szCs w:val="24"/>
              </w:rPr>
              <w:t>ās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adres</w:t>
            </w:r>
            <w:r>
              <w:rPr>
                <w:color w:val="auto"/>
                <w:sz w:val="24"/>
                <w:szCs w:val="24"/>
              </w:rPr>
              <w:t>es apakšadresātu – Klientu apkalpošana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vai e-pasta adresi ekase@kase.gov.lv, ja klientam nav pienākuma lietot oficiālo elektronisko adresi.</w:t>
            </w:r>
            <w:r w:rsidR="00FE58F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Šāda regulējuma </w:t>
            </w:r>
            <w:r w:rsidR="004528CC">
              <w:rPr>
                <w:color w:val="auto"/>
                <w:sz w:val="24"/>
                <w:szCs w:val="24"/>
              </w:rPr>
              <w:t>mērķis</w:t>
            </w:r>
            <w:r w:rsidR="00DA08C1">
              <w:rPr>
                <w:color w:val="auto"/>
                <w:sz w:val="24"/>
                <w:szCs w:val="24"/>
              </w:rPr>
              <w:t xml:space="preserve"> ir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528CC">
              <w:rPr>
                <w:color w:val="auto"/>
                <w:sz w:val="24"/>
                <w:szCs w:val="24"/>
              </w:rPr>
              <w:t>izslēgt situācijas,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528CC" w:rsidRPr="004528CC">
              <w:rPr>
                <w:color w:val="auto"/>
                <w:sz w:val="24"/>
                <w:szCs w:val="24"/>
              </w:rPr>
              <w:t>kurās Valsts kase saskaņā ar M</w:t>
            </w:r>
            <w:r w:rsidR="004528CC">
              <w:rPr>
                <w:color w:val="auto"/>
                <w:sz w:val="24"/>
                <w:szCs w:val="24"/>
              </w:rPr>
              <w:t xml:space="preserve">inistru </w:t>
            </w:r>
            <w:r w:rsidR="004528CC" w:rsidRPr="004528CC">
              <w:rPr>
                <w:color w:val="auto"/>
                <w:sz w:val="24"/>
                <w:szCs w:val="24"/>
              </w:rPr>
              <w:t>K</w:t>
            </w:r>
            <w:r w:rsidR="004528CC">
              <w:rPr>
                <w:color w:val="auto"/>
                <w:sz w:val="24"/>
                <w:szCs w:val="24"/>
              </w:rPr>
              <w:t>abineta</w:t>
            </w:r>
            <w:r w:rsidR="004528CC" w:rsidRPr="004528CC">
              <w:rPr>
                <w:color w:val="auto"/>
                <w:sz w:val="24"/>
                <w:szCs w:val="24"/>
              </w:rPr>
              <w:t xml:space="preserve"> 2019</w:t>
            </w:r>
            <w:r w:rsidR="003023FE" w:rsidRPr="004528CC">
              <w:rPr>
                <w:color w:val="auto"/>
                <w:sz w:val="24"/>
                <w:szCs w:val="24"/>
              </w:rPr>
              <w:t>.</w:t>
            </w:r>
            <w:r w:rsidR="003023FE">
              <w:rPr>
                <w:color w:val="auto"/>
                <w:sz w:val="24"/>
                <w:szCs w:val="24"/>
              </w:rPr>
              <w:t> </w:t>
            </w:r>
            <w:r w:rsidR="004528CC" w:rsidRPr="004528CC">
              <w:rPr>
                <w:color w:val="auto"/>
                <w:sz w:val="24"/>
                <w:szCs w:val="24"/>
              </w:rPr>
              <w:t>gada 17</w:t>
            </w:r>
            <w:r w:rsidR="003023FE" w:rsidRPr="004528CC">
              <w:rPr>
                <w:color w:val="auto"/>
                <w:sz w:val="24"/>
                <w:szCs w:val="24"/>
              </w:rPr>
              <w:t>.</w:t>
            </w:r>
            <w:r w:rsidR="003023FE">
              <w:rPr>
                <w:color w:val="auto"/>
                <w:sz w:val="24"/>
                <w:szCs w:val="24"/>
              </w:rPr>
              <w:t> </w:t>
            </w:r>
            <w:r w:rsidR="004528CC" w:rsidRPr="004528CC">
              <w:rPr>
                <w:color w:val="auto"/>
                <w:sz w:val="24"/>
                <w:szCs w:val="24"/>
              </w:rPr>
              <w:t>decembra noteikumu Nr.</w:t>
            </w:r>
            <w:r w:rsidR="003023FE">
              <w:rPr>
                <w:color w:val="auto"/>
                <w:sz w:val="24"/>
                <w:szCs w:val="24"/>
              </w:rPr>
              <w:t> </w:t>
            </w:r>
            <w:r w:rsidR="004528CC" w:rsidRPr="004528CC">
              <w:rPr>
                <w:color w:val="auto"/>
                <w:sz w:val="24"/>
                <w:szCs w:val="24"/>
              </w:rPr>
              <w:t>652 “</w:t>
            </w:r>
            <w:r w:rsidR="004528CC" w:rsidRPr="005A557E">
              <w:rPr>
                <w:bCs/>
                <w:sz w:val="24"/>
                <w:szCs w:val="24"/>
              </w:rPr>
              <w:t xml:space="preserve">Kārtība, kādā Valsts kase </w:t>
            </w:r>
            <w:r w:rsidR="004528CC" w:rsidRPr="005A557E">
              <w:rPr>
                <w:bCs/>
                <w:sz w:val="24"/>
                <w:szCs w:val="24"/>
              </w:rPr>
              <w:lastRenderedPageBreak/>
              <w:t>nodrošina maksājumu pakalpojumu sniegšanu</w:t>
            </w:r>
            <w:r w:rsidR="004528CC" w:rsidRPr="004528CC">
              <w:rPr>
                <w:color w:val="auto"/>
                <w:sz w:val="24"/>
                <w:szCs w:val="24"/>
              </w:rPr>
              <w:t xml:space="preserve">” </w:t>
            </w:r>
            <w:r w:rsidR="004528CC" w:rsidRPr="00EA199E">
              <w:rPr>
                <w:sz w:val="24"/>
                <w:szCs w:val="24"/>
              </w:rPr>
              <w:t>(turpmāk – MK noteikumi Nr.</w:t>
            </w:r>
            <w:r w:rsidR="004528CC">
              <w:rPr>
                <w:sz w:val="24"/>
                <w:szCs w:val="24"/>
              </w:rPr>
              <w:t> </w:t>
            </w:r>
            <w:r w:rsidR="004528CC" w:rsidRPr="00EA199E">
              <w:rPr>
                <w:sz w:val="24"/>
                <w:szCs w:val="24"/>
              </w:rPr>
              <w:t>652)</w:t>
            </w:r>
            <w:r w:rsidR="004528CC">
              <w:rPr>
                <w:sz w:val="24"/>
                <w:szCs w:val="24"/>
              </w:rPr>
              <w:t xml:space="preserve"> </w:t>
            </w:r>
            <w:r w:rsidR="004528CC" w:rsidRPr="004528CC">
              <w:rPr>
                <w:color w:val="auto"/>
                <w:sz w:val="24"/>
                <w:szCs w:val="24"/>
              </w:rPr>
              <w:t>14</w:t>
            </w:r>
            <w:r w:rsidR="003023FE" w:rsidRPr="004528CC">
              <w:rPr>
                <w:color w:val="auto"/>
                <w:sz w:val="24"/>
                <w:szCs w:val="24"/>
              </w:rPr>
              <w:t>.</w:t>
            </w:r>
            <w:r w:rsidR="003023FE">
              <w:rPr>
                <w:color w:val="auto"/>
                <w:sz w:val="24"/>
                <w:szCs w:val="24"/>
              </w:rPr>
              <w:t> </w:t>
            </w:r>
            <w:r w:rsidR="004528CC" w:rsidRPr="004528CC">
              <w:rPr>
                <w:color w:val="auto"/>
                <w:sz w:val="24"/>
                <w:szCs w:val="24"/>
              </w:rPr>
              <w:t>punkt</w:t>
            </w:r>
            <w:r w:rsidR="004528CC">
              <w:rPr>
                <w:color w:val="auto"/>
                <w:sz w:val="24"/>
                <w:szCs w:val="24"/>
              </w:rPr>
              <w:t>ā noteikto varētu atteikt</w:t>
            </w:r>
            <w:r w:rsidR="004528CC" w:rsidRPr="004528CC">
              <w:rPr>
                <w:color w:val="auto"/>
                <w:sz w:val="24"/>
                <w:szCs w:val="24"/>
              </w:rPr>
              <w:t xml:space="preserve"> </w:t>
            </w:r>
            <w:r w:rsidR="004528CC">
              <w:rPr>
                <w:bCs/>
                <w:sz w:val="24"/>
                <w:szCs w:val="24"/>
              </w:rPr>
              <w:t>papīra formā iesniegta dokumenta izpildi</w:t>
            </w:r>
            <w:r>
              <w:rPr>
                <w:color w:val="auto"/>
                <w:sz w:val="24"/>
                <w:szCs w:val="24"/>
              </w:rPr>
              <w:t xml:space="preserve">, jo papīra dokumentam pastāv augsts paraksta viltojumu risks, kuru mazināt ir iespējams </w:t>
            </w:r>
            <w:r w:rsidR="00DA08C1">
              <w:rPr>
                <w:color w:val="auto"/>
                <w:sz w:val="24"/>
                <w:szCs w:val="24"/>
              </w:rPr>
              <w:t xml:space="preserve">tikai nosakot </w:t>
            </w:r>
            <w:r w:rsidR="004528CC">
              <w:rPr>
                <w:color w:val="auto"/>
                <w:sz w:val="24"/>
                <w:szCs w:val="24"/>
              </w:rPr>
              <w:t xml:space="preserve">pienākumu </w:t>
            </w:r>
            <w:r w:rsidR="00DA08C1">
              <w:rPr>
                <w:color w:val="auto"/>
                <w:sz w:val="24"/>
                <w:szCs w:val="24"/>
              </w:rPr>
              <w:t>pieteikum</w:t>
            </w:r>
            <w:r w:rsidR="004528CC">
              <w:rPr>
                <w:color w:val="auto"/>
                <w:sz w:val="24"/>
                <w:szCs w:val="24"/>
              </w:rPr>
              <w:t>u</w:t>
            </w:r>
            <w:r w:rsidR="00DA08C1">
              <w:rPr>
                <w:color w:val="auto"/>
                <w:sz w:val="24"/>
                <w:szCs w:val="24"/>
              </w:rPr>
              <w:t xml:space="preserve"> parakstī</w:t>
            </w:r>
            <w:r w:rsidR="004528CC">
              <w:rPr>
                <w:color w:val="auto"/>
                <w:sz w:val="24"/>
                <w:szCs w:val="24"/>
              </w:rPr>
              <w:t>t</w:t>
            </w:r>
            <w:r w:rsidR="00DA08C1">
              <w:rPr>
                <w:color w:val="auto"/>
                <w:sz w:val="24"/>
                <w:szCs w:val="24"/>
              </w:rPr>
              <w:t xml:space="preserve"> klātienē, klientu apkalpošanas centrā. </w:t>
            </w:r>
            <w:r w:rsidR="004528CC">
              <w:rPr>
                <w:color w:val="auto"/>
                <w:sz w:val="24"/>
                <w:szCs w:val="24"/>
              </w:rPr>
              <w:t>Savukārt</w:t>
            </w:r>
            <w:r w:rsidR="00DA08C1">
              <w:rPr>
                <w:color w:val="auto"/>
                <w:sz w:val="24"/>
                <w:szCs w:val="24"/>
              </w:rPr>
              <w:t xml:space="preserve"> šāda kārtība būtu pretrunā ar klientu apkalpošanas konceptu</w:t>
            </w:r>
            <w:r w:rsidR="004528CC">
              <w:rPr>
                <w:color w:val="auto"/>
                <w:sz w:val="24"/>
                <w:szCs w:val="24"/>
              </w:rPr>
              <w:t xml:space="preserve"> – </w:t>
            </w:r>
            <w:r w:rsidR="00DA08C1">
              <w:rPr>
                <w:color w:val="auto"/>
                <w:sz w:val="24"/>
                <w:szCs w:val="24"/>
              </w:rPr>
              <w:t>nodrošināt attālinātu pakalpojumu sniegšanu. Samazinot e-pakalpojumu iesniegšanas kanālu skaitu</w:t>
            </w:r>
            <w:r w:rsidR="004528CC">
              <w:rPr>
                <w:color w:val="auto"/>
                <w:sz w:val="24"/>
                <w:szCs w:val="24"/>
              </w:rPr>
              <w:t xml:space="preserve"> un</w:t>
            </w:r>
            <w:r w:rsidR="00DA08C1">
              <w:rPr>
                <w:color w:val="auto"/>
                <w:sz w:val="24"/>
                <w:szCs w:val="24"/>
              </w:rPr>
              <w:t xml:space="preserve"> paredzot tikai elektronisku dokumentu iesniegšanas kanālu ir iespējams samazināt </w:t>
            </w:r>
            <w:r w:rsidR="00EE0367">
              <w:rPr>
                <w:color w:val="auto"/>
                <w:sz w:val="24"/>
                <w:szCs w:val="24"/>
              </w:rPr>
              <w:t>dokumenta gaidīšanas laiku (dokumenta nosūtīšana, saņemšana, reģistrācija u.c.) līdz tā apstrādei</w:t>
            </w:r>
            <w:r w:rsidR="004528CC">
              <w:rPr>
                <w:color w:val="auto"/>
                <w:sz w:val="24"/>
                <w:szCs w:val="24"/>
              </w:rPr>
              <w:t>.</w:t>
            </w:r>
            <w:r w:rsidR="0046565E" w:rsidRPr="005A557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C51037" w14:textId="0C2313CC" w:rsidR="00EA199E" w:rsidRDefault="00EA199E" w:rsidP="00066982">
            <w:pPr>
              <w:pStyle w:val="tv2132"/>
              <w:spacing w:line="240" w:lineRule="auto"/>
              <w:ind w:firstLine="514"/>
              <w:jc w:val="both"/>
              <w:rPr>
                <w:color w:val="auto"/>
                <w:sz w:val="24"/>
                <w:szCs w:val="24"/>
              </w:rPr>
            </w:pPr>
            <w:r w:rsidRPr="00EA199E">
              <w:rPr>
                <w:color w:val="auto"/>
                <w:sz w:val="24"/>
                <w:szCs w:val="24"/>
              </w:rPr>
              <w:t xml:space="preserve">Noteikumu projektā </w:t>
            </w:r>
            <w:r w:rsidRPr="00EA199E">
              <w:rPr>
                <w:iCs/>
                <w:color w:val="auto"/>
                <w:sz w:val="24"/>
                <w:szCs w:val="24"/>
              </w:rPr>
              <w:t>noteikts arī jauns pieteikumu iesniegšanas kanāls</w:t>
            </w:r>
            <w:r w:rsidR="005629F3">
              <w:rPr>
                <w:iCs/>
                <w:color w:val="auto"/>
                <w:sz w:val="24"/>
                <w:szCs w:val="24"/>
              </w:rPr>
              <w:t>, izmantojot</w:t>
            </w:r>
            <w:r w:rsidRPr="00EA199E">
              <w:rPr>
                <w:iCs/>
                <w:color w:val="auto"/>
                <w:sz w:val="24"/>
                <w:szCs w:val="24"/>
              </w:rPr>
              <w:t xml:space="preserve"> e-pakalpojumu </w:t>
            </w:r>
            <w:r w:rsidR="00545BA3" w:rsidRPr="00EA199E">
              <w:rPr>
                <w:iCs/>
                <w:color w:val="auto"/>
                <w:sz w:val="24"/>
                <w:szCs w:val="24"/>
              </w:rPr>
              <w:t>portāl</w:t>
            </w:r>
            <w:r w:rsidR="00545BA3">
              <w:rPr>
                <w:iCs/>
                <w:color w:val="auto"/>
                <w:sz w:val="24"/>
                <w:szCs w:val="24"/>
              </w:rPr>
              <w:t>a</w:t>
            </w:r>
            <w:r w:rsidR="00545BA3" w:rsidRPr="00EA199E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5629F3">
              <w:rPr>
                <w:iCs/>
                <w:color w:val="auto"/>
                <w:sz w:val="24"/>
                <w:szCs w:val="24"/>
              </w:rPr>
              <w:t>platformu</w:t>
            </w:r>
            <w:r w:rsidR="00545BA3">
              <w:rPr>
                <w:iCs/>
                <w:color w:val="auto"/>
                <w:sz w:val="24"/>
                <w:szCs w:val="24"/>
              </w:rPr>
              <w:t>:</w:t>
            </w:r>
            <w:r w:rsidR="005629F3" w:rsidRPr="00EA199E">
              <w:rPr>
                <w:iCs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Pr="00EA199E">
                <w:rPr>
                  <w:rStyle w:val="Hyperlink"/>
                  <w:color w:val="auto"/>
                  <w:sz w:val="24"/>
                  <w:szCs w:val="24"/>
                </w:rPr>
                <w:t>https://epakalpojumi.kase.gov.lv</w:t>
              </w:r>
            </w:hyperlink>
            <w:r w:rsidRPr="00EA199E">
              <w:rPr>
                <w:iCs/>
                <w:color w:val="auto"/>
                <w:sz w:val="24"/>
                <w:szCs w:val="24"/>
              </w:rPr>
              <w:t xml:space="preserve">. Iesniegt </w:t>
            </w:r>
            <w:r w:rsidR="00F57E3F">
              <w:rPr>
                <w:iCs/>
                <w:color w:val="auto"/>
                <w:sz w:val="24"/>
                <w:szCs w:val="24"/>
              </w:rPr>
              <w:t>pieteikumu</w:t>
            </w:r>
            <w:r w:rsidRPr="00EA199E">
              <w:rPr>
                <w:iCs/>
                <w:color w:val="auto"/>
                <w:sz w:val="24"/>
                <w:szCs w:val="24"/>
              </w:rPr>
              <w:t xml:space="preserve">, izmantojot e-pakalpojumu portālu </w:t>
            </w:r>
            <w:hyperlink r:id="rId13" w:history="1">
              <w:r w:rsidRPr="00EA199E">
                <w:rPr>
                  <w:rStyle w:val="Hyperlink"/>
                  <w:color w:val="auto"/>
                  <w:sz w:val="24"/>
                  <w:szCs w:val="24"/>
                </w:rPr>
                <w:t>https://epakalpojumi.kase.gov.lv</w:t>
              </w:r>
            </w:hyperlink>
            <w:r w:rsidRPr="00EA199E">
              <w:rPr>
                <w:color w:val="auto"/>
                <w:sz w:val="24"/>
                <w:szCs w:val="24"/>
              </w:rPr>
              <w:t>,</w:t>
            </w:r>
            <w:r w:rsidRPr="00EA199E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EA199E">
              <w:rPr>
                <w:color w:val="auto"/>
                <w:sz w:val="24"/>
                <w:szCs w:val="24"/>
              </w:rPr>
              <w:t>klients varēs uzsāk</w:t>
            </w:r>
            <w:r w:rsidR="004C29EA">
              <w:rPr>
                <w:color w:val="auto"/>
                <w:sz w:val="24"/>
                <w:szCs w:val="24"/>
              </w:rPr>
              <w:t>t</w:t>
            </w:r>
            <w:r w:rsidRPr="00EA199E">
              <w:rPr>
                <w:color w:val="auto"/>
                <w:sz w:val="24"/>
                <w:szCs w:val="24"/>
              </w:rPr>
              <w:t xml:space="preserve"> ar dienu, kad Valsts kase to tehniski nodrošinās</w:t>
            </w:r>
            <w:r w:rsidR="00F57E3F">
              <w:rPr>
                <w:color w:val="auto"/>
                <w:sz w:val="24"/>
                <w:szCs w:val="24"/>
              </w:rPr>
              <w:t>.</w:t>
            </w:r>
            <w:r w:rsidR="00DD584F">
              <w:rPr>
                <w:color w:val="auto"/>
                <w:sz w:val="24"/>
                <w:szCs w:val="24"/>
              </w:rPr>
              <w:t xml:space="preserve"> Risinājums paredzēs </w:t>
            </w:r>
            <w:r w:rsidR="00DD584F" w:rsidRPr="00DD584F">
              <w:rPr>
                <w:color w:val="auto"/>
                <w:sz w:val="24"/>
                <w:szCs w:val="24"/>
              </w:rPr>
              <w:t>strukturētu elektronisko pieteikumu datu apstrādi, nodrošin</w:t>
            </w:r>
            <w:r w:rsidR="00EF2CCC">
              <w:rPr>
                <w:color w:val="auto"/>
                <w:sz w:val="24"/>
                <w:szCs w:val="24"/>
              </w:rPr>
              <w:t>ot</w:t>
            </w:r>
            <w:r w:rsidR="00DD584F" w:rsidRPr="00DD584F">
              <w:rPr>
                <w:color w:val="auto"/>
                <w:sz w:val="24"/>
                <w:szCs w:val="24"/>
              </w:rPr>
              <w:t xml:space="preserve"> iespēju klientam pašam </w:t>
            </w:r>
            <w:r w:rsidR="00EF2CCC">
              <w:rPr>
                <w:color w:val="auto"/>
                <w:sz w:val="24"/>
                <w:szCs w:val="24"/>
              </w:rPr>
              <w:t>piešķirt tā pilnvarotajiem e-pakalpojumu lietotājiem tiesības izmantot Valsts kases nodrošinātos e-pakalpojumus, kā arī pārvaldīt jau pilnvaroto lietotāju tiesības izmantot e-pakalpojumus. Šāda risinājuma izmantošana nodrošinās ievērojami efektīvāku lietotāju pilnvarošanas procesu, samazinot patērēto laiku lietotāju tiesību noformēšanai un pārvaldībai</w:t>
            </w:r>
            <w:r w:rsidR="00DD584F" w:rsidRPr="00DD584F">
              <w:rPr>
                <w:color w:val="auto"/>
                <w:sz w:val="24"/>
                <w:szCs w:val="24"/>
              </w:rPr>
              <w:t>.</w:t>
            </w:r>
            <w:r w:rsidR="00F57E3F">
              <w:rPr>
                <w:color w:val="auto"/>
                <w:sz w:val="24"/>
                <w:szCs w:val="24"/>
              </w:rPr>
              <w:t xml:space="preserve"> </w:t>
            </w:r>
            <w:r w:rsidR="005629F3">
              <w:rPr>
                <w:color w:val="auto"/>
                <w:sz w:val="24"/>
                <w:szCs w:val="24"/>
              </w:rPr>
              <w:t>T</w:t>
            </w:r>
            <w:r w:rsidR="00F57E3F">
              <w:rPr>
                <w:color w:val="auto"/>
                <w:sz w:val="24"/>
                <w:szCs w:val="24"/>
              </w:rPr>
              <w:t>ehniskā risinājuma izstrāde pieteikumu iesniegšanai ir plānota 2021.</w:t>
            </w:r>
            <w:r w:rsidR="002473E5">
              <w:rPr>
                <w:color w:val="auto"/>
                <w:sz w:val="24"/>
                <w:szCs w:val="24"/>
              </w:rPr>
              <w:t> </w:t>
            </w:r>
            <w:r w:rsidR="00F57E3F">
              <w:rPr>
                <w:color w:val="auto"/>
                <w:sz w:val="24"/>
                <w:szCs w:val="24"/>
              </w:rPr>
              <w:t>gadā un nodošana ekspluatācijā</w:t>
            </w:r>
            <w:r w:rsidR="00B0061B">
              <w:rPr>
                <w:color w:val="auto"/>
                <w:sz w:val="24"/>
                <w:szCs w:val="24"/>
              </w:rPr>
              <w:t xml:space="preserve"> -</w:t>
            </w:r>
            <w:r w:rsidR="00F57E3F">
              <w:rPr>
                <w:color w:val="auto"/>
                <w:sz w:val="24"/>
                <w:szCs w:val="24"/>
              </w:rPr>
              <w:t xml:space="preserve"> orientējoši 2022.</w:t>
            </w:r>
            <w:r w:rsidR="002473E5">
              <w:rPr>
                <w:color w:val="auto"/>
                <w:sz w:val="24"/>
                <w:szCs w:val="24"/>
              </w:rPr>
              <w:t> </w:t>
            </w:r>
            <w:r w:rsidR="00F57E3F">
              <w:rPr>
                <w:color w:val="auto"/>
                <w:sz w:val="24"/>
                <w:szCs w:val="24"/>
              </w:rPr>
              <w:t>gadā</w:t>
            </w:r>
            <w:r w:rsidRPr="00EA199E">
              <w:rPr>
                <w:color w:val="auto"/>
                <w:sz w:val="24"/>
                <w:szCs w:val="24"/>
              </w:rPr>
              <w:t>.</w:t>
            </w:r>
          </w:p>
          <w:p w14:paraId="1BA7AAA8" w14:textId="5334F8F7" w:rsidR="00AB2F4A" w:rsidRDefault="00AB2F4A" w:rsidP="00AB2F4A">
            <w:pPr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7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247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reglamentējot e-pakalpojumu lietošanu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 xml:space="preserve"> termins “persona”, jo pieteikumu par noteikumu projekta 2.4</w:t>
            </w:r>
            <w:r w:rsidR="002473E5" w:rsidRPr="000F3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36E4">
              <w:rPr>
                <w:rFonts w:ascii="Times New Roman" w:hAnsi="Times New Roman" w:cs="Times New Roman"/>
                <w:sz w:val="24"/>
                <w:szCs w:val="24"/>
              </w:rPr>
              <w:t xml:space="preserve">apakšpunktā minētā e-pakalpojuma lietošanu var iesniegt gan juridiskas, gan fiziskas personas, kuras uz pieteikuma iesniegšanas brīdi nav Valsts kases klienti. </w:t>
            </w:r>
          </w:p>
          <w:p w14:paraId="3BE32673" w14:textId="7B52AAF7" w:rsidR="00725612" w:rsidRPr="00EA199E" w:rsidRDefault="00725612" w:rsidP="00066982">
            <w:pPr>
              <w:pStyle w:val="tv2132"/>
              <w:spacing w:line="240" w:lineRule="auto"/>
              <w:ind w:firstLine="514"/>
              <w:jc w:val="both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Noteikumu projekta 6.</w:t>
            </w:r>
            <w:r w:rsidR="002473E5">
              <w:rPr>
                <w:iCs/>
                <w:color w:val="auto"/>
                <w:sz w:val="24"/>
                <w:szCs w:val="24"/>
              </w:rPr>
              <w:t> </w:t>
            </w:r>
            <w:r>
              <w:rPr>
                <w:iCs/>
                <w:color w:val="auto"/>
                <w:sz w:val="24"/>
                <w:szCs w:val="24"/>
              </w:rPr>
              <w:t xml:space="preserve">punktā </w:t>
            </w:r>
            <w:r w:rsidR="00DE4892">
              <w:rPr>
                <w:iCs/>
                <w:color w:val="auto"/>
                <w:sz w:val="24"/>
                <w:szCs w:val="24"/>
              </w:rPr>
              <w:t>noteikts, ka gadījumos, kad klients iesniedz pieteikumu par eKases lietošanu un tajā norāda kontu, kura rīkotājs ir cita iestāde</w:t>
            </w:r>
            <w:r>
              <w:rPr>
                <w:iCs/>
                <w:color w:val="auto"/>
                <w:sz w:val="24"/>
                <w:szCs w:val="24"/>
              </w:rPr>
              <w:t>, līdz ar eKases pieteikuma iesniegšanu</w:t>
            </w:r>
            <w:r w:rsidR="00453F9F">
              <w:rPr>
                <w:iCs/>
                <w:color w:val="auto"/>
                <w:sz w:val="24"/>
                <w:szCs w:val="24"/>
              </w:rPr>
              <w:t>,</w:t>
            </w:r>
            <w:r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725612">
              <w:rPr>
                <w:iCs/>
                <w:color w:val="auto"/>
                <w:sz w:val="24"/>
                <w:szCs w:val="24"/>
              </w:rPr>
              <w:t>vienlai</w:t>
            </w:r>
            <w:r>
              <w:rPr>
                <w:iCs/>
                <w:color w:val="auto"/>
                <w:sz w:val="24"/>
                <w:szCs w:val="24"/>
              </w:rPr>
              <w:t>cīgi elektroniska dokumenta</w:t>
            </w:r>
            <w:r w:rsidRPr="00725612">
              <w:rPr>
                <w:iCs/>
                <w:color w:val="auto"/>
                <w:sz w:val="24"/>
                <w:szCs w:val="24"/>
              </w:rPr>
              <w:t xml:space="preserve"> formā </w:t>
            </w:r>
            <w:r w:rsidR="00DE4892">
              <w:rPr>
                <w:iCs/>
                <w:color w:val="auto"/>
                <w:sz w:val="24"/>
                <w:szCs w:val="24"/>
              </w:rPr>
              <w:t>jā</w:t>
            </w:r>
            <w:r w:rsidRPr="00725612">
              <w:rPr>
                <w:iCs/>
                <w:color w:val="auto"/>
                <w:sz w:val="24"/>
                <w:szCs w:val="24"/>
              </w:rPr>
              <w:t>iesniedz konta rīkotāja atļauj</w:t>
            </w:r>
            <w:r w:rsidR="00DE4892">
              <w:rPr>
                <w:iCs/>
                <w:color w:val="auto"/>
                <w:sz w:val="24"/>
                <w:szCs w:val="24"/>
              </w:rPr>
              <w:t>a</w:t>
            </w:r>
            <w:r w:rsidRPr="00725612">
              <w:rPr>
                <w:iCs/>
                <w:color w:val="auto"/>
                <w:sz w:val="24"/>
                <w:szCs w:val="24"/>
              </w:rPr>
              <w:t xml:space="preserve"> piekļūt konta informācijai</w:t>
            </w:r>
            <w:r w:rsidR="00453F9F">
              <w:rPr>
                <w:iCs/>
                <w:color w:val="auto"/>
                <w:sz w:val="24"/>
                <w:szCs w:val="24"/>
              </w:rPr>
              <w:t>.</w:t>
            </w:r>
            <w:r w:rsidRPr="00725612">
              <w:rPr>
                <w:iCs/>
                <w:color w:val="auto"/>
                <w:sz w:val="24"/>
                <w:szCs w:val="24"/>
              </w:rPr>
              <w:t xml:space="preserve"> </w:t>
            </w:r>
          </w:p>
          <w:p w14:paraId="7A5398EA" w14:textId="785777B3" w:rsidR="007631C1" w:rsidRDefault="00B32619" w:rsidP="00066982">
            <w:pPr>
              <w:pStyle w:val="tv2132"/>
              <w:spacing w:line="240" w:lineRule="auto"/>
              <w:ind w:firstLine="514"/>
              <w:jc w:val="both"/>
              <w:rPr>
                <w:color w:val="auto"/>
                <w:sz w:val="24"/>
                <w:szCs w:val="24"/>
              </w:rPr>
            </w:pPr>
            <w:r w:rsidRPr="00EA199E">
              <w:rPr>
                <w:color w:val="auto"/>
                <w:sz w:val="24"/>
                <w:szCs w:val="24"/>
              </w:rPr>
              <w:t>Noteikumu projekta mērķis ir reglamentēt kārtību kādā Valsts kase nodrošina elektronisko informācijas apmaiņu</w:t>
            </w:r>
            <w:r w:rsidR="0011482F">
              <w:rPr>
                <w:color w:val="auto"/>
                <w:sz w:val="24"/>
                <w:szCs w:val="24"/>
              </w:rPr>
              <w:t>,</w:t>
            </w:r>
            <w:r w:rsidRPr="00EA199E">
              <w:rPr>
                <w:color w:val="auto"/>
                <w:sz w:val="24"/>
                <w:szCs w:val="24"/>
              </w:rPr>
              <w:t xml:space="preserve"> izmantojot </w:t>
            </w:r>
            <w:r w:rsidR="00FE1D59" w:rsidRPr="00EA199E">
              <w:rPr>
                <w:color w:val="auto"/>
                <w:sz w:val="24"/>
                <w:szCs w:val="24"/>
              </w:rPr>
              <w:t>e-pakalpojumus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</w:t>
            </w:r>
            <w:r w:rsidRPr="00EA199E">
              <w:rPr>
                <w:color w:val="auto"/>
                <w:sz w:val="24"/>
                <w:szCs w:val="24"/>
              </w:rPr>
              <w:t>– ePlān</w:t>
            </w:r>
            <w:r w:rsidR="004106A8">
              <w:rPr>
                <w:color w:val="auto"/>
                <w:sz w:val="24"/>
                <w:szCs w:val="24"/>
              </w:rPr>
              <w:t>us</w:t>
            </w:r>
            <w:r w:rsidRPr="00EA199E">
              <w:rPr>
                <w:color w:val="auto"/>
                <w:sz w:val="24"/>
                <w:szCs w:val="24"/>
              </w:rPr>
              <w:t>, eKas</w:t>
            </w:r>
            <w:r w:rsidR="004106A8">
              <w:rPr>
                <w:color w:val="auto"/>
                <w:sz w:val="24"/>
                <w:szCs w:val="24"/>
              </w:rPr>
              <w:t>i</w:t>
            </w:r>
            <w:r w:rsidRPr="00EA199E">
              <w:rPr>
                <w:color w:val="auto"/>
                <w:sz w:val="24"/>
                <w:szCs w:val="24"/>
              </w:rPr>
              <w:t>, ePārskat</w:t>
            </w:r>
            <w:r w:rsidR="004106A8">
              <w:rPr>
                <w:color w:val="auto"/>
                <w:sz w:val="24"/>
                <w:szCs w:val="24"/>
              </w:rPr>
              <w:t>us</w:t>
            </w:r>
            <w:r w:rsidRPr="00EA199E">
              <w:rPr>
                <w:color w:val="auto"/>
                <w:sz w:val="24"/>
                <w:szCs w:val="24"/>
              </w:rPr>
              <w:t>, eTāmes un eAizņēmum</w:t>
            </w:r>
            <w:r w:rsidR="004106A8">
              <w:rPr>
                <w:color w:val="auto"/>
                <w:sz w:val="24"/>
                <w:szCs w:val="24"/>
              </w:rPr>
              <w:t>us</w:t>
            </w:r>
            <w:r w:rsidRPr="00EA199E">
              <w:rPr>
                <w:color w:val="auto"/>
                <w:sz w:val="24"/>
                <w:szCs w:val="24"/>
              </w:rPr>
              <w:t>. Noteikumu projektā noteikta arī kārtība e-pakalpojumu izmantošanai</w:t>
            </w:r>
            <w:r w:rsidR="00EA199E" w:rsidRPr="00EA199E">
              <w:rPr>
                <w:color w:val="auto"/>
                <w:sz w:val="24"/>
                <w:szCs w:val="24"/>
              </w:rPr>
              <w:t xml:space="preserve"> </w:t>
            </w:r>
            <w:r w:rsidRPr="00EA199E">
              <w:rPr>
                <w:color w:val="auto"/>
                <w:sz w:val="24"/>
                <w:szCs w:val="24"/>
              </w:rPr>
              <w:t xml:space="preserve">– pieteikumu iesniegšana un elektroniskās identifikācijas līdzekļu piešķiršana, nosacījumi e-pakalpojumu lietošanai, rīcība e-pakalpojumu tehnisku problēmu situācijā, kā arī Valsts kases rīcība e-pakalpojumu drošības nodrošināšanai un kvalitātes uzlabošanai apstrādājot fizisku personu datus (saskaņā ar </w:t>
            </w:r>
            <w:r w:rsidR="004106A8">
              <w:rPr>
                <w:color w:val="auto"/>
                <w:sz w:val="24"/>
                <w:szCs w:val="24"/>
              </w:rPr>
              <w:t>M</w:t>
            </w:r>
            <w:r w:rsidR="004106A8" w:rsidRPr="00EA199E">
              <w:rPr>
                <w:color w:val="auto"/>
                <w:sz w:val="24"/>
                <w:szCs w:val="24"/>
              </w:rPr>
              <w:t xml:space="preserve">aksājumu </w:t>
            </w:r>
            <w:r w:rsidRPr="00EA199E">
              <w:rPr>
                <w:color w:val="auto"/>
                <w:sz w:val="24"/>
                <w:szCs w:val="24"/>
              </w:rPr>
              <w:t xml:space="preserve">pakalpojumu un </w:t>
            </w:r>
            <w:r w:rsidRPr="00EA199E">
              <w:rPr>
                <w:color w:val="auto"/>
                <w:sz w:val="24"/>
                <w:szCs w:val="24"/>
              </w:rPr>
              <w:lastRenderedPageBreak/>
              <w:t>elektroniskās naudas likuma noteiktajām tiesībām un pienākumiem, t.sk., lai pierādītu lietotāju veiktās darbības).</w:t>
            </w:r>
          </w:p>
          <w:p w14:paraId="135D05C5" w14:textId="21AFF5CC" w:rsidR="008A0093" w:rsidRPr="00EA199E" w:rsidRDefault="00B6541F" w:rsidP="00066982">
            <w:pPr>
              <w:pStyle w:val="tv2132"/>
              <w:spacing w:line="240" w:lineRule="auto"/>
              <w:ind w:firstLine="514"/>
              <w:jc w:val="both"/>
              <w:rPr>
                <w:iCs/>
                <w:color w:val="auto"/>
                <w:sz w:val="24"/>
                <w:szCs w:val="24"/>
              </w:rPr>
            </w:pPr>
            <w:r w:rsidRPr="00EA199E">
              <w:rPr>
                <w:color w:val="auto"/>
                <w:sz w:val="24"/>
                <w:szCs w:val="24"/>
              </w:rPr>
              <w:t>ePlāni</w:t>
            </w:r>
            <w:r w:rsidR="002469A6">
              <w:rPr>
                <w:color w:val="auto"/>
                <w:sz w:val="24"/>
                <w:szCs w:val="24"/>
              </w:rPr>
              <w:t xml:space="preserve"> </w:t>
            </w:r>
            <w:r w:rsidR="00385B6B" w:rsidRPr="00EA199E">
              <w:rPr>
                <w:color w:val="auto"/>
                <w:sz w:val="24"/>
                <w:szCs w:val="24"/>
              </w:rPr>
              <w:t>–</w:t>
            </w:r>
            <w:r w:rsidRPr="00EA199E">
              <w:rPr>
                <w:color w:val="auto"/>
                <w:sz w:val="24"/>
                <w:szCs w:val="24"/>
              </w:rPr>
              <w:t xml:space="preserve"> </w:t>
            </w:r>
            <w:r w:rsidR="008A0093" w:rsidRPr="00EA199E">
              <w:rPr>
                <w:color w:val="auto"/>
                <w:sz w:val="24"/>
                <w:szCs w:val="24"/>
              </w:rPr>
              <w:t>elektroniskās informācijas apmaiņai tiek lietoti, lai nodrošinātu finansēšanas plānu sagatavošanu, iesniegšanu Valsts kasei un asignējumu saņemšanu Ministru kabineta 2010.</w:t>
            </w:r>
            <w:r w:rsidR="00385B6B">
              <w:rPr>
                <w:color w:val="auto"/>
                <w:sz w:val="24"/>
                <w:szCs w:val="24"/>
              </w:rPr>
              <w:t> </w:t>
            </w:r>
            <w:r w:rsidR="008A0093" w:rsidRPr="00EA199E">
              <w:rPr>
                <w:color w:val="auto"/>
                <w:sz w:val="24"/>
                <w:szCs w:val="24"/>
              </w:rPr>
              <w:t>gada 28.</w:t>
            </w:r>
            <w:r w:rsidR="00385B6B">
              <w:rPr>
                <w:color w:val="auto"/>
                <w:sz w:val="24"/>
                <w:szCs w:val="24"/>
              </w:rPr>
              <w:t> </w:t>
            </w:r>
            <w:r w:rsidR="008A0093" w:rsidRPr="00EA199E">
              <w:rPr>
                <w:color w:val="auto"/>
                <w:sz w:val="24"/>
                <w:szCs w:val="24"/>
              </w:rPr>
              <w:t>decembra noteikumos Nr.</w:t>
            </w:r>
            <w:r w:rsidR="00385B6B">
              <w:rPr>
                <w:color w:val="auto"/>
                <w:sz w:val="24"/>
                <w:szCs w:val="24"/>
              </w:rPr>
              <w:t> </w:t>
            </w:r>
            <w:r w:rsidR="008A0093" w:rsidRPr="00EA199E">
              <w:rPr>
                <w:color w:val="auto"/>
                <w:sz w:val="24"/>
                <w:szCs w:val="24"/>
              </w:rPr>
              <w:t>1220 “Asignējumu piešķiršanas un izpildes kārtība”  noteiktajā kārtībā.</w:t>
            </w:r>
          </w:p>
          <w:p w14:paraId="72B31A73" w14:textId="3B695D31" w:rsidR="008A0093" w:rsidRPr="00EA199E" w:rsidRDefault="00B6541F" w:rsidP="0063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eTāmes</w:t>
            </w:r>
            <w:r w:rsidR="0038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B6B" w:rsidRPr="00EA199E">
              <w:rPr>
                <w:sz w:val="24"/>
                <w:szCs w:val="24"/>
              </w:rPr>
              <w:t>–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A0093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elektroniskās informācijas apmaiņai tiek lietotas, lai nodrošinātu </w:t>
            </w:r>
            <w:r w:rsidR="00385B6B" w:rsidRPr="00385B6B">
              <w:rPr>
                <w:rFonts w:ascii="Times New Roman" w:hAnsi="Times New Roman" w:cs="Times New Roman"/>
                <w:sz w:val="24"/>
                <w:szCs w:val="24"/>
              </w:rPr>
              <w:t>valsts budžeta programmu, apakšprogrammu un pasākumu</w:t>
            </w:r>
            <w:r w:rsidR="0038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6B" w:rsidRPr="00EA199E">
              <w:rPr>
                <w:rFonts w:ascii="Times New Roman" w:hAnsi="Times New Roman" w:cs="Times New Roman"/>
                <w:sz w:val="24"/>
                <w:szCs w:val="24"/>
              </w:rPr>
              <w:t>tām</w:t>
            </w:r>
            <w:r w:rsidR="00385B6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8A0093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sagatavošanu, </w:t>
            </w:r>
            <w:r w:rsidR="008A0093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precizēšanu un apstiprināšanu</w:t>
            </w:r>
            <w:r w:rsidR="008A0093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93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2018.</w:t>
            </w:r>
            <w:r w:rsidR="0038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093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11.</w:t>
            </w:r>
            <w:r w:rsidR="0038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093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instrukcijā Nr.</w:t>
            </w:r>
            <w:r w:rsidR="0038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093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“Instrukcija par valsts budžeta tāmēm” noteiktajā kārtībā.</w:t>
            </w:r>
          </w:p>
          <w:p w14:paraId="1871F8B0" w14:textId="6943DB1B" w:rsidR="008A0093" w:rsidRPr="00EA199E" w:rsidRDefault="008A0093" w:rsidP="00066982">
            <w:pPr>
              <w:spacing w:after="0" w:line="240" w:lineRule="auto"/>
              <w:ind w:right="140" w:firstLine="5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eKas</w:t>
            </w:r>
            <w:r w:rsidR="00B6541F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02DF" w:rsidRPr="00EA199E">
              <w:rPr>
                <w:sz w:val="24"/>
                <w:szCs w:val="24"/>
              </w:rPr>
              <w:t>–</w:t>
            </w:r>
            <w:r w:rsidR="00B6541F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elektroniskās informācijas apmaiņai tiek lietota, lai nodrošinātu </w:t>
            </w:r>
            <w:r w:rsidR="00D6579B">
              <w:rPr>
                <w:rFonts w:ascii="Times New Roman" w:hAnsi="Times New Roman" w:cs="Times New Roman"/>
                <w:sz w:val="24"/>
                <w:szCs w:val="24"/>
              </w:rPr>
              <w:t>MK noteikumos</w:t>
            </w:r>
            <w:r w:rsidR="00D6579B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D657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579B" w:rsidRPr="00EA199E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noteikto maksājumu rīkojumu un pieteikumu iesniegšanu un finanšu informācijas apmaiņu.</w:t>
            </w:r>
          </w:p>
          <w:p w14:paraId="0D6A7E74" w14:textId="77777777" w:rsidR="00066982" w:rsidRDefault="008A0093" w:rsidP="00066982">
            <w:pPr>
              <w:spacing w:after="0" w:line="240" w:lineRule="auto"/>
              <w:ind w:right="140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ePārskati</w:t>
            </w:r>
            <w:r w:rsidR="00420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02DF" w:rsidRPr="00EA199E">
              <w:rPr>
                <w:sz w:val="24"/>
                <w:szCs w:val="24"/>
              </w:rPr>
              <w:t>–</w:t>
            </w:r>
            <w:r w:rsidR="00B6541F"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elektroniskās informācijas apmaiņai tiek lietoti, lai nodrošinātu Ministru kabineta </w:t>
            </w:r>
            <w:r w:rsidR="009828DE">
              <w:rPr>
                <w:rFonts w:ascii="Times New Roman" w:hAnsi="Times New Roman" w:cs="Times New Roman"/>
                <w:sz w:val="24"/>
                <w:szCs w:val="24"/>
              </w:rPr>
              <w:t xml:space="preserve">noteikumos, kuri pārskatu iesniegšanai nosaka izmantot Valsts kases e-pakalpojumu,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noteikto pārskatu sagatavošanu, pārbaudi un iesniegšanu Valsts kasei </w:t>
            </w:r>
            <w:r w:rsidR="009828DE">
              <w:rPr>
                <w:rFonts w:ascii="Times New Roman" w:hAnsi="Times New Roman" w:cs="Times New Roman"/>
                <w:sz w:val="24"/>
                <w:szCs w:val="24"/>
              </w:rPr>
              <w:t xml:space="preserve">un citām iestādēm </w:t>
            </w:r>
            <w:r w:rsidR="009828DE" w:rsidRPr="00EA199E">
              <w:rPr>
                <w:rFonts w:ascii="Times New Roman" w:hAnsi="Times New Roman" w:cs="Times New Roman"/>
                <w:sz w:val="24"/>
                <w:szCs w:val="24"/>
              </w:rPr>
              <w:t>(piemēram, Izglītības un zinātnes ministrija</w:t>
            </w:r>
            <w:r w:rsidR="009B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28DE" w:rsidRPr="00EA199E">
              <w:rPr>
                <w:rFonts w:ascii="Times New Roman" w:hAnsi="Times New Roman" w:cs="Times New Roman"/>
                <w:sz w:val="24"/>
                <w:szCs w:val="24"/>
              </w:rPr>
              <w:t>, Satiksmes ministrija</w:t>
            </w:r>
            <w:r w:rsidR="009B1B97">
              <w:rPr>
                <w:rFonts w:ascii="Times New Roman" w:hAnsi="Times New Roman" w:cs="Times New Roman"/>
                <w:sz w:val="24"/>
                <w:szCs w:val="24"/>
              </w:rPr>
              <w:t>i, Centrālajai</w:t>
            </w:r>
            <w:r w:rsidR="009828DE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vēlēšanu komisija</w:t>
            </w:r>
            <w:r w:rsidR="009B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28DE" w:rsidRPr="00EA199E">
              <w:rPr>
                <w:rFonts w:ascii="Times New Roman" w:hAnsi="Times New Roman" w:cs="Times New Roman"/>
                <w:sz w:val="24"/>
                <w:szCs w:val="24"/>
              </w:rPr>
              <w:t>, Labklājības ministrija</w:t>
            </w:r>
            <w:r w:rsidR="009B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28DE" w:rsidRPr="00EA199E">
              <w:rPr>
                <w:rFonts w:ascii="Times New Roman" w:hAnsi="Times New Roman" w:cs="Times New Roman"/>
                <w:sz w:val="24"/>
                <w:szCs w:val="24"/>
              </w:rPr>
              <w:t>, u.c.)</w:t>
            </w:r>
            <w:r w:rsidR="008A2B39">
              <w:rPr>
                <w:rFonts w:ascii="Times New Roman" w:hAnsi="Times New Roman" w:cs="Times New Roman"/>
                <w:sz w:val="24"/>
                <w:szCs w:val="24"/>
              </w:rPr>
              <w:t>. eP</w:t>
            </w:r>
            <w:r w:rsidR="00DE489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305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2B39">
              <w:rPr>
                <w:rFonts w:ascii="Times New Roman" w:hAnsi="Times New Roman" w:cs="Times New Roman"/>
                <w:sz w:val="24"/>
                <w:szCs w:val="24"/>
              </w:rPr>
              <w:t>skatus lieto arī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salīdzināšanās proce</w:t>
            </w:r>
            <w:r w:rsidR="00885AF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veikšan</w:t>
            </w:r>
            <w:r w:rsidR="008A2B3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par kontu atlikumiem un darījumiem starp vispārējās valdības struktūrām (izņemot šo struktūru kontrolētus un finansētus komersantus, kuru sarakstu nodrošina Centrālā statistikas pārvalde un speciālās ekonomiskās zonas, ostu un brīvostu pārvaldes). </w:t>
            </w:r>
          </w:p>
          <w:p w14:paraId="0695BABA" w14:textId="5AA88105" w:rsidR="008A0093" w:rsidRPr="00EA199E" w:rsidRDefault="008A0093" w:rsidP="00066982">
            <w:pPr>
              <w:spacing w:after="0" w:line="240" w:lineRule="auto"/>
              <w:ind w:right="140" w:firstLine="5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eAizņēmum</w:t>
            </w:r>
            <w:r w:rsidR="00B6541F"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D11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156D" w:rsidRPr="00EA199E">
              <w:rPr>
                <w:sz w:val="24"/>
                <w:szCs w:val="24"/>
              </w:rPr>
              <w:t>–</w:t>
            </w:r>
            <w:r w:rsidR="00B6541F"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>elektroniskās informācijas apmaiņai ti</w:t>
            </w:r>
            <w:r w:rsidR="00C064D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lietoti, lai</w:t>
            </w:r>
            <w:r w:rsidRPr="00EA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nodrošinātu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  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>gada 13.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 xml:space="preserve">augusta 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>noteikumos Nr.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“Kārtība, kādā ministrijas un citas centrālās valsts iestādes iekļauj gadskārtējā valsts budžeta likumprojektā valsts aizdevumu pieprasījumus, un valsts aizdevumu izsniegšanas un apkalpošanas kārtība” un </w:t>
            </w:r>
            <w:r w:rsidRPr="00EA1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 w:rsidR="00DD4E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sz w:val="24"/>
                <w:szCs w:val="24"/>
              </w:rPr>
              <w:t xml:space="preserve">decembra </w:t>
            </w:r>
            <w:r w:rsidRPr="00EA199E">
              <w:rPr>
                <w:rFonts w:ascii="Times New Roman" w:hAnsi="Times New Roman" w:cs="Times New Roman"/>
                <w:bCs/>
                <w:sz w:val="24"/>
                <w:szCs w:val="24"/>
              </w:rPr>
              <w:t>noteikumos Nr.</w:t>
            </w:r>
            <w:r w:rsidR="00DD4E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945BC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  <w:r w:rsidRPr="00EA1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“Noteikumi par pašvaldību aizņēmumiem un galvojumiem” vai noslēgtajos valsts aizdevuma līgumos noteikto aizņēmumu pieprasījumu iesniegšanu un piešķirto aizņēmumu pārvaldību.</w:t>
            </w:r>
          </w:p>
          <w:p w14:paraId="70BF4FEE" w14:textId="416D87AF" w:rsidR="000A262F" w:rsidRDefault="00FB5853" w:rsidP="00066982">
            <w:pPr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Noteikumu projekt</w:t>
            </w:r>
            <w:r w:rsidR="00E47B65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 </w:t>
            </w:r>
            <w:r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regulē lietotājam piešķiramo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elektroniskās identifikācijas 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līdzekļus</w:t>
            </w:r>
            <w:r w:rsidR="009201D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nosakot, ka</w:t>
            </w:r>
            <w:r w:rsidR="003B3700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autentifikācijai</w:t>
            </w:r>
            <w:r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piešķiramie elektroniskās identifikācijas līdzekļi ir </w:t>
            </w:r>
            <w:r w:rsidR="00066A2E" w:rsidRPr="00EA199E">
              <w:rPr>
                <w:rFonts w:ascii="Times New Roman" w:hAnsi="Times New Roman" w:cs="Times New Roman"/>
                <w:sz w:val="24"/>
                <w:szCs w:val="24"/>
              </w:rPr>
              <w:t>Valsts reģionālās attīstības aģentūras pārziņā esošā valsts informācijas sistēmu savietotāja personas identifikācijas risinājums</w:t>
            </w:r>
            <w:r w:rsidR="00FE1D59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(turpmāk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8B7" w:rsidRPr="00EA199E">
              <w:rPr>
                <w:rFonts w:ascii="Times New Roman" w:hAnsi="Times New Roman" w:cs="Times New Roman"/>
                <w:sz w:val="24"/>
                <w:szCs w:val="24"/>
              </w:rPr>
              <w:t>– V</w:t>
            </w:r>
            <w:r w:rsidR="00066A2E" w:rsidRPr="00EA199E">
              <w:rPr>
                <w:rFonts w:ascii="Times New Roman" w:hAnsi="Times New Roman" w:cs="Times New Roman"/>
                <w:sz w:val="24"/>
                <w:szCs w:val="24"/>
              </w:rPr>
              <w:t>ienotās pieteikšanās modulis) vai VAS Latvijas Valsts radio un televīzijas centra e-Identitātes apliecināšanas risinājuma atbalstītie elektroniskās identifikācijas līdzekļi, vai x509 autentifikācijas sertifikāts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B3700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Savukārt </w:t>
            </w:r>
            <w:r w:rsidR="003B3700" w:rsidRPr="00EA199E">
              <w:rPr>
                <w:rFonts w:ascii="Times New Roman" w:hAnsi="Times New Roman" w:cs="Times New Roman"/>
                <w:sz w:val="24"/>
                <w:szCs w:val="24"/>
              </w:rPr>
              <w:t>eKasē maksājumu parakstīšanai (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3700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utorizēšanai) piešķiramie elektroniskās identifikācijas līdzekļi ir 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radio un televīzijas centra e-Identitātes apliecināšanas </w:t>
            </w:r>
            <w:r w:rsidR="003B3700" w:rsidRPr="00EA199E">
              <w:rPr>
                <w:rFonts w:ascii="Times New Roman" w:hAnsi="Times New Roman" w:cs="Times New Roman"/>
                <w:sz w:val="24"/>
                <w:szCs w:val="24"/>
              </w:rPr>
              <w:t>risinājuma atbalstītie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elektroniskās identif</w:t>
            </w:r>
            <w:r w:rsidR="003B3700" w:rsidRPr="00EA199E">
              <w:rPr>
                <w:rFonts w:ascii="Times New Roman" w:hAnsi="Times New Roman" w:cs="Times New Roman"/>
                <w:sz w:val="24"/>
                <w:szCs w:val="24"/>
              </w:rPr>
              <w:t>ikācijas līdzekļi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168B7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E1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elektroniskā paraksta viedkarte, elektroniskā paraksta aplikācija 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30E1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eParaksts mobile vai personas apliecība</w:t>
            </w:r>
            <w:r w:rsidR="00DA40EF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99E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026441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r noteikumu projektu i</w:t>
            </w:r>
            <w:r w:rsidR="00FC6836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zdošanu jaunā redakcijā</w:t>
            </w:r>
            <w:r w:rsidR="00462FF5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C6836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vairs netiek noteikts regulējums Valsts kases </w:t>
            </w:r>
            <w:r w:rsid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līdz šim 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izsniegtaj</w:t>
            </w:r>
            <w:r w:rsidR="0061089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026441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elektroniskās identifikācijas līdzek</w:t>
            </w:r>
            <w:r w:rsidR="00BC6015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im</w:t>
            </w:r>
            <w:r w:rsid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026441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kodu kalkulator</w:t>
            </w:r>
            <w:r w:rsidR="00066A2E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>am.</w:t>
            </w:r>
            <w:r w:rsidR="000F49CD" w:rsidRPr="00EA1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6441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>uz laiku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>, līdz to darbības pārtraukšanai,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41" w:rsidRPr="00EA199E">
              <w:rPr>
                <w:rFonts w:ascii="Times New Roman" w:hAnsi="Times New Roman" w:cs="Times New Roman"/>
                <w:sz w:val="24"/>
                <w:szCs w:val="24"/>
              </w:rPr>
              <w:t>nodrošinātu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41" w:rsidRPr="00EA199E">
              <w:rPr>
                <w:rFonts w:ascii="Times New Roman" w:hAnsi="Times New Roman" w:cs="Times New Roman"/>
                <w:sz w:val="24"/>
                <w:szCs w:val="24"/>
              </w:rPr>
              <w:t>tiesisko pamatu</w:t>
            </w:r>
            <w:r w:rsidR="00FC6836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kodu kalkulatora 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>lietošanai</w:t>
            </w:r>
            <w:r w:rsidR="00026441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0F49CD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pārejas 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>noteikumu redakcijā noteikts</w:t>
            </w:r>
            <w:r w:rsidR="00026441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214DF7" w:rsidRPr="00EA199E">
              <w:rPr>
                <w:rFonts w:ascii="Times New Roman" w:hAnsi="Times New Roman" w:cs="Times New Roman"/>
                <w:sz w:val="24"/>
                <w:szCs w:val="24"/>
              </w:rPr>
              <w:t>kodu kalkulator</w:t>
            </w:r>
            <w:r w:rsidR="00462FF5" w:rsidRPr="00EA19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4DF7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lietošanu</w:t>
            </w:r>
            <w:r w:rsidR="00EA199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214DF7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 pārtraukšanu </w:t>
            </w:r>
            <w:r w:rsidR="009B0F3C" w:rsidRPr="00EA199E">
              <w:rPr>
                <w:rFonts w:ascii="Times New Roman" w:hAnsi="Times New Roman" w:cs="Times New Roman"/>
                <w:sz w:val="24"/>
                <w:szCs w:val="24"/>
              </w:rPr>
              <w:t xml:space="preserve">līdz to derīguma termiņa beigām vai līdz brīdim, kad Valsts kase pārtrauc to </w:t>
            </w:r>
            <w:r w:rsidR="008E7B14">
              <w:rPr>
                <w:rFonts w:ascii="Times New Roman" w:hAnsi="Times New Roman" w:cs="Times New Roman"/>
                <w:sz w:val="24"/>
                <w:szCs w:val="24"/>
              </w:rPr>
              <w:t xml:space="preserve">nodrošināšanu </w:t>
            </w:r>
            <w:r w:rsidR="008E7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nosaka metodiskie norādījumi, kuri publicēti Valsts kases tīmekļvietnē </w:t>
            </w:r>
            <w:r w:rsidR="008E7B14" w:rsidRPr="0040214D">
              <w:rPr>
                <w:rFonts w:ascii="Times New Roman" w:hAnsi="Times New Roman" w:cs="Times New Roman"/>
                <w:iCs/>
                <w:sz w:val="24"/>
                <w:szCs w:val="24"/>
              </w:rPr>
              <w:t>https://www.kase.gov.lv</w:t>
            </w:r>
            <w:r w:rsidR="009B0F3C" w:rsidRPr="00EA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B1CB1" w14:textId="482BF7F9" w:rsidR="000F36E4" w:rsidRPr="00EA199E" w:rsidRDefault="00942CED" w:rsidP="00066982">
            <w:pPr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>reglamentēta arī klienta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rīcīb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e-pakalpojumu tehnisku problēmu gadījumā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 xml:space="preserve">, ja informācijas apriti e-pakalpojumos </w:t>
            </w:r>
            <w:r w:rsidR="00066982" w:rsidRPr="00066982">
              <w:rPr>
                <w:rFonts w:ascii="Times New Roman" w:hAnsi="Times New Roman" w:cs="Times New Roman"/>
                <w:sz w:val="24"/>
                <w:szCs w:val="24"/>
              </w:rPr>
              <w:t xml:space="preserve">pilnībā vai daļēji 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 xml:space="preserve">nav iespējams nodrošināt </w:t>
            </w:r>
            <w:r w:rsidR="00066982" w:rsidRPr="00066982">
              <w:rPr>
                <w:rFonts w:ascii="Times New Roman" w:hAnsi="Times New Roman" w:cs="Times New Roman"/>
                <w:sz w:val="24"/>
                <w:szCs w:val="24"/>
              </w:rPr>
              <w:t>ilgāk par sešām stundām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Ņemot vērā, ka  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av iespējams prognozēt visas iespējamās tehnisko problēmu situācijas, t.sk. pieejamos saziņas kanālus ar Valsts kasi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 xml:space="preserve"> un pakalpojuma izpildē iesaistītās tehniskās infrastruktūras pieejamību</w:t>
            </w: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projekta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>.punkt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>ā ir noteikts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 xml:space="preserve">, ka klientam 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 xml:space="preserve">par informācijas apriti </w:t>
            </w:r>
            <w:r w:rsidR="00AB2F4A" w:rsidRPr="00942CED">
              <w:rPr>
                <w:rFonts w:ascii="Times New Roman" w:hAnsi="Times New Roman" w:cs="Times New Roman"/>
                <w:sz w:val="24"/>
                <w:szCs w:val="24"/>
              </w:rPr>
              <w:t>ārpus e-pakalpojuma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 xml:space="preserve"> ir jāvienojas 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>ar Valsts kas</w:t>
            </w:r>
            <w:r w:rsidR="00AB2F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6E4" w:rsidRPr="000F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CB6DC" w14:textId="76788170" w:rsidR="00386A9E" w:rsidRPr="007E1454" w:rsidRDefault="000A262F" w:rsidP="00066982">
            <w:pPr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ņemtas vērā Eiropas Parlamenta un Padomes 2016</w:t>
            </w:r>
            <w:r w:rsidR="00013FD6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Regulas (ES) 2016/679 par fizisku personu aizsardzību attiecībā uz personas datu apstrādi un šādu datu brīvu apriti</w:t>
            </w:r>
            <w:r w:rsidR="00005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 atceļ Direktīvu 95/46/EK prasības, kas de facto jau ir ieviestas kopš Regulas piemērošanas 2018.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maijā. </w:t>
            </w:r>
            <w:r w:rsidR="00386A9E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ir nostiprināta Valsts kases kā pārziņa loma attiecībā uz noteikumu projekta 3</w:t>
            </w:r>
            <w:r w:rsidR="002473E5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86A9E" w:rsidRPr="00EA1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minētajos pieteikumos no Klientiem saņemtajiem personas datiem, kā arī definēts Valsts kases kā apstrādātāja statuss attiecībā uz Klientu ePakalpojumos ievadīto informāciju, kas </w:t>
            </w:r>
            <w:r w:rsidR="00386A9E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saturēt personas datus. </w:t>
            </w:r>
          </w:p>
          <w:p w14:paraId="747B2512" w14:textId="3712ECA6" w:rsidR="00054F9D" w:rsidRDefault="00386A9E" w:rsidP="00066982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2473E5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="00524AC1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ir</w:t>
            </w: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nostiprin</w:t>
            </w:r>
            <w:r w:rsidR="00524AC1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ātas</w:t>
            </w: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kases kā pārziņa</w:t>
            </w:r>
            <w:r w:rsidR="0009795B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16DB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īstenojot likumīgi piešķirtās oficiālās pilnvaras (regulas 6.panta pirmās daļas </w:t>
            </w:r>
            <w:r w:rsidR="009226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B016DB"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apakšpunkts)</w:t>
            </w: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2638ABE" w14:textId="463855A6" w:rsidR="0009795B" w:rsidRDefault="0009795B" w:rsidP="00066982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27.2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apstrād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5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piekļuves informācija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lietota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iespējami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plaš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ākai normas skaidrošanai</w:t>
            </w:r>
            <w:r w:rsidR="00500B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neuzskaitot tā</w:t>
            </w:r>
            <w:r w:rsidR="0052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00B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veidus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</w:t>
            </w:r>
            <w:r w:rsidR="006C2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būtu iespējams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nodrošināt iespējamo datu elementu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izmantošanu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tehnikas attīstības līmenim</w:t>
            </w:r>
            <w:r w:rsidR="00D130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A0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pieņemot, ka nākotnē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 papildināties ar citiem raksturlielumiem. </w:t>
            </w:r>
            <w:r w:rsidR="006C2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 šāda tehniskās piekļuves informācija: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pieslēgšanās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IP adres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pārlūka versij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iestatīju</w:t>
            </w:r>
            <w:r w:rsidR="00C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FE3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</w:t>
            </w:r>
          </w:p>
          <w:p w14:paraId="3534139D" w14:textId="44A33FFD" w:rsidR="00FE3BBD" w:rsidRDefault="00410F8B" w:rsidP="00AB2F4A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CB42DA" w:rsidRPr="0052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Vispārīgai datu aizsardzības regulai</w:t>
            </w:r>
            <w:r w:rsidR="0052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A7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2016/679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lānotā datu apstrāde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e-pakalpojumos,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egulas 35.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13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3.</w:t>
            </w:r>
            <w:r w:rsidR="00247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daļā norādītos kritērijus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  <w:r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apstrādes rakstur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apjom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kontekst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nolūks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E3BBD" w:rsidRPr="000979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nerada augstu risku fizisku personu tiesībām un brīvīb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ai.</w:t>
            </w:r>
          </w:p>
          <w:p w14:paraId="6D6AA143" w14:textId="5D554C72" w:rsidR="00E855FD" w:rsidRPr="00EA199E" w:rsidRDefault="00524AC1" w:rsidP="003023FE">
            <w:pPr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Noteikumu projekta </w:t>
            </w:r>
            <w:r w:rsidR="002D3E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27., </w:t>
            </w:r>
            <w:r w:rsidR="003023FE">
              <w:rPr>
                <w:rFonts w:ascii="Times New Roman" w:hAnsi="Times New Roman" w:cs="Times New Roman"/>
                <w:iCs/>
                <w:sz w:val="24"/>
                <w:szCs w:val="24"/>
              </w:rPr>
              <w:t>30. </w:t>
            </w:r>
            <w:r w:rsidR="0077349B" w:rsidRPr="0077349B">
              <w:rPr>
                <w:rFonts w:ascii="Times New Roman" w:hAnsi="Times New Roman" w:cs="Times New Roman"/>
                <w:iCs/>
                <w:sz w:val="24"/>
                <w:szCs w:val="24"/>
              </w:rPr>
              <w:t>punktā minēto datu glabāšanas termiņus un dzēšanas kārtību</w:t>
            </w:r>
            <w:r w:rsidR="001B6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Valsts kase, kā pārzinis</w:t>
            </w:r>
            <w:r w:rsidR="00C94D1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B6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nosaka</w:t>
            </w:r>
            <w:r w:rsidR="002D3E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iekšējos normatīvajos aktos</w:t>
            </w:r>
            <w:r w:rsidR="003732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94D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Valsts kases apstrādājamajiem datiem </w:t>
            </w:r>
            <w:r w:rsidR="00D65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maksājumu rīkojumu un finanšu informācijas datiem</w:t>
            </w:r>
            <w:r w:rsidR="007A50DA">
              <w:t xml:space="preserve"> </w:t>
            </w:r>
            <w:r w:rsid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A50DA" w:rsidRP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askaņā ar </w:t>
            </w:r>
            <w:r w:rsid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7A50DA" w:rsidRP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ikuma </w:t>
            </w:r>
            <w:r w:rsid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grāmatvedību 10.</w:t>
            </w:r>
            <w:r w:rsidR="00302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50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pantā noteikto, 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noteikts glabāšanas termiņš 5 gadi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</w:t>
            </w:r>
            <w:r w:rsidR="00740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tehniskas piekļuves informācija </w:t>
            </w:r>
            <w:r w:rsidR="00D65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 vārds, uzvārds, personas kods, e-pasts, tālrunis tiek gl</w:t>
            </w:r>
            <w:r w:rsidR="00905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abāts 5 gadus kā nedalāma kopa. Balss zvanu ieraksti tiek glabāti 18 mēnešus pēc ieraksta veikšanas. Minētie termiņi tiek piemēroti, 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pakalpojumu kvalitāti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9250D" w:rsidRP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iekārtas likums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 w:rsidR="00302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pants)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datu izcelsmes izsekojamību un izcelsmes pierādāmību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9250D" w:rsidRP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Maksājumu pakalpojumu un elektroniskās naudas likums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250D" w:rsidRP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XIV</w:t>
            </w:r>
            <w:r w:rsidR="00C143E1" w:rsidRPr="00C14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79250D" w:rsidRP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nodaļa</w:t>
            </w:r>
            <w:r w:rsidR="007925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informācijas tehnoloģiju drošības incidentu novēršanu (vai pierādījumus izmeklēšanai) normatīvajos aktos (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</w:t>
            </w:r>
            <w:r w:rsidR="00302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28</w:t>
            </w:r>
            <w:r w:rsidR="00302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 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not. Nr.</w:t>
            </w:r>
            <w:r w:rsidR="00302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</w:t>
            </w:r>
            <w:r w:rsidR="00971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“Kārtība, kādā tiek nodrošināta informācijas un komunikācijas tehnoloģiju sistēmu a</w:t>
            </w:r>
            <w:r w:rsidR="00740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tbilstība minimālajām drošības prasībām”</w:t>
            </w:r>
            <w:r w:rsidR="00C6305A" w:rsidRP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noteiktajā kārtībā</w:t>
            </w:r>
            <w:r w:rsidR="00C63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69D4" w:rsidRPr="005B1D34" w14:paraId="0819029E" w14:textId="77777777" w:rsidTr="00F211B3">
        <w:trPr>
          <w:trHeight w:val="372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854F0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F4E0E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kapitāl-sabiedrības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26B3E" w14:textId="6EE42571" w:rsidR="005769D4" w:rsidRPr="005B1D34" w:rsidRDefault="00386A9E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A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ministrija (Valsts kase).</w:t>
            </w:r>
          </w:p>
        </w:tc>
      </w:tr>
      <w:tr w:rsidR="005769D4" w:rsidRPr="005B1D34" w14:paraId="5CF20EEF" w14:textId="77777777" w:rsidTr="00F211B3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619C0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6B6FD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14:paraId="781539F5" w14:textId="6DA9DBC2" w:rsidR="00680F2E" w:rsidRDefault="00680F2E" w:rsidP="00680F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Valsts budžeta iestādes var izmantot ePārskatus informācijas apmaiņai un finanšu datu apkopošanai, </w:t>
            </w:r>
            <w:r w:rsidR="00CF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piešķirto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valsts budžeta līdzekļu </w:t>
            </w:r>
            <w:r w:rsidR="00CF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izlietojuma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uzraudzībai. </w:t>
            </w:r>
          </w:p>
          <w:p w14:paraId="5413796C" w14:textId="77777777" w:rsidR="005769D4" w:rsidRDefault="00680F2E" w:rsidP="00680F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Iestāde, kas finanšu datu apkopošanai vēlas izmantot ePārskatus, saskaņo ar Finanšu ministriju (Valsts kasi) normatīvo aktu, kurš nosaka informācijas apjomu (pārskata dizainu) un paredz ePārskatu lietošanu.</w:t>
            </w:r>
          </w:p>
          <w:p w14:paraId="09F6D264" w14:textId="67F1FF3E" w:rsidR="009127A0" w:rsidRPr="005B1D34" w:rsidRDefault="00660F71" w:rsidP="00660F7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</w:t>
            </w:r>
            <w:r w:rsidR="00CB1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 xml:space="preserve"> norādījumu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>, e-pakalpojumu pieteikumu veidlap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 xml:space="preserve"> un lietotāj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 xml:space="preserve"> ceļve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 xml:space="preserve"> vai rokasgrāmat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 xml:space="preserve"> izstrādi un publicēšanu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ārējā </w:t>
            </w:r>
            <w:r w:rsidRPr="009127A0">
              <w:rPr>
                <w:rFonts w:ascii="Times New Roman" w:hAnsi="Times New Roman" w:cs="Times New Roman"/>
                <w:sz w:val="24"/>
                <w:szCs w:val="24"/>
              </w:rPr>
              <w:t>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e-pakalpojumā </w:t>
            </w:r>
            <w:r w:rsidR="009127A0">
              <w:rPr>
                <w:rFonts w:ascii="Times New Roman" w:hAnsi="Times New Roman" w:cs="Times New Roman"/>
                <w:sz w:val="24"/>
                <w:szCs w:val="24"/>
              </w:rPr>
              <w:t>veic Valsts kase.</w:t>
            </w:r>
          </w:p>
        </w:tc>
      </w:tr>
    </w:tbl>
    <w:p w14:paraId="4D33C10A" w14:textId="77777777" w:rsidR="005769D4" w:rsidRPr="005B1D34" w:rsidRDefault="005769D4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233"/>
        <w:gridCol w:w="6369"/>
      </w:tblGrid>
      <w:tr w:rsidR="005769D4" w:rsidRPr="005B1D34" w14:paraId="60EA65CD" w14:textId="77777777" w:rsidTr="00F211B3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816AC8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5769D4" w:rsidRPr="005B1D34" w14:paraId="3A24B9B2" w14:textId="77777777" w:rsidTr="00F211B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05FF0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D3454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D78EB" w14:textId="349E7361" w:rsidR="005769D4" w:rsidRPr="005B1D34" w:rsidRDefault="00331619" w:rsidP="00972D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iestādes, no valsts budžeta daļēji finansētas atvasinātas publiskas personas, budžeta nefinansētas iestādes, pašvaldības un to iestādes, ostu un brīvostu pārvaldes, zvērināti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izpildīt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āji,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nodibinājumi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reliģiskās organizācijas un to iestādes, citas budžeta finansētas institūcijas, kā arī personas, kurām normatīvajos aktos noteiktajā kārtībā ir pienākums sniegt pārskatus,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personas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nav konta rīkotājas, bet ir saņēmušas konta rīkotāja atļauju informācijas saņemšanai.</w:t>
            </w:r>
          </w:p>
        </w:tc>
      </w:tr>
      <w:tr w:rsidR="005769D4" w:rsidRPr="005B1D34" w14:paraId="0E25C37E" w14:textId="77777777" w:rsidTr="00F211B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4B1D7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74638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042F6" w14:textId="2EBA30A8" w:rsidR="005769D4" w:rsidRPr="00EA5CB2" w:rsidRDefault="009A55F1" w:rsidP="008E39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A55F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3D01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tiesiskais regulējums nemaina pienākumus un tiesības, līdz ar to neietekmē</w:t>
            </w:r>
            <w:r w:rsidRPr="009A55F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tautsaimniecību un budžeta iestāžu administratīvo vidi</w:t>
            </w:r>
            <w:r w:rsidR="00EA5C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Tajā skaitā </w:t>
            </w:r>
            <w:r w:rsidR="003343EE" w:rsidRP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e-pakalpojumu pieteikumu veidlapu un lietotāju ceļvežu vai rokasgrāmatu izstrād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 </w:t>
            </w:r>
            <w:r w:rsidR="00B475A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Valsts kasei 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nav jāveic, </w:t>
            </w:r>
            <w:r w:rsidR="00EA5C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minētā dokumentācija </w:t>
            </w:r>
            <w:r w:rsidR="000F7A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 izstrādāta</w:t>
            </w:r>
            <w:r w:rsidR="00EA5C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0F7A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jau</w:t>
            </w:r>
            <w:r w:rsidR="00EA5C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7A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kopš 2015.</w:t>
            </w:r>
            <w:r w:rsidR="005A13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F7A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 pieejam</w:t>
            </w:r>
            <w:r w:rsidR="00EA5C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klientiem</w:t>
            </w:r>
            <w:r w:rsidR="007A2B8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7A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kases tīmekļvietnē</w:t>
            </w:r>
            <w:r w:rsidR="003343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A5E6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1B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FC1B85" w:rsidRPr="00B475A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ficiālā elektroniskā adrese</w:t>
            </w:r>
            <w:r w:rsidR="00FC1B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 izmantošanu paredz </w:t>
            </w:r>
            <w:r w:rsidR="00FC1B85" w:rsidRPr="00DD4E32">
              <w:rPr>
                <w:rFonts w:ascii="Times New Roman" w:hAnsi="Times New Roman" w:cs="Times New Roman"/>
                <w:sz w:val="24"/>
                <w:szCs w:val="24"/>
              </w:rPr>
              <w:t>MK noteikumi Nr.</w:t>
            </w:r>
            <w:r w:rsidR="00FC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B85" w:rsidRPr="00DD4E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C1B85">
              <w:rPr>
                <w:rFonts w:ascii="Times New Roman" w:hAnsi="Times New Roman" w:cs="Times New Roman"/>
                <w:sz w:val="24"/>
                <w:szCs w:val="24"/>
              </w:rPr>
              <w:t>0 un 2016.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B85">
              <w:rPr>
                <w:rFonts w:ascii="Times New Roman" w:hAnsi="Times New Roman" w:cs="Times New Roman"/>
                <w:sz w:val="24"/>
                <w:szCs w:val="24"/>
              </w:rPr>
              <w:t>gada 16.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B85">
              <w:rPr>
                <w:rFonts w:ascii="Times New Roman" w:hAnsi="Times New Roman" w:cs="Times New Roman"/>
                <w:sz w:val="24"/>
                <w:szCs w:val="24"/>
              </w:rPr>
              <w:t>jūnija o</w:t>
            </w:r>
            <w:r w:rsidR="00FC1B85" w:rsidRPr="00B475A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ficiālās elektroniskās adreses likums</w:t>
            </w:r>
            <w:r w:rsidR="008E39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Savukārt elektronisku pieteikumu iesniegšanai, pēc atbilstošu izstrāžu veikšanas, </w:t>
            </w:r>
            <w:r w:rsidR="00FC1B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tiks izmantota </w:t>
            </w:r>
            <w:r w:rsidR="008E39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esošā</w:t>
            </w:r>
            <w:r w:rsidR="00FC1B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Valsts kases </w:t>
            </w:r>
            <w:r w:rsidR="008E3933" w:rsidRPr="008E39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pakalpojumu portāla platform</w:t>
            </w:r>
            <w:r w:rsidR="008E39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E3933" w:rsidRPr="008E39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https://epakalpojumi.kase.gov.lv</w:t>
            </w:r>
            <w:r w:rsidR="00FC1B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</w:tr>
      <w:tr w:rsidR="005769D4" w:rsidRPr="005B1D34" w14:paraId="61D39400" w14:textId="77777777" w:rsidTr="00F211B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9705E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8BDD0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C68B1C" w14:textId="275F2E43" w:rsidR="005769D4" w:rsidRPr="005B1D34" w:rsidRDefault="00331619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5769D4" w:rsidRPr="005B1D34" w14:paraId="603BF56D" w14:textId="77777777" w:rsidTr="00F211B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1B43F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CC8C1C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7E2FE" w14:textId="2D93D955" w:rsidR="005769D4" w:rsidRPr="005B1D34" w:rsidRDefault="00AA7A45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5769D4" w:rsidRPr="005B1D34" w14:paraId="0DF950ED" w14:textId="77777777" w:rsidTr="00F211B3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3378D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71E12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99080" w14:textId="5F4DF0E1" w:rsidR="005769D4" w:rsidRPr="005B1D34" w:rsidRDefault="00331619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453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30A24015" w14:textId="4208CA70" w:rsidR="005769D4" w:rsidRDefault="005769D4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61"/>
      </w:tblGrid>
      <w:tr w:rsidR="00E26822" w:rsidRPr="00CD458B" w14:paraId="33D39E65" w14:textId="77777777" w:rsidTr="00F211B3">
        <w:tc>
          <w:tcPr>
            <w:tcW w:w="5000" w:type="pct"/>
            <w:hideMark/>
          </w:tcPr>
          <w:p w14:paraId="2B3F3B53" w14:textId="77777777" w:rsidR="00E26822" w:rsidRPr="00CD458B" w:rsidRDefault="00E26822" w:rsidP="00F211B3">
            <w:pPr>
              <w:spacing w:after="120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D458B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7B6B9D" w:rsidRPr="00CD458B" w14:paraId="295544D3" w14:textId="77777777" w:rsidTr="00F211B3">
        <w:tc>
          <w:tcPr>
            <w:tcW w:w="5000" w:type="pct"/>
          </w:tcPr>
          <w:p w14:paraId="252F7982" w14:textId="6CC6CD91" w:rsidR="007B6B9D" w:rsidRPr="00CD458B" w:rsidRDefault="004536A6" w:rsidP="007B6B9D">
            <w:pPr>
              <w:spacing w:after="12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šo jomu neskar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D857D19" w14:textId="77777777" w:rsidR="00E26822" w:rsidRPr="005B1D34" w:rsidRDefault="00E26822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69D4" w:rsidRPr="005B1D34" w14:paraId="0641E93B" w14:textId="77777777" w:rsidTr="00D65FF3">
        <w:tc>
          <w:tcPr>
            <w:tcW w:w="9067" w:type="dxa"/>
          </w:tcPr>
          <w:p w14:paraId="5B813101" w14:textId="77777777" w:rsidR="005769D4" w:rsidRPr="005B1D34" w:rsidRDefault="005769D4" w:rsidP="00F211B3">
            <w:pPr>
              <w:spacing w:after="1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 </w:t>
            </w:r>
            <w:r w:rsidRPr="00E96CB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5769D4" w:rsidRPr="005B1D34" w14:paraId="0CA8C1D0" w14:textId="77777777" w:rsidTr="00D65FF3">
        <w:tc>
          <w:tcPr>
            <w:tcW w:w="9067" w:type="dxa"/>
          </w:tcPr>
          <w:p w14:paraId="299D2532" w14:textId="09A1FDB6" w:rsidR="005769D4" w:rsidRPr="005B1D34" w:rsidRDefault="004536A6" w:rsidP="001A7404">
            <w:pPr>
              <w:spacing w:after="1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B7D7B"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šo jomu neskar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1200973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7404" w14:paraId="22DC103D" w14:textId="77777777" w:rsidTr="00AB18A4">
        <w:trPr>
          <w:trHeight w:val="4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9627" w14:textId="77777777" w:rsidR="001A7404" w:rsidRDefault="001A7404" w:rsidP="00F211B3">
            <w:pPr>
              <w:ind w:left="142" w:righ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V. Tiesību akta projekta atbilstība Latvijas Republikas starptautiskajām saistībām</w:t>
            </w:r>
          </w:p>
        </w:tc>
      </w:tr>
      <w:tr w:rsidR="001A7404" w14:paraId="7B0656CD" w14:textId="77777777" w:rsidTr="00AB18A4">
        <w:trPr>
          <w:trHeight w:val="4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53B" w14:textId="24D549B3" w:rsidR="001A7404" w:rsidRDefault="004536A6" w:rsidP="00F211B3">
            <w:pPr>
              <w:ind w:left="142" w:right="8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7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DB6DD27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72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491"/>
        <w:gridCol w:w="7143"/>
      </w:tblGrid>
      <w:tr w:rsidR="005769D4" w:rsidRPr="005B1D34" w14:paraId="428FAFFD" w14:textId="77777777" w:rsidTr="00AB18A4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4F0C18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5769D4" w:rsidRPr="005B1D34" w14:paraId="44E03BE5" w14:textId="77777777" w:rsidTr="00AB18A4">
        <w:trPr>
          <w:trHeight w:val="432"/>
          <w:jc w:val="center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F4A63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8AC2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7E671" w14:textId="136E5E93" w:rsidR="005769D4" w:rsidRPr="00AB18A4" w:rsidRDefault="004536A6" w:rsidP="00E821E6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Informācija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par noteikumu projekta izstrādi publicē</w:t>
            </w:r>
            <w:r w:rsidR="00D87E5A">
              <w:rPr>
                <w:rFonts w:ascii="Times New Roman" w:hAnsi="Times New Roman" w:cs="Times New Roman"/>
                <w:iCs/>
                <w:sz w:val="24"/>
                <w:szCs w:val="24"/>
              </w:rPr>
              <w:t>ta</w:t>
            </w:r>
            <w:r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ministrijas tīmekļvietnē sadaļā “Sabiedrības līdzdalība”– “Tiesību aktu projekti”– “Grāmatvedības politika”,</w:t>
            </w:r>
            <w:r w:rsidR="00D87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A0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tīmekļvietnē sadaļā “Valsts kanceleja”– “Sabiedrības līdzdalība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</w:t>
            </w:r>
            <w:r w:rsidR="00D87E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Valsts kases tīmekļvietnē “Sabiedrības līdzdalība”– “Tiesību aktu projekti”</w:t>
            </w:r>
            <w:r w:rsidR="00D87E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</w:t>
            </w:r>
            <w:r w:rsidRPr="007A04E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īdz ar to sabiedrības pārstāvji var līdzdarboties noteikumu projekta izstrādē, rakstveidā sniedzot viedokļus par to.</w:t>
            </w:r>
            <w:r w:rsidR="00D87E5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Tāpat sabiedrības pārstāvji varēs sniegt viedokļus par projektu pēc tā izsludināšanas Valsts sekretāru sanāksmē. </w:t>
            </w:r>
          </w:p>
        </w:tc>
      </w:tr>
      <w:tr w:rsidR="00D87E5A" w:rsidRPr="005B1D34" w14:paraId="0D123689" w14:textId="77777777" w:rsidTr="00AB18A4">
        <w:trPr>
          <w:trHeight w:val="264"/>
          <w:jc w:val="center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69190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B2532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E9090" w14:textId="7597BC0F" w:rsidR="00D87E5A" w:rsidRPr="007A04EE" w:rsidRDefault="00D87E5A" w:rsidP="001E32B8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Informācija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par noteikumu projekta izstrādi publicēta 2020.</w:t>
            </w:r>
            <w:r w:rsidR="003023F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gada 24.</w:t>
            </w:r>
            <w:r w:rsidR="003023F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augustā</w:t>
            </w:r>
            <w:r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ministrijas tīmekļvietnē sadaļā “Sabiedrības līdzdalība”– “Tiesību aktu projekti”– “Grāmatvedības politika”, adrese:</w:t>
            </w:r>
          </w:p>
          <w:p w14:paraId="321CBE9A" w14:textId="77777777" w:rsidR="00D87E5A" w:rsidRPr="007A04EE" w:rsidRDefault="00DD743B" w:rsidP="00D87E5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14" w:anchor="project636" w:history="1">
              <w:r w:rsidR="00D87E5A" w:rsidRPr="007A04E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https://www.fm.gov.lv/lv/sabiedribas_lidzdaliba/tiesibu_aktu_projekti/gramatvedibas_politika/#project636</w:t>
              </w:r>
            </w:hyperlink>
            <w:r w:rsidR="00D87E5A" w:rsidRPr="007A0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,</w:t>
            </w:r>
          </w:p>
          <w:p w14:paraId="13C8EF11" w14:textId="19284F31" w:rsidR="00D87E5A" w:rsidRPr="007A04EE" w:rsidRDefault="00D87E5A" w:rsidP="00D87E5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tīmekļvietnē sadaļā “Valsts kanceleja”– “Sabiedrības līdzdalība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 w:rsidRPr="007A0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adrese: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5" w:history="1">
              <w:r w:rsidRPr="007A04E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https://mk.gov.lv/content/ministru– kabineta– diskusiju– dokumenti</w:t>
              </w:r>
            </w:hyperlink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1E881FD7" w14:textId="6061CB4C" w:rsidR="00D87E5A" w:rsidRPr="007A04EE" w:rsidRDefault="00D87E5A" w:rsidP="00D87E5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Valsts kases tīmekļvietnē “Sabiedrības līdzdalība”– “Tiesību aktu projekti”, adrese:</w:t>
            </w:r>
          </w:p>
          <w:p w14:paraId="6D6D16D7" w14:textId="1FC8C1A6" w:rsidR="00D87E5A" w:rsidRPr="005B1D34" w:rsidRDefault="00DD743B" w:rsidP="00D87E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hyperlink r:id="rId16" w:history="1">
              <w:r w:rsidR="00D87E5A" w:rsidRPr="007A04E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https://www.kase.gov.lv/valsts– kase/sabiedribas– lidzdaliba</w:t>
              </w:r>
            </w:hyperlink>
            <w:r w:rsidR="00D87E5A"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7E5A" w:rsidRPr="007A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87E5A" w:rsidRPr="005B1D34" w14:paraId="13E794B6" w14:textId="77777777" w:rsidTr="00AB18A4">
        <w:trPr>
          <w:trHeight w:val="372"/>
          <w:jc w:val="center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E623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8150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4C789" w14:textId="320C7EEB" w:rsidR="00D87E5A" w:rsidRPr="005B1D34" w:rsidRDefault="00D87E5A" w:rsidP="00D87E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pārstāvju iebildumi un priekšlikumi nav saņemti. </w:t>
            </w:r>
          </w:p>
        </w:tc>
      </w:tr>
      <w:tr w:rsidR="00D87E5A" w:rsidRPr="005B1D34" w14:paraId="55FE9F6C" w14:textId="77777777" w:rsidTr="00AB18A4">
        <w:trPr>
          <w:trHeight w:val="372"/>
          <w:jc w:val="center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0B799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04C3C" w14:textId="77777777" w:rsidR="00D87E5A" w:rsidRPr="005B1D34" w:rsidRDefault="00D87E5A" w:rsidP="00D87E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989F7" w14:textId="576B6D82" w:rsidR="00D87E5A" w:rsidRPr="005B1D34" w:rsidRDefault="00D87E5A" w:rsidP="00D87E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0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 pēc normatīvā akta pieņemšanas tiks informēta ar publikāciju </w:t>
            </w:r>
            <w:r w:rsidR="00F42015" w:rsidRPr="00C71421">
              <w:rPr>
                <w:rFonts w:ascii="Times New Roman" w:hAnsi="Times New Roman"/>
                <w:sz w:val="24"/>
                <w:szCs w:val="24"/>
                <w:lang w:bidi="en-US"/>
              </w:rPr>
              <w:t>oficiālajā izdevumā</w:t>
            </w:r>
            <w:r w:rsidRPr="00C40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"Latvijas Vēstnesis" un bezmaksas normatīvo aktu datu bāzē www.likumi.lv.</w:t>
            </w:r>
          </w:p>
        </w:tc>
      </w:tr>
    </w:tbl>
    <w:p w14:paraId="2436D225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4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802"/>
        <w:gridCol w:w="5883"/>
      </w:tblGrid>
      <w:tr w:rsidR="005769D4" w:rsidRPr="005B1D34" w14:paraId="3EF94FF0" w14:textId="77777777" w:rsidTr="00A43367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89C19" w14:textId="77777777" w:rsidR="005769D4" w:rsidRPr="005B1D34" w:rsidRDefault="005769D4" w:rsidP="00F211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5769D4" w:rsidRPr="005B1D34" w14:paraId="566C329C" w14:textId="77777777" w:rsidTr="00A43367">
        <w:trPr>
          <w:trHeight w:val="336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C7064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0B41A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3A0205" w14:textId="5CD534A4" w:rsidR="005769D4" w:rsidRPr="006A2A99" w:rsidRDefault="00574E12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kase</w:t>
            </w:r>
          </w:p>
        </w:tc>
      </w:tr>
      <w:tr w:rsidR="005769D4" w:rsidRPr="005B1D34" w14:paraId="6FE8AF89" w14:textId="77777777" w:rsidTr="00A43367">
        <w:trPr>
          <w:trHeight w:val="360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E7EBD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0D9FF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CA7F476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FAA63B" w14:textId="21154DC0" w:rsidR="004536A6" w:rsidRDefault="004536A6" w:rsidP="004536A6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pārvaldes funkcijas un institucionālo struktūru, tas tiks </w:t>
            </w:r>
            <w:r w:rsidR="00D87E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īstenots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esošo cilvēkresursu un finansējuma ietvaros.</w:t>
            </w:r>
          </w:p>
          <w:p w14:paraId="391B85CC" w14:textId="0BC7FBC1" w:rsidR="005769D4" w:rsidRPr="005B1D34" w:rsidRDefault="004536A6" w:rsidP="00453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izveidotas</w:t>
            </w:r>
            <w:r w:rsidRPr="001B7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nav paredzēta</w:t>
            </w:r>
            <w:r w:rsidRPr="001B7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esošu institūciju likvidācija vai reorganizācija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69D4" w:rsidRPr="005B1D34" w14:paraId="4D0C28ED" w14:textId="77777777" w:rsidTr="00A43367">
        <w:trPr>
          <w:trHeight w:val="312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2FF19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14451" w14:textId="77777777" w:rsidR="005769D4" w:rsidRPr="005B1D34" w:rsidRDefault="005769D4" w:rsidP="00F211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68FEC" w14:textId="571A0C9C" w:rsidR="005769D4" w:rsidRPr="005B1D34" w:rsidRDefault="00331619" w:rsidP="00F211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68ADDEB" w14:textId="77777777" w:rsidR="005769D4" w:rsidRPr="005B1D34" w:rsidRDefault="005769D4" w:rsidP="005769D4">
      <w:pPr>
        <w:pStyle w:val="BodyText2"/>
        <w:rPr>
          <w:b/>
          <w:i/>
          <w:sz w:val="24"/>
          <w:szCs w:val="24"/>
          <w:lang w:eastAsia="lv-LV"/>
        </w:rPr>
      </w:pPr>
    </w:p>
    <w:p w14:paraId="0B470404" w14:textId="2BB5C3EE" w:rsidR="005769D4" w:rsidRDefault="005769D4" w:rsidP="005769D4">
      <w:pPr>
        <w:pStyle w:val="BodyText2"/>
        <w:rPr>
          <w:lang w:val="lv-LV"/>
        </w:rPr>
      </w:pPr>
    </w:p>
    <w:p w14:paraId="772A5BBF" w14:textId="77777777" w:rsidR="007B6B9D" w:rsidRPr="005B1D34" w:rsidRDefault="007B6B9D" w:rsidP="005769D4">
      <w:pPr>
        <w:pStyle w:val="BodyText2"/>
        <w:rPr>
          <w:lang w:val="lv-LV"/>
        </w:rPr>
      </w:pPr>
    </w:p>
    <w:p w14:paraId="06A7183B" w14:textId="77777777" w:rsidR="004D741F" w:rsidRDefault="004D741F" w:rsidP="00D76125">
      <w:pPr>
        <w:pStyle w:val="BodyText2"/>
        <w:rPr>
          <w:lang w:val="lv-LV"/>
        </w:rPr>
      </w:pPr>
    </w:p>
    <w:p w14:paraId="535941DC" w14:textId="05DF1163" w:rsidR="002E1C2B" w:rsidRPr="000A262F" w:rsidRDefault="009120A2" w:rsidP="00D76125">
      <w:pPr>
        <w:pStyle w:val="BodyText2"/>
        <w:rPr>
          <w:sz w:val="24"/>
          <w:szCs w:val="24"/>
          <w:lang w:val="lv-LV"/>
        </w:rPr>
      </w:pPr>
      <w:r w:rsidRPr="000A262F">
        <w:rPr>
          <w:sz w:val="24"/>
          <w:szCs w:val="24"/>
          <w:lang w:val="lv-LV"/>
        </w:rPr>
        <w:t>Finanšu minist</w:t>
      </w:r>
      <w:r w:rsidR="00466F96" w:rsidRPr="000A262F">
        <w:rPr>
          <w:sz w:val="24"/>
          <w:szCs w:val="24"/>
          <w:lang w:val="lv-LV"/>
        </w:rPr>
        <w:t>rs</w:t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2E1C2B" w:rsidRPr="000A262F">
        <w:rPr>
          <w:sz w:val="24"/>
          <w:szCs w:val="24"/>
          <w:lang w:val="lv-LV"/>
        </w:rPr>
        <w:tab/>
      </w:r>
      <w:r w:rsidR="0079629E">
        <w:rPr>
          <w:sz w:val="24"/>
          <w:szCs w:val="24"/>
          <w:lang w:val="lv-LV"/>
        </w:rPr>
        <w:tab/>
      </w:r>
      <w:r w:rsidR="0079629E">
        <w:rPr>
          <w:sz w:val="24"/>
          <w:szCs w:val="24"/>
          <w:lang w:val="lv-LV"/>
        </w:rPr>
        <w:tab/>
      </w:r>
      <w:r w:rsidR="00111640" w:rsidRPr="000A262F">
        <w:rPr>
          <w:sz w:val="24"/>
          <w:szCs w:val="24"/>
          <w:lang w:val="lv-LV"/>
        </w:rPr>
        <w:t>J.</w:t>
      </w:r>
      <w:r w:rsidR="003C5573">
        <w:rPr>
          <w:sz w:val="24"/>
          <w:szCs w:val="24"/>
          <w:lang w:val="lv-LV"/>
        </w:rPr>
        <w:t xml:space="preserve"> </w:t>
      </w:r>
      <w:r w:rsidR="00111640" w:rsidRPr="000A262F">
        <w:rPr>
          <w:sz w:val="24"/>
          <w:szCs w:val="24"/>
          <w:lang w:val="lv-LV"/>
        </w:rPr>
        <w:t>Reirs</w:t>
      </w:r>
    </w:p>
    <w:p w14:paraId="22407821" w14:textId="77777777" w:rsidR="002E1C2B" w:rsidRPr="000A262F" w:rsidRDefault="002E1C2B" w:rsidP="00D76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DC43" w14:textId="14D81DA3" w:rsidR="00F25AEB" w:rsidRDefault="00F25AEB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5B83A" w14:textId="5769E562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91BA4B" w14:textId="6C59CE2B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73504" w14:textId="3BBB9AD4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F877E" w14:textId="2CB0402F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B1FE6" w14:textId="24389EB7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2D9AA3" w14:textId="3A21A885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AC106" w14:textId="1491BF62" w:rsidR="0079629E" w:rsidRDefault="0079629E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EFBF6" w14:textId="62C7EF3D" w:rsidR="004536A6" w:rsidRPr="0079629E" w:rsidRDefault="001631AF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629E">
        <w:rPr>
          <w:rFonts w:ascii="Times New Roman" w:hAnsi="Times New Roman" w:cs="Times New Roman"/>
          <w:sz w:val="20"/>
          <w:szCs w:val="20"/>
        </w:rPr>
        <w:t>M.Prikulis, 67094291</w:t>
      </w:r>
    </w:p>
    <w:p w14:paraId="6A5DDC99" w14:textId="263905DB" w:rsidR="002E1C2B" w:rsidRPr="0079629E" w:rsidRDefault="00DD743B" w:rsidP="0079629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4536A6" w:rsidRPr="0079629E">
          <w:rPr>
            <w:rStyle w:val="Hyperlink"/>
            <w:rFonts w:ascii="Times New Roman" w:hAnsi="Times New Roman" w:cs="Times New Roman"/>
            <w:sz w:val="20"/>
            <w:szCs w:val="20"/>
          </w:rPr>
          <w:t>martins.prikulis@kase.gov.lv</w:t>
        </w:r>
      </w:hyperlink>
      <w:r w:rsidR="004536A6" w:rsidRPr="0079629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E1C2B" w:rsidRPr="0079629E" w:rsidSect="004E4E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3846" w14:textId="77777777" w:rsidR="00F211B3" w:rsidRDefault="00F211B3" w:rsidP="00DE0109">
      <w:pPr>
        <w:spacing w:after="0" w:line="240" w:lineRule="auto"/>
      </w:pPr>
      <w:r>
        <w:separator/>
      </w:r>
    </w:p>
  </w:endnote>
  <w:endnote w:type="continuationSeparator" w:id="0">
    <w:p w14:paraId="1FA84CB3" w14:textId="77777777" w:rsidR="00F211B3" w:rsidRDefault="00F211B3" w:rsidP="00DE0109">
      <w:pPr>
        <w:spacing w:after="0" w:line="240" w:lineRule="auto"/>
      </w:pPr>
      <w:r>
        <w:continuationSeparator/>
      </w:r>
    </w:p>
  </w:endnote>
  <w:endnote w:type="continuationNotice" w:id="1">
    <w:p w14:paraId="26F88805" w14:textId="77777777" w:rsidR="007C7FAD" w:rsidRDefault="007C7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37D1" w14:textId="77777777" w:rsidR="00777132" w:rsidRDefault="0077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46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48DA8" w14:textId="65128264" w:rsidR="00F211B3" w:rsidRDefault="00F21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730149" w14:textId="271BAFD3" w:rsidR="00F211B3" w:rsidRPr="002E3365" w:rsidRDefault="00F211B3">
    <w:pPr>
      <w:pStyle w:val="Footer"/>
      <w:rPr>
        <w:rFonts w:ascii="Times New Roman" w:hAnsi="Times New Roman" w:cs="Times New Roman"/>
        <w:sz w:val="20"/>
        <w:szCs w:val="20"/>
      </w:rPr>
    </w:pPr>
    <w:r w:rsidRPr="002E3365">
      <w:rPr>
        <w:rFonts w:ascii="Times New Roman" w:hAnsi="Times New Roman" w:cs="Times New Roman"/>
        <w:sz w:val="20"/>
        <w:szCs w:val="20"/>
      </w:rPr>
      <w:t>FMAnot</w:t>
    </w:r>
    <w:r>
      <w:rPr>
        <w:rFonts w:ascii="Times New Roman" w:hAnsi="Times New Roman" w:cs="Times New Roman"/>
        <w:sz w:val="20"/>
        <w:szCs w:val="20"/>
      </w:rPr>
      <w:t>_</w:t>
    </w:r>
    <w:r w:rsidR="009F331B">
      <w:rPr>
        <w:rFonts w:ascii="Times New Roman" w:hAnsi="Times New Roman" w:cs="Times New Roman"/>
        <w:sz w:val="20"/>
        <w:szCs w:val="20"/>
      </w:rPr>
      <w:t>03122020</w:t>
    </w:r>
    <w:r w:rsidR="00777132" w:rsidRPr="00777132">
      <w:rPr>
        <w:rFonts w:ascii="Times New Roman" w:hAnsi="Times New Roman" w:cs="Times New Roman"/>
        <w:sz w:val="20"/>
        <w:szCs w:val="20"/>
      </w:rPr>
      <w:t>_epakalpojumi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0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BD72" w14:textId="203C544B" w:rsidR="00F211B3" w:rsidRDefault="00F21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5266E" w14:textId="4FEA359E" w:rsidR="00F211B3" w:rsidRPr="00B807A9" w:rsidRDefault="00F211B3" w:rsidP="00B807A9">
    <w:pPr>
      <w:jc w:val="both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03E0" w14:textId="77777777" w:rsidR="00F211B3" w:rsidRDefault="00F211B3" w:rsidP="00DE0109">
      <w:pPr>
        <w:spacing w:after="0" w:line="240" w:lineRule="auto"/>
      </w:pPr>
      <w:r>
        <w:separator/>
      </w:r>
    </w:p>
  </w:footnote>
  <w:footnote w:type="continuationSeparator" w:id="0">
    <w:p w14:paraId="4991C1C8" w14:textId="77777777" w:rsidR="00F211B3" w:rsidRDefault="00F211B3" w:rsidP="00DE0109">
      <w:pPr>
        <w:spacing w:after="0" w:line="240" w:lineRule="auto"/>
      </w:pPr>
      <w:r>
        <w:continuationSeparator/>
      </w:r>
    </w:p>
  </w:footnote>
  <w:footnote w:type="continuationNotice" w:id="1">
    <w:p w14:paraId="3088C6AD" w14:textId="77777777" w:rsidR="007C7FAD" w:rsidRDefault="007C7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B3E2" w14:textId="77777777" w:rsidR="00777132" w:rsidRDefault="0077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95D" w14:textId="77777777" w:rsidR="00777132" w:rsidRDefault="00777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591C" w14:textId="77777777" w:rsidR="00777132" w:rsidRDefault="00777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E67"/>
    <w:multiLevelType w:val="hybridMultilevel"/>
    <w:tmpl w:val="B2085B9A"/>
    <w:lvl w:ilvl="0" w:tplc="A99EB03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15A3330A"/>
    <w:multiLevelType w:val="hybridMultilevel"/>
    <w:tmpl w:val="A04628CA"/>
    <w:lvl w:ilvl="0" w:tplc="8C9EF77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3C83A4C" w:tentative="1">
      <w:start w:val="1"/>
      <w:numFmt w:val="lowerLetter"/>
      <w:lvlText w:val="%2."/>
      <w:lvlJc w:val="left"/>
      <w:pPr>
        <w:ind w:left="1800" w:hanging="360"/>
      </w:pPr>
    </w:lvl>
    <w:lvl w:ilvl="2" w:tplc="E5DE368C" w:tentative="1">
      <w:start w:val="1"/>
      <w:numFmt w:val="lowerRoman"/>
      <w:lvlText w:val="%3."/>
      <w:lvlJc w:val="right"/>
      <w:pPr>
        <w:ind w:left="2520" w:hanging="180"/>
      </w:pPr>
    </w:lvl>
    <w:lvl w:ilvl="3" w:tplc="E676D6D2" w:tentative="1">
      <w:start w:val="1"/>
      <w:numFmt w:val="decimal"/>
      <w:lvlText w:val="%4."/>
      <w:lvlJc w:val="left"/>
      <w:pPr>
        <w:ind w:left="3240" w:hanging="360"/>
      </w:pPr>
    </w:lvl>
    <w:lvl w:ilvl="4" w:tplc="D1DA5542" w:tentative="1">
      <w:start w:val="1"/>
      <w:numFmt w:val="lowerLetter"/>
      <w:lvlText w:val="%5."/>
      <w:lvlJc w:val="left"/>
      <w:pPr>
        <w:ind w:left="3960" w:hanging="360"/>
      </w:pPr>
    </w:lvl>
    <w:lvl w:ilvl="5" w:tplc="2742959E" w:tentative="1">
      <w:start w:val="1"/>
      <w:numFmt w:val="lowerRoman"/>
      <w:lvlText w:val="%6."/>
      <w:lvlJc w:val="right"/>
      <w:pPr>
        <w:ind w:left="4680" w:hanging="180"/>
      </w:pPr>
    </w:lvl>
    <w:lvl w:ilvl="6" w:tplc="4B4617BE" w:tentative="1">
      <w:start w:val="1"/>
      <w:numFmt w:val="decimal"/>
      <w:lvlText w:val="%7."/>
      <w:lvlJc w:val="left"/>
      <w:pPr>
        <w:ind w:left="5400" w:hanging="360"/>
      </w:pPr>
    </w:lvl>
    <w:lvl w:ilvl="7" w:tplc="25AEE698" w:tentative="1">
      <w:start w:val="1"/>
      <w:numFmt w:val="lowerLetter"/>
      <w:lvlText w:val="%8."/>
      <w:lvlJc w:val="left"/>
      <w:pPr>
        <w:ind w:left="6120" w:hanging="360"/>
      </w:pPr>
    </w:lvl>
    <w:lvl w:ilvl="8" w:tplc="E404EA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F2DAC"/>
    <w:multiLevelType w:val="hybridMultilevel"/>
    <w:tmpl w:val="947CDE96"/>
    <w:lvl w:ilvl="0" w:tplc="93E643AE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1794D67"/>
    <w:multiLevelType w:val="hybridMultilevel"/>
    <w:tmpl w:val="3B741C06"/>
    <w:lvl w:ilvl="0" w:tplc="40CC2A12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A216FA0"/>
    <w:multiLevelType w:val="hybridMultilevel"/>
    <w:tmpl w:val="D4B6ED44"/>
    <w:lvl w:ilvl="0" w:tplc="AA94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06572C"/>
    <w:multiLevelType w:val="multilevel"/>
    <w:tmpl w:val="50C27A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24879F7"/>
    <w:multiLevelType w:val="hybridMultilevel"/>
    <w:tmpl w:val="7EBEA1E8"/>
    <w:lvl w:ilvl="0" w:tplc="93E643AE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2391B64"/>
    <w:multiLevelType w:val="multilevel"/>
    <w:tmpl w:val="1E225DD8"/>
    <w:lvl w:ilvl="0">
      <w:start w:val="2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8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6707"/>
    <w:multiLevelType w:val="hybridMultilevel"/>
    <w:tmpl w:val="7F80BA22"/>
    <w:lvl w:ilvl="0" w:tplc="93E643AE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76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D"/>
    <w:rsid w:val="00001BCE"/>
    <w:rsid w:val="00004720"/>
    <w:rsid w:val="000059B3"/>
    <w:rsid w:val="00005E2E"/>
    <w:rsid w:val="00013FD6"/>
    <w:rsid w:val="00024E96"/>
    <w:rsid w:val="00026441"/>
    <w:rsid w:val="00033FBB"/>
    <w:rsid w:val="00036DB0"/>
    <w:rsid w:val="00037185"/>
    <w:rsid w:val="00037392"/>
    <w:rsid w:val="00042E8A"/>
    <w:rsid w:val="00045761"/>
    <w:rsid w:val="00050665"/>
    <w:rsid w:val="00052162"/>
    <w:rsid w:val="00054F9D"/>
    <w:rsid w:val="00056BFA"/>
    <w:rsid w:val="00060153"/>
    <w:rsid w:val="00063CAE"/>
    <w:rsid w:val="00066982"/>
    <w:rsid w:val="00066A2E"/>
    <w:rsid w:val="000801C8"/>
    <w:rsid w:val="000919DC"/>
    <w:rsid w:val="0009337C"/>
    <w:rsid w:val="00096C16"/>
    <w:rsid w:val="0009795B"/>
    <w:rsid w:val="000A262F"/>
    <w:rsid w:val="000B0920"/>
    <w:rsid w:val="000B0ACC"/>
    <w:rsid w:val="000B182E"/>
    <w:rsid w:val="000B4011"/>
    <w:rsid w:val="000B709A"/>
    <w:rsid w:val="000E13B9"/>
    <w:rsid w:val="000E422E"/>
    <w:rsid w:val="000E6860"/>
    <w:rsid w:val="000F0A2E"/>
    <w:rsid w:val="000F1969"/>
    <w:rsid w:val="000F30FB"/>
    <w:rsid w:val="000F36E4"/>
    <w:rsid w:val="000F41AE"/>
    <w:rsid w:val="000F49CD"/>
    <w:rsid w:val="000F7AA5"/>
    <w:rsid w:val="00104A96"/>
    <w:rsid w:val="00106DE9"/>
    <w:rsid w:val="00111640"/>
    <w:rsid w:val="0011454D"/>
    <w:rsid w:val="0011482F"/>
    <w:rsid w:val="001155D0"/>
    <w:rsid w:val="00117B04"/>
    <w:rsid w:val="00122310"/>
    <w:rsid w:val="00125976"/>
    <w:rsid w:val="001361E8"/>
    <w:rsid w:val="001448A0"/>
    <w:rsid w:val="00152F6D"/>
    <w:rsid w:val="001631AF"/>
    <w:rsid w:val="0017053D"/>
    <w:rsid w:val="00171CF4"/>
    <w:rsid w:val="0017726F"/>
    <w:rsid w:val="00193B9D"/>
    <w:rsid w:val="001969CE"/>
    <w:rsid w:val="001A0ACF"/>
    <w:rsid w:val="001A7295"/>
    <w:rsid w:val="001A7404"/>
    <w:rsid w:val="001B293E"/>
    <w:rsid w:val="001B3343"/>
    <w:rsid w:val="001B6816"/>
    <w:rsid w:val="001B6D7A"/>
    <w:rsid w:val="001C0538"/>
    <w:rsid w:val="001C0E93"/>
    <w:rsid w:val="001C13B5"/>
    <w:rsid w:val="001C61DD"/>
    <w:rsid w:val="001E32B8"/>
    <w:rsid w:val="001F309C"/>
    <w:rsid w:val="001F417E"/>
    <w:rsid w:val="00204962"/>
    <w:rsid w:val="00206BF8"/>
    <w:rsid w:val="00214DF7"/>
    <w:rsid w:val="002224A2"/>
    <w:rsid w:val="002256E6"/>
    <w:rsid w:val="002410B4"/>
    <w:rsid w:val="00241E22"/>
    <w:rsid w:val="002469A6"/>
    <w:rsid w:val="002473E5"/>
    <w:rsid w:val="00271A53"/>
    <w:rsid w:val="00290B4A"/>
    <w:rsid w:val="00294D45"/>
    <w:rsid w:val="002971C6"/>
    <w:rsid w:val="00297BE1"/>
    <w:rsid w:val="002A36D5"/>
    <w:rsid w:val="002A490A"/>
    <w:rsid w:val="002A4AFA"/>
    <w:rsid w:val="002A57F1"/>
    <w:rsid w:val="002A75DC"/>
    <w:rsid w:val="002B40F7"/>
    <w:rsid w:val="002D1863"/>
    <w:rsid w:val="002D3EC0"/>
    <w:rsid w:val="002D4F96"/>
    <w:rsid w:val="002D68D0"/>
    <w:rsid w:val="002E0B91"/>
    <w:rsid w:val="002E1C2B"/>
    <w:rsid w:val="002E2CB5"/>
    <w:rsid w:val="002E3365"/>
    <w:rsid w:val="002E38E1"/>
    <w:rsid w:val="003023FE"/>
    <w:rsid w:val="00311329"/>
    <w:rsid w:val="00313AB4"/>
    <w:rsid w:val="00330B38"/>
    <w:rsid w:val="00331619"/>
    <w:rsid w:val="003322DB"/>
    <w:rsid w:val="003343EE"/>
    <w:rsid w:val="00335643"/>
    <w:rsid w:val="0035705F"/>
    <w:rsid w:val="003606AA"/>
    <w:rsid w:val="00363576"/>
    <w:rsid w:val="0037320B"/>
    <w:rsid w:val="00376B8E"/>
    <w:rsid w:val="00385B6B"/>
    <w:rsid w:val="00386A9E"/>
    <w:rsid w:val="0039268F"/>
    <w:rsid w:val="00392FA4"/>
    <w:rsid w:val="003A262E"/>
    <w:rsid w:val="003A3E67"/>
    <w:rsid w:val="003B2AE1"/>
    <w:rsid w:val="003B3700"/>
    <w:rsid w:val="003B7787"/>
    <w:rsid w:val="003C2122"/>
    <w:rsid w:val="003C5573"/>
    <w:rsid w:val="003C59A2"/>
    <w:rsid w:val="003D0101"/>
    <w:rsid w:val="003D471A"/>
    <w:rsid w:val="003D4919"/>
    <w:rsid w:val="003D7D37"/>
    <w:rsid w:val="003E5322"/>
    <w:rsid w:val="003E7927"/>
    <w:rsid w:val="003F5C99"/>
    <w:rsid w:val="003F601B"/>
    <w:rsid w:val="003F67D0"/>
    <w:rsid w:val="004008B8"/>
    <w:rsid w:val="0040214D"/>
    <w:rsid w:val="0040437D"/>
    <w:rsid w:val="004106A8"/>
    <w:rsid w:val="00410F8B"/>
    <w:rsid w:val="00414658"/>
    <w:rsid w:val="0041739A"/>
    <w:rsid w:val="004202DF"/>
    <w:rsid w:val="00424A54"/>
    <w:rsid w:val="0042515A"/>
    <w:rsid w:val="00430146"/>
    <w:rsid w:val="004431E1"/>
    <w:rsid w:val="00446E7E"/>
    <w:rsid w:val="00450CA1"/>
    <w:rsid w:val="004528CC"/>
    <w:rsid w:val="004536A6"/>
    <w:rsid w:val="00453F9F"/>
    <w:rsid w:val="00462FF5"/>
    <w:rsid w:val="0046565E"/>
    <w:rsid w:val="00466F96"/>
    <w:rsid w:val="004670AE"/>
    <w:rsid w:val="00470EFA"/>
    <w:rsid w:val="00482127"/>
    <w:rsid w:val="004945BC"/>
    <w:rsid w:val="00495106"/>
    <w:rsid w:val="004A25D2"/>
    <w:rsid w:val="004A2B39"/>
    <w:rsid w:val="004B6367"/>
    <w:rsid w:val="004C1715"/>
    <w:rsid w:val="004C29EA"/>
    <w:rsid w:val="004D07A3"/>
    <w:rsid w:val="004D17E3"/>
    <w:rsid w:val="004D24B7"/>
    <w:rsid w:val="004D3280"/>
    <w:rsid w:val="004D3803"/>
    <w:rsid w:val="004D741F"/>
    <w:rsid w:val="004E2847"/>
    <w:rsid w:val="004E4ED9"/>
    <w:rsid w:val="004E5E9C"/>
    <w:rsid w:val="004F2F51"/>
    <w:rsid w:val="004F7D88"/>
    <w:rsid w:val="005006BA"/>
    <w:rsid w:val="00500BB6"/>
    <w:rsid w:val="00501CFB"/>
    <w:rsid w:val="00507DCA"/>
    <w:rsid w:val="00512FEC"/>
    <w:rsid w:val="00524AC1"/>
    <w:rsid w:val="00526818"/>
    <w:rsid w:val="00531118"/>
    <w:rsid w:val="00532F18"/>
    <w:rsid w:val="005431DD"/>
    <w:rsid w:val="00545BA3"/>
    <w:rsid w:val="005522BF"/>
    <w:rsid w:val="00552C37"/>
    <w:rsid w:val="00554A9D"/>
    <w:rsid w:val="00555031"/>
    <w:rsid w:val="005629F3"/>
    <w:rsid w:val="00565988"/>
    <w:rsid w:val="00571BC8"/>
    <w:rsid w:val="005730DD"/>
    <w:rsid w:val="00574E12"/>
    <w:rsid w:val="00575D78"/>
    <w:rsid w:val="005769D4"/>
    <w:rsid w:val="00577A3F"/>
    <w:rsid w:val="005804A8"/>
    <w:rsid w:val="00580B2F"/>
    <w:rsid w:val="00595458"/>
    <w:rsid w:val="005A134E"/>
    <w:rsid w:val="005A557E"/>
    <w:rsid w:val="005A5E6E"/>
    <w:rsid w:val="005B2DCC"/>
    <w:rsid w:val="005B6D2F"/>
    <w:rsid w:val="005B7515"/>
    <w:rsid w:val="005C1E10"/>
    <w:rsid w:val="005C5080"/>
    <w:rsid w:val="005C79BC"/>
    <w:rsid w:val="005E175D"/>
    <w:rsid w:val="005F3A31"/>
    <w:rsid w:val="00605D22"/>
    <w:rsid w:val="00605F2C"/>
    <w:rsid w:val="0061089A"/>
    <w:rsid w:val="0061454A"/>
    <w:rsid w:val="006308A1"/>
    <w:rsid w:val="00636119"/>
    <w:rsid w:val="00641D65"/>
    <w:rsid w:val="006436F8"/>
    <w:rsid w:val="00643B5F"/>
    <w:rsid w:val="00645096"/>
    <w:rsid w:val="006472CD"/>
    <w:rsid w:val="0065058A"/>
    <w:rsid w:val="00656B55"/>
    <w:rsid w:val="00660F71"/>
    <w:rsid w:val="00680F2E"/>
    <w:rsid w:val="006962CB"/>
    <w:rsid w:val="00696392"/>
    <w:rsid w:val="006A26E7"/>
    <w:rsid w:val="006B3C33"/>
    <w:rsid w:val="006B4174"/>
    <w:rsid w:val="006C018A"/>
    <w:rsid w:val="006C2275"/>
    <w:rsid w:val="006D64CA"/>
    <w:rsid w:val="006E4ABC"/>
    <w:rsid w:val="006E781D"/>
    <w:rsid w:val="006F27AD"/>
    <w:rsid w:val="00710DAA"/>
    <w:rsid w:val="00722908"/>
    <w:rsid w:val="007235D4"/>
    <w:rsid w:val="00725612"/>
    <w:rsid w:val="00733D3E"/>
    <w:rsid w:val="00740E1D"/>
    <w:rsid w:val="0075174F"/>
    <w:rsid w:val="00753218"/>
    <w:rsid w:val="007569ED"/>
    <w:rsid w:val="00757847"/>
    <w:rsid w:val="007631C1"/>
    <w:rsid w:val="007702CF"/>
    <w:rsid w:val="00770FC6"/>
    <w:rsid w:val="0077349B"/>
    <w:rsid w:val="00776FAC"/>
    <w:rsid w:val="00777132"/>
    <w:rsid w:val="00780ED8"/>
    <w:rsid w:val="007810A9"/>
    <w:rsid w:val="00791849"/>
    <w:rsid w:val="0079250D"/>
    <w:rsid w:val="00793495"/>
    <w:rsid w:val="00795C02"/>
    <w:rsid w:val="0079629E"/>
    <w:rsid w:val="007A2B80"/>
    <w:rsid w:val="007A50DA"/>
    <w:rsid w:val="007A548A"/>
    <w:rsid w:val="007A68FE"/>
    <w:rsid w:val="007A720E"/>
    <w:rsid w:val="007B27DF"/>
    <w:rsid w:val="007B6B9D"/>
    <w:rsid w:val="007C08AD"/>
    <w:rsid w:val="007C7FAD"/>
    <w:rsid w:val="007D1C2A"/>
    <w:rsid w:val="007E1454"/>
    <w:rsid w:val="007E1C0C"/>
    <w:rsid w:val="007F09FD"/>
    <w:rsid w:val="007F420B"/>
    <w:rsid w:val="007F54EB"/>
    <w:rsid w:val="007F5CF9"/>
    <w:rsid w:val="007F737B"/>
    <w:rsid w:val="007F73D2"/>
    <w:rsid w:val="008120AC"/>
    <w:rsid w:val="0082137B"/>
    <w:rsid w:val="00824707"/>
    <w:rsid w:val="00825523"/>
    <w:rsid w:val="00843AD1"/>
    <w:rsid w:val="00845A10"/>
    <w:rsid w:val="008467CF"/>
    <w:rsid w:val="00855BBF"/>
    <w:rsid w:val="0085736A"/>
    <w:rsid w:val="008577A4"/>
    <w:rsid w:val="00871013"/>
    <w:rsid w:val="00873C86"/>
    <w:rsid w:val="008821FB"/>
    <w:rsid w:val="00882425"/>
    <w:rsid w:val="00882FC2"/>
    <w:rsid w:val="00885AFB"/>
    <w:rsid w:val="008863BE"/>
    <w:rsid w:val="00896265"/>
    <w:rsid w:val="00897E10"/>
    <w:rsid w:val="008A0093"/>
    <w:rsid w:val="008A0BA1"/>
    <w:rsid w:val="008A2B39"/>
    <w:rsid w:val="008B042E"/>
    <w:rsid w:val="008B1848"/>
    <w:rsid w:val="008B3510"/>
    <w:rsid w:val="008B79DD"/>
    <w:rsid w:val="008C22B8"/>
    <w:rsid w:val="008E3933"/>
    <w:rsid w:val="008E3D10"/>
    <w:rsid w:val="008E7B14"/>
    <w:rsid w:val="008F2E2F"/>
    <w:rsid w:val="008F30FF"/>
    <w:rsid w:val="00903B33"/>
    <w:rsid w:val="0090567E"/>
    <w:rsid w:val="00907B4F"/>
    <w:rsid w:val="009100D4"/>
    <w:rsid w:val="009120A2"/>
    <w:rsid w:val="009127A0"/>
    <w:rsid w:val="0091304B"/>
    <w:rsid w:val="009201D4"/>
    <w:rsid w:val="00922607"/>
    <w:rsid w:val="009230E1"/>
    <w:rsid w:val="00925FF9"/>
    <w:rsid w:val="00936FA2"/>
    <w:rsid w:val="00942CED"/>
    <w:rsid w:val="009568EB"/>
    <w:rsid w:val="009633EF"/>
    <w:rsid w:val="009711FB"/>
    <w:rsid w:val="00972D93"/>
    <w:rsid w:val="00976179"/>
    <w:rsid w:val="009828DE"/>
    <w:rsid w:val="00982DA3"/>
    <w:rsid w:val="00992C25"/>
    <w:rsid w:val="009A0805"/>
    <w:rsid w:val="009A55F1"/>
    <w:rsid w:val="009B0F3C"/>
    <w:rsid w:val="009B1B97"/>
    <w:rsid w:val="009B29AF"/>
    <w:rsid w:val="009B4D32"/>
    <w:rsid w:val="009E3630"/>
    <w:rsid w:val="009E5021"/>
    <w:rsid w:val="009F331B"/>
    <w:rsid w:val="009F5310"/>
    <w:rsid w:val="00A02AD7"/>
    <w:rsid w:val="00A278D5"/>
    <w:rsid w:val="00A43367"/>
    <w:rsid w:val="00A61D75"/>
    <w:rsid w:val="00A67D8A"/>
    <w:rsid w:val="00A70F48"/>
    <w:rsid w:val="00A71D30"/>
    <w:rsid w:val="00A72AD1"/>
    <w:rsid w:val="00A80500"/>
    <w:rsid w:val="00A81807"/>
    <w:rsid w:val="00A821D5"/>
    <w:rsid w:val="00A829CF"/>
    <w:rsid w:val="00A873BA"/>
    <w:rsid w:val="00A87DFB"/>
    <w:rsid w:val="00A9676A"/>
    <w:rsid w:val="00AA26DF"/>
    <w:rsid w:val="00AA4075"/>
    <w:rsid w:val="00AA7A45"/>
    <w:rsid w:val="00AA7C95"/>
    <w:rsid w:val="00AB18A4"/>
    <w:rsid w:val="00AB2F4A"/>
    <w:rsid w:val="00AB452F"/>
    <w:rsid w:val="00AB6850"/>
    <w:rsid w:val="00AC2C90"/>
    <w:rsid w:val="00AE718C"/>
    <w:rsid w:val="00AF50D4"/>
    <w:rsid w:val="00AF6445"/>
    <w:rsid w:val="00B0061B"/>
    <w:rsid w:val="00B00E50"/>
    <w:rsid w:val="00B016DB"/>
    <w:rsid w:val="00B05EE6"/>
    <w:rsid w:val="00B216A3"/>
    <w:rsid w:val="00B27364"/>
    <w:rsid w:val="00B32619"/>
    <w:rsid w:val="00B334BE"/>
    <w:rsid w:val="00B41F57"/>
    <w:rsid w:val="00B43DC9"/>
    <w:rsid w:val="00B45F92"/>
    <w:rsid w:val="00B475AE"/>
    <w:rsid w:val="00B6269C"/>
    <w:rsid w:val="00B6541F"/>
    <w:rsid w:val="00B6728E"/>
    <w:rsid w:val="00B74007"/>
    <w:rsid w:val="00B807A9"/>
    <w:rsid w:val="00B906DF"/>
    <w:rsid w:val="00B94157"/>
    <w:rsid w:val="00B95C63"/>
    <w:rsid w:val="00BB4976"/>
    <w:rsid w:val="00BB5404"/>
    <w:rsid w:val="00BB728B"/>
    <w:rsid w:val="00BC6015"/>
    <w:rsid w:val="00BD1F7F"/>
    <w:rsid w:val="00BD291B"/>
    <w:rsid w:val="00BD4D4F"/>
    <w:rsid w:val="00BD7F1C"/>
    <w:rsid w:val="00BE021F"/>
    <w:rsid w:val="00BE0F76"/>
    <w:rsid w:val="00BE4CE6"/>
    <w:rsid w:val="00BF0891"/>
    <w:rsid w:val="00C008C0"/>
    <w:rsid w:val="00C02187"/>
    <w:rsid w:val="00C064DA"/>
    <w:rsid w:val="00C06E7D"/>
    <w:rsid w:val="00C143E1"/>
    <w:rsid w:val="00C171F8"/>
    <w:rsid w:val="00C22108"/>
    <w:rsid w:val="00C3056C"/>
    <w:rsid w:val="00C32D2C"/>
    <w:rsid w:val="00C3324F"/>
    <w:rsid w:val="00C40292"/>
    <w:rsid w:val="00C42196"/>
    <w:rsid w:val="00C501C9"/>
    <w:rsid w:val="00C56325"/>
    <w:rsid w:val="00C579BA"/>
    <w:rsid w:val="00C612B8"/>
    <w:rsid w:val="00C6305A"/>
    <w:rsid w:val="00C65351"/>
    <w:rsid w:val="00C84456"/>
    <w:rsid w:val="00C84859"/>
    <w:rsid w:val="00C8622D"/>
    <w:rsid w:val="00C9193B"/>
    <w:rsid w:val="00C92107"/>
    <w:rsid w:val="00C92633"/>
    <w:rsid w:val="00C94D17"/>
    <w:rsid w:val="00C96248"/>
    <w:rsid w:val="00C97FBD"/>
    <w:rsid w:val="00CA21A9"/>
    <w:rsid w:val="00CB18B1"/>
    <w:rsid w:val="00CB1B01"/>
    <w:rsid w:val="00CB42DA"/>
    <w:rsid w:val="00CC3A99"/>
    <w:rsid w:val="00CD6063"/>
    <w:rsid w:val="00CD668D"/>
    <w:rsid w:val="00CD6E16"/>
    <w:rsid w:val="00CE163A"/>
    <w:rsid w:val="00CE48EC"/>
    <w:rsid w:val="00CF281A"/>
    <w:rsid w:val="00CF35AC"/>
    <w:rsid w:val="00CF61D8"/>
    <w:rsid w:val="00D06CF6"/>
    <w:rsid w:val="00D0782D"/>
    <w:rsid w:val="00D10E49"/>
    <w:rsid w:val="00D1156D"/>
    <w:rsid w:val="00D13009"/>
    <w:rsid w:val="00D21106"/>
    <w:rsid w:val="00D214BB"/>
    <w:rsid w:val="00D23F3A"/>
    <w:rsid w:val="00D3742F"/>
    <w:rsid w:val="00D463FC"/>
    <w:rsid w:val="00D56592"/>
    <w:rsid w:val="00D63A4C"/>
    <w:rsid w:val="00D6579B"/>
    <w:rsid w:val="00D65FF3"/>
    <w:rsid w:val="00D72C33"/>
    <w:rsid w:val="00D76125"/>
    <w:rsid w:val="00D83BE0"/>
    <w:rsid w:val="00D86992"/>
    <w:rsid w:val="00D87883"/>
    <w:rsid w:val="00D87E5A"/>
    <w:rsid w:val="00D94151"/>
    <w:rsid w:val="00DA08C1"/>
    <w:rsid w:val="00DA40EF"/>
    <w:rsid w:val="00DA6D41"/>
    <w:rsid w:val="00DA74D0"/>
    <w:rsid w:val="00DB07BF"/>
    <w:rsid w:val="00DB6CD4"/>
    <w:rsid w:val="00DC4DDC"/>
    <w:rsid w:val="00DC7482"/>
    <w:rsid w:val="00DD07E1"/>
    <w:rsid w:val="00DD4E32"/>
    <w:rsid w:val="00DD584F"/>
    <w:rsid w:val="00DD5FC9"/>
    <w:rsid w:val="00DD743B"/>
    <w:rsid w:val="00DE0109"/>
    <w:rsid w:val="00DE1377"/>
    <w:rsid w:val="00DE2CD3"/>
    <w:rsid w:val="00DE4892"/>
    <w:rsid w:val="00DE5029"/>
    <w:rsid w:val="00DE69C8"/>
    <w:rsid w:val="00DE6BA4"/>
    <w:rsid w:val="00DF1460"/>
    <w:rsid w:val="00DF1556"/>
    <w:rsid w:val="00DF1E55"/>
    <w:rsid w:val="00DF2235"/>
    <w:rsid w:val="00DF5FFF"/>
    <w:rsid w:val="00DF6302"/>
    <w:rsid w:val="00E02A9F"/>
    <w:rsid w:val="00E074AD"/>
    <w:rsid w:val="00E0775E"/>
    <w:rsid w:val="00E122CA"/>
    <w:rsid w:val="00E168B7"/>
    <w:rsid w:val="00E20224"/>
    <w:rsid w:val="00E21A04"/>
    <w:rsid w:val="00E26822"/>
    <w:rsid w:val="00E310BE"/>
    <w:rsid w:val="00E31871"/>
    <w:rsid w:val="00E321D4"/>
    <w:rsid w:val="00E40059"/>
    <w:rsid w:val="00E4166E"/>
    <w:rsid w:val="00E43A4A"/>
    <w:rsid w:val="00E45B0B"/>
    <w:rsid w:val="00E475A0"/>
    <w:rsid w:val="00E47B65"/>
    <w:rsid w:val="00E7125D"/>
    <w:rsid w:val="00E722F6"/>
    <w:rsid w:val="00E744E6"/>
    <w:rsid w:val="00E75CC6"/>
    <w:rsid w:val="00E821E6"/>
    <w:rsid w:val="00E8287D"/>
    <w:rsid w:val="00E84191"/>
    <w:rsid w:val="00E855FD"/>
    <w:rsid w:val="00E96CBA"/>
    <w:rsid w:val="00E96EC1"/>
    <w:rsid w:val="00EA199E"/>
    <w:rsid w:val="00EA5CB2"/>
    <w:rsid w:val="00EA61B4"/>
    <w:rsid w:val="00EB18DA"/>
    <w:rsid w:val="00EC10A2"/>
    <w:rsid w:val="00EC2346"/>
    <w:rsid w:val="00EE0367"/>
    <w:rsid w:val="00EE189B"/>
    <w:rsid w:val="00EF0826"/>
    <w:rsid w:val="00EF2CCC"/>
    <w:rsid w:val="00EF53B2"/>
    <w:rsid w:val="00EF5C09"/>
    <w:rsid w:val="00F016D8"/>
    <w:rsid w:val="00F100A1"/>
    <w:rsid w:val="00F132CA"/>
    <w:rsid w:val="00F211B3"/>
    <w:rsid w:val="00F2169C"/>
    <w:rsid w:val="00F25AEB"/>
    <w:rsid w:val="00F313EF"/>
    <w:rsid w:val="00F40C4C"/>
    <w:rsid w:val="00F42015"/>
    <w:rsid w:val="00F57E3F"/>
    <w:rsid w:val="00F63869"/>
    <w:rsid w:val="00F659DA"/>
    <w:rsid w:val="00F66909"/>
    <w:rsid w:val="00F70356"/>
    <w:rsid w:val="00F77F06"/>
    <w:rsid w:val="00F86451"/>
    <w:rsid w:val="00F8720E"/>
    <w:rsid w:val="00F96015"/>
    <w:rsid w:val="00FA046C"/>
    <w:rsid w:val="00FA33EF"/>
    <w:rsid w:val="00FA4786"/>
    <w:rsid w:val="00FB5853"/>
    <w:rsid w:val="00FC1B85"/>
    <w:rsid w:val="00FC6836"/>
    <w:rsid w:val="00FE1D59"/>
    <w:rsid w:val="00FE3BBD"/>
    <w:rsid w:val="00FE58FD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;"/>
  <w14:docId w14:val="6AB39E90"/>
  <w15:docId w15:val="{79E4145A-8412-4A1C-AF9B-B10126F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C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97FBD"/>
  </w:style>
  <w:style w:type="character" w:styleId="Hyperlink">
    <w:name w:val="Hyperlink"/>
    <w:basedOn w:val="DefaultParagraphFont"/>
    <w:uiPriority w:val="99"/>
    <w:unhideWhenUsed/>
    <w:rsid w:val="00C97FBD"/>
    <w:rPr>
      <w:color w:val="0000FF"/>
      <w:u w:val="single"/>
    </w:rPr>
  </w:style>
  <w:style w:type="paragraph" w:customStyle="1" w:styleId="tvhtml">
    <w:name w:val="tv_html"/>
    <w:basedOn w:val="Normal"/>
    <w:rsid w:val="00C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97F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33458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E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09"/>
  </w:style>
  <w:style w:type="paragraph" w:styleId="Footer">
    <w:name w:val="footer"/>
    <w:basedOn w:val="Normal"/>
    <w:link w:val="FooterChar"/>
    <w:uiPriority w:val="99"/>
    <w:unhideWhenUsed/>
    <w:rsid w:val="00DE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09"/>
  </w:style>
  <w:style w:type="paragraph" w:styleId="BalloonText">
    <w:name w:val="Balloon Text"/>
    <w:basedOn w:val="Normal"/>
    <w:link w:val="BalloonTextChar"/>
    <w:uiPriority w:val="99"/>
    <w:semiHidden/>
    <w:unhideWhenUsed/>
    <w:rsid w:val="00DE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2E1C2B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E1C2B"/>
    <w:rPr>
      <w:rFonts w:ascii="Times New Roman" w:eastAsia="Times New Roman" w:hAnsi="Times New Roman" w:cs="Times New Roman"/>
      <w:sz w:val="28"/>
      <w:szCs w:val="16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EF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B2"/>
    <w:rPr>
      <w:b/>
      <w:bCs/>
      <w:sz w:val="20"/>
      <w:szCs w:val="20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495106"/>
    <w:pPr>
      <w:ind w:left="720"/>
      <w:contextualSpacing/>
    </w:pPr>
  </w:style>
  <w:style w:type="table" w:styleId="TableGrid">
    <w:name w:val="Table Grid"/>
    <w:basedOn w:val="TableNormal"/>
    <w:uiPriority w:val="39"/>
    <w:rsid w:val="005769D4"/>
    <w:pPr>
      <w:spacing w:after="0" w:line="240" w:lineRule="auto"/>
    </w:pPr>
    <w:rPr>
      <w:rFonts w:ascii="Times New Roman" w:eastAsia="Calibri" w:hAnsi="Times New Roman" w:cs="SimSu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9A55F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locked/>
    <w:rsid w:val="009E3630"/>
  </w:style>
  <w:style w:type="paragraph" w:styleId="Revision">
    <w:name w:val="Revision"/>
    <w:hidden/>
    <w:uiPriority w:val="99"/>
    <w:semiHidden/>
    <w:rsid w:val="00CF61D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28DE"/>
    <w:rPr>
      <w:b/>
      <w:bCs/>
    </w:rPr>
  </w:style>
  <w:style w:type="paragraph" w:customStyle="1" w:styleId="tv2133">
    <w:name w:val="tv2133"/>
    <w:basedOn w:val="Normal"/>
    <w:rsid w:val="002971C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rsid w:val="00AB4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isc">
    <w:name w:val="naisc"/>
    <w:basedOn w:val="Normal"/>
    <w:rsid w:val="00942CE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9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akalpojumi.kase.gov.l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pakalpojumi.kase.gov.lv" TargetMode="External"/><Relationship Id="rId17" Type="http://schemas.openxmlformats.org/officeDocument/2006/relationships/hyperlink" Target="mailto:martins.prikulis@kase.gov.l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se.gov.lv/valsts-kase/sabiedribas-lidzdali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se.gov.l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k.gov.lv/content/ministru-kabineta-diskusiju-dokumenti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.gov.lv/lv/sabiedribas_lidzdaliba/tiesibu_aktu_projekti/gramatvedibas_politika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876-FBA8-48BC-8F63-31107BF54D8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48371a-c377-4617-a558-28bad1ac8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694AB1-581E-4169-95EE-2DC06672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7163-CFA3-43E5-B28C-68033ECDA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55DD9-C6D4-451C-89DB-6412E734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11245</Words>
  <Characters>6411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nodrošina informācijas apriti, izmantojot Valsts kases e-pakalpojumus” sākotnējās ietekmes novērtējuma ziņojums (anotācija)</vt:lpstr>
    </vt:vector>
  </TitlesOfParts>
  <Company>Valsts kase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nodrošina informācijas apriti, izmantojot Valsts kases e-pakalpojumus” sākotnējās ietekmes novērtējuma ziņojums (anotācija)</dc:title>
  <dc:subject>Anotācija</dc:subject>
  <dc:creator>Mārtiņš Prikulis</dc:creator>
  <dc:description>martins.prikulis@kase.gov.lv; 67094291</dc:description>
  <cp:lastModifiedBy>Aiva Capa</cp:lastModifiedBy>
  <cp:revision>6</cp:revision>
  <cp:lastPrinted>2020-09-09T10:20:00Z</cp:lastPrinted>
  <dcterms:created xsi:type="dcterms:W3CDTF">2020-12-28T11:57:00Z</dcterms:created>
  <dcterms:modified xsi:type="dcterms:W3CDTF">2020-12-29T12:45:00Z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