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9321" w14:textId="77777777" w:rsidR="00A95439" w:rsidRDefault="00A95439" w:rsidP="00DB5A7F">
      <w:pPr>
        <w:ind w:firstLine="300"/>
        <w:jc w:val="center"/>
        <w:rPr>
          <w:bCs/>
        </w:rPr>
      </w:pPr>
    </w:p>
    <w:p w14:paraId="7B98417E" w14:textId="5854884B" w:rsidR="00DB5A7F" w:rsidRPr="00E51B1C" w:rsidRDefault="00DB5A7F" w:rsidP="00DB5A7F">
      <w:pPr>
        <w:ind w:firstLine="300"/>
        <w:jc w:val="center"/>
        <w:rPr>
          <w:bCs/>
        </w:rPr>
      </w:pPr>
      <w:r w:rsidRPr="00E51B1C">
        <w:rPr>
          <w:bCs/>
        </w:rPr>
        <w:t>Ministru kabineta rīkojuma projekta</w:t>
      </w:r>
      <w:r w:rsidRPr="00E51B1C">
        <w:rPr>
          <w:b/>
          <w:bCs/>
        </w:rPr>
        <w:t xml:space="preserve"> “Par apropriācijas palielināšanu budžeta resora “74. Gadskārtējā valsts budžeta izpildes procesā pārdalāmais finansējums” programm</w:t>
      </w:r>
      <w:r w:rsidR="00CA173D" w:rsidRPr="00E51B1C">
        <w:rPr>
          <w:b/>
          <w:bCs/>
        </w:rPr>
        <w:t xml:space="preserve">ā </w:t>
      </w:r>
      <w:r w:rsidR="008970B4" w:rsidRPr="00E51B1C">
        <w:rPr>
          <w:b/>
          <w:bCs/>
        </w:rPr>
        <w:t>02</w:t>
      </w:r>
      <w:r w:rsidRPr="00E51B1C">
        <w:rPr>
          <w:b/>
          <w:bCs/>
        </w:rPr>
        <w:t>.00.00 “</w:t>
      </w:r>
      <w:r w:rsidR="008970B4" w:rsidRPr="00E51B1C">
        <w:rPr>
          <w:b/>
          <w:bCs/>
        </w:rPr>
        <w:t>Līdzekļi neparedzētiem gadījumiem</w:t>
      </w:r>
      <w:r w:rsidRPr="00E51B1C">
        <w:rPr>
          <w:b/>
          <w:bCs/>
        </w:rPr>
        <w:t xml:space="preserve">”” </w:t>
      </w:r>
      <w:r w:rsidRPr="00E51B1C">
        <w:rPr>
          <w:bCs/>
        </w:rPr>
        <w:t>sākotnējās ietekmes novērtējuma ziņojums (anotācija)</w:t>
      </w:r>
    </w:p>
    <w:p w14:paraId="1B158B0B" w14:textId="77777777" w:rsidR="00E50E39" w:rsidRPr="00E51B1C" w:rsidRDefault="00E50E39" w:rsidP="00DB5A7F">
      <w:pPr>
        <w:ind w:firstLine="300"/>
        <w:jc w:val="center"/>
        <w:rPr>
          <w:b/>
          <w:bCs/>
        </w:rPr>
      </w:pPr>
    </w:p>
    <w:p w14:paraId="2483D9AC" w14:textId="77777777" w:rsidR="00E315C4" w:rsidRPr="00E51B1C" w:rsidRDefault="00E315C4" w:rsidP="00DB5A7F">
      <w:pPr>
        <w:ind w:firstLine="300"/>
        <w:jc w:val="center"/>
        <w:rPr>
          <w:b/>
          <w:bCs/>
        </w:rPr>
      </w:pPr>
    </w:p>
    <w:p w14:paraId="7142698F" w14:textId="77777777" w:rsidR="009D36DE" w:rsidRPr="00E51B1C" w:rsidRDefault="009D36DE" w:rsidP="000044FA">
      <w:pPr>
        <w:jc w:val="center"/>
        <w:rPr>
          <w:b/>
        </w:rPr>
      </w:pPr>
    </w:p>
    <w:tbl>
      <w:tblPr>
        <w:tblW w:w="5165" w:type="pct"/>
        <w:tblInd w:w="-150" w:type="dxa"/>
        <w:tblCellMar>
          <w:left w:w="10" w:type="dxa"/>
          <w:right w:w="10" w:type="dxa"/>
        </w:tblCellMar>
        <w:tblLook w:val="0000" w:firstRow="0" w:lastRow="0" w:firstColumn="0" w:lastColumn="0" w:noHBand="0" w:noVBand="0"/>
      </w:tblPr>
      <w:tblGrid>
        <w:gridCol w:w="2565"/>
        <w:gridCol w:w="6790"/>
      </w:tblGrid>
      <w:tr w:rsidR="00E51B1C" w:rsidRPr="00E51B1C" w14:paraId="5A5F0148" w14:textId="77777777" w:rsidTr="000044FA">
        <w:trPr>
          <w:trHeight w:val="299"/>
        </w:trPr>
        <w:tc>
          <w:tcPr>
            <w:tcW w:w="9355"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D87722" w14:textId="77777777" w:rsidR="009D36DE" w:rsidRPr="00E51B1C" w:rsidRDefault="009D36DE" w:rsidP="000044FA">
            <w:pPr>
              <w:spacing w:before="100" w:after="100"/>
              <w:jc w:val="center"/>
              <w:rPr>
                <w:b/>
                <w:bCs/>
              </w:rPr>
            </w:pPr>
            <w:r w:rsidRPr="00E51B1C">
              <w:rPr>
                <w:b/>
                <w:bCs/>
              </w:rPr>
              <w:t>Tiesību aktu projektu anotācijas kopsavilkums</w:t>
            </w:r>
          </w:p>
        </w:tc>
      </w:tr>
      <w:tr w:rsidR="00E51B1C" w:rsidRPr="00E51B1C" w14:paraId="5DA9EC78" w14:textId="77777777" w:rsidTr="000044FA">
        <w:trPr>
          <w:trHeight w:val="1243"/>
        </w:trPr>
        <w:tc>
          <w:tcPr>
            <w:tcW w:w="25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C10E43" w14:textId="77777777" w:rsidR="009D36DE" w:rsidRPr="00E51B1C" w:rsidRDefault="009D36DE" w:rsidP="00577379">
            <w:pPr>
              <w:spacing w:before="120" w:after="120"/>
              <w:ind w:right="125"/>
              <w:jc w:val="both"/>
            </w:pPr>
            <w:r w:rsidRPr="00E51B1C">
              <w:t>Mērķis, risinājums un projekta spēkā stāšanās laiks (500 zīmes bez atstarpēm)</w:t>
            </w:r>
          </w:p>
        </w:tc>
        <w:tc>
          <w:tcPr>
            <w:tcW w:w="679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4CD16B" w14:textId="34AACB0E" w:rsidR="009D36DE" w:rsidRPr="00E51B1C" w:rsidRDefault="00853AC5" w:rsidP="00E10C35">
            <w:pPr>
              <w:pStyle w:val="NoSpacing"/>
              <w:spacing w:before="120" w:after="120"/>
              <w:ind w:left="91" w:right="108"/>
              <w:jc w:val="both"/>
              <w:rPr>
                <w:rFonts w:ascii="Times New Roman" w:eastAsia="Times New Roman" w:hAnsi="Times New Roman"/>
                <w:iCs/>
                <w:sz w:val="24"/>
                <w:szCs w:val="24"/>
                <w:lang w:eastAsia="lv-LV"/>
              </w:rPr>
            </w:pPr>
            <w:r w:rsidRPr="00E51B1C">
              <w:rPr>
                <w:rFonts w:ascii="Times New Roman" w:eastAsia="Times New Roman" w:hAnsi="Times New Roman"/>
                <w:iCs/>
                <w:sz w:val="24"/>
                <w:szCs w:val="24"/>
                <w:lang w:eastAsia="lv-LV"/>
              </w:rPr>
              <w:t>Ministru kabineta rīkojuma projekta “</w:t>
            </w:r>
            <w:r w:rsidRPr="00E51B1C">
              <w:rPr>
                <w:rFonts w:ascii="Times New Roman" w:hAnsi="Times New Roman"/>
                <w:bCs/>
                <w:sz w:val="24"/>
                <w:szCs w:val="24"/>
              </w:rPr>
              <w:t>Par apropriācijas palielināšanu budžeta resora “74. Gadskārtējā valsts budžeta izpildes procesā pārdalāmais finansējums” programm</w:t>
            </w:r>
            <w:r w:rsidR="00CA173D" w:rsidRPr="00E51B1C">
              <w:rPr>
                <w:rFonts w:ascii="Times New Roman" w:hAnsi="Times New Roman"/>
                <w:bCs/>
                <w:sz w:val="24"/>
                <w:szCs w:val="24"/>
              </w:rPr>
              <w:t>ā</w:t>
            </w:r>
            <w:r w:rsidRPr="00E51B1C">
              <w:rPr>
                <w:rFonts w:ascii="Times New Roman" w:hAnsi="Times New Roman"/>
                <w:bCs/>
                <w:sz w:val="24"/>
                <w:szCs w:val="24"/>
              </w:rPr>
              <w:t xml:space="preserve"> </w:t>
            </w:r>
            <w:r w:rsidR="00C24A34" w:rsidRPr="00E51B1C">
              <w:rPr>
                <w:rFonts w:ascii="Times New Roman" w:hAnsi="Times New Roman"/>
                <w:bCs/>
                <w:sz w:val="24"/>
                <w:szCs w:val="24"/>
              </w:rPr>
              <w:t>02</w:t>
            </w:r>
            <w:r w:rsidRPr="00E51B1C">
              <w:rPr>
                <w:rFonts w:ascii="Times New Roman" w:hAnsi="Times New Roman"/>
                <w:bCs/>
                <w:sz w:val="24"/>
                <w:szCs w:val="24"/>
              </w:rPr>
              <w:t>.00.00 “</w:t>
            </w:r>
            <w:r w:rsidR="00C24A34" w:rsidRPr="00E51B1C">
              <w:rPr>
                <w:rFonts w:ascii="Times New Roman" w:hAnsi="Times New Roman"/>
                <w:bCs/>
                <w:sz w:val="24"/>
                <w:szCs w:val="24"/>
              </w:rPr>
              <w:t>Līdzekļi neparedzētiem gadījumiem</w:t>
            </w:r>
            <w:r w:rsidRPr="00E51B1C">
              <w:rPr>
                <w:rFonts w:ascii="Times New Roman" w:hAnsi="Times New Roman"/>
                <w:bCs/>
                <w:sz w:val="24"/>
                <w:szCs w:val="24"/>
              </w:rPr>
              <w:t>”</w:t>
            </w:r>
            <w:r w:rsidRPr="00E51B1C">
              <w:rPr>
                <w:rFonts w:ascii="Times New Roman" w:eastAsia="Times New Roman" w:hAnsi="Times New Roman"/>
                <w:iCs/>
                <w:sz w:val="24"/>
                <w:szCs w:val="24"/>
                <w:lang w:eastAsia="lv-LV"/>
              </w:rPr>
              <w:t>” (turpmāk –</w:t>
            </w:r>
            <w:r w:rsidR="00E10C35" w:rsidRPr="00E51B1C">
              <w:rPr>
                <w:rFonts w:ascii="Times New Roman" w:eastAsia="Times New Roman" w:hAnsi="Times New Roman"/>
                <w:iCs/>
                <w:sz w:val="24"/>
                <w:szCs w:val="24"/>
                <w:lang w:eastAsia="lv-LV"/>
              </w:rPr>
              <w:t xml:space="preserve"> </w:t>
            </w:r>
            <w:r w:rsidRPr="00E51B1C">
              <w:rPr>
                <w:rFonts w:ascii="Times New Roman" w:eastAsia="Times New Roman" w:hAnsi="Times New Roman"/>
                <w:iCs/>
                <w:sz w:val="24"/>
                <w:szCs w:val="24"/>
                <w:lang w:eastAsia="lv-LV"/>
              </w:rPr>
              <w:t>projekts) mērķis ir n</w:t>
            </w:r>
            <w:r w:rsidR="009228D2" w:rsidRPr="00E51B1C">
              <w:rPr>
                <w:rFonts w:ascii="Times New Roman" w:eastAsia="Times New Roman" w:hAnsi="Times New Roman"/>
                <w:iCs/>
                <w:sz w:val="24"/>
                <w:szCs w:val="24"/>
                <w:lang w:eastAsia="lv-LV"/>
              </w:rPr>
              <w:t xml:space="preserve">odrošināt </w:t>
            </w:r>
            <w:r w:rsidR="00514A88" w:rsidRPr="00E51B1C">
              <w:rPr>
                <w:rFonts w:ascii="Times New Roman" w:hAnsi="Times New Roman"/>
                <w:sz w:val="24"/>
                <w:szCs w:val="24"/>
              </w:rPr>
              <w:t xml:space="preserve">finansējumu </w:t>
            </w:r>
            <w:r w:rsidR="00514A88" w:rsidRPr="00E51B1C">
              <w:rPr>
                <w:rFonts w:ascii="Times New Roman" w:eastAsiaTheme="minorHAnsi" w:hAnsi="Times New Roman"/>
                <w:bCs/>
                <w:sz w:val="24"/>
                <w:szCs w:val="24"/>
                <w:shd w:val="clear" w:color="auto" w:fill="FFFFFF"/>
              </w:rPr>
              <w:t>C</w:t>
            </w:r>
            <w:r w:rsidR="00CA173D" w:rsidRPr="00E51B1C">
              <w:rPr>
                <w:rFonts w:ascii="Times New Roman" w:eastAsiaTheme="minorHAnsi" w:hAnsi="Times New Roman"/>
                <w:bCs/>
                <w:sz w:val="24"/>
                <w:szCs w:val="24"/>
                <w:shd w:val="clear" w:color="auto" w:fill="FFFFFF"/>
              </w:rPr>
              <w:t>ovid</w:t>
            </w:r>
            <w:r w:rsidR="00514A88" w:rsidRPr="00E51B1C">
              <w:rPr>
                <w:rFonts w:ascii="Times New Roman" w:eastAsiaTheme="minorHAnsi" w:hAnsi="Times New Roman"/>
                <w:bCs/>
                <w:sz w:val="24"/>
                <w:szCs w:val="24"/>
                <w:shd w:val="clear" w:color="auto" w:fill="FFFFFF"/>
              </w:rPr>
              <w:t>-19 seku novēršanas un pārvarēšanas pasākumiem.</w:t>
            </w:r>
          </w:p>
          <w:p w14:paraId="7FA63C29" w14:textId="77777777" w:rsidR="00853AC5" w:rsidRDefault="00E10C35" w:rsidP="00E10C35">
            <w:pPr>
              <w:pStyle w:val="NoSpacing"/>
              <w:spacing w:before="120" w:after="120"/>
              <w:ind w:left="91" w:right="108"/>
              <w:jc w:val="both"/>
              <w:rPr>
                <w:rFonts w:ascii="Times New Roman" w:hAnsi="Times New Roman"/>
                <w:sz w:val="24"/>
                <w:szCs w:val="24"/>
              </w:rPr>
            </w:pPr>
            <w:r w:rsidRPr="00E51B1C">
              <w:rPr>
                <w:rFonts w:ascii="Times New Roman" w:hAnsi="Times New Roman"/>
                <w:sz w:val="24"/>
                <w:szCs w:val="24"/>
              </w:rPr>
              <w:t>P</w:t>
            </w:r>
            <w:r w:rsidR="00853AC5" w:rsidRPr="00E51B1C">
              <w:rPr>
                <w:rFonts w:ascii="Times New Roman" w:hAnsi="Times New Roman"/>
                <w:sz w:val="24"/>
                <w:szCs w:val="24"/>
              </w:rPr>
              <w:t xml:space="preserve">rojekts stājas spēkā tā </w:t>
            </w:r>
            <w:r w:rsidR="000A6B9A" w:rsidRPr="00E51B1C">
              <w:rPr>
                <w:rFonts w:ascii="Times New Roman" w:hAnsi="Times New Roman"/>
                <w:sz w:val="24"/>
                <w:szCs w:val="24"/>
              </w:rPr>
              <w:t>parakstīšanas brīdī</w:t>
            </w:r>
            <w:r w:rsidR="004B0522" w:rsidRPr="00E51B1C">
              <w:rPr>
                <w:rFonts w:ascii="Times New Roman" w:hAnsi="Times New Roman"/>
                <w:sz w:val="24"/>
                <w:szCs w:val="24"/>
              </w:rPr>
              <w:t xml:space="preserve"> atbilstoši Oficiālo publikāciju un tiesiskās informācijas likuma 7.panta trešajā daļā noteiktajam</w:t>
            </w:r>
            <w:r w:rsidR="00853AC5" w:rsidRPr="00E51B1C">
              <w:rPr>
                <w:rFonts w:ascii="Times New Roman" w:hAnsi="Times New Roman"/>
                <w:sz w:val="24"/>
                <w:szCs w:val="24"/>
              </w:rPr>
              <w:t>.</w:t>
            </w:r>
          </w:p>
          <w:p w14:paraId="740ACEBC" w14:textId="0B7E1988" w:rsidR="00A95439" w:rsidRPr="00E51B1C" w:rsidRDefault="00A95439" w:rsidP="00E10C35">
            <w:pPr>
              <w:pStyle w:val="NoSpacing"/>
              <w:spacing w:before="120" w:after="120"/>
              <w:ind w:left="91" w:right="108"/>
              <w:jc w:val="both"/>
              <w:rPr>
                <w:rFonts w:ascii="Times New Roman" w:hAnsi="Times New Roman"/>
                <w:sz w:val="24"/>
                <w:szCs w:val="24"/>
              </w:rPr>
            </w:pPr>
          </w:p>
        </w:tc>
      </w:tr>
    </w:tbl>
    <w:p w14:paraId="5AE1A044" w14:textId="77777777" w:rsidR="009D36DE" w:rsidRPr="00E51B1C" w:rsidRDefault="009D36DE" w:rsidP="00577379">
      <w:pPr>
        <w:spacing w:before="120" w:after="120"/>
        <w:jc w:val="center"/>
        <w:rPr>
          <w:b/>
          <w:highlight w:val="green"/>
        </w:rPr>
      </w:pPr>
    </w:p>
    <w:tbl>
      <w:tblPr>
        <w:tblW w:w="5165" w:type="pct"/>
        <w:tblInd w:w="-150" w:type="dxa"/>
        <w:tblCellMar>
          <w:left w:w="10" w:type="dxa"/>
          <w:right w:w="10" w:type="dxa"/>
        </w:tblCellMar>
        <w:tblLook w:val="0000" w:firstRow="0" w:lastRow="0" w:firstColumn="0" w:lastColumn="0" w:noHBand="0" w:noVBand="0"/>
      </w:tblPr>
      <w:tblGrid>
        <w:gridCol w:w="426"/>
        <w:gridCol w:w="2121"/>
        <w:gridCol w:w="6808"/>
      </w:tblGrid>
      <w:tr w:rsidR="00E51B1C" w:rsidRPr="00E51B1C" w14:paraId="30959661" w14:textId="77777777" w:rsidTr="001611E9">
        <w:trPr>
          <w:trHeight w:val="340"/>
        </w:trPr>
        <w:tc>
          <w:tcPr>
            <w:tcW w:w="9355"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1CCE4764" w14:textId="77777777" w:rsidR="009D36DE" w:rsidRPr="00E51B1C" w:rsidRDefault="009D36DE" w:rsidP="000044FA">
            <w:pPr>
              <w:spacing w:before="100" w:after="100"/>
              <w:jc w:val="center"/>
              <w:rPr>
                <w:b/>
                <w:bCs/>
              </w:rPr>
            </w:pPr>
            <w:r w:rsidRPr="00E51B1C">
              <w:rPr>
                <w:b/>
                <w:bCs/>
              </w:rPr>
              <w:t>I. Tiesību aktu projektu izstrādes nepieciešamība</w:t>
            </w:r>
          </w:p>
        </w:tc>
      </w:tr>
      <w:tr w:rsidR="00E51B1C" w:rsidRPr="00E51B1C" w14:paraId="47CC67B4" w14:textId="77777777" w:rsidTr="001611E9">
        <w:trPr>
          <w:trHeight w:val="896"/>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5B6D2EA" w14:textId="77777777" w:rsidR="009D36DE" w:rsidRPr="00E51B1C" w:rsidRDefault="009D36DE" w:rsidP="000044FA">
            <w:pPr>
              <w:spacing w:before="100" w:after="100"/>
            </w:pPr>
            <w:r w:rsidRPr="00E51B1C">
              <w:t>1.</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C64662" w14:textId="1BB804BB" w:rsidR="006356DD" w:rsidRPr="00E51B1C" w:rsidRDefault="009D36DE" w:rsidP="000044FA">
            <w:pPr>
              <w:spacing w:before="100" w:after="100"/>
            </w:pPr>
            <w:r w:rsidRPr="00E51B1C">
              <w:t>Pamatojums</w:t>
            </w:r>
          </w:p>
          <w:p w14:paraId="333D43CB" w14:textId="77777777" w:rsidR="006356DD" w:rsidRPr="00E51B1C" w:rsidRDefault="006356DD" w:rsidP="006356DD"/>
          <w:p w14:paraId="56F22BF3" w14:textId="77777777" w:rsidR="006356DD" w:rsidRPr="00E51B1C" w:rsidRDefault="006356DD" w:rsidP="006356DD"/>
          <w:p w14:paraId="71618B81" w14:textId="77777777" w:rsidR="006356DD" w:rsidRPr="00E51B1C" w:rsidRDefault="006356DD" w:rsidP="006356DD"/>
          <w:p w14:paraId="7EC71755" w14:textId="77777777" w:rsidR="006356DD" w:rsidRPr="00E51B1C" w:rsidRDefault="006356DD" w:rsidP="006356DD"/>
          <w:p w14:paraId="7533CA67" w14:textId="77777777" w:rsidR="006356DD" w:rsidRPr="00E51B1C" w:rsidRDefault="006356DD" w:rsidP="006356DD"/>
          <w:p w14:paraId="25AD27DA" w14:textId="77777777" w:rsidR="006356DD" w:rsidRPr="00E51B1C" w:rsidRDefault="006356DD" w:rsidP="006356DD"/>
          <w:p w14:paraId="3CD56051" w14:textId="77777777" w:rsidR="006356DD" w:rsidRPr="00E51B1C" w:rsidRDefault="006356DD" w:rsidP="006356DD"/>
          <w:p w14:paraId="1455090D" w14:textId="77777777" w:rsidR="006356DD" w:rsidRPr="00E51B1C" w:rsidRDefault="006356DD" w:rsidP="006356DD"/>
          <w:p w14:paraId="11C45195" w14:textId="77777777" w:rsidR="006356DD" w:rsidRPr="00E51B1C" w:rsidRDefault="006356DD" w:rsidP="006356DD"/>
          <w:p w14:paraId="7BBB7145" w14:textId="77777777" w:rsidR="006356DD" w:rsidRPr="00E51B1C" w:rsidRDefault="006356DD" w:rsidP="006356DD"/>
          <w:p w14:paraId="417078AD" w14:textId="77777777" w:rsidR="006356DD" w:rsidRPr="00E51B1C" w:rsidRDefault="006356DD" w:rsidP="006356DD"/>
          <w:p w14:paraId="29FD8954" w14:textId="77777777" w:rsidR="006356DD" w:rsidRPr="00E51B1C" w:rsidRDefault="006356DD" w:rsidP="006356DD"/>
          <w:p w14:paraId="157BA943" w14:textId="77777777" w:rsidR="006356DD" w:rsidRPr="00E51B1C" w:rsidRDefault="006356DD" w:rsidP="006356DD"/>
          <w:p w14:paraId="148FEFA2" w14:textId="77777777" w:rsidR="006356DD" w:rsidRPr="00E51B1C" w:rsidRDefault="006356DD" w:rsidP="006356DD"/>
          <w:p w14:paraId="30530795" w14:textId="77777777" w:rsidR="006356DD" w:rsidRPr="00E51B1C" w:rsidRDefault="006356DD" w:rsidP="006356DD"/>
          <w:p w14:paraId="2464E664" w14:textId="77777777" w:rsidR="006356DD" w:rsidRPr="00E51B1C" w:rsidRDefault="006356DD" w:rsidP="006356DD"/>
          <w:p w14:paraId="3DE13AFD" w14:textId="77777777" w:rsidR="006356DD" w:rsidRPr="00E51B1C" w:rsidRDefault="006356DD" w:rsidP="006356DD"/>
          <w:p w14:paraId="271E507A" w14:textId="77777777" w:rsidR="006356DD" w:rsidRPr="00E51B1C" w:rsidRDefault="006356DD" w:rsidP="006356DD"/>
          <w:p w14:paraId="5C1D22A2" w14:textId="77777777" w:rsidR="006356DD" w:rsidRPr="00E51B1C" w:rsidRDefault="006356DD" w:rsidP="006356DD"/>
          <w:p w14:paraId="316E3B28" w14:textId="77777777" w:rsidR="006356DD" w:rsidRPr="00E51B1C" w:rsidRDefault="006356DD" w:rsidP="006356DD"/>
          <w:p w14:paraId="73B45275" w14:textId="77777777" w:rsidR="006356DD" w:rsidRPr="00E51B1C" w:rsidRDefault="006356DD" w:rsidP="006356DD"/>
          <w:p w14:paraId="2123E2D1" w14:textId="77777777" w:rsidR="006356DD" w:rsidRPr="00E51B1C" w:rsidRDefault="006356DD" w:rsidP="006356DD"/>
          <w:p w14:paraId="289E6D63" w14:textId="77777777" w:rsidR="006356DD" w:rsidRPr="00E51B1C" w:rsidRDefault="006356DD" w:rsidP="006356DD"/>
          <w:p w14:paraId="3B7BB641" w14:textId="77777777" w:rsidR="006356DD" w:rsidRPr="00E51B1C" w:rsidRDefault="006356DD" w:rsidP="006356DD"/>
          <w:p w14:paraId="1E7C88FD" w14:textId="77777777" w:rsidR="006356DD" w:rsidRPr="00E51B1C" w:rsidRDefault="006356DD" w:rsidP="006356DD"/>
          <w:p w14:paraId="5C45873C" w14:textId="77777777" w:rsidR="006356DD" w:rsidRPr="00E51B1C" w:rsidRDefault="006356DD" w:rsidP="00E541B2">
            <w:pPr>
              <w:ind w:firstLine="720"/>
            </w:pPr>
          </w:p>
          <w:p w14:paraId="7D9A430F" w14:textId="2AA02203" w:rsidR="009D36DE" w:rsidRPr="00E51B1C" w:rsidRDefault="009D36DE" w:rsidP="006356DD">
            <w:pPr>
              <w:jc w:val="center"/>
            </w:pP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175670" w14:textId="7FCDD9BD" w:rsidR="006356DD" w:rsidRPr="00E51B1C" w:rsidRDefault="006356DD" w:rsidP="00A80940">
            <w:pPr>
              <w:spacing w:before="120" w:after="120"/>
              <w:ind w:left="125" w:right="113"/>
              <w:jc w:val="both"/>
              <w:rPr>
                <w:shd w:val="clear" w:color="auto" w:fill="FFFFFF"/>
              </w:rPr>
            </w:pPr>
            <w:r w:rsidRPr="00E51B1C">
              <w:rPr>
                <w:shd w:val="clear" w:color="auto" w:fill="FFFFFF"/>
              </w:rPr>
              <w:lastRenderedPageBreak/>
              <w:t>Ņemot vērā straujo Covid-19 infekcijas izplatīšanos un pieaugošo veselības nozares pārslodzes risku, ar 2020.gada 6.novembra rīkojumu Nr.655 “Par ārkārtējās situācijas izsludināšanu” atkārtoti visā valsts teritorijā no 2020.gada 9.novembra līdz 202</w:t>
            </w:r>
            <w:r w:rsidR="00EC0660" w:rsidRPr="00E51B1C">
              <w:rPr>
                <w:shd w:val="clear" w:color="auto" w:fill="FFFFFF"/>
              </w:rPr>
              <w:t>1</w:t>
            </w:r>
            <w:r w:rsidRPr="00E51B1C">
              <w:rPr>
                <w:shd w:val="clear" w:color="auto" w:fill="FFFFFF"/>
              </w:rPr>
              <w:t xml:space="preserve">.gada </w:t>
            </w:r>
            <w:r w:rsidR="00BF53A5">
              <w:rPr>
                <w:shd w:val="clear" w:color="auto" w:fill="FFFFFF"/>
              </w:rPr>
              <w:t>6.aprīlim</w:t>
            </w:r>
            <w:r w:rsidRPr="00E51B1C">
              <w:rPr>
                <w:shd w:val="clear" w:color="auto" w:fill="FFFFFF"/>
              </w:rPr>
              <w:t xml:space="preserve"> </w:t>
            </w:r>
            <w:r w:rsidR="00D31F38" w:rsidRPr="00E51B1C">
              <w:rPr>
                <w:shd w:val="clear" w:color="auto" w:fill="FFFFFF"/>
              </w:rPr>
              <w:t>ir</w:t>
            </w:r>
            <w:r w:rsidRPr="00E51B1C">
              <w:rPr>
                <w:shd w:val="clear" w:color="auto" w:fill="FFFFFF"/>
              </w:rPr>
              <w:t xml:space="preserve"> izsludināta ārkārtējā situācija. Šā rīkojuma 12.punktā noteikts</w:t>
            </w:r>
            <w:r w:rsidR="005B6735" w:rsidRPr="00E51B1C">
              <w:rPr>
                <w:shd w:val="clear" w:color="auto" w:fill="FFFFFF"/>
              </w:rPr>
              <w:t>, ka</w:t>
            </w:r>
            <w:r w:rsidRPr="00E51B1C">
              <w:rPr>
                <w:shd w:val="clear" w:color="auto" w:fill="FFFFFF"/>
              </w:rPr>
              <w:t xml:space="preserve"> pasākumus pēc institūciju motivēta pieprasījuma </w:t>
            </w:r>
            <w:r w:rsidR="005B6735" w:rsidRPr="00E51B1C">
              <w:rPr>
                <w:shd w:val="clear" w:color="auto" w:fill="FFFFFF"/>
              </w:rPr>
              <w:t xml:space="preserve">var finansēt </w:t>
            </w:r>
            <w:r w:rsidRPr="00E51B1C">
              <w:rPr>
                <w:shd w:val="clear" w:color="auto" w:fill="FFFFFF"/>
              </w:rPr>
              <w:t>no valsts budžeta programmas 02.00.00 “Līdzekļi neparedzētiem gadījumiem”. Šādos gadījumos lēmumu par finansējuma piešķiršanu pieņem Ministru kabinets</w:t>
            </w:r>
            <w:r w:rsidR="007D63FB" w:rsidRPr="00E51B1C">
              <w:rPr>
                <w:shd w:val="clear" w:color="auto" w:fill="FFFFFF"/>
              </w:rPr>
              <w:t>, kā arī nepieciešams Saeimas Budžeta un finanšu (nodokļu) komisijas saskaņojums</w:t>
            </w:r>
            <w:r w:rsidRPr="00E51B1C">
              <w:rPr>
                <w:shd w:val="clear" w:color="auto" w:fill="FFFFFF"/>
              </w:rPr>
              <w:t>.</w:t>
            </w:r>
          </w:p>
          <w:p w14:paraId="06012AE9" w14:textId="1D55DB71" w:rsidR="00292DE5" w:rsidRPr="00E51B1C" w:rsidRDefault="009D36DE" w:rsidP="00292DE5">
            <w:pPr>
              <w:spacing w:before="120" w:after="120"/>
              <w:ind w:left="125" w:right="113"/>
              <w:jc w:val="both"/>
            </w:pPr>
            <w:r w:rsidRPr="00E51B1C">
              <w:t xml:space="preserve">Gadskārtējā valsts budžeta likumā budžeta resora “74. Gadskārtējā valsts budžeta izpildes procesā pārdalāmais finansējums” </w:t>
            </w:r>
            <w:r w:rsidR="00EF79BA" w:rsidRPr="00E51B1C">
              <w:t>02</w:t>
            </w:r>
            <w:r w:rsidRPr="00E51B1C">
              <w:t xml:space="preserve">.00.00 programmā </w:t>
            </w:r>
            <w:r w:rsidRPr="00E51B1C">
              <w:rPr>
                <w:bCs/>
              </w:rPr>
              <w:t>“</w:t>
            </w:r>
            <w:r w:rsidR="00EF79BA" w:rsidRPr="00E51B1C">
              <w:t>Līdzekļi neparedzētiem gadījumiem</w:t>
            </w:r>
            <w:r w:rsidR="002363C2" w:rsidRPr="00E51B1C">
              <w:rPr>
                <w:bCs/>
              </w:rPr>
              <w:t xml:space="preserve">” </w:t>
            </w:r>
            <w:r w:rsidR="004A5A78" w:rsidRPr="00E51B1C">
              <w:rPr>
                <w:bCs/>
              </w:rPr>
              <w:t>plānots</w:t>
            </w:r>
            <w:r w:rsidRPr="00E51B1C">
              <w:rPr>
                <w:bCs/>
              </w:rPr>
              <w:t xml:space="preserve"> finansējums</w:t>
            </w:r>
            <w:r w:rsidR="00EF79BA" w:rsidRPr="00E51B1C">
              <w:t>, lai nodrošinātu valsts pamatbudžeta apropriāciju līdzekļiem neparedzētiem izdevumiem saskaņā ar Ministru kabineta 2018.gada 17.jūlija noteikumiem Nr.421 “Kārtība, kādā veic gadskārtējā valsts budžeta likumā noteiktās apropriācijas izmaiņas” valstiski īpaši nozīmīgiem pasākumiem, valsts pamatbudžeta apropriācijās neparedzētiem izdevumiem katastrofu un dabas stihiju seku novēršanai un to radīto zaudējumu kompensēšanai un citiem neparedzētiem gadījumiem.</w:t>
            </w:r>
          </w:p>
          <w:p w14:paraId="55379F2C" w14:textId="69F8846D" w:rsidR="00337FFB" w:rsidRPr="00BA1CB4" w:rsidRDefault="00864EB1" w:rsidP="00864EB1">
            <w:pPr>
              <w:spacing w:before="120" w:after="120"/>
              <w:ind w:left="125" w:right="113"/>
              <w:jc w:val="both"/>
              <w:rPr>
                <w:shd w:val="clear" w:color="auto" w:fill="FFFFFF"/>
              </w:rPr>
            </w:pPr>
            <w:r w:rsidRPr="00BA1CB4">
              <w:t>Likuma “Par valsts budžetu 2021.gadam” 55.pantā noteikts, ka f</w:t>
            </w:r>
            <w:r w:rsidR="00337FFB" w:rsidRPr="00BA1CB4">
              <w:rPr>
                <w:shd w:val="clear" w:color="auto" w:fill="FFFFFF"/>
              </w:rPr>
              <w:t xml:space="preserve">inanšu ministram ir tiesības palielināt šajā likumā noteikto apropriāciju budžeta resora “74. Gadskārtējā valsts budžeta izpildes procesā pārdalāmais finansējums” programmā 02.00.00 “Līdzekļi </w:t>
            </w:r>
            <w:r w:rsidR="00337FFB" w:rsidRPr="00BA1CB4">
              <w:rPr>
                <w:shd w:val="clear" w:color="auto" w:fill="FFFFFF"/>
              </w:rPr>
              <w:lastRenderedPageBreak/>
              <w:t>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p w14:paraId="0514E47D" w14:textId="77777777" w:rsidR="00A95439" w:rsidRDefault="00BA1CB4" w:rsidP="000A747B">
            <w:pPr>
              <w:spacing w:before="120" w:after="120"/>
              <w:ind w:left="125" w:right="113"/>
              <w:jc w:val="both"/>
              <w:rPr>
                <w:shd w:val="clear" w:color="auto" w:fill="FFFFFF"/>
              </w:rPr>
            </w:pPr>
            <w:r w:rsidRPr="001478AB">
              <w:rPr>
                <w:bCs/>
                <w:shd w:val="clear" w:color="auto" w:fill="FFFFFF"/>
              </w:rPr>
              <w:t>Covid-19 infekcijas izplatības seku pārvarēšanas likuma 26.pants</w:t>
            </w:r>
            <w:r w:rsidRPr="001478AB">
              <w:rPr>
                <w:shd w:val="clear" w:color="auto" w:fill="FFFFFF"/>
              </w:rPr>
              <w:t xml:space="preserve"> nosaka, ka finanšu ministram ir tiesības palielināt likumā </w:t>
            </w:r>
            <w:r w:rsidRPr="00BA1CB4">
              <w:rPr>
                <w:shd w:val="clear" w:color="auto" w:fill="FFFFFF"/>
              </w:rPr>
              <w:t>”</w:t>
            </w:r>
            <w:hyperlink r:id="rId8" w:tgtFrame="_blank" w:history="1">
              <w:r w:rsidRPr="00BA1CB4">
                <w:rPr>
                  <w:rStyle w:val="Hyperlink"/>
                  <w:color w:val="auto"/>
                  <w:u w:val="none"/>
                  <w:shd w:val="clear" w:color="auto" w:fill="FFFFFF"/>
                </w:rPr>
                <w:t>Par valsts budžetu 2020.gadam</w:t>
              </w:r>
            </w:hyperlink>
            <w:r w:rsidRPr="001478AB">
              <w:rPr>
                <w:shd w:val="clear" w:color="auto" w:fill="FFFFFF"/>
              </w:rPr>
              <w:t>” un likumā “Par valsts budžetu 2021.gadam” noteikto apropriāciju budžeta resora “74. Gadskārtējā valsts budžeta izpildes procesā pārdalāmais finansējums” programmā 02.00.00 “Līdzekļi neparedzētiem gadījumiem” un paplašināt valdības rīcības pieļaujamās robežas valdības saistību izpildei, ja ir pieņemts attiecīgs Ministru kabineta lēmums un Saeimas Budžeta un finanšu (nodokļu) komisija piecu darbdienu laikā no attiecīgās informācijas saņemšanas dienas ir to izskatījusi un nav iebildusi.</w:t>
            </w:r>
          </w:p>
          <w:p w14:paraId="65389C2D" w14:textId="3F359153" w:rsidR="000A747B" w:rsidRPr="00E51B1C" w:rsidRDefault="000A747B" w:rsidP="000A747B">
            <w:pPr>
              <w:spacing w:before="120" w:after="120"/>
              <w:ind w:left="125" w:right="113"/>
              <w:jc w:val="both"/>
              <w:rPr>
                <w:b/>
              </w:rPr>
            </w:pPr>
          </w:p>
        </w:tc>
      </w:tr>
      <w:tr w:rsidR="00E51B1C" w:rsidRPr="00E51B1C" w14:paraId="4C69F073" w14:textId="77777777" w:rsidTr="003F1B84">
        <w:trPr>
          <w:trHeight w:val="682"/>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B339D0" w14:textId="77777777" w:rsidR="00D6079A" w:rsidRPr="00E51B1C" w:rsidRDefault="00D6079A" w:rsidP="000044FA">
            <w:pPr>
              <w:spacing w:before="100" w:after="100"/>
            </w:pPr>
            <w:r w:rsidRPr="00E51B1C">
              <w:lastRenderedPageBreak/>
              <w:t>2.</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1BD96BD" w14:textId="77777777" w:rsidR="00D6079A" w:rsidRPr="00E51B1C" w:rsidRDefault="00D6079A" w:rsidP="000044FA">
            <w:pPr>
              <w:spacing w:before="100" w:after="100"/>
            </w:pPr>
            <w:r w:rsidRPr="00E51B1C">
              <w:t>Pašreizējā situācija un problēmas, kuru risināšanai tiesību akta projekts izstrādāts, tiesiskā regulējuma mērķis un būtība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2C58F89" w14:textId="77777777" w:rsidR="00A80940" w:rsidRPr="00E51B1C" w:rsidRDefault="00D942D9" w:rsidP="00D942D9">
            <w:pPr>
              <w:autoSpaceDE w:val="0"/>
              <w:autoSpaceDN w:val="0"/>
              <w:adjustRightInd w:val="0"/>
              <w:spacing w:before="120" w:after="120"/>
              <w:ind w:left="102" w:right="130"/>
              <w:jc w:val="both"/>
              <w:rPr>
                <w:iCs/>
                <w:lang w:eastAsia="en-US"/>
              </w:rPr>
            </w:pPr>
            <w:r w:rsidRPr="00E51B1C">
              <w:rPr>
                <w:lang w:eastAsia="en-US"/>
              </w:rPr>
              <w:t>Likumā “Par valsts budžetu 202</w:t>
            </w:r>
            <w:r w:rsidR="00864EB1" w:rsidRPr="00E51B1C">
              <w:rPr>
                <w:lang w:eastAsia="en-US"/>
              </w:rPr>
              <w:t>1</w:t>
            </w:r>
            <w:r w:rsidRPr="00E51B1C">
              <w:rPr>
                <w:lang w:eastAsia="en-US"/>
              </w:rPr>
              <w:t xml:space="preserve">.gadam” valsts budžeta programmā 02.00.00 ”Līdzekļi neparedzētiem gadījumiem” apstiprināta apropriācija </w:t>
            </w:r>
            <w:r w:rsidR="00EC1154" w:rsidRPr="00E51B1C">
              <w:rPr>
                <w:b/>
                <w:lang w:eastAsia="en-US"/>
              </w:rPr>
              <w:t>26 729 748</w:t>
            </w:r>
            <w:r w:rsidRPr="00E51B1C">
              <w:rPr>
                <w:b/>
                <w:lang w:eastAsia="en-US"/>
              </w:rPr>
              <w:t xml:space="preserve"> </w:t>
            </w:r>
            <w:proofErr w:type="spellStart"/>
            <w:r w:rsidRPr="00E51B1C">
              <w:rPr>
                <w:b/>
                <w:i/>
                <w:iCs/>
                <w:lang w:eastAsia="en-US"/>
              </w:rPr>
              <w:t>euro</w:t>
            </w:r>
            <w:proofErr w:type="spellEnd"/>
            <w:r w:rsidRPr="00E51B1C">
              <w:rPr>
                <w:i/>
                <w:iCs/>
                <w:lang w:eastAsia="en-US"/>
              </w:rPr>
              <w:t xml:space="preserve"> </w:t>
            </w:r>
            <w:r w:rsidRPr="00E51B1C">
              <w:rPr>
                <w:iCs/>
                <w:lang w:eastAsia="en-US"/>
              </w:rPr>
              <w:t>apmērā.</w:t>
            </w:r>
          </w:p>
          <w:p w14:paraId="5A55008E" w14:textId="5B7F78C5" w:rsidR="00D942D9" w:rsidRPr="003C640B" w:rsidRDefault="00A80940" w:rsidP="00D942D9">
            <w:pPr>
              <w:autoSpaceDE w:val="0"/>
              <w:autoSpaceDN w:val="0"/>
              <w:adjustRightInd w:val="0"/>
              <w:spacing w:before="120" w:after="120"/>
              <w:ind w:left="102" w:right="130"/>
              <w:jc w:val="both"/>
              <w:rPr>
                <w:shd w:val="clear" w:color="auto" w:fill="FFFFFF"/>
              </w:rPr>
            </w:pPr>
            <w:r w:rsidRPr="003C640B">
              <w:rPr>
                <w:iCs/>
                <w:lang w:eastAsia="en-US"/>
              </w:rPr>
              <w:t xml:space="preserve">Ņemot vērā, ka </w:t>
            </w:r>
            <w:r w:rsidR="00750D82" w:rsidRPr="003C640B">
              <w:rPr>
                <w:iCs/>
                <w:lang w:eastAsia="en-US"/>
              </w:rPr>
              <w:t xml:space="preserve">2021.gada valsts budžeta projekta </w:t>
            </w:r>
            <w:r w:rsidRPr="003C640B">
              <w:rPr>
                <w:iCs/>
                <w:lang w:eastAsia="en-US"/>
              </w:rPr>
              <w:t xml:space="preserve">sagatavošanas </w:t>
            </w:r>
            <w:r w:rsidR="00B445C1" w:rsidRPr="003C640B">
              <w:rPr>
                <w:iCs/>
                <w:lang w:eastAsia="en-US"/>
              </w:rPr>
              <w:t>procesā</w:t>
            </w:r>
            <w:r w:rsidRPr="003C640B">
              <w:rPr>
                <w:iCs/>
                <w:lang w:eastAsia="en-US"/>
              </w:rPr>
              <w:t xml:space="preserve"> </w:t>
            </w:r>
            <w:r w:rsidR="003B7398" w:rsidRPr="003C640B">
              <w:rPr>
                <w:iCs/>
                <w:lang w:eastAsia="en-US"/>
              </w:rPr>
              <w:t>nebija skaidrs par 2021.gadā papildu</w:t>
            </w:r>
            <w:r w:rsidR="00F710D3" w:rsidRPr="003C640B">
              <w:rPr>
                <w:iCs/>
                <w:lang w:eastAsia="en-US"/>
              </w:rPr>
              <w:t>s nepieciešamā  finansējuma apmēru</w:t>
            </w:r>
            <w:r w:rsidR="003B7398" w:rsidRPr="003C640B">
              <w:rPr>
                <w:iCs/>
                <w:lang w:eastAsia="en-US"/>
              </w:rPr>
              <w:t xml:space="preserve"> </w:t>
            </w:r>
            <w:r w:rsidRPr="003C640B">
              <w:t>Covid-19 seku novēršanas un pārvarēšanas pasākumiem</w:t>
            </w:r>
            <w:r w:rsidR="003B7398" w:rsidRPr="003C640B">
              <w:t>, pasliktinoties epidemioloģiskajai situācijai</w:t>
            </w:r>
            <w:r w:rsidR="00750D82" w:rsidRPr="003C640B">
              <w:t xml:space="preserve">, likumā </w:t>
            </w:r>
            <w:r w:rsidR="00750D82" w:rsidRPr="003C640B">
              <w:rPr>
                <w:iCs/>
                <w:lang w:eastAsia="en-US"/>
              </w:rPr>
              <w:t xml:space="preserve">“Par valsts budžetu 2021.gadam” </w:t>
            </w:r>
            <w:r w:rsidR="00750D82" w:rsidRPr="003C640B">
              <w:t>tika iekļauts pants par f</w:t>
            </w:r>
            <w:r w:rsidR="00750D82" w:rsidRPr="003C640B">
              <w:rPr>
                <w:shd w:val="clear" w:color="auto" w:fill="FFFFFF"/>
              </w:rPr>
              <w:t>inanšu ministram dotām tiesībām palielināt šajā likumā noteikto apropriāciju budžeta resora “74. Gadskārtējā valsts budžeta izpildes procesā pārdalāmais finansējums” programmā 02.00.00 “Līdzekļi neparedzētiem gadījumiem” ar Covid-19 izplatību saistītā valsts apdraudējuma un tā seku novēršanas un pārvarēšanas pasākumiem un paplašināt valdības rīcības pieļaujamās robežas valdības saistību izpildei, ja ir pieņemts attiecīgs Ministru kabineta lēmums un Saeimas Budžeta un finanšu (nodokļu) komisija piecu darba dienu laikā no attiecīgās informācijas saņemšanas dienas ir to izskatījusi un nav iebildusi pret apropriācijas palielinājumu.</w:t>
            </w:r>
          </w:p>
          <w:p w14:paraId="0DF4AD1D" w14:textId="1652D764" w:rsidR="00B23755" w:rsidRPr="00567B73" w:rsidRDefault="00B23755" w:rsidP="00B23755">
            <w:pPr>
              <w:autoSpaceDE w:val="0"/>
              <w:autoSpaceDN w:val="0"/>
              <w:adjustRightInd w:val="0"/>
              <w:spacing w:before="120" w:after="120"/>
              <w:ind w:left="102" w:right="130"/>
              <w:jc w:val="both"/>
            </w:pPr>
            <w:r w:rsidRPr="00241FAF">
              <w:t xml:space="preserve">Lai nodrošinātu finansējumu Covid-19 seku novēršanas un pārvarēšanas pasākumiem, atbilstoši </w:t>
            </w:r>
            <w:r w:rsidR="00241FAF" w:rsidRPr="00241FAF">
              <w:t>likuma “Par valsts budžetu 2021.gadam” 55.pantā noteiktajam, Ministru kabineta 2021</w:t>
            </w:r>
            <w:r w:rsidRPr="00241FAF">
              <w:t>.gada 5.</w:t>
            </w:r>
            <w:r w:rsidR="00241FAF" w:rsidRPr="00241FAF">
              <w:t xml:space="preserve">janvāra </w:t>
            </w:r>
            <w:r w:rsidRPr="00241FAF">
              <w:t>rīkojumam Nr.</w:t>
            </w:r>
            <w:r w:rsidR="00241FAF" w:rsidRPr="00241FAF">
              <w:t>3 (prot. Nr.1, 2</w:t>
            </w:r>
            <w:r w:rsidR="00241FAF">
              <w:t>.§)</w:t>
            </w:r>
            <w:r w:rsidR="00CA5951">
              <w:t>, Ministru kabineta 2021.gada 17.februāra rīkojumam Nr.97 (</w:t>
            </w:r>
            <w:r w:rsidR="00CA5951" w:rsidRPr="00241FAF">
              <w:t>prot. Nr.1</w:t>
            </w:r>
            <w:r w:rsidR="00CA5951">
              <w:t xml:space="preserve">7, 8.§) </w:t>
            </w:r>
            <w:r w:rsidRPr="00241FAF">
              <w:t>ar Finanšu ministrijas 202</w:t>
            </w:r>
            <w:r w:rsidR="00241FAF" w:rsidRPr="00241FAF">
              <w:t>1</w:t>
            </w:r>
            <w:r w:rsidRPr="00241FAF">
              <w:t xml:space="preserve">.gada </w:t>
            </w:r>
            <w:r w:rsidR="00241FAF" w:rsidRPr="00241FAF">
              <w:t>8.janvāra rīkojumu Nr.8</w:t>
            </w:r>
            <w:r w:rsidRPr="00241FAF">
              <w:t xml:space="preserve"> </w:t>
            </w:r>
            <w:r w:rsidR="00CA5951">
              <w:t xml:space="preserve">un Finanšu ministrijas 26.februāra rīkojumu Nr.107 </w:t>
            </w:r>
            <w:r w:rsidRPr="00241FAF">
              <w:t>tika palielināta apropriācija budžeta resora “74. Gadskārtējā valsts budžeta izpildes procesā pārdalāmais finansējums” programmā 02.00.00 “Līdzekļi neparedzētiem gadījumiem”</w:t>
            </w:r>
            <w:r w:rsidR="00CA5951">
              <w:t xml:space="preserve"> kopā </w:t>
            </w:r>
            <w:r w:rsidRPr="00241FAF">
              <w:t xml:space="preserve"> </w:t>
            </w:r>
            <w:r w:rsidR="00CA5951">
              <w:rPr>
                <w:b/>
              </w:rPr>
              <w:t>8</w:t>
            </w:r>
            <w:r w:rsidRPr="00241FAF">
              <w:rPr>
                <w:b/>
              </w:rPr>
              <w:t xml:space="preserve">00 000 000 </w:t>
            </w:r>
            <w:proofErr w:type="spellStart"/>
            <w:r w:rsidRPr="00241FAF">
              <w:rPr>
                <w:b/>
                <w:i/>
              </w:rPr>
              <w:t>euro</w:t>
            </w:r>
            <w:proofErr w:type="spellEnd"/>
            <w:r w:rsidRPr="00241FAF">
              <w:t xml:space="preserve"> apmērā.</w:t>
            </w:r>
          </w:p>
          <w:p w14:paraId="12B3B112" w14:textId="12F6E98E" w:rsidR="005B6140" w:rsidRDefault="00FC53ED" w:rsidP="006D0C0B">
            <w:pPr>
              <w:autoSpaceDE w:val="0"/>
              <w:autoSpaceDN w:val="0"/>
              <w:adjustRightInd w:val="0"/>
              <w:spacing w:before="120" w:after="120"/>
              <w:ind w:left="102" w:right="130"/>
              <w:jc w:val="both"/>
            </w:pPr>
            <w:r>
              <w:t>Līdz ar to, ņemot vērā atbalstīto</w:t>
            </w:r>
            <w:r w:rsidR="006D0C0B" w:rsidRPr="00541FFA">
              <w:t xml:space="preserve"> apropriācijas palie</w:t>
            </w:r>
            <w:r>
              <w:t>linājumu</w:t>
            </w:r>
            <w:r w:rsidR="006D0C0B" w:rsidRPr="00541FFA">
              <w:t xml:space="preserve">, </w:t>
            </w:r>
            <w:r w:rsidR="006D0C0B" w:rsidRPr="00541FFA">
              <w:rPr>
                <w:bCs/>
              </w:rPr>
              <w:t xml:space="preserve">budžeta resora “74. Gadskārtējā valsts budžeta izpildes procesā pārdalāmais </w:t>
            </w:r>
            <w:r w:rsidR="006D0C0B" w:rsidRPr="00541FFA">
              <w:rPr>
                <w:bCs/>
              </w:rPr>
              <w:lastRenderedPageBreak/>
              <w:t xml:space="preserve">finansējums” </w:t>
            </w:r>
            <w:r w:rsidR="006D0C0B" w:rsidRPr="00541FFA">
              <w:t xml:space="preserve">programmā 02.00.00 “Līdzekļi neparedzētiem </w:t>
            </w:r>
            <w:r w:rsidR="006D0C0B" w:rsidRPr="000A747B">
              <w:t xml:space="preserve">gadījumiem” kopumā apropriācija sasniegusi </w:t>
            </w:r>
            <w:r w:rsidR="00F0696A" w:rsidRPr="000A747B">
              <w:rPr>
                <w:b/>
              </w:rPr>
              <w:t>8</w:t>
            </w:r>
            <w:r w:rsidR="00541FFA" w:rsidRPr="000A747B">
              <w:rPr>
                <w:b/>
              </w:rPr>
              <w:t>26</w:t>
            </w:r>
            <w:r w:rsidR="006D0C0B" w:rsidRPr="000A747B">
              <w:rPr>
                <w:b/>
              </w:rPr>
              <w:t> </w:t>
            </w:r>
            <w:r w:rsidR="00541FFA" w:rsidRPr="000A747B">
              <w:rPr>
                <w:b/>
              </w:rPr>
              <w:t>729</w:t>
            </w:r>
            <w:r w:rsidR="006D0C0B" w:rsidRPr="000A747B">
              <w:rPr>
                <w:b/>
              </w:rPr>
              <w:t> </w:t>
            </w:r>
            <w:r w:rsidR="00541FFA" w:rsidRPr="000A747B">
              <w:rPr>
                <w:b/>
              </w:rPr>
              <w:t>748</w:t>
            </w:r>
            <w:r w:rsidR="006D0C0B" w:rsidRPr="000A747B">
              <w:rPr>
                <w:b/>
              </w:rPr>
              <w:t xml:space="preserve"> </w:t>
            </w:r>
            <w:proofErr w:type="spellStart"/>
            <w:r w:rsidR="006D0C0B" w:rsidRPr="000A747B">
              <w:rPr>
                <w:b/>
                <w:i/>
              </w:rPr>
              <w:t>euro</w:t>
            </w:r>
            <w:proofErr w:type="spellEnd"/>
            <w:r w:rsidR="006D0C0B" w:rsidRPr="000A747B">
              <w:t xml:space="preserve">. </w:t>
            </w:r>
            <w:r w:rsidR="005B6140" w:rsidRPr="000A747B">
              <w:t xml:space="preserve">Ņemot vērā </w:t>
            </w:r>
            <w:r w:rsidR="00F0696A" w:rsidRPr="000A747B">
              <w:t xml:space="preserve">līdz 2021.gada </w:t>
            </w:r>
            <w:r w:rsidR="00931306" w:rsidRPr="000A747B">
              <w:t>19</w:t>
            </w:r>
            <w:r w:rsidR="00F0696A" w:rsidRPr="000A747B">
              <w:t>.martam</w:t>
            </w:r>
            <w:r w:rsidR="005B6140" w:rsidRPr="000A747B">
              <w:t xml:space="preserve"> no tās pārdalīto finansējumu ar Finanšu ministrijas rīkojumiem</w:t>
            </w:r>
            <w:r w:rsidRPr="000A747B">
              <w:t xml:space="preserve">, programmā 02.00.00 “Līdzekļi neparedzētiem gadījumiem” pieejamais līdzekļu atlikums vēl ir </w:t>
            </w:r>
            <w:r w:rsidR="00931306" w:rsidRPr="000A747B">
              <w:rPr>
                <w:b/>
              </w:rPr>
              <w:t>324 729 344</w:t>
            </w:r>
            <w:r w:rsidRPr="000A747B">
              <w:rPr>
                <w:b/>
              </w:rPr>
              <w:t xml:space="preserve"> </w:t>
            </w:r>
            <w:proofErr w:type="spellStart"/>
            <w:r w:rsidRPr="000A747B">
              <w:rPr>
                <w:b/>
                <w:i/>
              </w:rPr>
              <w:t>euro</w:t>
            </w:r>
            <w:proofErr w:type="spellEnd"/>
            <w:r w:rsidRPr="000A747B">
              <w:rPr>
                <w:i/>
              </w:rPr>
              <w:t>.</w:t>
            </w:r>
          </w:p>
          <w:p w14:paraId="602469B9" w14:textId="77777777" w:rsidR="00E80AF0" w:rsidRDefault="00FC53ED" w:rsidP="00E80AF0">
            <w:pPr>
              <w:autoSpaceDE w:val="0"/>
              <w:autoSpaceDN w:val="0"/>
              <w:adjustRightInd w:val="0"/>
              <w:spacing w:before="120" w:after="120"/>
              <w:ind w:left="102" w:right="130"/>
              <w:jc w:val="both"/>
            </w:pPr>
            <w:r>
              <w:t xml:space="preserve">Savukārt, </w:t>
            </w:r>
            <w:r w:rsidRPr="00BE541C">
              <w:t>ņemot vērā arī ar Ministru kabineta rīkojumiem akceptētās pārdales, izveidoj</w:t>
            </w:r>
            <w:r w:rsidR="00627C09">
              <w:t>a</w:t>
            </w:r>
            <w:r w:rsidRPr="00BE541C">
              <w:t xml:space="preserve">s līdzekļu deficīts </w:t>
            </w:r>
            <w:r w:rsidR="00931306" w:rsidRPr="000A747B">
              <w:rPr>
                <w:b/>
              </w:rPr>
              <w:t>220 101 326</w:t>
            </w:r>
            <w:r w:rsidR="00E84D39" w:rsidRPr="00BE541C">
              <w:rPr>
                <w:b/>
              </w:rPr>
              <w:t xml:space="preserve"> </w:t>
            </w:r>
            <w:proofErr w:type="spellStart"/>
            <w:r w:rsidR="00E84D39" w:rsidRPr="00BE541C">
              <w:rPr>
                <w:b/>
                <w:i/>
              </w:rPr>
              <w:t>euro</w:t>
            </w:r>
            <w:proofErr w:type="spellEnd"/>
            <w:r w:rsidR="00E84D39" w:rsidRPr="00BE541C">
              <w:t xml:space="preserve"> apmērā.</w:t>
            </w:r>
          </w:p>
          <w:p w14:paraId="73FF5FE8" w14:textId="5534B9F7" w:rsidR="00E80AF0" w:rsidRPr="00726F0D" w:rsidRDefault="00E80AF0" w:rsidP="00E80AF0">
            <w:pPr>
              <w:autoSpaceDE w:val="0"/>
              <w:autoSpaceDN w:val="0"/>
              <w:adjustRightInd w:val="0"/>
              <w:spacing w:before="120" w:after="120"/>
              <w:ind w:left="102" w:right="130"/>
              <w:jc w:val="both"/>
            </w:pPr>
            <w:r>
              <w:t>Vienlaikus jāņem vērā</w:t>
            </w:r>
            <w:r w:rsidRPr="00726F0D">
              <w:t>, ka Finanšu ministrija seko l</w:t>
            </w:r>
            <w:r>
              <w:t>īdzi valsts budžeta programmas “</w:t>
            </w:r>
            <w:r w:rsidRPr="00726F0D">
              <w:t>Lī</w:t>
            </w:r>
            <w:r>
              <w:t>dzekļi neparedzētiem gadījumiem”</w:t>
            </w:r>
            <w:r w:rsidRPr="00726F0D">
              <w:t xml:space="preserve"> faktiskajam atlikumam pēc Finanšu ministrijas rīkojumiem un apropriācijas finansējums no līdzekļiem neparedzētiem gadījumiem tiek veikts atbilstoši faktiskajai nepieciešamībai.</w:t>
            </w:r>
          </w:p>
          <w:p w14:paraId="2A11B306" w14:textId="5F2C3A25" w:rsidR="00BE541C" w:rsidRPr="00E84D39" w:rsidRDefault="006D0C0B" w:rsidP="00BE541C">
            <w:pPr>
              <w:spacing w:before="120" w:after="120"/>
              <w:ind w:left="123" w:right="111"/>
              <w:jc w:val="both"/>
              <w:rPr>
                <w:lang w:eastAsia="en-US"/>
              </w:rPr>
            </w:pPr>
            <w:r w:rsidRPr="00E84D39">
              <w:rPr>
                <w:lang w:eastAsia="en-US"/>
              </w:rPr>
              <w:t>Bez tam, Finanšu ministrijā ir saņemti jauni pieprasījumi no līdzekļiem neparedzētiem gadījumiem (atrodas dažādās saskaņošanas stadijās)</w:t>
            </w:r>
            <w:r w:rsidR="00E84D39">
              <w:rPr>
                <w:lang w:eastAsia="en-US"/>
              </w:rPr>
              <w:t>, kā arī ir sagaidāmi</w:t>
            </w:r>
            <w:r w:rsidR="00BE541C">
              <w:rPr>
                <w:lang w:eastAsia="en-US"/>
              </w:rPr>
              <w:t xml:space="preserve"> </w:t>
            </w:r>
            <w:r w:rsidR="00BE541C" w:rsidRPr="00E84D39">
              <w:rPr>
                <w:iCs/>
              </w:rPr>
              <w:t xml:space="preserve">papildu pieprasījumi no nozaru ministrijām </w:t>
            </w:r>
            <w:r w:rsidR="00BE541C">
              <w:rPr>
                <w:lang w:eastAsia="en-US"/>
              </w:rPr>
              <w:t>saskaņā ar pieņemtajiem Ministru kabineta konceptuālajiem lēmumiem</w:t>
            </w:r>
            <w:r w:rsidR="00BE541C" w:rsidRPr="00E84D39">
              <w:rPr>
                <w:iCs/>
              </w:rPr>
              <w:t xml:space="preserve"> </w:t>
            </w:r>
            <w:r w:rsidR="00BE541C">
              <w:rPr>
                <w:iCs/>
              </w:rPr>
              <w:t xml:space="preserve">saistībā </w:t>
            </w:r>
            <w:r w:rsidR="00BE541C" w:rsidRPr="00E84D39">
              <w:rPr>
                <w:iCs/>
              </w:rPr>
              <w:t>ar izstrādātiem atbalsta pasākumiem Covid-19 izraisītās krīzes seku mazināšanai</w:t>
            </w:r>
            <w:r w:rsidR="005F2EA5" w:rsidRPr="00680B36">
              <w:rPr>
                <w:shd w:val="clear" w:color="auto" w:fill="FFFFFF"/>
              </w:rPr>
              <w:t xml:space="preserve"> ārkārtējās situācijas laikā </w:t>
            </w:r>
            <w:r w:rsidR="005F2EA5">
              <w:rPr>
                <w:shd w:val="clear" w:color="auto" w:fill="FFFFFF"/>
              </w:rPr>
              <w:t xml:space="preserve">un </w:t>
            </w:r>
            <w:r w:rsidR="005F2EA5" w:rsidRPr="00680B36">
              <w:rPr>
                <w:shd w:val="clear" w:color="auto" w:fill="FFFFFF"/>
              </w:rPr>
              <w:t>noteikto aizliegumu un ierobežojumu radīto zaudējumu kompensējošiem pasākumiem</w:t>
            </w:r>
            <w:r w:rsidR="005F2EA5">
              <w:rPr>
                <w:shd w:val="clear" w:color="auto" w:fill="FFFFFF"/>
              </w:rPr>
              <w:t>.</w:t>
            </w:r>
          </w:p>
          <w:p w14:paraId="44379610" w14:textId="0B476DE5" w:rsidR="00A95439" w:rsidRDefault="00567B73" w:rsidP="000A747B">
            <w:pPr>
              <w:spacing w:before="120" w:after="120"/>
              <w:ind w:left="125" w:right="113"/>
              <w:jc w:val="both"/>
            </w:pPr>
            <w:r w:rsidRPr="00E51B1C">
              <w:rPr>
                <w:shd w:val="clear" w:color="auto" w:fill="FFFFFF"/>
              </w:rPr>
              <w:t xml:space="preserve">Lai </w:t>
            </w:r>
            <w:r w:rsidRPr="00E51B1C">
              <w:t xml:space="preserve">atbilstoši situācijai </w:t>
            </w:r>
            <w:r w:rsidRPr="00E51B1C">
              <w:rPr>
                <w:shd w:val="clear" w:color="auto" w:fill="FFFFFF"/>
              </w:rPr>
              <w:t xml:space="preserve">varētu </w:t>
            </w:r>
            <w:r w:rsidR="00FB563F" w:rsidRPr="00E51B1C">
              <w:rPr>
                <w:shd w:val="clear" w:color="auto" w:fill="FFFFFF"/>
              </w:rPr>
              <w:t xml:space="preserve">nekavējoties </w:t>
            </w:r>
            <w:r w:rsidRPr="00E51B1C">
              <w:rPr>
                <w:shd w:val="clear" w:color="auto" w:fill="FFFFFF"/>
              </w:rPr>
              <w:t xml:space="preserve">nodrošināt nepieciešamo finansējumu ārkārtējās situācijas laikā noteikto aizliegumu un ierobežojumu radīto zaudējumu kompensējošiem pasākumiem un </w:t>
            </w:r>
            <w:r w:rsidRPr="00E51B1C">
              <w:t>operatīvi reaģēt un piešķirt nepieciešamo finansējumu</w:t>
            </w:r>
            <w:r w:rsidRPr="00E51B1C">
              <w:rPr>
                <w:shd w:val="clear" w:color="auto" w:fill="FFFFFF"/>
              </w:rPr>
              <w:t xml:space="preserve">, </w:t>
            </w:r>
            <w:r w:rsidRPr="00E51B1C">
              <w:rPr>
                <w:iCs/>
              </w:rPr>
              <w:t xml:space="preserve">Finanšu ministrija ir sagatavojusi Ministru kabineta rīkojuma projektu, paredzot </w:t>
            </w:r>
            <w:r w:rsidRPr="00E51B1C">
              <w:t xml:space="preserve">palielināt apropriāciju  </w:t>
            </w:r>
            <w:r w:rsidRPr="00E51B1C">
              <w:rPr>
                <w:iCs/>
              </w:rPr>
              <w:t>budžeta resora “74. Gadskārtējā valsts budžeta izpildes procesā pārdalāmais finansējums” programmā 02.00.00 “</w:t>
            </w:r>
            <w:r w:rsidRPr="00E51B1C">
              <w:t>Līdzekļi neparedzētiem gadījumiem</w:t>
            </w:r>
            <w:r w:rsidRPr="00E51B1C">
              <w:rPr>
                <w:iCs/>
              </w:rPr>
              <w:t>”</w:t>
            </w:r>
            <w:r w:rsidRPr="00E51B1C">
              <w:rPr>
                <w:bCs/>
              </w:rPr>
              <w:t xml:space="preserve"> </w:t>
            </w:r>
            <w:r w:rsidR="00BE541C" w:rsidRPr="000A747B">
              <w:rPr>
                <w:b/>
                <w:bCs/>
              </w:rPr>
              <w:t>5</w:t>
            </w:r>
            <w:r w:rsidR="00FC314C" w:rsidRPr="000A747B">
              <w:rPr>
                <w:b/>
                <w:bCs/>
              </w:rPr>
              <w:t>00</w:t>
            </w:r>
            <w:r w:rsidRPr="000A747B">
              <w:rPr>
                <w:b/>
              </w:rPr>
              <w:t> 000 000</w:t>
            </w:r>
            <w:r w:rsidRPr="00E51B1C">
              <w:rPr>
                <w:b/>
              </w:rPr>
              <w:t xml:space="preserve"> </w:t>
            </w:r>
            <w:proofErr w:type="spellStart"/>
            <w:r w:rsidRPr="00E51B1C">
              <w:rPr>
                <w:b/>
                <w:i/>
              </w:rPr>
              <w:t>euro</w:t>
            </w:r>
            <w:proofErr w:type="spellEnd"/>
            <w:r w:rsidRPr="00E51B1C">
              <w:rPr>
                <w:i/>
              </w:rPr>
              <w:t xml:space="preserve"> </w:t>
            </w:r>
            <w:r w:rsidRPr="00E51B1C">
              <w:t>apmērā.</w:t>
            </w:r>
            <w:r w:rsidR="00FB563F" w:rsidRPr="00E51B1C">
              <w:t xml:space="preserve"> Minētais finansējums tiks piešķirts atbilstoši faktiskajai nepieciešamībai.</w:t>
            </w:r>
          </w:p>
          <w:p w14:paraId="1BD16DB1" w14:textId="0ACF0D22" w:rsidR="000A747B" w:rsidRPr="00E51B1C" w:rsidRDefault="000A747B" w:rsidP="005F2EA5">
            <w:pPr>
              <w:spacing w:before="120" w:after="120"/>
              <w:ind w:left="125" w:right="113"/>
              <w:jc w:val="both"/>
              <w:rPr>
                <w:bCs/>
              </w:rPr>
            </w:pPr>
          </w:p>
        </w:tc>
      </w:tr>
      <w:tr w:rsidR="00E51B1C" w:rsidRPr="00E51B1C" w14:paraId="3BB49A49" w14:textId="77777777" w:rsidTr="00962079">
        <w:trPr>
          <w:trHeight w:val="134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73A3AC1" w14:textId="77777777" w:rsidR="009D36DE" w:rsidRPr="00E51B1C" w:rsidRDefault="009D36DE" w:rsidP="000044FA">
            <w:pPr>
              <w:spacing w:before="100" w:after="100"/>
            </w:pPr>
            <w:r w:rsidRPr="00E51B1C">
              <w:lastRenderedPageBreak/>
              <w:t>3.</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FECC2D3" w14:textId="77777777" w:rsidR="009D36DE" w:rsidRPr="00E51B1C" w:rsidRDefault="009D36DE" w:rsidP="000044FA">
            <w:pPr>
              <w:spacing w:before="100" w:after="100"/>
            </w:pPr>
            <w:r w:rsidRPr="00E51B1C">
              <w:t>Projekta izstrādē iesaistītās institūcijas un publiskas personas kapitālsabiedrības</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8FAE1C9" w14:textId="77777777" w:rsidR="009D36DE" w:rsidRPr="00E51B1C" w:rsidRDefault="003B60B8" w:rsidP="006D245F">
            <w:pPr>
              <w:spacing w:before="100" w:after="100"/>
              <w:ind w:firstLine="123"/>
              <w:jc w:val="both"/>
            </w:pPr>
            <w:r w:rsidRPr="00E51B1C">
              <w:t>Nav</w:t>
            </w:r>
          </w:p>
        </w:tc>
      </w:tr>
      <w:tr w:rsidR="00E51B1C" w:rsidRPr="00E51B1C" w14:paraId="5652B384" w14:textId="77777777" w:rsidTr="001611E9">
        <w:trPr>
          <w:trHeight w:val="174"/>
        </w:trPr>
        <w:tc>
          <w:tcPr>
            <w:tcW w:w="42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A8FBA30" w14:textId="77777777" w:rsidR="009D36DE" w:rsidRPr="00E51B1C" w:rsidRDefault="009D36DE" w:rsidP="000044FA">
            <w:pPr>
              <w:spacing w:before="100" w:after="100"/>
            </w:pPr>
            <w:r w:rsidRPr="00E51B1C">
              <w:t>4.</w:t>
            </w:r>
          </w:p>
        </w:tc>
        <w:tc>
          <w:tcPr>
            <w:tcW w:w="21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6E68AD9" w14:textId="77777777" w:rsidR="009D36DE" w:rsidRPr="00E51B1C" w:rsidRDefault="009D36DE" w:rsidP="000044FA">
            <w:pPr>
              <w:spacing w:before="100" w:after="100"/>
            </w:pPr>
            <w:r w:rsidRPr="00E51B1C">
              <w:t>Cita informācija</w:t>
            </w:r>
          </w:p>
        </w:tc>
        <w:tc>
          <w:tcPr>
            <w:tcW w:w="68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695E48" w14:textId="77777777" w:rsidR="009D36DE" w:rsidRPr="00E51B1C" w:rsidRDefault="003B60B8" w:rsidP="006D245F">
            <w:pPr>
              <w:spacing w:before="100" w:after="100"/>
              <w:ind w:firstLine="123"/>
              <w:jc w:val="both"/>
            </w:pPr>
            <w:r w:rsidRPr="00E51B1C">
              <w:rPr>
                <w:bCs/>
              </w:rPr>
              <w:t>Nav</w:t>
            </w:r>
          </w:p>
        </w:tc>
      </w:tr>
    </w:tbl>
    <w:p w14:paraId="3DBDB41B" w14:textId="77777777" w:rsidR="009D36DE" w:rsidRPr="00E51B1C" w:rsidRDefault="009D36DE" w:rsidP="000044FA"/>
    <w:tbl>
      <w:tblPr>
        <w:tblW w:w="5181" w:type="pct"/>
        <w:tblInd w:w="-147" w:type="dxa"/>
        <w:tblCellMar>
          <w:left w:w="10" w:type="dxa"/>
          <w:right w:w="10" w:type="dxa"/>
        </w:tblCellMar>
        <w:tblLook w:val="0000" w:firstRow="0" w:lastRow="0" w:firstColumn="0" w:lastColumn="0" w:noHBand="0" w:noVBand="0"/>
      </w:tblPr>
      <w:tblGrid>
        <w:gridCol w:w="9355"/>
        <w:gridCol w:w="40"/>
      </w:tblGrid>
      <w:tr w:rsidR="00E51B1C" w:rsidRPr="00E51B1C" w14:paraId="4C146E2F"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B351E4" w14:textId="77777777" w:rsidR="009D36DE" w:rsidRPr="00E51B1C" w:rsidRDefault="009D36DE" w:rsidP="004B4E72">
            <w:pPr>
              <w:ind w:right="-19"/>
              <w:jc w:val="center"/>
              <w:rPr>
                <w:b/>
                <w:bCs/>
              </w:rPr>
            </w:pPr>
            <w:r w:rsidRPr="00E51B1C">
              <w:rPr>
                <w:b/>
                <w:bCs/>
              </w:rPr>
              <w:t>II. Tiesību aktu projektu ietekme uz sabiedrību, tautsaimniecības attīstību un administratīvo slogu</w:t>
            </w:r>
          </w:p>
        </w:tc>
        <w:tc>
          <w:tcPr>
            <w:tcW w:w="40" w:type="dxa"/>
            <w:shd w:val="clear" w:color="auto" w:fill="auto"/>
            <w:tcMar>
              <w:top w:w="0" w:type="dxa"/>
              <w:left w:w="10" w:type="dxa"/>
              <w:bottom w:w="0" w:type="dxa"/>
              <w:right w:w="10" w:type="dxa"/>
            </w:tcMar>
          </w:tcPr>
          <w:p w14:paraId="475968C0" w14:textId="77777777" w:rsidR="009D36DE" w:rsidRPr="00E51B1C" w:rsidRDefault="009D36DE" w:rsidP="000044FA">
            <w:pPr>
              <w:ind w:firstLine="1113"/>
              <w:jc w:val="center"/>
              <w:rPr>
                <w:b/>
                <w:bCs/>
              </w:rPr>
            </w:pPr>
          </w:p>
        </w:tc>
      </w:tr>
      <w:tr w:rsidR="00E51B1C" w:rsidRPr="00E51B1C" w14:paraId="5B31CB64" w14:textId="77777777" w:rsidTr="001611E9">
        <w:trPr>
          <w:trHeight w:val="444"/>
        </w:trPr>
        <w:tc>
          <w:tcPr>
            <w:tcW w:w="935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6D3D226" w14:textId="77777777" w:rsidR="001611E9" w:rsidRPr="00E51B1C" w:rsidRDefault="001611E9" w:rsidP="004B4E72">
            <w:pPr>
              <w:jc w:val="center"/>
              <w:rPr>
                <w:b/>
                <w:bCs/>
                <w:highlight w:val="green"/>
              </w:rPr>
            </w:pPr>
            <w:r w:rsidRPr="00E51B1C">
              <w:t>Projekts šo jomu neskar</w:t>
            </w:r>
          </w:p>
        </w:tc>
        <w:tc>
          <w:tcPr>
            <w:tcW w:w="40" w:type="dxa"/>
            <w:shd w:val="clear" w:color="auto" w:fill="auto"/>
            <w:tcMar>
              <w:top w:w="0" w:type="dxa"/>
              <w:left w:w="10" w:type="dxa"/>
              <w:bottom w:w="0" w:type="dxa"/>
              <w:right w:w="10" w:type="dxa"/>
            </w:tcMar>
          </w:tcPr>
          <w:p w14:paraId="4731C3D0" w14:textId="77777777" w:rsidR="001611E9" w:rsidRPr="00E51B1C" w:rsidRDefault="001611E9" w:rsidP="000044FA">
            <w:pPr>
              <w:ind w:firstLine="1113"/>
              <w:jc w:val="center"/>
              <w:rPr>
                <w:b/>
                <w:bCs/>
                <w:highlight w:val="green"/>
              </w:rPr>
            </w:pPr>
          </w:p>
        </w:tc>
      </w:tr>
    </w:tbl>
    <w:p w14:paraId="2054AA73" w14:textId="77777777" w:rsidR="00064F32" w:rsidRPr="00E51B1C" w:rsidRDefault="00064F32" w:rsidP="000044FA">
      <w:pPr>
        <w:pStyle w:val="NoSpacing"/>
        <w:rPr>
          <w:rFonts w:ascii="Times New Roman" w:hAnsi="Times New Roman"/>
          <w:sz w:val="24"/>
          <w:szCs w:val="24"/>
          <w:lang w:eastAsia="lv-LV"/>
        </w:rPr>
      </w:pPr>
    </w:p>
    <w:tbl>
      <w:tblPr>
        <w:tblStyle w:val="TableGrid"/>
        <w:tblW w:w="9501" w:type="dxa"/>
        <w:jc w:val="center"/>
        <w:tblLayout w:type="fixed"/>
        <w:tblLook w:val="04A0" w:firstRow="1" w:lastRow="0" w:firstColumn="1" w:lastColumn="0" w:noHBand="0" w:noVBand="1"/>
      </w:tblPr>
      <w:tblGrid>
        <w:gridCol w:w="1413"/>
        <w:gridCol w:w="1276"/>
        <w:gridCol w:w="1275"/>
        <w:gridCol w:w="1134"/>
        <w:gridCol w:w="1418"/>
        <w:gridCol w:w="850"/>
        <w:gridCol w:w="993"/>
        <w:gridCol w:w="1134"/>
        <w:gridCol w:w="8"/>
      </w:tblGrid>
      <w:tr w:rsidR="00E51B1C" w:rsidRPr="00E51B1C" w14:paraId="2290E396" w14:textId="77777777" w:rsidTr="00962079">
        <w:trPr>
          <w:jc w:val="center"/>
        </w:trPr>
        <w:tc>
          <w:tcPr>
            <w:tcW w:w="9501" w:type="dxa"/>
            <w:gridSpan w:val="9"/>
          </w:tcPr>
          <w:p w14:paraId="6B1BBF90" w14:textId="77777777" w:rsidR="00064F32" w:rsidRPr="00E51B1C" w:rsidRDefault="00064F32" w:rsidP="000044FA">
            <w:pPr>
              <w:pStyle w:val="NoSpacing"/>
              <w:jc w:val="center"/>
              <w:rPr>
                <w:rFonts w:ascii="Times New Roman" w:hAnsi="Times New Roman"/>
                <w:sz w:val="24"/>
                <w:szCs w:val="24"/>
                <w:lang w:eastAsia="lv-LV"/>
              </w:rPr>
            </w:pPr>
            <w:r w:rsidRPr="00E51B1C">
              <w:rPr>
                <w:rFonts w:ascii="Times New Roman" w:hAnsi="Times New Roman"/>
                <w:b/>
                <w:sz w:val="24"/>
                <w:szCs w:val="24"/>
                <w:lang w:eastAsia="lv-LV"/>
              </w:rPr>
              <w:t>III. Tiesību akta projekta ietekme uz valsts budžetu un pašvaldību budžetiem</w:t>
            </w:r>
          </w:p>
        </w:tc>
      </w:tr>
      <w:tr w:rsidR="00E51B1C" w:rsidRPr="00E51B1C" w14:paraId="5EF10583" w14:textId="77777777" w:rsidTr="001E5EC1">
        <w:trPr>
          <w:jc w:val="center"/>
        </w:trPr>
        <w:tc>
          <w:tcPr>
            <w:tcW w:w="1413" w:type="dxa"/>
            <w:vMerge w:val="restart"/>
          </w:tcPr>
          <w:p w14:paraId="70055DE7" w14:textId="77777777" w:rsidR="00372421" w:rsidRPr="00E51B1C" w:rsidRDefault="00372421" w:rsidP="00372421">
            <w:pPr>
              <w:pStyle w:val="NoSpacing"/>
              <w:jc w:val="center"/>
              <w:rPr>
                <w:rFonts w:ascii="Times New Roman" w:hAnsi="Times New Roman"/>
                <w:sz w:val="20"/>
                <w:szCs w:val="20"/>
                <w:lang w:eastAsia="lv-LV"/>
              </w:rPr>
            </w:pPr>
          </w:p>
          <w:p w14:paraId="164D976C" w14:textId="77777777" w:rsidR="00372421" w:rsidRPr="00E51B1C" w:rsidRDefault="00372421" w:rsidP="00372421">
            <w:pPr>
              <w:pStyle w:val="NoSpacing"/>
              <w:jc w:val="center"/>
              <w:rPr>
                <w:rFonts w:ascii="Times New Roman" w:hAnsi="Times New Roman"/>
                <w:sz w:val="20"/>
                <w:szCs w:val="20"/>
                <w:lang w:eastAsia="lv-LV"/>
              </w:rPr>
            </w:pPr>
          </w:p>
          <w:p w14:paraId="7F95A946" w14:textId="77777777" w:rsidR="00372421" w:rsidRPr="00E51B1C" w:rsidRDefault="00372421" w:rsidP="00372421">
            <w:pPr>
              <w:pStyle w:val="NoSpacing"/>
              <w:jc w:val="center"/>
              <w:rPr>
                <w:rFonts w:ascii="Times New Roman" w:hAnsi="Times New Roman"/>
                <w:sz w:val="20"/>
                <w:szCs w:val="20"/>
                <w:lang w:eastAsia="lv-LV"/>
              </w:rPr>
            </w:pPr>
          </w:p>
          <w:p w14:paraId="1337BA23" w14:textId="77777777" w:rsidR="00372421" w:rsidRPr="00E51B1C" w:rsidRDefault="00372421" w:rsidP="00372421">
            <w:pPr>
              <w:pStyle w:val="NoSpacing"/>
              <w:jc w:val="center"/>
              <w:rPr>
                <w:rFonts w:ascii="Times New Roman" w:hAnsi="Times New Roman"/>
                <w:sz w:val="20"/>
                <w:szCs w:val="20"/>
                <w:lang w:eastAsia="lv-LV"/>
              </w:rPr>
            </w:pPr>
          </w:p>
          <w:p w14:paraId="2B77B71A" w14:textId="32842978"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Rādītāji</w:t>
            </w:r>
          </w:p>
        </w:tc>
        <w:tc>
          <w:tcPr>
            <w:tcW w:w="2551" w:type="dxa"/>
            <w:gridSpan w:val="2"/>
            <w:vMerge w:val="restart"/>
          </w:tcPr>
          <w:p w14:paraId="2AB83078" w14:textId="3C8FB7D7"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lastRenderedPageBreak/>
              <w:t>20</w:t>
            </w:r>
            <w:r w:rsidR="00E8717E" w:rsidRPr="00E51B1C">
              <w:rPr>
                <w:rFonts w:ascii="Times New Roman" w:hAnsi="Times New Roman"/>
                <w:sz w:val="20"/>
                <w:szCs w:val="20"/>
                <w:lang w:eastAsia="lv-LV"/>
              </w:rPr>
              <w:t>2</w:t>
            </w:r>
            <w:r w:rsidR="003C640B">
              <w:rPr>
                <w:rFonts w:ascii="Times New Roman" w:hAnsi="Times New Roman"/>
                <w:sz w:val="20"/>
                <w:szCs w:val="20"/>
                <w:lang w:eastAsia="lv-LV"/>
              </w:rPr>
              <w:t>1</w:t>
            </w:r>
            <w:r w:rsidR="00064F32" w:rsidRPr="00E51B1C">
              <w:rPr>
                <w:rFonts w:ascii="Times New Roman" w:hAnsi="Times New Roman"/>
                <w:sz w:val="20"/>
                <w:szCs w:val="20"/>
                <w:lang w:eastAsia="lv-LV"/>
              </w:rPr>
              <w:t>. gads</w:t>
            </w:r>
          </w:p>
        </w:tc>
        <w:tc>
          <w:tcPr>
            <w:tcW w:w="5537" w:type="dxa"/>
            <w:gridSpan w:val="6"/>
          </w:tcPr>
          <w:p w14:paraId="77284521"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Turpmākie trīs gadi (</w:t>
            </w:r>
            <w:proofErr w:type="spellStart"/>
            <w:r w:rsidRPr="00E51B1C">
              <w:rPr>
                <w:rFonts w:ascii="Times New Roman" w:hAnsi="Times New Roman"/>
                <w:i/>
                <w:iCs/>
                <w:sz w:val="20"/>
                <w:szCs w:val="20"/>
                <w:lang w:eastAsia="lv-LV"/>
              </w:rPr>
              <w:t>euro</w:t>
            </w:r>
            <w:proofErr w:type="spellEnd"/>
            <w:r w:rsidRPr="00E51B1C">
              <w:rPr>
                <w:rFonts w:ascii="Times New Roman" w:hAnsi="Times New Roman"/>
                <w:sz w:val="20"/>
                <w:szCs w:val="20"/>
                <w:lang w:eastAsia="lv-LV"/>
              </w:rPr>
              <w:t>)</w:t>
            </w:r>
          </w:p>
        </w:tc>
      </w:tr>
      <w:tr w:rsidR="00E51B1C" w:rsidRPr="00E51B1C" w14:paraId="72722EC7" w14:textId="77777777" w:rsidTr="001E5EC1">
        <w:trPr>
          <w:jc w:val="center"/>
        </w:trPr>
        <w:tc>
          <w:tcPr>
            <w:tcW w:w="1413" w:type="dxa"/>
            <w:vMerge/>
          </w:tcPr>
          <w:p w14:paraId="5F6D5C9D" w14:textId="77777777" w:rsidR="00064F32" w:rsidRPr="00E51B1C" w:rsidRDefault="00064F32" w:rsidP="00372421">
            <w:pPr>
              <w:pStyle w:val="NoSpacing"/>
              <w:jc w:val="center"/>
              <w:rPr>
                <w:rFonts w:ascii="Times New Roman" w:hAnsi="Times New Roman"/>
                <w:sz w:val="20"/>
                <w:szCs w:val="20"/>
                <w:lang w:eastAsia="lv-LV"/>
              </w:rPr>
            </w:pPr>
          </w:p>
        </w:tc>
        <w:tc>
          <w:tcPr>
            <w:tcW w:w="2551" w:type="dxa"/>
            <w:gridSpan w:val="2"/>
            <w:vMerge/>
          </w:tcPr>
          <w:p w14:paraId="0186CDB4" w14:textId="77777777" w:rsidR="00064F32" w:rsidRPr="00E51B1C" w:rsidRDefault="00064F32" w:rsidP="00372421">
            <w:pPr>
              <w:pStyle w:val="NoSpacing"/>
              <w:jc w:val="center"/>
              <w:rPr>
                <w:rFonts w:ascii="Times New Roman" w:hAnsi="Times New Roman"/>
                <w:sz w:val="20"/>
                <w:szCs w:val="20"/>
                <w:lang w:eastAsia="lv-LV"/>
              </w:rPr>
            </w:pPr>
          </w:p>
        </w:tc>
        <w:tc>
          <w:tcPr>
            <w:tcW w:w="2552" w:type="dxa"/>
            <w:gridSpan w:val="2"/>
          </w:tcPr>
          <w:p w14:paraId="2B8E1DA0" w14:textId="363C11C3"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2</w:t>
            </w:r>
            <w:r w:rsidR="00064F32" w:rsidRPr="00E51B1C">
              <w:rPr>
                <w:rFonts w:ascii="Times New Roman" w:hAnsi="Times New Roman"/>
                <w:sz w:val="20"/>
                <w:szCs w:val="20"/>
                <w:lang w:eastAsia="lv-LV"/>
              </w:rPr>
              <w:t>.gads</w:t>
            </w:r>
          </w:p>
        </w:tc>
        <w:tc>
          <w:tcPr>
            <w:tcW w:w="1843" w:type="dxa"/>
            <w:gridSpan w:val="2"/>
          </w:tcPr>
          <w:p w14:paraId="0613558D" w14:textId="2F566A3F" w:rsidR="00064F32" w:rsidRPr="00E51B1C" w:rsidRDefault="008322A7"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3</w:t>
            </w:r>
            <w:r w:rsidR="00064F32" w:rsidRPr="00E51B1C">
              <w:rPr>
                <w:rFonts w:ascii="Times New Roman" w:hAnsi="Times New Roman"/>
                <w:sz w:val="20"/>
                <w:szCs w:val="20"/>
                <w:lang w:eastAsia="lv-LV"/>
              </w:rPr>
              <w:t>.gads</w:t>
            </w:r>
          </w:p>
        </w:tc>
        <w:tc>
          <w:tcPr>
            <w:tcW w:w="1142" w:type="dxa"/>
            <w:gridSpan w:val="2"/>
          </w:tcPr>
          <w:p w14:paraId="2EC5B9B5" w14:textId="0EEC82FC" w:rsidR="00064F32" w:rsidRPr="00E51B1C" w:rsidRDefault="00064F32" w:rsidP="003C640B">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202</w:t>
            </w:r>
            <w:r w:rsidR="003C640B">
              <w:rPr>
                <w:rFonts w:ascii="Times New Roman" w:hAnsi="Times New Roman"/>
                <w:sz w:val="20"/>
                <w:szCs w:val="20"/>
                <w:lang w:eastAsia="lv-LV"/>
              </w:rPr>
              <w:t>4</w:t>
            </w:r>
            <w:r w:rsidRPr="00E51B1C">
              <w:rPr>
                <w:rFonts w:ascii="Times New Roman" w:hAnsi="Times New Roman"/>
                <w:sz w:val="20"/>
                <w:szCs w:val="20"/>
                <w:lang w:eastAsia="lv-LV"/>
              </w:rPr>
              <w:t>.gads</w:t>
            </w:r>
          </w:p>
        </w:tc>
      </w:tr>
      <w:tr w:rsidR="00E51B1C" w:rsidRPr="00E51B1C" w14:paraId="704E5777" w14:textId="77777777" w:rsidTr="001E5EC1">
        <w:trPr>
          <w:gridAfter w:val="1"/>
          <w:wAfter w:w="8" w:type="dxa"/>
          <w:jc w:val="center"/>
        </w:trPr>
        <w:tc>
          <w:tcPr>
            <w:tcW w:w="1413" w:type="dxa"/>
            <w:vMerge/>
          </w:tcPr>
          <w:p w14:paraId="21797E92" w14:textId="77777777" w:rsidR="00064F32" w:rsidRPr="00E51B1C" w:rsidRDefault="00064F32" w:rsidP="00372421">
            <w:pPr>
              <w:pStyle w:val="NoSpacing"/>
              <w:jc w:val="center"/>
              <w:rPr>
                <w:rFonts w:ascii="Times New Roman" w:hAnsi="Times New Roman"/>
                <w:sz w:val="20"/>
                <w:szCs w:val="20"/>
                <w:lang w:eastAsia="lv-LV"/>
              </w:rPr>
            </w:pPr>
          </w:p>
        </w:tc>
        <w:tc>
          <w:tcPr>
            <w:tcW w:w="1276" w:type="dxa"/>
          </w:tcPr>
          <w:p w14:paraId="4CF9630E"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saskaņā ar valsts budžetu kārtējam gadam</w:t>
            </w:r>
          </w:p>
        </w:tc>
        <w:tc>
          <w:tcPr>
            <w:tcW w:w="1275" w:type="dxa"/>
          </w:tcPr>
          <w:p w14:paraId="1659FCE2"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kārtējā gadā, salīdzinot ar valsts budžetu kārtējam gadam</w:t>
            </w:r>
          </w:p>
        </w:tc>
        <w:tc>
          <w:tcPr>
            <w:tcW w:w="1134" w:type="dxa"/>
          </w:tcPr>
          <w:p w14:paraId="15473A0E" w14:textId="77777777" w:rsidR="00064F32" w:rsidRPr="00E51B1C" w:rsidRDefault="00064F32" w:rsidP="0037242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1418" w:type="dxa"/>
          </w:tcPr>
          <w:p w14:paraId="688AD74B" w14:textId="78DBE5D2" w:rsidR="00064F32" w:rsidRPr="00E51B1C" w:rsidRDefault="00064F32" w:rsidP="00B51A7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w:t>
            </w:r>
            <w:r w:rsidR="00C142F2" w:rsidRPr="00E51B1C">
              <w:rPr>
                <w:rFonts w:ascii="Times New Roman" w:hAnsi="Times New Roman"/>
                <w:sz w:val="20"/>
                <w:szCs w:val="20"/>
                <w:lang w:eastAsia="lv-LV"/>
              </w:rPr>
              <w:t>2</w:t>
            </w:r>
            <w:r w:rsidR="00B51A71">
              <w:rPr>
                <w:rFonts w:ascii="Times New Roman" w:hAnsi="Times New Roman"/>
                <w:sz w:val="20"/>
                <w:szCs w:val="20"/>
                <w:lang w:eastAsia="lv-LV"/>
              </w:rPr>
              <w:t>2</w:t>
            </w:r>
            <w:r w:rsidRPr="00E51B1C">
              <w:rPr>
                <w:rFonts w:ascii="Times New Roman" w:hAnsi="Times New Roman"/>
                <w:sz w:val="20"/>
                <w:szCs w:val="20"/>
                <w:lang w:eastAsia="lv-LV"/>
              </w:rPr>
              <w:t>. gadam</w:t>
            </w:r>
          </w:p>
        </w:tc>
        <w:tc>
          <w:tcPr>
            <w:tcW w:w="850" w:type="dxa"/>
          </w:tcPr>
          <w:p w14:paraId="31723888" w14:textId="77777777" w:rsidR="00064F32" w:rsidRPr="00E51B1C" w:rsidRDefault="00064F32" w:rsidP="00372421">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saskaņā ar vidēja termiņa budžeta ietvaru</w:t>
            </w:r>
          </w:p>
        </w:tc>
        <w:tc>
          <w:tcPr>
            <w:tcW w:w="993" w:type="dxa"/>
          </w:tcPr>
          <w:p w14:paraId="05EF7C8C" w14:textId="54A91576" w:rsidR="00064F32" w:rsidRPr="00E51B1C" w:rsidRDefault="00064F32" w:rsidP="00B51A71">
            <w:pPr>
              <w:pStyle w:val="NoSpacing"/>
              <w:ind w:left="-102"/>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w:t>
            </w:r>
            <w:r w:rsidR="00C142F2" w:rsidRPr="00E51B1C">
              <w:rPr>
                <w:rFonts w:ascii="Times New Roman" w:hAnsi="Times New Roman"/>
                <w:sz w:val="20"/>
                <w:szCs w:val="20"/>
                <w:lang w:eastAsia="lv-LV"/>
              </w:rPr>
              <w:t>ēja termiņa budžeta ietvaru 202</w:t>
            </w:r>
            <w:r w:rsidR="00B51A71">
              <w:rPr>
                <w:rFonts w:ascii="Times New Roman" w:hAnsi="Times New Roman"/>
                <w:sz w:val="20"/>
                <w:szCs w:val="20"/>
                <w:lang w:eastAsia="lv-LV"/>
              </w:rPr>
              <w:t>3</w:t>
            </w:r>
            <w:r w:rsidRPr="00E51B1C">
              <w:rPr>
                <w:rFonts w:ascii="Times New Roman" w:hAnsi="Times New Roman"/>
                <w:sz w:val="20"/>
                <w:szCs w:val="20"/>
                <w:lang w:eastAsia="lv-LV"/>
              </w:rPr>
              <w:t>. gadam</w:t>
            </w:r>
          </w:p>
        </w:tc>
        <w:tc>
          <w:tcPr>
            <w:tcW w:w="1134" w:type="dxa"/>
          </w:tcPr>
          <w:p w14:paraId="4F89B0BE" w14:textId="494673BE" w:rsidR="00064F32" w:rsidRPr="00E51B1C" w:rsidRDefault="00064F32" w:rsidP="00B51A71">
            <w:pPr>
              <w:pStyle w:val="NoSpacing"/>
              <w:jc w:val="center"/>
              <w:rPr>
                <w:rFonts w:ascii="Times New Roman" w:hAnsi="Times New Roman"/>
                <w:sz w:val="20"/>
                <w:szCs w:val="20"/>
                <w:lang w:eastAsia="lv-LV"/>
              </w:rPr>
            </w:pPr>
            <w:r w:rsidRPr="00E51B1C">
              <w:rPr>
                <w:rFonts w:ascii="Times New Roman" w:hAnsi="Times New Roman"/>
                <w:sz w:val="20"/>
                <w:szCs w:val="20"/>
                <w:lang w:eastAsia="lv-LV"/>
              </w:rPr>
              <w:t>izmaiņas, salīdzinot ar vidēja termiņa budžeta ietvaru 202</w:t>
            </w:r>
            <w:r w:rsidR="00B51A71">
              <w:rPr>
                <w:rFonts w:ascii="Times New Roman" w:hAnsi="Times New Roman"/>
                <w:sz w:val="20"/>
                <w:szCs w:val="20"/>
                <w:lang w:eastAsia="lv-LV"/>
              </w:rPr>
              <w:t>3</w:t>
            </w:r>
            <w:r w:rsidRPr="00E51B1C">
              <w:rPr>
                <w:rFonts w:ascii="Times New Roman" w:hAnsi="Times New Roman"/>
                <w:sz w:val="20"/>
                <w:szCs w:val="20"/>
                <w:lang w:eastAsia="lv-LV"/>
              </w:rPr>
              <w:t>. gadam</w:t>
            </w:r>
          </w:p>
        </w:tc>
      </w:tr>
      <w:tr w:rsidR="00E51B1C" w:rsidRPr="00E51B1C" w14:paraId="06738653" w14:textId="77777777" w:rsidTr="001E5EC1">
        <w:trPr>
          <w:gridAfter w:val="1"/>
          <w:wAfter w:w="8" w:type="dxa"/>
          <w:jc w:val="center"/>
        </w:trPr>
        <w:tc>
          <w:tcPr>
            <w:tcW w:w="1413" w:type="dxa"/>
            <w:vAlign w:val="center"/>
          </w:tcPr>
          <w:p w14:paraId="087E6665"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1</w:t>
            </w:r>
          </w:p>
        </w:tc>
        <w:tc>
          <w:tcPr>
            <w:tcW w:w="1276" w:type="dxa"/>
            <w:vAlign w:val="center"/>
          </w:tcPr>
          <w:p w14:paraId="742AF566"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2</w:t>
            </w:r>
          </w:p>
        </w:tc>
        <w:tc>
          <w:tcPr>
            <w:tcW w:w="1275" w:type="dxa"/>
            <w:vAlign w:val="center"/>
          </w:tcPr>
          <w:p w14:paraId="2F15398D"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3</w:t>
            </w:r>
          </w:p>
        </w:tc>
        <w:tc>
          <w:tcPr>
            <w:tcW w:w="1134" w:type="dxa"/>
            <w:vAlign w:val="center"/>
          </w:tcPr>
          <w:p w14:paraId="5C4D947D"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4</w:t>
            </w:r>
          </w:p>
        </w:tc>
        <w:tc>
          <w:tcPr>
            <w:tcW w:w="1418" w:type="dxa"/>
            <w:vAlign w:val="center"/>
          </w:tcPr>
          <w:p w14:paraId="27465714"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5</w:t>
            </w:r>
          </w:p>
        </w:tc>
        <w:tc>
          <w:tcPr>
            <w:tcW w:w="850" w:type="dxa"/>
            <w:vAlign w:val="center"/>
          </w:tcPr>
          <w:p w14:paraId="508761AC"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6</w:t>
            </w:r>
          </w:p>
        </w:tc>
        <w:tc>
          <w:tcPr>
            <w:tcW w:w="993" w:type="dxa"/>
            <w:vAlign w:val="center"/>
          </w:tcPr>
          <w:p w14:paraId="74BAE14B"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7</w:t>
            </w:r>
          </w:p>
        </w:tc>
        <w:tc>
          <w:tcPr>
            <w:tcW w:w="1134" w:type="dxa"/>
            <w:vAlign w:val="center"/>
          </w:tcPr>
          <w:p w14:paraId="4061E3F8" w14:textId="77777777" w:rsidR="00064F32" w:rsidRPr="00E51B1C" w:rsidRDefault="00064F32" w:rsidP="000044FA">
            <w:pPr>
              <w:pStyle w:val="NoSpacing"/>
              <w:jc w:val="center"/>
              <w:rPr>
                <w:rFonts w:ascii="Times New Roman" w:hAnsi="Times New Roman"/>
                <w:sz w:val="16"/>
                <w:szCs w:val="16"/>
                <w:lang w:eastAsia="lv-LV"/>
              </w:rPr>
            </w:pPr>
            <w:r w:rsidRPr="00E51B1C">
              <w:rPr>
                <w:rFonts w:ascii="Times New Roman" w:hAnsi="Times New Roman"/>
                <w:sz w:val="16"/>
                <w:szCs w:val="16"/>
                <w:lang w:eastAsia="lv-LV"/>
              </w:rPr>
              <w:t>8</w:t>
            </w:r>
          </w:p>
        </w:tc>
      </w:tr>
      <w:tr w:rsidR="00E51B1C" w:rsidRPr="00E51B1C" w14:paraId="6285ABA3" w14:textId="77777777" w:rsidTr="001E5EC1">
        <w:trPr>
          <w:gridAfter w:val="1"/>
          <w:wAfter w:w="8" w:type="dxa"/>
          <w:jc w:val="center"/>
        </w:trPr>
        <w:tc>
          <w:tcPr>
            <w:tcW w:w="1413" w:type="dxa"/>
          </w:tcPr>
          <w:p w14:paraId="18F4E0D7"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1. Budžeta ieņēmumi</w:t>
            </w:r>
          </w:p>
        </w:tc>
        <w:tc>
          <w:tcPr>
            <w:tcW w:w="1276" w:type="dxa"/>
          </w:tcPr>
          <w:p w14:paraId="056264E9" w14:textId="2EC572F4"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2AC5F91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7F1B4E9"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EB6020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779511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5427B052"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1A42E02"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E564720" w14:textId="77777777" w:rsidTr="001E5EC1">
        <w:trPr>
          <w:gridAfter w:val="1"/>
          <w:wAfter w:w="8" w:type="dxa"/>
          <w:jc w:val="center"/>
        </w:trPr>
        <w:tc>
          <w:tcPr>
            <w:tcW w:w="1413" w:type="dxa"/>
          </w:tcPr>
          <w:p w14:paraId="3D166CCC" w14:textId="751794B3"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 xml:space="preserve">1.1. valsts pamatbudžets, tai skaitā ieņēmumi no maksas pakalpojumiem un citi pašu ieņēmumi </w:t>
            </w:r>
            <w:r w:rsidRPr="00E51B1C">
              <w:rPr>
                <w:rFonts w:ascii="Times New Roman" w:hAnsi="Times New Roman"/>
                <w:sz w:val="24"/>
                <w:szCs w:val="24"/>
                <w:lang w:eastAsia="lv-LV"/>
              </w:rPr>
              <w:t>(neto)</w:t>
            </w:r>
          </w:p>
        </w:tc>
        <w:tc>
          <w:tcPr>
            <w:tcW w:w="1276" w:type="dxa"/>
          </w:tcPr>
          <w:p w14:paraId="2058AD1F" w14:textId="5DFF445B"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04F63E08"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5B65C1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6FF8F95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3D823D9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4882CD7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D10F365"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8E4CF1A" w14:textId="77777777" w:rsidTr="001E5EC1">
        <w:trPr>
          <w:gridAfter w:val="1"/>
          <w:wAfter w:w="8" w:type="dxa"/>
          <w:jc w:val="center"/>
        </w:trPr>
        <w:tc>
          <w:tcPr>
            <w:tcW w:w="1413" w:type="dxa"/>
          </w:tcPr>
          <w:p w14:paraId="7EF383DE" w14:textId="74F6CEAA"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 xml:space="preserve">1.2. valsts speciālais budžets </w:t>
            </w:r>
            <w:r w:rsidRPr="00E51B1C">
              <w:rPr>
                <w:rFonts w:ascii="Times New Roman" w:hAnsi="Times New Roman"/>
                <w:sz w:val="24"/>
                <w:szCs w:val="24"/>
                <w:lang w:eastAsia="lv-LV"/>
              </w:rPr>
              <w:t>(neto)</w:t>
            </w:r>
          </w:p>
        </w:tc>
        <w:tc>
          <w:tcPr>
            <w:tcW w:w="1276" w:type="dxa"/>
          </w:tcPr>
          <w:p w14:paraId="5F16D58E" w14:textId="60C57A00"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0A0B96CF"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9A53E1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534BEFB7"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3826F5"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3C3B58ED"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4BCF405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FFC3881" w14:textId="77777777" w:rsidTr="001E5EC1">
        <w:trPr>
          <w:gridAfter w:val="1"/>
          <w:wAfter w:w="8" w:type="dxa"/>
          <w:jc w:val="center"/>
        </w:trPr>
        <w:tc>
          <w:tcPr>
            <w:tcW w:w="1413" w:type="dxa"/>
          </w:tcPr>
          <w:p w14:paraId="2CEA15CD"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1.3. pašvaldību budžets</w:t>
            </w:r>
          </w:p>
        </w:tc>
        <w:tc>
          <w:tcPr>
            <w:tcW w:w="1276" w:type="dxa"/>
          </w:tcPr>
          <w:p w14:paraId="2B532EE4" w14:textId="77777777" w:rsidR="00064F32" w:rsidRPr="00E51B1C" w:rsidRDefault="00064F32" w:rsidP="00962079">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313ABD5E"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357F7F2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773D403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3D4C03E"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3DFCA9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B6BC1F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1C3F2C8B" w14:textId="77777777" w:rsidTr="001E5EC1">
        <w:trPr>
          <w:gridAfter w:val="1"/>
          <w:wAfter w:w="8" w:type="dxa"/>
          <w:jc w:val="center"/>
        </w:trPr>
        <w:tc>
          <w:tcPr>
            <w:tcW w:w="1413" w:type="dxa"/>
          </w:tcPr>
          <w:p w14:paraId="4A1093AA" w14:textId="77777777" w:rsidR="003C640B" w:rsidRPr="00E51B1C" w:rsidRDefault="003C640B" w:rsidP="003C640B">
            <w:pPr>
              <w:pStyle w:val="NoSpacing"/>
              <w:rPr>
                <w:rFonts w:ascii="Times New Roman" w:hAnsi="Times New Roman"/>
                <w:lang w:eastAsia="lv-LV"/>
              </w:rPr>
            </w:pPr>
            <w:r w:rsidRPr="00E51B1C">
              <w:rPr>
                <w:rFonts w:ascii="Times New Roman" w:hAnsi="Times New Roman"/>
                <w:lang w:eastAsia="lv-LV"/>
              </w:rPr>
              <w:t>2. Budžeta izdevumi</w:t>
            </w:r>
          </w:p>
        </w:tc>
        <w:tc>
          <w:tcPr>
            <w:tcW w:w="1276" w:type="dxa"/>
          </w:tcPr>
          <w:p w14:paraId="78FDC2B0" w14:textId="194FEF41" w:rsidR="003C640B" w:rsidRPr="00E51B1C" w:rsidRDefault="003C640B" w:rsidP="003C640B">
            <w:pPr>
              <w:pStyle w:val="NoSpacing"/>
              <w:ind w:left="-253"/>
              <w:jc w:val="right"/>
              <w:rPr>
                <w:rFonts w:ascii="Times New Roman" w:hAnsi="Times New Roman"/>
                <w:sz w:val="20"/>
                <w:szCs w:val="20"/>
                <w:lang w:eastAsia="lv-LV"/>
              </w:rPr>
            </w:pPr>
            <w:r w:rsidRPr="00E51B1C">
              <w:rPr>
                <w:rFonts w:ascii="Times New Roman" w:hAnsi="Times New Roman"/>
                <w:b/>
                <w:sz w:val="20"/>
                <w:szCs w:val="20"/>
              </w:rPr>
              <w:t>26 729 748</w:t>
            </w:r>
          </w:p>
        </w:tc>
        <w:tc>
          <w:tcPr>
            <w:tcW w:w="1275" w:type="dxa"/>
          </w:tcPr>
          <w:p w14:paraId="3A22C34A" w14:textId="5EEF7999" w:rsidR="003C640B" w:rsidRPr="000A747B" w:rsidRDefault="003C640B" w:rsidP="003C640B">
            <w:pPr>
              <w:pStyle w:val="NoSpacing"/>
              <w:jc w:val="right"/>
              <w:rPr>
                <w:rFonts w:ascii="Times New Roman" w:hAnsi="Times New Roman"/>
                <w:b/>
                <w:sz w:val="20"/>
                <w:szCs w:val="20"/>
                <w:lang w:eastAsia="lv-LV"/>
              </w:rPr>
            </w:pPr>
            <w:r w:rsidRPr="000A747B">
              <w:rPr>
                <w:rFonts w:ascii="Times New Roman" w:hAnsi="Times New Roman"/>
                <w:b/>
                <w:sz w:val="20"/>
                <w:szCs w:val="20"/>
              </w:rPr>
              <w:t>500 000 000</w:t>
            </w:r>
          </w:p>
        </w:tc>
        <w:tc>
          <w:tcPr>
            <w:tcW w:w="1134" w:type="dxa"/>
          </w:tcPr>
          <w:p w14:paraId="62AAB058" w14:textId="103E0985" w:rsidR="003C640B" w:rsidRPr="000A747B" w:rsidRDefault="003C640B" w:rsidP="003C640B">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418" w:type="dxa"/>
          </w:tcPr>
          <w:p w14:paraId="493BFE3A" w14:textId="779E635E"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1D94E43E"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7404EAF3"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B6509A"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5F14C625" w14:textId="77777777" w:rsidTr="001E5EC1">
        <w:trPr>
          <w:gridAfter w:val="1"/>
          <w:wAfter w:w="8" w:type="dxa"/>
          <w:jc w:val="center"/>
        </w:trPr>
        <w:tc>
          <w:tcPr>
            <w:tcW w:w="1413" w:type="dxa"/>
          </w:tcPr>
          <w:p w14:paraId="3E9C8911" w14:textId="435463D5" w:rsidR="003C640B" w:rsidRPr="00E51B1C" w:rsidRDefault="003C640B" w:rsidP="003C640B">
            <w:pPr>
              <w:pStyle w:val="NoSpacing"/>
              <w:rPr>
                <w:rFonts w:ascii="Times New Roman" w:hAnsi="Times New Roman"/>
                <w:sz w:val="21"/>
                <w:szCs w:val="21"/>
                <w:lang w:eastAsia="lv-LV"/>
              </w:rPr>
            </w:pPr>
            <w:r w:rsidRPr="00E51B1C">
              <w:rPr>
                <w:rFonts w:ascii="Times New Roman" w:hAnsi="Times New Roman"/>
                <w:sz w:val="21"/>
                <w:szCs w:val="21"/>
                <w:lang w:eastAsia="lv-LV"/>
              </w:rPr>
              <w:t xml:space="preserve">2.1. valsts pamatbudžets </w:t>
            </w:r>
            <w:r w:rsidRPr="00E51B1C">
              <w:rPr>
                <w:rFonts w:ascii="Times New Roman" w:hAnsi="Times New Roman"/>
                <w:sz w:val="24"/>
                <w:szCs w:val="24"/>
                <w:lang w:eastAsia="lv-LV"/>
              </w:rPr>
              <w:t>(neto)</w:t>
            </w:r>
          </w:p>
        </w:tc>
        <w:tc>
          <w:tcPr>
            <w:tcW w:w="1276" w:type="dxa"/>
          </w:tcPr>
          <w:p w14:paraId="16433056" w14:textId="7B32F806" w:rsidR="003C640B" w:rsidRPr="00E51B1C" w:rsidRDefault="003C640B" w:rsidP="003C640B">
            <w:pPr>
              <w:pStyle w:val="NoSpacing"/>
              <w:ind w:left="-253"/>
              <w:jc w:val="right"/>
              <w:rPr>
                <w:rFonts w:ascii="Times New Roman" w:hAnsi="Times New Roman"/>
                <w:sz w:val="20"/>
                <w:szCs w:val="20"/>
                <w:lang w:eastAsia="lv-LV"/>
              </w:rPr>
            </w:pPr>
            <w:r w:rsidRPr="00E51B1C">
              <w:rPr>
                <w:rFonts w:ascii="Times New Roman" w:hAnsi="Times New Roman"/>
                <w:b/>
                <w:sz w:val="20"/>
                <w:szCs w:val="20"/>
              </w:rPr>
              <w:t>26 729 748</w:t>
            </w:r>
          </w:p>
        </w:tc>
        <w:tc>
          <w:tcPr>
            <w:tcW w:w="1275" w:type="dxa"/>
          </w:tcPr>
          <w:p w14:paraId="2AA220F2" w14:textId="46F361C8" w:rsidR="003C640B" w:rsidRPr="000A747B" w:rsidRDefault="003C640B" w:rsidP="003C640B">
            <w:pPr>
              <w:pStyle w:val="NoSpacing"/>
              <w:jc w:val="right"/>
              <w:rPr>
                <w:rFonts w:ascii="Times New Roman" w:hAnsi="Times New Roman"/>
                <w:sz w:val="20"/>
                <w:szCs w:val="20"/>
                <w:lang w:eastAsia="lv-LV"/>
              </w:rPr>
            </w:pPr>
            <w:r w:rsidRPr="000A747B">
              <w:rPr>
                <w:rFonts w:ascii="Times New Roman" w:hAnsi="Times New Roman"/>
                <w:b/>
                <w:sz w:val="20"/>
                <w:szCs w:val="20"/>
              </w:rPr>
              <w:t>500 000 000</w:t>
            </w:r>
          </w:p>
        </w:tc>
        <w:tc>
          <w:tcPr>
            <w:tcW w:w="1134" w:type="dxa"/>
          </w:tcPr>
          <w:p w14:paraId="28D6A541" w14:textId="13EC5869" w:rsidR="003C640B" w:rsidRPr="000A747B" w:rsidRDefault="003C640B" w:rsidP="003C640B">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418" w:type="dxa"/>
          </w:tcPr>
          <w:p w14:paraId="4D8E7113" w14:textId="3176FE22"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C94C429"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2364611"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72AC6AE" w14:textId="77777777" w:rsidR="003C640B" w:rsidRPr="00E51B1C" w:rsidRDefault="003C640B" w:rsidP="003C640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3C640B" w:rsidRPr="00E51B1C" w14:paraId="5DAFDD09" w14:textId="77777777" w:rsidTr="001E5EC1">
        <w:trPr>
          <w:gridAfter w:val="1"/>
          <w:wAfter w:w="8" w:type="dxa"/>
          <w:jc w:val="center"/>
        </w:trPr>
        <w:tc>
          <w:tcPr>
            <w:tcW w:w="1413" w:type="dxa"/>
          </w:tcPr>
          <w:p w14:paraId="3B02577A" w14:textId="0B04F514" w:rsidR="003C640B" w:rsidRPr="00E51B1C" w:rsidRDefault="003C640B" w:rsidP="003C640B">
            <w:pPr>
              <w:pStyle w:val="NoSpacing"/>
              <w:rPr>
                <w:rFonts w:ascii="Times New Roman" w:hAnsi="Times New Roman"/>
                <w:i/>
                <w:lang w:eastAsia="lv-LV"/>
              </w:rPr>
            </w:pPr>
            <w:r w:rsidRPr="00E51B1C">
              <w:rPr>
                <w:rFonts w:ascii="Times New Roman" w:hAnsi="Times New Roman"/>
                <w:i/>
              </w:rPr>
              <w:t>budžeta resora “74. Gadskārtējā valsts budžeta izpildes procesā pārdalāmais finansējums” 02.00.00 programma</w:t>
            </w:r>
          </w:p>
        </w:tc>
        <w:tc>
          <w:tcPr>
            <w:tcW w:w="1276" w:type="dxa"/>
          </w:tcPr>
          <w:p w14:paraId="63E2BB95" w14:textId="6357881F" w:rsidR="003C640B" w:rsidRPr="00E51B1C" w:rsidRDefault="003C640B" w:rsidP="003C640B">
            <w:pPr>
              <w:pStyle w:val="NoSpacing"/>
              <w:ind w:left="-253"/>
              <w:jc w:val="right"/>
              <w:rPr>
                <w:rFonts w:ascii="Times New Roman" w:hAnsi="Times New Roman"/>
                <w:i/>
                <w:sz w:val="20"/>
                <w:szCs w:val="20"/>
                <w:lang w:eastAsia="lv-LV"/>
              </w:rPr>
            </w:pPr>
            <w:r w:rsidRPr="009557C6">
              <w:rPr>
                <w:rFonts w:ascii="Times New Roman" w:hAnsi="Times New Roman"/>
                <w:b/>
                <w:i/>
                <w:sz w:val="20"/>
                <w:szCs w:val="20"/>
              </w:rPr>
              <w:t>26 729 748</w:t>
            </w:r>
          </w:p>
        </w:tc>
        <w:tc>
          <w:tcPr>
            <w:tcW w:w="1275" w:type="dxa"/>
          </w:tcPr>
          <w:p w14:paraId="0C434249" w14:textId="0F0F340F" w:rsidR="003C640B" w:rsidRPr="000A747B" w:rsidRDefault="003C640B" w:rsidP="003C640B">
            <w:pPr>
              <w:pStyle w:val="NoSpacing"/>
              <w:jc w:val="right"/>
              <w:rPr>
                <w:rFonts w:ascii="Times New Roman" w:hAnsi="Times New Roman"/>
                <w:b/>
                <w:i/>
                <w:sz w:val="20"/>
                <w:szCs w:val="20"/>
              </w:rPr>
            </w:pPr>
            <w:r w:rsidRPr="000A747B">
              <w:rPr>
                <w:rFonts w:ascii="Times New Roman" w:hAnsi="Times New Roman"/>
                <w:b/>
                <w:i/>
                <w:sz w:val="20"/>
                <w:szCs w:val="20"/>
              </w:rPr>
              <w:t>500 000 000</w:t>
            </w:r>
          </w:p>
        </w:tc>
        <w:tc>
          <w:tcPr>
            <w:tcW w:w="1134" w:type="dxa"/>
          </w:tcPr>
          <w:p w14:paraId="0B52A75D" w14:textId="6D65AA41" w:rsidR="003C640B" w:rsidRPr="000A747B" w:rsidRDefault="003C640B" w:rsidP="003C640B">
            <w:pPr>
              <w:pStyle w:val="NoSpacing"/>
              <w:jc w:val="right"/>
              <w:rPr>
                <w:rFonts w:ascii="Times New Roman" w:hAnsi="Times New Roman"/>
                <w:i/>
                <w:sz w:val="20"/>
                <w:szCs w:val="20"/>
                <w:lang w:eastAsia="lv-LV"/>
              </w:rPr>
            </w:pPr>
          </w:p>
        </w:tc>
        <w:tc>
          <w:tcPr>
            <w:tcW w:w="1418" w:type="dxa"/>
          </w:tcPr>
          <w:p w14:paraId="7CEB6124" w14:textId="78F86C75" w:rsidR="003C640B" w:rsidRPr="00E51B1C" w:rsidRDefault="003C640B" w:rsidP="003C640B">
            <w:pPr>
              <w:pStyle w:val="NoSpacing"/>
              <w:jc w:val="right"/>
              <w:rPr>
                <w:rFonts w:ascii="Times New Roman" w:hAnsi="Times New Roman"/>
                <w:sz w:val="20"/>
                <w:szCs w:val="20"/>
                <w:lang w:eastAsia="lv-LV"/>
              </w:rPr>
            </w:pPr>
          </w:p>
        </w:tc>
        <w:tc>
          <w:tcPr>
            <w:tcW w:w="850" w:type="dxa"/>
          </w:tcPr>
          <w:p w14:paraId="6CFA916B" w14:textId="77777777" w:rsidR="003C640B" w:rsidRPr="00E51B1C" w:rsidRDefault="003C640B" w:rsidP="003C640B">
            <w:pPr>
              <w:pStyle w:val="NoSpacing"/>
              <w:jc w:val="right"/>
              <w:rPr>
                <w:rFonts w:ascii="Times New Roman" w:hAnsi="Times New Roman"/>
                <w:sz w:val="20"/>
                <w:szCs w:val="20"/>
                <w:lang w:eastAsia="lv-LV"/>
              </w:rPr>
            </w:pPr>
          </w:p>
        </w:tc>
        <w:tc>
          <w:tcPr>
            <w:tcW w:w="993" w:type="dxa"/>
          </w:tcPr>
          <w:p w14:paraId="63A9B313" w14:textId="77777777" w:rsidR="003C640B" w:rsidRPr="00E51B1C" w:rsidRDefault="003C640B" w:rsidP="003C640B">
            <w:pPr>
              <w:pStyle w:val="NoSpacing"/>
              <w:jc w:val="right"/>
              <w:rPr>
                <w:rFonts w:ascii="Times New Roman" w:hAnsi="Times New Roman"/>
                <w:sz w:val="20"/>
                <w:szCs w:val="20"/>
                <w:lang w:eastAsia="lv-LV"/>
              </w:rPr>
            </w:pPr>
          </w:p>
        </w:tc>
        <w:tc>
          <w:tcPr>
            <w:tcW w:w="1134" w:type="dxa"/>
          </w:tcPr>
          <w:p w14:paraId="0047CDD4" w14:textId="77777777" w:rsidR="003C640B" w:rsidRPr="00E51B1C" w:rsidRDefault="003C640B" w:rsidP="003C640B">
            <w:pPr>
              <w:pStyle w:val="NoSpacing"/>
              <w:jc w:val="right"/>
              <w:rPr>
                <w:rFonts w:ascii="Times New Roman" w:hAnsi="Times New Roman"/>
                <w:sz w:val="20"/>
                <w:szCs w:val="20"/>
                <w:lang w:eastAsia="lv-LV"/>
              </w:rPr>
            </w:pPr>
          </w:p>
        </w:tc>
      </w:tr>
      <w:tr w:rsidR="00E51B1C" w:rsidRPr="00E51B1C" w14:paraId="7FB0B2A6" w14:textId="77777777" w:rsidTr="001E5EC1">
        <w:trPr>
          <w:gridAfter w:val="1"/>
          <w:wAfter w:w="8" w:type="dxa"/>
          <w:jc w:val="center"/>
        </w:trPr>
        <w:tc>
          <w:tcPr>
            <w:tcW w:w="1413" w:type="dxa"/>
          </w:tcPr>
          <w:p w14:paraId="3EBF83C1"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2.2. valsts speciālais budžets</w:t>
            </w:r>
          </w:p>
        </w:tc>
        <w:tc>
          <w:tcPr>
            <w:tcW w:w="1276" w:type="dxa"/>
          </w:tcPr>
          <w:p w14:paraId="542E510A" w14:textId="3AAC88E0" w:rsidR="001E5EC1" w:rsidRPr="00E51B1C" w:rsidRDefault="001E5EC1" w:rsidP="001E5EC1">
            <w:pPr>
              <w:pStyle w:val="NoSpacing"/>
              <w:ind w:left="-253"/>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0FE7C2E1" w14:textId="66766B5B" w:rsidR="001E5EC1" w:rsidRPr="000A747B" w:rsidRDefault="001E5EC1" w:rsidP="001E5EC1">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134" w:type="dxa"/>
          </w:tcPr>
          <w:p w14:paraId="492BE7D6" w14:textId="77777777" w:rsidR="001E5EC1" w:rsidRPr="000A747B" w:rsidRDefault="001E5EC1" w:rsidP="001E5EC1">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418" w:type="dxa"/>
          </w:tcPr>
          <w:p w14:paraId="3469DC20"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5C2E9A3B"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DFA4C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8C10384"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372F9969" w14:textId="77777777" w:rsidTr="001E5EC1">
        <w:trPr>
          <w:gridAfter w:val="1"/>
          <w:wAfter w:w="8" w:type="dxa"/>
          <w:jc w:val="center"/>
        </w:trPr>
        <w:tc>
          <w:tcPr>
            <w:tcW w:w="1413" w:type="dxa"/>
          </w:tcPr>
          <w:p w14:paraId="38C27707"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2.3. pašvaldību budžets</w:t>
            </w:r>
          </w:p>
        </w:tc>
        <w:tc>
          <w:tcPr>
            <w:tcW w:w="1276" w:type="dxa"/>
          </w:tcPr>
          <w:p w14:paraId="175D109A" w14:textId="49B56B03"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68529B3E" w14:textId="1BFAC102" w:rsidR="001E5EC1" w:rsidRPr="000A747B" w:rsidRDefault="001E5EC1" w:rsidP="001E5EC1">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134" w:type="dxa"/>
          </w:tcPr>
          <w:p w14:paraId="441A7550" w14:textId="77777777" w:rsidR="001E5EC1" w:rsidRPr="000A747B" w:rsidRDefault="001E5EC1" w:rsidP="001E5EC1">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418" w:type="dxa"/>
          </w:tcPr>
          <w:p w14:paraId="46134518"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C4E8B0C"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1C3949B1"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CCCC85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F203DB" w:rsidRPr="00E51B1C" w14:paraId="73CD7EDA" w14:textId="77777777" w:rsidTr="001E5EC1">
        <w:trPr>
          <w:gridAfter w:val="1"/>
          <w:wAfter w:w="8" w:type="dxa"/>
          <w:jc w:val="center"/>
        </w:trPr>
        <w:tc>
          <w:tcPr>
            <w:tcW w:w="1413" w:type="dxa"/>
          </w:tcPr>
          <w:p w14:paraId="381D3420" w14:textId="77777777" w:rsidR="00F203DB" w:rsidRPr="00E51B1C" w:rsidRDefault="00F203DB" w:rsidP="00F203DB">
            <w:pPr>
              <w:pStyle w:val="NoSpacing"/>
              <w:rPr>
                <w:rFonts w:ascii="Times New Roman" w:hAnsi="Times New Roman"/>
                <w:lang w:eastAsia="lv-LV"/>
              </w:rPr>
            </w:pPr>
            <w:r w:rsidRPr="00E51B1C">
              <w:rPr>
                <w:rFonts w:ascii="Times New Roman" w:hAnsi="Times New Roman"/>
                <w:lang w:eastAsia="lv-LV"/>
              </w:rPr>
              <w:t>3. Finansiālā ietekme</w:t>
            </w:r>
          </w:p>
        </w:tc>
        <w:tc>
          <w:tcPr>
            <w:tcW w:w="1276" w:type="dxa"/>
          </w:tcPr>
          <w:p w14:paraId="53658771" w14:textId="0E9485ED"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7909CF64" w14:textId="4E0AA0C0" w:rsidR="00F203DB" w:rsidRPr="000A747B" w:rsidRDefault="00F203DB" w:rsidP="00F203DB">
            <w:pPr>
              <w:ind w:left="-112"/>
              <w:jc w:val="right"/>
              <w:rPr>
                <w:sz w:val="20"/>
                <w:szCs w:val="20"/>
              </w:rPr>
            </w:pPr>
            <w:r w:rsidRPr="000A747B">
              <w:rPr>
                <w:b/>
                <w:sz w:val="20"/>
                <w:szCs w:val="20"/>
              </w:rPr>
              <w:t>-500 000 000</w:t>
            </w:r>
          </w:p>
        </w:tc>
        <w:tc>
          <w:tcPr>
            <w:tcW w:w="1134" w:type="dxa"/>
          </w:tcPr>
          <w:p w14:paraId="08662B43" w14:textId="77777777" w:rsidR="00F203DB" w:rsidRPr="000A747B" w:rsidRDefault="00F203DB" w:rsidP="00F203DB">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418" w:type="dxa"/>
          </w:tcPr>
          <w:p w14:paraId="52966D99" w14:textId="04189163"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FF772A0" w14:textId="4906F36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2F5617C"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1AA9812E"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F203DB" w:rsidRPr="00E51B1C" w14:paraId="3363C3F7" w14:textId="77777777" w:rsidTr="001E5EC1">
        <w:trPr>
          <w:gridAfter w:val="1"/>
          <w:wAfter w:w="8" w:type="dxa"/>
          <w:jc w:val="center"/>
        </w:trPr>
        <w:tc>
          <w:tcPr>
            <w:tcW w:w="1413" w:type="dxa"/>
          </w:tcPr>
          <w:p w14:paraId="2D886A6E" w14:textId="77777777" w:rsidR="00F203DB" w:rsidRPr="00E51B1C" w:rsidRDefault="00F203DB" w:rsidP="00F203DB">
            <w:pPr>
              <w:pStyle w:val="NoSpacing"/>
              <w:rPr>
                <w:rFonts w:ascii="Times New Roman" w:hAnsi="Times New Roman"/>
                <w:sz w:val="21"/>
                <w:szCs w:val="21"/>
                <w:lang w:eastAsia="lv-LV"/>
              </w:rPr>
            </w:pPr>
            <w:r w:rsidRPr="00E51B1C">
              <w:rPr>
                <w:rFonts w:ascii="Times New Roman" w:hAnsi="Times New Roman"/>
                <w:sz w:val="21"/>
                <w:szCs w:val="21"/>
                <w:lang w:eastAsia="lv-LV"/>
              </w:rPr>
              <w:t>3.1. valsts pamatbudžets</w:t>
            </w:r>
          </w:p>
        </w:tc>
        <w:tc>
          <w:tcPr>
            <w:tcW w:w="1276" w:type="dxa"/>
          </w:tcPr>
          <w:p w14:paraId="6567D3E7" w14:textId="79C06880"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5B392BDE" w14:textId="67B3C881" w:rsidR="00F203DB" w:rsidRPr="000A747B" w:rsidRDefault="00F203DB" w:rsidP="00F203DB">
            <w:pPr>
              <w:ind w:left="-112"/>
              <w:jc w:val="right"/>
              <w:rPr>
                <w:sz w:val="20"/>
                <w:szCs w:val="20"/>
              </w:rPr>
            </w:pPr>
            <w:r w:rsidRPr="000A747B">
              <w:rPr>
                <w:b/>
                <w:sz w:val="20"/>
                <w:szCs w:val="20"/>
              </w:rPr>
              <w:t>-500 000 000</w:t>
            </w:r>
          </w:p>
        </w:tc>
        <w:tc>
          <w:tcPr>
            <w:tcW w:w="1134" w:type="dxa"/>
          </w:tcPr>
          <w:p w14:paraId="3B54D384" w14:textId="77777777" w:rsidR="00F203DB" w:rsidRPr="000A747B" w:rsidRDefault="00F203DB" w:rsidP="00F203DB">
            <w:pPr>
              <w:pStyle w:val="NoSpacing"/>
              <w:jc w:val="right"/>
              <w:rPr>
                <w:rFonts w:ascii="Times New Roman" w:hAnsi="Times New Roman"/>
                <w:sz w:val="20"/>
                <w:szCs w:val="20"/>
                <w:lang w:eastAsia="lv-LV"/>
              </w:rPr>
            </w:pPr>
            <w:r w:rsidRPr="000A747B">
              <w:rPr>
                <w:rFonts w:ascii="Times New Roman" w:hAnsi="Times New Roman"/>
                <w:sz w:val="20"/>
                <w:szCs w:val="20"/>
                <w:lang w:eastAsia="lv-LV"/>
              </w:rPr>
              <w:t>0</w:t>
            </w:r>
          </w:p>
        </w:tc>
        <w:tc>
          <w:tcPr>
            <w:tcW w:w="1418" w:type="dxa"/>
          </w:tcPr>
          <w:p w14:paraId="4043500F" w14:textId="13C59EFC"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716338DF" w14:textId="6B00D1CD"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0689B2A9"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B97A361" w14:textId="77777777" w:rsidR="00F203DB" w:rsidRPr="00E51B1C" w:rsidRDefault="00F203DB" w:rsidP="00F203DB">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08C899AA" w14:textId="77777777" w:rsidTr="001E5EC1">
        <w:trPr>
          <w:gridAfter w:val="1"/>
          <w:wAfter w:w="8" w:type="dxa"/>
          <w:jc w:val="center"/>
        </w:trPr>
        <w:tc>
          <w:tcPr>
            <w:tcW w:w="1413" w:type="dxa"/>
          </w:tcPr>
          <w:p w14:paraId="15619ACC" w14:textId="77777777" w:rsidR="001E5EC1" w:rsidRPr="00E51B1C" w:rsidRDefault="001E5EC1" w:rsidP="001E5EC1">
            <w:pPr>
              <w:pStyle w:val="NoSpacing"/>
              <w:rPr>
                <w:rFonts w:ascii="Times New Roman" w:hAnsi="Times New Roman"/>
                <w:lang w:eastAsia="lv-LV"/>
              </w:rPr>
            </w:pPr>
            <w:r w:rsidRPr="00E51B1C">
              <w:rPr>
                <w:rFonts w:ascii="Times New Roman" w:hAnsi="Times New Roman"/>
                <w:lang w:eastAsia="lv-LV"/>
              </w:rPr>
              <w:t>3.2. speciālais budžets</w:t>
            </w:r>
          </w:p>
        </w:tc>
        <w:tc>
          <w:tcPr>
            <w:tcW w:w="1276" w:type="dxa"/>
          </w:tcPr>
          <w:p w14:paraId="5C7C4333" w14:textId="77194512"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262AD31F" w14:textId="3B20D988"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53F20CB3"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07DE10F6"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6D3D705A"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690C155E"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0F9CADEA" w14:textId="77777777" w:rsidR="001E5EC1" w:rsidRPr="00E51B1C" w:rsidRDefault="001E5EC1" w:rsidP="001E5EC1">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4AABF1C2" w14:textId="77777777" w:rsidTr="001E5EC1">
        <w:trPr>
          <w:gridAfter w:val="1"/>
          <w:wAfter w:w="8" w:type="dxa"/>
          <w:jc w:val="center"/>
        </w:trPr>
        <w:tc>
          <w:tcPr>
            <w:tcW w:w="1413" w:type="dxa"/>
          </w:tcPr>
          <w:p w14:paraId="12BBD651"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lastRenderedPageBreak/>
              <w:t>3.3. pašvaldību budžets</w:t>
            </w:r>
          </w:p>
        </w:tc>
        <w:tc>
          <w:tcPr>
            <w:tcW w:w="1276" w:type="dxa"/>
          </w:tcPr>
          <w:p w14:paraId="4B19A6C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275" w:type="dxa"/>
          </w:tcPr>
          <w:p w14:paraId="322134A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3EEEDD1D"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418" w:type="dxa"/>
          </w:tcPr>
          <w:p w14:paraId="6CA57C9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23A8E17B"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993" w:type="dxa"/>
          </w:tcPr>
          <w:p w14:paraId="20DEE9A7"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2B66776"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25FC07B2" w14:textId="77777777" w:rsidTr="001E5EC1">
        <w:trPr>
          <w:gridAfter w:val="1"/>
          <w:wAfter w:w="8" w:type="dxa"/>
          <w:jc w:val="center"/>
        </w:trPr>
        <w:tc>
          <w:tcPr>
            <w:tcW w:w="1413" w:type="dxa"/>
          </w:tcPr>
          <w:p w14:paraId="41667BCA"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4. Finanšu līdzekļi papildu izdevumu finansēšanai (kompensējošu izdevumu samazinājumu norāda ar "+" zīmi)</w:t>
            </w:r>
          </w:p>
        </w:tc>
        <w:tc>
          <w:tcPr>
            <w:tcW w:w="1276" w:type="dxa"/>
          </w:tcPr>
          <w:p w14:paraId="13A7C5D5"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X</w:t>
            </w:r>
          </w:p>
        </w:tc>
        <w:tc>
          <w:tcPr>
            <w:tcW w:w="1275" w:type="dxa"/>
          </w:tcPr>
          <w:p w14:paraId="265D40DE" w14:textId="77777777" w:rsidR="00064F32" w:rsidRPr="00E51B1C" w:rsidRDefault="00E16501" w:rsidP="000044FA">
            <w:pPr>
              <w:pStyle w:val="NoSpacing"/>
              <w:jc w:val="right"/>
              <w:rPr>
                <w:rFonts w:ascii="Times New Roman" w:hAnsi="Times New Roman"/>
                <w:sz w:val="20"/>
                <w:szCs w:val="20"/>
                <w:lang w:eastAsia="lv-LV"/>
              </w:rPr>
            </w:pPr>
            <w:r w:rsidRPr="00E51B1C">
              <w:rPr>
                <w:rFonts w:ascii="Times New Roman" w:hAnsi="Times New Roman"/>
                <w:sz w:val="20"/>
                <w:szCs w:val="20"/>
              </w:rPr>
              <w:t>0</w:t>
            </w:r>
          </w:p>
        </w:tc>
        <w:tc>
          <w:tcPr>
            <w:tcW w:w="1134" w:type="dxa"/>
          </w:tcPr>
          <w:p w14:paraId="628E38DF" w14:textId="7288F769" w:rsidR="00064F32" w:rsidRPr="00E51B1C" w:rsidRDefault="00F45250" w:rsidP="000044FA">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1418" w:type="dxa"/>
          </w:tcPr>
          <w:p w14:paraId="0528B402"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tcPr>
          <w:p w14:paraId="058E60E9" w14:textId="43D70848" w:rsidR="00064F32" w:rsidRPr="00E51B1C" w:rsidRDefault="00F45250" w:rsidP="000044FA">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993" w:type="dxa"/>
          </w:tcPr>
          <w:p w14:paraId="42287641"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254D6A84"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F45250" w:rsidRPr="00E51B1C" w14:paraId="49558BB9" w14:textId="77777777" w:rsidTr="001E5EC1">
        <w:trPr>
          <w:gridAfter w:val="1"/>
          <w:wAfter w:w="8" w:type="dxa"/>
          <w:jc w:val="center"/>
        </w:trPr>
        <w:tc>
          <w:tcPr>
            <w:tcW w:w="1413" w:type="dxa"/>
          </w:tcPr>
          <w:p w14:paraId="50C004EA" w14:textId="77777777" w:rsidR="00F45250" w:rsidRPr="00E51B1C" w:rsidRDefault="00F45250" w:rsidP="00F45250">
            <w:pPr>
              <w:pStyle w:val="NoSpacing"/>
              <w:rPr>
                <w:rFonts w:ascii="Times New Roman" w:hAnsi="Times New Roman"/>
                <w:lang w:eastAsia="lv-LV"/>
              </w:rPr>
            </w:pPr>
            <w:bookmarkStart w:id="0" w:name="_GoBack" w:colFirst="2" w:colLast="2"/>
            <w:r w:rsidRPr="00E51B1C">
              <w:rPr>
                <w:rFonts w:ascii="Times New Roman" w:hAnsi="Times New Roman"/>
                <w:lang w:eastAsia="lv-LV"/>
              </w:rPr>
              <w:t>5. Precizēta finansiālā ietekme</w:t>
            </w:r>
          </w:p>
        </w:tc>
        <w:tc>
          <w:tcPr>
            <w:tcW w:w="1276" w:type="dxa"/>
            <w:vMerge w:val="restart"/>
          </w:tcPr>
          <w:p w14:paraId="71896942" w14:textId="77777777" w:rsidR="00F45250" w:rsidRPr="00E51B1C" w:rsidRDefault="00F45250" w:rsidP="00F45250">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X</w:t>
            </w:r>
          </w:p>
        </w:tc>
        <w:tc>
          <w:tcPr>
            <w:tcW w:w="1275" w:type="dxa"/>
          </w:tcPr>
          <w:p w14:paraId="3F980A87" w14:textId="04623627" w:rsidR="00F45250" w:rsidRPr="00DF28C9" w:rsidRDefault="00F45250" w:rsidP="00DF28C9">
            <w:pPr>
              <w:pStyle w:val="NoSpacing"/>
              <w:jc w:val="both"/>
              <w:rPr>
                <w:rFonts w:ascii="Times New Roman" w:hAnsi="Times New Roman"/>
                <w:sz w:val="20"/>
                <w:szCs w:val="20"/>
                <w:lang w:eastAsia="lv-LV"/>
              </w:rPr>
            </w:pPr>
            <w:r w:rsidRPr="00DF28C9">
              <w:rPr>
                <w:rFonts w:ascii="Times New Roman" w:hAnsi="Times New Roman"/>
                <w:b/>
                <w:sz w:val="20"/>
                <w:szCs w:val="20"/>
              </w:rPr>
              <w:t>-500 000 000</w:t>
            </w:r>
          </w:p>
        </w:tc>
        <w:tc>
          <w:tcPr>
            <w:tcW w:w="1134" w:type="dxa"/>
            <w:vMerge w:val="restart"/>
          </w:tcPr>
          <w:p w14:paraId="46D8B921" w14:textId="4816984D" w:rsidR="00F45250" w:rsidRPr="00E51B1C" w:rsidRDefault="00F45250" w:rsidP="00F45250">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1418" w:type="dxa"/>
          </w:tcPr>
          <w:p w14:paraId="034309E6" w14:textId="77777777" w:rsidR="00F45250" w:rsidRPr="00E51B1C" w:rsidRDefault="00F45250" w:rsidP="00F45250">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val="restart"/>
          </w:tcPr>
          <w:p w14:paraId="3DDF670A" w14:textId="3401E2B8" w:rsidR="00F45250" w:rsidRPr="00E51B1C" w:rsidRDefault="00F45250" w:rsidP="00F45250">
            <w:pPr>
              <w:pStyle w:val="NoSpacing"/>
              <w:jc w:val="right"/>
              <w:rPr>
                <w:rFonts w:ascii="Times New Roman" w:hAnsi="Times New Roman"/>
                <w:sz w:val="20"/>
                <w:szCs w:val="20"/>
                <w:lang w:eastAsia="lv-LV"/>
              </w:rPr>
            </w:pPr>
            <w:r>
              <w:rPr>
                <w:rFonts w:ascii="Times New Roman" w:hAnsi="Times New Roman"/>
                <w:sz w:val="20"/>
                <w:szCs w:val="20"/>
                <w:lang w:eastAsia="lv-LV"/>
              </w:rPr>
              <w:t>X</w:t>
            </w:r>
          </w:p>
        </w:tc>
        <w:tc>
          <w:tcPr>
            <w:tcW w:w="993" w:type="dxa"/>
          </w:tcPr>
          <w:p w14:paraId="3E80C41A" w14:textId="77777777" w:rsidR="00F45250" w:rsidRPr="00E51B1C" w:rsidRDefault="00F45250" w:rsidP="00F45250">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6CEFDF47" w14:textId="77777777" w:rsidR="00F45250" w:rsidRPr="00E51B1C" w:rsidRDefault="00F45250" w:rsidP="00F45250">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F45250" w:rsidRPr="00E51B1C" w14:paraId="65B33339" w14:textId="77777777" w:rsidTr="001E5EC1">
        <w:trPr>
          <w:gridAfter w:val="1"/>
          <w:wAfter w:w="8" w:type="dxa"/>
          <w:jc w:val="center"/>
        </w:trPr>
        <w:tc>
          <w:tcPr>
            <w:tcW w:w="1413" w:type="dxa"/>
          </w:tcPr>
          <w:p w14:paraId="71DE0575" w14:textId="77777777" w:rsidR="00F45250" w:rsidRPr="00E51B1C" w:rsidRDefault="00F45250" w:rsidP="00F45250">
            <w:pPr>
              <w:pStyle w:val="NoSpacing"/>
              <w:rPr>
                <w:rFonts w:ascii="Times New Roman" w:hAnsi="Times New Roman"/>
                <w:sz w:val="20"/>
                <w:szCs w:val="20"/>
                <w:lang w:eastAsia="lv-LV"/>
              </w:rPr>
            </w:pPr>
            <w:r w:rsidRPr="00E51B1C">
              <w:rPr>
                <w:rFonts w:ascii="Times New Roman" w:hAnsi="Times New Roman"/>
                <w:sz w:val="20"/>
                <w:szCs w:val="20"/>
                <w:lang w:eastAsia="lv-LV"/>
              </w:rPr>
              <w:t>5.1. valsts pamatbudžets</w:t>
            </w:r>
          </w:p>
        </w:tc>
        <w:tc>
          <w:tcPr>
            <w:tcW w:w="1276" w:type="dxa"/>
            <w:vMerge/>
          </w:tcPr>
          <w:p w14:paraId="6D843DC1" w14:textId="77777777" w:rsidR="00F45250" w:rsidRPr="00E51B1C" w:rsidRDefault="00F45250" w:rsidP="00F45250">
            <w:pPr>
              <w:pStyle w:val="NoSpacing"/>
              <w:jc w:val="right"/>
              <w:rPr>
                <w:rFonts w:ascii="Times New Roman" w:hAnsi="Times New Roman"/>
                <w:sz w:val="20"/>
                <w:szCs w:val="20"/>
                <w:lang w:eastAsia="lv-LV"/>
              </w:rPr>
            </w:pPr>
          </w:p>
        </w:tc>
        <w:tc>
          <w:tcPr>
            <w:tcW w:w="1275" w:type="dxa"/>
          </w:tcPr>
          <w:p w14:paraId="054216D1" w14:textId="6E56326C" w:rsidR="00F45250" w:rsidRPr="00DF28C9" w:rsidRDefault="00F45250" w:rsidP="00DF28C9">
            <w:pPr>
              <w:pStyle w:val="NoSpacing"/>
              <w:jc w:val="both"/>
              <w:rPr>
                <w:rFonts w:ascii="Times New Roman" w:hAnsi="Times New Roman"/>
                <w:sz w:val="20"/>
                <w:szCs w:val="20"/>
                <w:lang w:eastAsia="lv-LV"/>
              </w:rPr>
            </w:pPr>
            <w:r w:rsidRPr="00DF28C9">
              <w:rPr>
                <w:rFonts w:ascii="Times New Roman" w:hAnsi="Times New Roman"/>
                <w:b/>
                <w:sz w:val="20"/>
                <w:szCs w:val="20"/>
              </w:rPr>
              <w:t>-500 000 000</w:t>
            </w:r>
          </w:p>
        </w:tc>
        <w:tc>
          <w:tcPr>
            <w:tcW w:w="1134" w:type="dxa"/>
            <w:vMerge/>
          </w:tcPr>
          <w:p w14:paraId="53721396" w14:textId="77777777" w:rsidR="00F45250" w:rsidRPr="00E51B1C" w:rsidRDefault="00F45250" w:rsidP="00F45250">
            <w:pPr>
              <w:pStyle w:val="NoSpacing"/>
              <w:jc w:val="right"/>
              <w:rPr>
                <w:rFonts w:ascii="Times New Roman" w:hAnsi="Times New Roman"/>
                <w:sz w:val="20"/>
                <w:szCs w:val="20"/>
                <w:lang w:eastAsia="lv-LV"/>
              </w:rPr>
            </w:pPr>
          </w:p>
        </w:tc>
        <w:tc>
          <w:tcPr>
            <w:tcW w:w="1418" w:type="dxa"/>
          </w:tcPr>
          <w:p w14:paraId="5A663C27" w14:textId="77777777" w:rsidR="00F45250" w:rsidRPr="00E51B1C" w:rsidRDefault="00F45250" w:rsidP="00F45250">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1F1E9C21" w14:textId="77777777" w:rsidR="00F45250" w:rsidRPr="00E51B1C" w:rsidRDefault="00F45250" w:rsidP="00F45250">
            <w:pPr>
              <w:pStyle w:val="NoSpacing"/>
              <w:jc w:val="right"/>
              <w:rPr>
                <w:rFonts w:ascii="Times New Roman" w:hAnsi="Times New Roman"/>
                <w:sz w:val="20"/>
                <w:szCs w:val="20"/>
                <w:lang w:eastAsia="lv-LV"/>
              </w:rPr>
            </w:pPr>
          </w:p>
        </w:tc>
        <w:tc>
          <w:tcPr>
            <w:tcW w:w="993" w:type="dxa"/>
          </w:tcPr>
          <w:p w14:paraId="74587068" w14:textId="77777777" w:rsidR="00F45250" w:rsidRPr="00E51B1C" w:rsidRDefault="00F45250" w:rsidP="00F45250">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FDD3E7D" w14:textId="77777777" w:rsidR="00F45250" w:rsidRPr="00E51B1C" w:rsidRDefault="00F45250" w:rsidP="00F45250">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bookmarkEnd w:id="0"/>
      <w:tr w:rsidR="00E51B1C" w:rsidRPr="00E51B1C" w14:paraId="75A000B9" w14:textId="77777777" w:rsidTr="001E5EC1">
        <w:trPr>
          <w:gridAfter w:val="1"/>
          <w:wAfter w:w="8" w:type="dxa"/>
          <w:jc w:val="center"/>
        </w:trPr>
        <w:tc>
          <w:tcPr>
            <w:tcW w:w="1413" w:type="dxa"/>
          </w:tcPr>
          <w:p w14:paraId="26C10E9D"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5.2. speciālais budžets</w:t>
            </w:r>
          </w:p>
        </w:tc>
        <w:tc>
          <w:tcPr>
            <w:tcW w:w="1276" w:type="dxa"/>
            <w:vMerge/>
          </w:tcPr>
          <w:p w14:paraId="575A6F01" w14:textId="77777777" w:rsidR="00064F32" w:rsidRPr="00E51B1C" w:rsidRDefault="00064F32" w:rsidP="000044FA">
            <w:pPr>
              <w:pStyle w:val="NoSpacing"/>
              <w:jc w:val="right"/>
              <w:rPr>
                <w:rFonts w:ascii="Times New Roman" w:hAnsi="Times New Roman"/>
                <w:sz w:val="20"/>
                <w:szCs w:val="20"/>
                <w:lang w:eastAsia="lv-LV"/>
              </w:rPr>
            </w:pPr>
          </w:p>
        </w:tc>
        <w:tc>
          <w:tcPr>
            <w:tcW w:w="1275" w:type="dxa"/>
          </w:tcPr>
          <w:p w14:paraId="43616EA0"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vMerge/>
          </w:tcPr>
          <w:p w14:paraId="0BDDD43C" w14:textId="77777777" w:rsidR="00064F32" w:rsidRPr="00E51B1C" w:rsidRDefault="00064F32" w:rsidP="000044FA">
            <w:pPr>
              <w:pStyle w:val="NoSpacing"/>
              <w:jc w:val="right"/>
              <w:rPr>
                <w:rFonts w:ascii="Times New Roman" w:hAnsi="Times New Roman"/>
                <w:sz w:val="20"/>
                <w:szCs w:val="20"/>
                <w:lang w:eastAsia="lv-LV"/>
              </w:rPr>
            </w:pPr>
          </w:p>
        </w:tc>
        <w:tc>
          <w:tcPr>
            <w:tcW w:w="1418" w:type="dxa"/>
          </w:tcPr>
          <w:p w14:paraId="5823A8A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6B0B25D3" w14:textId="77777777" w:rsidR="00064F32" w:rsidRPr="00E51B1C" w:rsidRDefault="00064F32" w:rsidP="000044FA">
            <w:pPr>
              <w:pStyle w:val="NoSpacing"/>
              <w:jc w:val="right"/>
              <w:rPr>
                <w:rFonts w:ascii="Times New Roman" w:hAnsi="Times New Roman"/>
                <w:sz w:val="20"/>
                <w:szCs w:val="20"/>
                <w:lang w:eastAsia="lv-LV"/>
              </w:rPr>
            </w:pPr>
          </w:p>
        </w:tc>
        <w:tc>
          <w:tcPr>
            <w:tcW w:w="993" w:type="dxa"/>
          </w:tcPr>
          <w:p w14:paraId="25B71135"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B1BD3F9"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6B097274" w14:textId="77777777" w:rsidTr="001E5EC1">
        <w:trPr>
          <w:gridAfter w:val="1"/>
          <w:wAfter w:w="8" w:type="dxa"/>
          <w:jc w:val="center"/>
        </w:trPr>
        <w:tc>
          <w:tcPr>
            <w:tcW w:w="1413" w:type="dxa"/>
          </w:tcPr>
          <w:p w14:paraId="1648B06C" w14:textId="77777777" w:rsidR="00064F32" w:rsidRPr="00E51B1C" w:rsidRDefault="00064F32" w:rsidP="000044FA">
            <w:pPr>
              <w:pStyle w:val="NoSpacing"/>
              <w:rPr>
                <w:rFonts w:ascii="Times New Roman" w:hAnsi="Times New Roman"/>
                <w:lang w:eastAsia="lv-LV"/>
              </w:rPr>
            </w:pPr>
            <w:r w:rsidRPr="00E51B1C">
              <w:rPr>
                <w:rFonts w:ascii="Times New Roman" w:hAnsi="Times New Roman"/>
                <w:lang w:eastAsia="lv-LV"/>
              </w:rPr>
              <w:t>5.3. pašvaldību budžets</w:t>
            </w:r>
          </w:p>
        </w:tc>
        <w:tc>
          <w:tcPr>
            <w:tcW w:w="1276" w:type="dxa"/>
            <w:vMerge/>
          </w:tcPr>
          <w:p w14:paraId="7DA4D268" w14:textId="77777777" w:rsidR="00064F32" w:rsidRPr="00E51B1C" w:rsidRDefault="00064F32" w:rsidP="000044FA">
            <w:pPr>
              <w:pStyle w:val="NoSpacing"/>
              <w:jc w:val="right"/>
              <w:rPr>
                <w:rFonts w:ascii="Times New Roman" w:hAnsi="Times New Roman"/>
                <w:sz w:val="20"/>
                <w:szCs w:val="20"/>
                <w:lang w:eastAsia="lv-LV"/>
              </w:rPr>
            </w:pPr>
          </w:p>
        </w:tc>
        <w:tc>
          <w:tcPr>
            <w:tcW w:w="1275" w:type="dxa"/>
          </w:tcPr>
          <w:p w14:paraId="3728E24F"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vMerge/>
          </w:tcPr>
          <w:p w14:paraId="367EB45C" w14:textId="77777777" w:rsidR="00064F32" w:rsidRPr="00E51B1C" w:rsidRDefault="00064F32" w:rsidP="000044FA">
            <w:pPr>
              <w:pStyle w:val="NoSpacing"/>
              <w:jc w:val="right"/>
              <w:rPr>
                <w:rFonts w:ascii="Times New Roman" w:hAnsi="Times New Roman"/>
                <w:sz w:val="20"/>
                <w:szCs w:val="20"/>
                <w:lang w:eastAsia="lv-LV"/>
              </w:rPr>
            </w:pPr>
          </w:p>
        </w:tc>
        <w:tc>
          <w:tcPr>
            <w:tcW w:w="1418" w:type="dxa"/>
          </w:tcPr>
          <w:p w14:paraId="35DA0816"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850" w:type="dxa"/>
            <w:vMerge/>
          </w:tcPr>
          <w:p w14:paraId="08750598" w14:textId="77777777" w:rsidR="00064F32" w:rsidRPr="00E51B1C" w:rsidRDefault="00064F32" w:rsidP="000044FA">
            <w:pPr>
              <w:pStyle w:val="NoSpacing"/>
              <w:jc w:val="right"/>
              <w:rPr>
                <w:rFonts w:ascii="Times New Roman" w:hAnsi="Times New Roman"/>
                <w:sz w:val="20"/>
                <w:szCs w:val="20"/>
                <w:lang w:eastAsia="lv-LV"/>
              </w:rPr>
            </w:pPr>
          </w:p>
        </w:tc>
        <w:tc>
          <w:tcPr>
            <w:tcW w:w="993" w:type="dxa"/>
          </w:tcPr>
          <w:p w14:paraId="0C644448"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c>
          <w:tcPr>
            <w:tcW w:w="1134" w:type="dxa"/>
          </w:tcPr>
          <w:p w14:paraId="7D9C2A23" w14:textId="77777777" w:rsidR="00064F32" w:rsidRPr="00E51B1C" w:rsidRDefault="00064F32" w:rsidP="000044FA">
            <w:pPr>
              <w:pStyle w:val="NoSpacing"/>
              <w:jc w:val="right"/>
              <w:rPr>
                <w:rFonts w:ascii="Times New Roman" w:hAnsi="Times New Roman"/>
                <w:sz w:val="20"/>
                <w:szCs w:val="20"/>
                <w:lang w:eastAsia="lv-LV"/>
              </w:rPr>
            </w:pPr>
            <w:r w:rsidRPr="00E51B1C">
              <w:rPr>
                <w:rFonts w:ascii="Times New Roman" w:hAnsi="Times New Roman"/>
                <w:sz w:val="20"/>
                <w:szCs w:val="20"/>
                <w:lang w:eastAsia="lv-LV"/>
              </w:rPr>
              <w:t>0</w:t>
            </w:r>
          </w:p>
        </w:tc>
      </w:tr>
      <w:tr w:rsidR="00E51B1C" w:rsidRPr="00E51B1C" w14:paraId="2F5C9D08" w14:textId="77777777" w:rsidTr="00B14E12">
        <w:trPr>
          <w:jc w:val="center"/>
        </w:trPr>
        <w:tc>
          <w:tcPr>
            <w:tcW w:w="1413" w:type="dxa"/>
          </w:tcPr>
          <w:p w14:paraId="6478C227"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 Detalizēts ieņēmumu un izdevumu aprēķins (ja nepieciešams, detalizētu ieņēmumu un izdevumu aprēķinu var pievienot anotācijas pielikumā)</w:t>
            </w:r>
          </w:p>
        </w:tc>
        <w:tc>
          <w:tcPr>
            <w:tcW w:w="8088" w:type="dxa"/>
            <w:gridSpan w:val="8"/>
            <w:vMerge w:val="restart"/>
          </w:tcPr>
          <w:p w14:paraId="748FE806" w14:textId="3FA2B2B8" w:rsidR="00627C09" w:rsidRPr="008969F2" w:rsidRDefault="008969F2" w:rsidP="00627C09">
            <w:pPr>
              <w:spacing w:before="120" w:after="120"/>
              <w:jc w:val="both"/>
            </w:pPr>
            <w:r w:rsidRPr="008969F2">
              <w:t xml:space="preserve">2021.gadam finansējums </w:t>
            </w:r>
            <w:r w:rsidRPr="008969F2">
              <w:rPr>
                <w:bCs/>
              </w:rPr>
              <w:t xml:space="preserve">budžeta resora “74. Gadskārtējā valsts budžeta izpildes procesā pārdalāmais finansējums” </w:t>
            </w:r>
            <w:r w:rsidRPr="008969F2">
              <w:t>programmā 02.00.00 “Līdzekļi neparedzētiem gadījumiem” norādīts atbilstoši likumā “Par valsts budžetu 2021</w:t>
            </w:r>
            <w:r w:rsidR="00355827">
              <w:t>.gadam” apstiprinātajam. Ņ</w:t>
            </w:r>
            <w:r w:rsidR="00627C09">
              <w:t>emot vērā atbalstīto</w:t>
            </w:r>
            <w:r w:rsidR="00627C09" w:rsidRPr="00541FFA">
              <w:t xml:space="preserve"> apropriācijas palie</w:t>
            </w:r>
            <w:r w:rsidR="00627C09">
              <w:t>linājumu</w:t>
            </w:r>
            <w:r w:rsidR="00627C09" w:rsidRPr="00541FFA">
              <w:t xml:space="preserve">, </w:t>
            </w:r>
            <w:r w:rsidR="00627C09" w:rsidRPr="00541FFA">
              <w:rPr>
                <w:bCs/>
              </w:rPr>
              <w:t xml:space="preserve">budžeta resora “74. Gadskārtējā valsts budžeta izpildes procesā pārdalāmais finansējums” </w:t>
            </w:r>
            <w:r w:rsidR="00627C09" w:rsidRPr="007B77E2">
              <w:t xml:space="preserve">programmā 02.00.00 “Līdzekļi neparedzētiem gadījumiem” </w:t>
            </w:r>
            <w:r w:rsidR="00064127">
              <w:t>kopumā apropriācija sasniegusi 8</w:t>
            </w:r>
            <w:r w:rsidR="00627C09" w:rsidRPr="007B77E2">
              <w:t xml:space="preserve">26 729 748 </w:t>
            </w:r>
            <w:proofErr w:type="spellStart"/>
            <w:r w:rsidR="00627C09" w:rsidRPr="007B77E2">
              <w:rPr>
                <w:i/>
              </w:rPr>
              <w:t>euro</w:t>
            </w:r>
            <w:proofErr w:type="spellEnd"/>
            <w:r w:rsidR="00627C09" w:rsidRPr="007B77E2">
              <w:t>.</w:t>
            </w:r>
          </w:p>
          <w:p w14:paraId="07117E4C" w14:textId="4A9B7E1D" w:rsidR="007D7AC1" w:rsidRPr="00E51B1C" w:rsidRDefault="00AD3761" w:rsidP="007D7AC1">
            <w:pPr>
              <w:spacing w:before="120" w:after="120"/>
              <w:jc w:val="both"/>
              <w:rPr>
                <w:iCs/>
              </w:rPr>
            </w:pPr>
            <w:r w:rsidRPr="00E51B1C">
              <w:t xml:space="preserve">Palielinot apropriāciju par </w:t>
            </w:r>
            <w:r w:rsidR="008969F2" w:rsidRPr="000A747B">
              <w:t>5</w:t>
            </w:r>
            <w:r w:rsidR="00B92B2D" w:rsidRPr="000A747B">
              <w:t>0</w:t>
            </w:r>
            <w:r w:rsidRPr="000A747B">
              <w:t>0,0</w:t>
            </w:r>
            <w:r w:rsidRPr="00E51B1C">
              <w:t xml:space="preserve"> milj. </w:t>
            </w:r>
            <w:proofErr w:type="spellStart"/>
            <w:r w:rsidRPr="00E51B1C">
              <w:rPr>
                <w:i/>
                <w:iCs/>
              </w:rPr>
              <w:t>euro</w:t>
            </w:r>
            <w:proofErr w:type="spellEnd"/>
            <w:r w:rsidRPr="00E51B1C">
              <w:t>,</w:t>
            </w:r>
            <w:r w:rsidR="007D7AC1" w:rsidRPr="00E51B1C">
              <w:t xml:space="preserve"> attiecīgi palielināsies </w:t>
            </w:r>
            <w:r w:rsidR="007D7AC1" w:rsidRPr="00E51B1C">
              <w:rPr>
                <w:iCs/>
              </w:rPr>
              <w:t>valsts konsolidētā budžeta finansiālais deficīts.</w:t>
            </w:r>
          </w:p>
          <w:p w14:paraId="60977101" w14:textId="77777777" w:rsidR="00A95439" w:rsidRDefault="007505C3" w:rsidP="000A747B">
            <w:pPr>
              <w:spacing w:before="120" w:after="120"/>
              <w:jc w:val="both"/>
            </w:pPr>
            <w:r w:rsidRPr="00E51B1C">
              <w:t>Latvijai, tāpat kā citām Eiropas Savienības dalībvalstīm tiek atļauts pēc nepieciešamības īstenot budžeta atbalsta pasākumus gan ieņēmumu, gan izdevumu pusē, lai ierobežotu Covid-19 negatīvo ietekmi uz valsts ekonomiku. Tas no</w:t>
            </w:r>
            <w:r w:rsidR="003C6B91" w:rsidRPr="00E51B1C">
              <w:t>zīmē, ka valsts budžeta deficīts</w:t>
            </w:r>
            <w:r w:rsidRPr="00E51B1C">
              <w:t xml:space="preserve"> pieaugs un normālā situācijā tas novestu pie Eiropas Savienības budžeta disciplīnas nosacījumu pārkāpuma. Tomēr šajā situācijā, valstīm tiek ļauts neievērot budžeta disciplīnas nosacījumus, tik tālu cik tas nepieciešams, lai dalībvalstis varētu īstenot pasākumus Covid-19 uzliesmojuma ierobežošanai un mazinātu tā negatīvo sociālekonomisko ietekmi.</w:t>
            </w:r>
          </w:p>
          <w:p w14:paraId="38D71C11" w14:textId="5FEEA0B0" w:rsidR="000A747B" w:rsidRPr="00E51B1C" w:rsidRDefault="000A747B" w:rsidP="000A747B">
            <w:pPr>
              <w:spacing w:before="120" w:after="120"/>
              <w:jc w:val="both"/>
            </w:pPr>
          </w:p>
        </w:tc>
      </w:tr>
      <w:tr w:rsidR="00E51B1C" w:rsidRPr="00E51B1C" w14:paraId="032D437D" w14:textId="77777777" w:rsidTr="00B14E12">
        <w:trPr>
          <w:jc w:val="center"/>
        </w:trPr>
        <w:tc>
          <w:tcPr>
            <w:tcW w:w="1413" w:type="dxa"/>
          </w:tcPr>
          <w:p w14:paraId="0F01021E"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6.1. detalizēts ieņēmumu aprēķins</w:t>
            </w:r>
          </w:p>
        </w:tc>
        <w:tc>
          <w:tcPr>
            <w:tcW w:w="8088" w:type="dxa"/>
            <w:gridSpan w:val="8"/>
            <w:vMerge/>
          </w:tcPr>
          <w:p w14:paraId="34BAF3F1" w14:textId="77777777" w:rsidR="00422AFA" w:rsidRPr="00E51B1C" w:rsidRDefault="00422AFA" w:rsidP="000044FA">
            <w:pPr>
              <w:pStyle w:val="NoSpacing"/>
              <w:jc w:val="right"/>
              <w:rPr>
                <w:rFonts w:ascii="Times New Roman" w:hAnsi="Times New Roman"/>
                <w:sz w:val="20"/>
                <w:szCs w:val="20"/>
                <w:lang w:eastAsia="lv-LV"/>
              </w:rPr>
            </w:pPr>
          </w:p>
        </w:tc>
      </w:tr>
      <w:tr w:rsidR="00E51B1C" w:rsidRPr="00E51B1C" w14:paraId="3B7EF858" w14:textId="77777777" w:rsidTr="00B14E12">
        <w:trPr>
          <w:jc w:val="center"/>
        </w:trPr>
        <w:tc>
          <w:tcPr>
            <w:tcW w:w="1413" w:type="dxa"/>
          </w:tcPr>
          <w:p w14:paraId="7A82CB34" w14:textId="77777777" w:rsidR="00422AFA" w:rsidRPr="00E51B1C" w:rsidRDefault="00422AFA" w:rsidP="000044FA">
            <w:pPr>
              <w:pStyle w:val="NoSpacing"/>
              <w:rPr>
                <w:rFonts w:ascii="Times New Roman" w:hAnsi="Times New Roman"/>
                <w:lang w:eastAsia="lv-LV"/>
              </w:rPr>
            </w:pPr>
            <w:r w:rsidRPr="00E51B1C">
              <w:rPr>
                <w:rFonts w:ascii="Times New Roman" w:hAnsi="Times New Roman"/>
                <w:lang w:eastAsia="lv-LV"/>
              </w:rPr>
              <w:t>6.2. detalizēts izdevumu aprēķins</w:t>
            </w:r>
          </w:p>
        </w:tc>
        <w:tc>
          <w:tcPr>
            <w:tcW w:w="8088" w:type="dxa"/>
            <w:gridSpan w:val="8"/>
            <w:vMerge/>
          </w:tcPr>
          <w:p w14:paraId="06BA7DF6" w14:textId="77777777" w:rsidR="00422AFA" w:rsidRPr="00E51B1C" w:rsidRDefault="00422AFA" w:rsidP="000044FA">
            <w:pPr>
              <w:pStyle w:val="NoSpacing"/>
              <w:jc w:val="right"/>
              <w:rPr>
                <w:rFonts w:ascii="Times New Roman" w:hAnsi="Times New Roman"/>
                <w:sz w:val="20"/>
                <w:szCs w:val="20"/>
                <w:lang w:eastAsia="lv-LV"/>
              </w:rPr>
            </w:pPr>
          </w:p>
        </w:tc>
      </w:tr>
      <w:tr w:rsidR="00E51B1C" w:rsidRPr="00E51B1C" w14:paraId="7DEA98C3" w14:textId="77777777" w:rsidTr="00B14E12">
        <w:trPr>
          <w:jc w:val="center"/>
        </w:trPr>
        <w:tc>
          <w:tcPr>
            <w:tcW w:w="1413" w:type="dxa"/>
          </w:tcPr>
          <w:p w14:paraId="110A27BB" w14:textId="77777777" w:rsidR="001611E9" w:rsidRPr="00E51B1C" w:rsidRDefault="001611E9" w:rsidP="000044FA">
            <w:pPr>
              <w:pStyle w:val="NoSpacing"/>
              <w:rPr>
                <w:rFonts w:ascii="Times New Roman" w:hAnsi="Times New Roman"/>
                <w:lang w:eastAsia="lv-LV"/>
              </w:rPr>
            </w:pPr>
            <w:r w:rsidRPr="00E51B1C">
              <w:rPr>
                <w:rFonts w:ascii="Times New Roman" w:hAnsi="Times New Roman"/>
                <w:lang w:eastAsia="lv-LV"/>
              </w:rPr>
              <w:t>7. Amata vietu skaita izmaiņas</w:t>
            </w:r>
          </w:p>
        </w:tc>
        <w:tc>
          <w:tcPr>
            <w:tcW w:w="8088" w:type="dxa"/>
            <w:gridSpan w:val="8"/>
          </w:tcPr>
          <w:p w14:paraId="4DA2E9A7" w14:textId="77777777" w:rsidR="001611E9" w:rsidRPr="00E51B1C" w:rsidRDefault="00B4749B" w:rsidP="000044FA">
            <w:pPr>
              <w:pStyle w:val="NoSpacing"/>
              <w:rPr>
                <w:rFonts w:ascii="Times New Roman" w:hAnsi="Times New Roman"/>
                <w:sz w:val="24"/>
                <w:szCs w:val="24"/>
                <w:lang w:eastAsia="lv-LV"/>
              </w:rPr>
            </w:pPr>
            <w:r w:rsidRPr="00E51B1C">
              <w:rPr>
                <w:rFonts w:ascii="Times New Roman" w:hAnsi="Times New Roman"/>
                <w:sz w:val="24"/>
                <w:szCs w:val="24"/>
              </w:rPr>
              <w:t>Projekts šo jomu neskar</w:t>
            </w:r>
          </w:p>
        </w:tc>
      </w:tr>
      <w:tr w:rsidR="00E51B1C" w:rsidRPr="00E51B1C" w14:paraId="75D4CB1E" w14:textId="77777777" w:rsidTr="00B14E12">
        <w:trPr>
          <w:jc w:val="center"/>
        </w:trPr>
        <w:tc>
          <w:tcPr>
            <w:tcW w:w="1413" w:type="dxa"/>
          </w:tcPr>
          <w:p w14:paraId="2BF35CAA" w14:textId="77777777" w:rsidR="001611E9" w:rsidRPr="00E51B1C" w:rsidRDefault="001611E9" w:rsidP="000044FA">
            <w:pPr>
              <w:pStyle w:val="NoSpacing"/>
              <w:rPr>
                <w:rFonts w:ascii="Times New Roman" w:hAnsi="Times New Roman"/>
                <w:lang w:eastAsia="lv-LV"/>
              </w:rPr>
            </w:pPr>
            <w:r w:rsidRPr="00E51B1C">
              <w:rPr>
                <w:rFonts w:ascii="Times New Roman" w:hAnsi="Times New Roman"/>
                <w:lang w:eastAsia="lv-LV"/>
              </w:rPr>
              <w:t>8. Cita informācija</w:t>
            </w:r>
          </w:p>
        </w:tc>
        <w:tc>
          <w:tcPr>
            <w:tcW w:w="8088" w:type="dxa"/>
            <w:gridSpan w:val="8"/>
          </w:tcPr>
          <w:p w14:paraId="3236A7EC" w14:textId="77777777" w:rsidR="001611E9" w:rsidRPr="00E51B1C" w:rsidRDefault="001611E9" w:rsidP="000044FA">
            <w:pPr>
              <w:jc w:val="both"/>
              <w:rPr>
                <w:bCs/>
              </w:rPr>
            </w:pPr>
            <w:r w:rsidRPr="00E51B1C">
              <w:rPr>
                <w:bCs/>
              </w:rPr>
              <w:t>Nav</w:t>
            </w:r>
          </w:p>
        </w:tc>
      </w:tr>
    </w:tbl>
    <w:p w14:paraId="7F813B8D" w14:textId="77777777" w:rsidR="009D36DE" w:rsidRPr="00E51B1C" w:rsidRDefault="009D36DE" w:rsidP="000044FA">
      <w:pPr>
        <w:rPr>
          <w:highlight w:val="green"/>
        </w:rPr>
      </w:pPr>
    </w:p>
    <w:tbl>
      <w:tblPr>
        <w:tblW w:w="5160" w:type="pct"/>
        <w:tblInd w:w="-145" w:type="dxa"/>
        <w:tblCellMar>
          <w:left w:w="10" w:type="dxa"/>
          <w:right w:w="10" w:type="dxa"/>
        </w:tblCellMar>
        <w:tblLook w:val="0000" w:firstRow="0" w:lastRow="0" w:firstColumn="0" w:lastColumn="0" w:noHBand="0" w:noVBand="0"/>
      </w:tblPr>
      <w:tblGrid>
        <w:gridCol w:w="9356"/>
      </w:tblGrid>
      <w:tr w:rsidR="00E51B1C" w:rsidRPr="00E51B1C" w14:paraId="0F3650F4"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BD68197" w14:textId="77777777" w:rsidR="009D36DE" w:rsidRPr="00E51B1C" w:rsidRDefault="009D36DE" w:rsidP="000044FA">
            <w:pPr>
              <w:spacing w:before="100" w:after="100" w:line="293" w:lineRule="atLeast"/>
              <w:jc w:val="center"/>
            </w:pPr>
            <w:r w:rsidRPr="00E51B1C">
              <w:rPr>
                <w:b/>
                <w:bCs/>
              </w:rPr>
              <w:t>IV. Tiesību aktu projektu ietekme uz spēkā esošo tiesību normu sistēmu</w:t>
            </w:r>
          </w:p>
        </w:tc>
      </w:tr>
      <w:tr w:rsidR="00E51B1C" w:rsidRPr="00E51B1C" w14:paraId="094A977A" w14:textId="77777777" w:rsidTr="001611E9">
        <w:tc>
          <w:tcPr>
            <w:tcW w:w="9356"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1CC64FA" w14:textId="77777777" w:rsidR="009D36DE" w:rsidRPr="00E51B1C" w:rsidRDefault="009D36DE" w:rsidP="009C7442">
            <w:pPr>
              <w:spacing w:before="100" w:after="100"/>
              <w:jc w:val="center"/>
            </w:pPr>
            <w:r w:rsidRPr="00E51B1C">
              <w:t>Projekts šo jomu neskar</w:t>
            </w:r>
          </w:p>
        </w:tc>
      </w:tr>
    </w:tbl>
    <w:p w14:paraId="0DA1CFD5" w14:textId="77777777" w:rsidR="009D36DE" w:rsidRPr="00E51B1C" w:rsidRDefault="009D36DE" w:rsidP="000044FA"/>
    <w:tbl>
      <w:tblPr>
        <w:tblW w:w="5160" w:type="pct"/>
        <w:tblInd w:w="-145" w:type="dxa"/>
        <w:tblCellMar>
          <w:left w:w="10" w:type="dxa"/>
          <w:right w:w="10" w:type="dxa"/>
        </w:tblCellMar>
        <w:tblLook w:val="0000" w:firstRow="0" w:lastRow="0" w:firstColumn="0" w:lastColumn="0" w:noHBand="0" w:noVBand="0"/>
      </w:tblPr>
      <w:tblGrid>
        <w:gridCol w:w="747"/>
        <w:gridCol w:w="2514"/>
        <w:gridCol w:w="6095"/>
      </w:tblGrid>
      <w:tr w:rsidR="00E51B1C" w:rsidRPr="00E51B1C" w14:paraId="341A5737" w14:textId="77777777" w:rsidTr="00465143">
        <w:tc>
          <w:tcPr>
            <w:tcW w:w="9356" w:type="dxa"/>
            <w:gridSpan w:val="3"/>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3AECDD0" w14:textId="77777777" w:rsidR="009D36DE" w:rsidRPr="00E51B1C" w:rsidRDefault="009D36DE" w:rsidP="000044FA">
            <w:pPr>
              <w:spacing w:before="100" w:after="100" w:line="293" w:lineRule="atLeast"/>
              <w:jc w:val="center"/>
            </w:pPr>
            <w:r w:rsidRPr="00E51B1C">
              <w:rPr>
                <w:b/>
                <w:bCs/>
              </w:rPr>
              <w:lastRenderedPageBreak/>
              <w:t>V. Tiesību aktu projektu atbilstība Latvijas Republikas starptautiskajām saistībām</w:t>
            </w:r>
          </w:p>
        </w:tc>
      </w:tr>
      <w:tr w:rsidR="00E51B1C" w:rsidRPr="00E51B1C" w14:paraId="057C309B"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F17542" w14:textId="77777777" w:rsidR="00465143" w:rsidRPr="00E51B1C" w:rsidRDefault="00465143" w:rsidP="003D6F8A">
            <w:pPr>
              <w:spacing w:before="100" w:after="100"/>
            </w:pPr>
            <w:r w:rsidRPr="00E51B1C">
              <w:t>1.</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2C469D" w14:textId="17753AAA" w:rsidR="00465143" w:rsidRPr="00E51B1C" w:rsidRDefault="00465143" w:rsidP="003D6F8A">
            <w:pPr>
              <w:spacing w:before="100" w:after="100"/>
            </w:pPr>
            <w:r w:rsidRPr="00E51B1C">
              <w:rPr>
                <w:iCs/>
              </w:rPr>
              <w:t>Saistības pret Eiropas Savienību</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D8A1D87" w14:textId="77777777" w:rsidR="00DC735E" w:rsidRPr="00E51B1C" w:rsidRDefault="00DC735E" w:rsidP="00F51A98">
            <w:pPr>
              <w:spacing w:before="120" w:after="120"/>
              <w:ind w:left="113" w:right="113"/>
              <w:jc w:val="both"/>
            </w:pPr>
            <w:r w:rsidRPr="00E51B1C">
              <w:t>Eiropas Savienības budžeta disciplīnas ietvars jeb tā sauktais Stabilitātes un izaugsmes pakts paredz dalībvalstīm nodrošināt “veselīgas” publiskās finanses t.i. samērīgu budžeta deficīta un parāda apmēru, kā arī koordinēt dalībvalstu budžeta politiku Eiropas Savienības līmenī.</w:t>
            </w:r>
          </w:p>
          <w:p w14:paraId="169B9D49" w14:textId="77777777" w:rsidR="00DC735E" w:rsidRPr="00E51B1C" w:rsidRDefault="00DC735E" w:rsidP="00F51A98">
            <w:pPr>
              <w:spacing w:before="120" w:after="120"/>
              <w:ind w:left="113" w:right="113"/>
              <w:jc w:val="both"/>
            </w:pPr>
            <w:r w:rsidRPr="00E51B1C">
              <w:t xml:space="preserve">Stabilitātes un izaugsmes pakts nosaka ierobežojumus attiecībā uz dalībvalstu pieļaujamo budžeta deficīta un parāda apmēru, kā arī regulē trajektoriju, ar kādu dalībvalstīm ir jānodrošina virzība uz Stabilitātes un izaugsmes </w:t>
            </w:r>
            <w:proofErr w:type="spellStart"/>
            <w:r w:rsidRPr="00E51B1C">
              <w:t>paktā</w:t>
            </w:r>
            <w:proofErr w:type="spellEnd"/>
            <w:r w:rsidRPr="00E51B1C">
              <w:t xml:space="preserve"> noteiktajām budžeta deficīta un parāda robežvērtībām. </w:t>
            </w:r>
          </w:p>
          <w:p w14:paraId="6AEDB9CE" w14:textId="77777777" w:rsidR="00DC735E" w:rsidRPr="00E51B1C" w:rsidRDefault="00DC735E" w:rsidP="00F51A98">
            <w:pPr>
              <w:spacing w:before="120" w:after="120"/>
              <w:ind w:left="113" w:right="113"/>
              <w:jc w:val="both"/>
            </w:pPr>
            <w:r w:rsidRPr="00E51B1C">
              <w:t>Vienlaikus šajā ietvarā ir noteikti mehānismi, kas specifiskās situācijās ļauj dalībvalstīm uz laiku atkāpties no budžeta disciplīnas nosacījumiem.</w:t>
            </w:r>
          </w:p>
          <w:p w14:paraId="48A88AB3" w14:textId="2AD8C1C9" w:rsidR="00465143" w:rsidRPr="00E51B1C" w:rsidRDefault="00465143" w:rsidP="00F51A98">
            <w:pPr>
              <w:spacing w:before="120" w:after="120"/>
              <w:ind w:left="113" w:right="113"/>
              <w:jc w:val="both"/>
            </w:pPr>
            <w:r w:rsidRPr="00E51B1C">
              <w:t>Valsts atbalsts C</w:t>
            </w:r>
            <w:r w:rsidR="005D20D4" w:rsidRPr="00E51B1C">
              <w:t>ovid</w:t>
            </w:r>
            <w:r w:rsidRPr="00E51B1C">
              <w:t>-19 negatīvo seku mazināšanai tiek finansēts nevis ar pašu nopelnīto naudu, bet gan ar aizņemto naudu, palielinot valsts deficītu un parādu virs iepriekš plānotā līmeņa.</w:t>
            </w:r>
          </w:p>
          <w:p w14:paraId="214B2F84" w14:textId="4CFF3535" w:rsidR="00A95439" w:rsidRDefault="00465143" w:rsidP="000A747B">
            <w:pPr>
              <w:spacing w:before="120" w:after="120"/>
              <w:ind w:left="113" w:right="113"/>
              <w:jc w:val="both"/>
            </w:pPr>
            <w:r w:rsidRPr="00E51B1C">
              <w:t>Stabilitātes un izaugsmes pakts paredz iespēju neievērot iepriekš noteikto pieļaujamo deficīta un parāda līmeni, ja (1) iestājas ārkārtēji apstākļi, kas ir ārpus valdību kontroles, vai arī, ja  (2) iestājas būtiska recesija ES vai tās dalībvalstī. Iepriekš EK jau sniedza paziņojumu, ka tā atzīst C</w:t>
            </w:r>
            <w:r w:rsidR="005D20D4" w:rsidRPr="00E51B1C">
              <w:t>ovid</w:t>
            </w:r>
            <w:r w:rsidRPr="00E51B1C">
              <w:t xml:space="preserve">-19 par atbilstošu pirmajam kritērijam. </w:t>
            </w:r>
            <w:r w:rsidR="000A747B">
              <w:t xml:space="preserve">2020.gada </w:t>
            </w:r>
            <w:r w:rsidRPr="00E51B1C">
              <w:t>20.marta paziņojumā tā atzina, ka C</w:t>
            </w:r>
            <w:r w:rsidR="005D20D4" w:rsidRPr="00E51B1C">
              <w:t>ovid</w:t>
            </w:r>
            <w:r w:rsidRPr="00E51B1C">
              <w:t>-19 atbilst arī otrajam kritērijam.</w:t>
            </w:r>
          </w:p>
          <w:p w14:paraId="3C9D9C26" w14:textId="2F1DB23A" w:rsidR="000A747B" w:rsidRPr="00E51B1C" w:rsidRDefault="000A747B" w:rsidP="000A747B">
            <w:pPr>
              <w:spacing w:before="120" w:after="120"/>
              <w:ind w:left="113" w:right="113"/>
              <w:jc w:val="both"/>
            </w:pPr>
          </w:p>
        </w:tc>
      </w:tr>
      <w:tr w:rsidR="00E51B1C" w:rsidRPr="00E51B1C" w14:paraId="5544F8D7" w14:textId="77777777" w:rsidTr="00465143">
        <w:trPr>
          <w:trHeight w:val="513"/>
        </w:trPr>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86152C6" w14:textId="77777777" w:rsidR="00465143" w:rsidRPr="00E51B1C" w:rsidRDefault="00465143" w:rsidP="003D6F8A">
            <w:pPr>
              <w:spacing w:before="100" w:after="100"/>
            </w:pPr>
            <w:r w:rsidRPr="00E51B1C">
              <w:t>2.</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00CC6C3" w14:textId="588439CF" w:rsidR="00465143" w:rsidRPr="00E51B1C" w:rsidRDefault="00465143" w:rsidP="003D6F8A">
            <w:pPr>
              <w:spacing w:before="100" w:after="100"/>
            </w:pPr>
            <w:r w:rsidRPr="00E51B1C">
              <w:rPr>
                <w:iCs/>
              </w:rPr>
              <w:t>Citas starptautiskās saistības</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D2138D" w14:textId="018E0F72" w:rsidR="00465143" w:rsidRPr="00E51B1C" w:rsidRDefault="00465143" w:rsidP="00465143">
            <w:pPr>
              <w:shd w:val="clear" w:color="auto" w:fill="FFFFFF"/>
              <w:spacing w:before="120" w:after="120"/>
              <w:jc w:val="both"/>
            </w:pPr>
            <w:r w:rsidRPr="00E51B1C">
              <w:t>Projekts šo jomu neskar</w:t>
            </w:r>
          </w:p>
        </w:tc>
      </w:tr>
      <w:tr w:rsidR="00E51B1C" w:rsidRPr="00E51B1C" w14:paraId="1D850DF0" w14:textId="77777777" w:rsidTr="00465143">
        <w:tc>
          <w:tcPr>
            <w:tcW w:w="74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0B2A2B" w14:textId="77777777" w:rsidR="00465143" w:rsidRPr="00E51B1C" w:rsidRDefault="00465143" w:rsidP="003D6F8A">
            <w:r w:rsidRPr="00E51B1C">
              <w:t>3.</w:t>
            </w:r>
          </w:p>
        </w:tc>
        <w:tc>
          <w:tcPr>
            <w:tcW w:w="25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15D9A33" w14:textId="77777777" w:rsidR="00465143" w:rsidRPr="00E51B1C" w:rsidRDefault="00465143" w:rsidP="003D6F8A">
            <w:r w:rsidRPr="00E51B1C">
              <w:t>Cita informācija</w:t>
            </w:r>
          </w:p>
        </w:tc>
        <w:tc>
          <w:tcPr>
            <w:tcW w:w="60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F1638E" w14:textId="77777777" w:rsidR="00465143" w:rsidRPr="00E51B1C" w:rsidRDefault="00465143" w:rsidP="003D6F8A">
            <w:pPr>
              <w:jc w:val="both"/>
            </w:pPr>
            <w:r w:rsidRPr="00E51B1C">
              <w:t>Nav</w:t>
            </w:r>
          </w:p>
        </w:tc>
      </w:tr>
    </w:tbl>
    <w:p w14:paraId="536F51B7" w14:textId="161DE399" w:rsidR="009D36DE" w:rsidRPr="00E51B1C" w:rsidRDefault="009D36DE"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251BD8"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0E57E25" w14:textId="4CF83A96" w:rsidR="00465143" w:rsidRPr="00E51B1C" w:rsidRDefault="00465143" w:rsidP="00465143">
            <w:pPr>
              <w:ind w:firstLine="301"/>
              <w:jc w:val="center"/>
              <w:rPr>
                <w:b/>
                <w:bCs/>
              </w:rPr>
            </w:pPr>
            <w:r w:rsidRPr="00E51B1C">
              <w:rPr>
                <w:b/>
                <w:bCs/>
                <w:iCs/>
              </w:rPr>
              <w:t>1. tabula</w:t>
            </w:r>
            <w:r w:rsidRPr="00E51B1C">
              <w:rPr>
                <w:b/>
                <w:bCs/>
                <w:iCs/>
              </w:rPr>
              <w:br/>
              <w:t>Tiesību akta projekta atbilstība ES tiesību aktiem</w:t>
            </w:r>
          </w:p>
        </w:tc>
      </w:tr>
      <w:tr w:rsidR="00465143" w:rsidRPr="00E51B1C" w14:paraId="61067AED"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DAA1578" w14:textId="77777777" w:rsidR="00465143" w:rsidRPr="00E51B1C" w:rsidRDefault="00465143" w:rsidP="009C7442">
            <w:pPr>
              <w:spacing w:before="100" w:after="100"/>
              <w:ind w:firstLine="301"/>
              <w:jc w:val="center"/>
              <w:rPr>
                <w:b/>
                <w:bCs/>
              </w:rPr>
            </w:pPr>
            <w:r w:rsidRPr="00E51B1C">
              <w:t>Projekts šo jomu neskar</w:t>
            </w:r>
          </w:p>
        </w:tc>
      </w:tr>
    </w:tbl>
    <w:p w14:paraId="13B11A15" w14:textId="442EC98D"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4F3A0DB9" w14:textId="77777777" w:rsidTr="003D6F8A">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57EDEE6" w14:textId="66169F51" w:rsidR="00465143" w:rsidRPr="00E51B1C" w:rsidRDefault="00465143" w:rsidP="00465143">
            <w:pPr>
              <w:ind w:firstLine="301"/>
              <w:jc w:val="center"/>
              <w:rPr>
                <w:b/>
                <w:bCs/>
              </w:rPr>
            </w:pPr>
            <w:r w:rsidRPr="00E51B1C">
              <w:rPr>
                <w:b/>
                <w:bCs/>
                <w:iCs/>
              </w:rPr>
              <w:t>2. tabula</w:t>
            </w:r>
            <w:r w:rsidRPr="00E51B1C">
              <w:rPr>
                <w:b/>
                <w:bCs/>
                <w:iCs/>
              </w:rPr>
              <w:br/>
              <w:t>Ar tiesību akta projektu izpildītās vai uzņemtās saistības, kas izriet no starptautiskajiem tiesību aktiem vai starptautiskas institūcijas vai organizācijas dokumentiem.</w:t>
            </w:r>
            <w:r w:rsidRPr="00E51B1C">
              <w:rPr>
                <w:b/>
                <w:bCs/>
                <w:iCs/>
              </w:rPr>
              <w:br/>
              <w:t>Pasākumi šo saistību izpildei</w:t>
            </w:r>
          </w:p>
        </w:tc>
      </w:tr>
      <w:tr w:rsidR="00465143" w:rsidRPr="00E51B1C" w14:paraId="414F9F98" w14:textId="77777777" w:rsidTr="003D6F8A">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12D48D4" w14:textId="77777777" w:rsidR="00465143" w:rsidRPr="00E51B1C" w:rsidRDefault="00465143" w:rsidP="009C7442">
            <w:pPr>
              <w:spacing w:before="100" w:after="100"/>
              <w:ind w:firstLine="301"/>
              <w:jc w:val="center"/>
              <w:rPr>
                <w:b/>
                <w:bCs/>
              </w:rPr>
            </w:pPr>
            <w:r w:rsidRPr="00E51B1C">
              <w:t>Projekts šo jomu neskar</w:t>
            </w:r>
          </w:p>
        </w:tc>
      </w:tr>
    </w:tbl>
    <w:p w14:paraId="51B23118" w14:textId="77777777" w:rsidR="00465143" w:rsidRPr="00E51B1C" w:rsidRDefault="00465143" w:rsidP="000044FA"/>
    <w:tbl>
      <w:tblPr>
        <w:tblW w:w="5159" w:type="pct"/>
        <w:jc w:val="center"/>
        <w:tblCellMar>
          <w:left w:w="10" w:type="dxa"/>
          <w:right w:w="10" w:type="dxa"/>
        </w:tblCellMar>
        <w:tblLook w:val="0000" w:firstRow="0" w:lastRow="0" w:firstColumn="0" w:lastColumn="0" w:noHBand="0" w:noVBand="0"/>
      </w:tblPr>
      <w:tblGrid>
        <w:gridCol w:w="9350"/>
      </w:tblGrid>
      <w:tr w:rsidR="00E51B1C" w:rsidRPr="00E51B1C" w14:paraId="135AC213" w14:textId="77777777" w:rsidTr="001611E9">
        <w:trPr>
          <w:trHeight w:val="33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09EB38B" w14:textId="77777777" w:rsidR="009D36DE" w:rsidRPr="00E51B1C" w:rsidRDefault="009D36DE" w:rsidP="000044FA">
            <w:pPr>
              <w:spacing w:before="100" w:after="100" w:line="360" w:lineRule="auto"/>
              <w:ind w:firstLine="300"/>
              <w:jc w:val="center"/>
              <w:rPr>
                <w:b/>
                <w:bCs/>
              </w:rPr>
            </w:pPr>
            <w:r w:rsidRPr="00E51B1C">
              <w:rPr>
                <w:b/>
                <w:bCs/>
              </w:rPr>
              <w:t>VI. Sabiedrības līdzdalība un komunikācijas aktivitātes</w:t>
            </w:r>
          </w:p>
        </w:tc>
      </w:tr>
      <w:tr w:rsidR="003B60B8" w:rsidRPr="00E51B1C" w14:paraId="33DC9CAF" w14:textId="77777777" w:rsidTr="001611E9">
        <w:trPr>
          <w:trHeight w:val="366"/>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BD42002" w14:textId="77777777" w:rsidR="003B60B8" w:rsidRPr="00E51B1C" w:rsidRDefault="003B60B8" w:rsidP="009C7442">
            <w:pPr>
              <w:spacing w:before="100" w:after="100"/>
              <w:ind w:firstLine="301"/>
              <w:jc w:val="center"/>
              <w:rPr>
                <w:b/>
                <w:bCs/>
              </w:rPr>
            </w:pPr>
            <w:r w:rsidRPr="00E51B1C">
              <w:lastRenderedPageBreak/>
              <w:t>Projekts šo jomu neskar</w:t>
            </w:r>
          </w:p>
        </w:tc>
      </w:tr>
    </w:tbl>
    <w:p w14:paraId="3173A2A4" w14:textId="77777777" w:rsidR="009D36DE" w:rsidRPr="00E51B1C" w:rsidRDefault="009D36DE" w:rsidP="000044FA"/>
    <w:tbl>
      <w:tblPr>
        <w:tblW w:w="5166" w:type="pct"/>
        <w:tblInd w:w="-150" w:type="dxa"/>
        <w:tblCellMar>
          <w:left w:w="10" w:type="dxa"/>
          <w:right w:w="10" w:type="dxa"/>
        </w:tblCellMar>
        <w:tblLook w:val="0000" w:firstRow="0" w:lastRow="0" w:firstColumn="0" w:lastColumn="0" w:noHBand="0" w:noVBand="0"/>
      </w:tblPr>
      <w:tblGrid>
        <w:gridCol w:w="748"/>
        <w:gridCol w:w="4214"/>
        <w:gridCol w:w="4395"/>
      </w:tblGrid>
      <w:tr w:rsidR="00E51B1C" w:rsidRPr="00E51B1C" w14:paraId="167E4317" w14:textId="77777777" w:rsidTr="00372421">
        <w:tc>
          <w:tcPr>
            <w:tcW w:w="9357"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3348D7" w14:textId="77777777" w:rsidR="009D36DE" w:rsidRPr="00E51B1C" w:rsidRDefault="009D36DE" w:rsidP="000044FA">
            <w:pPr>
              <w:spacing w:before="100" w:after="100"/>
              <w:jc w:val="center"/>
              <w:rPr>
                <w:b/>
                <w:bCs/>
              </w:rPr>
            </w:pPr>
            <w:r w:rsidRPr="00E51B1C">
              <w:rPr>
                <w:b/>
                <w:bCs/>
              </w:rPr>
              <w:t>VII. Tiesību akta projekta izpildes nodrošināšana un tās ietekme uz institūcijām</w:t>
            </w:r>
          </w:p>
        </w:tc>
      </w:tr>
      <w:tr w:rsidR="00E51B1C" w:rsidRPr="00E51B1C" w14:paraId="56989E49"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4E07AD0" w14:textId="77777777" w:rsidR="003B60B8" w:rsidRPr="00E51B1C" w:rsidRDefault="003B60B8" w:rsidP="000044FA">
            <w:pPr>
              <w:spacing w:before="100" w:after="100"/>
            </w:pPr>
            <w:r w:rsidRPr="00E51B1C">
              <w:t>1.</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D42C8B" w14:textId="77777777" w:rsidR="003B60B8" w:rsidRPr="00E51B1C" w:rsidRDefault="003B60B8" w:rsidP="000044FA">
            <w:pPr>
              <w:spacing w:before="100" w:after="100"/>
            </w:pPr>
            <w:r w:rsidRPr="00E51B1C">
              <w:t>Projekta izpildē iesaistītās institūcijas</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0BDA611" w14:textId="77777777" w:rsidR="003B60B8" w:rsidRPr="00E51B1C" w:rsidRDefault="004422AA" w:rsidP="009C7442">
            <w:pPr>
              <w:shd w:val="clear" w:color="auto" w:fill="FFFFFF"/>
              <w:spacing w:before="120" w:after="120"/>
              <w:jc w:val="both"/>
            </w:pPr>
            <w:r w:rsidRPr="00E51B1C">
              <w:rPr>
                <w:bCs/>
              </w:rPr>
              <w:t xml:space="preserve">Ministrijas un </w:t>
            </w:r>
            <w:r w:rsidR="00B4749B" w:rsidRPr="00E51B1C">
              <w:rPr>
                <w:bCs/>
              </w:rPr>
              <w:t>citas centrālās valsts iestādes</w:t>
            </w:r>
          </w:p>
        </w:tc>
      </w:tr>
      <w:tr w:rsidR="00E51B1C" w:rsidRPr="00E51B1C" w14:paraId="7B922FD7"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7FD34A1" w14:textId="77777777" w:rsidR="003B60B8" w:rsidRPr="00E51B1C" w:rsidRDefault="003B60B8" w:rsidP="000044FA">
            <w:pPr>
              <w:spacing w:before="100" w:after="100"/>
            </w:pPr>
            <w:r w:rsidRPr="00E51B1C">
              <w:t>2.</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D8E3BA" w14:textId="77777777" w:rsidR="003B60B8" w:rsidRPr="00E51B1C" w:rsidRDefault="003B60B8" w:rsidP="000044FA">
            <w:pPr>
              <w:spacing w:before="100" w:after="100"/>
            </w:pPr>
            <w:r w:rsidRPr="00E51B1C">
              <w:t xml:space="preserve">Projekta izpildes ietekme uz pārvaldes funkcijām un institucionālo struktūru. </w:t>
            </w:r>
          </w:p>
          <w:p w14:paraId="26A504E1" w14:textId="77777777" w:rsidR="003B60B8" w:rsidRPr="00E51B1C" w:rsidRDefault="003B60B8" w:rsidP="000044FA">
            <w:pPr>
              <w:spacing w:before="100" w:after="100"/>
            </w:pPr>
            <w:r w:rsidRPr="00E51B1C">
              <w:t>Jaunu institūciju izveide, esošu institūciju likvidācija vai reorganizācija, to ietekme uz institūcijas cilvēkresursiem</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3B8E8F5" w14:textId="77777777" w:rsidR="003B60B8" w:rsidRPr="00E51B1C" w:rsidRDefault="00B4749B" w:rsidP="009C7442">
            <w:pPr>
              <w:shd w:val="clear" w:color="auto" w:fill="FFFFFF"/>
              <w:spacing w:before="120" w:after="120"/>
              <w:jc w:val="both"/>
            </w:pPr>
            <w:r w:rsidRPr="00E51B1C">
              <w:t>Projekts šo jomu neskar</w:t>
            </w:r>
          </w:p>
          <w:p w14:paraId="07CDC1D8" w14:textId="77777777" w:rsidR="003B60B8" w:rsidRPr="00E51B1C" w:rsidRDefault="003B60B8" w:rsidP="009C7442">
            <w:pPr>
              <w:shd w:val="clear" w:color="auto" w:fill="FFFFFF"/>
              <w:jc w:val="both"/>
            </w:pPr>
          </w:p>
        </w:tc>
      </w:tr>
      <w:tr w:rsidR="00E51B1C" w:rsidRPr="00E51B1C" w14:paraId="06E6EC7B" w14:textId="77777777" w:rsidTr="00372421">
        <w:tc>
          <w:tcPr>
            <w:tcW w:w="74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424A09" w14:textId="77777777" w:rsidR="009D36DE" w:rsidRPr="00E51B1C" w:rsidRDefault="009D36DE" w:rsidP="000044FA">
            <w:r w:rsidRPr="00E51B1C">
              <w:t>3.</w:t>
            </w:r>
          </w:p>
        </w:tc>
        <w:tc>
          <w:tcPr>
            <w:tcW w:w="421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1F09B8" w14:textId="77777777" w:rsidR="009D36DE" w:rsidRPr="00E51B1C" w:rsidRDefault="009D36DE" w:rsidP="000044FA">
            <w:r w:rsidRPr="00E51B1C">
              <w:t>Cita informācija</w:t>
            </w:r>
          </w:p>
        </w:tc>
        <w:tc>
          <w:tcPr>
            <w:tcW w:w="439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5C4B881" w14:textId="77777777" w:rsidR="009D36DE" w:rsidRPr="00E51B1C" w:rsidRDefault="009D36DE" w:rsidP="009C7442">
            <w:pPr>
              <w:jc w:val="both"/>
            </w:pPr>
            <w:r w:rsidRPr="00E51B1C">
              <w:t>Nav</w:t>
            </w:r>
          </w:p>
        </w:tc>
      </w:tr>
    </w:tbl>
    <w:p w14:paraId="640AE653" w14:textId="77777777" w:rsidR="009D36DE" w:rsidRPr="00E51B1C" w:rsidRDefault="009D36DE" w:rsidP="000044FA">
      <w:pPr>
        <w:ind w:firstLine="720"/>
      </w:pPr>
    </w:p>
    <w:p w14:paraId="5DDD4CC1" w14:textId="77777777" w:rsidR="0074116B" w:rsidRPr="00E51B1C" w:rsidRDefault="0074116B" w:rsidP="00E218B9">
      <w:pPr>
        <w:pStyle w:val="BodyText"/>
        <w:jc w:val="both"/>
        <w:rPr>
          <w:sz w:val="26"/>
          <w:szCs w:val="26"/>
        </w:rPr>
      </w:pPr>
    </w:p>
    <w:p w14:paraId="2E187A1E" w14:textId="77777777" w:rsidR="00B110C3" w:rsidRDefault="00B110C3" w:rsidP="00B110C3">
      <w:pPr>
        <w:pStyle w:val="BodyText"/>
        <w:jc w:val="both"/>
        <w:rPr>
          <w:sz w:val="24"/>
        </w:rPr>
      </w:pPr>
    </w:p>
    <w:p w14:paraId="7DC8E360" w14:textId="77777777" w:rsidR="00B110C3" w:rsidRDefault="00B110C3" w:rsidP="00B110C3">
      <w:pPr>
        <w:pStyle w:val="BodyText"/>
        <w:jc w:val="both"/>
        <w:rPr>
          <w:sz w:val="24"/>
        </w:rPr>
      </w:pPr>
    </w:p>
    <w:p w14:paraId="4E3B677B" w14:textId="2D739CC8" w:rsidR="0074116B" w:rsidRPr="00E51B1C" w:rsidRDefault="00B110C3" w:rsidP="00064127">
      <w:pPr>
        <w:pStyle w:val="BodyText"/>
        <w:jc w:val="both"/>
        <w:rPr>
          <w:sz w:val="26"/>
          <w:szCs w:val="26"/>
        </w:rPr>
      </w:pPr>
      <w:r w:rsidRPr="00B110C3">
        <w:rPr>
          <w:sz w:val="24"/>
        </w:rPr>
        <w:t>Finanšu ministr</w:t>
      </w:r>
      <w:r w:rsidR="00064127">
        <w:rPr>
          <w:sz w:val="24"/>
        </w:rPr>
        <w:t>s</w:t>
      </w:r>
      <w:r>
        <w:rPr>
          <w:sz w:val="24"/>
        </w:rPr>
        <w:tab/>
      </w:r>
      <w:r>
        <w:rPr>
          <w:sz w:val="24"/>
        </w:rPr>
        <w:tab/>
      </w:r>
      <w:r>
        <w:rPr>
          <w:sz w:val="24"/>
        </w:rPr>
        <w:tab/>
      </w:r>
      <w:r>
        <w:rPr>
          <w:sz w:val="24"/>
        </w:rPr>
        <w:tab/>
      </w:r>
      <w:r>
        <w:rPr>
          <w:sz w:val="24"/>
        </w:rPr>
        <w:tab/>
      </w:r>
      <w:r>
        <w:rPr>
          <w:sz w:val="24"/>
        </w:rPr>
        <w:tab/>
      </w:r>
      <w:r>
        <w:rPr>
          <w:sz w:val="24"/>
        </w:rPr>
        <w:tab/>
      </w:r>
      <w:r>
        <w:rPr>
          <w:sz w:val="24"/>
        </w:rPr>
        <w:tab/>
      </w:r>
      <w:r w:rsidR="00064127">
        <w:rPr>
          <w:sz w:val="24"/>
        </w:rPr>
        <w:t xml:space="preserve">                   J. Reirs</w:t>
      </w:r>
    </w:p>
    <w:p w14:paraId="1721EC2D" w14:textId="4C8DEE05" w:rsidR="00D444BA" w:rsidRPr="00B110C3" w:rsidRDefault="00857FA9" w:rsidP="00E218B9">
      <w:pPr>
        <w:pStyle w:val="BodyText"/>
        <w:jc w:val="both"/>
        <w:rPr>
          <w:sz w:val="24"/>
        </w:rPr>
      </w:pPr>
      <w:r w:rsidRPr="00B110C3">
        <w:rPr>
          <w:sz w:val="24"/>
        </w:rPr>
        <w:tab/>
      </w:r>
      <w:r w:rsidRPr="00B110C3">
        <w:rPr>
          <w:sz w:val="24"/>
        </w:rPr>
        <w:tab/>
      </w:r>
      <w:r w:rsidRPr="00B110C3">
        <w:rPr>
          <w:sz w:val="24"/>
        </w:rPr>
        <w:tab/>
      </w:r>
      <w:r w:rsidRPr="00B110C3">
        <w:rPr>
          <w:sz w:val="24"/>
        </w:rPr>
        <w:tab/>
      </w:r>
      <w:r w:rsidR="0091691A" w:rsidRPr="00B110C3">
        <w:rPr>
          <w:sz w:val="24"/>
        </w:rPr>
        <w:tab/>
      </w:r>
      <w:r w:rsidR="0091691A" w:rsidRPr="00B110C3">
        <w:rPr>
          <w:sz w:val="24"/>
        </w:rPr>
        <w:tab/>
      </w:r>
      <w:r w:rsidR="009D1F15" w:rsidRPr="00B110C3">
        <w:rPr>
          <w:sz w:val="24"/>
        </w:rPr>
        <w:t xml:space="preserve">                       </w:t>
      </w:r>
      <w:r w:rsidR="00F154FE" w:rsidRPr="00B110C3">
        <w:rPr>
          <w:sz w:val="24"/>
        </w:rPr>
        <w:t xml:space="preserve">   </w:t>
      </w:r>
      <w:r w:rsidR="0091691A" w:rsidRPr="00B110C3">
        <w:rPr>
          <w:sz w:val="24"/>
        </w:rPr>
        <w:t xml:space="preserve">  </w:t>
      </w:r>
      <w:r w:rsidR="00F154FE" w:rsidRPr="00B110C3">
        <w:rPr>
          <w:sz w:val="24"/>
        </w:rPr>
        <w:t xml:space="preserve"> </w:t>
      </w:r>
      <w:r w:rsidR="00B110C3">
        <w:rPr>
          <w:sz w:val="24"/>
        </w:rPr>
        <w:t xml:space="preserve">     </w:t>
      </w:r>
      <w:r w:rsidR="0091691A" w:rsidRPr="00B110C3">
        <w:rPr>
          <w:sz w:val="24"/>
        </w:rPr>
        <w:tab/>
      </w:r>
    </w:p>
    <w:p w14:paraId="0B6E3685" w14:textId="77777777" w:rsidR="00E218B9" w:rsidRPr="00E51B1C" w:rsidRDefault="00E218B9" w:rsidP="00E218B9">
      <w:pPr>
        <w:pStyle w:val="BodyText"/>
        <w:jc w:val="both"/>
        <w:rPr>
          <w:sz w:val="24"/>
        </w:rPr>
      </w:pPr>
    </w:p>
    <w:p w14:paraId="115FCF29" w14:textId="54565823" w:rsidR="00A95439" w:rsidRDefault="00A95439" w:rsidP="00855994">
      <w:pPr>
        <w:pStyle w:val="BodyText"/>
        <w:jc w:val="left"/>
        <w:rPr>
          <w:sz w:val="20"/>
          <w:szCs w:val="20"/>
        </w:rPr>
      </w:pPr>
    </w:p>
    <w:p w14:paraId="0F800A6A" w14:textId="245A6FC8" w:rsidR="00B110C3" w:rsidRDefault="00B110C3" w:rsidP="00855994">
      <w:pPr>
        <w:pStyle w:val="BodyText"/>
        <w:jc w:val="left"/>
        <w:rPr>
          <w:sz w:val="20"/>
          <w:szCs w:val="20"/>
        </w:rPr>
      </w:pPr>
    </w:p>
    <w:p w14:paraId="3C7F01AE" w14:textId="74BC63E0" w:rsidR="00B110C3" w:rsidRDefault="00B110C3" w:rsidP="00855994">
      <w:pPr>
        <w:pStyle w:val="BodyText"/>
        <w:jc w:val="left"/>
        <w:rPr>
          <w:sz w:val="20"/>
          <w:szCs w:val="20"/>
        </w:rPr>
      </w:pPr>
    </w:p>
    <w:p w14:paraId="7A50844E" w14:textId="1FF3D324" w:rsidR="00B110C3" w:rsidRDefault="00B110C3" w:rsidP="00855994">
      <w:pPr>
        <w:pStyle w:val="BodyText"/>
        <w:jc w:val="left"/>
        <w:rPr>
          <w:sz w:val="20"/>
          <w:szCs w:val="20"/>
        </w:rPr>
      </w:pPr>
    </w:p>
    <w:p w14:paraId="67F7D50E" w14:textId="6EF7BD71" w:rsidR="00B110C3" w:rsidRDefault="00B110C3" w:rsidP="00855994">
      <w:pPr>
        <w:pStyle w:val="BodyText"/>
        <w:jc w:val="left"/>
        <w:rPr>
          <w:sz w:val="20"/>
          <w:szCs w:val="20"/>
        </w:rPr>
      </w:pPr>
    </w:p>
    <w:p w14:paraId="312B8213" w14:textId="0F65B975" w:rsidR="00B110C3" w:rsidRDefault="00B110C3" w:rsidP="00855994">
      <w:pPr>
        <w:pStyle w:val="BodyText"/>
        <w:jc w:val="left"/>
        <w:rPr>
          <w:sz w:val="20"/>
          <w:szCs w:val="20"/>
        </w:rPr>
      </w:pPr>
    </w:p>
    <w:p w14:paraId="4C886836" w14:textId="2B4D3673" w:rsidR="00B110C3" w:rsidRDefault="00B110C3" w:rsidP="00855994">
      <w:pPr>
        <w:pStyle w:val="BodyText"/>
        <w:jc w:val="left"/>
        <w:rPr>
          <w:sz w:val="20"/>
          <w:szCs w:val="20"/>
        </w:rPr>
      </w:pPr>
    </w:p>
    <w:p w14:paraId="4C2E9C2A" w14:textId="78094486" w:rsidR="00B110C3" w:rsidRDefault="00B110C3" w:rsidP="00855994">
      <w:pPr>
        <w:pStyle w:val="BodyText"/>
        <w:jc w:val="left"/>
        <w:rPr>
          <w:sz w:val="20"/>
          <w:szCs w:val="20"/>
        </w:rPr>
      </w:pPr>
    </w:p>
    <w:p w14:paraId="1696C344" w14:textId="5FE92B55" w:rsidR="00B110C3" w:rsidRDefault="00B110C3" w:rsidP="00855994">
      <w:pPr>
        <w:pStyle w:val="BodyText"/>
        <w:jc w:val="left"/>
        <w:rPr>
          <w:sz w:val="20"/>
          <w:szCs w:val="20"/>
        </w:rPr>
      </w:pPr>
    </w:p>
    <w:p w14:paraId="0F3052CB" w14:textId="77777777" w:rsidR="00B110C3" w:rsidRDefault="00B110C3" w:rsidP="00855994">
      <w:pPr>
        <w:pStyle w:val="BodyText"/>
        <w:jc w:val="left"/>
        <w:rPr>
          <w:sz w:val="20"/>
          <w:szCs w:val="20"/>
        </w:rPr>
      </w:pPr>
    </w:p>
    <w:p w14:paraId="32613D4B" w14:textId="77777777" w:rsidR="00A95439" w:rsidRDefault="00A95439" w:rsidP="00855994">
      <w:pPr>
        <w:pStyle w:val="BodyText"/>
        <w:jc w:val="left"/>
        <w:rPr>
          <w:sz w:val="20"/>
          <w:szCs w:val="20"/>
        </w:rPr>
      </w:pPr>
    </w:p>
    <w:p w14:paraId="49AC3255" w14:textId="77777777" w:rsidR="00A95439" w:rsidRDefault="00A95439" w:rsidP="00855994">
      <w:pPr>
        <w:pStyle w:val="BodyText"/>
        <w:jc w:val="left"/>
        <w:rPr>
          <w:sz w:val="20"/>
          <w:szCs w:val="20"/>
        </w:rPr>
      </w:pPr>
    </w:p>
    <w:p w14:paraId="0D4A9297" w14:textId="77777777" w:rsidR="00B110C3" w:rsidRDefault="00B110C3" w:rsidP="00855994">
      <w:pPr>
        <w:pStyle w:val="BodyText"/>
        <w:jc w:val="left"/>
        <w:rPr>
          <w:sz w:val="20"/>
          <w:szCs w:val="20"/>
        </w:rPr>
      </w:pPr>
    </w:p>
    <w:p w14:paraId="4C247119" w14:textId="77777777" w:rsidR="00B110C3" w:rsidRDefault="00B110C3" w:rsidP="00855994">
      <w:pPr>
        <w:pStyle w:val="BodyText"/>
        <w:jc w:val="left"/>
        <w:rPr>
          <w:sz w:val="20"/>
          <w:szCs w:val="20"/>
        </w:rPr>
      </w:pPr>
    </w:p>
    <w:p w14:paraId="695E0F1F" w14:textId="77777777" w:rsidR="00B110C3" w:rsidRDefault="00B110C3" w:rsidP="00855994">
      <w:pPr>
        <w:pStyle w:val="BodyText"/>
        <w:jc w:val="left"/>
        <w:rPr>
          <w:sz w:val="20"/>
          <w:szCs w:val="20"/>
        </w:rPr>
      </w:pPr>
    </w:p>
    <w:p w14:paraId="0CC1C478" w14:textId="77777777" w:rsidR="00B110C3" w:rsidRDefault="00B110C3" w:rsidP="00855994">
      <w:pPr>
        <w:pStyle w:val="BodyText"/>
        <w:jc w:val="left"/>
        <w:rPr>
          <w:sz w:val="20"/>
          <w:szCs w:val="20"/>
        </w:rPr>
      </w:pPr>
    </w:p>
    <w:p w14:paraId="6B9939ED" w14:textId="77777777" w:rsidR="00B110C3" w:rsidRDefault="00B110C3" w:rsidP="00855994">
      <w:pPr>
        <w:pStyle w:val="BodyText"/>
        <w:jc w:val="left"/>
        <w:rPr>
          <w:sz w:val="20"/>
          <w:szCs w:val="20"/>
        </w:rPr>
      </w:pPr>
    </w:p>
    <w:p w14:paraId="1A00BE2B" w14:textId="77777777" w:rsidR="00B110C3" w:rsidRDefault="00B110C3" w:rsidP="00855994">
      <w:pPr>
        <w:pStyle w:val="BodyText"/>
        <w:jc w:val="left"/>
        <w:rPr>
          <w:sz w:val="20"/>
          <w:szCs w:val="20"/>
        </w:rPr>
      </w:pPr>
    </w:p>
    <w:p w14:paraId="314F4DF0" w14:textId="50D517D9" w:rsidR="00855994" w:rsidRPr="00E51B1C" w:rsidRDefault="00855994" w:rsidP="00855994">
      <w:pPr>
        <w:pStyle w:val="BodyText"/>
        <w:jc w:val="left"/>
        <w:rPr>
          <w:sz w:val="20"/>
          <w:szCs w:val="20"/>
        </w:rPr>
      </w:pPr>
      <w:r w:rsidRPr="00E51B1C">
        <w:rPr>
          <w:sz w:val="20"/>
          <w:szCs w:val="20"/>
        </w:rPr>
        <w:t>Adijāne 67095437</w:t>
      </w:r>
    </w:p>
    <w:p w14:paraId="4A6DB772" w14:textId="77777777" w:rsidR="00855994" w:rsidRPr="00E51B1C" w:rsidRDefault="00DF28C9" w:rsidP="00855994">
      <w:pPr>
        <w:pStyle w:val="BodyText"/>
        <w:jc w:val="left"/>
        <w:rPr>
          <w:sz w:val="20"/>
          <w:szCs w:val="20"/>
        </w:rPr>
      </w:pPr>
      <w:hyperlink r:id="rId9" w:history="1">
        <w:r w:rsidR="00855994" w:rsidRPr="00E51B1C">
          <w:rPr>
            <w:rStyle w:val="Hyperlink"/>
            <w:color w:val="auto"/>
            <w:sz w:val="20"/>
            <w:szCs w:val="20"/>
          </w:rPr>
          <w:t>zane.adijane@fm.gov.lv</w:t>
        </w:r>
      </w:hyperlink>
    </w:p>
    <w:p w14:paraId="6E236049" w14:textId="77777777" w:rsidR="00855994" w:rsidRPr="00E51B1C" w:rsidRDefault="00855994" w:rsidP="00855994">
      <w:pPr>
        <w:rPr>
          <w:lang w:eastAsia="en-US"/>
        </w:rPr>
      </w:pPr>
    </w:p>
    <w:p w14:paraId="54A3AF50" w14:textId="72B1FD4C" w:rsidR="002204E8" w:rsidRPr="00E51B1C" w:rsidRDefault="002204E8" w:rsidP="00855994">
      <w:pPr>
        <w:pStyle w:val="BodyText"/>
        <w:jc w:val="left"/>
        <w:rPr>
          <w:sz w:val="16"/>
          <w:szCs w:val="16"/>
        </w:rPr>
      </w:pPr>
    </w:p>
    <w:sectPr w:rsidR="002204E8" w:rsidRPr="00E51B1C" w:rsidSect="002D3E38">
      <w:headerReference w:type="default" r:id="rId10"/>
      <w:footerReference w:type="default" r:id="rId11"/>
      <w:footerReference w:type="first" r:id="rId12"/>
      <w:pgSz w:w="11906" w:h="16838"/>
      <w:pgMar w:top="993" w:right="1133"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8628A" w14:textId="77777777" w:rsidR="00757263" w:rsidRDefault="00757263" w:rsidP="009A7EE9">
      <w:r>
        <w:separator/>
      </w:r>
    </w:p>
  </w:endnote>
  <w:endnote w:type="continuationSeparator" w:id="0">
    <w:p w14:paraId="68512767" w14:textId="77777777" w:rsidR="00757263" w:rsidRDefault="00757263" w:rsidP="009A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altName w:val="Courier New"/>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58027" w14:textId="151B6FC9" w:rsidR="00320C6A" w:rsidRPr="00DE03E0" w:rsidRDefault="003F1B84" w:rsidP="009D6DC8">
    <w:pPr>
      <w:pStyle w:val="Footer"/>
      <w:rPr>
        <w:sz w:val="20"/>
        <w:szCs w:val="20"/>
      </w:rPr>
    </w:pPr>
    <w:r w:rsidRPr="000A747B">
      <w:rPr>
        <w:noProof/>
        <w:sz w:val="20"/>
        <w:szCs w:val="20"/>
      </w:rPr>
      <w:fldChar w:fldCharType="begin"/>
    </w:r>
    <w:r w:rsidRPr="000A747B">
      <w:rPr>
        <w:noProof/>
        <w:sz w:val="20"/>
        <w:szCs w:val="20"/>
      </w:rPr>
      <w:instrText xml:space="preserve"> FILENAME \* MERGEFORMAT </w:instrText>
    </w:r>
    <w:r w:rsidRPr="000A747B">
      <w:rPr>
        <w:noProof/>
        <w:sz w:val="20"/>
        <w:szCs w:val="20"/>
      </w:rPr>
      <w:fldChar w:fldCharType="separate"/>
    </w:r>
    <w:r w:rsidR="00931306" w:rsidRPr="000A747B">
      <w:rPr>
        <w:noProof/>
        <w:sz w:val="20"/>
        <w:szCs w:val="20"/>
      </w:rPr>
      <w:t>FMAnot_19</w:t>
    </w:r>
    <w:r w:rsidR="00064127" w:rsidRPr="000A747B">
      <w:rPr>
        <w:noProof/>
        <w:sz w:val="20"/>
        <w:szCs w:val="20"/>
      </w:rPr>
      <w:t>03</w:t>
    </w:r>
    <w:r w:rsidR="003C640B" w:rsidRPr="000A747B">
      <w:rPr>
        <w:noProof/>
        <w:sz w:val="20"/>
        <w:szCs w:val="20"/>
      </w:rPr>
      <w:t>21_LNG_paliel</w:t>
    </w:r>
    <w:r w:rsidRPr="000A747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9CCB2" w14:textId="0B2F6D13" w:rsidR="00DE03E0" w:rsidRDefault="00DE03E0">
    <w:pPr>
      <w:pStyle w:val="Footer"/>
    </w:pPr>
    <w:r w:rsidRPr="00DE03E0">
      <w:rPr>
        <w:noProof/>
        <w:sz w:val="20"/>
        <w:szCs w:val="20"/>
      </w:rPr>
      <w:fldChar w:fldCharType="begin"/>
    </w:r>
    <w:r w:rsidRPr="00DE03E0">
      <w:rPr>
        <w:noProof/>
        <w:sz w:val="20"/>
        <w:szCs w:val="20"/>
      </w:rPr>
      <w:instrText xml:space="preserve"> FILENAME \* MERGEFORMAT </w:instrText>
    </w:r>
    <w:r w:rsidRPr="00DE03E0">
      <w:rPr>
        <w:noProof/>
        <w:sz w:val="20"/>
        <w:szCs w:val="20"/>
      </w:rPr>
      <w:fldChar w:fldCharType="separate"/>
    </w:r>
    <w:r w:rsidR="00E541B2">
      <w:rPr>
        <w:noProof/>
        <w:sz w:val="20"/>
        <w:szCs w:val="20"/>
      </w:rPr>
      <w:t>FMAnot_1903</w:t>
    </w:r>
    <w:r w:rsidR="003C640B">
      <w:rPr>
        <w:noProof/>
        <w:sz w:val="20"/>
        <w:szCs w:val="20"/>
      </w:rPr>
      <w:t>21_LNG_paliel</w:t>
    </w:r>
    <w:r w:rsidRPr="00DE03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11BD7" w14:textId="77777777" w:rsidR="00757263" w:rsidRDefault="00757263" w:rsidP="009A7EE9">
      <w:r>
        <w:separator/>
      </w:r>
    </w:p>
  </w:footnote>
  <w:footnote w:type="continuationSeparator" w:id="0">
    <w:p w14:paraId="44CFFE61" w14:textId="77777777" w:rsidR="00757263" w:rsidRDefault="00757263" w:rsidP="009A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12465"/>
      <w:docPartObj>
        <w:docPartGallery w:val="Page Numbers (Top of Page)"/>
        <w:docPartUnique/>
      </w:docPartObj>
    </w:sdtPr>
    <w:sdtEndPr>
      <w:rPr>
        <w:noProof/>
      </w:rPr>
    </w:sdtEndPr>
    <w:sdtContent>
      <w:p w14:paraId="47A5915D" w14:textId="3AB5848C" w:rsidR="00320C6A" w:rsidRDefault="00320C6A">
        <w:pPr>
          <w:pStyle w:val="Header"/>
          <w:jc w:val="center"/>
        </w:pPr>
        <w:r>
          <w:fldChar w:fldCharType="begin"/>
        </w:r>
        <w:r>
          <w:instrText xml:space="preserve"> PAGE   \* MERGEFORMAT </w:instrText>
        </w:r>
        <w:r>
          <w:fldChar w:fldCharType="separate"/>
        </w:r>
        <w:r w:rsidR="00DF28C9">
          <w:rPr>
            <w:noProof/>
          </w:rPr>
          <w:t>5</w:t>
        </w:r>
        <w:r>
          <w:rPr>
            <w:noProof/>
          </w:rPr>
          <w:fldChar w:fldCharType="end"/>
        </w:r>
      </w:p>
    </w:sdtContent>
  </w:sdt>
  <w:p w14:paraId="35C688AF" w14:textId="77777777" w:rsidR="00320C6A" w:rsidRDefault="00320C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1" w15:restartNumberingAfterBreak="0">
    <w:nsid w:val="1AE16DC8"/>
    <w:multiLevelType w:val="hybridMultilevel"/>
    <w:tmpl w:val="9E2EF1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643C5C"/>
    <w:multiLevelType w:val="hybridMultilevel"/>
    <w:tmpl w:val="71D8D78C"/>
    <w:lvl w:ilvl="0" w:tplc="04260003">
      <w:start w:val="1"/>
      <w:numFmt w:val="bullet"/>
      <w:lvlText w:val="o"/>
      <w:lvlJc w:val="left"/>
      <w:pPr>
        <w:ind w:left="1434" w:hanging="360"/>
      </w:pPr>
      <w:rPr>
        <w:rFonts w:ascii="Courier New" w:hAnsi="Courier New" w:cs="Courier New" w:hint="default"/>
      </w:rPr>
    </w:lvl>
    <w:lvl w:ilvl="1" w:tplc="04260003">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3" w15:restartNumberingAfterBreak="1">
    <w:nsid w:val="2AA5344B"/>
    <w:multiLevelType w:val="hybridMultilevel"/>
    <w:tmpl w:val="CCDA5EEE"/>
    <w:lvl w:ilvl="0" w:tplc="FA1215CA">
      <w:start w:val="3"/>
      <w:numFmt w:val="bullet"/>
      <w:lvlText w:val="-"/>
      <w:lvlJc w:val="left"/>
      <w:pPr>
        <w:ind w:left="786" w:hanging="360"/>
      </w:pPr>
      <w:rPr>
        <w:rFonts w:ascii="Times New Roman" w:eastAsia="Times New Roman" w:hAnsi="Times New Roman" w:cs="Times New Roman" w:hint="default"/>
      </w:rPr>
    </w:lvl>
    <w:lvl w:ilvl="1" w:tplc="3D02CDE4" w:tentative="1">
      <w:start w:val="1"/>
      <w:numFmt w:val="bullet"/>
      <w:lvlText w:val="o"/>
      <w:lvlJc w:val="left"/>
      <w:pPr>
        <w:ind w:left="1506" w:hanging="360"/>
      </w:pPr>
      <w:rPr>
        <w:rFonts w:ascii="Courier New" w:hAnsi="Courier New" w:cs="Courier New" w:hint="default"/>
      </w:rPr>
    </w:lvl>
    <w:lvl w:ilvl="2" w:tplc="6254B974" w:tentative="1">
      <w:start w:val="1"/>
      <w:numFmt w:val="bullet"/>
      <w:lvlText w:val=""/>
      <w:lvlJc w:val="left"/>
      <w:pPr>
        <w:ind w:left="2226" w:hanging="360"/>
      </w:pPr>
      <w:rPr>
        <w:rFonts w:ascii="Wingdings" w:hAnsi="Wingdings" w:hint="default"/>
      </w:rPr>
    </w:lvl>
    <w:lvl w:ilvl="3" w:tplc="47C49A16" w:tentative="1">
      <w:start w:val="1"/>
      <w:numFmt w:val="bullet"/>
      <w:lvlText w:val=""/>
      <w:lvlJc w:val="left"/>
      <w:pPr>
        <w:ind w:left="2946" w:hanging="360"/>
      </w:pPr>
      <w:rPr>
        <w:rFonts w:ascii="Symbol" w:hAnsi="Symbol" w:hint="default"/>
      </w:rPr>
    </w:lvl>
    <w:lvl w:ilvl="4" w:tplc="D62AA4A4" w:tentative="1">
      <w:start w:val="1"/>
      <w:numFmt w:val="bullet"/>
      <w:lvlText w:val="o"/>
      <w:lvlJc w:val="left"/>
      <w:pPr>
        <w:ind w:left="3666" w:hanging="360"/>
      </w:pPr>
      <w:rPr>
        <w:rFonts w:ascii="Courier New" w:hAnsi="Courier New" w:cs="Courier New" w:hint="default"/>
      </w:rPr>
    </w:lvl>
    <w:lvl w:ilvl="5" w:tplc="CA3E5528" w:tentative="1">
      <w:start w:val="1"/>
      <w:numFmt w:val="bullet"/>
      <w:lvlText w:val=""/>
      <w:lvlJc w:val="left"/>
      <w:pPr>
        <w:ind w:left="4386" w:hanging="360"/>
      </w:pPr>
      <w:rPr>
        <w:rFonts w:ascii="Wingdings" w:hAnsi="Wingdings" w:hint="default"/>
      </w:rPr>
    </w:lvl>
    <w:lvl w:ilvl="6" w:tplc="44143DE2" w:tentative="1">
      <w:start w:val="1"/>
      <w:numFmt w:val="bullet"/>
      <w:lvlText w:val=""/>
      <w:lvlJc w:val="left"/>
      <w:pPr>
        <w:ind w:left="5106" w:hanging="360"/>
      </w:pPr>
      <w:rPr>
        <w:rFonts w:ascii="Symbol" w:hAnsi="Symbol" w:hint="default"/>
      </w:rPr>
    </w:lvl>
    <w:lvl w:ilvl="7" w:tplc="5D62D0F6" w:tentative="1">
      <w:start w:val="1"/>
      <w:numFmt w:val="bullet"/>
      <w:lvlText w:val="o"/>
      <w:lvlJc w:val="left"/>
      <w:pPr>
        <w:ind w:left="5826" w:hanging="360"/>
      </w:pPr>
      <w:rPr>
        <w:rFonts w:ascii="Courier New" w:hAnsi="Courier New" w:cs="Courier New" w:hint="default"/>
      </w:rPr>
    </w:lvl>
    <w:lvl w:ilvl="8" w:tplc="EDAEDB70" w:tentative="1">
      <w:start w:val="1"/>
      <w:numFmt w:val="bullet"/>
      <w:lvlText w:val=""/>
      <w:lvlJc w:val="left"/>
      <w:pPr>
        <w:ind w:left="6546" w:hanging="360"/>
      </w:pPr>
      <w:rPr>
        <w:rFonts w:ascii="Wingdings" w:hAnsi="Wingdings" w:hint="default"/>
      </w:rPr>
    </w:lvl>
  </w:abstractNum>
  <w:abstractNum w:abstractNumId="4" w15:restartNumberingAfterBreak="0">
    <w:nsid w:val="314B55F3"/>
    <w:multiLevelType w:val="hybridMultilevel"/>
    <w:tmpl w:val="4AB684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5" w15:restartNumberingAfterBreak="1">
    <w:nsid w:val="350E16AC"/>
    <w:multiLevelType w:val="hybridMultilevel"/>
    <w:tmpl w:val="4E706C82"/>
    <w:lvl w:ilvl="0" w:tplc="C92E9E3A">
      <w:start w:val="1"/>
      <w:numFmt w:val="decimal"/>
      <w:lvlText w:val="%1)"/>
      <w:lvlJc w:val="left"/>
      <w:pPr>
        <w:ind w:left="1080" w:hanging="360"/>
      </w:pPr>
      <w:rPr>
        <w:rFonts w:hint="default"/>
      </w:rPr>
    </w:lvl>
    <w:lvl w:ilvl="1" w:tplc="97C624EE" w:tentative="1">
      <w:start w:val="1"/>
      <w:numFmt w:val="lowerLetter"/>
      <w:lvlText w:val="%2."/>
      <w:lvlJc w:val="left"/>
      <w:pPr>
        <w:ind w:left="1800" w:hanging="360"/>
      </w:pPr>
    </w:lvl>
    <w:lvl w:ilvl="2" w:tplc="4A949F52" w:tentative="1">
      <w:start w:val="1"/>
      <w:numFmt w:val="lowerRoman"/>
      <w:lvlText w:val="%3."/>
      <w:lvlJc w:val="right"/>
      <w:pPr>
        <w:ind w:left="2520" w:hanging="180"/>
      </w:pPr>
    </w:lvl>
    <w:lvl w:ilvl="3" w:tplc="B7445C6E" w:tentative="1">
      <w:start w:val="1"/>
      <w:numFmt w:val="decimal"/>
      <w:lvlText w:val="%4."/>
      <w:lvlJc w:val="left"/>
      <w:pPr>
        <w:ind w:left="3240" w:hanging="360"/>
      </w:pPr>
    </w:lvl>
    <w:lvl w:ilvl="4" w:tplc="8206ADDC" w:tentative="1">
      <w:start w:val="1"/>
      <w:numFmt w:val="lowerLetter"/>
      <w:lvlText w:val="%5."/>
      <w:lvlJc w:val="left"/>
      <w:pPr>
        <w:ind w:left="3960" w:hanging="360"/>
      </w:pPr>
    </w:lvl>
    <w:lvl w:ilvl="5" w:tplc="5FD4C794" w:tentative="1">
      <w:start w:val="1"/>
      <w:numFmt w:val="lowerRoman"/>
      <w:lvlText w:val="%6."/>
      <w:lvlJc w:val="right"/>
      <w:pPr>
        <w:ind w:left="4680" w:hanging="180"/>
      </w:pPr>
    </w:lvl>
    <w:lvl w:ilvl="6" w:tplc="F77881F4" w:tentative="1">
      <w:start w:val="1"/>
      <w:numFmt w:val="decimal"/>
      <w:lvlText w:val="%7."/>
      <w:lvlJc w:val="left"/>
      <w:pPr>
        <w:ind w:left="5400" w:hanging="360"/>
      </w:pPr>
    </w:lvl>
    <w:lvl w:ilvl="7" w:tplc="D9E00FEC" w:tentative="1">
      <w:start w:val="1"/>
      <w:numFmt w:val="lowerLetter"/>
      <w:lvlText w:val="%8."/>
      <w:lvlJc w:val="left"/>
      <w:pPr>
        <w:ind w:left="6120" w:hanging="360"/>
      </w:pPr>
    </w:lvl>
    <w:lvl w:ilvl="8" w:tplc="2140E608" w:tentative="1">
      <w:start w:val="1"/>
      <w:numFmt w:val="lowerRoman"/>
      <w:lvlText w:val="%9."/>
      <w:lvlJc w:val="right"/>
      <w:pPr>
        <w:ind w:left="6840" w:hanging="180"/>
      </w:pPr>
    </w:lvl>
  </w:abstractNum>
  <w:abstractNum w:abstractNumId="6" w15:restartNumberingAfterBreak="0">
    <w:nsid w:val="3794730D"/>
    <w:multiLevelType w:val="hybridMultilevel"/>
    <w:tmpl w:val="FF646ABE"/>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7" w15:restartNumberingAfterBreak="0">
    <w:nsid w:val="44EE1B87"/>
    <w:multiLevelType w:val="multilevel"/>
    <w:tmpl w:val="85BCE7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0477225"/>
    <w:multiLevelType w:val="hybridMultilevel"/>
    <w:tmpl w:val="627C84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5A97986"/>
    <w:multiLevelType w:val="hybridMultilevel"/>
    <w:tmpl w:val="F480611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D3A3717"/>
    <w:multiLevelType w:val="hybridMultilevel"/>
    <w:tmpl w:val="4E9C23CE"/>
    <w:lvl w:ilvl="0" w:tplc="04260001">
      <w:start w:val="1"/>
      <w:numFmt w:val="bullet"/>
      <w:lvlText w:val=""/>
      <w:lvlJc w:val="left"/>
      <w:pPr>
        <w:ind w:left="1259" w:hanging="360"/>
      </w:pPr>
      <w:rPr>
        <w:rFonts w:ascii="Symbol" w:hAnsi="Symbol" w:hint="default"/>
      </w:rPr>
    </w:lvl>
    <w:lvl w:ilvl="1" w:tplc="04260003" w:tentative="1">
      <w:start w:val="1"/>
      <w:numFmt w:val="bullet"/>
      <w:lvlText w:val="o"/>
      <w:lvlJc w:val="left"/>
      <w:pPr>
        <w:ind w:left="1979" w:hanging="360"/>
      </w:pPr>
      <w:rPr>
        <w:rFonts w:ascii="Courier New" w:hAnsi="Courier New" w:cs="Courier New" w:hint="default"/>
      </w:rPr>
    </w:lvl>
    <w:lvl w:ilvl="2" w:tplc="04260005" w:tentative="1">
      <w:start w:val="1"/>
      <w:numFmt w:val="bullet"/>
      <w:lvlText w:val=""/>
      <w:lvlJc w:val="left"/>
      <w:pPr>
        <w:ind w:left="2699" w:hanging="360"/>
      </w:pPr>
      <w:rPr>
        <w:rFonts w:ascii="Wingdings" w:hAnsi="Wingdings" w:hint="default"/>
      </w:rPr>
    </w:lvl>
    <w:lvl w:ilvl="3" w:tplc="04260001" w:tentative="1">
      <w:start w:val="1"/>
      <w:numFmt w:val="bullet"/>
      <w:lvlText w:val=""/>
      <w:lvlJc w:val="left"/>
      <w:pPr>
        <w:ind w:left="3419" w:hanging="360"/>
      </w:pPr>
      <w:rPr>
        <w:rFonts w:ascii="Symbol" w:hAnsi="Symbol" w:hint="default"/>
      </w:rPr>
    </w:lvl>
    <w:lvl w:ilvl="4" w:tplc="04260003" w:tentative="1">
      <w:start w:val="1"/>
      <w:numFmt w:val="bullet"/>
      <w:lvlText w:val="o"/>
      <w:lvlJc w:val="left"/>
      <w:pPr>
        <w:ind w:left="4139" w:hanging="360"/>
      </w:pPr>
      <w:rPr>
        <w:rFonts w:ascii="Courier New" w:hAnsi="Courier New" w:cs="Courier New" w:hint="default"/>
      </w:rPr>
    </w:lvl>
    <w:lvl w:ilvl="5" w:tplc="04260005" w:tentative="1">
      <w:start w:val="1"/>
      <w:numFmt w:val="bullet"/>
      <w:lvlText w:val=""/>
      <w:lvlJc w:val="left"/>
      <w:pPr>
        <w:ind w:left="4859" w:hanging="360"/>
      </w:pPr>
      <w:rPr>
        <w:rFonts w:ascii="Wingdings" w:hAnsi="Wingdings" w:hint="default"/>
      </w:rPr>
    </w:lvl>
    <w:lvl w:ilvl="6" w:tplc="04260001" w:tentative="1">
      <w:start w:val="1"/>
      <w:numFmt w:val="bullet"/>
      <w:lvlText w:val=""/>
      <w:lvlJc w:val="left"/>
      <w:pPr>
        <w:ind w:left="5579" w:hanging="360"/>
      </w:pPr>
      <w:rPr>
        <w:rFonts w:ascii="Symbol" w:hAnsi="Symbol" w:hint="default"/>
      </w:rPr>
    </w:lvl>
    <w:lvl w:ilvl="7" w:tplc="04260003" w:tentative="1">
      <w:start w:val="1"/>
      <w:numFmt w:val="bullet"/>
      <w:lvlText w:val="o"/>
      <w:lvlJc w:val="left"/>
      <w:pPr>
        <w:ind w:left="6299" w:hanging="360"/>
      </w:pPr>
      <w:rPr>
        <w:rFonts w:ascii="Courier New" w:hAnsi="Courier New" w:cs="Courier New" w:hint="default"/>
      </w:rPr>
    </w:lvl>
    <w:lvl w:ilvl="8" w:tplc="04260005" w:tentative="1">
      <w:start w:val="1"/>
      <w:numFmt w:val="bullet"/>
      <w:lvlText w:val=""/>
      <w:lvlJc w:val="left"/>
      <w:pPr>
        <w:ind w:left="7019" w:hanging="360"/>
      </w:pPr>
      <w:rPr>
        <w:rFonts w:ascii="Wingdings" w:hAnsi="Wingdings" w:hint="default"/>
      </w:rPr>
    </w:lvl>
  </w:abstractNum>
  <w:abstractNum w:abstractNumId="11" w15:restartNumberingAfterBreak="1">
    <w:nsid w:val="6AE64DEE"/>
    <w:multiLevelType w:val="hybridMultilevel"/>
    <w:tmpl w:val="44888E1A"/>
    <w:lvl w:ilvl="0" w:tplc="C7D0EB22">
      <w:start w:val="1"/>
      <w:numFmt w:val="decimal"/>
      <w:lvlText w:val="%1."/>
      <w:lvlJc w:val="left"/>
      <w:pPr>
        <w:ind w:left="720" w:hanging="360"/>
      </w:pPr>
      <w:rPr>
        <w:rFonts w:hint="default"/>
      </w:rPr>
    </w:lvl>
    <w:lvl w:ilvl="1" w:tplc="031C890C" w:tentative="1">
      <w:start w:val="1"/>
      <w:numFmt w:val="lowerLetter"/>
      <w:lvlText w:val="%2."/>
      <w:lvlJc w:val="left"/>
      <w:pPr>
        <w:ind w:left="1440" w:hanging="360"/>
      </w:pPr>
    </w:lvl>
    <w:lvl w:ilvl="2" w:tplc="FD9CD9E0" w:tentative="1">
      <w:start w:val="1"/>
      <w:numFmt w:val="lowerRoman"/>
      <w:lvlText w:val="%3."/>
      <w:lvlJc w:val="right"/>
      <w:pPr>
        <w:ind w:left="2160" w:hanging="180"/>
      </w:pPr>
    </w:lvl>
    <w:lvl w:ilvl="3" w:tplc="06822826" w:tentative="1">
      <w:start w:val="1"/>
      <w:numFmt w:val="decimal"/>
      <w:lvlText w:val="%4."/>
      <w:lvlJc w:val="left"/>
      <w:pPr>
        <w:ind w:left="2880" w:hanging="360"/>
      </w:pPr>
    </w:lvl>
    <w:lvl w:ilvl="4" w:tplc="845AFF0E" w:tentative="1">
      <w:start w:val="1"/>
      <w:numFmt w:val="lowerLetter"/>
      <w:lvlText w:val="%5."/>
      <w:lvlJc w:val="left"/>
      <w:pPr>
        <w:ind w:left="3600" w:hanging="360"/>
      </w:pPr>
    </w:lvl>
    <w:lvl w:ilvl="5" w:tplc="5E8CA23A" w:tentative="1">
      <w:start w:val="1"/>
      <w:numFmt w:val="lowerRoman"/>
      <w:lvlText w:val="%6."/>
      <w:lvlJc w:val="right"/>
      <w:pPr>
        <w:ind w:left="4320" w:hanging="180"/>
      </w:pPr>
    </w:lvl>
    <w:lvl w:ilvl="6" w:tplc="0386A564" w:tentative="1">
      <w:start w:val="1"/>
      <w:numFmt w:val="decimal"/>
      <w:lvlText w:val="%7."/>
      <w:lvlJc w:val="left"/>
      <w:pPr>
        <w:ind w:left="5040" w:hanging="360"/>
      </w:pPr>
    </w:lvl>
    <w:lvl w:ilvl="7" w:tplc="63C4E4AE" w:tentative="1">
      <w:start w:val="1"/>
      <w:numFmt w:val="lowerLetter"/>
      <w:lvlText w:val="%8."/>
      <w:lvlJc w:val="left"/>
      <w:pPr>
        <w:ind w:left="5760" w:hanging="360"/>
      </w:pPr>
    </w:lvl>
    <w:lvl w:ilvl="8" w:tplc="91C80E4C" w:tentative="1">
      <w:start w:val="1"/>
      <w:numFmt w:val="lowerRoman"/>
      <w:lvlText w:val="%9."/>
      <w:lvlJc w:val="right"/>
      <w:pPr>
        <w:ind w:left="6480" w:hanging="180"/>
      </w:pPr>
    </w:lvl>
  </w:abstractNum>
  <w:abstractNum w:abstractNumId="12" w15:restartNumberingAfterBreak="0">
    <w:nsid w:val="6B501BD2"/>
    <w:multiLevelType w:val="hybridMultilevel"/>
    <w:tmpl w:val="EA8E0C5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C77699F"/>
    <w:multiLevelType w:val="hybridMultilevel"/>
    <w:tmpl w:val="9DE27EE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A7C3B16"/>
    <w:multiLevelType w:val="hybridMultilevel"/>
    <w:tmpl w:val="F9666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8"/>
  </w:num>
  <w:num w:numId="5">
    <w:abstractNumId w:val="9"/>
  </w:num>
  <w:num w:numId="6">
    <w:abstractNumId w:val="13"/>
  </w:num>
  <w:num w:numId="7">
    <w:abstractNumId w:val="7"/>
  </w:num>
  <w:num w:numId="8">
    <w:abstractNumId w:val="14"/>
  </w:num>
  <w:num w:numId="9">
    <w:abstractNumId w:val="12"/>
  </w:num>
  <w:num w:numId="10">
    <w:abstractNumId w:val="11"/>
  </w:num>
  <w:num w:numId="11">
    <w:abstractNumId w:val="5"/>
  </w:num>
  <w:num w:numId="12">
    <w:abstractNumId w:val="3"/>
  </w:num>
  <w:num w:numId="13">
    <w:abstractNumId w:val="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28"/>
    <w:rsid w:val="000044FA"/>
    <w:rsid w:val="00011587"/>
    <w:rsid w:val="00011820"/>
    <w:rsid w:val="00022246"/>
    <w:rsid w:val="0005038A"/>
    <w:rsid w:val="000512B4"/>
    <w:rsid w:val="00053D62"/>
    <w:rsid w:val="00056C2A"/>
    <w:rsid w:val="000614F5"/>
    <w:rsid w:val="00064127"/>
    <w:rsid w:val="00064F32"/>
    <w:rsid w:val="000766F8"/>
    <w:rsid w:val="000818D2"/>
    <w:rsid w:val="00085845"/>
    <w:rsid w:val="00086DC4"/>
    <w:rsid w:val="000916CE"/>
    <w:rsid w:val="000A6B9A"/>
    <w:rsid w:val="000A747B"/>
    <w:rsid w:val="000B194B"/>
    <w:rsid w:val="000B283D"/>
    <w:rsid w:val="000B2CA0"/>
    <w:rsid w:val="000C07B8"/>
    <w:rsid w:val="000C703D"/>
    <w:rsid w:val="000D0EFF"/>
    <w:rsid w:val="00110F94"/>
    <w:rsid w:val="00111617"/>
    <w:rsid w:val="0012264C"/>
    <w:rsid w:val="0013564A"/>
    <w:rsid w:val="001509E7"/>
    <w:rsid w:val="00152ECC"/>
    <w:rsid w:val="00156E18"/>
    <w:rsid w:val="001611E9"/>
    <w:rsid w:val="00162EB9"/>
    <w:rsid w:val="00170CFC"/>
    <w:rsid w:val="00171A81"/>
    <w:rsid w:val="001729A2"/>
    <w:rsid w:val="001779C5"/>
    <w:rsid w:val="00183027"/>
    <w:rsid w:val="0019469A"/>
    <w:rsid w:val="001A59F4"/>
    <w:rsid w:val="001B419D"/>
    <w:rsid w:val="001C0756"/>
    <w:rsid w:val="001C1669"/>
    <w:rsid w:val="001C59ED"/>
    <w:rsid w:val="001D0A1B"/>
    <w:rsid w:val="001E5EC1"/>
    <w:rsid w:val="001E6FCC"/>
    <w:rsid w:val="001F54D7"/>
    <w:rsid w:val="00202D39"/>
    <w:rsid w:val="0020584E"/>
    <w:rsid w:val="002128BD"/>
    <w:rsid w:val="002204E8"/>
    <w:rsid w:val="002363C2"/>
    <w:rsid w:val="00241FAF"/>
    <w:rsid w:val="00243679"/>
    <w:rsid w:val="002601C3"/>
    <w:rsid w:val="0026098D"/>
    <w:rsid w:val="00261740"/>
    <w:rsid w:val="0027336A"/>
    <w:rsid w:val="0028027D"/>
    <w:rsid w:val="002837F3"/>
    <w:rsid w:val="00283E0D"/>
    <w:rsid w:val="00285775"/>
    <w:rsid w:val="00292DE5"/>
    <w:rsid w:val="00295E0A"/>
    <w:rsid w:val="002A5180"/>
    <w:rsid w:val="002B19A5"/>
    <w:rsid w:val="002B3D2F"/>
    <w:rsid w:val="002B5EE7"/>
    <w:rsid w:val="002C2C90"/>
    <w:rsid w:val="002C3DC9"/>
    <w:rsid w:val="002D34CC"/>
    <w:rsid w:val="002D3E38"/>
    <w:rsid w:val="002F5428"/>
    <w:rsid w:val="00301CBB"/>
    <w:rsid w:val="00304F3B"/>
    <w:rsid w:val="003145BF"/>
    <w:rsid w:val="00320C6A"/>
    <w:rsid w:val="0032120D"/>
    <w:rsid w:val="0032647A"/>
    <w:rsid w:val="00334364"/>
    <w:rsid w:val="00335619"/>
    <w:rsid w:val="00337FFB"/>
    <w:rsid w:val="00352431"/>
    <w:rsid w:val="00355827"/>
    <w:rsid w:val="00363F9A"/>
    <w:rsid w:val="00370F44"/>
    <w:rsid w:val="00372421"/>
    <w:rsid w:val="003735E2"/>
    <w:rsid w:val="003B60B8"/>
    <w:rsid w:val="003B7398"/>
    <w:rsid w:val="003C21F6"/>
    <w:rsid w:val="003C640B"/>
    <w:rsid w:val="003C6B91"/>
    <w:rsid w:val="003C6F6D"/>
    <w:rsid w:val="003D6BD2"/>
    <w:rsid w:val="003E3E05"/>
    <w:rsid w:val="003F10D1"/>
    <w:rsid w:val="003F1B84"/>
    <w:rsid w:val="003F4BF1"/>
    <w:rsid w:val="00407869"/>
    <w:rsid w:val="0041610B"/>
    <w:rsid w:val="004170B3"/>
    <w:rsid w:val="00422AFA"/>
    <w:rsid w:val="004422AA"/>
    <w:rsid w:val="00453528"/>
    <w:rsid w:val="00455577"/>
    <w:rsid w:val="00462C12"/>
    <w:rsid w:val="00465143"/>
    <w:rsid w:val="0047084C"/>
    <w:rsid w:val="0047291F"/>
    <w:rsid w:val="00474ED8"/>
    <w:rsid w:val="00480A1B"/>
    <w:rsid w:val="00482307"/>
    <w:rsid w:val="004876F3"/>
    <w:rsid w:val="00493060"/>
    <w:rsid w:val="004A456A"/>
    <w:rsid w:val="004A5A78"/>
    <w:rsid w:val="004A7D0E"/>
    <w:rsid w:val="004B0522"/>
    <w:rsid w:val="004B10FE"/>
    <w:rsid w:val="004B1DB8"/>
    <w:rsid w:val="004B4E72"/>
    <w:rsid w:val="004C4D7F"/>
    <w:rsid w:val="004D1D9A"/>
    <w:rsid w:val="004D5A33"/>
    <w:rsid w:val="004F70B8"/>
    <w:rsid w:val="00514A88"/>
    <w:rsid w:val="005222BD"/>
    <w:rsid w:val="00524414"/>
    <w:rsid w:val="00524926"/>
    <w:rsid w:val="00526FF2"/>
    <w:rsid w:val="005331D5"/>
    <w:rsid w:val="0053409A"/>
    <w:rsid w:val="00541FFA"/>
    <w:rsid w:val="00542B98"/>
    <w:rsid w:val="005437C3"/>
    <w:rsid w:val="00545A7B"/>
    <w:rsid w:val="00567B73"/>
    <w:rsid w:val="00567C3A"/>
    <w:rsid w:val="005717CC"/>
    <w:rsid w:val="00577379"/>
    <w:rsid w:val="005802FC"/>
    <w:rsid w:val="00580CBE"/>
    <w:rsid w:val="00583D19"/>
    <w:rsid w:val="005A0D60"/>
    <w:rsid w:val="005B0615"/>
    <w:rsid w:val="005B6140"/>
    <w:rsid w:val="005B6735"/>
    <w:rsid w:val="005B7346"/>
    <w:rsid w:val="005C5BDA"/>
    <w:rsid w:val="005D0284"/>
    <w:rsid w:val="005D20D4"/>
    <w:rsid w:val="005D2988"/>
    <w:rsid w:val="005D489A"/>
    <w:rsid w:val="005D7B3B"/>
    <w:rsid w:val="005E0012"/>
    <w:rsid w:val="005E37B5"/>
    <w:rsid w:val="005E435A"/>
    <w:rsid w:val="005E6150"/>
    <w:rsid w:val="005F2EA5"/>
    <w:rsid w:val="00603455"/>
    <w:rsid w:val="00611862"/>
    <w:rsid w:val="00627C09"/>
    <w:rsid w:val="00630442"/>
    <w:rsid w:val="006312E3"/>
    <w:rsid w:val="00632159"/>
    <w:rsid w:val="006356DD"/>
    <w:rsid w:val="006400F2"/>
    <w:rsid w:val="00641D60"/>
    <w:rsid w:val="0064210E"/>
    <w:rsid w:val="006423EF"/>
    <w:rsid w:val="00645290"/>
    <w:rsid w:val="00646927"/>
    <w:rsid w:val="00652E48"/>
    <w:rsid w:val="00664DE2"/>
    <w:rsid w:val="00666039"/>
    <w:rsid w:val="00684B77"/>
    <w:rsid w:val="006A556C"/>
    <w:rsid w:val="006B05E0"/>
    <w:rsid w:val="006B2CD9"/>
    <w:rsid w:val="006B3BBA"/>
    <w:rsid w:val="006B63D2"/>
    <w:rsid w:val="006D0C0B"/>
    <w:rsid w:val="006D245F"/>
    <w:rsid w:val="006F2B5A"/>
    <w:rsid w:val="006F4715"/>
    <w:rsid w:val="0070316C"/>
    <w:rsid w:val="00705A8F"/>
    <w:rsid w:val="0071285B"/>
    <w:rsid w:val="00725640"/>
    <w:rsid w:val="007275D7"/>
    <w:rsid w:val="007338E3"/>
    <w:rsid w:val="0074000A"/>
    <w:rsid w:val="0074116B"/>
    <w:rsid w:val="007505C3"/>
    <w:rsid w:val="00750D82"/>
    <w:rsid w:val="00751999"/>
    <w:rsid w:val="00754E7D"/>
    <w:rsid w:val="00757263"/>
    <w:rsid w:val="0076081E"/>
    <w:rsid w:val="00763F04"/>
    <w:rsid w:val="0076428F"/>
    <w:rsid w:val="00764807"/>
    <w:rsid w:val="007733C9"/>
    <w:rsid w:val="00774BDB"/>
    <w:rsid w:val="00777791"/>
    <w:rsid w:val="00790DC9"/>
    <w:rsid w:val="00793B6F"/>
    <w:rsid w:val="007B6C93"/>
    <w:rsid w:val="007B77E2"/>
    <w:rsid w:val="007C0493"/>
    <w:rsid w:val="007C300C"/>
    <w:rsid w:val="007C4626"/>
    <w:rsid w:val="007D1247"/>
    <w:rsid w:val="007D3E6E"/>
    <w:rsid w:val="007D63FB"/>
    <w:rsid w:val="007D693E"/>
    <w:rsid w:val="007D7AC1"/>
    <w:rsid w:val="007E0FA9"/>
    <w:rsid w:val="007E157D"/>
    <w:rsid w:val="007E492A"/>
    <w:rsid w:val="007F03B3"/>
    <w:rsid w:val="007F18B8"/>
    <w:rsid w:val="007F2D04"/>
    <w:rsid w:val="00811EAA"/>
    <w:rsid w:val="00811F34"/>
    <w:rsid w:val="00814BB4"/>
    <w:rsid w:val="008278B4"/>
    <w:rsid w:val="008322A7"/>
    <w:rsid w:val="008336C8"/>
    <w:rsid w:val="008412CC"/>
    <w:rsid w:val="00853AC5"/>
    <w:rsid w:val="00855737"/>
    <w:rsid w:val="00855994"/>
    <w:rsid w:val="00857FA9"/>
    <w:rsid w:val="0086037C"/>
    <w:rsid w:val="00860930"/>
    <w:rsid w:val="00864EB1"/>
    <w:rsid w:val="00870008"/>
    <w:rsid w:val="00871282"/>
    <w:rsid w:val="00875E3E"/>
    <w:rsid w:val="00895C1A"/>
    <w:rsid w:val="008969F2"/>
    <w:rsid w:val="008970B4"/>
    <w:rsid w:val="008A5638"/>
    <w:rsid w:val="008B46B2"/>
    <w:rsid w:val="008C0091"/>
    <w:rsid w:val="008C4C8E"/>
    <w:rsid w:val="008C54BF"/>
    <w:rsid w:val="008E0870"/>
    <w:rsid w:val="008E3C19"/>
    <w:rsid w:val="008E5B7C"/>
    <w:rsid w:val="008F6918"/>
    <w:rsid w:val="00905312"/>
    <w:rsid w:val="0091691A"/>
    <w:rsid w:val="009226DC"/>
    <w:rsid w:val="009228D2"/>
    <w:rsid w:val="00923946"/>
    <w:rsid w:val="00927A17"/>
    <w:rsid w:val="00930BF9"/>
    <w:rsid w:val="00931306"/>
    <w:rsid w:val="00932481"/>
    <w:rsid w:val="00932B24"/>
    <w:rsid w:val="009343F4"/>
    <w:rsid w:val="009430A2"/>
    <w:rsid w:val="00944529"/>
    <w:rsid w:val="00945363"/>
    <w:rsid w:val="009557C6"/>
    <w:rsid w:val="00962079"/>
    <w:rsid w:val="009757FD"/>
    <w:rsid w:val="00977221"/>
    <w:rsid w:val="00982034"/>
    <w:rsid w:val="009873B8"/>
    <w:rsid w:val="0099499C"/>
    <w:rsid w:val="009A18FB"/>
    <w:rsid w:val="009A48FE"/>
    <w:rsid w:val="009A4A62"/>
    <w:rsid w:val="009A6628"/>
    <w:rsid w:val="009A6715"/>
    <w:rsid w:val="009A7EE9"/>
    <w:rsid w:val="009C6D89"/>
    <w:rsid w:val="009C7442"/>
    <w:rsid w:val="009C7F21"/>
    <w:rsid w:val="009D1F15"/>
    <w:rsid w:val="009D36DE"/>
    <w:rsid w:val="009D6DC8"/>
    <w:rsid w:val="009E28C2"/>
    <w:rsid w:val="009E5A67"/>
    <w:rsid w:val="009E79D8"/>
    <w:rsid w:val="009F065F"/>
    <w:rsid w:val="00A0018F"/>
    <w:rsid w:val="00A02827"/>
    <w:rsid w:val="00A11E5A"/>
    <w:rsid w:val="00A12EFD"/>
    <w:rsid w:val="00A23985"/>
    <w:rsid w:val="00A26A03"/>
    <w:rsid w:val="00A310DC"/>
    <w:rsid w:val="00A37ADF"/>
    <w:rsid w:val="00A511BA"/>
    <w:rsid w:val="00A77EDA"/>
    <w:rsid w:val="00A80940"/>
    <w:rsid w:val="00A8127B"/>
    <w:rsid w:val="00A85919"/>
    <w:rsid w:val="00A914D2"/>
    <w:rsid w:val="00A93CF7"/>
    <w:rsid w:val="00A95439"/>
    <w:rsid w:val="00A97367"/>
    <w:rsid w:val="00AA1528"/>
    <w:rsid w:val="00AA4A17"/>
    <w:rsid w:val="00AA5033"/>
    <w:rsid w:val="00AA5380"/>
    <w:rsid w:val="00AB45E9"/>
    <w:rsid w:val="00AB7DDF"/>
    <w:rsid w:val="00AC14B6"/>
    <w:rsid w:val="00AC1A2E"/>
    <w:rsid w:val="00AC7C0E"/>
    <w:rsid w:val="00AD2335"/>
    <w:rsid w:val="00AD3761"/>
    <w:rsid w:val="00AD6E8B"/>
    <w:rsid w:val="00AE3275"/>
    <w:rsid w:val="00AE7DAC"/>
    <w:rsid w:val="00B03683"/>
    <w:rsid w:val="00B05D95"/>
    <w:rsid w:val="00B10BE3"/>
    <w:rsid w:val="00B110C3"/>
    <w:rsid w:val="00B14C2E"/>
    <w:rsid w:val="00B14E12"/>
    <w:rsid w:val="00B17BAC"/>
    <w:rsid w:val="00B23755"/>
    <w:rsid w:val="00B2761E"/>
    <w:rsid w:val="00B2791A"/>
    <w:rsid w:val="00B344E5"/>
    <w:rsid w:val="00B3568E"/>
    <w:rsid w:val="00B37017"/>
    <w:rsid w:val="00B445C1"/>
    <w:rsid w:val="00B46147"/>
    <w:rsid w:val="00B4749B"/>
    <w:rsid w:val="00B47C59"/>
    <w:rsid w:val="00B51A71"/>
    <w:rsid w:val="00B61A29"/>
    <w:rsid w:val="00B63C4C"/>
    <w:rsid w:val="00B64477"/>
    <w:rsid w:val="00B672D4"/>
    <w:rsid w:val="00B71A99"/>
    <w:rsid w:val="00B7663C"/>
    <w:rsid w:val="00B87172"/>
    <w:rsid w:val="00B87AF4"/>
    <w:rsid w:val="00B92025"/>
    <w:rsid w:val="00B92B2D"/>
    <w:rsid w:val="00B946E5"/>
    <w:rsid w:val="00BA091C"/>
    <w:rsid w:val="00BA10D2"/>
    <w:rsid w:val="00BA1CB4"/>
    <w:rsid w:val="00BA4D20"/>
    <w:rsid w:val="00BA7526"/>
    <w:rsid w:val="00BB2AB5"/>
    <w:rsid w:val="00BC3853"/>
    <w:rsid w:val="00BD2338"/>
    <w:rsid w:val="00BD30E4"/>
    <w:rsid w:val="00BD4180"/>
    <w:rsid w:val="00BD60E0"/>
    <w:rsid w:val="00BD7B24"/>
    <w:rsid w:val="00BE541C"/>
    <w:rsid w:val="00BE79DA"/>
    <w:rsid w:val="00BF0C19"/>
    <w:rsid w:val="00BF18C9"/>
    <w:rsid w:val="00BF53A5"/>
    <w:rsid w:val="00BF7635"/>
    <w:rsid w:val="00C13638"/>
    <w:rsid w:val="00C142F2"/>
    <w:rsid w:val="00C215F1"/>
    <w:rsid w:val="00C24A34"/>
    <w:rsid w:val="00C335C5"/>
    <w:rsid w:val="00C40894"/>
    <w:rsid w:val="00C41B93"/>
    <w:rsid w:val="00C41E55"/>
    <w:rsid w:val="00C437F7"/>
    <w:rsid w:val="00C44880"/>
    <w:rsid w:val="00C57036"/>
    <w:rsid w:val="00C608C1"/>
    <w:rsid w:val="00C621A0"/>
    <w:rsid w:val="00C63854"/>
    <w:rsid w:val="00C64112"/>
    <w:rsid w:val="00C656FF"/>
    <w:rsid w:val="00C66B75"/>
    <w:rsid w:val="00C73478"/>
    <w:rsid w:val="00C83E6A"/>
    <w:rsid w:val="00C8713F"/>
    <w:rsid w:val="00C94740"/>
    <w:rsid w:val="00CA173D"/>
    <w:rsid w:val="00CA5951"/>
    <w:rsid w:val="00CB2E04"/>
    <w:rsid w:val="00CC1E07"/>
    <w:rsid w:val="00CC3A0B"/>
    <w:rsid w:val="00CC644C"/>
    <w:rsid w:val="00CD4261"/>
    <w:rsid w:val="00CF1350"/>
    <w:rsid w:val="00CF2F7B"/>
    <w:rsid w:val="00D0076B"/>
    <w:rsid w:val="00D06149"/>
    <w:rsid w:val="00D25421"/>
    <w:rsid w:val="00D309B0"/>
    <w:rsid w:val="00D312A6"/>
    <w:rsid w:val="00D31F38"/>
    <w:rsid w:val="00D401D7"/>
    <w:rsid w:val="00D4035B"/>
    <w:rsid w:val="00D43AB3"/>
    <w:rsid w:val="00D43BF7"/>
    <w:rsid w:val="00D444BA"/>
    <w:rsid w:val="00D4566C"/>
    <w:rsid w:val="00D54B2D"/>
    <w:rsid w:val="00D6079A"/>
    <w:rsid w:val="00D81DFB"/>
    <w:rsid w:val="00D82EC1"/>
    <w:rsid w:val="00D84D37"/>
    <w:rsid w:val="00D942D9"/>
    <w:rsid w:val="00D94EC3"/>
    <w:rsid w:val="00D97850"/>
    <w:rsid w:val="00DA451A"/>
    <w:rsid w:val="00DB1865"/>
    <w:rsid w:val="00DB37C4"/>
    <w:rsid w:val="00DB5A7F"/>
    <w:rsid w:val="00DB7B48"/>
    <w:rsid w:val="00DC37EA"/>
    <w:rsid w:val="00DC735E"/>
    <w:rsid w:val="00DE03E0"/>
    <w:rsid w:val="00DE1003"/>
    <w:rsid w:val="00DE3336"/>
    <w:rsid w:val="00DE6271"/>
    <w:rsid w:val="00DF28C9"/>
    <w:rsid w:val="00E10C35"/>
    <w:rsid w:val="00E16501"/>
    <w:rsid w:val="00E218B9"/>
    <w:rsid w:val="00E315C4"/>
    <w:rsid w:val="00E366AD"/>
    <w:rsid w:val="00E37079"/>
    <w:rsid w:val="00E458CF"/>
    <w:rsid w:val="00E47E33"/>
    <w:rsid w:val="00E50E39"/>
    <w:rsid w:val="00E51B1C"/>
    <w:rsid w:val="00E520D2"/>
    <w:rsid w:val="00E541B2"/>
    <w:rsid w:val="00E62CCC"/>
    <w:rsid w:val="00E80AF0"/>
    <w:rsid w:val="00E8499A"/>
    <w:rsid w:val="00E84D39"/>
    <w:rsid w:val="00E8717E"/>
    <w:rsid w:val="00EA6C2F"/>
    <w:rsid w:val="00EC0660"/>
    <w:rsid w:val="00EC0BAD"/>
    <w:rsid w:val="00EC1154"/>
    <w:rsid w:val="00EC5F63"/>
    <w:rsid w:val="00EC6633"/>
    <w:rsid w:val="00ED59B9"/>
    <w:rsid w:val="00EE3ADF"/>
    <w:rsid w:val="00EE4FC4"/>
    <w:rsid w:val="00EF79BA"/>
    <w:rsid w:val="00F0696A"/>
    <w:rsid w:val="00F14DB0"/>
    <w:rsid w:val="00F14F02"/>
    <w:rsid w:val="00F154FE"/>
    <w:rsid w:val="00F203DB"/>
    <w:rsid w:val="00F21AC1"/>
    <w:rsid w:val="00F2550C"/>
    <w:rsid w:val="00F32B28"/>
    <w:rsid w:val="00F405EC"/>
    <w:rsid w:val="00F45250"/>
    <w:rsid w:val="00F51A98"/>
    <w:rsid w:val="00F529F2"/>
    <w:rsid w:val="00F710D3"/>
    <w:rsid w:val="00F920C2"/>
    <w:rsid w:val="00F95876"/>
    <w:rsid w:val="00FA0AC6"/>
    <w:rsid w:val="00FA1F6A"/>
    <w:rsid w:val="00FA753E"/>
    <w:rsid w:val="00FB563F"/>
    <w:rsid w:val="00FC314C"/>
    <w:rsid w:val="00FC53ED"/>
    <w:rsid w:val="00FC73BD"/>
    <w:rsid w:val="00FD4884"/>
    <w:rsid w:val="00FE6A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B454"/>
  <w15:chartTrackingRefBased/>
  <w15:docId w15:val="{A946C429-3305-472F-9C79-4996D4DE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2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semiHidden/>
    <w:unhideWhenUsed/>
    <w:qFormat/>
    <w:rsid w:val="009D36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A7E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B28"/>
    <w:pPr>
      <w:tabs>
        <w:tab w:val="center" w:pos="4153"/>
        <w:tab w:val="right" w:pos="8306"/>
      </w:tabs>
    </w:pPr>
  </w:style>
  <w:style w:type="character" w:customStyle="1" w:styleId="FooterChar">
    <w:name w:val="Footer Char"/>
    <w:basedOn w:val="DefaultParagraphFont"/>
    <w:link w:val="Footer"/>
    <w:rsid w:val="00F32B28"/>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32B28"/>
    <w:pPr>
      <w:ind w:left="720"/>
      <w:contextualSpacing/>
    </w:pPr>
  </w:style>
  <w:style w:type="paragraph" w:styleId="Header">
    <w:name w:val="header"/>
    <w:basedOn w:val="Normal"/>
    <w:link w:val="HeaderChar"/>
    <w:uiPriority w:val="99"/>
    <w:unhideWhenUsed/>
    <w:rsid w:val="009A7EE9"/>
    <w:pPr>
      <w:tabs>
        <w:tab w:val="center" w:pos="4153"/>
        <w:tab w:val="right" w:pos="8306"/>
      </w:tabs>
    </w:pPr>
  </w:style>
  <w:style w:type="character" w:customStyle="1" w:styleId="HeaderChar">
    <w:name w:val="Header Char"/>
    <w:basedOn w:val="DefaultParagraphFont"/>
    <w:link w:val="Header"/>
    <w:uiPriority w:val="99"/>
    <w:rsid w:val="009A7EE9"/>
    <w:rPr>
      <w:rFonts w:ascii="Times New Roman" w:eastAsia="Times New Roman" w:hAnsi="Times New Roman" w:cs="Times New Roman"/>
      <w:sz w:val="24"/>
      <w:szCs w:val="24"/>
      <w:lang w:eastAsia="lv-LV"/>
    </w:rPr>
  </w:style>
  <w:style w:type="paragraph" w:customStyle="1" w:styleId="naisf">
    <w:name w:val="naisf"/>
    <w:basedOn w:val="Normal"/>
    <w:rsid w:val="009A7EE9"/>
    <w:pPr>
      <w:spacing w:before="100" w:beforeAutospacing="1" w:after="100" w:afterAutospacing="1"/>
    </w:pPr>
  </w:style>
  <w:style w:type="paragraph" w:customStyle="1" w:styleId="naisnod">
    <w:name w:val="naisnod"/>
    <w:basedOn w:val="Normal"/>
    <w:rsid w:val="009A7EE9"/>
    <w:pPr>
      <w:spacing w:before="100" w:beforeAutospacing="1" w:after="100" w:afterAutospacing="1"/>
    </w:pPr>
  </w:style>
  <w:style w:type="character" w:customStyle="1" w:styleId="Heading3Char">
    <w:name w:val="Heading 3 Char"/>
    <w:basedOn w:val="DefaultParagraphFont"/>
    <w:link w:val="Heading3"/>
    <w:uiPriority w:val="9"/>
    <w:rsid w:val="009A7EE9"/>
    <w:rPr>
      <w:rFonts w:ascii="Times New Roman" w:eastAsia="Times New Roman" w:hAnsi="Times New Roman" w:cs="Times New Roman"/>
      <w:b/>
      <w:bCs/>
      <w:sz w:val="27"/>
      <w:szCs w:val="27"/>
      <w:lang w:eastAsia="lv-LV"/>
    </w:rPr>
  </w:style>
  <w:style w:type="paragraph" w:customStyle="1" w:styleId="naiskr">
    <w:name w:val="naiskr"/>
    <w:basedOn w:val="Normal"/>
    <w:rsid w:val="009A7EE9"/>
    <w:pPr>
      <w:spacing w:before="100" w:beforeAutospacing="1" w:after="100" w:afterAutospacing="1"/>
    </w:pPr>
  </w:style>
  <w:style w:type="paragraph" w:styleId="BodyText">
    <w:name w:val="Body Text"/>
    <w:basedOn w:val="Normal"/>
    <w:link w:val="BodyTextChar"/>
    <w:rsid w:val="009A7EE9"/>
    <w:pPr>
      <w:jc w:val="center"/>
    </w:pPr>
    <w:rPr>
      <w:sz w:val="28"/>
      <w:lang w:eastAsia="en-US"/>
    </w:rPr>
  </w:style>
  <w:style w:type="character" w:customStyle="1" w:styleId="BodyTextChar">
    <w:name w:val="Body Text Char"/>
    <w:basedOn w:val="DefaultParagraphFont"/>
    <w:link w:val="BodyText"/>
    <w:rsid w:val="009A7EE9"/>
    <w:rPr>
      <w:rFonts w:ascii="Times New Roman" w:eastAsia="Times New Roman" w:hAnsi="Times New Roman" w:cs="Times New Roman"/>
      <w:sz w:val="28"/>
      <w:szCs w:val="24"/>
    </w:rPr>
  </w:style>
  <w:style w:type="character" w:styleId="Hyperlink">
    <w:name w:val="Hyperlink"/>
    <w:rsid w:val="000C703D"/>
    <w:rPr>
      <w:color w:val="0000FF"/>
      <w:u w:val="single"/>
    </w:rPr>
  </w:style>
  <w:style w:type="paragraph" w:styleId="BalloonText">
    <w:name w:val="Balloon Text"/>
    <w:basedOn w:val="Normal"/>
    <w:link w:val="BalloonTextChar"/>
    <w:uiPriority w:val="99"/>
    <w:semiHidden/>
    <w:unhideWhenUsed/>
    <w:rsid w:val="00B6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29"/>
    <w:rPr>
      <w:rFonts w:ascii="Segoe UI" w:eastAsia="Times New Roman" w:hAnsi="Segoe UI" w:cs="Segoe UI"/>
      <w:sz w:val="18"/>
      <w:szCs w:val="18"/>
      <w:lang w:eastAsia="lv-LV"/>
    </w:rPr>
  </w:style>
  <w:style w:type="character" w:customStyle="1" w:styleId="Heading2Char">
    <w:name w:val="Heading 2 Char"/>
    <w:basedOn w:val="DefaultParagraphFont"/>
    <w:link w:val="Heading2"/>
    <w:uiPriority w:val="9"/>
    <w:semiHidden/>
    <w:rsid w:val="009D36DE"/>
    <w:rPr>
      <w:rFonts w:asciiTheme="majorHAnsi" w:eastAsiaTheme="majorEastAsia" w:hAnsiTheme="majorHAnsi" w:cstheme="majorBidi"/>
      <w:color w:val="2E74B5" w:themeColor="accent1" w:themeShade="BF"/>
      <w:sz w:val="26"/>
      <w:szCs w:val="26"/>
      <w:lang w:eastAsia="lv-LV"/>
    </w:rPr>
  </w:style>
  <w:style w:type="paragraph" w:styleId="NoSpacing">
    <w:name w:val="No Spacing"/>
    <w:uiPriority w:val="1"/>
    <w:qFormat/>
    <w:rsid w:val="009D36DE"/>
    <w:pPr>
      <w:suppressAutoHyphens/>
      <w:autoSpaceDN w:val="0"/>
      <w:spacing w:after="0" w:line="240" w:lineRule="auto"/>
      <w:textAlignment w:val="baseline"/>
    </w:pPr>
    <w:rPr>
      <w:rFonts w:ascii="Calibri" w:eastAsia="Calibri" w:hAnsi="Calibri" w:cs="Times New Roman"/>
    </w:rPr>
  </w:style>
  <w:style w:type="table" w:styleId="TableGridLight">
    <w:name w:val="Grid Table Light"/>
    <w:basedOn w:val="TableNormal"/>
    <w:uiPriority w:val="40"/>
    <w:rsid w:val="003524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64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930"/>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A26A03"/>
    <w:rPr>
      <w:sz w:val="16"/>
      <w:szCs w:val="16"/>
    </w:rPr>
  </w:style>
  <w:style w:type="paragraph" w:styleId="CommentText">
    <w:name w:val="annotation text"/>
    <w:basedOn w:val="Normal"/>
    <w:link w:val="CommentTextChar"/>
    <w:uiPriority w:val="99"/>
    <w:semiHidden/>
    <w:unhideWhenUsed/>
    <w:rsid w:val="00A26A03"/>
    <w:rPr>
      <w:sz w:val="20"/>
      <w:szCs w:val="20"/>
    </w:rPr>
  </w:style>
  <w:style w:type="character" w:customStyle="1" w:styleId="CommentTextChar">
    <w:name w:val="Comment Text Char"/>
    <w:basedOn w:val="DefaultParagraphFont"/>
    <w:link w:val="CommentText"/>
    <w:uiPriority w:val="99"/>
    <w:semiHidden/>
    <w:rsid w:val="00A26A03"/>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26A03"/>
    <w:rPr>
      <w:b/>
      <w:bCs/>
    </w:rPr>
  </w:style>
  <w:style w:type="character" w:customStyle="1" w:styleId="CommentSubjectChar">
    <w:name w:val="Comment Subject Char"/>
    <w:basedOn w:val="CommentTextChar"/>
    <w:link w:val="CommentSubject"/>
    <w:uiPriority w:val="99"/>
    <w:semiHidden/>
    <w:rsid w:val="00A26A03"/>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3495">
      <w:bodyDiv w:val="1"/>
      <w:marLeft w:val="0"/>
      <w:marRight w:val="0"/>
      <w:marTop w:val="0"/>
      <w:marBottom w:val="0"/>
      <w:divBdr>
        <w:top w:val="none" w:sz="0" w:space="0" w:color="auto"/>
        <w:left w:val="none" w:sz="0" w:space="0" w:color="auto"/>
        <w:bottom w:val="none" w:sz="0" w:space="0" w:color="auto"/>
        <w:right w:val="none" w:sz="0" w:space="0" w:color="auto"/>
      </w:divBdr>
    </w:div>
    <w:div w:id="280386031">
      <w:bodyDiv w:val="1"/>
      <w:marLeft w:val="0"/>
      <w:marRight w:val="0"/>
      <w:marTop w:val="0"/>
      <w:marBottom w:val="0"/>
      <w:divBdr>
        <w:top w:val="none" w:sz="0" w:space="0" w:color="auto"/>
        <w:left w:val="none" w:sz="0" w:space="0" w:color="auto"/>
        <w:bottom w:val="none" w:sz="0" w:space="0" w:color="auto"/>
        <w:right w:val="none" w:sz="0" w:space="0" w:color="auto"/>
      </w:divBdr>
    </w:div>
    <w:div w:id="679309524">
      <w:bodyDiv w:val="1"/>
      <w:marLeft w:val="0"/>
      <w:marRight w:val="0"/>
      <w:marTop w:val="0"/>
      <w:marBottom w:val="0"/>
      <w:divBdr>
        <w:top w:val="none" w:sz="0" w:space="0" w:color="auto"/>
        <w:left w:val="none" w:sz="0" w:space="0" w:color="auto"/>
        <w:bottom w:val="none" w:sz="0" w:space="0" w:color="auto"/>
        <w:right w:val="none" w:sz="0" w:space="0" w:color="auto"/>
      </w:divBdr>
    </w:div>
    <w:div w:id="780030038">
      <w:bodyDiv w:val="1"/>
      <w:marLeft w:val="0"/>
      <w:marRight w:val="0"/>
      <w:marTop w:val="0"/>
      <w:marBottom w:val="0"/>
      <w:divBdr>
        <w:top w:val="none" w:sz="0" w:space="0" w:color="auto"/>
        <w:left w:val="none" w:sz="0" w:space="0" w:color="auto"/>
        <w:bottom w:val="none" w:sz="0" w:space="0" w:color="auto"/>
        <w:right w:val="none" w:sz="0" w:space="0" w:color="auto"/>
      </w:divBdr>
    </w:div>
    <w:div w:id="947929919">
      <w:bodyDiv w:val="1"/>
      <w:marLeft w:val="0"/>
      <w:marRight w:val="0"/>
      <w:marTop w:val="0"/>
      <w:marBottom w:val="0"/>
      <w:divBdr>
        <w:top w:val="none" w:sz="0" w:space="0" w:color="auto"/>
        <w:left w:val="none" w:sz="0" w:space="0" w:color="auto"/>
        <w:bottom w:val="none" w:sz="0" w:space="0" w:color="auto"/>
        <w:right w:val="none" w:sz="0" w:space="0" w:color="auto"/>
      </w:divBdr>
    </w:div>
    <w:div w:id="1603949695">
      <w:bodyDiv w:val="1"/>
      <w:marLeft w:val="0"/>
      <w:marRight w:val="0"/>
      <w:marTop w:val="0"/>
      <w:marBottom w:val="0"/>
      <w:divBdr>
        <w:top w:val="none" w:sz="0" w:space="0" w:color="auto"/>
        <w:left w:val="none" w:sz="0" w:space="0" w:color="auto"/>
        <w:bottom w:val="none" w:sz="0" w:space="0" w:color="auto"/>
        <w:right w:val="none" w:sz="0" w:space="0" w:color="auto"/>
      </w:divBdr>
    </w:div>
    <w:div w:id="20699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0965-par-valsts-budzetu-2020-gad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adija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C48A-8551-4069-8E15-5840D7A35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apropriācijas palielināšanu budžeta resora “74. Gadskārtējā valsts budžeta izpildes procesā pārdalāmais finansējums” programmā 02.00.00 “L'dzekļi neparedzētiem gadījumiem”” sākotnējās ietekmes novērtējuma ziņojums </vt:lpstr>
    </vt:vector>
  </TitlesOfParts>
  <Company>Finanšu ministrija</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palielināšanu budžeta resora “74. Gadskārtējā valsts budžeta izpildes procesā pārdalāmais finansējums” programmā 02.00.00 “L'dzekļi neparedzētiem gadījumiem”” sākotnējās ietekmes novērtējuma ziņojums (anotācija)</dc:title>
  <dc:subject>Anotācija</dc:subject>
  <dc:creator>Zane Adijāne</dc:creator>
  <cp:keywords/>
  <dc:description>zane.adijane@fm.gov.lv; 67095437</dc:description>
  <cp:lastModifiedBy>Zane Adijāne</cp:lastModifiedBy>
  <cp:revision>54</cp:revision>
  <cp:lastPrinted>2019-09-11T11:17:00Z</cp:lastPrinted>
  <dcterms:created xsi:type="dcterms:W3CDTF">2020-11-30T11:40:00Z</dcterms:created>
  <dcterms:modified xsi:type="dcterms:W3CDTF">2021-03-22T09:05:00Z</dcterms:modified>
</cp:coreProperties>
</file>