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B0532C" w14:textId="77777777" w:rsidR="009C14E5" w:rsidRPr="009C14E5" w:rsidRDefault="009C14E5" w:rsidP="009C14E5">
      <w:pPr>
        <w:contextualSpacing/>
        <w:jc w:val="center"/>
        <w:rPr>
          <w:rFonts w:eastAsia="Times New Roman"/>
          <w:b/>
          <w:bCs/>
          <w:szCs w:val="28"/>
          <w:lang w:eastAsia="lv-LV"/>
        </w:rPr>
      </w:pPr>
      <w:r w:rsidRPr="009C14E5">
        <w:rPr>
          <w:rFonts w:eastAsia="Times New Roman"/>
          <w:b/>
          <w:bCs/>
          <w:szCs w:val="28"/>
          <w:lang w:eastAsia="lv-LV"/>
        </w:rPr>
        <w:t>Izziņa par atzinumos sniegtajiem iebildumiem</w:t>
      </w:r>
    </w:p>
    <w:p w14:paraId="5973BD03" w14:textId="77777777" w:rsidR="009C14E5" w:rsidRPr="009C14E5" w:rsidRDefault="009C14E5" w:rsidP="009C14E5">
      <w:pPr>
        <w:ind w:firstLine="720"/>
        <w:contextualSpacing/>
        <w:jc w:val="both"/>
        <w:rPr>
          <w:rFonts w:eastAsia="Times New Roman"/>
          <w:sz w:val="24"/>
          <w:szCs w:val="16"/>
          <w:lang w:eastAsia="lv-LV"/>
        </w:rPr>
      </w:pPr>
    </w:p>
    <w:tbl>
      <w:tblPr>
        <w:tblW w:w="3207" w:type="pct"/>
        <w:jc w:val="center"/>
        <w:tblLook w:val="00A0" w:firstRow="1" w:lastRow="0" w:firstColumn="1" w:lastColumn="0" w:noHBand="0" w:noVBand="0"/>
      </w:tblPr>
      <w:tblGrid>
        <w:gridCol w:w="9636"/>
      </w:tblGrid>
      <w:tr w:rsidR="009C14E5" w:rsidRPr="009C14E5" w14:paraId="1CB7DA7A" w14:textId="77777777" w:rsidTr="00F823BE">
        <w:trPr>
          <w:jc w:val="center"/>
        </w:trPr>
        <w:tc>
          <w:tcPr>
            <w:tcW w:w="5000" w:type="pct"/>
            <w:tcBorders>
              <w:bottom w:val="single" w:sz="6" w:space="0" w:color="000000"/>
            </w:tcBorders>
          </w:tcPr>
          <w:p w14:paraId="48270A02" w14:textId="77777777" w:rsidR="009C14E5" w:rsidRPr="009C14E5" w:rsidRDefault="009C14E5" w:rsidP="009C14E5">
            <w:pPr>
              <w:ind w:firstLine="720"/>
              <w:contextualSpacing/>
              <w:jc w:val="center"/>
              <w:rPr>
                <w:rFonts w:eastAsia="Times New Roman"/>
                <w:b/>
                <w:szCs w:val="28"/>
                <w:lang w:eastAsia="lv-LV"/>
              </w:rPr>
            </w:pPr>
            <w:r>
              <w:rPr>
                <w:b/>
                <w:sz w:val="26"/>
                <w:szCs w:val="26"/>
              </w:rPr>
              <w:t>Azartspēļu un izložu politikas pamatnostādnēm</w:t>
            </w:r>
            <w:r w:rsidRPr="00DE1A22">
              <w:rPr>
                <w:b/>
                <w:sz w:val="26"/>
                <w:szCs w:val="26"/>
              </w:rPr>
              <w:t xml:space="preserve"> 2021.-2027.</w:t>
            </w:r>
            <w:r>
              <w:rPr>
                <w:b/>
                <w:sz w:val="26"/>
                <w:szCs w:val="26"/>
              </w:rPr>
              <w:t xml:space="preserve">gadam </w:t>
            </w:r>
            <w:r>
              <w:rPr>
                <w:b/>
                <w:sz w:val="26"/>
                <w:szCs w:val="26"/>
              </w:rPr>
              <w:br/>
              <w:t>(VSS-5; TA-</w:t>
            </w:r>
            <w:r>
              <w:t xml:space="preserve"> </w:t>
            </w:r>
            <w:r w:rsidRPr="009C14E5">
              <w:rPr>
                <w:b/>
                <w:sz w:val="26"/>
                <w:szCs w:val="26"/>
              </w:rPr>
              <w:t>2393</w:t>
            </w:r>
            <w:r>
              <w:rPr>
                <w:b/>
                <w:sz w:val="26"/>
                <w:szCs w:val="26"/>
              </w:rPr>
              <w:t>) (turpmāk – Pamatnostādnes)</w:t>
            </w:r>
          </w:p>
        </w:tc>
      </w:tr>
    </w:tbl>
    <w:p w14:paraId="54453570" w14:textId="77777777" w:rsidR="009C14E5" w:rsidRDefault="009C14E5" w:rsidP="009C14E5">
      <w:pPr>
        <w:contextualSpacing/>
        <w:jc w:val="center"/>
        <w:rPr>
          <w:rFonts w:eastAsia="Times New Roman"/>
          <w:sz w:val="24"/>
          <w:szCs w:val="24"/>
          <w:lang w:eastAsia="lv-LV"/>
        </w:rPr>
      </w:pPr>
      <w:r w:rsidRPr="009C14E5">
        <w:rPr>
          <w:rFonts w:eastAsia="Times New Roman"/>
          <w:sz w:val="24"/>
          <w:szCs w:val="24"/>
          <w:lang w:eastAsia="lv-LV"/>
        </w:rPr>
        <w:t>(dokumenta veids un nosaukums)</w:t>
      </w:r>
    </w:p>
    <w:p w14:paraId="7E1FEF96" w14:textId="77777777" w:rsidR="008D0D29" w:rsidRPr="009C14E5" w:rsidRDefault="008D0D29" w:rsidP="009C14E5">
      <w:pPr>
        <w:contextualSpacing/>
        <w:jc w:val="center"/>
        <w:rPr>
          <w:rFonts w:eastAsia="Times New Roman"/>
          <w:sz w:val="24"/>
          <w:szCs w:val="24"/>
          <w:lang w:eastAsia="lv-LV"/>
        </w:rPr>
      </w:pPr>
    </w:p>
    <w:p w14:paraId="2A374EE5" w14:textId="77777777" w:rsidR="00BD52D8" w:rsidRPr="00DE1A22" w:rsidRDefault="00BD52D8" w:rsidP="008D0D29">
      <w:pPr>
        <w:spacing w:before="100" w:beforeAutospacing="1" w:after="100" w:afterAutospacing="1"/>
        <w:contextualSpacing/>
        <w:jc w:val="center"/>
        <w:rPr>
          <w:rFonts w:eastAsia="Times New Roman"/>
          <w:b/>
          <w:sz w:val="24"/>
          <w:szCs w:val="24"/>
          <w:lang w:eastAsia="lv-LV"/>
        </w:rPr>
      </w:pPr>
      <w:r w:rsidRPr="00DE1A22">
        <w:rPr>
          <w:rFonts w:eastAsia="Times New Roman"/>
          <w:b/>
          <w:sz w:val="24"/>
          <w:szCs w:val="24"/>
          <w:lang w:eastAsia="lv-LV"/>
        </w:rPr>
        <w:t>I. Jautājumi, par kuriem saskaņošanā vienošanās nav panākta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2"/>
        <w:gridCol w:w="2804"/>
        <w:gridCol w:w="4023"/>
        <w:gridCol w:w="2636"/>
        <w:gridCol w:w="2360"/>
        <w:gridCol w:w="2498"/>
      </w:tblGrid>
      <w:tr w:rsidR="00651FC9" w:rsidRPr="00DE1A22" w14:paraId="688309EE" w14:textId="77777777" w:rsidTr="00F64F1D">
        <w:tc>
          <w:tcPr>
            <w:tcW w:w="230" w:type="pct"/>
            <w:vAlign w:val="center"/>
          </w:tcPr>
          <w:p w14:paraId="26DA7558" w14:textId="77777777" w:rsidR="00BD52D8" w:rsidRPr="00DE1A22" w:rsidRDefault="00156BC2" w:rsidP="00430CB6">
            <w:pPr>
              <w:pStyle w:val="naisc"/>
            </w:pPr>
            <w:r w:rsidRPr="00DE1A22">
              <w:t> Nr.</w:t>
            </w:r>
            <w:r w:rsidRPr="00DE1A22">
              <w:br/>
              <w:t> p.k.</w:t>
            </w:r>
          </w:p>
        </w:tc>
        <w:tc>
          <w:tcPr>
            <w:tcW w:w="934" w:type="pct"/>
            <w:vAlign w:val="center"/>
          </w:tcPr>
          <w:p w14:paraId="25D475C1" w14:textId="77777777" w:rsidR="00BD52D8" w:rsidRPr="00DE1A22" w:rsidRDefault="00156BC2" w:rsidP="00944A49">
            <w:pPr>
              <w:spacing w:before="100" w:beforeAutospacing="1" w:after="100" w:afterAutospacing="1"/>
              <w:jc w:val="center"/>
              <w:rPr>
                <w:rFonts w:eastAsia="Times New Roman"/>
                <w:sz w:val="24"/>
                <w:szCs w:val="24"/>
                <w:lang w:eastAsia="lv-LV"/>
              </w:rPr>
            </w:pPr>
            <w:r w:rsidRPr="00DE1A22">
              <w:rPr>
                <w:rFonts w:eastAsia="Times New Roman"/>
                <w:sz w:val="24"/>
                <w:szCs w:val="24"/>
                <w:lang w:eastAsia="lv-LV"/>
              </w:rPr>
              <w:t>Saskaņošanai nosūtītā projekta redakcija (konkrēta punkta (panta) redakcija)</w:t>
            </w:r>
          </w:p>
        </w:tc>
        <w:tc>
          <w:tcPr>
            <w:tcW w:w="1340" w:type="pct"/>
            <w:vAlign w:val="center"/>
          </w:tcPr>
          <w:p w14:paraId="62B63D36" w14:textId="77777777" w:rsidR="00BD52D8" w:rsidRPr="00DE1A22" w:rsidRDefault="00156BC2" w:rsidP="00944A49">
            <w:pPr>
              <w:spacing w:before="100" w:beforeAutospacing="1" w:after="100" w:afterAutospacing="1"/>
              <w:jc w:val="center"/>
              <w:rPr>
                <w:rFonts w:eastAsia="Times New Roman"/>
                <w:sz w:val="24"/>
                <w:szCs w:val="24"/>
                <w:lang w:eastAsia="lv-LV"/>
              </w:rPr>
            </w:pPr>
            <w:r w:rsidRPr="00DE1A22">
              <w:rPr>
                <w:rFonts w:eastAsia="Times New Roman"/>
                <w:sz w:val="24"/>
                <w:szCs w:val="24"/>
                <w:lang w:eastAsia="lv-LV"/>
              </w:rPr>
              <w:t>Atzinumā norādītais ministrijas (citas institūcijas) iebildums, kā arī saskaņošanā papildus izteiktais iebildums par projekta konkrēto punktu (pantu)</w:t>
            </w:r>
          </w:p>
        </w:tc>
        <w:tc>
          <w:tcPr>
            <w:tcW w:w="878" w:type="pct"/>
            <w:vAlign w:val="center"/>
          </w:tcPr>
          <w:p w14:paraId="04572121" w14:textId="77777777" w:rsidR="00BD52D8" w:rsidRPr="00DE1A22" w:rsidRDefault="00156BC2" w:rsidP="00944A49">
            <w:pPr>
              <w:spacing w:before="100" w:beforeAutospacing="1" w:after="100" w:afterAutospacing="1"/>
              <w:jc w:val="center"/>
              <w:rPr>
                <w:rFonts w:eastAsia="Times New Roman"/>
                <w:sz w:val="24"/>
                <w:szCs w:val="24"/>
                <w:lang w:eastAsia="lv-LV"/>
              </w:rPr>
            </w:pPr>
            <w:r w:rsidRPr="00DE1A22">
              <w:rPr>
                <w:rFonts w:eastAsia="Times New Roman"/>
                <w:sz w:val="24"/>
                <w:szCs w:val="24"/>
                <w:lang w:eastAsia="lv-LV"/>
              </w:rPr>
              <w:t>Atbildīgās ministrijas pamatojums iebilduma noraidījumam</w:t>
            </w:r>
          </w:p>
        </w:tc>
        <w:tc>
          <w:tcPr>
            <w:tcW w:w="786" w:type="pct"/>
            <w:vAlign w:val="center"/>
          </w:tcPr>
          <w:p w14:paraId="1D9EA0AB" w14:textId="77777777" w:rsidR="00BD52D8" w:rsidRPr="00DE1A22" w:rsidRDefault="00156BC2" w:rsidP="00944A49">
            <w:pPr>
              <w:spacing w:before="100" w:beforeAutospacing="1" w:after="100" w:afterAutospacing="1"/>
              <w:jc w:val="center"/>
              <w:rPr>
                <w:rFonts w:eastAsia="Times New Roman"/>
                <w:sz w:val="24"/>
                <w:szCs w:val="24"/>
                <w:lang w:eastAsia="lv-LV"/>
              </w:rPr>
            </w:pPr>
            <w:r w:rsidRPr="00DE1A22">
              <w:rPr>
                <w:rFonts w:eastAsia="Times New Roman"/>
                <w:sz w:val="24"/>
                <w:szCs w:val="24"/>
                <w:lang w:eastAsia="lv-LV"/>
              </w:rPr>
              <w:t>Atzinuma sniedzēja uzturētais iebildums, ja tas atšķiras no atzinumā norādītā iebilduma pamatojuma</w:t>
            </w:r>
          </w:p>
        </w:tc>
        <w:tc>
          <w:tcPr>
            <w:tcW w:w="832" w:type="pct"/>
            <w:vAlign w:val="center"/>
          </w:tcPr>
          <w:p w14:paraId="69868401" w14:textId="77777777" w:rsidR="00BD52D8" w:rsidRPr="00DE1A22" w:rsidRDefault="00156BC2" w:rsidP="00944A49">
            <w:pPr>
              <w:spacing w:before="100" w:beforeAutospacing="1" w:after="100" w:afterAutospacing="1"/>
              <w:jc w:val="center"/>
              <w:rPr>
                <w:rFonts w:eastAsia="Times New Roman"/>
                <w:sz w:val="24"/>
                <w:szCs w:val="24"/>
                <w:lang w:eastAsia="lv-LV"/>
              </w:rPr>
            </w:pPr>
            <w:r w:rsidRPr="00DE1A22">
              <w:rPr>
                <w:rFonts w:eastAsia="Times New Roman"/>
                <w:sz w:val="24"/>
                <w:szCs w:val="24"/>
                <w:lang w:eastAsia="lv-LV"/>
              </w:rPr>
              <w:t>Projekta attiecīgā punkta (panta) galīgā redakcija</w:t>
            </w:r>
          </w:p>
        </w:tc>
      </w:tr>
      <w:tr w:rsidR="00651FC9" w:rsidRPr="00DE1A22" w14:paraId="4BCC2572" w14:textId="77777777" w:rsidTr="00F64F1D">
        <w:tc>
          <w:tcPr>
            <w:tcW w:w="230" w:type="pct"/>
          </w:tcPr>
          <w:p w14:paraId="0620DB10" w14:textId="77777777" w:rsidR="00BD52D8" w:rsidRPr="00DE1A22" w:rsidRDefault="00156BC2" w:rsidP="00944A49">
            <w:pPr>
              <w:spacing w:before="100" w:beforeAutospacing="1" w:after="100" w:afterAutospacing="1"/>
              <w:jc w:val="center"/>
              <w:rPr>
                <w:rFonts w:eastAsia="Times New Roman"/>
                <w:sz w:val="24"/>
                <w:szCs w:val="24"/>
                <w:lang w:eastAsia="lv-LV"/>
              </w:rPr>
            </w:pPr>
            <w:r w:rsidRPr="00DE1A22">
              <w:rPr>
                <w:rFonts w:eastAsia="Times New Roman"/>
                <w:sz w:val="24"/>
                <w:szCs w:val="24"/>
                <w:lang w:eastAsia="lv-LV"/>
              </w:rPr>
              <w:t>1</w:t>
            </w:r>
          </w:p>
        </w:tc>
        <w:tc>
          <w:tcPr>
            <w:tcW w:w="934" w:type="pct"/>
          </w:tcPr>
          <w:p w14:paraId="3580A1FF" w14:textId="77777777" w:rsidR="00BD52D8" w:rsidRPr="00DE1A22" w:rsidRDefault="00156BC2" w:rsidP="00944A49">
            <w:pPr>
              <w:spacing w:before="100" w:beforeAutospacing="1" w:after="100" w:afterAutospacing="1"/>
              <w:jc w:val="center"/>
              <w:rPr>
                <w:rFonts w:eastAsia="Times New Roman"/>
                <w:sz w:val="24"/>
                <w:szCs w:val="24"/>
                <w:lang w:eastAsia="lv-LV"/>
              </w:rPr>
            </w:pPr>
            <w:r w:rsidRPr="00DE1A22">
              <w:rPr>
                <w:rFonts w:eastAsia="Times New Roman"/>
                <w:sz w:val="24"/>
                <w:szCs w:val="24"/>
                <w:lang w:eastAsia="lv-LV"/>
              </w:rPr>
              <w:t>2</w:t>
            </w:r>
          </w:p>
        </w:tc>
        <w:tc>
          <w:tcPr>
            <w:tcW w:w="1340" w:type="pct"/>
          </w:tcPr>
          <w:p w14:paraId="22D37B6C" w14:textId="77777777" w:rsidR="00BD52D8" w:rsidRPr="00DE1A22" w:rsidRDefault="00156BC2" w:rsidP="00944A49">
            <w:pPr>
              <w:spacing w:before="100" w:beforeAutospacing="1" w:after="100" w:afterAutospacing="1"/>
              <w:jc w:val="center"/>
              <w:rPr>
                <w:rFonts w:eastAsia="Times New Roman"/>
                <w:sz w:val="24"/>
                <w:szCs w:val="24"/>
                <w:lang w:eastAsia="lv-LV"/>
              </w:rPr>
            </w:pPr>
            <w:r w:rsidRPr="00DE1A22">
              <w:rPr>
                <w:rFonts w:eastAsia="Times New Roman"/>
                <w:sz w:val="24"/>
                <w:szCs w:val="24"/>
                <w:lang w:eastAsia="lv-LV"/>
              </w:rPr>
              <w:t>3</w:t>
            </w:r>
          </w:p>
        </w:tc>
        <w:tc>
          <w:tcPr>
            <w:tcW w:w="878" w:type="pct"/>
          </w:tcPr>
          <w:p w14:paraId="26329229" w14:textId="77777777" w:rsidR="00BD52D8" w:rsidRPr="00DE1A22" w:rsidRDefault="00156BC2" w:rsidP="00944A49">
            <w:pPr>
              <w:spacing w:before="100" w:beforeAutospacing="1" w:after="100" w:afterAutospacing="1"/>
              <w:jc w:val="center"/>
              <w:rPr>
                <w:rFonts w:eastAsia="Times New Roman"/>
                <w:sz w:val="24"/>
                <w:szCs w:val="24"/>
                <w:lang w:eastAsia="lv-LV"/>
              </w:rPr>
            </w:pPr>
            <w:r w:rsidRPr="00DE1A22">
              <w:rPr>
                <w:rFonts w:eastAsia="Times New Roman"/>
                <w:sz w:val="24"/>
                <w:szCs w:val="24"/>
                <w:lang w:eastAsia="lv-LV"/>
              </w:rPr>
              <w:t>4</w:t>
            </w:r>
          </w:p>
        </w:tc>
        <w:tc>
          <w:tcPr>
            <w:tcW w:w="786" w:type="pct"/>
          </w:tcPr>
          <w:p w14:paraId="7D1E0402" w14:textId="77777777" w:rsidR="00BD52D8" w:rsidRPr="00DE1A22" w:rsidRDefault="00156BC2" w:rsidP="00944A49">
            <w:pPr>
              <w:spacing w:before="100" w:beforeAutospacing="1" w:after="100" w:afterAutospacing="1"/>
              <w:jc w:val="center"/>
              <w:rPr>
                <w:rFonts w:eastAsia="Times New Roman"/>
                <w:sz w:val="24"/>
                <w:szCs w:val="24"/>
                <w:lang w:eastAsia="lv-LV"/>
              </w:rPr>
            </w:pPr>
            <w:r w:rsidRPr="00DE1A22">
              <w:rPr>
                <w:rFonts w:eastAsia="Times New Roman"/>
                <w:sz w:val="24"/>
                <w:szCs w:val="24"/>
                <w:lang w:eastAsia="lv-LV"/>
              </w:rPr>
              <w:t>5</w:t>
            </w:r>
          </w:p>
        </w:tc>
        <w:tc>
          <w:tcPr>
            <w:tcW w:w="832" w:type="pct"/>
          </w:tcPr>
          <w:p w14:paraId="038CCE1F" w14:textId="77777777" w:rsidR="00BD52D8" w:rsidRPr="00DE1A22" w:rsidRDefault="00156BC2" w:rsidP="00944A49">
            <w:pPr>
              <w:spacing w:before="100" w:beforeAutospacing="1" w:after="100" w:afterAutospacing="1"/>
              <w:jc w:val="center"/>
              <w:rPr>
                <w:rFonts w:eastAsia="Times New Roman"/>
                <w:sz w:val="24"/>
                <w:szCs w:val="24"/>
                <w:lang w:eastAsia="lv-LV"/>
              </w:rPr>
            </w:pPr>
            <w:r w:rsidRPr="00DE1A22">
              <w:rPr>
                <w:rFonts w:eastAsia="Times New Roman"/>
                <w:sz w:val="24"/>
                <w:szCs w:val="24"/>
                <w:lang w:eastAsia="lv-LV"/>
              </w:rPr>
              <w:t>6</w:t>
            </w:r>
          </w:p>
        </w:tc>
      </w:tr>
      <w:tr w:rsidR="00361C01" w:rsidRPr="00DE1A22" w14:paraId="02AA9EC7" w14:textId="77777777" w:rsidTr="00541F9F">
        <w:tc>
          <w:tcPr>
            <w:tcW w:w="5000" w:type="pct"/>
            <w:gridSpan w:val="6"/>
            <w:shd w:val="clear" w:color="auto" w:fill="E2EFD9" w:themeFill="accent6" w:themeFillTint="33"/>
            <w:vAlign w:val="center"/>
          </w:tcPr>
          <w:p w14:paraId="106B6266" w14:textId="1617FAD4" w:rsidR="00361C01" w:rsidRPr="009671BE" w:rsidRDefault="00361C01" w:rsidP="00541F9F">
            <w:pPr>
              <w:spacing w:after="120"/>
              <w:contextualSpacing/>
              <w:jc w:val="center"/>
              <w:rPr>
                <w:rFonts w:eastAsia="Times New Roman"/>
                <w:b/>
                <w:sz w:val="24"/>
                <w:szCs w:val="24"/>
                <w:lang w:eastAsia="lv-LV"/>
              </w:rPr>
            </w:pPr>
            <w:r>
              <w:rPr>
                <w:rFonts w:eastAsia="Times New Roman"/>
                <w:b/>
                <w:sz w:val="24"/>
                <w:szCs w:val="24"/>
                <w:lang w:eastAsia="lv-LV"/>
              </w:rPr>
              <w:t xml:space="preserve">Iebildumi par Pamatnostādņu 4. sadaļas 1. rīcības virziena </w:t>
            </w:r>
            <w:r w:rsidRPr="00361C01">
              <w:rPr>
                <w:rFonts w:eastAsia="Times New Roman"/>
                <w:b/>
                <w:sz w:val="24"/>
                <w:szCs w:val="24"/>
                <w:lang w:eastAsia="lv-LV"/>
              </w:rPr>
              <w:t>“Atkarības profilakses, preventīvie, problemātiskā spēlētāja atbalsts un sabiedrības izglītojoši pasākumi” uzdevumiem</w:t>
            </w:r>
          </w:p>
        </w:tc>
      </w:tr>
      <w:tr w:rsidR="00A24C5D" w:rsidRPr="00DE1A22" w14:paraId="164553B2" w14:textId="77777777" w:rsidTr="001874CB">
        <w:tc>
          <w:tcPr>
            <w:tcW w:w="230" w:type="pct"/>
            <w:shd w:val="clear" w:color="auto" w:fill="auto"/>
          </w:tcPr>
          <w:p w14:paraId="71C56A5E" w14:textId="77777777" w:rsidR="00A24C5D" w:rsidRPr="00DE1A22" w:rsidRDefault="00A24C5D" w:rsidP="0047381A">
            <w:pPr>
              <w:spacing w:before="100" w:beforeAutospacing="1" w:after="100" w:afterAutospacing="1"/>
              <w:jc w:val="center"/>
              <w:rPr>
                <w:rFonts w:eastAsia="Times New Roman"/>
                <w:sz w:val="24"/>
                <w:szCs w:val="24"/>
                <w:lang w:eastAsia="lv-LV"/>
              </w:rPr>
            </w:pPr>
            <w:r>
              <w:rPr>
                <w:rFonts w:eastAsia="Times New Roman"/>
                <w:sz w:val="24"/>
                <w:szCs w:val="24"/>
                <w:lang w:eastAsia="lv-LV"/>
              </w:rPr>
              <w:t>1.</w:t>
            </w:r>
          </w:p>
        </w:tc>
        <w:tc>
          <w:tcPr>
            <w:tcW w:w="934" w:type="pct"/>
            <w:shd w:val="clear" w:color="auto" w:fill="auto"/>
          </w:tcPr>
          <w:p w14:paraId="3D8E7DD4" w14:textId="0154AF26" w:rsidR="00A24C5D" w:rsidRDefault="00A24C5D" w:rsidP="00897097">
            <w:pPr>
              <w:jc w:val="both"/>
              <w:rPr>
                <w:rFonts w:eastAsia="Times New Roman"/>
                <w:sz w:val="24"/>
                <w:szCs w:val="24"/>
                <w:lang w:eastAsia="lv-LV"/>
              </w:rPr>
            </w:pPr>
            <w:r w:rsidRPr="009671BE">
              <w:rPr>
                <w:rFonts w:eastAsia="Times New Roman"/>
                <w:b/>
                <w:sz w:val="24"/>
                <w:szCs w:val="24"/>
                <w:lang w:eastAsia="lv-LV"/>
              </w:rPr>
              <w:t xml:space="preserve">Pamatnostādņu 4. sadaļas </w:t>
            </w:r>
            <w:r w:rsidR="00541F9F">
              <w:rPr>
                <w:rFonts w:eastAsia="Times New Roman"/>
                <w:b/>
                <w:sz w:val="24"/>
                <w:szCs w:val="24"/>
                <w:lang w:eastAsia="lv-LV"/>
              </w:rPr>
              <w:t>1.</w:t>
            </w:r>
            <w:r w:rsidRPr="009671BE">
              <w:rPr>
                <w:rFonts w:eastAsia="Times New Roman"/>
                <w:b/>
                <w:sz w:val="24"/>
                <w:szCs w:val="24"/>
                <w:lang w:eastAsia="lv-LV"/>
              </w:rPr>
              <w:t>rīcības virziena</w:t>
            </w:r>
            <w:r>
              <w:rPr>
                <w:rFonts w:eastAsia="Times New Roman"/>
                <w:sz w:val="24"/>
                <w:szCs w:val="24"/>
                <w:lang w:eastAsia="lv-LV"/>
              </w:rPr>
              <w:t xml:space="preserve"> “Atkarības profilakses, preventīvie</w:t>
            </w:r>
            <w:r w:rsidRPr="00DE1A22">
              <w:rPr>
                <w:rFonts w:eastAsia="Times New Roman"/>
                <w:sz w:val="24"/>
                <w:szCs w:val="24"/>
                <w:lang w:eastAsia="lv-LV"/>
              </w:rPr>
              <w:t>, problemātiskā spēlētāja atbalsts un sabiedrības izglītojoši pasākumi”</w:t>
            </w:r>
            <w:r w:rsidR="009671BE">
              <w:rPr>
                <w:rFonts w:eastAsia="Times New Roman"/>
                <w:sz w:val="24"/>
                <w:szCs w:val="24"/>
                <w:lang w:eastAsia="lv-LV"/>
              </w:rPr>
              <w:t xml:space="preserve"> </w:t>
            </w:r>
            <w:r w:rsidR="00541F9F">
              <w:rPr>
                <w:rFonts w:eastAsia="Times New Roman"/>
                <w:b/>
                <w:sz w:val="24"/>
                <w:szCs w:val="24"/>
                <w:lang w:eastAsia="lv-LV"/>
              </w:rPr>
              <w:t>10.</w:t>
            </w:r>
            <w:r w:rsidR="009671BE" w:rsidRPr="009671BE">
              <w:rPr>
                <w:rFonts w:eastAsia="Times New Roman"/>
                <w:b/>
                <w:sz w:val="24"/>
                <w:szCs w:val="24"/>
                <w:lang w:eastAsia="lv-LV"/>
              </w:rPr>
              <w:t>uzdevums</w:t>
            </w:r>
            <w:r w:rsidR="009671BE">
              <w:rPr>
                <w:rFonts w:eastAsia="Times New Roman"/>
                <w:sz w:val="24"/>
                <w:szCs w:val="24"/>
                <w:lang w:eastAsia="lv-LV"/>
              </w:rPr>
              <w:t xml:space="preserve"> “</w:t>
            </w:r>
            <w:r w:rsidR="009671BE" w:rsidRPr="009671BE">
              <w:rPr>
                <w:rFonts w:eastAsia="Times New Roman"/>
                <w:sz w:val="24"/>
                <w:szCs w:val="24"/>
                <w:lang w:eastAsia="lv-LV"/>
              </w:rPr>
              <w:t xml:space="preserve">Noteikt vecuma ierobežojumu dalībai </w:t>
            </w:r>
            <w:r w:rsidR="009671BE">
              <w:rPr>
                <w:rFonts w:eastAsia="Times New Roman"/>
                <w:sz w:val="24"/>
                <w:szCs w:val="24"/>
                <w:lang w:eastAsia="lv-LV"/>
              </w:rPr>
              <w:t>azartspēlēs no 21 gada vecuma.”</w:t>
            </w:r>
          </w:p>
        </w:tc>
        <w:tc>
          <w:tcPr>
            <w:tcW w:w="1340" w:type="pct"/>
            <w:shd w:val="clear" w:color="auto" w:fill="auto"/>
          </w:tcPr>
          <w:p w14:paraId="1E7DF43A" w14:textId="77777777" w:rsidR="00A24C5D" w:rsidRPr="009671BE" w:rsidRDefault="009671BE" w:rsidP="009671BE">
            <w:pPr>
              <w:jc w:val="center"/>
              <w:rPr>
                <w:rFonts w:eastAsia="Times New Roman"/>
                <w:b/>
                <w:sz w:val="24"/>
                <w:szCs w:val="24"/>
              </w:rPr>
            </w:pPr>
            <w:r w:rsidRPr="009671BE">
              <w:rPr>
                <w:rFonts w:eastAsia="Times New Roman"/>
                <w:b/>
                <w:sz w:val="24"/>
                <w:szCs w:val="24"/>
              </w:rPr>
              <w:t>Latvijas Spēļu biznesa asociācija</w:t>
            </w:r>
            <w:r>
              <w:rPr>
                <w:rFonts w:eastAsia="Times New Roman"/>
                <w:b/>
                <w:sz w:val="24"/>
                <w:szCs w:val="24"/>
              </w:rPr>
              <w:t xml:space="preserve"> (LSBA)</w:t>
            </w:r>
          </w:p>
          <w:p w14:paraId="19EA0779" w14:textId="18E3C436" w:rsidR="009671BE" w:rsidRPr="000058F9" w:rsidRDefault="000058F9" w:rsidP="000058F9">
            <w:pPr>
              <w:jc w:val="center"/>
              <w:rPr>
                <w:rFonts w:eastAsia="Times New Roman"/>
                <w:b/>
                <w:sz w:val="24"/>
                <w:szCs w:val="24"/>
              </w:rPr>
            </w:pPr>
            <w:r>
              <w:rPr>
                <w:rFonts w:eastAsia="Times New Roman"/>
                <w:b/>
                <w:sz w:val="24"/>
                <w:szCs w:val="24"/>
              </w:rPr>
              <w:t>(17.12.2020. Nr.22/20)</w:t>
            </w:r>
          </w:p>
          <w:p w14:paraId="422D65C1" w14:textId="77777777" w:rsidR="009671BE" w:rsidRPr="009671BE" w:rsidRDefault="009671BE" w:rsidP="009671BE">
            <w:pPr>
              <w:jc w:val="both"/>
              <w:rPr>
                <w:rFonts w:eastAsia="Times New Roman"/>
                <w:sz w:val="24"/>
                <w:szCs w:val="24"/>
              </w:rPr>
            </w:pPr>
            <w:r w:rsidRPr="009671BE">
              <w:rPr>
                <w:rFonts w:eastAsia="Times New Roman"/>
                <w:sz w:val="24"/>
                <w:szCs w:val="24"/>
              </w:rPr>
              <w:t xml:space="preserve">Izvērtējot vecuma ierobežojuma palielināšanas iespējamību, jāņem vērā ievērojamā nelicencēto interaktīvo azartspēļu operatoru ietekme Latvijas tirgū. Nelicencēto operatoru lielais īpatsvars Latvijas tirgū palielina risku, ka nepārdomāta vecuma ierobežojuma paaugstināšanas gadījumā liela daļa personu, it sevišķi, jaunākā spēlētāju daļa tiks novirzīta pie nelicencētajiem operatoriem, kuri neievēro atbildīgas spēles noteikumus un kuru sniegtos pakalpojumus Izložu un azartspēļu uzraudzības inspekcijai (turpmāk – IAUI) nav iespējams uzraudzīt. Tādēļ, paaugstinot vecuma ierobežojumus, </w:t>
            </w:r>
            <w:r w:rsidRPr="009671BE">
              <w:rPr>
                <w:rFonts w:eastAsia="Times New Roman"/>
                <w:sz w:val="24"/>
                <w:szCs w:val="24"/>
              </w:rPr>
              <w:lastRenderedPageBreak/>
              <w:t>ievērojama daļa spēlētāju var tikt novirzīta nekontrolētā vidē, kur tiem nāksies saskarties ar bīstamu, nevis atbildīgu komercpraksi, kas ne tikai paaugstinās problemātisko spēlētāju rašanās risku, bet atsevišķos gadījumos būs pat krāpnieciska.</w:t>
            </w:r>
          </w:p>
          <w:p w14:paraId="62A56AD0" w14:textId="77777777" w:rsidR="009671BE" w:rsidRPr="009671BE" w:rsidRDefault="009671BE" w:rsidP="009671BE">
            <w:pPr>
              <w:jc w:val="both"/>
              <w:rPr>
                <w:rFonts w:eastAsia="Times New Roman"/>
                <w:sz w:val="24"/>
                <w:szCs w:val="24"/>
              </w:rPr>
            </w:pPr>
            <w:r w:rsidRPr="009671BE">
              <w:rPr>
                <w:rFonts w:eastAsia="Times New Roman"/>
                <w:sz w:val="24"/>
                <w:szCs w:val="24"/>
              </w:rPr>
              <w:t>Salīdzinot Latvijas un citu ES dalībvalstu noteiktos vecuma ierobežojumus, kā arī augsto nelicencēto interaktīvo azartspēļu operatoru skaitu Latvijā, secināms, ka šobrīd – līdz nav ievērojami samazināts nelicencēto operatoru tirgus Latvijā – nav vēlams paaugstināt vecuma ierobežojumus attiecībā uz dalību azartspēlēs. Pretējā gadījumā personas, kurām tādējādi tiks liegta iespēja izmantot licencēto operatoru pakalpojumus, visticamāk, nevis atturēsies no azartspēļu spēlēšanas, bet gan, izmantojot tehnoloģiju sniegtās iespējas, vērsīsies pie nelicencētiem interaktīvo azartspēļu operatoriem. Sasniedzot 21 gadu vecumu, šie spēlētāji lielā daļā gadījumu nepāries spēlēt pie licencētajiem azartspēļu organizētājiem, jo nelicencēto operatoru piedāvāto bonusu sistēmas ir ļoti dāsnas, ar mērķi piesaistīti un noturēt spēlētāju, ar ko licencētie azartspēļu organizētāji nevar konkurēt.</w:t>
            </w:r>
          </w:p>
          <w:p w14:paraId="7EFF9542" w14:textId="77777777" w:rsidR="009671BE" w:rsidRPr="009671BE" w:rsidRDefault="009671BE" w:rsidP="009671BE">
            <w:pPr>
              <w:jc w:val="both"/>
              <w:rPr>
                <w:rFonts w:eastAsia="Times New Roman"/>
                <w:sz w:val="24"/>
                <w:szCs w:val="24"/>
              </w:rPr>
            </w:pPr>
            <w:r w:rsidRPr="009671BE">
              <w:rPr>
                <w:rFonts w:eastAsia="Times New Roman"/>
                <w:sz w:val="24"/>
                <w:szCs w:val="24"/>
              </w:rPr>
              <w:t xml:space="preserve">Vēršam uzmanību, ka ar Ministru kabineta 2020.gada 30.jūlija rīkojumu Nr. 412 apstiprināts Alkoholisko dzērienu patēriņa mazināšanas un </w:t>
            </w:r>
            <w:r w:rsidRPr="009671BE">
              <w:rPr>
                <w:rFonts w:eastAsia="Times New Roman"/>
                <w:sz w:val="24"/>
                <w:szCs w:val="24"/>
              </w:rPr>
              <w:lastRenderedPageBreak/>
              <w:t>alkoholisma ierobežošanas rīcības plāns 2020.-2022. gadam . No plāna projekta neizriet, ka būtu iecerētas vismaz līdzvērtīgas aktivitātes attiecībā uz šīs atkarības apkarošanu, t.sk., palielinot vecuma cenzu. Lai gan tieši alkohola lietošanu sabiedrība uzskata par problēmu, kas nodara visbūtiskāko kaitējumu, kā liecina VM pētījums.</w:t>
            </w:r>
          </w:p>
          <w:p w14:paraId="2E0E142A" w14:textId="77777777" w:rsidR="009671BE" w:rsidRPr="009671BE" w:rsidRDefault="009671BE" w:rsidP="009671BE">
            <w:pPr>
              <w:jc w:val="both"/>
              <w:rPr>
                <w:rFonts w:eastAsia="Times New Roman"/>
                <w:sz w:val="24"/>
                <w:szCs w:val="24"/>
              </w:rPr>
            </w:pPr>
            <w:r w:rsidRPr="009671BE">
              <w:rPr>
                <w:rFonts w:eastAsia="Times New Roman"/>
                <w:sz w:val="24"/>
                <w:szCs w:val="24"/>
              </w:rPr>
              <w:t>Izmaiņām attiecībā uz vecuma ierobežojumu jābūt kompleksām – vienlaicīgi jānosaka vienots vecuma cenzs alkohola, cigarešu u.c. apreibinošu vielu iegādei, kā arī visu azartspēļu (t.sk. izložu), videospēļu spēlēšanai u.c. atkarību izraisošām nodarbēm. Šādu pieeju atbalstījusi arī Veselības ministrija, 2019.gada augustā reaģējot uz sabiedrības iniciatīvu par aizliegumu iegādāties un lietot alkoholiskos dzērienus personām līdz 21 gada vecumam.</w:t>
            </w:r>
          </w:p>
          <w:p w14:paraId="6D286D97" w14:textId="77777777" w:rsidR="009671BE" w:rsidRPr="009671BE" w:rsidRDefault="009671BE" w:rsidP="009671BE">
            <w:pPr>
              <w:jc w:val="both"/>
              <w:rPr>
                <w:rFonts w:eastAsia="Times New Roman"/>
                <w:sz w:val="24"/>
                <w:szCs w:val="24"/>
              </w:rPr>
            </w:pPr>
            <w:r w:rsidRPr="009671BE">
              <w:rPr>
                <w:rFonts w:eastAsia="Times New Roman"/>
                <w:sz w:val="24"/>
                <w:szCs w:val="24"/>
              </w:rPr>
              <w:t xml:space="preserve">Lūdzam ņemt vērā arī Ieroču aprites likumā ietverto regulējumu attiecībā uz vecumu, no kura iespējams saņemt dažādu ieroču iegādāšanās, glabāšanas, nēsāšanas un pārvadāšanas atļaujas. Fiziskajai personai, kura sasniegusi 10 gadu vecumu, ar vecāku vai likumisko pārstāvju atļauju ir tiesības simulācijas spēlēs izmantot peintbola ieročus [..], savukārt, personai, kura sasniegusi 16 gadu vecumu, bet nav sasniegusi 18 gadu vecumu, ievērojot likumā noteiktās prasības, ieroča īpašnieka tiešā klātbūtnē ir tiesības individuālajās </w:t>
            </w:r>
            <w:r w:rsidRPr="009671BE">
              <w:rPr>
                <w:rFonts w:eastAsia="Times New Roman"/>
                <w:sz w:val="24"/>
                <w:szCs w:val="24"/>
              </w:rPr>
              <w:lastRenderedPageBreak/>
              <w:t>medībās izmantot medībām klasificētu ieroci. LSBA nesaskata pamatu šādām atšķirībām novērtējumā, kad persona ir pietiekami pieaugusi, lai izklaide nerezultētos ar kādām problēmām, t.sk. atkarības rašanos vai pastiprināšanos.</w:t>
            </w:r>
          </w:p>
        </w:tc>
        <w:tc>
          <w:tcPr>
            <w:tcW w:w="878" w:type="pct"/>
            <w:shd w:val="clear" w:color="auto" w:fill="auto"/>
          </w:tcPr>
          <w:p w14:paraId="43012DFF" w14:textId="1931625C" w:rsidR="00A24C5D" w:rsidRDefault="00541F9F" w:rsidP="00941E96">
            <w:pPr>
              <w:jc w:val="center"/>
              <w:rPr>
                <w:rFonts w:eastAsia="Times New Roman"/>
                <w:b/>
                <w:bCs/>
                <w:sz w:val="24"/>
                <w:szCs w:val="24"/>
                <w:lang w:eastAsia="lv-LV"/>
              </w:rPr>
            </w:pPr>
            <w:r>
              <w:rPr>
                <w:rFonts w:eastAsia="Times New Roman"/>
                <w:b/>
                <w:bCs/>
                <w:sz w:val="24"/>
                <w:szCs w:val="24"/>
                <w:lang w:eastAsia="lv-LV"/>
              </w:rPr>
              <w:lastRenderedPageBreak/>
              <w:t xml:space="preserve">Pēc 13.01.2021. starpministriju (starpinstitūciju) </w:t>
            </w:r>
            <w:r w:rsidRPr="00541F9F">
              <w:rPr>
                <w:rFonts w:eastAsia="Times New Roman"/>
                <w:bCs/>
                <w:sz w:val="24"/>
                <w:szCs w:val="24"/>
                <w:lang w:eastAsia="lv-LV"/>
              </w:rPr>
              <w:t>sanāksmes nebija iespējams panākt vienošanos.</w:t>
            </w:r>
          </w:p>
        </w:tc>
        <w:tc>
          <w:tcPr>
            <w:tcW w:w="786" w:type="pct"/>
            <w:shd w:val="clear" w:color="auto" w:fill="auto"/>
          </w:tcPr>
          <w:p w14:paraId="1F4E5818" w14:textId="77777777" w:rsidR="009671BE" w:rsidRPr="009671BE" w:rsidRDefault="009671BE" w:rsidP="009671BE">
            <w:pPr>
              <w:spacing w:before="100" w:beforeAutospacing="1" w:after="100" w:afterAutospacing="1"/>
              <w:contextualSpacing/>
              <w:jc w:val="center"/>
              <w:rPr>
                <w:rFonts w:eastAsia="Times New Roman"/>
                <w:b/>
                <w:sz w:val="24"/>
                <w:szCs w:val="24"/>
                <w:lang w:eastAsia="lv-LV"/>
              </w:rPr>
            </w:pPr>
            <w:r w:rsidRPr="009671BE">
              <w:rPr>
                <w:rFonts w:eastAsia="Times New Roman"/>
                <w:b/>
                <w:sz w:val="24"/>
                <w:szCs w:val="24"/>
                <w:lang w:eastAsia="lv-LV"/>
              </w:rPr>
              <w:t>13.01.2021. starpministriju (starpinstitūciju) sanāksme</w:t>
            </w:r>
          </w:p>
          <w:p w14:paraId="1B965D00" w14:textId="77777777" w:rsidR="009671BE" w:rsidRDefault="009671BE" w:rsidP="009671BE">
            <w:pPr>
              <w:spacing w:before="100" w:beforeAutospacing="1" w:after="100" w:afterAutospacing="1"/>
              <w:contextualSpacing/>
              <w:jc w:val="both"/>
              <w:rPr>
                <w:rFonts w:eastAsia="Times New Roman"/>
                <w:sz w:val="24"/>
                <w:szCs w:val="24"/>
                <w:lang w:eastAsia="lv-LV"/>
              </w:rPr>
            </w:pPr>
          </w:p>
          <w:p w14:paraId="727A7907" w14:textId="77777777" w:rsidR="00A24C5D" w:rsidRPr="00DE1A22" w:rsidRDefault="009671BE" w:rsidP="009671BE">
            <w:pPr>
              <w:spacing w:before="100" w:beforeAutospacing="1" w:after="100" w:afterAutospacing="1"/>
              <w:contextualSpacing/>
              <w:jc w:val="both"/>
              <w:rPr>
                <w:rFonts w:eastAsia="Times New Roman"/>
                <w:sz w:val="24"/>
                <w:szCs w:val="24"/>
                <w:lang w:eastAsia="lv-LV"/>
              </w:rPr>
            </w:pPr>
            <w:r w:rsidRPr="009671BE">
              <w:rPr>
                <w:rFonts w:eastAsia="Times New Roman"/>
                <w:sz w:val="24"/>
                <w:szCs w:val="24"/>
                <w:lang w:eastAsia="lv-LV"/>
              </w:rPr>
              <w:t xml:space="preserve">LSBA uztur iebildumu. LSBA norāda, ka iebildumu varētu atsaukt, ja pamatnostādņu projekta 1.rīcības virziena “Atkarības profilakses, preventīvie, problemātiskā spēlētāja atbalsts un sabiedrības izglītojoši pasākumi” 1.uzdevumā, kas </w:t>
            </w:r>
            <w:r w:rsidRPr="009671BE">
              <w:rPr>
                <w:rFonts w:eastAsia="Times New Roman"/>
                <w:sz w:val="24"/>
                <w:szCs w:val="24"/>
                <w:lang w:eastAsia="lv-LV"/>
              </w:rPr>
              <w:lastRenderedPageBreak/>
              <w:t>paredz paplašināt to vietu uzskaitījumu, kur aizliegts organizēt azartspēles, netiktu paplašināti ierobežojumi vietām, kur aizliegts organizēt azartspēles.</w:t>
            </w:r>
          </w:p>
        </w:tc>
        <w:tc>
          <w:tcPr>
            <w:tcW w:w="832" w:type="pct"/>
            <w:shd w:val="clear" w:color="auto" w:fill="auto"/>
          </w:tcPr>
          <w:p w14:paraId="5F81EBF1" w14:textId="77777777" w:rsidR="00A24C5D" w:rsidRPr="00DE1A22" w:rsidRDefault="009671BE" w:rsidP="00897097">
            <w:pPr>
              <w:spacing w:after="120"/>
              <w:jc w:val="both"/>
              <w:rPr>
                <w:rFonts w:eastAsia="Times New Roman"/>
                <w:sz w:val="24"/>
                <w:szCs w:val="24"/>
                <w:lang w:eastAsia="lv-LV"/>
              </w:rPr>
            </w:pPr>
            <w:r w:rsidRPr="009671BE">
              <w:rPr>
                <w:rFonts w:eastAsia="Times New Roman"/>
                <w:b/>
                <w:sz w:val="24"/>
                <w:szCs w:val="24"/>
                <w:lang w:eastAsia="lv-LV"/>
              </w:rPr>
              <w:lastRenderedPageBreak/>
              <w:t>Pamatnostādņu 4. sadaļas 1. rīcības virziena</w:t>
            </w:r>
            <w:r>
              <w:rPr>
                <w:rFonts w:eastAsia="Times New Roman"/>
                <w:sz w:val="24"/>
                <w:szCs w:val="24"/>
                <w:lang w:eastAsia="lv-LV"/>
              </w:rPr>
              <w:t xml:space="preserve"> “Atkarības profilakses, preventīvie</w:t>
            </w:r>
            <w:r w:rsidRPr="00DE1A22">
              <w:rPr>
                <w:rFonts w:eastAsia="Times New Roman"/>
                <w:sz w:val="24"/>
                <w:szCs w:val="24"/>
                <w:lang w:eastAsia="lv-LV"/>
              </w:rPr>
              <w:t>, problemātiskā spēlētāja atbalsts un sabiedrības izglītojoši pasākumi”</w:t>
            </w:r>
            <w:r>
              <w:rPr>
                <w:rFonts w:eastAsia="Times New Roman"/>
                <w:sz w:val="24"/>
                <w:szCs w:val="24"/>
                <w:lang w:eastAsia="lv-LV"/>
              </w:rPr>
              <w:t xml:space="preserve"> </w:t>
            </w:r>
            <w:r w:rsidRPr="009671BE">
              <w:rPr>
                <w:rFonts w:eastAsia="Times New Roman"/>
                <w:b/>
                <w:sz w:val="24"/>
                <w:szCs w:val="24"/>
                <w:lang w:eastAsia="lv-LV"/>
              </w:rPr>
              <w:t>10. uzdevums</w:t>
            </w:r>
            <w:r>
              <w:rPr>
                <w:rFonts w:eastAsia="Times New Roman"/>
                <w:sz w:val="24"/>
                <w:szCs w:val="24"/>
                <w:lang w:eastAsia="lv-LV"/>
              </w:rPr>
              <w:t xml:space="preserve"> “</w:t>
            </w:r>
            <w:r w:rsidRPr="009671BE">
              <w:rPr>
                <w:rFonts w:eastAsia="Times New Roman"/>
                <w:sz w:val="24"/>
                <w:szCs w:val="24"/>
                <w:lang w:eastAsia="lv-LV"/>
              </w:rPr>
              <w:t xml:space="preserve">Noteikt vecuma ierobežojumu dalībai </w:t>
            </w:r>
            <w:r>
              <w:rPr>
                <w:rFonts w:eastAsia="Times New Roman"/>
                <w:sz w:val="24"/>
                <w:szCs w:val="24"/>
                <w:lang w:eastAsia="lv-LV"/>
              </w:rPr>
              <w:t>azartspēlēs no 21 gada vecuma.”</w:t>
            </w:r>
          </w:p>
        </w:tc>
      </w:tr>
      <w:tr w:rsidR="009671BE" w:rsidRPr="00DE1A22" w14:paraId="657C9DEE" w14:textId="77777777" w:rsidTr="001874CB">
        <w:tc>
          <w:tcPr>
            <w:tcW w:w="230" w:type="pct"/>
            <w:shd w:val="clear" w:color="auto" w:fill="auto"/>
          </w:tcPr>
          <w:p w14:paraId="7CA890A7" w14:textId="77777777" w:rsidR="009671BE" w:rsidRDefault="003C2AE4" w:rsidP="0047381A">
            <w:pPr>
              <w:spacing w:before="100" w:beforeAutospacing="1" w:after="100" w:afterAutospacing="1"/>
              <w:jc w:val="center"/>
              <w:rPr>
                <w:rFonts w:eastAsia="Times New Roman"/>
                <w:sz w:val="24"/>
                <w:szCs w:val="24"/>
                <w:lang w:eastAsia="lv-LV"/>
              </w:rPr>
            </w:pPr>
            <w:r>
              <w:rPr>
                <w:rFonts w:eastAsia="Times New Roman"/>
                <w:sz w:val="24"/>
                <w:szCs w:val="24"/>
                <w:lang w:eastAsia="lv-LV"/>
              </w:rPr>
              <w:lastRenderedPageBreak/>
              <w:t>2.</w:t>
            </w:r>
          </w:p>
        </w:tc>
        <w:tc>
          <w:tcPr>
            <w:tcW w:w="934" w:type="pct"/>
            <w:shd w:val="clear" w:color="auto" w:fill="auto"/>
          </w:tcPr>
          <w:p w14:paraId="69C25153" w14:textId="77777777" w:rsidR="009671BE" w:rsidRPr="009671BE" w:rsidRDefault="003C2AE4" w:rsidP="00897097">
            <w:pPr>
              <w:jc w:val="both"/>
              <w:rPr>
                <w:rFonts w:eastAsia="Times New Roman"/>
                <w:b/>
                <w:sz w:val="24"/>
                <w:szCs w:val="24"/>
                <w:lang w:eastAsia="lv-LV"/>
              </w:rPr>
            </w:pPr>
            <w:r w:rsidRPr="009671BE">
              <w:rPr>
                <w:rFonts w:eastAsia="Times New Roman"/>
                <w:b/>
                <w:sz w:val="24"/>
                <w:szCs w:val="24"/>
                <w:lang w:eastAsia="lv-LV"/>
              </w:rPr>
              <w:t>Pamatnostādņu 4. sadaļas 1. rīcības virziena</w:t>
            </w:r>
            <w:r>
              <w:rPr>
                <w:rFonts w:eastAsia="Times New Roman"/>
                <w:sz w:val="24"/>
                <w:szCs w:val="24"/>
                <w:lang w:eastAsia="lv-LV"/>
              </w:rPr>
              <w:t xml:space="preserve"> “Atkarības profilakses, preventīvie</w:t>
            </w:r>
            <w:r w:rsidRPr="00DE1A22">
              <w:rPr>
                <w:rFonts w:eastAsia="Times New Roman"/>
                <w:sz w:val="24"/>
                <w:szCs w:val="24"/>
                <w:lang w:eastAsia="lv-LV"/>
              </w:rPr>
              <w:t>, problemātiskā spēlētāja atbalsts un sabiedrības izglītojoši pasākumi”</w:t>
            </w:r>
            <w:r>
              <w:rPr>
                <w:rFonts w:eastAsia="Times New Roman"/>
                <w:sz w:val="24"/>
                <w:szCs w:val="24"/>
                <w:lang w:eastAsia="lv-LV"/>
              </w:rPr>
              <w:t xml:space="preserve"> </w:t>
            </w:r>
            <w:r w:rsidRPr="009671BE">
              <w:rPr>
                <w:rFonts w:eastAsia="Times New Roman"/>
                <w:b/>
                <w:sz w:val="24"/>
                <w:szCs w:val="24"/>
                <w:lang w:eastAsia="lv-LV"/>
              </w:rPr>
              <w:t>10. uzdevums</w:t>
            </w:r>
            <w:r>
              <w:rPr>
                <w:rFonts w:eastAsia="Times New Roman"/>
                <w:sz w:val="24"/>
                <w:szCs w:val="24"/>
                <w:lang w:eastAsia="lv-LV"/>
              </w:rPr>
              <w:t xml:space="preserve"> “</w:t>
            </w:r>
            <w:r w:rsidRPr="009671BE">
              <w:rPr>
                <w:rFonts w:eastAsia="Times New Roman"/>
                <w:sz w:val="24"/>
                <w:szCs w:val="24"/>
                <w:lang w:eastAsia="lv-LV"/>
              </w:rPr>
              <w:t xml:space="preserve">Noteikt vecuma ierobežojumu dalībai </w:t>
            </w:r>
            <w:r>
              <w:rPr>
                <w:rFonts w:eastAsia="Times New Roman"/>
                <w:sz w:val="24"/>
                <w:szCs w:val="24"/>
                <w:lang w:eastAsia="lv-LV"/>
              </w:rPr>
              <w:t>azartspēlēs no 21 gada vecuma.”</w:t>
            </w:r>
          </w:p>
        </w:tc>
        <w:tc>
          <w:tcPr>
            <w:tcW w:w="1340" w:type="pct"/>
            <w:shd w:val="clear" w:color="auto" w:fill="auto"/>
          </w:tcPr>
          <w:p w14:paraId="192EE07C" w14:textId="77777777" w:rsidR="000058F9" w:rsidRDefault="003C2AE4" w:rsidP="003C2AE4">
            <w:pPr>
              <w:jc w:val="center"/>
              <w:rPr>
                <w:rFonts w:eastAsia="Times New Roman"/>
                <w:b/>
                <w:sz w:val="24"/>
                <w:szCs w:val="24"/>
              </w:rPr>
            </w:pPr>
            <w:r w:rsidRPr="00DE1A22">
              <w:rPr>
                <w:rFonts w:eastAsia="Times New Roman"/>
                <w:b/>
                <w:sz w:val="24"/>
                <w:szCs w:val="24"/>
              </w:rPr>
              <w:t xml:space="preserve">Latvijas interaktīvo azartspēļu biedrība </w:t>
            </w:r>
          </w:p>
          <w:p w14:paraId="5EB6C454" w14:textId="05FEC096" w:rsidR="003C2AE4" w:rsidRDefault="003C2AE4" w:rsidP="003C2AE4">
            <w:pPr>
              <w:jc w:val="center"/>
              <w:rPr>
                <w:rFonts w:eastAsia="Times New Roman"/>
                <w:b/>
                <w:sz w:val="24"/>
                <w:szCs w:val="24"/>
              </w:rPr>
            </w:pPr>
            <w:r>
              <w:rPr>
                <w:rFonts w:eastAsia="Times New Roman"/>
                <w:b/>
                <w:sz w:val="24"/>
                <w:szCs w:val="24"/>
              </w:rPr>
              <w:t xml:space="preserve"> (LIAB)</w:t>
            </w:r>
          </w:p>
          <w:p w14:paraId="2496A8ED" w14:textId="77777777" w:rsidR="003C2AE4" w:rsidRPr="003C2AE4" w:rsidRDefault="003C2AE4" w:rsidP="003C2AE4">
            <w:pPr>
              <w:jc w:val="center"/>
              <w:rPr>
                <w:rFonts w:eastAsia="Times New Roman"/>
                <w:b/>
                <w:sz w:val="24"/>
                <w:szCs w:val="24"/>
              </w:rPr>
            </w:pPr>
            <w:r w:rsidRPr="003C2AE4">
              <w:rPr>
                <w:rFonts w:eastAsia="Times New Roman"/>
                <w:b/>
                <w:sz w:val="24"/>
                <w:szCs w:val="24"/>
              </w:rPr>
              <w:t>(30.12.2020.)</w:t>
            </w:r>
          </w:p>
          <w:p w14:paraId="42DB60D7" w14:textId="77777777" w:rsidR="003C2AE4" w:rsidRPr="003C2AE4" w:rsidRDefault="003C2AE4" w:rsidP="003C2AE4">
            <w:pPr>
              <w:jc w:val="both"/>
              <w:rPr>
                <w:rFonts w:eastAsia="Times New Roman"/>
                <w:sz w:val="24"/>
                <w:szCs w:val="24"/>
              </w:rPr>
            </w:pPr>
            <w:r w:rsidRPr="003C2AE4">
              <w:rPr>
                <w:rFonts w:eastAsia="Times New Roman"/>
                <w:sz w:val="24"/>
                <w:szCs w:val="24"/>
              </w:rPr>
              <w:t xml:space="preserve">21 gada vecuma ierobežojuma attiecināšana uz visiem azartspēļu veidiem ir nepamatota un pretrunā ar Pamatnostādņu pielikuma “Esošās situācijas vispārīgs raksturojums” (turpmāk – Pielikums) 2.4.apakšnodaļas netiešo preventīvo pasākumu 3.punktā norādītajiem apsvērumiem. Proti, dažādi azartspēļu veidi ir saistīti ar atšķirīgu atkarības riska līmeni. Balstoties uz pētījumu rezultātiem par azartspēļu atkarības risku, ir secināts, ka izlozes, derības un totalizatori ir tie azartspēļu veidi, kuri vismazāk saistās ar azartspēļu atkarības veidošanos. Tādēļ ES valstīs ir līdzīga, saudzīgāka pieeja regulējumā par vecuma ierobežojumu dalībai izlozēs, derībās un totalizatoros – gandrīz visās ES valstīs derības, totalizatorus un izlozes ir atļauts spēlēt sākot no 18 gadu vecuma. </w:t>
            </w:r>
          </w:p>
          <w:p w14:paraId="751F02A7" w14:textId="77777777" w:rsidR="003C2AE4" w:rsidRPr="003C2AE4" w:rsidRDefault="003C2AE4" w:rsidP="003C2AE4">
            <w:pPr>
              <w:jc w:val="both"/>
              <w:rPr>
                <w:rFonts w:eastAsia="Times New Roman"/>
                <w:sz w:val="24"/>
                <w:szCs w:val="24"/>
              </w:rPr>
            </w:pPr>
            <w:r w:rsidRPr="003C2AE4">
              <w:rPr>
                <w:rFonts w:eastAsia="Times New Roman"/>
                <w:sz w:val="24"/>
                <w:szCs w:val="24"/>
              </w:rPr>
              <w:t xml:space="preserve">Vadoties no iepriekš minētā, LIAB ieskatā uz derībām un totalizatoriem būtu attiecināms 18 gadu vecuma ierobežojums, līdzīgi, kā tas ir noteikts </w:t>
            </w:r>
            <w:r w:rsidRPr="003C2AE4">
              <w:rPr>
                <w:rFonts w:eastAsia="Times New Roman"/>
                <w:sz w:val="24"/>
                <w:szCs w:val="24"/>
              </w:rPr>
              <w:lastRenderedPageBreak/>
              <w:t xml:space="preserve">Pamatnostādņu 1. rīcības virziena 11. uzdevumā attiecībā uz dalību izlozēs. Ņemot vērā Pielikuma 2.4.apakšnodaļas netiešo preventīvo pasākumu 3.punktā norādīto par trīs azartspēļu veidiem ar vismazāko atkarības veidošanās risku, nav pamatoti tikai izlozēm piemērot vieglāku vecuma ierobežojumu (18 gadi), bet abiem pārējiem azartspēļu veidiem piemērot stingrāku vecuma ierobežojumu (21 gads), kas līdzvērtīgs ar vecuma ierobežojumu citiem azartspēļu veidiem, kuri saistās ar lielākiem atkarības veidošanās riskiem. </w:t>
            </w:r>
          </w:p>
          <w:p w14:paraId="41B5A5BF" w14:textId="77777777" w:rsidR="009671BE" w:rsidRPr="003C2AE4" w:rsidRDefault="003C2AE4" w:rsidP="003C2AE4">
            <w:pPr>
              <w:jc w:val="both"/>
              <w:rPr>
                <w:rFonts w:eastAsia="Times New Roman"/>
                <w:sz w:val="24"/>
                <w:szCs w:val="24"/>
              </w:rPr>
            </w:pPr>
            <w:r w:rsidRPr="003C2AE4">
              <w:rPr>
                <w:rFonts w:eastAsia="Times New Roman"/>
                <w:sz w:val="24"/>
                <w:szCs w:val="24"/>
              </w:rPr>
              <w:t>Turklāt, jāņem vērā, ka derības un totalizatori ir saistīti ar dažādu sporta notikumu norisi un to rezultātu prognozēšanu. Jaunu cilvēku vidū vecuma grupā no 18 līdz 21 gadam interese par sporta pasākumiem ir ļoti izplatīta, un, ierobežojot iespēju šai vecuma grupai piedalīties derībās un totalizatoros par sporta notikumiem, palielinās risks šai auditorijai pievērsties nelegālā azartspēļu tirgus piedāvātajiem pakalpojumiem, kas ir viegli pieejami. Tādējādi nelegālā tirgus riski auditorijai 18 līdz 21 gada vecumā ir augstāki nekā azartspēļu atkarības rašanās riski, jo salīdzinoši nepieredzējusī un līdz ar to vismazāk aizsargātā auditorijas daļa šādā veidā netieši var tikt novirzīta uz nedrošu, neuzraudzītu un nekontrolētu azartspēļu vidi.</w:t>
            </w:r>
          </w:p>
        </w:tc>
        <w:tc>
          <w:tcPr>
            <w:tcW w:w="878" w:type="pct"/>
            <w:shd w:val="clear" w:color="auto" w:fill="auto"/>
          </w:tcPr>
          <w:p w14:paraId="70A46B92" w14:textId="732D92BE" w:rsidR="009671BE" w:rsidRDefault="00576E57" w:rsidP="00941E96">
            <w:pPr>
              <w:jc w:val="center"/>
              <w:rPr>
                <w:rFonts w:eastAsia="Times New Roman"/>
                <w:b/>
                <w:bCs/>
                <w:sz w:val="24"/>
                <w:szCs w:val="24"/>
                <w:lang w:eastAsia="lv-LV"/>
              </w:rPr>
            </w:pPr>
            <w:r>
              <w:rPr>
                <w:rFonts w:eastAsia="Times New Roman"/>
                <w:b/>
                <w:bCs/>
                <w:sz w:val="24"/>
                <w:szCs w:val="24"/>
                <w:lang w:eastAsia="lv-LV"/>
              </w:rPr>
              <w:lastRenderedPageBreak/>
              <w:t xml:space="preserve">Pēc 13.01.2021. starpministriju (starpinstitūciju) </w:t>
            </w:r>
            <w:r w:rsidRPr="00541F9F">
              <w:rPr>
                <w:rFonts w:eastAsia="Times New Roman"/>
                <w:bCs/>
                <w:sz w:val="24"/>
                <w:szCs w:val="24"/>
                <w:lang w:eastAsia="lv-LV"/>
              </w:rPr>
              <w:t>sanāksmes nebi</w:t>
            </w:r>
            <w:r w:rsidR="00941E96">
              <w:rPr>
                <w:rFonts w:eastAsia="Times New Roman"/>
                <w:bCs/>
                <w:sz w:val="24"/>
                <w:szCs w:val="24"/>
                <w:lang w:eastAsia="lv-LV"/>
              </w:rPr>
              <w:t>ja iespējams panākt vienošanos.</w:t>
            </w:r>
          </w:p>
        </w:tc>
        <w:tc>
          <w:tcPr>
            <w:tcW w:w="786" w:type="pct"/>
            <w:shd w:val="clear" w:color="auto" w:fill="auto"/>
          </w:tcPr>
          <w:p w14:paraId="6EBFC269" w14:textId="77777777" w:rsidR="003C2AE4" w:rsidRPr="00361C01" w:rsidRDefault="003C2AE4" w:rsidP="003C2AE4">
            <w:pPr>
              <w:jc w:val="center"/>
              <w:rPr>
                <w:b/>
                <w:sz w:val="24"/>
              </w:rPr>
            </w:pPr>
            <w:r w:rsidRPr="00361C01">
              <w:rPr>
                <w:b/>
                <w:sz w:val="24"/>
              </w:rPr>
              <w:t>13.01.2021. starpministriju (starpinstitūciju) sanāksme</w:t>
            </w:r>
          </w:p>
          <w:p w14:paraId="4D923872" w14:textId="77777777" w:rsidR="003C2AE4" w:rsidRPr="00361C01" w:rsidRDefault="003C2AE4" w:rsidP="003C2AE4">
            <w:pPr>
              <w:jc w:val="both"/>
              <w:rPr>
                <w:sz w:val="24"/>
              </w:rPr>
            </w:pPr>
          </w:p>
          <w:p w14:paraId="7D8C4274" w14:textId="77777777" w:rsidR="003C2AE4" w:rsidRPr="00361C01" w:rsidRDefault="003C2AE4" w:rsidP="003C2AE4">
            <w:pPr>
              <w:jc w:val="both"/>
              <w:rPr>
                <w:sz w:val="24"/>
              </w:rPr>
            </w:pPr>
            <w:r w:rsidRPr="00361C01">
              <w:rPr>
                <w:sz w:val="24"/>
              </w:rPr>
              <w:t>LIAB uztur iebildumu. Vienlaikus LIAB norāda, ka būtu nepieciešams papildināt pamatnostādņu projektu ar atsauci uz Satversmes tiesas 2020.gada 11.decembra spriedumu lietā Nr.2020-26-0106 un tajā iekļautajām atziņām.</w:t>
            </w:r>
          </w:p>
          <w:p w14:paraId="08DE6291" w14:textId="77777777" w:rsidR="003C2AE4" w:rsidRPr="00361C01" w:rsidRDefault="003C2AE4" w:rsidP="003C2AE4">
            <w:pPr>
              <w:jc w:val="both"/>
              <w:rPr>
                <w:sz w:val="24"/>
              </w:rPr>
            </w:pPr>
          </w:p>
          <w:p w14:paraId="5678030E" w14:textId="77777777" w:rsidR="009671BE" w:rsidRPr="00361C01" w:rsidRDefault="009671BE" w:rsidP="009671BE">
            <w:pPr>
              <w:spacing w:before="100" w:beforeAutospacing="1" w:after="100" w:afterAutospacing="1"/>
              <w:contextualSpacing/>
              <w:jc w:val="center"/>
              <w:rPr>
                <w:rFonts w:eastAsia="Times New Roman"/>
                <w:b/>
                <w:sz w:val="24"/>
                <w:szCs w:val="24"/>
                <w:lang w:eastAsia="lv-LV"/>
              </w:rPr>
            </w:pPr>
          </w:p>
        </w:tc>
        <w:tc>
          <w:tcPr>
            <w:tcW w:w="832" w:type="pct"/>
            <w:shd w:val="clear" w:color="auto" w:fill="auto"/>
          </w:tcPr>
          <w:p w14:paraId="551A1AA2" w14:textId="77777777" w:rsidR="009671BE" w:rsidRPr="009671BE" w:rsidRDefault="003C2AE4" w:rsidP="00897097">
            <w:pPr>
              <w:spacing w:after="120"/>
              <w:jc w:val="both"/>
              <w:rPr>
                <w:rFonts w:eastAsia="Times New Roman"/>
                <w:b/>
                <w:sz w:val="24"/>
                <w:szCs w:val="24"/>
                <w:lang w:eastAsia="lv-LV"/>
              </w:rPr>
            </w:pPr>
            <w:r w:rsidRPr="009671BE">
              <w:rPr>
                <w:rFonts w:eastAsia="Times New Roman"/>
                <w:b/>
                <w:sz w:val="24"/>
                <w:szCs w:val="24"/>
                <w:lang w:eastAsia="lv-LV"/>
              </w:rPr>
              <w:t>Pamatnostādņu 4. sadaļas 1. rīcības virziena</w:t>
            </w:r>
            <w:r>
              <w:rPr>
                <w:rFonts w:eastAsia="Times New Roman"/>
                <w:sz w:val="24"/>
                <w:szCs w:val="24"/>
                <w:lang w:eastAsia="lv-LV"/>
              </w:rPr>
              <w:t xml:space="preserve"> “Atkarības profilakses, preventīvie</w:t>
            </w:r>
            <w:r w:rsidRPr="00DE1A22">
              <w:rPr>
                <w:rFonts w:eastAsia="Times New Roman"/>
                <w:sz w:val="24"/>
                <w:szCs w:val="24"/>
                <w:lang w:eastAsia="lv-LV"/>
              </w:rPr>
              <w:t>, problemātiskā spēlētāja atbalsts un sabiedrības izglītojoši pasākumi”</w:t>
            </w:r>
            <w:r>
              <w:rPr>
                <w:rFonts w:eastAsia="Times New Roman"/>
                <w:sz w:val="24"/>
                <w:szCs w:val="24"/>
                <w:lang w:eastAsia="lv-LV"/>
              </w:rPr>
              <w:t xml:space="preserve"> </w:t>
            </w:r>
            <w:r w:rsidRPr="009671BE">
              <w:rPr>
                <w:rFonts w:eastAsia="Times New Roman"/>
                <w:b/>
                <w:sz w:val="24"/>
                <w:szCs w:val="24"/>
                <w:lang w:eastAsia="lv-LV"/>
              </w:rPr>
              <w:t>10. uzdevums</w:t>
            </w:r>
            <w:r>
              <w:rPr>
                <w:rFonts w:eastAsia="Times New Roman"/>
                <w:sz w:val="24"/>
                <w:szCs w:val="24"/>
                <w:lang w:eastAsia="lv-LV"/>
              </w:rPr>
              <w:t xml:space="preserve"> “</w:t>
            </w:r>
            <w:r w:rsidRPr="009671BE">
              <w:rPr>
                <w:rFonts w:eastAsia="Times New Roman"/>
                <w:sz w:val="24"/>
                <w:szCs w:val="24"/>
                <w:lang w:eastAsia="lv-LV"/>
              </w:rPr>
              <w:t xml:space="preserve">Noteikt vecuma ierobežojumu dalībai </w:t>
            </w:r>
            <w:r>
              <w:rPr>
                <w:rFonts w:eastAsia="Times New Roman"/>
                <w:sz w:val="24"/>
                <w:szCs w:val="24"/>
                <w:lang w:eastAsia="lv-LV"/>
              </w:rPr>
              <w:t>azartspēlēs no 21 gada vecuma.”</w:t>
            </w:r>
          </w:p>
        </w:tc>
      </w:tr>
      <w:tr w:rsidR="005977A3" w:rsidRPr="00DE1A22" w14:paraId="0E76E1BF" w14:textId="77777777" w:rsidTr="001874CB">
        <w:tc>
          <w:tcPr>
            <w:tcW w:w="230" w:type="pct"/>
            <w:shd w:val="clear" w:color="auto" w:fill="auto"/>
          </w:tcPr>
          <w:p w14:paraId="78C38E92" w14:textId="77777777" w:rsidR="005977A3" w:rsidRDefault="005977A3" w:rsidP="005977A3">
            <w:pPr>
              <w:spacing w:before="100" w:beforeAutospacing="1" w:after="100" w:afterAutospacing="1"/>
              <w:jc w:val="center"/>
              <w:rPr>
                <w:rFonts w:eastAsia="Times New Roman"/>
                <w:sz w:val="24"/>
                <w:szCs w:val="24"/>
                <w:lang w:eastAsia="lv-LV"/>
              </w:rPr>
            </w:pPr>
            <w:r>
              <w:rPr>
                <w:rFonts w:eastAsia="Times New Roman"/>
                <w:sz w:val="24"/>
                <w:szCs w:val="24"/>
                <w:lang w:eastAsia="lv-LV"/>
              </w:rPr>
              <w:lastRenderedPageBreak/>
              <w:t>3.</w:t>
            </w:r>
          </w:p>
        </w:tc>
        <w:tc>
          <w:tcPr>
            <w:tcW w:w="934" w:type="pct"/>
            <w:shd w:val="clear" w:color="auto" w:fill="auto"/>
          </w:tcPr>
          <w:p w14:paraId="01417273" w14:textId="77777777" w:rsidR="005977A3" w:rsidRPr="00DE1A22" w:rsidRDefault="005977A3" w:rsidP="005977A3">
            <w:pPr>
              <w:jc w:val="both"/>
              <w:rPr>
                <w:rFonts w:eastAsia="Times New Roman"/>
                <w:sz w:val="24"/>
                <w:szCs w:val="24"/>
                <w:lang w:eastAsia="lv-LV"/>
              </w:rPr>
            </w:pPr>
            <w:r w:rsidRPr="00CC420A">
              <w:rPr>
                <w:rFonts w:eastAsia="Times New Roman"/>
                <w:b/>
                <w:sz w:val="24"/>
                <w:szCs w:val="24"/>
                <w:lang w:eastAsia="lv-LV"/>
              </w:rPr>
              <w:t>Pamatnostādņu 4.sadaļas 1. rīcības virziena</w:t>
            </w:r>
            <w:r w:rsidRPr="00DE1A22">
              <w:rPr>
                <w:rFonts w:eastAsia="Times New Roman"/>
                <w:sz w:val="24"/>
                <w:szCs w:val="24"/>
                <w:lang w:eastAsia="lv-LV"/>
              </w:rPr>
              <w:t xml:space="preserve"> “Atkarības profilakses, preventīvie, problemātiskā spēlētāja atbalsts un sabiedrības izglītojoši pasākumi” </w:t>
            </w:r>
            <w:r w:rsidRPr="00CC420A">
              <w:rPr>
                <w:rFonts w:eastAsia="Times New Roman"/>
                <w:b/>
                <w:sz w:val="24"/>
                <w:szCs w:val="24"/>
                <w:lang w:eastAsia="lv-LV"/>
              </w:rPr>
              <w:t>13. uzdevums</w:t>
            </w:r>
            <w:r w:rsidRPr="00DE1A22">
              <w:rPr>
                <w:rFonts w:eastAsia="Times New Roman"/>
                <w:sz w:val="24"/>
                <w:szCs w:val="24"/>
                <w:lang w:eastAsia="lv-LV"/>
              </w:rPr>
              <w:t xml:space="preserve">  “AIL noteikt ierobežojumu darba laikam azartspēļu zālēs, sākot no 3:00  līdz  6:00. Nodrošināt interaktīvajā vidē ierobežojumu dalībai interaktīvajās azartspēlēs, paredzot trīs stundu pārtraukumu diennakts laikā.”</w:t>
            </w:r>
          </w:p>
        </w:tc>
        <w:tc>
          <w:tcPr>
            <w:tcW w:w="1340" w:type="pct"/>
            <w:shd w:val="clear" w:color="auto" w:fill="auto"/>
          </w:tcPr>
          <w:p w14:paraId="46D05F8C" w14:textId="77777777" w:rsidR="005977A3" w:rsidRPr="00361C01" w:rsidRDefault="005977A3" w:rsidP="005977A3">
            <w:pPr>
              <w:jc w:val="center"/>
              <w:rPr>
                <w:b/>
                <w:bCs/>
                <w:sz w:val="24"/>
              </w:rPr>
            </w:pPr>
            <w:r w:rsidRPr="00361C01">
              <w:rPr>
                <w:b/>
                <w:bCs/>
                <w:sz w:val="24"/>
              </w:rPr>
              <w:t>LSBA</w:t>
            </w:r>
          </w:p>
          <w:p w14:paraId="4CE96830" w14:textId="444F83E3" w:rsidR="005977A3" w:rsidRPr="00361C01" w:rsidRDefault="005977A3" w:rsidP="000058F9">
            <w:pPr>
              <w:jc w:val="center"/>
              <w:rPr>
                <w:b/>
                <w:bCs/>
                <w:sz w:val="24"/>
              </w:rPr>
            </w:pPr>
            <w:r w:rsidRPr="00361C01">
              <w:rPr>
                <w:b/>
                <w:bCs/>
                <w:sz w:val="24"/>
              </w:rPr>
              <w:t>(17.12.2020. Nr.22/20)</w:t>
            </w:r>
          </w:p>
          <w:p w14:paraId="314EDF1E" w14:textId="77777777" w:rsidR="005977A3" w:rsidRPr="00361C01" w:rsidRDefault="005977A3" w:rsidP="005977A3">
            <w:pPr>
              <w:jc w:val="both"/>
              <w:rPr>
                <w:sz w:val="24"/>
              </w:rPr>
            </w:pPr>
            <w:r w:rsidRPr="00361C01">
              <w:rPr>
                <w:sz w:val="24"/>
              </w:rPr>
              <w:t xml:space="preserve">Prakse rāda, ka darba laika ierobežojuma noteikšana nedod vēlamo efektu. Piemēram, līdzīgs ierobežojums ir noteikts alkohola tirdzniecībai (alkohola tirdzniecības aizliegums no plkst. 22.00 līdz plkst. 8.00). Kopš 2005. gada reģistrētā absolūtā alkohola patēriņš litros ir audzis.  Arī 2019.gada septembrī tika ziņots par tendences saglabāšanos. </w:t>
            </w:r>
          </w:p>
          <w:p w14:paraId="39D24808" w14:textId="77777777" w:rsidR="005977A3" w:rsidRPr="00361C01" w:rsidRDefault="005977A3" w:rsidP="005977A3">
            <w:pPr>
              <w:jc w:val="both"/>
              <w:rPr>
                <w:sz w:val="24"/>
              </w:rPr>
            </w:pPr>
            <w:r w:rsidRPr="00361C01">
              <w:rPr>
                <w:sz w:val="24"/>
              </w:rPr>
              <w:t xml:space="preserve">Lūdzam ņemt vērā arī kazino pakalpojumu īpatnības – tie lielā mērā ir vērsti uz ārvalstu viesiem un spēlētājus interesējošais darba laiks ir arī pēc plkst. 6.00. </w:t>
            </w:r>
          </w:p>
          <w:p w14:paraId="53223558" w14:textId="77777777" w:rsidR="005977A3" w:rsidRPr="00361C01" w:rsidRDefault="005977A3" w:rsidP="005977A3">
            <w:pPr>
              <w:jc w:val="both"/>
              <w:rPr>
                <w:sz w:val="24"/>
              </w:rPr>
            </w:pPr>
            <w:r w:rsidRPr="00361C01">
              <w:rPr>
                <w:sz w:val="24"/>
              </w:rPr>
              <w:t>Vēršam arī uzmanību, ka LSBA biedri nav novērojuši, ka būtu spēlētāji, kuri azartspēļu vietā pavada laiku nepārtraukti ilgāk par 21 stundām.</w:t>
            </w:r>
          </w:p>
          <w:p w14:paraId="62655406" w14:textId="77777777" w:rsidR="005977A3" w:rsidRPr="00361C01" w:rsidRDefault="005977A3" w:rsidP="005977A3">
            <w:pPr>
              <w:jc w:val="both"/>
              <w:rPr>
                <w:sz w:val="24"/>
              </w:rPr>
            </w:pPr>
            <w:r w:rsidRPr="00361C01">
              <w:rPr>
                <w:sz w:val="24"/>
              </w:rPr>
              <w:t xml:space="preserve">Pēc Latvijas interaktīvo azartspēļu biedrības apkopotās informācijas par spēlētāju spēles paradumiem interaktīvajās azartspēlēs, kurās ir pieejami precīzi dati par katra klienta spēlē pavadīto laiku, konstatēts, ka vidējais spēles ilgums ir aptuveni 40 minūtes. Savukārt, 99% no visām sesijām nav bijušas ilgākas par 5 stundām un 30 minūtēm. Par 1 stundu un 50 minūtēm ilgākas nav bijušas 90% no visām spēles sesijām. Tikai 0,5% no visām spēles sesijām ir bijušas ilgākas par 10 stundām, savukārt nav konstatēta neviena spēles sesija, kas ilgtu 20 </w:t>
            </w:r>
            <w:r w:rsidRPr="00361C01">
              <w:rPr>
                <w:sz w:val="24"/>
              </w:rPr>
              <w:lastRenderedPageBreak/>
              <w:t xml:space="preserve">stundas. Nav pamata uzskatīt, ka “zemes” spēļu klientiem būtu savādāki paradumi attiecībā uz spēles ilgumu. Gluži pretēji, mūsdienās tehnoloģijas un internets ir tik ļoti attīstījies, ka cilvēki arvien vairāk pakalpojumus izvēlas saņemt tieši interaktīvajā vidē, ņemot vērā to pieejamību, ērtumu un apstākli, ka tos var saņemt, neizejot no mājām. Lai nodrošinātu spēlētāju iespēju brīvi izvēlēties laiku, ko pavadīt azartspēļu vietās, LSBA lūdz izvērtēt šādu iespējamo uzdevumu: </w:t>
            </w:r>
          </w:p>
          <w:p w14:paraId="645548F6" w14:textId="77777777" w:rsidR="005977A3" w:rsidRPr="00361C01" w:rsidRDefault="005977A3" w:rsidP="005977A3">
            <w:pPr>
              <w:jc w:val="both"/>
              <w:rPr>
                <w:sz w:val="24"/>
              </w:rPr>
            </w:pPr>
            <w:r w:rsidRPr="00361C01">
              <w:rPr>
                <w:sz w:val="24"/>
              </w:rPr>
              <w:t>“Noteikt azartspēļu organizētājiem pienākumu nodrošināt, ka spēlētājs azartspēļu zālē nepavada nepārtraukti vairāk par 21 stundu.”</w:t>
            </w:r>
          </w:p>
        </w:tc>
        <w:tc>
          <w:tcPr>
            <w:tcW w:w="878" w:type="pct"/>
            <w:shd w:val="clear" w:color="auto" w:fill="auto"/>
          </w:tcPr>
          <w:p w14:paraId="36DCFCF4" w14:textId="625C8EC9" w:rsidR="005977A3" w:rsidRDefault="00CC420A" w:rsidP="00941E96">
            <w:pPr>
              <w:jc w:val="center"/>
              <w:rPr>
                <w:rFonts w:eastAsia="Times New Roman"/>
                <w:b/>
                <w:bCs/>
                <w:sz w:val="24"/>
                <w:szCs w:val="24"/>
                <w:lang w:eastAsia="lv-LV"/>
              </w:rPr>
            </w:pPr>
            <w:r>
              <w:rPr>
                <w:rFonts w:eastAsia="Times New Roman"/>
                <w:b/>
                <w:bCs/>
                <w:sz w:val="24"/>
                <w:szCs w:val="24"/>
                <w:lang w:eastAsia="lv-LV"/>
              </w:rPr>
              <w:lastRenderedPageBreak/>
              <w:t xml:space="preserve">Pēc 13.01.2021. starpministriju (starpinstitūciju) </w:t>
            </w:r>
            <w:r w:rsidRPr="00541F9F">
              <w:rPr>
                <w:rFonts w:eastAsia="Times New Roman"/>
                <w:bCs/>
                <w:sz w:val="24"/>
                <w:szCs w:val="24"/>
                <w:lang w:eastAsia="lv-LV"/>
              </w:rPr>
              <w:t>sanāksmes neb</w:t>
            </w:r>
            <w:r w:rsidR="00941E96">
              <w:rPr>
                <w:rFonts w:eastAsia="Times New Roman"/>
                <w:bCs/>
                <w:sz w:val="24"/>
                <w:szCs w:val="24"/>
                <w:lang w:eastAsia="lv-LV"/>
              </w:rPr>
              <w:t>ija iespējams panākt vienošanos.</w:t>
            </w:r>
          </w:p>
        </w:tc>
        <w:tc>
          <w:tcPr>
            <w:tcW w:w="786" w:type="pct"/>
            <w:shd w:val="clear" w:color="auto" w:fill="auto"/>
          </w:tcPr>
          <w:p w14:paraId="56E0F295" w14:textId="77777777" w:rsidR="005977A3" w:rsidRPr="00361C01" w:rsidRDefault="005977A3" w:rsidP="005977A3">
            <w:pPr>
              <w:jc w:val="center"/>
              <w:rPr>
                <w:b/>
                <w:sz w:val="24"/>
              </w:rPr>
            </w:pPr>
            <w:r w:rsidRPr="00361C01">
              <w:rPr>
                <w:b/>
                <w:sz w:val="24"/>
              </w:rPr>
              <w:t>13.01.2021. starpministriju (starpinstitūciju) sanāksme</w:t>
            </w:r>
          </w:p>
          <w:p w14:paraId="0EC72515" w14:textId="77777777" w:rsidR="005977A3" w:rsidRPr="00361C01" w:rsidRDefault="005977A3" w:rsidP="005977A3">
            <w:pPr>
              <w:jc w:val="both"/>
              <w:rPr>
                <w:sz w:val="24"/>
              </w:rPr>
            </w:pPr>
          </w:p>
          <w:p w14:paraId="08E66023" w14:textId="77777777" w:rsidR="005977A3" w:rsidRPr="00361C01" w:rsidRDefault="005977A3" w:rsidP="005977A3">
            <w:pPr>
              <w:jc w:val="both"/>
              <w:rPr>
                <w:sz w:val="24"/>
              </w:rPr>
            </w:pPr>
            <w:r w:rsidRPr="00361C01">
              <w:rPr>
                <w:sz w:val="24"/>
              </w:rPr>
              <w:t>LSBA uztur iebildumu.</w:t>
            </w:r>
          </w:p>
          <w:p w14:paraId="0902D976" w14:textId="77777777" w:rsidR="005977A3" w:rsidRPr="009D4C3A" w:rsidRDefault="005977A3" w:rsidP="005977A3">
            <w:pPr>
              <w:jc w:val="center"/>
              <w:rPr>
                <w:b/>
              </w:rPr>
            </w:pPr>
          </w:p>
        </w:tc>
        <w:tc>
          <w:tcPr>
            <w:tcW w:w="832" w:type="pct"/>
            <w:shd w:val="clear" w:color="auto" w:fill="auto"/>
          </w:tcPr>
          <w:p w14:paraId="4D5D46ED" w14:textId="7D71E5EB" w:rsidR="005977A3" w:rsidRPr="009671BE" w:rsidRDefault="00CC420A" w:rsidP="005977A3">
            <w:pPr>
              <w:jc w:val="both"/>
              <w:rPr>
                <w:rFonts w:eastAsia="Times New Roman"/>
                <w:b/>
                <w:sz w:val="24"/>
                <w:szCs w:val="24"/>
                <w:lang w:eastAsia="lv-LV"/>
              </w:rPr>
            </w:pPr>
            <w:r w:rsidRPr="00CC420A">
              <w:rPr>
                <w:rFonts w:eastAsia="Times New Roman"/>
                <w:b/>
                <w:sz w:val="24"/>
                <w:szCs w:val="24"/>
                <w:lang w:eastAsia="lv-LV"/>
              </w:rPr>
              <w:t>Pamatnostādņu 4.</w:t>
            </w:r>
            <w:r>
              <w:rPr>
                <w:rFonts w:eastAsia="Times New Roman"/>
                <w:b/>
                <w:sz w:val="24"/>
                <w:szCs w:val="24"/>
                <w:lang w:eastAsia="lv-LV"/>
              </w:rPr>
              <w:t>sadaļas 1.</w:t>
            </w:r>
            <w:r w:rsidRPr="00CC420A">
              <w:rPr>
                <w:rFonts w:eastAsia="Times New Roman"/>
                <w:b/>
                <w:sz w:val="24"/>
                <w:szCs w:val="24"/>
                <w:lang w:eastAsia="lv-LV"/>
              </w:rPr>
              <w:t>rīcības virziena</w:t>
            </w:r>
            <w:r w:rsidRPr="00DE1A22">
              <w:rPr>
                <w:rFonts w:eastAsia="Times New Roman"/>
                <w:sz w:val="24"/>
                <w:szCs w:val="24"/>
                <w:lang w:eastAsia="lv-LV"/>
              </w:rPr>
              <w:t xml:space="preserve"> “Atkarības profilakses, preventīvie, problemātiskā spēlētāja atbalsts un sabiedrības izglītojoši pasākumi”</w:t>
            </w:r>
            <w:r>
              <w:rPr>
                <w:rFonts w:eastAsia="Times New Roman"/>
                <w:sz w:val="24"/>
                <w:szCs w:val="24"/>
                <w:lang w:eastAsia="lv-LV"/>
              </w:rPr>
              <w:t xml:space="preserve"> </w:t>
            </w:r>
            <w:r w:rsidRPr="00CC420A">
              <w:rPr>
                <w:rFonts w:eastAsia="Times New Roman"/>
                <w:b/>
                <w:sz w:val="24"/>
                <w:szCs w:val="24"/>
                <w:lang w:eastAsia="lv-LV"/>
              </w:rPr>
              <w:t>12.uzdevums</w:t>
            </w:r>
            <w:r w:rsidRPr="00CC420A">
              <w:rPr>
                <w:rFonts w:eastAsia="Times New Roman"/>
                <w:sz w:val="24"/>
                <w:szCs w:val="24"/>
                <w:lang w:eastAsia="lv-LV"/>
              </w:rPr>
              <w:t xml:space="preserve"> “</w:t>
            </w:r>
            <w:r w:rsidRPr="00CC420A">
              <w:rPr>
                <w:rFonts w:eastAsia="Helvetica"/>
                <w:sz w:val="24"/>
                <w:szCs w:val="24"/>
              </w:rPr>
              <w:t>Normatīvajos aktos</w:t>
            </w:r>
            <w:r w:rsidRPr="00CC420A">
              <w:rPr>
                <w:color w:val="000000" w:themeColor="text1"/>
                <w:sz w:val="24"/>
                <w:szCs w:val="24"/>
              </w:rPr>
              <w:t xml:space="preserve"> noteikt ierobežojumu darba laikam azartspēlēm, sākot no 6.00 līdz 9.00, izņemot totalizatoru un derību likmju pieņemšanas vietas.”</w:t>
            </w:r>
          </w:p>
        </w:tc>
      </w:tr>
      <w:tr w:rsidR="005977A3" w:rsidRPr="00DE1A22" w14:paraId="7F8AFE10" w14:textId="77777777" w:rsidTr="001874CB">
        <w:tc>
          <w:tcPr>
            <w:tcW w:w="230" w:type="pct"/>
            <w:shd w:val="clear" w:color="auto" w:fill="auto"/>
          </w:tcPr>
          <w:p w14:paraId="01BF023B" w14:textId="77777777" w:rsidR="005977A3" w:rsidRDefault="005977A3" w:rsidP="005977A3">
            <w:pPr>
              <w:spacing w:before="100" w:beforeAutospacing="1" w:after="100" w:afterAutospacing="1"/>
              <w:jc w:val="center"/>
              <w:rPr>
                <w:rFonts w:eastAsia="Times New Roman"/>
                <w:sz w:val="24"/>
                <w:szCs w:val="24"/>
                <w:lang w:eastAsia="lv-LV"/>
              </w:rPr>
            </w:pPr>
            <w:r>
              <w:rPr>
                <w:rFonts w:eastAsia="Times New Roman"/>
                <w:sz w:val="24"/>
                <w:szCs w:val="24"/>
                <w:lang w:eastAsia="lv-LV"/>
              </w:rPr>
              <w:t>4.</w:t>
            </w:r>
          </w:p>
        </w:tc>
        <w:tc>
          <w:tcPr>
            <w:tcW w:w="934" w:type="pct"/>
            <w:shd w:val="clear" w:color="auto" w:fill="auto"/>
          </w:tcPr>
          <w:p w14:paraId="17C53A7F" w14:textId="77777777" w:rsidR="005977A3" w:rsidRDefault="005977A3" w:rsidP="005977A3">
            <w:pPr>
              <w:jc w:val="both"/>
              <w:rPr>
                <w:rFonts w:eastAsia="Times New Roman"/>
                <w:sz w:val="24"/>
                <w:szCs w:val="24"/>
                <w:lang w:eastAsia="lv-LV"/>
              </w:rPr>
            </w:pPr>
            <w:r w:rsidRPr="00CC420A">
              <w:rPr>
                <w:rFonts w:eastAsia="Times New Roman"/>
                <w:b/>
                <w:sz w:val="24"/>
                <w:szCs w:val="24"/>
                <w:lang w:eastAsia="lv-LV"/>
              </w:rPr>
              <w:t>Pamatnostādņu 4.sadaļas 1. rīcības virziena</w:t>
            </w:r>
            <w:r w:rsidRPr="00DE1A22">
              <w:rPr>
                <w:rFonts w:eastAsia="Times New Roman"/>
                <w:sz w:val="24"/>
                <w:szCs w:val="24"/>
                <w:lang w:eastAsia="lv-LV"/>
              </w:rPr>
              <w:t xml:space="preserve"> “Atkarības profilakses, preventīvie, problemātiskā spēlētāja atbalsts un sabiedrības izglītojoši pasākumi” </w:t>
            </w:r>
            <w:r w:rsidRPr="00CC420A">
              <w:rPr>
                <w:rFonts w:eastAsia="Times New Roman"/>
                <w:b/>
                <w:sz w:val="24"/>
                <w:szCs w:val="24"/>
                <w:lang w:eastAsia="lv-LV"/>
              </w:rPr>
              <w:t>13. uzdevums</w:t>
            </w:r>
            <w:r w:rsidRPr="00DE1A22">
              <w:rPr>
                <w:rFonts w:eastAsia="Times New Roman"/>
                <w:sz w:val="24"/>
                <w:szCs w:val="24"/>
                <w:lang w:eastAsia="lv-LV"/>
              </w:rPr>
              <w:t xml:space="preserve">  “AIL noteikt ierobežojumu darba laikam azartspēļu zālēs, sākot no 3:00  līdz  6:00. Nodrošināt interaktīvajā vidē ierobežojumu dalībai interaktīvajās azartspēlēs, paredzot trīs stundu pārtraukumu diennakts laikā.”</w:t>
            </w:r>
          </w:p>
        </w:tc>
        <w:tc>
          <w:tcPr>
            <w:tcW w:w="1340" w:type="pct"/>
            <w:shd w:val="clear" w:color="auto" w:fill="auto"/>
          </w:tcPr>
          <w:p w14:paraId="0461E24D" w14:textId="77777777" w:rsidR="005977A3" w:rsidRPr="00361C01" w:rsidRDefault="005977A3" w:rsidP="005977A3">
            <w:pPr>
              <w:jc w:val="center"/>
              <w:rPr>
                <w:b/>
                <w:bCs/>
                <w:sz w:val="24"/>
              </w:rPr>
            </w:pPr>
            <w:r w:rsidRPr="00361C01">
              <w:rPr>
                <w:b/>
                <w:bCs/>
                <w:sz w:val="24"/>
              </w:rPr>
              <w:t xml:space="preserve">LIAB </w:t>
            </w:r>
          </w:p>
          <w:p w14:paraId="3A334504" w14:textId="77777777" w:rsidR="005977A3" w:rsidRPr="00361C01" w:rsidRDefault="005977A3" w:rsidP="005977A3">
            <w:pPr>
              <w:jc w:val="center"/>
              <w:rPr>
                <w:b/>
                <w:bCs/>
                <w:sz w:val="24"/>
              </w:rPr>
            </w:pPr>
            <w:r w:rsidRPr="00361C01">
              <w:rPr>
                <w:b/>
                <w:bCs/>
                <w:sz w:val="24"/>
              </w:rPr>
              <w:t>(30.12.2020.)</w:t>
            </w:r>
          </w:p>
          <w:p w14:paraId="5BEB8843" w14:textId="77777777" w:rsidR="005977A3" w:rsidRPr="00361C01" w:rsidRDefault="005977A3" w:rsidP="005977A3">
            <w:pPr>
              <w:jc w:val="both"/>
              <w:rPr>
                <w:bCs/>
                <w:sz w:val="24"/>
              </w:rPr>
            </w:pPr>
            <w:r w:rsidRPr="00361C01">
              <w:rPr>
                <w:bCs/>
                <w:sz w:val="24"/>
              </w:rPr>
              <w:t xml:space="preserve">Pamatnostādņu izstrādes gaitā nav norādīts pamatojums vai kādas būtiskas problēmas, kuras būtu konstatētas Latvijā saistībā ar interaktīvo azartspēļu spēlēšanas ilgumu, un kuru dēļ būtu nepieciešams paredzēt ierobežojumus interaktīvo azartspēļu darba laikam. LIAB atkārtoti vēršu uzmanību uz LIAB biedru apkopoto informāciju par savu spēlētāju spēles paradumiem, kas liecina, ka vidējais spēles sesijas ilgums interaktīvo azartspēļu lietotājiem ir aptuveni 40 minūtes. Savukārt, 99% no visām sesijām nav bijušas ilgākas par 5 stundām un 30 minūtēm. Par 1 stundu un 50 minūtēm ilgākas nav bijušas 90% no visām spēles sesijām. Vērtējot šāda </w:t>
            </w:r>
            <w:r w:rsidRPr="00361C01">
              <w:rPr>
                <w:bCs/>
                <w:sz w:val="24"/>
              </w:rPr>
              <w:lastRenderedPageBreak/>
              <w:t>ierobežojuma iespējamo mērķauditoriju, jānorāda, ka tikai 0,5% no visām spēles sesijām ir bijušas ilgākas par 10 stundām, savukārt nav konstatēta neviena spēles sesija, kas ilgtu 20 stundas. Šie dati norāda uz būtiski atšķirīgajiem interaktīvo azartspēļu lietošanas paradumiem salīdzinājumā ar „zemes” azartspēlēm, kā arī uz to, ka Latvijā nepastāv būtiskas problēmas saistībā ar nepārtrauktu un pārlieku ilgstošu interaktīvo azartspēļu spēlēšanu. Tādēļ LIAB nesaskata objektīvu nepieciešamību darba laika ierobežojuma ieviešanai interaktīvajām azartspēlēm.</w:t>
            </w:r>
          </w:p>
          <w:p w14:paraId="75D75C10" w14:textId="77777777" w:rsidR="005977A3" w:rsidRPr="00361C01" w:rsidRDefault="005977A3" w:rsidP="005977A3">
            <w:pPr>
              <w:jc w:val="both"/>
              <w:rPr>
                <w:bCs/>
                <w:sz w:val="24"/>
              </w:rPr>
            </w:pPr>
            <w:r w:rsidRPr="00361C01">
              <w:rPr>
                <w:bCs/>
                <w:sz w:val="24"/>
              </w:rPr>
              <w:t>Atbilstoši situācijas izmaiņām un jaunu negatīvu tendenču rašanās gadījumā saistībā ar interaktīvo azartspēļu spēles sesijas ilgumu, interaktīvo azartspēļu organizētāji Latvijā var risināt radušās problēmas alternatīvā veidā, piemēram, ar attiecīgiem papildinājumiem Interaktīvo azartspēļu nozares atbildības kodeksā (turpmāk – Kodekss), kas ir saistošs tā parakstītājiem, kuri pārstāv pārliecinoši lielāko interaktīvo azartspēļu tirgus daļu Latvijā. Tas ļauj neietvert Pamatnostādnēs tādus interaktīvo azartspēļu ierobežojumus, kuru ieviešanai pašlaik nav redzams iemesls jeb problēma, kuru būtu jārisina.</w:t>
            </w:r>
          </w:p>
          <w:p w14:paraId="61F3B6F7" w14:textId="77777777" w:rsidR="005977A3" w:rsidRPr="00361C01" w:rsidRDefault="005977A3" w:rsidP="005977A3">
            <w:pPr>
              <w:jc w:val="both"/>
              <w:rPr>
                <w:bCs/>
                <w:sz w:val="24"/>
              </w:rPr>
            </w:pPr>
            <w:r w:rsidRPr="00361C01">
              <w:rPr>
                <w:bCs/>
                <w:sz w:val="24"/>
              </w:rPr>
              <w:t xml:space="preserve">Jāatzīmē, ka līdz ar Pašatteikušos personu reģistra ieviešanu ar 2020.gada 1.janvāri jau ir stājusies spēkā Ministru </w:t>
            </w:r>
            <w:r w:rsidRPr="00361C01">
              <w:rPr>
                <w:bCs/>
                <w:sz w:val="24"/>
              </w:rPr>
              <w:lastRenderedPageBreak/>
              <w:t>kabineta 16.07.2019. noteikumu Nr.333 “No azartspēlēm un interaktīvajām izlozēm pašatteikušos personu reģistra noteikumi” 25.punktā noteiktā prasība par obligātiem un regulāriem atbildīgas spēles paziņojumiem spēles laikā. Proti, jau šobrīd interaktīvo azartspēļu un interaktīvo izložu organizētājs, atbilstoši MK noteikumu Nr.333 25.punktam, nodrošina, ka interaktīvo azartspēļu un interaktīvo izložu organizēšanas tīmekļvietnēs, katru reizi spēlētājam uzsākot jaunu spēli, sākot ar otro stundu, 10 sekundes redzama informācija par spēļu iespējamo kaitīgo ietekmi, kas var pāriet nepārvaramā un pārmērīgā tieksmē spēlēt spēles un izraisīt atkarību, kā arī par spēlētāja tiesībām pieprasīt lieguma noteikšanu un reģistrēties reģistrā. Šī informācija, kas ar iepriekšminēto regularitāti spēlētājam parādās spēles ekrānā, vienlaikus kalpo arī kā atgādinājums par spēlē pavadīto laiku.</w:t>
            </w:r>
          </w:p>
          <w:p w14:paraId="5DBF03F6" w14:textId="77777777" w:rsidR="005977A3" w:rsidRPr="00361C01" w:rsidRDefault="005977A3" w:rsidP="005977A3">
            <w:pPr>
              <w:jc w:val="both"/>
              <w:rPr>
                <w:bCs/>
                <w:sz w:val="24"/>
              </w:rPr>
            </w:pPr>
            <w:r w:rsidRPr="00361C01">
              <w:rPr>
                <w:bCs/>
                <w:sz w:val="24"/>
              </w:rPr>
              <w:t xml:space="preserve">Arī Kodeksā attiecībā uz spēles laika faktoru ir noteikta jau šobrīd spēkā esoša un visiem Kodeksa parakstītajiem obligāta prasība nodrošināt klientu aizsardzības mehānismus. Minēto aizsardzības mehānismu ietvaros interaktīvo azartspēļu organizētāji nodrošina, ka “spēlētājiem ir pieejama viņu spēles laika un naudas pārskaitījumu vēsture, kas ļauj izvērtēt iespējamos spēles riskus”, kā arī tiek nodrošināta “darbinieku apmācība – ja </w:t>
            </w:r>
            <w:r w:rsidRPr="00361C01">
              <w:rPr>
                <w:bCs/>
                <w:sz w:val="24"/>
              </w:rPr>
              <w:lastRenderedPageBreak/>
              <w:t xml:space="preserve">klientu atbalsta dienestam komunikācijā ar klientu rodas aizdomas par problemātiskiem spēles paradumiem [tajā skaitā, par paradumiem attiecībā uz spēles laiku], situācija tiek analizēta un tiek lemts par nepieciešamību klienta kontu slēgt pēc spēles organizētāja, nevis klienta iniciatīvas”.  Tādējādi organizētāji paši proaktīvi seko līdzi klienta spēles paradumiem, t.sk., spēles laikam, kas var norādīt uz klienta spēles paradumu problemātiku. Tāpat, daļa no LIAB biedriem (Kodeksa parakstītājiem) papildus nodrošina klientiem iespēju “uzstādīt atgādinājumu par spēlē pavadīto laiku attiecībā uz tām spēlēm, kuru tehniskie uzstādījumi pieļauj šādu atgādinājumu uzstādīšanu un uzrādīšanu spēles gaitā operatoru kontrolēto tīmekļvietņu saturā”, kā arī izmanto “programmatūru “Radars”, kas uzrauga spēlētāju vidējo iemaksu/izmaksu izmaiņas un spēles paradumus [tajā skaitā, spēles laiku], signalizējot par paaugstinātu atkarību risku, tādējādi īstenojot individuālu pieeju klientam.” LIAB ieskatā interaktīvo azartspēļu industrijā klienta spēles paradumu vērtēšanā ir nepieciešama individuāla pieeja, un problemātisku spēles paradumu konstatēšanas mērķiem efektīvāki ir Kodeksā paredzētie klientu aizsardzības mehānismi.  Interaktīvo azartspēļu darbības ierobežojums konkrētās </w:t>
            </w:r>
            <w:r w:rsidRPr="00361C01">
              <w:rPr>
                <w:bCs/>
                <w:sz w:val="24"/>
              </w:rPr>
              <w:lastRenderedPageBreak/>
              <w:t>diennakts stundās, lai gan visvienkāršāk ieviešams, nav efektīvs instruments cīņā ar problemātiskiem spēles paradumiem un interaktīvajā vidē pats par sevi nevar atrisināt pārmērīgi ilga spēles laika paradumu, ja kādam klientam tas rastos.</w:t>
            </w:r>
          </w:p>
        </w:tc>
        <w:tc>
          <w:tcPr>
            <w:tcW w:w="878" w:type="pct"/>
            <w:shd w:val="clear" w:color="auto" w:fill="auto"/>
          </w:tcPr>
          <w:p w14:paraId="0407D33B" w14:textId="7FB5673E" w:rsidR="005977A3" w:rsidRDefault="00CC420A" w:rsidP="00941E96">
            <w:pPr>
              <w:jc w:val="center"/>
              <w:rPr>
                <w:rFonts w:eastAsia="Times New Roman"/>
                <w:b/>
                <w:bCs/>
                <w:sz w:val="24"/>
                <w:szCs w:val="24"/>
                <w:lang w:eastAsia="lv-LV"/>
              </w:rPr>
            </w:pPr>
            <w:r>
              <w:rPr>
                <w:rFonts w:eastAsia="Times New Roman"/>
                <w:b/>
                <w:bCs/>
                <w:sz w:val="24"/>
                <w:szCs w:val="24"/>
                <w:lang w:eastAsia="lv-LV"/>
              </w:rPr>
              <w:lastRenderedPageBreak/>
              <w:t xml:space="preserve">Pēc 13.01.2021. starpministriju (starpinstitūciju) </w:t>
            </w:r>
            <w:r w:rsidRPr="00541F9F">
              <w:rPr>
                <w:rFonts w:eastAsia="Times New Roman"/>
                <w:bCs/>
                <w:sz w:val="24"/>
                <w:szCs w:val="24"/>
                <w:lang w:eastAsia="lv-LV"/>
              </w:rPr>
              <w:t>sanāksmes nebi</w:t>
            </w:r>
            <w:r w:rsidR="00941E96">
              <w:rPr>
                <w:rFonts w:eastAsia="Times New Roman"/>
                <w:bCs/>
                <w:sz w:val="24"/>
                <w:szCs w:val="24"/>
                <w:lang w:eastAsia="lv-LV"/>
              </w:rPr>
              <w:t>ja iespējams panākt vienošanos.</w:t>
            </w:r>
          </w:p>
        </w:tc>
        <w:tc>
          <w:tcPr>
            <w:tcW w:w="786" w:type="pct"/>
            <w:shd w:val="clear" w:color="auto" w:fill="auto"/>
          </w:tcPr>
          <w:p w14:paraId="022B4C2A" w14:textId="6C53F4CD" w:rsidR="004A0805" w:rsidRPr="005179A5" w:rsidRDefault="004A0805" w:rsidP="005179A5">
            <w:pPr>
              <w:jc w:val="center"/>
              <w:rPr>
                <w:b/>
                <w:sz w:val="24"/>
              </w:rPr>
            </w:pPr>
            <w:r w:rsidRPr="00361C01">
              <w:rPr>
                <w:b/>
                <w:sz w:val="24"/>
              </w:rPr>
              <w:t>13.01.2021. starpministriju (starpinstitūciju) sanāksme</w:t>
            </w:r>
          </w:p>
          <w:p w14:paraId="5215A838" w14:textId="134D7F02" w:rsidR="004A0805" w:rsidRPr="00361C01" w:rsidRDefault="0055497D" w:rsidP="004A0805">
            <w:pPr>
              <w:jc w:val="both"/>
              <w:rPr>
                <w:sz w:val="24"/>
              </w:rPr>
            </w:pPr>
            <w:r>
              <w:rPr>
                <w:sz w:val="24"/>
              </w:rPr>
              <w:t>LIAB</w:t>
            </w:r>
            <w:r w:rsidR="004A0805" w:rsidRPr="00361C01">
              <w:rPr>
                <w:sz w:val="24"/>
              </w:rPr>
              <w:t xml:space="preserve"> uztur iebildumu, norādot, ka pamatnostādņu projekta 1.rīcības virziena “Atkarības profilakses, preventīvie, problemātiskā spēlētāja atbalsts un sabiedrības izglītojoši pasākumi” 12. uzdevums ietver vispārīgu ierobežojumu, kas neatbilst Satversmes </w:t>
            </w:r>
            <w:r w:rsidR="004A0805" w:rsidRPr="00361C01">
              <w:rPr>
                <w:sz w:val="24"/>
              </w:rPr>
              <w:lastRenderedPageBreak/>
              <w:t>tiesas 2020.gada 11.decembra spriedumu lietā Nr.2020-26-0106 iekļautajiem tiesas secinājumiem. Tādēļ būtu nepieciešams rast risinājumu, kas vērts uz individuālu ierobežojumu noteikšanu spēlētājiem.</w:t>
            </w:r>
          </w:p>
          <w:p w14:paraId="23E358B2" w14:textId="77777777" w:rsidR="005977A3" w:rsidRPr="00361C01" w:rsidRDefault="005977A3" w:rsidP="005977A3">
            <w:pPr>
              <w:jc w:val="center"/>
              <w:rPr>
                <w:b/>
                <w:sz w:val="24"/>
              </w:rPr>
            </w:pPr>
          </w:p>
        </w:tc>
        <w:tc>
          <w:tcPr>
            <w:tcW w:w="832" w:type="pct"/>
            <w:shd w:val="clear" w:color="auto" w:fill="auto"/>
          </w:tcPr>
          <w:p w14:paraId="63CE61CE" w14:textId="0018F1E2" w:rsidR="005977A3" w:rsidRPr="009671BE" w:rsidRDefault="00CC420A" w:rsidP="005977A3">
            <w:pPr>
              <w:jc w:val="both"/>
              <w:rPr>
                <w:rFonts w:eastAsia="Times New Roman"/>
                <w:b/>
                <w:sz w:val="24"/>
                <w:szCs w:val="24"/>
                <w:lang w:eastAsia="lv-LV"/>
              </w:rPr>
            </w:pPr>
            <w:r w:rsidRPr="00CC420A">
              <w:rPr>
                <w:rFonts w:eastAsia="Times New Roman"/>
                <w:b/>
                <w:sz w:val="24"/>
                <w:szCs w:val="24"/>
                <w:lang w:eastAsia="lv-LV"/>
              </w:rPr>
              <w:lastRenderedPageBreak/>
              <w:t>Pamatnostādņu 4.</w:t>
            </w:r>
            <w:r>
              <w:rPr>
                <w:rFonts w:eastAsia="Times New Roman"/>
                <w:b/>
                <w:sz w:val="24"/>
                <w:szCs w:val="24"/>
                <w:lang w:eastAsia="lv-LV"/>
              </w:rPr>
              <w:t>sadaļas 1.</w:t>
            </w:r>
            <w:r w:rsidRPr="00CC420A">
              <w:rPr>
                <w:rFonts w:eastAsia="Times New Roman"/>
                <w:b/>
                <w:sz w:val="24"/>
                <w:szCs w:val="24"/>
                <w:lang w:eastAsia="lv-LV"/>
              </w:rPr>
              <w:t>rīcības virziena</w:t>
            </w:r>
            <w:r w:rsidRPr="00DE1A22">
              <w:rPr>
                <w:rFonts w:eastAsia="Times New Roman"/>
                <w:sz w:val="24"/>
                <w:szCs w:val="24"/>
                <w:lang w:eastAsia="lv-LV"/>
              </w:rPr>
              <w:t xml:space="preserve"> “Atkarības profilakses, preventīvie, problemātiskā spēlētāja atbalsts un sabiedrības izglītojoši pasākumi”</w:t>
            </w:r>
            <w:r>
              <w:rPr>
                <w:rFonts w:eastAsia="Times New Roman"/>
                <w:sz w:val="24"/>
                <w:szCs w:val="24"/>
                <w:lang w:eastAsia="lv-LV"/>
              </w:rPr>
              <w:t xml:space="preserve"> </w:t>
            </w:r>
            <w:r w:rsidRPr="00CC420A">
              <w:rPr>
                <w:rFonts w:eastAsia="Times New Roman"/>
                <w:b/>
                <w:sz w:val="24"/>
                <w:szCs w:val="24"/>
                <w:lang w:eastAsia="lv-LV"/>
              </w:rPr>
              <w:t>12.uzdevums</w:t>
            </w:r>
            <w:r w:rsidRPr="00CC420A">
              <w:rPr>
                <w:rFonts w:eastAsia="Times New Roman"/>
                <w:sz w:val="24"/>
                <w:szCs w:val="24"/>
                <w:lang w:eastAsia="lv-LV"/>
              </w:rPr>
              <w:t xml:space="preserve"> “</w:t>
            </w:r>
            <w:r w:rsidRPr="00CC420A">
              <w:rPr>
                <w:rFonts w:eastAsia="Helvetica"/>
                <w:sz w:val="24"/>
                <w:szCs w:val="24"/>
              </w:rPr>
              <w:t>Normatīvajos aktos</w:t>
            </w:r>
            <w:r w:rsidRPr="00CC420A">
              <w:rPr>
                <w:color w:val="000000" w:themeColor="text1"/>
                <w:sz w:val="24"/>
                <w:szCs w:val="24"/>
              </w:rPr>
              <w:t xml:space="preserve"> noteikt ierobežojumu darba laikam azartspēlēm, sākot no 6.00 līdz 9.00, izņemot totalizatoru un derību likmju pieņemšanas vietas.”</w:t>
            </w:r>
          </w:p>
        </w:tc>
      </w:tr>
      <w:tr w:rsidR="00361C01" w:rsidRPr="00DE1A22" w14:paraId="0E9F2C74" w14:textId="77777777" w:rsidTr="001874CB">
        <w:tc>
          <w:tcPr>
            <w:tcW w:w="230" w:type="pct"/>
            <w:shd w:val="clear" w:color="auto" w:fill="auto"/>
          </w:tcPr>
          <w:p w14:paraId="32A0C8E2" w14:textId="5D1E8A50" w:rsidR="00361C01" w:rsidRPr="00DE1A22" w:rsidRDefault="00361C01" w:rsidP="00361C01">
            <w:pPr>
              <w:spacing w:before="100" w:beforeAutospacing="1" w:after="100" w:afterAutospacing="1"/>
              <w:jc w:val="center"/>
              <w:rPr>
                <w:rFonts w:eastAsia="Times New Roman"/>
                <w:sz w:val="24"/>
                <w:szCs w:val="24"/>
                <w:lang w:eastAsia="lv-LV"/>
              </w:rPr>
            </w:pPr>
            <w:r>
              <w:rPr>
                <w:rFonts w:eastAsia="Times New Roman"/>
                <w:sz w:val="24"/>
                <w:szCs w:val="24"/>
                <w:lang w:eastAsia="lv-LV"/>
              </w:rPr>
              <w:lastRenderedPageBreak/>
              <w:t>5.</w:t>
            </w:r>
          </w:p>
        </w:tc>
        <w:tc>
          <w:tcPr>
            <w:tcW w:w="934" w:type="pct"/>
            <w:shd w:val="clear" w:color="auto" w:fill="auto"/>
          </w:tcPr>
          <w:p w14:paraId="5BEF002F" w14:textId="4D4732B1" w:rsidR="00361C01" w:rsidRPr="005179A5" w:rsidRDefault="00361C01" w:rsidP="00361C01">
            <w:pPr>
              <w:jc w:val="both"/>
              <w:rPr>
                <w:rFonts w:eastAsia="Times New Roman"/>
                <w:b/>
                <w:sz w:val="24"/>
                <w:szCs w:val="24"/>
                <w:lang w:eastAsia="lv-LV"/>
              </w:rPr>
            </w:pPr>
            <w:r w:rsidRPr="005179A5">
              <w:rPr>
                <w:rFonts w:eastAsia="Times New Roman"/>
                <w:b/>
                <w:sz w:val="24"/>
                <w:szCs w:val="24"/>
                <w:lang w:eastAsia="lv-LV"/>
              </w:rPr>
              <w:t>Pamatnostādņu 4. sadaļas 1. rīcības virziena</w:t>
            </w:r>
            <w:r w:rsidRPr="00DE1A22">
              <w:rPr>
                <w:rFonts w:eastAsia="Times New Roman"/>
                <w:sz w:val="24"/>
                <w:szCs w:val="24"/>
                <w:lang w:eastAsia="lv-LV"/>
              </w:rPr>
              <w:t xml:space="preserve"> “Atkarības profilakses, preventīvie, problemātiskā spēlētāja atbalsts un sabiedrības izglītojoši pasākumi”</w:t>
            </w:r>
            <w:r>
              <w:rPr>
                <w:rFonts w:eastAsia="Times New Roman"/>
                <w:sz w:val="24"/>
                <w:szCs w:val="24"/>
                <w:lang w:eastAsia="lv-LV"/>
              </w:rPr>
              <w:t xml:space="preserve"> </w:t>
            </w:r>
            <w:r w:rsidRPr="005179A5">
              <w:rPr>
                <w:rFonts w:eastAsia="Times New Roman"/>
                <w:b/>
                <w:sz w:val="24"/>
                <w:szCs w:val="24"/>
                <w:lang w:eastAsia="lv-LV"/>
              </w:rPr>
              <w:t>14.uzdevums un ar to saistītie - 16.-19.uzdevums.</w:t>
            </w:r>
          </w:p>
          <w:p w14:paraId="3F709D8C" w14:textId="77777777" w:rsidR="00361C01" w:rsidRPr="00361C01" w:rsidRDefault="00361C01" w:rsidP="00361C01">
            <w:pPr>
              <w:jc w:val="both"/>
              <w:rPr>
                <w:rFonts w:eastAsia="Times New Roman"/>
                <w:sz w:val="24"/>
                <w:szCs w:val="24"/>
                <w:lang w:eastAsia="lv-LV"/>
              </w:rPr>
            </w:pPr>
          </w:p>
          <w:p w14:paraId="7AE6FE76" w14:textId="77777777" w:rsidR="00361C01" w:rsidRPr="00361C01" w:rsidRDefault="00361C01" w:rsidP="00361C01">
            <w:pPr>
              <w:jc w:val="both"/>
              <w:rPr>
                <w:rFonts w:eastAsia="Times New Roman"/>
                <w:sz w:val="24"/>
                <w:szCs w:val="24"/>
                <w:lang w:eastAsia="lv-LV"/>
              </w:rPr>
            </w:pPr>
            <w:r w:rsidRPr="00361C01">
              <w:rPr>
                <w:rFonts w:eastAsia="Times New Roman"/>
                <w:sz w:val="24"/>
                <w:szCs w:val="24"/>
                <w:lang w:eastAsia="lv-LV"/>
              </w:rPr>
              <w:t>14. “Ieviest “zemes” azartspēļu spēlētāju personificētās “gudrās kartes” (ang. smart card). Normatīvajos aktos noteikt prasības “zemes” azartspēļu organizētājam nodrošināt, ka spēlētāja reģistrācijas posmā spēlētājs var pēc noklusējuma noteikt naudas depozīta maksimālās summas ierobežojumus, kā arī pagaidu ierobežojumus.”</w:t>
            </w:r>
          </w:p>
          <w:p w14:paraId="0ABCEA95" w14:textId="77777777" w:rsidR="00361C01" w:rsidRPr="00361C01" w:rsidRDefault="00361C01" w:rsidP="00361C01">
            <w:pPr>
              <w:jc w:val="both"/>
              <w:rPr>
                <w:rFonts w:eastAsia="Times New Roman"/>
                <w:sz w:val="24"/>
                <w:szCs w:val="24"/>
                <w:lang w:eastAsia="lv-LV"/>
              </w:rPr>
            </w:pPr>
            <w:r w:rsidRPr="00361C01">
              <w:rPr>
                <w:rFonts w:eastAsia="Times New Roman"/>
                <w:sz w:val="24"/>
                <w:szCs w:val="24"/>
                <w:lang w:eastAsia="lv-LV"/>
              </w:rPr>
              <w:t xml:space="preserve">16. “Precizēt azartspēļu nozares un izložu jomas normatīvo regulējumu, nepārprotami nosakot, </w:t>
            </w:r>
            <w:r w:rsidRPr="00361C01">
              <w:rPr>
                <w:rFonts w:eastAsia="Times New Roman"/>
                <w:sz w:val="24"/>
                <w:szCs w:val="24"/>
                <w:lang w:eastAsia="lv-LV"/>
              </w:rPr>
              <w:lastRenderedPageBreak/>
              <w:t>kādus azartspēļu organizētāju piedāvātos brīvprātīgās sadarbības programmas elementus ir atļauts un ir aizliegts izmantot.</w:t>
            </w:r>
          </w:p>
          <w:p w14:paraId="5D474EDB" w14:textId="41E9E766" w:rsidR="00361C01" w:rsidRDefault="00361C01" w:rsidP="00361C01">
            <w:pPr>
              <w:jc w:val="both"/>
              <w:rPr>
                <w:rFonts w:eastAsia="Times New Roman"/>
                <w:sz w:val="24"/>
                <w:szCs w:val="24"/>
                <w:lang w:eastAsia="lv-LV"/>
              </w:rPr>
            </w:pPr>
            <w:r w:rsidRPr="00361C01">
              <w:rPr>
                <w:rFonts w:eastAsia="Times New Roman"/>
                <w:sz w:val="24"/>
                <w:szCs w:val="24"/>
                <w:lang w:eastAsia="lv-LV"/>
              </w:rPr>
              <w:t>Brīvprātīgās sadarbības programmas elementus ir atļauts izmantot pirms 2025.gada, ja azartspēļu organizētāji var izpildīt 17., 18., 19. punktā minētos pienākumus, kā arī “zemes” azartspēlēs ieviestas 14.punktā minētās kartes.”</w:t>
            </w:r>
          </w:p>
        </w:tc>
        <w:tc>
          <w:tcPr>
            <w:tcW w:w="1340" w:type="pct"/>
            <w:shd w:val="clear" w:color="auto" w:fill="auto"/>
          </w:tcPr>
          <w:p w14:paraId="52B20691" w14:textId="77777777" w:rsidR="000058F9" w:rsidRDefault="00361C01" w:rsidP="00361C01">
            <w:pPr>
              <w:jc w:val="center"/>
              <w:rPr>
                <w:b/>
                <w:bCs/>
                <w:sz w:val="24"/>
              </w:rPr>
            </w:pPr>
            <w:r w:rsidRPr="00361C01">
              <w:rPr>
                <w:b/>
                <w:bCs/>
                <w:sz w:val="24"/>
              </w:rPr>
              <w:lastRenderedPageBreak/>
              <w:t xml:space="preserve">LSBA </w:t>
            </w:r>
          </w:p>
          <w:p w14:paraId="03260F5F" w14:textId="22D14E35" w:rsidR="00361C01" w:rsidRPr="00361C01" w:rsidRDefault="00361C01" w:rsidP="00361C01">
            <w:pPr>
              <w:jc w:val="center"/>
              <w:rPr>
                <w:b/>
                <w:bCs/>
                <w:sz w:val="24"/>
              </w:rPr>
            </w:pPr>
            <w:r w:rsidRPr="00361C01">
              <w:rPr>
                <w:b/>
                <w:bCs/>
                <w:sz w:val="24"/>
              </w:rPr>
              <w:t>(17.12.2020. Nr.22/20)</w:t>
            </w:r>
          </w:p>
          <w:p w14:paraId="66285EF0" w14:textId="77777777" w:rsidR="00361C01" w:rsidRPr="00361C01" w:rsidRDefault="00361C01" w:rsidP="00361C01">
            <w:pPr>
              <w:jc w:val="both"/>
              <w:rPr>
                <w:sz w:val="24"/>
              </w:rPr>
            </w:pPr>
            <w:r w:rsidRPr="00361C01">
              <w:rPr>
                <w:sz w:val="24"/>
              </w:rPr>
              <w:t>LSBA uzskata, ka izvērtējumam par nepieciešamību ieviest “zemes” azartspēļu spēlētāju personificēto “gudro karšu” tehnisko risinājumu būtu jānotiek tikai pēc jaunā normatīvā regulējuma, kas taps saskaņā ar pamatnostādnēm, efektivitātes izvērtējuma. Līdz tam var tikt aprēķināta provizoriskā finanšu ietekme gan uz nozari, gan uzraudzības institūcijām un attiecīgi nepieciešamais pārejas periods (vismaz pieci gadi), lai veiktu investīcijas un pielāgojumus (t.sk. integrāciju ar IAUI informācijas sistēmām), kā arī nodrošinātu pienācīgu apmācību. Uzdevuma izpildes termiņš būtu jānosaka atkarībā no minētā efektivitātes izvērtējuma veikšanas laika.</w:t>
            </w:r>
          </w:p>
          <w:p w14:paraId="35CF1C92" w14:textId="77777777" w:rsidR="00361C01" w:rsidRPr="00361C01" w:rsidRDefault="00361C01" w:rsidP="00361C01">
            <w:pPr>
              <w:jc w:val="both"/>
              <w:rPr>
                <w:sz w:val="24"/>
              </w:rPr>
            </w:pPr>
            <w:r w:rsidRPr="00361C01">
              <w:rPr>
                <w:sz w:val="24"/>
              </w:rPr>
              <w:t xml:space="preserve">16.uzdevumā paredzēts precizēt azartspēļu nozares un izložu jomas normatīvo regulējumu, nepārprotami nosakot, kādus azartspēļu organizētāju piedāvātos brīvprātīgās sadarbības programmas elementus ir atļauts un ir aizliegts izmantot. Tāpat noteikts, ka brīvprātīgās sadarbības programmas </w:t>
            </w:r>
            <w:r w:rsidRPr="00361C01">
              <w:rPr>
                <w:sz w:val="24"/>
              </w:rPr>
              <w:lastRenderedPageBreak/>
              <w:t>elementus ir atļauts izmantot pirms 2025.gada, ja ir ieviestas “gudrās kartes”.</w:t>
            </w:r>
          </w:p>
          <w:p w14:paraId="13A90FB6" w14:textId="6587CF6C" w:rsidR="00361C01" w:rsidRPr="00361C01" w:rsidRDefault="00361C01" w:rsidP="00361C01">
            <w:pPr>
              <w:jc w:val="both"/>
              <w:rPr>
                <w:rFonts w:eastAsia="Times New Roman"/>
                <w:b/>
                <w:sz w:val="24"/>
                <w:szCs w:val="24"/>
              </w:rPr>
            </w:pPr>
            <w:r w:rsidRPr="00361C01">
              <w:rPr>
                <w:sz w:val="24"/>
              </w:rPr>
              <w:t>“Gudrās kartes” nav sasaistāmas ar brīvprātīgās sadarbības jeb lojalitātes programmu, kuras būtība ir klientu brīva izvēle dalībai šādā programmā. Ja līdz “gudro karšu” ieviešanai tiks izvirzīti papildus ierobežojoši elementi dalībai esošajās lojalitātes programmās, tad rezultātā klienti izvēlēsies atturēties no šādas lojalitātes programmas izmantošanas. Tādējādi liela daļa klientu, kas šobrīd piedalās lojalitātes programmās un par kuru spēles paradumiem ir pieejami statistikas dati, turpmāk, līdz “gudro karšu” ieviešanai, izvēlēsies spēlēt azartspēles, nepiedaloties lojalitātes programmās.</w:t>
            </w:r>
          </w:p>
        </w:tc>
        <w:tc>
          <w:tcPr>
            <w:tcW w:w="878" w:type="pct"/>
            <w:shd w:val="clear" w:color="auto" w:fill="auto"/>
          </w:tcPr>
          <w:p w14:paraId="57CC7F06" w14:textId="7B591514" w:rsidR="00361C01" w:rsidRDefault="005179A5" w:rsidP="00941E96">
            <w:pPr>
              <w:jc w:val="center"/>
              <w:rPr>
                <w:rFonts w:eastAsia="Times New Roman"/>
                <w:b/>
                <w:bCs/>
                <w:sz w:val="24"/>
                <w:szCs w:val="24"/>
                <w:lang w:eastAsia="lv-LV"/>
              </w:rPr>
            </w:pPr>
            <w:r>
              <w:rPr>
                <w:rFonts w:eastAsia="Times New Roman"/>
                <w:b/>
                <w:bCs/>
                <w:sz w:val="24"/>
                <w:szCs w:val="24"/>
                <w:lang w:eastAsia="lv-LV"/>
              </w:rPr>
              <w:lastRenderedPageBreak/>
              <w:t xml:space="preserve">Pēc 13.01.2021. starpministriju (starpinstitūciju) </w:t>
            </w:r>
            <w:r w:rsidRPr="00541F9F">
              <w:rPr>
                <w:rFonts w:eastAsia="Times New Roman"/>
                <w:bCs/>
                <w:sz w:val="24"/>
                <w:szCs w:val="24"/>
                <w:lang w:eastAsia="lv-LV"/>
              </w:rPr>
              <w:t>sanāksmes nebija iespējams panākt vienošanos</w:t>
            </w:r>
            <w:r w:rsidR="00941E96">
              <w:rPr>
                <w:rFonts w:eastAsia="Times New Roman"/>
                <w:bCs/>
                <w:sz w:val="24"/>
                <w:szCs w:val="24"/>
                <w:lang w:eastAsia="lv-LV"/>
              </w:rPr>
              <w:t>.</w:t>
            </w:r>
          </w:p>
        </w:tc>
        <w:tc>
          <w:tcPr>
            <w:tcW w:w="786" w:type="pct"/>
            <w:shd w:val="clear" w:color="auto" w:fill="auto"/>
          </w:tcPr>
          <w:p w14:paraId="5E7CA651" w14:textId="77777777" w:rsidR="00361C01" w:rsidRPr="00361C01" w:rsidRDefault="00361C01" w:rsidP="00361C01">
            <w:pPr>
              <w:jc w:val="center"/>
              <w:rPr>
                <w:b/>
                <w:sz w:val="24"/>
              </w:rPr>
            </w:pPr>
            <w:r w:rsidRPr="00361C01">
              <w:rPr>
                <w:b/>
                <w:sz w:val="24"/>
              </w:rPr>
              <w:t>13.01.2021. starpministriju (starpinstitūciju) sanāksme</w:t>
            </w:r>
          </w:p>
          <w:p w14:paraId="6F056ABB" w14:textId="77777777" w:rsidR="00361C01" w:rsidRPr="00361C01" w:rsidRDefault="00361C01" w:rsidP="00361C01">
            <w:pPr>
              <w:jc w:val="both"/>
              <w:rPr>
                <w:b/>
                <w:sz w:val="24"/>
              </w:rPr>
            </w:pPr>
          </w:p>
          <w:p w14:paraId="3DDC8B0F" w14:textId="77777777" w:rsidR="00361C01" w:rsidRPr="00361C01" w:rsidRDefault="00361C01" w:rsidP="00361C01">
            <w:pPr>
              <w:jc w:val="both"/>
              <w:rPr>
                <w:sz w:val="24"/>
              </w:rPr>
            </w:pPr>
            <w:r w:rsidRPr="00361C01">
              <w:rPr>
                <w:sz w:val="24"/>
              </w:rPr>
              <w:t>LSBA uztur iebildumu.</w:t>
            </w:r>
          </w:p>
          <w:p w14:paraId="5B31F513" w14:textId="77777777" w:rsidR="00361C01" w:rsidRPr="00361C01" w:rsidRDefault="00361C01" w:rsidP="00361C01">
            <w:pPr>
              <w:spacing w:before="100" w:beforeAutospacing="1" w:after="100" w:afterAutospacing="1"/>
              <w:jc w:val="both"/>
              <w:rPr>
                <w:rFonts w:eastAsia="Times New Roman"/>
                <w:sz w:val="22"/>
                <w:szCs w:val="24"/>
                <w:lang w:eastAsia="lv-LV"/>
              </w:rPr>
            </w:pPr>
          </w:p>
        </w:tc>
        <w:tc>
          <w:tcPr>
            <w:tcW w:w="832" w:type="pct"/>
            <w:shd w:val="clear" w:color="auto" w:fill="auto"/>
          </w:tcPr>
          <w:p w14:paraId="55F42A87" w14:textId="37EF2780" w:rsidR="005179A5" w:rsidRDefault="005179A5" w:rsidP="005179A5">
            <w:pPr>
              <w:jc w:val="both"/>
              <w:rPr>
                <w:rFonts w:eastAsia="Times New Roman"/>
                <w:sz w:val="24"/>
                <w:szCs w:val="24"/>
                <w:lang w:eastAsia="lv-LV"/>
              </w:rPr>
            </w:pPr>
            <w:r w:rsidRPr="005179A5">
              <w:rPr>
                <w:rFonts w:eastAsia="Times New Roman"/>
                <w:b/>
                <w:sz w:val="24"/>
                <w:szCs w:val="24"/>
                <w:lang w:eastAsia="lv-LV"/>
              </w:rPr>
              <w:t>Pamatnostādņu 4. sadaļas 1. rīcības virziena</w:t>
            </w:r>
            <w:r w:rsidRPr="00DE1A22">
              <w:rPr>
                <w:rFonts w:eastAsia="Times New Roman"/>
                <w:sz w:val="24"/>
                <w:szCs w:val="24"/>
                <w:lang w:eastAsia="lv-LV"/>
              </w:rPr>
              <w:t xml:space="preserve"> “Atkarības profilakses, preventīvie, problemātiskā spēlētāja atbalsts un sabiedrības izglītojoši pasākumi”</w:t>
            </w:r>
            <w:r>
              <w:rPr>
                <w:rFonts w:eastAsia="Times New Roman"/>
                <w:sz w:val="24"/>
                <w:szCs w:val="24"/>
                <w:lang w:eastAsia="lv-LV"/>
              </w:rPr>
              <w:t xml:space="preserve"> </w:t>
            </w:r>
            <w:r w:rsidRPr="005179A5">
              <w:rPr>
                <w:rFonts w:eastAsia="Times New Roman"/>
                <w:b/>
                <w:sz w:val="24"/>
                <w:szCs w:val="24"/>
                <w:lang w:eastAsia="lv-LV"/>
              </w:rPr>
              <w:t>14.uzdev</w:t>
            </w:r>
            <w:r w:rsidR="00F8168F">
              <w:rPr>
                <w:rFonts w:eastAsia="Times New Roman"/>
                <w:b/>
                <w:sz w:val="24"/>
                <w:szCs w:val="24"/>
                <w:lang w:eastAsia="lv-LV"/>
              </w:rPr>
              <w:t>v</w:t>
            </w:r>
            <w:r w:rsidRPr="005179A5">
              <w:rPr>
                <w:rFonts w:eastAsia="Times New Roman"/>
                <w:b/>
                <w:sz w:val="24"/>
                <w:szCs w:val="24"/>
                <w:lang w:eastAsia="lv-LV"/>
              </w:rPr>
              <w:t>ums un ar to saistītie - 16.-19.uzdevums.</w:t>
            </w:r>
          </w:p>
          <w:p w14:paraId="13106A11" w14:textId="77777777" w:rsidR="005179A5" w:rsidRPr="00361C01" w:rsidRDefault="005179A5" w:rsidP="005179A5">
            <w:pPr>
              <w:jc w:val="both"/>
              <w:rPr>
                <w:rFonts w:eastAsia="Times New Roman"/>
                <w:sz w:val="24"/>
                <w:szCs w:val="24"/>
                <w:lang w:eastAsia="lv-LV"/>
              </w:rPr>
            </w:pPr>
          </w:p>
          <w:p w14:paraId="77C1CCAA" w14:textId="77777777" w:rsidR="005179A5" w:rsidRPr="00361C01" w:rsidRDefault="005179A5" w:rsidP="005179A5">
            <w:pPr>
              <w:jc w:val="both"/>
              <w:rPr>
                <w:rFonts w:eastAsia="Times New Roman"/>
                <w:sz w:val="24"/>
                <w:szCs w:val="24"/>
                <w:lang w:eastAsia="lv-LV"/>
              </w:rPr>
            </w:pPr>
            <w:r w:rsidRPr="00361C01">
              <w:rPr>
                <w:rFonts w:eastAsia="Times New Roman"/>
                <w:sz w:val="24"/>
                <w:szCs w:val="24"/>
                <w:lang w:eastAsia="lv-LV"/>
              </w:rPr>
              <w:t>14. “Ieviest “zemes” azartspēļu spēlētāju personificētās “gudrās kartes” (ang. smart card). Normatīvajos aktos noteikt prasības “zemes” azartspēļu organizētājam nodrošināt, ka spēlētāja reģistrācijas posmā spēlētājs var pēc noklusējuma noteikt naudas depozīta maksimālās summas ierobežojumus, kā arī pagaidu ierobežojumus.”</w:t>
            </w:r>
          </w:p>
          <w:p w14:paraId="60D58254" w14:textId="77777777" w:rsidR="005179A5" w:rsidRPr="00361C01" w:rsidRDefault="005179A5" w:rsidP="005179A5">
            <w:pPr>
              <w:jc w:val="both"/>
              <w:rPr>
                <w:rFonts w:eastAsia="Times New Roman"/>
                <w:sz w:val="24"/>
                <w:szCs w:val="24"/>
                <w:lang w:eastAsia="lv-LV"/>
              </w:rPr>
            </w:pPr>
            <w:r w:rsidRPr="00361C01">
              <w:rPr>
                <w:rFonts w:eastAsia="Times New Roman"/>
                <w:sz w:val="24"/>
                <w:szCs w:val="24"/>
                <w:lang w:eastAsia="lv-LV"/>
              </w:rPr>
              <w:lastRenderedPageBreak/>
              <w:t>16. “Precizēt azartspēļu nozares un izložu jomas normatīvo regulējumu, nepārprotami nosakot, kādus azartspēļu organizētāju piedāvātos brīvprātīgās sadarbības programmas elementus ir atļauts un ir aizliegts izmantot.</w:t>
            </w:r>
          </w:p>
          <w:p w14:paraId="2693C953" w14:textId="79F5B1FE" w:rsidR="00361C01" w:rsidRPr="00DE1A22" w:rsidRDefault="005179A5" w:rsidP="005179A5">
            <w:pPr>
              <w:spacing w:after="120"/>
              <w:jc w:val="both"/>
              <w:rPr>
                <w:rFonts w:eastAsia="Times New Roman"/>
                <w:sz w:val="24"/>
                <w:szCs w:val="24"/>
                <w:lang w:eastAsia="lv-LV"/>
              </w:rPr>
            </w:pPr>
            <w:r w:rsidRPr="00361C01">
              <w:rPr>
                <w:rFonts w:eastAsia="Times New Roman"/>
                <w:sz w:val="24"/>
                <w:szCs w:val="24"/>
                <w:lang w:eastAsia="lv-LV"/>
              </w:rPr>
              <w:t>Brīvprātīgās sadarbības programmas elementus ir atļauts izmantot pirms 2025.gada, ja azartspēļu organizētāji var izpildīt 17., 18., 19. punktā minētos pienākumus, kā arī “zemes” azartspēlēs ieviestas 14.punktā minētās kartes.”</w:t>
            </w:r>
          </w:p>
        </w:tc>
      </w:tr>
      <w:tr w:rsidR="00361C01" w:rsidRPr="00DE1A22" w14:paraId="7FF60720" w14:textId="77777777" w:rsidTr="001874CB">
        <w:tc>
          <w:tcPr>
            <w:tcW w:w="230" w:type="pct"/>
            <w:shd w:val="clear" w:color="auto" w:fill="auto"/>
          </w:tcPr>
          <w:p w14:paraId="703A0080" w14:textId="56BE5AF2" w:rsidR="00361C01" w:rsidRDefault="00361C01" w:rsidP="00361C01">
            <w:pPr>
              <w:spacing w:before="100" w:beforeAutospacing="1" w:after="100" w:afterAutospacing="1"/>
              <w:jc w:val="center"/>
              <w:rPr>
                <w:rFonts w:eastAsia="Times New Roman"/>
                <w:sz w:val="24"/>
                <w:szCs w:val="24"/>
                <w:lang w:eastAsia="lv-LV"/>
              </w:rPr>
            </w:pPr>
            <w:r>
              <w:rPr>
                <w:rFonts w:eastAsia="Times New Roman"/>
                <w:sz w:val="24"/>
                <w:szCs w:val="24"/>
                <w:lang w:eastAsia="lv-LV"/>
              </w:rPr>
              <w:lastRenderedPageBreak/>
              <w:t>6.</w:t>
            </w:r>
          </w:p>
        </w:tc>
        <w:tc>
          <w:tcPr>
            <w:tcW w:w="934" w:type="pct"/>
            <w:shd w:val="clear" w:color="auto" w:fill="auto"/>
          </w:tcPr>
          <w:p w14:paraId="7C321A3E" w14:textId="35DA8C9A" w:rsidR="00361C01" w:rsidRPr="00DE1A22" w:rsidRDefault="00212864" w:rsidP="00361C01">
            <w:pPr>
              <w:jc w:val="both"/>
              <w:rPr>
                <w:rFonts w:eastAsia="Times New Roman"/>
                <w:sz w:val="24"/>
                <w:szCs w:val="24"/>
                <w:lang w:eastAsia="lv-LV"/>
              </w:rPr>
            </w:pPr>
            <w:r w:rsidRPr="00212864">
              <w:rPr>
                <w:rFonts w:eastAsia="Times New Roman"/>
                <w:b/>
                <w:sz w:val="24"/>
                <w:szCs w:val="24"/>
                <w:lang w:eastAsia="lv-LV"/>
              </w:rPr>
              <w:t>Pamatnostādņu 4. sadaļas 1. rīcības virziena</w:t>
            </w:r>
            <w:r w:rsidRPr="00DE1A22">
              <w:rPr>
                <w:rFonts w:eastAsia="Times New Roman"/>
                <w:sz w:val="24"/>
                <w:szCs w:val="24"/>
                <w:lang w:eastAsia="lv-LV"/>
              </w:rPr>
              <w:t xml:space="preserve"> “Atkarības profilakses, preventīvie, problemātiskā spēlētāja atbalsts un sabiedrības izglītojoši pasākumi”</w:t>
            </w:r>
            <w:r>
              <w:rPr>
                <w:rFonts w:eastAsia="Times New Roman"/>
                <w:sz w:val="24"/>
                <w:szCs w:val="24"/>
                <w:lang w:eastAsia="lv-LV"/>
              </w:rPr>
              <w:t xml:space="preserve"> </w:t>
            </w:r>
            <w:r w:rsidRPr="00212864">
              <w:rPr>
                <w:rFonts w:eastAsia="Times New Roman"/>
                <w:b/>
                <w:sz w:val="24"/>
                <w:szCs w:val="24"/>
                <w:lang w:eastAsia="lv-LV"/>
              </w:rPr>
              <w:t>20. uzdevums</w:t>
            </w:r>
            <w:r>
              <w:rPr>
                <w:rFonts w:eastAsia="Times New Roman"/>
                <w:sz w:val="24"/>
                <w:szCs w:val="24"/>
                <w:lang w:eastAsia="lv-LV"/>
              </w:rPr>
              <w:t xml:space="preserve"> </w:t>
            </w:r>
            <w:r w:rsidRPr="00361C01">
              <w:rPr>
                <w:rFonts w:eastAsia="Times New Roman"/>
                <w:sz w:val="24"/>
                <w:szCs w:val="24"/>
                <w:lang w:eastAsia="lv-LV"/>
              </w:rPr>
              <w:t xml:space="preserve">“Paredzēt normatīvajā regulējumā smēķēšanas aizliegumu azartspēļu zālēs un kazino, izņemot uz pamatnostādņu apstiprināšanas dienu speciāli paredzētajās </w:t>
            </w:r>
            <w:r w:rsidRPr="00361C01">
              <w:rPr>
                <w:rFonts w:eastAsia="Times New Roman"/>
                <w:sz w:val="24"/>
                <w:szCs w:val="24"/>
                <w:lang w:eastAsia="lv-LV"/>
              </w:rPr>
              <w:lastRenderedPageBreak/>
              <w:t>smēķēšanas telpās, kur nodrošināta p</w:t>
            </w:r>
            <w:r>
              <w:rPr>
                <w:rFonts w:eastAsia="Times New Roman"/>
                <w:sz w:val="24"/>
                <w:szCs w:val="24"/>
                <w:lang w:eastAsia="lv-LV"/>
              </w:rPr>
              <w:t>astiprināta gaisa ventilācija”.</w:t>
            </w:r>
          </w:p>
        </w:tc>
        <w:tc>
          <w:tcPr>
            <w:tcW w:w="1340" w:type="pct"/>
            <w:shd w:val="clear" w:color="auto" w:fill="auto"/>
          </w:tcPr>
          <w:p w14:paraId="51FD50CA" w14:textId="77777777" w:rsidR="00361C01" w:rsidRDefault="00361C01" w:rsidP="00361C01">
            <w:pPr>
              <w:jc w:val="center"/>
              <w:rPr>
                <w:b/>
                <w:bCs/>
                <w:sz w:val="24"/>
              </w:rPr>
            </w:pPr>
            <w:r w:rsidRPr="00361C01">
              <w:rPr>
                <w:b/>
                <w:bCs/>
                <w:sz w:val="24"/>
              </w:rPr>
              <w:lastRenderedPageBreak/>
              <w:t xml:space="preserve">LSBA </w:t>
            </w:r>
          </w:p>
          <w:p w14:paraId="2B9919EF" w14:textId="31EC5172" w:rsidR="00361C01" w:rsidRPr="00361C01" w:rsidRDefault="00361C01" w:rsidP="00361C01">
            <w:pPr>
              <w:jc w:val="center"/>
              <w:rPr>
                <w:b/>
                <w:bCs/>
                <w:sz w:val="24"/>
              </w:rPr>
            </w:pPr>
            <w:r w:rsidRPr="00361C01">
              <w:rPr>
                <w:b/>
                <w:bCs/>
                <w:sz w:val="24"/>
              </w:rPr>
              <w:t>(17.12.2020. Nr.22/20)</w:t>
            </w:r>
          </w:p>
          <w:p w14:paraId="2B84A36B" w14:textId="77777777" w:rsidR="00361C01" w:rsidRPr="00361C01" w:rsidRDefault="00361C01" w:rsidP="00361C01">
            <w:pPr>
              <w:jc w:val="both"/>
              <w:rPr>
                <w:bCs/>
                <w:sz w:val="24"/>
              </w:rPr>
            </w:pPr>
            <w:r w:rsidRPr="00361C01">
              <w:rPr>
                <w:bCs/>
                <w:sz w:val="24"/>
              </w:rPr>
              <w:t xml:space="preserve">Lai nodrošinātu spēļu zāļu un kazino telpu atbilstību Tabakas izstrādājumu, augu smēķēšanas produktu, elektronisko smēķēšanas ierīču un to šķidrumu aprites likuma 10.panta ceturtās daļas un 1.panta 15.punkta prasībām, azartspēļu organizētāji ir veikuši telpu pārbūvi, konstruktīvi nodalot telpas, kurās atļauts smēķēt. </w:t>
            </w:r>
          </w:p>
          <w:p w14:paraId="1A7DFF30" w14:textId="77777777" w:rsidR="00361C01" w:rsidRPr="00361C01" w:rsidRDefault="00361C01" w:rsidP="00361C01">
            <w:pPr>
              <w:jc w:val="both"/>
              <w:rPr>
                <w:bCs/>
                <w:sz w:val="24"/>
              </w:rPr>
            </w:pPr>
            <w:r w:rsidRPr="00361C01">
              <w:rPr>
                <w:bCs/>
                <w:sz w:val="24"/>
              </w:rPr>
              <w:t xml:space="preserve">LSBA atbalsta pastiprinātu prasību gaisa ventilācijai noteikšanu. Vēršam uzmanību Igaunijas regulējumam, kurā </w:t>
            </w:r>
            <w:r w:rsidRPr="00361C01">
              <w:rPr>
                <w:bCs/>
                <w:sz w:val="24"/>
              </w:rPr>
              <w:lastRenderedPageBreak/>
              <w:t xml:space="preserve">ir noteiktas pastiprinātas prasības restorāniem un bāriem – t.i., atsevišķi nodalītajā telpā, kura paredzēta pamatpakalpojumu saņemšanai un smēķēšanai, uzstādāmajai nosūces ventilācijai: </w:t>
            </w:r>
          </w:p>
          <w:p w14:paraId="6EB39A91" w14:textId="77777777" w:rsidR="00361C01" w:rsidRPr="00361C01" w:rsidRDefault="00361C01" w:rsidP="00361C01">
            <w:pPr>
              <w:jc w:val="both"/>
              <w:rPr>
                <w:bCs/>
                <w:sz w:val="24"/>
              </w:rPr>
            </w:pPr>
            <w:r w:rsidRPr="00361C01">
              <w:rPr>
                <w:bCs/>
                <w:sz w:val="24"/>
              </w:rPr>
              <w:t>- gaisa aizplūde telpā nav mazāka par 8,4 litriem sekundē uz kvadrātmetru, un, ja telpa netiek izmantota, gaisa aizplūšanu var samazināt līdz 25 procentiem no parastās gaisa apmaiņas;</w:t>
            </w:r>
          </w:p>
          <w:p w14:paraId="7B3DAD79" w14:textId="77777777" w:rsidR="00361C01" w:rsidRPr="00361C01" w:rsidRDefault="00361C01" w:rsidP="00361C01">
            <w:pPr>
              <w:jc w:val="both"/>
              <w:rPr>
                <w:bCs/>
                <w:sz w:val="24"/>
              </w:rPr>
            </w:pPr>
            <w:r w:rsidRPr="00361C01">
              <w:rPr>
                <w:bCs/>
                <w:sz w:val="24"/>
              </w:rPr>
              <w:t xml:space="preserve">- gaisa izplūdes ventilācijas sistēma ir atsevišķa un nepārtraukta vai ar atsevišķu kanālu savienota ar citām nepārtraukti darbojošām gaisa izplūdes sistēmām. </w:t>
            </w:r>
          </w:p>
          <w:p w14:paraId="2925C485" w14:textId="08350474" w:rsidR="00361C01" w:rsidRPr="00361C01" w:rsidRDefault="00361C01" w:rsidP="00361C01">
            <w:pPr>
              <w:jc w:val="both"/>
              <w:rPr>
                <w:bCs/>
                <w:sz w:val="24"/>
              </w:rPr>
            </w:pPr>
            <w:r w:rsidRPr="00361C01">
              <w:rPr>
                <w:bCs/>
                <w:sz w:val="24"/>
              </w:rPr>
              <w:t>Smēķēšanas aizliegums attiecībā uz jaunizveidotām azartspēļu organizēšanas vietām (par ko liecina uzdevumā ietvertais nosacījums “uz pamatnostādņu apstiprināšanas dienu”), ja tās spēj izpildīt normatīvajos aktos noteiktās prasības, nav pamatots. Saskaņā ar Azartspēļu un izložu likuma prasībām ieeja azartspēļu zālēs un kazino ir tikai personām no 18 gadu vecumam. Azartspēļu spēlētājs ir pieaudzis un rīcībspējīgs indivīds.</w:t>
            </w:r>
          </w:p>
        </w:tc>
        <w:tc>
          <w:tcPr>
            <w:tcW w:w="878" w:type="pct"/>
            <w:shd w:val="clear" w:color="auto" w:fill="auto"/>
          </w:tcPr>
          <w:p w14:paraId="28F0EFDE" w14:textId="79BD6EA4" w:rsidR="00361C01" w:rsidRDefault="00F8168F" w:rsidP="00941E96">
            <w:pPr>
              <w:jc w:val="center"/>
              <w:rPr>
                <w:rFonts w:eastAsia="Times New Roman"/>
                <w:b/>
                <w:bCs/>
                <w:sz w:val="24"/>
                <w:szCs w:val="24"/>
                <w:lang w:eastAsia="lv-LV"/>
              </w:rPr>
            </w:pPr>
            <w:r>
              <w:rPr>
                <w:rFonts w:eastAsia="Times New Roman"/>
                <w:b/>
                <w:bCs/>
                <w:sz w:val="24"/>
                <w:szCs w:val="24"/>
                <w:lang w:eastAsia="lv-LV"/>
              </w:rPr>
              <w:lastRenderedPageBreak/>
              <w:t xml:space="preserve">Pēc 13.01.2021. starpministriju (starpinstitūciju) </w:t>
            </w:r>
            <w:r w:rsidRPr="00541F9F">
              <w:rPr>
                <w:rFonts w:eastAsia="Times New Roman"/>
                <w:bCs/>
                <w:sz w:val="24"/>
                <w:szCs w:val="24"/>
                <w:lang w:eastAsia="lv-LV"/>
              </w:rPr>
              <w:t>sanāksmes nebija iespējams panākt vienošanos</w:t>
            </w:r>
            <w:r w:rsidR="00941E96">
              <w:rPr>
                <w:rFonts w:eastAsia="Times New Roman"/>
                <w:bCs/>
                <w:sz w:val="24"/>
                <w:szCs w:val="24"/>
                <w:lang w:eastAsia="lv-LV"/>
              </w:rPr>
              <w:t>.</w:t>
            </w:r>
          </w:p>
        </w:tc>
        <w:tc>
          <w:tcPr>
            <w:tcW w:w="786" w:type="pct"/>
            <w:shd w:val="clear" w:color="auto" w:fill="auto"/>
          </w:tcPr>
          <w:p w14:paraId="3A681F97" w14:textId="77777777" w:rsidR="00361C01" w:rsidRPr="00361C01" w:rsidRDefault="00361C01" w:rsidP="00361C01">
            <w:pPr>
              <w:jc w:val="center"/>
              <w:rPr>
                <w:b/>
                <w:sz w:val="24"/>
              </w:rPr>
            </w:pPr>
            <w:r w:rsidRPr="00361C01">
              <w:rPr>
                <w:b/>
                <w:sz w:val="24"/>
              </w:rPr>
              <w:t>13.01.2021. starpministriju (starpinstitūciju) sanāksme</w:t>
            </w:r>
          </w:p>
          <w:p w14:paraId="4790A8F0" w14:textId="77777777" w:rsidR="00361C01" w:rsidRPr="00361C01" w:rsidRDefault="00361C01" w:rsidP="00361C01">
            <w:pPr>
              <w:jc w:val="both"/>
              <w:rPr>
                <w:sz w:val="24"/>
              </w:rPr>
            </w:pPr>
          </w:p>
          <w:p w14:paraId="13ADEB2A" w14:textId="49764CB2" w:rsidR="00361C01" w:rsidRPr="00361C01" w:rsidRDefault="00361C01" w:rsidP="00361C01">
            <w:pPr>
              <w:jc w:val="both"/>
              <w:rPr>
                <w:sz w:val="24"/>
              </w:rPr>
            </w:pPr>
            <w:r w:rsidRPr="00361C01">
              <w:rPr>
                <w:sz w:val="24"/>
              </w:rPr>
              <w:t xml:space="preserve">LSBA uztur iebildumu, vienlaikus norādot, ka iespējamais risinājums varētu tikt saistīts ar atsevišķu telpu (t.sk. ārtelpu) izveidi (norādīšanu), piemēram, kā tas tiek </w:t>
            </w:r>
            <w:r w:rsidRPr="00361C01">
              <w:rPr>
                <w:sz w:val="24"/>
              </w:rPr>
              <w:lastRenderedPageBreak/>
              <w:t xml:space="preserve">nodrošināts lidostās. Uzskatāms, ka šādu telpu izveide neapdraudētu </w:t>
            </w:r>
            <w:r w:rsidR="002A1019" w:rsidRPr="00361C01">
              <w:rPr>
                <w:sz w:val="24"/>
              </w:rPr>
              <w:t>azartspēļu</w:t>
            </w:r>
            <w:r w:rsidRPr="00361C01">
              <w:rPr>
                <w:sz w:val="24"/>
              </w:rPr>
              <w:t xml:space="preserve"> zāļu vai kazino darbiniekus, kā arī citus apmeklētājus no pasīvas smēķēšanas.</w:t>
            </w:r>
          </w:p>
          <w:p w14:paraId="122353EC" w14:textId="77777777" w:rsidR="00361C01" w:rsidRPr="00361C01" w:rsidRDefault="00361C01" w:rsidP="00361C01">
            <w:pPr>
              <w:jc w:val="both"/>
              <w:rPr>
                <w:sz w:val="24"/>
              </w:rPr>
            </w:pPr>
          </w:p>
          <w:p w14:paraId="705737E8" w14:textId="77777777" w:rsidR="00361C01" w:rsidRPr="00361C01" w:rsidRDefault="00361C01" w:rsidP="00361C01">
            <w:pPr>
              <w:jc w:val="both"/>
              <w:rPr>
                <w:sz w:val="24"/>
              </w:rPr>
            </w:pPr>
            <w:r w:rsidRPr="00361C01">
              <w:rPr>
                <w:sz w:val="24"/>
              </w:rPr>
              <w:t>LDDK pievienojas LSBA uzturētajam iebildumam un izteiktajam priekšlikumam.</w:t>
            </w:r>
          </w:p>
          <w:p w14:paraId="5D08C1CE" w14:textId="77777777" w:rsidR="00361C01" w:rsidRPr="00361C01" w:rsidRDefault="00361C01" w:rsidP="00361C01">
            <w:pPr>
              <w:jc w:val="both"/>
              <w:rPr>
                <w:sz w:val="24"/>
              </w:rPr>
            </w:pPr>
          </w:p>
          <w:p w14:paraId="33FFE5DC" w14:textId="77777777" w:rsidR="00361C01" w:rsidRPr="00361C01" w:rsidRDefault="00361C01" w:rsidP="00361C01">
            <w:pPr>
              <w:jc w:val="both"/>
              <w:rPr>
                <w:sz w:val="24"/>
              </w:rPr>
            </w:pPr>
            <w:r w:rsidRPr="00361C01">
              <w:rPr>
                <w:sz w:val="24"/>
              </w:rPr>
              <w:t>VM nepiekrīt LSBA priekšlikumam par atsevišķu telpu (t.sk. ārtelpu) veidošanu, kurās būtu atļauts smēķēt, vienlaikus aicinot noteikt pilnīgu smēķēšanas aizliegumu azartspēļu organizēšanas vietās.</w:t>
            </w:r>
          </w:p>
          <w:p w14:paraId="7B220395" w14:textId="77777777" w:rsidR="00361C01" w:rsidRPr="00361C01" w:rsidRDefault="00361C01" w:rsidP="00361C01">
            <w:pPr>
              <w:jc w:val="both"/>
              <w:rPr>
                <w:sz w:val="24"/>
              </w:rPr>
            </w:pPr>
          </w:p>
          <w:p w14:paraId="62F06316" w14:textId="77777777" w:rsidR="00361C01" w:rsidRPr="00361C01" w:rsidRDefault="00361C01" w:rsidP="00361C01">
            <w:pPr>
              <w:jc w:val="both"/>
              <w:rPr>
                <w:sz w:val="24"/>
              </w:rPr>
            </w:pPr>
            <w:r w:rsidRPr="00361C01">
              <w:rPr>
                <w:sz w:val="24"/>
              </w:rPr>
              <w:t>TM pievienojas VM apsvērumiem par pilnīgu smēķēšanas ierobežojumu.</w:t>
            </w:r>
          </w:p>
          <w:p w14:paraId="591AE7B4" w14:textId="77777777" w:rsidR="00361C01" w:rsidRPr="00361C01" w:rsidRDefault="00361C01" w:rsidP="00361C01">
            <w:pPr>
              <w:jc w:val="both"/>
              <w:rPr>
                <w:sz w:val="24"/>
              </w:rPr>
            </w:pPr>
          </w:p>
          <w:p w14:paraId="3E2EF16A" w14:textId="045E268F" w:rsidR="00361C01" w:rsidRPr="00361C01" w:rsidRDefault="00361C01" w:rsidP="0022639B">
            <w:pPr>
              <w:jc w:val="both"/>
              <w:rPr>
                <w:sz w:val="24"/>
              </w:rPr>
            </w:pPr>
            <w:r w:rsidRPr="00361C01">
              <w:rPr>
                <w:sz w:val="24"/>
              </w:rPr>
              <w:t>VM aicina noteikt pilnīgu smēķēšanas aizliegumu a</w:t>
            </w:r>
            <w:r w:rsidR="0022639B">
              <w:rPr>
                <w:sz w:val="24"/>
              </w:rPr>
              <w:t>zartspēļu organizēšanas vietās.</w:t>
            </w:r>
          </w:p>
        </w:tc>
        <w:tc>
          <w:tcPr>
            <w:tcW w:w="832" w:type="pct"/>
            <w:shd w:val="clear" w:color="auto" w:fill="auto"/>
          </w:tcPr>
          <w:p w14:paraId="29F03A37" w14:textId="5CC07D48" w:rsidR="00361C01" w:rsidRPr="00DE1A22" w:rsidRDefault="00212864" w:rsidP="00361C01">
            <w:pPr>
              <w:spacing w:after="120"/>
              <w:jc w:val="both"/>
              <w:rPr>
                <w:rFonts w:eastAsia="Times New Roman"/>
                <w:sz w:val="24"/>
                <w:szCs w:val="24"/>
                <w:lang w:eastAsia="lv-LV"/>
              </w:rPr>
            </w:pPr>
            <w:r w:rsidRPr="00212864">
              <w:rPr>
                <w:rFonts w:eastAsia="Times New Roman"/>
                <w:b/>
                <w:sz w:val="24"/>
                <w:szCs w:val="24"/>
                <w:lang w:eastAsia="lv-LV"/>
              </w:rPr>
              <w:lastRenderedPageBreak/>
              <w:t>Pamatnostādņu 4. sadaļas 1. rīcības virziena</w:t>
            </w:r>
            <w:r w:rsidRPr="00DE1A22">
              <w:rPr>
                <w:rFonts w:eastAsia="Times New Roman"/>
                <w:sz w:val="24"/>
                <w:szCs w:val="24"/>
                <w:lang w:eastAsia="lv-LV"/>
              </w:rPr>
              <w:t xml:space="preserve"> “Atkarības profilakses, preventīvie, problemātiskā spēlētāja atbalsts un sabiedrības izglītojoši pasākumi”</w:t>
            </w:r>
            <w:r>
              <w:rPr>
                <w:rFonts w:eastAsia="Times New Roman"/>
                <w:sz w:val="24"/>
                <w:szCs w:val="24"/>
                <w:lang w:eastAsia="lv-LV"/>
              </w:rPr>
              <w:t xml:space="preserve"> </w:t>
            </w:r>
            <w:r w:rsidRPr="00212864">
              <w:rPr>
                <w:rFonts w:eastAsia="Times New Roman"/>
                <w:b/>
                <w:sz w:val="24"/>
                <w:szCs w:val="24"/>
                <w:lang w:eastAsia="lv-LV"/>
              </w:rPr>
              <w:t>20. uzdevums</w:t>
            </w:r>
            <w:r>
              <w:rPr>
                <w:rFonts w:eastAsia="Times New Roman"/>
                <w:sz w:val="24"/>
                <w:szCs w:val="24"/>
                <w:lang w:eastAsia="lv-LV"/>
              </w:rPr>
              <w:t xml:space="preserve"> </w:t>
            </w:r>
            <w:r w:rsidRPr="00361C01">
              <w:rPr>
                <w:rFonts w:eastAsia="Times New Roman"/>
                <w:sz w:val="24"/>
                <w:szCs w:val="24"/>
                <w:lang w:eastAsia="lv-LV"/>
              </w:rPr>
              <w:t>“</w:t>
            </w:r>
            <w:r w:rsidR="001C2730" w:rsidRPr="001C2730">
              <w:rPr>
                <w:rFonts w:eastAsia="Times New Roman"/>
                <w:sz w:val="24"/>
                <w:szCs w:val="24"/>
                <w:lang w:eastAsia="lv-LV"/>
              </w:rPr>
              <w:t xml:space="preserve">Paredzēt normatīvajā regulējumā smēķēšanas aizliegumu azartspēļu zālēs un kazino, izņemot uz regulējuma </w:t>
            </w:r>
            <w:r w:rsidR="001C2730" w:rsidRPr="001C2730">
              <w:rPr>
                <w:rFonts w:eastAsia="Times New Roman"/>
                <w:sz w:val="24"/>
                <w:szCs w:val="24"/>
                <w:lang w:eastAsia="lv-LV"/>
              </w:rPr>
              <w:lastRenderedPageBreak/>
              <w:t>apstiprināšanas dienu speciāli paredzētajās smēķēšanas telpās, kur nodrošināta pastiprināta gaisa ventilācija (datums tiks precizēts likuma pieņemšanas brīdī).</w:t>
            </w:r>
            <w:r>
              <w:rPr>
                <w:rFonts w:eastAsia="Times New Roman"/>
                <w:sz w:val="24"/>
                <w:szCs w:val="24"/>
                <w:lang w:eastAsia="lv-LV"/>
              </w:rPr>
              <w:t>”.</w:t>
            </w:r>
          </w:p>
        </w:tc>
      </w:tr>
      <w:tr w:rsidR="0022639B" w:rsidRPr="00DE1A22" w14:paraId="214473EC" w14:textId="77777777" w:rsidTr="00F64F1D">
        <w:tc>
          <w:tcPr>
            <w:tcW w:w="230" w:type="pct"/>
          </w:tcPr>
          <w:p w14:paraId="334DC55E" w14:textId="65344AA5" w:rsidR="0022639B" w:rsidRPr="00DE1A22" w:rsidRDefault="00D06FB9" w:rsidP="0022639B">
            <w:pPr>
              <w:spacing w:before="100" w:beforeAutospacing="1" w:after="100" w:afterAutospacing="1"/>
              <w:jc w:val="center"/>
              <w:rPr>
                <w:rFonts w:eastAsia="Times New Roman"/>
                <w:sz w:val="24"/>
                <w:szCs w:val="24"/>
                <w:lang w:eastAsia="lv-LV"/>
              </w:rPr>
            </w:pPr>
            <w:r>
              <w:rPr>
                <w:rFonts w:eastAsia="Times New Roman"/>
                <w:sz w:val="24"/>
                <w:szCs w:val="24"/>
                <w:lang w:eastAsia="lv-LV"/>
              </w:rPr>
              <w:lastRenderedPageBreak/>
              <w:t>7</w:t>
            </w:r>
            <w:r w:rsidR="0022639B" w:rsidRPr="00DE1A22">
              <w:rPr>
                <w:rFonts w:eastAsia="Times New Roman"/>
                <w:sz w:val="24"/>
                <w:szCs w:val="24"/>
                <w:lang w:eastAsia="lv-LV"/>
              </w:rPr>
              <w:t>.</w:t>
            </w:r>
          </w:p>
        </w:tc>
        <w:tc>
          <w:tcPr>
            <w:tcW w:w="934" w:type="pct"/>
            <w:shd w:val="clear" w:color="auto" w:fill="auto"/>
          </w:tcPr>
          <w:p w14:paraId="499982B6" w14:textId="77777777" w:rsidR="0022639B" w:rsidRPr="00DE1A22" w:rsidRDefault="0022639B" w:rsidP="0022639B">
            <w:pPr>
              <w:jc w:val="both"/>
              <w:rPr>
                <w:rFonts w:eastAsia="Times New Roman"/>
                <w:sz w:val="24"/>
                <w:szCs w:val="24"/>
                <w:lang w:eastAsia="lv-LV"/>
              </w:rPr>
            </w:pPr>
            <w:r w:rsidRPr="00E24B44">
              <w:rPr>
                <w:rFonts w:eastAsia="Times New Roman"/>
                <w:b/>
                <w:sz w:val="24"/>
                <w:szCs w:val="24"/>
                <w:lang w:eastAsia="lv-LV"/>
              </w:rPr>
              <w:t>Pamatnostādņu 4. sadaļas 1. rīcības virziena</w:t>
            </w:r>
            <w:r w:rsidRPr="00DE1A22">
              <w:rPr>
                <w:rFonts w:eastAsia="Times New Roman"/>
                <w:sz w:val="24"/>
                <w:szCs w:val="24"/>
                <w:lang w:eastAsia="lv-LV"/>
              </w:rPr>
              <w:t xml:space="preserve"> “Atkarības profilakses, preventīvie, problemātiskā spēlētāja atbalsts un sabiedrības izglītojoši pasākumi” </w:t>
            </w:r>
            <w:r w:rsidRPr="00E24B44">
              <w:rPr>
                <w:rFonts w:eastAsia="Times New Roman"/>
                <w:b/>
                <w:sz w:val="24"/>
                <w:szCs w:val="24"/>
                <w:lang w:eastAsia="lv-LV"/>
              </w:rPr>
              <w:t>22. uzdevums</w:t>
            </w:r>
            <w:r w:rsidRPr="00DE1A22">
              <w:rPr>
                <w:rFonts w:eastAsia="Times New Roman"/>
                <w:sz w:val="24"/>
                <w:szCs w:val="24"/>
                <w:lang w:eastAsia="lv-LV"/>
              </w:rPr>
              <w:t xml:space="preserve">  “Noteikt ierobežojumu azartspēļu spēlēšanas laikā alkohola piedāvāšanai par brīvu.”</w:t>
            </w:r>
          </w:p>
        </w:tc>
        <w:tc>
          <w:tcPr>
            <w:tcW w:w="1340" w:type="pct"/>
            <w:shd w:val="clear" w:color="auto" w:fill="auto"/>
          </w:tcPr>
          <w:p w14:paraId="763914A0" w14:textId="77777777" w:rsidR="00A349F5" w:rsidRDefault="00A349F5" w:rsidP="0022639B">
            <w:pPr>
              <w:jc w:val="center"/>
              <w:rPr>
                <w:rFonts w:eastAsia="Times New Roman"/>
                <w:b/>
                <w:sz w:val="24"/>
                <w:szCs w:val="24"/>
              </w:rPr>
            </w:pPr>
            <w:r>
              <w:rPr>
                <w:rFonts w:eastAsia="Times New Roman"/>
                <w:b/>
                <w:sz w:val="24"/>
                <w:szCs w:val="24"/>
              </w:rPr>
              <w:t>LSBA</w:t>
            </w:r>
          </w:p>
          <w:p w14:paraId="2138589C" w14:textId="5E68D17A" w:rsidR="0022639B" w:rsidRPr="00DE1A22" w:rsidRDefault="0022639B" w:rsidP="0022639B">
            <w:pPr>
              <w:jc w:val="center"/>
              <w:rPr>
                <w:rFonts w:eastAsia="Times New Roman"/>
                <w:b/>
                <w:sz w:val="24"/>
                <w:szCs w:val="24"/>
              </w:rPr>
            </w:pPr>
            <w:r w:rsidRPr="00DE1A22">
              <w:rPr>
                <w:rFonts w:eastAsia="Times New Roman"/>
                <w:b/>
                <w:sz w:val="24"/>
                <w:szCs w:val="24"/>
              </w:rPr>
              <w:t xml:space="preserve"> (05.03.2020. Nr.6/20)</w:t>
            </w:r>
          </w:p>
          <w:p w14:paraId="09AC2002" w14:textId="77777777" w:rsidR="0022639B" w:rsidRPr="00DE1A22" w:rsidRDefault="0022639B" w:rsidP="0022639B">
            <w:pPr>
              <w:jc w:val="both"/>
              <w:rPr>
                <w:rFonts w:eastAsia="Times New Roman"/>
                <w:sz w:val="24"/>
                <w:szCs w:val="24"/>
              </w:rPr>
            </w:pPr>
            <w:r w:rsidRPr="00DE1A22">
              <w:rPr>
                <w:rFonts w:eastAsia="Times New Roman"/>
                <w:sz w:val="24"/>
                <w:szCs w:val="24"/>
              </w:rPr>
              <w:t xml:space="preserve">LSBA vērš uzmanību Projekta 1.rīcības virziena 22.uzdevumam “Noteikt ierobežojumu azartspēļu spēlēšanas laikā alkohola piedāvāšanai par brīvu”. Veselības ministrijas izstrādātā plāna projekta “Alkoholisko dzērienu patēriņa mazināšanas un alkoholisma ierobežošanas rīcības plāns 2020.–2022.gadam” (VSS-1268) 1.7.punktā ietverts pasākums: “Aizliegt azartspēļu zālēs un kazino piedāvāt alkoholiskos dzērienus par brīvu. </w:t>
            </w:r>
            <w:r w:rsidRPr="00DE1A22">
              <w:rPr>
                <w:rFonts w:eastAsia="Times New Roman"/>
                <w:i/>
                <w:sz w:val="24"/>
                <w:szCs w:val="24"/>
              </w:rPr>
              <w:t>Tirgot un lietot alkoholiskos dzērienus azartspēļu zālēs un kazino atļauts tikai telpās, kuras konstruktīvi nodalītas no azartspēļu organizēšanas vietas.</w:t>
            </w:r>
            <w:r w:rsidRPr="00DE1A22">
              <w:rPr>
                <w:rFonts w:eastAsia="Times New Roman"/>
                <w:sz w:val="24"/>
                <w:szCs w:val="24"/>
              </w:rPr>
              <w:t>”</w:t>
            </w:r>
          </w:p>
          <w:p w14:paraId="2B549D35" w14:textId="77777777" w:rsidR="0022639B" w:rsidRPr="00DE1A22" w:rsidRDefault="0022639B" w:rsidP="0022639B">
            <w:pPr>
              <w:jc w:val="both"/>
              <w:rPr>
                <w:rFonts w:eastAsia="Times New Roman"/>
                <w:b/>
                <w:sz w:val="24"/>
                <w:szCs w:val="24"/>
              </w:rPr>
            </w:pPr>
            <w:r w:rsidRPr="00DE1A22">
              <w:rPr>
                <w:rFonts w:eastAsia="Times New Roman"/>
                <w:b/>
                <w:sz w:val="24"/>
                <w:szCs w:val="24"/>
              </w:rPr>
              <w:t>LSBA iebilst pret otrajā teikumā ietverto ierobežojumu, kas mūsu ieskatā ir nesamērīgs – gan no personas rīcības brīvības, gan godīgas konkurences aspekta.</w:t>
            </w:r>
          </w:p>
          <w:p w14:paraId="681FC1BC" w14:textId="77777777" w:rsidR="0022639B" w:rsidRPr="00DE1A22" w:rsidRDefault="0022639B" w:rsidP="0022639B">
            <w:pPr>
              <w:jc w:val="both"/>
              <w:rPr>
                <w:rFonts w:eastAsia="Times New Roman"/>
                <w:i/>
                <w:sz w:val="24"/>
                <w:szCs w:val="24"/>
              </w:rPr>
            </w:pPr>
            <w:r w:rsidRPr="00DE1A22">
              <w:rPr>
                <w:rFonts w:eastAsia="Times New Roman"/>
                <w:sz w:val="24"/>
                <w:szCs w:val="24"/>
              </w:rPr>
              <w:t xml:space="preserve">Kā ir norādījusi arī Latvijas Darba devēju konfederācija (02.01.2020. vēstule Veselības ministrijai un NTSP sekretariātam), </w:t>
            </w:r>
            <w:r w:rsidRPr="00DE1A22">
              <w:rPr>
                <w:rFonts w:eastAsia="Times New Roman"/>
                <w:i/>
                <w:sz w:val="24"/>
                <w:szCs w:val="24"/>
              </w:rPr>
              <w:t xml:space="preserve">šāds indivīda un komersanta tiesību ierobežojums nav samērīgs un loģisks, un nav saprotams, kāds būtu ierobežojuma sasniedzamais mērķis un ieguvums. Azartspēļu organizēšanas vieta ir tāda pati izklaides vieta kā bārs, deju klubi, sporta sacensības, utt. Ja ierobežojums saistāms ar izklaides vietas atkarību riskiem, tad būtu sākotnēji jāizvērtē </w:t>
            </w:r>
            <w:r w:rsidRPr="00DE1A22">
              <w:rPr>
                <w:rFonts w:eastAsia="Times New Roman"/>
                <w:i/>
                <w:sz w:val="24"/>
                <w:szCs w:val="24"/>
              </w:rPr>
              <w:lastRenderedPageBreak/>
              <w:t xml:space="preserve">izklaides vietas, kurās atkarību risks ir krietni lielāks, un jāattiecina primāri uz tām un vienlaikus jādiskutē par horizontālu izklaides industrijas regulējumu, nevis ierobežojumu vienas nozares ietvaros. </w:t>
            </w:r>
          </w:p>
          <w:p w14:paraId="25582E14" w14:textId="77777777" w:rsidR="0022639B" w:rsidRPr="00DE1A22" w:rsidRDefault="0022639B" w:rsidP="0022639B">
            <w:pPr>
              <w:jc w:val="both"/>
              <w:rPr>
                <w:rFonts w:eastAsia="Times New Roman"/>
                <w:b/>
                <w:sz w:val="24"/>
                <w:szCs w:val="24"/>
              </w:rPr>
            </w:pPr>
            <w:r w:rsidRPr="00DE1A22">
              <w:rPr>
                <w:rFonts w:eastAsia="Times New Roman"/>
                <w:sz w:val="24"/>
                <w:szCs w:val="24"/>
              </w:rPr>
              <w:t>Pasākuma mērķis ir samazināt riskantu alkoholisko dzērienu lietošanu azartspēļu zālēs un kazino. LSBA lūdz skaidrot, kādēļ alkoholisko dzērienu tirgošana un lietošana azartspēļu zālēs - slēgtā un kontrolētā vidē ir riskanta, savukārt, piemēram, degvielas uzpildes stacijās, kurās iepērkas galvenokārt auto vadītāji, tāda nav. VM pētījums rāda, ka problemātiska azartspēļu spēlēšana skar 6,4% no respondentiem</w:t>
            </w:r>
            <w:r w:rsidRPr="00DE1A22">
              <w:rPr>
                <w:rFonts w:eastAsia="Times New Roman"/>
                <w:b/>
                <w:sz w:val="24"/>
                <w:szCs w:val="24"/>
              </w:rPr>
              <w:t xml:space="preserve">. </w:t>
            </w:r>
            <w:r w:rsidRPr="00DE1A22">
              <w:rPr>
                <w:rFonts w:eastAsia="Times New Roman"/>
                <w:sz w:val="24"/>
                <w:szCs w:val="24"/>
              </w:rPr>
              <w:t xml:space="preserve">Salīdzinājumam CSDD 2018. gada maijā veiktajā pētījumā “Sabiedrības attieksme pret automašīnas vadīšanu alkohola reibumā”  katrs desmitais respondents atzina, ka viņam pēdējo trīs gadu laikā nācies pie stūres sēsties iedzērušam. VM plāna projektā attiecībā uz transportlīdzekļa vadītāju braukšanu alkohola reibumā ir ietverts vien pasākums “pastiprināt transportlīdzekļu vadītāju kontroli” (skat. Nr. 1.6.), taču nav ieplānoti tādi pasākumi, kas varētu ierobežot piekļuvi alkoholam. </w:t>
            </w:r>
            <w:r w:rsidRPr="00DE1A22">
              <w:rPr>
                <w:rFonts w:eastAsia="Times New Roman"/>
                <w:b/>
                <w:sz w:val="24"/>
                <w:szCs w:val="24"/>
              </w:rPr>
              <w:t>LSBA ieskatā valsts politikai būtu jābūt vienotai attiecībā uz visu atkarību mazināšanu un uzņēmējdarbību ierobežojošām metodēm, ar kādām to visefektīvāk panākt.</w:t>
            </w:r>
          </w:p>
        </w:tc>
        <w:tc>
          <w:tcPr>
            <w:tcW w:w="878" w:type="pct"/>
            <w:shd w:val="clear" w:color="auto" w:fill="auto"/>
          </w:tcPr>
          <w:p w14:paraId="4FF36682" w14:textId="226B3469" w:rsidR="00A52C4F" w:rsidRDefault="00A52C4F" w:rsidP="00D06FB9">
            <w:pPr>
              <w:jc w:val="center"/>
              <w:rPr>
                <w:rFonts w:eastAsia="Times New Roman"/>
                <w:b/>
                <w:bCs/>
                <w:sz w:val="24"/>
                <w:szCs w:val="24"/>
                <w:lang w:eastAsia="lv-LV"/>
              </w:rPr>
            </w:pPr>
            <w:r>
              <w:rPr>
                <w:rFonts w:eastAsia="Times New Roman"/>
                <w:b/>
                <w:bCs/>
                <w:sz w:val="24"/>
                <w:szCs w:val="24"/>
                <w:lang w:eastAsia="lv-LV"/>
              </w:rPr>
              <w:lastRenderedPageBreak/>
              <w:t xml:space="preserve">Pēc 13.01.2021. starpministriju (starpinstitūciju) </w:t>
            </w:r>
            <w:r w:rsidRPr="00541F9F">
              <w:rPr>
                <w:rFonts w:eastAsia="Times New Roman"/>
                <w:bCs/>
                <w:sz w:val="24"/>
                <w:szCs w:val="24"/>
                <w:lang w:eastAsia="lv-LV"/>
              </w:rPr>
              <w:t>sanāksmes nebija iespējams panākt vienošanos</w:t>
            </w:r>
            <w:r w:rsidR="00941E96">
              <w:rPr>
                <w:rFonts w:eastAsia="Times New Roman"/>
                <w:bCs/>
                <w:sz w:val="24"/>
                <w:szCs w:val="24"/>
                <w:lang w:eastAsia="lv-LV"/>
              </w:rPr>
              <w:t>.</w:t>
            </w:r>
          </w:p>
          <w:p w14:paraId="62425360" w14:textId="77777777" w:rsidR="00A52C4F" w:rsidRDefault="00A52C4F" w:rsidP="00D06FB9">
            <w:pPr>
              <w:jc w:val="center"/>
              <w:rPr>
                <w:rFonts w:eastAsia="Times New Roman"/>
                <w:b/>
                <w:bCs/>
                <w:sz w:val="24"/>
                <w:szCs w:val="24"/>
                <w:lang w:eastAsia="lv-LV"/>
              </w:rPr>
            </w:pPr>
          </w:p>
          <w:p w14:paraId="42EC7481" w14:textId="7B0DFA25" w:rsidR="0022639B" w:rsidRPr="00DE1A22" w:rsidRDefault="00A52C4F" w:rsidP="00D06FB9">
            <w:pPr>
              <w:jc w:val="center"/>
              <w:rPr>
                <w:rFonts w:eastAsia="Times New Roman"/>
                <w:b/>
                <w:bCs/>
                <w:sz w:val="24"/>
                <w:szCs w:val="24"/>
                <w:lang w:eastAsia="lv-LV"/>
              </w:rPr>
            </w:pPr>
            <w:r>
              <w:rPr>
                <w:rFonts w:eastAsia="Times New Roman"/>
                <w:b/>
                <w:bCs/>
                <w:sz w:val="24"/>
                <w:szCs w:val="24"/>
                <w:lang w:eastAsia="lv-LV"/>
              </w:rPr>
              <w:t>Nav ņemts vērā</w:t>
            </w:r>
          </w:p>
          <w:p w14:paraId="043E5E65" w14:textId="77777777" w:rsidR="0022639B" w:rsidRPr="00DE1A22" w:rsidRDefault="0022639B" w:rsidP="0022639B">
            <w:pPr>
              <w:jc w:val="both"/>
              <w:rPr>
                <w:sz w:val="24"/>
                <w:szCs w:val="24"/>
              </w:rPr>
            </w:pPr>
            <w:r w:rsidRPr="00DE1A22">
              <w:rPr>
                <w:sz w:val="24"/>
                <w:szCs w:val="24"/>
              </w:rPr>
              <w:t>Alkohola un nikotīna (vielisko atkarību veidošanas komponentes) lietošana piedaloties azartspēļu procesā var pastiprināt azartspēļu atkarības veidošanos. Bieži procesu atkarību procesi indivīdam nenoris izolēti, bet ir cieši saistīti ar vieliskajiem atkarību procesiem. Vienlaikus saikne var būt saistīta ar personas noslieci uz atkarību, jo tām ir vienots patofizioloģiskais mehānisms.</w:t>
            </w:r>
          </w:p>
          <w:p w14:paraId="67B800E3" w14:textId="77777777" w:rsidR="0022639B" w:rsidRPr="00DE1A22" w:rsidRDefault="0022639B" w:rsidP="0022639B">
            <w:pPr>
              <w:jc w:val="both"/>
              <w:rPr>
                <w:sz w:val="24"/>
                <w:szCs w:val="24"/>
              </w:rPr>
            </w:pPr>
            <w:r w:rsidRPr="00DE1A22">
              <w:rPr>
                <w:sz w:val="24"/>
                <w:szCs w:val="24"/>
              </w:rPr>
              <w:t>LV pētījumā ir pierādīts, ka spēlēšanas paradumi ir saistīti ar atkarību izraisošu vielu lietošanu.</w:t>
            </w:r>
          </w:p>
          <w:p w14:paraId="1906E726" w14:textId="77777777" w:rsidR="0022639B" w:rsidRPr="00DE1A22" w:rsidRDefault="0022639B" w:rsidP="0022639B">
            <w:pPr>
              <w:jc w:val="both"/>
              <w:rPr>
                <w:sz w:val="24"/>
                <w:szCs w:val="24"/>
              </w:rPr>
            </w:pPr>
          </w:p>
          <w:p w14:paraId="38DE58C0" w14:textId="566EA7B5" w:rsidR="00F8168F" w:rsidRPr="00A52C4F" w:rsidRDefault="0022639B" w:rsidP="00A52C4F">
            <w:pPr>
              <w:jc w:val="both"/>
              <w:rPr>
                <w:sz w:val="24"/>
                <w:szCs w:val="24"/>
              </w:rPr>
            </w:pPr>
            <w:r w:rsidRPr="00DE1A22">
              <w:rPr>
                <w:sz w:val="24"/>
                <w:szCs w:val="24"/>
              </w:rPr>
              <w:t xml:space="preserve">Vienlaikus norādām, ka salīdzinājums, ka alkoholisko dzērienu tirgošana un lietošana azartspēļu zālēs ir mazāk </w:t>
            </w:r>
            <w:r w:rsidRPr="00DE1A22">
              <w:rPr>
                <w:sz w:val="24"/>
                <w:szCs w:val="24"/>
              </w:rPr>
              <w:lastRenderedPageBreak/>
              <w:t>riskanta nekā alkoholisko dzērienu tirgošana degvielas uzpildes stacijās ir nekorekta, jo nevar salīdzināt rīcības procesus, kad patēriņam tiek iegādāts alkoholisks produkts ar to, kad alkohols tiek izmantots procesā, kas pastiprina tieksmi uz pārmērīga saistītā procesa darbībām.</w:t>
            </w:r>
          </w:p>
        </w:tc>
        <w:tc>
          <w:tcPr>
            <w:tcW w:w="786" w:type="pct"/>
            <w:shd w:val="clear" w:color="auto" w:fill="auto"/>
          </w:tcPr>
          <w:p w14:paraId="0E3DDE9D" w14:textId="77777777" w:rsidR="00D06FB9" w:rsidRPr="0022639B" w:rsidRDefault="00D06FB9" w:rsidP="00D06FB9">
            <w:pPr>
              <w:jc w:val="center"/>
              <w:rPr>
                <w:b/>
                <w:sz w:val="24"/>
              </w:rPr>
            </w:pPr>
            <w:r w:rsidRPr="0022639B">
              <w:rPr>
                <w:b/>
                <w:sz w:val="24"/>
              </w:rPr>
              <w:lastRenderedPageBreak/>
              <w:t>13.01.2021. starpministriju (starpinstitūciju) sanāksme</w:t>
            </w:r>
          </w:p>
          <w:p w14:paraId="7691D891" w14:textId="77777777" w:rsidR="00D06FB9" w:rsidRPr="0022639B" w:rsidRDefault="00D06FB9" w:rsidP="00D06FB9">
            <w:pPr>
              <w:jc w:val="center"/>
              <w:rPr>
                <w:b/>
                <w:sz w:val="24"/>
              </w:rPr>
            </w:pPr>
          </w:p>
          <w:p w14:paraId="542E20F8" w14:textId="77777777" w:rsidR="00D06FB9" w:rsidRPr="0022639B" w:rsidRDefault="00D06FB9" w:rsidP="00D06FB9">
            <w:pPr>
              <w:jc w:val="center"/>
              <w:rPr>
                <w:sz w:val="24"/>
              </w:rPr>
            </w:pPr>
            <w:r w:rsidRPr="0022639B">
              <w:rPr>
                <w:sz w:val="24"/>
              </w:rPr>
              <w:t>LSBA uztur iebildumu.</w:t>
            </w:r>
          </w:p>
          <w:p w14:paraId="44FF7D37" w14:textId="08B3B253" w:rsidR="0022639B" w:rsidRPr="00DE1A22" w:rsidRDefault="00D06FB9" w:rsidP="00D06FB9">
            <w:pPr>
              <w:spacing w:before="100" w:beforeAutospacing="1" w:after="100" w:afterAutospacing="1"/>
              <w:jc w:val="both"/>
              <w:rPr>
                <w:rFonts w:eastAsia="Times New Roman"/>
                <w:sz w:val="24"/>
                <w:szCs w:val="24"/>
                <w:lang w:eastAsia="lv-LV"/>
              </w:rPr>
            </w:pPr>
            <w:r w:rsidRPr="0022639B">
              <w:rPr>
                <w:sz w:val="24"/>
              </w:rPr>
              <w:t>LDDK pievienojas LSBA iepriekš izteiktajam iebildumam.</w:t>
            </w:r>
          </w:p>
        </w:tc>
        <w:tc>
          <w:tcPr>
            <w:tcW w:w="832" w:type="pct"/>
            <w:shd w:val="clear" w:color="auto" w:fill="auto"/>
          </w:tcPr>
          <w:p w14:paraId="18737B0E" w14:textId="6FBCAA39" w:rsidR="0022639B" w:rsidRPr="00DE1A22" w:rsidRDefault="00E24B44" w:rsidP="0022639B">
            <w:pPr>
              <w:spacing w:after="120"/>
              <w:jc w:val="both"/>
              <w:rPr>
                <w:rFonts w:eastAsia="Times New Roman"/>
                <w:sz w:val="24"/>
                <w:szCs w:val="24"/>
                <w:lang w:eastAsia="lv-LV"/>
              </w:rPr>
            </w:pPr>
            <w:r w:rsidRPr="00E24B44">
              <w:rPr>
                <w:rFonts w:eastAsia="Times New Roman"/>
                <w:b/>
                <w:sz w:val="24"/>
                <w:szCs w:val="24"/>
                <w:lang w:eastAsia="lv-LV"/>
              </w:rPr>
              <w:t>Pamatnostādņu 4. sadaļas 1. rīcības virziena</w:t>
            </w:r>
            <w:r w:rsidRPr="00DE1A22">
              <w:rPr>
                <w:rFonts w:eastAsia="Times New Roman"/>
                <w:sz w:val="24"/>
                <w:szCs w:val="24"/>
                <w:lang w:eastAsia="lv-LV"/>
              </w:rPr>
              <w:t xml:space="preserve"> “Atkarības profilakses, preventīvie, problemātiskā spēlētāja atbalsts un sabiedrības izglītojoši pasākumi” </w:t>
            </w:r>
            <w:r>
              <w:rPr>
                <w:rFonts w:eastAsia="Times New Roman"/>
                <w:b/>
                <w:sz w:val="24"/>
                <w:szCs w:val="24"/>
                <w:lang w:eastAsia="lv-LV"/>
              </w:rPr>
              <w:t>21</w:t>
            </w:r>
            <w:r w:rsidRPr="00E24B44">
              <w:rPr>
                <w:rFonts w:eastAsia="Times New Roman"/>
                <w:b/>
                <w:sz w:val="24"/>
                <w:szCs w:val="24"/>
                <w:lang w:eastAsia="lv-LV"/>
              </w:rPr>
              <w:t>. uzdevums</w:t>
            </w:r>
            <w:r w:rsidRPr="00DE1A22">
              <w:rPr>
                <w:rFonts w:eastAsia="Times New Roman"/>
                <w:sz w:val="24"/>
                <w:szCs w:val="24"/>
                <w:lang w:eastAsia="lv-LV"/>
              </w:rPr>
              <w:t xml:space="preserve">  “Noteikt ierobežojumu azartspēļu spēlēšanas laikā alkohola piedāvāšanai par brīvu.”</w:t>
            </w:r>
          </w:p>
        </w:tc>
      </w:tr>
      <w:tr w:rsidR="00D06FB9" w:rsidRPr="00DE1A22" w14:paraId="17E1DB53" w14:textId="77777777" w:rsidTr="00B00FCE">
        <w:tc>
          <w:tcPr>
            <w:tcW w:w="5000" w:type="pct"/>
            <w:gridSpan w:val="6"/>
            <w:shd w:val="clear" w:color="auto" w:fill="E2EFD9" w:themeFill="accent6" w:themeFillTint="33"/>
            <w:vAlign w:val="center"/>
          </w:tcPr>
          <w:p w14:paraId="59AE899B" w14:textId="7FE98815" w:rsidR="00D06FB9" w:rsidRPr="00D06FB9" w:rsidRDefault="00D06FB9" w:rsidP="000058F9">
            <w:pPr>
              <w:spacing w:after="120"/>
              <w:jc w:val="center"/>
              <w:rPr>
                <w:rFonts w:eastAsia="Times New Roman"/>
                <w:b/>
                <w:sz w:val="24"/>
                <w:szCs w:val="24"/>
                <w:lang w:eastAsia="lv-LV"/>
              </w:rPr>
            </w:pPr>
            <w:r w:rsidRPr="00D06FB9">
              <w:rPr>
                <w:rFonts w:eastAsia="Times New Roman"/>
                <w:b/>
                <w:sz w:val="24"/>
                <w:szCs w:val="24"/>
                <w:lang w:eastAsia="lv-LV"/>
              </w:rPr>
              <w:lastRenderedPageBreak/>
              <w:t>Iebildumi par Pamatnostādņu 4.sadaļas 2.rīcības virziena “Azartspēļu un izložu reklāmas aizlieguma kontrole” uzdevumiem</w:t>
            </w:r>
          </w:p>
        </w:tc>
      </w:tr>
      <w:tr w:rsidR="0022639B" w:rsidRPr="00DE1A22" w14:paraId="771FC54A" w14:textId="77777777" w:rsidTr="00F64F1D">
        <w:tc>
          <w:tcPr>
            <w:tcW w:w="230" w:type="pct"/>
          </w:tcPr>
          <w:p w14:paraId="5A1FE22D" w14:textId="39AE15B3" w:rsidR="0022639B" w:rsidRPr="00DE1A22" w:rsidRDefault="00D06FB9" w:rsidP="0022639B">
            <w:pPr>
              <w:spacing w:before="100" w:beforeAutospacing="1" w:after="100" w:afterAutospacing="1"/>
              <w:jc w:val="center"/>
              <w:rPr>
                <w:rFonts w:eastAsia="Times New Roman"/>
                <w:sz w:val="24"/>
                <w:szCs w:val="24"/>
                <w:lang w:eastAsia="lv-LV"/>
              </w:rPr>
            </w:pPr>
            <w:r>
              <w:rPr>
                <w:rFonts w:eastAsia="Times New Roman"/>
                <w:sz w:val="24"/>
                <w:szCs w:val="24"/>
                <w:lang w:eastAsia="lv-LV"/>
              </w:rPr>
              <w:t>8</w:t>
            </w:r>
            <w:r w:rsidR="0022639B" w:rsidRPr="00DE1A22">
              <w:rPr>
                <w:rFonts w:eastAsia="Times New Roman"/>
                <w:sz w:val="24"/>
                <w:szCs w:val="24"/>
                <w:lang w:eastAsia="lv-LV"/>
              </w:rPr>
              <w:t>.</w:t>
            </w:r>
          </w:p>
        </w:tc>
        <w:tc>
          <w:tcPr>
            <w:tcW w:w="934" w:type="pct"/>
            <w:shd w:val="clear" w:color="auto" w:fill="auto"/>
          </w:tcPr>
          <w:p w14:paraId="1434B017" w14:textId="06A72BBF" w:rsidR="0022639B" w:rsidRPr="00DE1A22" w:rsidRDefault="0022639B" w:rsidP="0022639B">
            <w:pPr>
              <w:jc w:val="both"/>
              <w:rPr>
                <w:rFonts w:eastAsia="Times New Roman"/>
                <w:sz w:val="24"/>
                <w:szCs w:val="24"/>
                <w:lang w:eastAsia="lv-LV"/>
              </w:rPr>
            </w:pPr>
          </w:p>
        </w:tc>
        <w:tc>
          <w:tcPr>
            <w:tcW w:w="1340" w:type="pct"/>
            <w:shd w:val="clear" w:color="auto" w:fill="auto"/>
          </w:tcPr>
          <w:p w14:paraId="7FA1E6B0" w14:textId="77777777" w:rsidR="00A349F5" w:rsidRDefault="00A349F5" w:rsidP="00D06FB9">
            <w:pPr>
              <w:contextualSpacing/>
              <w:jc w:val="center"/>
              <w:rPr>
                <w:rFonts w:eastAsia="Times New Roman"/>
                <w:b/>
                <w:sz w:val="24"/>
                <w:szCs w:val="24"/>
              </w:rPr>
            </w:pPr>
            <w:r>
              <w:rPr>
                <w:rFonts w:eastAsia="Times New Roman"/>
                <w:b/>
                <w:sz w:val="24"/>
                <w:szCs w:val="24"/>
              </w:rPr>
              <w:t>LSBA</w:t>
            </w:r>
          </w:p>
          <w:p w14:paraId="445430BB" w14:textId="6006CAE0" w:rsidR="0022639B" w:rsidRPr="00DE1A22" w:rsidRDefault="0022639B" w:rsidP="00D06FB9">
            <w:pPr>
              <w:contextualSpacing/>
              <w:jc w:val="center"/>
              <w:rPr>
                <w:rFonts w:eastAsia="Times New Roman"/>
                <w:b/>
                <w:sz w:val="24"/>
                <w:szCs w:val="24"/>
              </w:rPr>
            </w:pPr>
            <w:r w:rsidRPr="00DE1A22">
              <w:rPr>
                <w:rFonts w:eastAsia="Times New Roman"/>
                <w:b/>
                <w:sz w:val="24"/>
                <w:szCs w:val="24"/>
              </w:rPr>
              <w:t xml:space="preserve"> (05.03.2020. Nr.6/20)</w:t>
            </w:r>
          </w:p>
          <w:p w14:paraId="6CDE4F9F" w14:textId="77777777" w:rsidR="0022639B" w:rsidRPr="00DE1A22" w:rsidRDefault="0022639B" w:rsidP="0022639B">
            <w:pPr>
              <w:jc w:val="both"/>
              <w:rPr>
                <w:rFonts w:eastAsia="Times New Roman"/>
                <w:b/>
                <w:sz w:val="24"/>
                <w:szCs w:val="24"/>
              </w:rPr>
            </w:pPr>
            <w:r w:rsidRPr="00DE1A22">
              <w:rPr>
                <w:rFonts w:eastAsia="Times New Roman"/>
                <w:sz w:val="24"/>
                <w:szCs w:val="24"/>
              </w:rPr>
              <w:t>Papildināt ar uzdevumu šādā redakcijā: “Grozījumi AIL, nosakot izlozēm azartspēlēm analogus reklāmas ierobežojumus.” Pamatojums pie iebilduma par izložu nodalīšanas no azartspēlēm.</w:t>
            </w:r>
          </w:p>
        </w:tc>
        <w:tc>
          <w:tcPr>
            <w:tcW w:w="878" w:type="pct"/>
            <w:shd w:val="clear" w:color="auto" w:fill="auto"/>
          </w:tcPr>
          <w:p w14:paraId="40FC2FB6" w14:textId="4D1E836E" w:rsidR="00F8168F" w:rsidRDefault="00F8168F" w:rsidP="00CB2657">
            <w:pPr>
              <w:jc w:val="center"/>
              <w:rPr>
                <w:rFonts w:eastAsia="Times New Roman"/>
                <w:b/>
                <w:bCs/>
                <w:sz w:val="24"/>
                <w:szCs w:val="24"/>
                <w:lang w:eastAsia="lv-LV"/>
              </w:rPr>
            </w:pPr>
            <w:r>
              <w:rPr>
                <w:rFonts w:eastAsia="Times New Roman"/>
                <w:b/>
                <w:bCs/>
                <w:sz w:val="24"/>
                <w:szCs w:val="24"/>
                <w:lang w:eastAsia="lv-LV"/>
              </w:rPr>
              <w:t xml:space="preserve">Pēc 13.01.2021. starpministriju (starpinstitūciju) </w:t>
            </w:r>
            <w:r w:rsidRPr="00541F9F">
              <w:rPr>
                <w:rFonts w:eastAsia="Times New Roman"/>
                <w:bCs/>
                <w:sz w:val="24"/>
                <w:szCs w:val="24"/>
                <w:lang w:eastAsia="lv-LV"/>
              </w:rPr>
              <w:t>sanāksmes nebija iespējams panākt vienošanos</w:t>
            </w:r>
            <w:r w:rsidR="00941E96">
              <w:rPr>
                <w:rFonts w:eastAsia="Times New Roman"/>
                <w:bCs/>
                <w:sz w:val="24"/>
                <w:szCs w:val="24"/>
                <w:lang w:eastAsia="lv-LV"/>
              </w:rPr>
              <w:t>.</w:t>
            </w:r>
          </w:p>
          <w:p w14:paraId="44F8C8F6" w14:textId="77777777" w:rsidR="00F8168F" w:rsidRDefault="00F8168F" w:rsidP="00CB2657">
            <w:pPr>
              <w:jc w:val="center"/>
              <w:rPr>
                <w:rFonts w:eastAsia="Times New Roman"/>
                <w:b/>
                <w:bCs/>
                <w:sz w:val="24"/>
                <w:szCs w:val="24"/>
                <w:lang w:eastAsia="lv-LV"/>
              </w:rPr>
            </w:pPr>
          </w:p>
          <w:p w14:paraId="27A170DD" w14:textId="4ECBFBA8" w:rsidR="0022639B" w:rsidRPr="00DE1A22" w:rsidRDefault="00A52C4F" w:rsidP="00CB2657">
            <w:pPr>
              <w:jc w:val="center"/>
              <w:rPr>
                <w:rFonts w:eastAsia="Times New Roman"/>
                <w:b/>
                <w:bCs/>
                <w:sz w:val="24"/>
                <w:szCs w:val="24"/>
                <w:lang w:eastAsia="lv-LV"/>
              </w:rPr>
            </w:pPr>
            <w:r>
              <w:rPr>
                <w:rFonts w:eastAsia="Times New Roman"/>
                <w:b/>
                <w:bCs/>
                <w:sz w:val="24"/>
                <w:szCs w:val="24"/>
                <w:lang w:eastAsia="lv-LV"/>
              </w:rPr>
              <w:t>Nav ņemts vērā</w:t>
            </w:r>
          </w:p>
          <w:p w14:paraId="7773898D" w14:textId="77777777" w:rsidR="0022639B" w:rsidRPr="00DE1A22" w:rsidRDefault="0022639B" w:rsidP="0022639B">
            <w:pPr>
              <w:jc w:val="both"/>
              <w:rPr>
                <w:rFonts w:eastAsia="Times New Roman"/>
                <w:sz w:val="24"/>
                <w:szCs w:val="24"/>
                <w:lang w:eastAsia="lv-LV"/>
              </w:rPr>
            </w:pPr>
            <w:r w:rsidRPr="00DE1A22">
              <w:rPr>
                <w:rFonts w:eastAsia="Times New Roman"/>
                <w:sz w:val="24"/>
                <w:szCs w:val="24"/>
                <w:lang w:eastAsia="lv-LV"/>
              </w:rPr>
              <w:t xml:space="preserve">Zinātniskajos pētījumos ir secināts, ka azartspēļu automāti un kazino spēles ir  tie azartspēļu veidi, kas visvairāk ir saistīti ar azartspēļu atkarības veidošanos. </w:t>
            </w:r>
          </w:p>
          <w:p w14:paraId="2670DA10" w14:textId="77777777" w:rsidR="0022639B" w:rsidRPr="00DE1A22" w:rsidRDefault="0022639B" w:rsidP="0022639B">
            <w:pPr>
              <w:jc w:val="both"/>
            </w:pPr>
            <w:r w:rsidRPr="00DE1A22">
              <w:rPr>
                <w:rFonts w:eastAsia="Times New Roman"/>
                <w:sz w:val="24"/>
                <w:szCs w:val="24"/>
                <w:lang w:eastAsia="lv-LV"/>
              </w:rPr>
              <w:t>Līdz ar to pasākumiem jābūt pēc iespējas fokusētākiem un orientētiem tieši uz būtiskāko risku mazināšanu, lai sasniegtu labāku rezultātu.  Lai sasniegtu labāko rezultatīvo rādītāju, pasākumiem jābūt salāgotiem ar riska pakāpi</w:t>
            </w:r>
            <w:r w:rsidRPr="00DE1A22">
              <w:t>.</w:t>
            </w:r>
            <w:r w:rsidRPr="00DE1A22">
              <w:rPr>
                <w:rStyle w:val="FootnoteReference"/>
              </w:rPr>
              <w:footnoteReference w:id="1"/>
            </w:r>
          </w:p>
          <w:p w14:paraId="526A6AC2" w14:textId="77777777" w:rsidR="0022639B" w:rsidRPr="00DE1A22" w:rsidRDefault="0022639B" w:rsidP="0022639B">
            <w:pPr>
              <w:pStyle w:val="NoSpacing"/>
              <w:jc w:val="both"/>
              <w:rPr>
                <w:lang w:val="lv-LV"/>
              </w:rPr>
            </w:pPr>
            <w:r w:rsidRPr="00DE1A22">
              <w:rPr>
                <w:lang w:val="lv-LV"/>
              </w:rPr>
              <w:t xml:space="preserve">LV pētījums rāda, ka, lai arī azartspēles automātos spēlē salīdzinoši mazāks respondentu īpatsvars kā loterijas, šādi kopumā </w:t>
            </w:r>
            <w:r w:rsidRPr="00DE1A22">
              <w:rPr>
                <w:lang w:val="lv-LV"/>
              </w:rPr>
              <w:lastRenderedPageBreak/>
              <w:t>mazinot problemātisko spēlmaņu īpatsvaru populācijā, tomēr tā kaitīgā ietekme ir augstāka, skarot pat lielāko daļu aktīvo regulāro spēlētāju.</w:t>
            </w:r>
          </w:p>
          <w:p w14:paraId="578E713D" w14:textId="77777777" w:rsidR="0022639B" w:rsidRPr="00DE1A22" w:rsidRDefault="0022639B" w:rsidP="0022639B">
            <w:pPr>
              <w:pStyle w:val="Default"/>
              <w:jc w:val="both"/>
              <w:rPr>
                <w:rFonts w:ascii="Times New Roman" w:hAnsi="Times New Roman" w:cs="Times New Roman"/>
                <w:color w:val="auto"/>
              </w:rPr>
            </w:pPr>
            <w:r w:rsidRPr="00DE1A22">
              <w:rPr>
                <w:rFonts w:ascii="Times New Roman" w:hAnsi="Times New Roman" w:cs="Times New Roman"/>
                <w:color w:val="auto"/>
              </w:rPr>
              <w:t xml:space="preserve">Aktīvo 60% spēļu automātu spēlētāju problēmas saskaņā ar indeksa vērtībām uzskatāmas nevis par zema līmeņa, bet gan par vidēja vai augsta līmeņa problēmām. </w:t>
            </w:r>
          </w:p>
          <w:p w14:paraId="0E9B060F" w14:textId="1D042C0C" w:rsidR="00F8168F" w:rsidRPr="00F8168F" w:rsidRDefault="0022639B" w:rsidP="0022639B">
            <w:pPr>
              <w:jc w:val="both"/>
              <w:rPr>
                <w:sz w:val="24"/>
                <w:szCs w:val="24"/>
              </w:rPr>
            </w:pPr>
            <w:r w:rsidRPr="00DE1A22">
              <w:rPr>
                <w:sz w:val="24"/>
                <w:szCs w:val="24"/>
              </w:rPr>
              <w:t>Iepriekš minētie secinājumi nosaka, ka izložu spēlētājiem ir mazāks atkarības risks. Ņemot vērā iepriekš minēto, reklāmas aizlieguma attiecin</w:t>
            </w:r>
            <w:r w:rsidR="00F8168F">
              <w:rPr>
                <w:sz w:val="24"/>
                <w:szCs w:val="24"/>
              </w:rPr>
              <w:t>āšana uz izlozēm ir nesamērīga.</w:t>
            </w:r>
          </w:p>
        </w:tc>
        <w:tc>
          <w:tcPr>
            <w:tcW w:w="786" w:type="pct"/>
            <w:shd w:val="clear" w:color="auto" w:fill="auto"/>
          </w:tcPr>
          <w:p w14:paraId="6481EC9C" w14:textId="77777777" w:rsidR="00CB2657" w:rsidRPr="00CB2657" w:rsidRDefault="00CB2657" w:rsidP="00CB2657">
            <w:pPr>
              <w:jc w:val="center"/>
              <w:rPr>
                <w:b/>
                <w:sz w:val="24"/>
              </w:rPr>
            </w:pPr>
            <w:r w:rsidRPr="00CB2657">
              <w:rPr>
                <w:b/>
                <w:sz w:val="24"/>
              </w:rPr>
              <w:lastRenderedPageBreak/>
              <w:t>13.01.2021. starpministriju (starpinstitūciju) sanāksme</w:t>
            </w:r>
          </w:p>
          <w:p w14:paraId="675F1A79" w14:textId="77777777" w:rsidR="00CB2657" w:rsidRPr="00CB2657" w:rsidRDefault="00CB2657" w:rsidP="00CB2657">
            <w:pPr>
              <w:jc w:val="both"/>
              <w:rPr>
                <w:iCs/>
                <w:sz w:val="24"/>
              </w:rPr>
            </w:pPr>
          </w:p>
          <w:p w14:paraId="4687932F" w14:textId="77777777" w:rsidR="00CB2657" w:rsidRPr="00CB2657" w:rsidRDefault="00CB2657" w:rsidP="00CB2657">
            <w:pPr>
              <w:jc w:val="both"/>
              <w:rPr>
                <w:sz w:val="24"/>
              </w:rPr>
            </w:pPr>
            <w:r w:rsidRPr="00CB2657">
              <w:rPr>
                <w:iCs/>
                <w:sz w:val="24"/>
              </w:rPr>
              <w:t>LSBA uztur iebildumu.</w:t>
            </w:r>
          </w:p>
          <w:p w14:paraId="6C441934" w14:textId="77777777" w:rsidR="0022639B" w:rsidRPr="00DE1A22" w:rsidRDefault="0022639B" w:rsidP="0022639B">
            <w:pPr>
              <w:spacing w:before="100" w:beforeAutospacing="1" w:after="100" w:afterAutospacing="1"/>
              <w:jc w:val="both"/>
              <w:rPr>
                <w:rFonts w:eastAsia="Times New Roman"/>
                <w:sz w:val="24"/>
                <w:szCs w:val="24"/>
                <w:lang w:eastAsia="lv-LV"/>
              </w:rPr>
            </w:pPr>
          </w:p>
        </w:tc>
        <w:tc>
          <w:tcPr>
            <w:tcW w:w="832" w:type="pct"/>
            <w:shd w:val="clear" w:color="auto" w:fill="auto"/>
          </w:tcPr>
          <w:p w14:paraId="0B87E318" w14:textId="77777777" w:rsidR="0022639B" w:rsidRPr="00DE1A22" w:rsidRDefault="0022639B" w:rsidP="0022639B">
            <w:pPr>
              <w:spacing w:after="120"/>
              <w:jc w:val="both"/>
              <w:rPr>
                <w:rFonts w:eastAsia="Times New Roman"/>
                <w:sz w:val="24"/>
                <w:szCs w:val="24"/>
                <w:lang w:eastAsia="lv-LV"/>
              </w:rPr>
            </w:pPr>
          </w:p>
        </w:tc>
      </w:tr>
      <w:tr w:rsidR="0022639B" w:rsidRPr="00DE1A22" w14:paraId="3E3F78D4" w14:textId="77777777" w:rsidTr="00F64F1D">
        <w:tc>
          <w:tcPr>
            <w:tcW w:w="230" w:type="pct"/>
          </w:tcPr>
          <w:p w14:paraId="18E0A338" w14:textId="5A1FEACF" w:rsidR="0022639B" w:rsidRPr="00DE1A22" w:rsidRDefault="002F4040" w:rsidP="0022639B">
            <w:pPr>
              <w:spacing w:before="100" w:beforeAutospacing="1" w:after="100" w:afterAutospacing="1"/>
              <w:jc w:val="center"/>
              <w:rPr>
                <w:rFonts w:eastAsia="Times New Roman"/>
                <w:sz w:val="24"/>
                <w:szCs w:val="24"/>
                <w:lang w:eastAsia="lv-LV"/>
              </w:rPr>
            </w:pPr>
            <w:r>
              <w:rPr>
                <w:rFonts w:eastAsia="Times New Roman"/>
                <w:sz w:val="24"/>
                <w:szCs w:val="24"/>
                <w:lang w:eastAsia="lv-LV"/>
              </w:rPr>
              <w:t>9</w:t>
            </w:r>
            <w:r w:rsidR="0022639B" w:rsidRPr="00DE1A22">
              <w:rPr>
                <w:rFonts w:eastAsia="Times New Roman"/>
                <w:sz w:val="24"/>
                <w:szCs w:val="24"/>
                <w:lang w:eastAsia="lv-LV"/>
              </w:rPr>
              <w:t>.</w:t>
            </w:r>
          </w:p>
        </w:tc>
        <w:tc>
          <w:tcPr>
            <w:tcW w:w="934" w:type="pct"/>
            <w:shd w:val="clear" w:color="auto" w:fill="auto"/>
          </w:tcPr>
          <w:p w14:paraId="7CE24E37" w14:textId="67329BCB" w:rsidR="0022639B" w:rsidRPr="00DE1A22" w:rsidRDefault="0022639B" w:rsidP="0022639B">
            <w:pPr>
              <w:jc w:val="both"/>
              <w:rPr>
                <w:rFonts w:eastAsia="Times New Roman"/>
                <w:sz w:val="24"/>
                <w:szCs w:val="24"/>
                <w:lang w:eastAsia="lv-LV"/>
              </w:rPr>
            </w:pPr>
          </w:p>
        </w:tc>
        <w:tc>
          <w:tcPr>
            <w:tcW w:w="1340" w:type="pct"/>
            <w:shd w:val="clear" w:color="auto" w:fill="auto"/>
          </w:tcPr>
          <w:p w14:paraId="32CDC3AD" w14:textId="3370CC9A" w:rsidR="000058F9" w:rsidRDefault="0022639B" w:rsidP="002F4040">
            <w:pPr>
              <w:jc w:val="center"/>
              <w:rPr>
                <w:rFonts w:eastAsia="Times New Roman"/>
                <w:b/>
                <w:sz w:val="24"/>
                <w:szCs w:val="24"/>
              </w:rPr>
            </w:pPr>
            <w:r w:rsidRPr="00DE1A22">
              <w:rPr>
                <w:rFonts w:eastAsia="Times New Roman"/>
                <w:b/>
                <w:sz w:val="24"/>
                <w:szCs w:val="24"/>
              </w:rPr>
              <w:t xml:space="preserve">Veselības ministrija </w:t>
            </w:r>
          </w:p>
          <w:p w14:paraId="10DFA100" w14:textId="6FFB8901" w:rsidR="0022639B" w:rsidRPr="00DE1A22" w:rsidRDefault="00A349F5" w:rsidP="002F4040">
            <w:pPr>
              <w:jc w:val="center"/>
              <w:rPr>
                <w:rFonts w:eastAsia="Times New Roman"/>
                <w:b/>
                <w:sz w:val="24"/>
                <w:szCs w:val="24"/>
              </w:rPr>
            </w:pPr>
            <w:r w:rsidRPr="00DE1A22">
              <w:rPr>
                <w:rFonts w:eastAsia="Times New Roman"/>
                <w:b/>
                <w:sz w:val="24"/>
                <w:szCs w:val="24"/>
              </w:rPr>
              <w:t xml:space="preserve"> </w:t>
            </w:r>
            <w:r w:rsidR="0022639B" w:rsidRPr="00DE1A22">
              <w:rPr>
                <w:rFonts w:eastAsia="Times New Roman"/>
                <w:b/>
                <w:sz w:val="24"/>
                <w:szCs w:val="24"/>
              </w:rPr>
              <w:t>(02.03.2020. Nr.01-09/1090)</w:t>
            </w:r>
          </w:p>
          <w:p w14:paraId="6E302AC7" w14:textId="77777777" w:rsidR="0022639B" w:rsidRPr="00DE1A22" w:rsidRDefault="0022639B" w:rsidP="0022639B">
            <w:pPr>
              <w:jc w:val="both"/>
              <w:rPr>
                <w:rFonts w:eastAsia="Times New Roman"/>
                <w:b/>
                <w:sz w:val="24"/>
                <w:szCs w:val="24"/>
              </w:rPr>
            </w:pPr>
            <w:r w:rsidRPr="00DE1A22">
              <w:rPr>
                <w:rFonts w:eastAsia="Times New Roman"/>
                <w:b/>
                <w:sz w:val="24"/>
                <w:szCs w:val="24"/>
              </w:rPr>
              <w:t>Lūdzam pamatnostādņu projekta rīcības virzienā “Azartspēļu un izložu reklāmas aizlieguma kontrole” iekļaut jaunu uzdevumu – aizliegt reklāmu izlozēm, nosakot, ka atļauta tikai rezultātu paziņošana specializētos raidījumos</w:t>
            </w:r>
            <w:r w:rsidRPr="00DE1A22">
              <w:rPr>
                <w:rFonts w:eastAsia="Times New Roman"/>
                <w:sz w:val="24"/>
                <w:szCs w:val="24"/>
              </w:rPr>
              <w:t xml:space="preserve">, nosakot ierobežojumus diennakts laikam un biežumam. Attiecībā uz izlozēm un loterijām būtu jāierobežo arī vides </w:t>
            </w:r>
            <w:r w:rsidRPr="00DE1A22">
              <w:rPr>
                <w:rFonts w:eastAsia="Times New Roman"/>
                <w:sz w:val="24"/>
                <w:szCs w:val="24"/>
              </w:rPr>
              <w:lastRenderedPageBreak/>
              <w:t>reklāma. Veselības ministrija jau iepriekš sniegtajā atzinumā Nr.01-09/448 (2019.gada 30.janvārī) aicināja pamatnostādņu projektā iekļaut šādu pasākumu.</w:t>
            </w:r>
          </w:p>
        </w:tc>
        <w:tc>
          <w:tcPr>
            <w:tcW w:w="878" w:type="pct"/>
            <w:shd w:val="clear" w:color="auto" w:fill="auto"/>
          </w:tcPr>
          <w:p w14:paraId="45201056" w14:textId="5DA5F1B7" w:rsidR="00F8168F" w:rsidRDefault="00F8168F" w:rsidP="002F4040">
            <w:pPr>
              <w:jc w:val="center"/>
              <w:rPr>
                <w:rFonts w:eastAsia="Times New Roman"/>
                <w:b/>
                <w:bCs/>
                <w:sz w:val="24"/>
                <w:szCs w:val="24"/>
                <w:lang w:eastAsia="lv-LV"/>
              </w:rPr>
            </w:pPr>
            <w:r>
              <w:rPr>
                <w:rFonts w:eastAsia="Times New Roman"/>
                <w:b/>
                <w:bCs/>
                <w:sz w:val="24"/>
                <w:szCs w:val="24"/>
                <w:lang w:eastAsia="lv-LV"/>
              </w:rPr>
              <w:lastRenderedPageBreak/>
              <w:t xml:space="preserve">Pēc 13.01.2021. starpministriju (starpinstitūciju) </w:t>
            </w:r>
            <w:r w:rsidRPr="00541F9F">
              <w:rPr>
                <w:rFonts w:eastAsia="Times New Roman"/>
                <w:bCs/>
                <w:sz w:val="24"/>
                <w:szCs w:val="24"/>
                <w:lang w:eastAsia="lv-LV"/>
              </w:rPr>
              <w:t>sanāksmes nebija iespējams panākt vienošanos</w:t>
            </w:r>
            <w:r w:rsidR="00941E96">
              <w:rPr>
                <w:rFonts w:eastAsia="Times New Roman"/>
                <w:bCs/>
                <w:sz w:val="24"/>
                <w:szCs w:val="24"/>
                <w:lang w:eastAsia="lv-LV"/>
              </w:rPr>
              <w:t>.</w:t>
            </w:r>
          </w:p>
          <w:p w14:paraId="00C78C85" w14:textId="77777777" w:rsidR="00F8168F" w:rsidRDefault="00F8168F" w:rsidP="002F4040">
            <w:pPr>
              <w:jc w:val="center"/>
              <w:rPr>
                <w:rFonts w:eastAsia="Times New Roman"/>
                <w:b/>
                <w:bCs/>
                <w:sz w:val="24"/>
                <w:szCs w:val="24"/>
                <w:lang w:eastAsia="lv-LV"/>
              </w:rPr>
            </w:pPr>
          </w:p>
          <w:p w14:paraId="48E613D2" w14:textId="3C7BD99C" w:rsidR="0022639B" w:rsidRPr="00DE1A22" w:rsidRDefault="00A52C4F" w:rsidP="002F4040">
            <w:pPr>
              <w:jc w:val="center"/>
              <w:rPr>
                <w:rFonts w:eastAsia="Times New Roman"/>
                <w:b/>
                <w:bCs/>
                <w:sz w:val="24"/>
                <w:szCs w:val="24"/>
                <w:lang w:eastAsia="lv-LV"/>
              </w:rPr>
            </w:pPr>
            <w:r>
              <w:rPr>
                <w:rFonts w:eastAsia="Times New Roman"/>
                <w:b/>
                <w:bCs/>
                <w:sz w:val="24"/>
                <w:szCs w:val="24"/>
                <w:lang w:eastAsia="lv-LV"/>
              </w:rPr>
              <w:t>Nav ņemts vērā</w:t>
            </w:r>
          </w:p>
          <w:p w14:paraId="3D933F1F" w14:textId="77777777" w:rsidR="0022639B" w:rsidRPr="00DE1A22" w:rsidRDefault="0022639B" w:rsidP="0022639B">
            <w:pPr>
              <w:pStyle w:val="NoSpacing"/>
              <w:jc w:val="both"/>
              <w:rPr>
                <w:lang w:val="lv-LV"/>
              </w:rPr>
            </w:pPr>
            <w:r w:rsidRPr="00DE1A22">
              <w:rPr>
                <w:lang w:val="lv-LV"/>
              </w:rPr>
              <w:t xml:space="preserve">Zinātniskajos pētījumos ir secināts, ka izlozes, derības un totalizatori ir tie azartspēļu veidi, kuri </w:t>
            </w:r>
            <w:r w:rsidRPr="00DE1A22">
              <w:rPr>
                <w:lang w:val="lv-LV"/>
              </w:rPr>
              <w:lastRenderedPageBreak/>
              <w:t>vismazāk saistās ar azartspēļu atkarības veidošanos.</w:t>
            </w:r>
            <w:r w:rsidRPr="00DE1A22">
              <w:rPr>
                <w:rStyle w:val="FootnoteReference"/>
                <w:lang w:val="lv-LV"/>
              </w:rPr>
              <w:footnoteReference w:id="2"/>
            </w:r>
          </w:p>
          <w:p w14:paraId="54E96E50" w14:textId="77777777" w:rsidR="0022639B" w:rsidRPr="00DE1A22" w:rsidRDefault="0022639B" w:rsidP="0022639B">
            <w:pPr>
              <w:pStyle w:val="NoSpacing"/>
              <w:jc w:val="both"/>
              <w:rPr>
                <w:lang w:val="lv-LV"/>
              </w:rPr>
            </w:pPr>
            <w:r w:rsidRPr="00DE1A22">
              <w:rPr>
                <w:lang w:val="lv-LV"/>
              </w:rPr>
              <w:t>LV pētījums rāda, ka, lai arī azartspēles automātos spēlē salīdzinoši mazāks respondentu īpatsvars kā loterijas, šādi kopumā mazinot problemātisko spēlmaņu īpatsvaru populācijā, tomēr tā kaitīgā ietekme ir augstāka, skarot pat lielāko daļu aktīvo regulāro spēlētāju.</w:t>
            </w:r>
          </w:p>
          <w:p w14:paraId="1A39DC0A" w14:textId="77777777" w:rsidR="0022639B" w:rsidRPr="00DE1A22" w:rsidRDefault="0022639B" w:rsidP="0022639B">
            <w:pPr>
              <w:jc w:val="both"/>
              <w:rPr>
                <w:sz w:val="24"/>
                <w:szCs w:val="24"/>
              </w:rPr>
            </w:pPr>
            <w:r w:rsidRPr="00DE1A22">
              <w:rPr>
                <w:sz w:val="24"/>
                <w:szCs w:val="24"/>
              </w:rPr>
              <w:t>Aktīvo 60% spēļu automātu spēlētāju problēmas saskaņā ar indeksa vērtībām uzskatāmas nevis par zema līmeņa, bet gan par vidēja vai augsta līmeņa problēmām.</w:t>
            </w:r>
          </w:p>
          <w:p w14:paraId="38BB3177" w14:textId="77777777" w:rsidR="0022639B" w:rsidRPr="00DE1A22" w:rsidRDefault="0022639B" w:rsidP="0022639B">
            <w:pPr>
              <w:jc w:val="both"/>
              <w:rPr>
                <w:rFonts w:eastAsia="Times New Roman"/>
                <w:b/>
                <w:bCs/>
                <w:sz w:val="24"/>
                <w:szCs w:val="24"/>
                <w:lang w:eastAsia="lv-LV"/>
              </w:rPr>
            </w:pPr>
            <w:r w:rsidRPr="00DE1A22">
              <w:rPr>
                <w:sz w:val="24"/>
                <w:szCs w:val="24"/>
              </w:rPr>
              <w:t>Iepriekš minētie secinājumi nosaka, ka izložu spēlētājiem ir būtiski mazāks atkarības risks.</w:t>
            </w:r>
          </w:p>
        </w:tc>
        <w:tc>
          <w:tcPr>
            <w:tcW w:w="786" w:type="pct"/>
            <w:shd w:val="clear" w:color="auto" w:fill="auto"/>
          </w:tcPr>
          <w:p w14:paraId="0BB84C79" w14:textId="77777777" w:rsidR="002F4040" w:rsidRPr="002F4040" w:rsidRDefault="002F4040" w:rsidP="002F4040">
            <w:pPr>
              <w:jc w:val="center"/>
              <w:rPr>
                <w:b/>
                <w:sz w:val="24"/>
              </w:rPr>
            </w:pPr>
            <w:r w:rsidRPr="002F4040">
              <w:rPr>
                <w:b/>
                <w:sz w:val="24"/>
              </w:rPr>
              <w:lastRenderedPageBreak/>
              <w:t>13.01.2021. starpministriju (starpinstitūciju) sanāksme</w:t>
            </w:r>
          </w:p>
          <w:p w14:paraId="50F0B236" w14:textId="137CD3B5" w:rsidR="00DA39E6" w:rsidRDefault="00DA39E6" w:rsidP="00DA39E6">
            <w:pPr>
              <w:jc w:val="both"/>
              <w:rPr>
                <w:iCs/>
              </w:rPr>
            </w:pPr>
          </w:p>
          <w:p w14:paraId="3CF1B4A2" w14:textId="77777777" w:rsidR="00DA39E6" w:rsidRPr="00DA39E6" w:rsidRDefault="00DA39E6" w:rsidP="00DA39E6">
            <w:pPr>
              <w:jc w:val="both"/>
              <w:rPr>
                <w:iCs/>
                <w:sz w:val="24"/>
                <w:szCs w:val="24"/>
              </w:rPr>
            </w:pPr>
            <w:r w:rsidRPr="00DA39E6">
              <w:rPr>
                <w:iCs/>
                <w:sz w:val="24"/>
                <w:szCs w:val="24"/>
              </w:rPr>
              <w:t>VM uztur iebildumu.</w:t>
            </w:r>
          </w:p>
          <w:p w14:paraId="1FAB7DB9" w14:textId="77777777" w:rsidR="00DA39E6" w:rsidRPr="00DA39E6" w:rsidRDefault="00DA39E6" w:rsidP="00DA39E6">
            <w:pPr>
              <w:jc w:val="both"/>
              <w:rPr>
                <w:sz w:val="24"/>
                <w:szCs w:val="24"/>
              </w:rPr>
            </w:pPr>
            <w:r w:rsidRPr="00DA39E6">
              <w:rPr>
                <w:iCs/>
                <w:sz w:val="24"/>
                <w:szCs w:val="24"/>
              </w:rPr>
              <w:t>LIAB un LSBA pievienojas VM uzturētajam iebildumam.</w:t>
            </w:r>
          </w:p>
          <w:p w14:paraId="0065872A" w14:textId="77777777" w:rsidR="0022639B" w:rsidRPr="002F4040" w:rsidRDefault="0022639B" w:rsidP="0022639B">
            <w:pPr>
              <w:spacing w:before="100" w:beforeAutospacing="1" w:after="100" w:afterAutospacing="1"/>
              <w:jc w:val="both"/>
              <w:rPr>
                <w:rFonts w:eastAsia="Times New Roman"/>
                <w:sz w:val="24"/>
                <w:szCs w:val="24"/>
                <w:lang w:eastAsia="lv-LV"/>
              </w:rPr>
            </w:pPr>
          </w:p>
        </w:tc>
        <w:tc>
          <w:tcPr>
            <w:tcW w:w="832" w:type="pct"/>
            <w:shd w:val="clear" w:color="auto" w:fill="auto"/>
          </w:tcPr>
          <w:p w14:paraId="51FEFD12" w14:textId="77777777" w:rsidR="0022639B" w:rsidRPr="00DE1A22" w:rsidRDefault="0022639B" w:rsidP="0022639B">
            <w:pPr>
              <w:spacing w:after="120"/>
              <w:jc w:val="both"/>
              <w:rPr>
                <w:rFonts w:eastAsia="Times New Roman"/>
                <w:sz w:val="24"/>
                <w:szCs w:val="24"/>
                <w:lang w:eastAsia="lv-LV"/>
              </w:rPr>
            </w:pPr>
          </w:p>
        </w:tc>
      </w:tr>
      <w:tr w:rsidR="0022639B" w:rsidRPr="00DE1A22" w14:paraId="1328C97C" w14:textId="77777777" w:rsidTr="00F64F1D">
        <w:tc>
          <w:tcPr>
            <w:tcW w:w="230" w:type="pct"/>
          </w:tcPr>
          <w:p w14:paraId="240B2459" w14:textId="41E4A4DF" w:rsidR="0022639B" w:rsidRPr="00DE1A22" w:rsidRDefault="002F4040" w:rsidP="0022639B">
            <w:pPr>
              <w:spacing w:before="100" w:beforeAutospacing="1" w:after="100" w:afterAutospacing="1"/>
              <w:jc w:val="center"/>
              <w:rPr>
                <w:rFonts w:eastAsia="Times New Roman"/>
                <w:sz w:val="24"/>
                <w:szCs w:val="24"/>
                <w:lang w:eastAsia="lv-LV"/>
              </w:rPr>
            </w:pPr>
            <w:r>
              <w:rPr>
                <w:rFonts w:eastAsia="Times New Roman"/>
                <w:sz w:val="24"/>
                <w:szCs w:val="24"/>
                <w:lang w:eastAsia="lv-LV"/>
              </w:rPr>
              <w:t>10</w:t>
            </w:r>
            <w:r w:rsidR="0022639B" w:rsidRPr="00DE1A22">
              <w:rPr>
                <w:rFonts w:eastAsia="Times New Roman"/>
                <w:sz w:val="24"/>
                <w:szCs w:val="24"/>
                <w:lang w:eastAsia="lv-LV"/>
              </w:rPr>
              <w:t>.</w:t>
            </w:r>
          </w:p>
        </w:tc>
        <w:tc>
          <w:tcPr>
            <w:tcW w:w="934" w:type="pct"/>
          </w:tcPr>
          <w:p w14:paraId="5A7E412C" w14:textId="77777777" w:rsidR="0022639B" w:rsidRPr="00DE1A22" w:rsidRDefault="0022639B" w:rsidP="0022639B">
            <w:pPr>
              <w:jc w:val="both"/>
              <w:rPr>
                <w:rFonts w:eastAsia="Times New Roman"/>
                <w:sz w:val="24"/>
                <w:szCs w:val="24"/>
                <w:lang w:eastAsia="lv-LV"/>
              </w:rPr>
            </w:pPr>
            <w:r w:rsidRPr="00984A90">
              <w:rPr>
                <w:rFonts w:eastAsia="Times New Roman"/>
                <w:b/>
                <w:sz w:val="24"/>
                <w:szCs w:val="24"/>
                <w:lang w:eastAsia="lv-LV"/>
              </w:rPr>
              <w:t>Pamatnostādņu 4. sadaļas 2. rīcības virziena</w:t>
            </w:r>
            <w:r w:rsidRPr="00DE1A22">
              <w:rPr>
                <w:rFonts w:eastAsia="Times New Roman"/>
                <w:sz w:val="24"/>
                <w:szCs w:val="24"/>
                <w:lang w:eastAsia="lv-LV"/>
              </w:rPr>
              <w:t xml:space="preserve"> “Azartspēļu un izložu reklāmas aizlieguma kontrole” </w:t>
            </w:r>
            <w:r w:rsidRPr="00984A90">
              <w:rPr>
                <w:rFonts w:eastAsia="Times New Roman"/>
                <w:b/>
                <w:sz w:val="24"/>
                <w:szCs w:val="24"/>
                <w:lang w:eastAsia="lv-LV"/>
              </w:rPr>
              <w:t>2. uzdevums</w:t>
            </w:r>
            <w:r w:rsidRPr="00DE1A22">
              <w:rPr>
                <w:rFonts w:eastAsia="Times New Roman"/>
                <w:sz w:val="24"/>
                <w:szCs w:val="24"/>
                <w:lang w:eastAsia="lv-LV"/>
              </w:rPr>
              <w:t xml:space="preserve"> “Noteikt prasības attiecībā </w:t>
            </w:r>
            <w:r w:rsidRPr="00DE1A22">
              <w:rPr>
                <w:rFonts w:eastAsia="Times New Roman"/>
                <w:sz w:val="24"/>
                <w:szCs w:val="24"/>
                <w:lang w:eastAsia="lv-LV"/>
              </w:rPr>
              <w:lastRenderedPageBreak/>
              <w:t>uz preču zīmes, kā arī izkārtņu saturu azartspēļu jomā, aizliedzot izmantot tekstu vai grafiskos elementus, kas var vedināt uz dalību spēlē. ”</w:t>
            </w:r>
          </w:p>
        </w:tc>
        <w:tc>
          <w:tcPr>
            <w:tcW w:w="1340" w:type="pct"/>
          </w:tcPr>
          <w:p w14:paraId="402D80C4" w14:textId="77777777" w:rsidR="00A349F5" w:rsidRDefault="00A349F5" w:rsidP="007474C1">
            <w:pPr>
              <w:contextualSpacing/>
              <w:jc w:val="center"/>
              <w:rPr>
                <w:rFonts w:eastAsia="Times New Roman"/>
                <w:b/>
                <w:sz w:val="24"/>
                <w:szCs w:val="24"/>
              </w:rPr>
            </w:pPr>
            <w:r>
              <w:rPr>
                <w:rFonts w:eastAsia="Times New Roman"/>
                <w:b/>
                <w:sz w:val="24"/>
                <w:szCs w:val="24"/>
              </w:rPr>
              <w:lastRenderedPageBreak/>
              <w:t>LSBA</w:t>
            </w:r>
          </w:p>
          <w:p w14:paraId="389722D4" w14:textId="21226947" w:rsidR="0022639B" w:rsidRPr="00DE1A22" w:rsidRDefault="0022639B" w:rsidP="007474C1">
            <w:pPr>
              <w:contextualSpacing/>
              <w:jc w:val="center"/>
              <w:rPr>
                <w:rFonts w:eastAsia="Times New Roman"/>
                <w:b/>
                <w:sz w:val="24"/>
                <w:szCs w:val="24"/>
              </w:rPr>
            </w:pPr>
            <w:r w:rsidRPr="00DE1A22">
              <w:rPr>
                <w:rFonts w:eastAsia="Times New Roman"/>
                <w:b/>
                <w:sz w:val="24"/>
                <w:szCs w:val="24"/>
              </w:rPr>
              <w:t xml:space="preserve"> (05.03.2020. Nr.6/20)</w:t>
            </w:r>
          </w:p>
          <w:p w14:paraId="6DA45406" w14:textId="77777777" w:rsidR="0022639B" w:rsidRDefault="0022639B" w:rsidP="0022639B">
            <w:pPr>
              <w:jc w:val="both"/>
              <w:rPr>
                <w:rFonts w:eastAsia="Times New Roman"/>
                <w:sz w:val="24"/>
                <w:szCs w:val="24"/>
              </w:rPr>
            </w:pPr>
            <w:r w:rsidRPr="00DE1A22">
              <w:rPr>
                <w:rFonts w:eastAsia="Times New Roman"/>
                <w:sz w:val="24"/>
                <w:szCs w:val="24"/>
              </w:rPr>
              <w:t xml:space="preserve">“Noteikt prasības attiecībā uz preču zīmes, kā arī izkārtņu saturu azartspēļu jomā, aizliedzot izmantot tekstu vai grafiskos elementus, kas var vedināt uz </w:t>
            </w:r>
            <w:r w:rsidRPr="00DE1A22">
              <w:rPr>
                <w:rFonts w:eastAsia="Times New Roman"/>
                <w:sz w:val="24"/>
                <w:szCs w:val="24"/>
              </w:rPr>
              <w:lastRenderedPageBreak/>
              <w:t xml:space="preserve">dalību spēlē” </w:t>
            </w:r>
            <w:r w:rsidRPr="00DE1A22">
              <w:rPr>
                <w:rFonts w:eastAsia="Times New Roman"/>
                <w:b/>
                <w:sz w:val="24"/>
                <w:szCs w:val="24"/>
              </w:rPr>
              <w:t>izslēgt vārdus “vai grafiskos elementus”</w:t>
            </w:r>
            <w:r w:rsidRPr="00DE1A22">
              <w:rPr>
                <w:rFonts w:eastAsia="Times New Roman"/>
                <w:sz w:val="24"/>
                <w:szCs w:val="24"/>
              </w:rPr>
              <w:t>. Nav iespējams skaidri definēt, kuri grafiskie elementi un to modifikācijas var un kuri nevar vedināt uz dalību spēlē, attiecīgi pastāv liels subjektīva vērtējuma risks.</w:t>
            </w:r>
          </w:p>
          <w:p w14:paraId="231410FF" w14:textId="77777777" w:rsidR="00631C7F" w:rsidRDefault="00631C7F" w:rsidP="0022639B">
            <w:pPr>
              <w:jc w:val="both"/>
              <w:rPr>
                <w:rFonts w:eastAsia="Times New Roman"/>
                <w:sz w:val="24"/>
                <w:szCs w:val="24"/>
              </w:rPr>
            </w:pPr>
          </w:p>
          <w:p w14:paraId="7C36F689" w14:textId="77777777" w:rsidR="000058F9" w:rsidRDefault="00631C7F" w:rsidP="00631C7F">
            <w:pPr>
              <w:jc w:val="center"/>
              <w:rPr>
                <w:b/>
                <w:bCs/>
                <w:sz w:val="24"/>
              </w:rPr>
            </w:pPr>
            <w:r w:rsidRPr="00631C7F">
              <w:rPr>
                <w:b/>
                <w:bCs/>
                <w:sz w:val="24"/>
              </w:rPr>
              <w:t xml:space="preserve">LSBA </w:t>
            </w:r>
          </w:p>
          <w:p w14:paraId="70F14DB0" w14:textId="24701DE1" w:rsidR="00631C7F" w:rsidRPr="00631C7F" w:rsidRDefault="00631C7F" w:rsidP="00631C7F">
            <w:pPr>
              <w:jc w:val="center"/>
              <w:rPr>
                <w:b/>
                <w:bCs/>
                <w:sz w:val="24"/>
              </w:rPr>
            </w:pPr>
            <w:r w:rsidRPr="00631C7F">
              <w:rPr>
                <w:b/>
                <w:bCs/>
                <w:sz w:val="24"/>
              </w:rPr>
              <w:t>(17.12.2020. Nr.22/20)</w:t>
            </w:r>
          </w:p>
          <w:p w14:paraId="743E4D4C" w14:textId="2B4C822C" w:rsidR="00631C7F" w:rsidRPr="00631C7F" w:rsidRDefault="00631C7F" w:rsidP="00631C7F">
            <w:pPr>
              <w:jc w:val="both"/>
              <w:rPr>
                <w:sz w:val="24"/>
              </w:rPr>
            </w:pPr>
            <w:r w:rsidRPr="00631C7F">
              <w:rPr>
                <w:sz w:val="24"/>
              </w:rPr>
              <w:t>Nav iespējams skaidri definēt, kuri grafiskie elementi un to modifikācijas var un kuri nevar vedināt uz dalību spēlē, attiecīgi pastāv liels subjektīva vērtējuma risks.</w:t>
            </w:r>
          </w:p>
          <w:p w14:paraId="192003CC" w14:textId="15286043" w:rsidR="00631C7F" w:rsidRPr="00DE1A22" w:rsidRDefault="00631C7F" w:rsidP="00631C7F">
            <w:pPr>
              <w:jc w:val="both"/>
              <w:rPr>
                <w:rFonts w:eastAsia="Times New Roman"/>
                <w:b/>
                <w:sz w:val="24"/>
                <w:szCs w:val="24"/>
              </w:rPr>
            </w:pPr>
            <w:r w:rsidRPr="00631C7F">
              <w:rPr>
                <w:sz w:val="24"/>
              </w:rPr>
              <w:t>Ņemot vērā, ka visu izkārtņu pielāgošana jaunajām prasībām prasīs ievērojamas investīcijas, turklāt jaunu preču zīmju reģistrācija ir laikietilpīga, lūdzam noteikt samērīgu šī Projektā noteiktā uzdevuma ieviešanas termiņu.</w:t>
            </w:r>
          </w:p>
        </w:tc>
        <w:tc>
          <w:tcPr>
            <w:tcW w:w="878" w:type="pct"/>
          </w:tcPr>
          <w:p w14:paraId="1A225826" w14:textId="63DAD791" w:rsidR="00F8168F" w:rsidRDefault="00F8168F" w:rsidP="00631C7F">
            <w:pPr>
              <w:jc w:val="center"/>
              <w:rPr>
                <w:rFonts w:eastAsia="Times New Roman"/>
                <w:b/>
                <w:bCs/>
                <w:sz w:val="24"/>
                <w:szCs w:val="24"/>
                <w:lang w:eastAsia="lv-LV"/>
              </w:rPr>
            </w:pPr>
            <w:r>
              <w:rPr>
                <w:rFonts w:eastAsia="Times New Roman"/>
                <w:b/>
                <w:bCs/>
                <w:sz w:val="24"/>
                <w:szCs w:val="24"/>
                <w:lang w:eastAsia="lv-LV"/>
              </w:rPr>
              <w:lastRenderedPageBreak/>
              <w:t xml:space="preserve">Pēc 13.01.2021. starpministriju (starpinstitūciju) </w:t>
            </w:r>
            <w:r w:rsidRPr="00541F9F">
              <w:rPr>
                <w:rFonts w:eastAsia="Times New Roman"/>
                <w:bCs/>
                <w:sz w:val="24"/>
                <w:szCs w:val="24"/>
                <w:lang w:eastAsia="lv-LV"/>
              </w:rPr>
              <w:t>sanāksmes nebija iespējams panākt vienošanos</w:t>
            </w:r>
            <w:r w:rsidR="00941E96">
              <w:rPr>
                <w:rFonts w:eastAsia="Times New Roman"/>
                <w:bCs/>
                <w:sz w:val="24"/>
                <w:szCs w:val="24"/>
                <w:lang w:eastAsia="lv-LV"/>
              </w:rPr>
              <w:t>.</w:t>
            </w:r>
          </w:p>
          <w:p w14:paraId="68F3FE8A" w14:textId="77777777" w:rsidR="00F8168F" w:rsidRDefault="00F8168F" w:rsidP="00631C7F">
            <w:pPr>
              <w:jc w:val="center"/>
              <w:rPr>
                <w:rFonts w:eastAsia="Times New Roman"/>
                <w:b/>
                <w:bCs/>
                <w:sz w:val="24"/>
                <w:szCs w:val="24"/>
                <w:lang w:eastAsia="lv-LV"/>
              </w:rPr>
            </w:pPr>
          </w:p>
          <w:p w14:paraId="7C3E6858" w14:textId="562C74C6" w:rsidR="0022639B" w:rsidRPr="00DE1A22" w:rsidRDefault="00A52C4F" w:rsidP="00631C7F">
            <w:pPr>
              <w:jc w:val="center"/>
              <w:rPr>
                <w:rFonts w:eastAsia="Times New Roman"/>
                <w:b/>
                <w:bCs/>
                <w:sz w:val="24"/>
                <w:szCs w:val="24"/>
                <w:lang w:eastAsia="lv-LV"/>
              </w:rPr>
            </w:pPr>
            <w:r>
              <w:rPr>
                <w:rFonts w:eastAsia="Times New Roman"/>
                <w:b/>
                <w:bCs/>
                <w:sz w:val="24"/>
                <w:szCs w:val="24"/>
                <w:lang w:eastAsia="lv-LV"/>
              </w:rPr>
              <w:t>Nav ņemts vērā</w:t>
            </w:r>
          </w:p>
          <w:p w14:paraId="013603DD" w14:textId="77777777" w:rsidR="0022639B" w:rsidRPr="00DE1A22" w:rsidRDefault="0022639B" w:rsidP="0022639B">
            <w:pPr>
              <w:jc w:val="both"/>
              <w:rPr>
                <w:rFonts w:eastAsia="Times New Roman"/>
                <w:b/>
                <w:bCs/>
                <w:sz w:val="24"/>
                <w:szCs w:val="24"/>
                <w:lang w:eastAsia="lv-LV"/>
              </w:rPr>
            </w:pPr>
            <w:r w:rsidRPr="00DE1A22">
              <w:rPr>
                <w:rFonts w:eastAsia="Times New Roman"/>
                <w:bCs/>
                <w:sz w:val="24"/>
                <w:szCs w:val="24"/>
                <w:lang w:eastAsia="lv-LV"/>
              </w:rPr>
              <w:t>Pārmērīga tieksme uz azartspēļu spēlēšanu var veidoties no sistemātiskām procesu darbībām. Savukārt atgādināt vai piesaistīt uzmanību var arī grafiskie elementi, kas saistīti ar azartspēļu procesu, piemēram iecienītās spēles grafiskais tēls, ar spēles procesu saistīts rīks un citi elementi, kas ietver vizuālo identifikāciju ar spēli.</w:t>
            </w:r>
          </w:p>
        </w:tc>
        <w:tc>
          <w:tcPr>
            <w:tcW w:w="786" w:type="pct"/>
          </w:tcPr>
          <w:p w14:paraId="5CEE7055" w14:textId="285C0B91" w:rsidR="00AA00F8" w:rsidRPr="00AA00F8" w:rsidRDefault="00AA00F8" w:rsidP="00AA00F8">
            <w:pPr>
              <w:spacing w:before="100" w:beforeAutospacing="1" w:after="100" w:afterAutospacing="1"/>
              <w:jc w:val="center"/>
              <w:rPr>
                <w:rFonts w:eastAsia="Times New Roman"/>
                <w:b/>
                <w:sz w:val="24"/>
                <w:szCs w:val="24"/>
                <w:lang w:eastAsia="lv-LV"/>
              </w:rPr>
            </w:pPr>
            <w:r w:rsidRPr="00AA00F8">
              <w:rPr>
                <w:rFonts w:eastAsia="Times New Roman"/>
                <w:b/>
                <w:sz w:val="24"/>
                <w:szCs w:val="24"/>
                <w:lang w:eastAsia="lv-LV"/>
              </w:rPr>
              <w:lastRenderedPageBreak/>
              <w:t>13.01.2021. starpministriju (starpinstitūciju) sanāksme</w:t>
            </w:r>
          </w:p>
          <w:p w14:paraId="5360C731" w14:textId="52B50A42" w:rsidR="00AA00F8" w:rsidRPr="00AA00F8" w:rsidRDefault="00AA00F8" w:rsidP="00AA00F8">
            <w:pPr>
              <w:spacing w:before="100" w:beforeAutospacing="1" w:after="100" w:afterAutospacing="1"/>
              <w:jc w:val="both"/>
              <w:rPr>
                <w:rFonts w:eastAsia="Times New Roman"/>
                <w:sz w:val="24"/>
                <w:szCs w:val="24"/>
                <w:lang w:eastAsia="lv-LV"/>
              </w:rPr>
            </w:pPr>
            <w:r w:rsidRPr="00AA00F8">
              <w:rPr>
                <w:rFonts w:eastAsia="Times New Roman"/>
                <w:sz w:val="24"/>
                <w:szCs w:val="24"/>
                <w:lang w:eastAsia="lv-LV"/>
              </w:rPr>
              <w:lastRenderedPageBreak/>
              <w:t>LSBA uztur iebildumu, jo pašreiz pamatnostādņu projektā iekļautais uzdevuma termiņš ir pārāk īss, kas radīs grūtības azartspēļu organizētājiem noteiktajā termiņā i</w:t>
            </w:r>
            <w:r>
              <w:rPr>
                <w:rFonts w:eastAsia="Times New Roman"/>
                <w:sz w:val="24"/>
                <w:szCs w:val="24"/>
                <w:lang w:eastAsia="lv-LV"/>
              </w:rPr>
              <w:t>zpildīt paredzētos nosacījumus.</w:t>
            </w:r>
          </w:p>
          <w:p w14:paraId="103EED8F" w14:textId="42C67CB7" w:rsidR="0022639B" w:rsidRPr="00DE1A22" w:rsidRDefault="00AA00F8" w:rsidP="00AA00F8">
            <w:pPr>
              <w:spacing w:before="100" w:beforeAutospacing="1" w:after="100" w:afterAutospacing="1"/>
              <w:jc w:val="both"/>
              <w:rPr>
                <w:rFonts w:eastAsia="Times New Roman"/>
                <w:sz w:val="24"/>
                <w:szCs w:val="24"/>
                <w:lang w:eastAsia="lv-LV"/>
              </w:rPr>
            </w:pPr>
            <w:r w:rsidRPr="00AA00F8">
              <w:rPr>
                <w:rFonts w:eastAsia="Times New Roman"/>
                <w:sz w:val="24"/>
                <w:szCs w:val="24"/>
                <w:lang w:eastAsia="lv-LV"/>
              </w:rPr>
              <w:t>Ņemot vērā izteiktos apsvērumus, precizēts pamatnostādņu projekta 2. rīcības virziena “Azartspēļu un izložu reklāmas aizlieguma kontrole un vizuālā noformējuma prasības” 3. uzdevuma izpildes termiņš, nosakot, ka līdz 2021.gadam nepieciešams izstrādāt ar uzdevumu saistītās prasības, savukārt prasību piemērošana sāksies ar 2023.gadu.</w:t>
            </w:r>
          </w:p>
        </w:tc>
        <w:tc>
          <w:tcPr>
            <w:tcW w:w="832" w:type="pct"/>
          </w:tcPr>
          <w:p w14:paraId="1E6F24E7" w14:textId="77777777" w:rsidR="00E53FC3" w:rsidRPr="00E53FC3" w:rsidRDefault="00984A90" w:rsidP="00E53FC3">
            <w:pPr>
              <w:spacing w:after="120"/>
              <w:jc w:val="both"/>
              <w:rPr>
                <w:rFonts w:eastAsia="Times New Roman"/>
                <w:sz w:val="24"/>
                <w:szCs w:val="24"/>
                <w:lang w:eastAsia="lv-LV"/>
              </w:rPr>
            </w:pPr>
            <w:r w:rsidRPr="00984A90">
              <w:rPr>
                <w:rFonts w:eastAsia="Times New Roman"/>
                <w:b/>
                <w:sz w:val="24"/>
                <w:szCs w:val="24"/>
                <w:lang w:eastAsia="lv-LV"/>
              </w:rPr>
              <w:lastRenderedPageBreak/>
              <w:t>Pamatnostādņu 4. sadaļas 2. rīcības virziena</w:t>
            </w:r>
            <w:r w:rsidRPr="00DE1A22">
              <w:rPr>
                <w:rFonts w:eastAsia="Times New Roman"/>
                <w:sz w:val="24"/>
                <w:szCs w:val="24"/>
                <w:lang w:eastAsia="lv-LV"/>
              </w:rPr>
              <w:t xml:space="preserve"> “Azartspēļu un izložu reklāmas aizlieguma kontrole” </w:t>
            </w:r>
            <w:r>
              <w:rPr>
                <w:rFonts w:eastAsia="Times New Roman"/>
                <w:b/>
                <w:sz w:val="24"/>
                <w:szCs w:val="24"/>
                <w:lang w:eastAsia="lv-LV"/>
              </w:rPr>
              <w:t>3</w:t>
            </w:r>
            <w:r w:rsidRPr="00984A90">
              <w:rPr>
                <w:rFonts w:eastAsia="Times New Roman"/>
                <w:b/>
                <w:sz w:val="24"/>
                <w:szCs w:val="24"/>
                <w:lang w:eastAsia="lv-LV"/>
              </w:rPr>
              <w:t>. uzdevums</w:t>
            </w:r>
            <w:r w:rsidRPr="00DE1A22">
              <w:rPr>
                <w:rFonts w:eastAsia="Times New Roman"/>
                <w:sz w:val="24"/>
                <w:szCs w:val="24"/>
                <w:lang w:eastAsia="lv-LV"/>
              </w:rPr>
              <w:t xml:space="preserve"> “</w:t>
            </w:r>
            <w:r w:rsidR="00E53FC3" w:rsidRPr="00E53FC3">
              <w:rPr>
                <w:rFonts w:eastAsia="Times New Roman"/>
                <w:sz w:val="24"/>
                <w:szCs w:val="24"/>
                <w:lang w:eastAsia="lv-LV"/>
              </w:rPr>
              <w:t xml:space="preserve">3.1. </w:t>
            </w:r>
            <w:r w:rsidR="00E53FC3" w:rsidRPr="00E53FC3">
              <w:rPr>
                <w:rFonts w:eastAsia="Times New Roman"/>
                <w:sz w:val="24"/>
                <w:szCs w:val="24"/>
                <w:lang w:eastAsia="lv-LV"/>
              </w:rPr>
              <w:lastRenderedPageBreak/>
              <w:t>Noteikt prasības attiecībā uz preču zīmēm, kā arī izkārtņu saturu azartspēļu jomā, aizliedzot izmantot tekstu vai grafiskos elementus, kas var vedināt uz dalību spēlē.</w:t>
            </w:r>
          </w:p>
          <w:p w14:paraId="592C4A3C" w14:textId="28E7628C" w:rsidR="0022639B" w:rsidRPr="00DE1A22" w:rsidRDefault="00E53FC3" w:rsidP="00E53FC3">
            <w:pPr>
              <w:spacing w:after="120"/>
              <w:jc w:val="both"/>
              <w:rPr>
                <w:rFonts w:eastAsia="Times New Roman"/>
                <w:sz w:val="24"/>
                <w:szCs w:val="24"/>
                <w:lang w:eastAsia="lv-LV"/>
              </w:rPr>
            </w:pPr>
            <w:r w:rsidRPr="00E53FC3">
              <w:rPr>
                <w:rFonts w:eastAsia="Times New Roman"/>
                <w:sz w:val="24"/>
                <w:szCs w:val="24"/>
                <w:lang w:eastAsia="lv-LV"/>
              </w:rPr>
              <w:t>3.2. Prasības attiecībā uz preču zīmēm, kā arī izkārtņu saturu azartspēļu jomā, aizliedzot izmantot tekstu vai grafiskos elementus, kas var vedināt uz dalību spēlē, tiek ieviestas un sāk darboties.</w:t>
            </w:r>
            <w:r w:rsidR="00984A90" w:rsidRPr="00DE1A22">
              <w:rPr>
                <w:rFonts w:eastAsia="Times New Roman"/>
                <w:sz w:val="24"/>
                <w:szCs w:val="24"/>
                <w:lang w:eastAsia="lv-LV"/>
              </w:rPr>
              <w:t>”</w:t>
            </w:r>
          </w:p>
        </w:tc>
      </w:tr>
      <w:tr w:rsidR="0022639B" w:rsidRPr="00DE1A22" w14:paraId="21DE2E6D" w14:textId="77777777" w:rsidTr="00F64F1D">
        <w:tc>
          <w:tcPr>
            <w:tcW w:w="230" w:type="pct"/>
          </w:tcPr>
          <w:p w14:paraId="1EC66893" w14:textId="096083E9" w:rsidR="0022639B" w:rsidRPr="00DE1A22" w:rsidRDefault="00846BEF" w:rsidP="0022639B">
            <w:pPr>
              <w:spacing w:before="100" w:beforeAutospacing="1" w:after="100" w:afterAutospacing="1"/>
              <w:jc w:val="center"/>
              <w:rPr>
                <w:rFonts w:eastAsia="Times New Roman"/>
                <w:sz w:val="24"/>
                <w:szCs w:val="24"/>
                <w:lang w:eastAsia="lv-LV"/>
              </w:rPr>
            </w:pPr>
            <w:r>
              <w:rPr>
                <w:rFonts w:eastAsia="Times New Roman"/>
                <w:sz w:val="24"/>
                <w:szCs w:val="24"/>
                <w:lang w:eastAsia="lv-LV"/>
              </w:rPr>
              <w:lastRenderedPageBreak/>
              <w:t>11</w:t>
            </w:r>
            <w:r w:rsidR="0022639B" w:rsidRPr="00DE1A22">
              <w:rPr>
                <w:rFonts w:eastAsia="Times New Roman"/>
                <w:sz w:val="24"/>
                <w:szCs w:val="24"/>
                <w:lang w:eastAsia="lv-LV"/>
              </w:rPr>
              <w:t>.</w:t>
            </w:r>
          </w:p>
        </w:tc>
        <w:tc>
          <w:tcPr>
            <w:tcW w:w="934" w:type="pct"/>
          </w:tcPr>
          <w:p w14:paraId="3CA690AA" w14:textId="0FEAF58A" w:rsidR="0022639B" w:rsidRPr="00DE1A22" w:rsidRDefault="0022639B" w:rsidP="0022639B">
            <w:pPr>
              <w:jc w:val="both"/>
              <w:rPr>
                <w:rFonts w:eastAsia="Times New Roman"/>
                <w:sz w:val="24"/>
                <w:szCs w:val="24"/>
                <w:lang w:eastAsia="lv-LV"/>
              </w:rPr>
            </w:pPr>
          </w:p>
        </w:tc>
        <w:tc>
          <w:tcPr>
            <w:tcW w:w="1340" w:type="pct"/>
          </w:tcPr>
          <w:p w14:paraId="42F3C59B" w14:textId="77777777" w:rsidR="00A349F5" w:rsidRDefault="00A349F5" w:rsidP="00DA39E6">
            <w:pPr>
              <w:jc w:val="center"/>
              <w:rPr>
                <w:rFonts w:eastAsia="Times New Roman"/>
                <w:b/>
                <w:sz w:val="24"/>
                <w:szCs w:val="24"/>
              </w:rPr>
            </w:pPr>
            <w:r>
              <w:rPr>
                <w:rFonts w:eastAsia="Times New Roman"/>
                <w:b/>
                <w:sz w:val="24"/>
                <w:szCs w:val="24"/>
              </w:rPr>
              <w:t>LIAB</w:t>
            </w:r>
          </w:p>
          <w:p w14:paraId="5D08AB9D" w14:textId="5F0E4ED9" w:rsidR="0022639B" w:rsidRPr="00DE1A22" w:rsidRDefault="0022639B" w:rsidP="00DA39E6">
            <w:pPr>
              <w:jc w:val="center"/>
              <w:rPr>
                <w:rFonts w:eastAsia="Times New Roman"/>
                <w:b/>
                <w:sz w:val="24"/>
                <w:szCs w:val="24"/>
              </w:rPr>
            </w:pPr>
            <w:r w:rsidRPr="00DE1A22">
              <w:rPr>
                <w:rFonts w:eastAsia="Times New Roman"/>
                <w:b/>
                <w:sz w:val="24"/>
                <w:szCs w:val="24"/>
              </w:rPr>
              <w:t xml:space="preserve"> (06.03.2020.)</w:t>
            </w:r>
          </w:p>
          <w:p w14:paraId="30AC886B" w14:textId="77777777" w:rsidR="0022639B" w:rsidRPr="00DE1A22" w:rsidRDefault="0022639B" w:rsidP="0022639B">
            <w:pPr>
              <w:jc w:val="both"/>
              <w:rPr>
                <w:rFonts w:eastAsia="Times New Roman"/>
                <w:sz w:val="24"/>
                <w:szCs w:val="24"/>
              </w:rPr>
            </w:pPr>
            <w:r w:rsidRPr="00DE1A22">
              <w:rPr>
                <w:rFonts w:eastAsia="Times New Roman"/>
                <w:sz w:val="24"/>
                <w:szCs w:val="24"/>
              </w:rPr>
              <w:t>Pašatteikušos personu reģistra attiecināšana arī uz izlozēm.</w:t>
            </w:r>
          </w:p>
          <w:p w14:paraId="65FA374D" w14:textId="77777777" w:rsidR="0022639B" w:rsidRPr="00DE1A22" w:rsidRDefault="0022639B" w:rsidP="0022639B">
            <w:pPr>
              <w:jc w:val="both"/>
              <w:rPr>
                <w:rFonts w:eastAsia="Times New Roman"/>
                <w:sz w:val="24"/>
                <w:szCs w:val="24"/>
              </w:rPr>
            </w:pPr>
            <w:r w:rsidRPr="00DE1A22">
              <w:rPr>
                <w:rFonts w:eastAsia="Times New Roman"/>
                <w:sz w:val="24"/>
                <w:szCs w:val="24"/>
              </w:rPr>
              <w:t xml:space="preserve">Rīkoto sanāksmju laikā LIAB pārstāvji rosināja Pamatnostādnēs paredzēt to, ka </w:t>
            </w:r>
            <w:r w:rsidRPr="00DE1A22">
              <w:rPr>
                <w:rFonts w:eastAsia="Times New Roman"/>
                <w:sz w:val="24"/>
                <w:szCs w:val="24"/>
              </w:rPr>
              <w:lastRenderedPageBreak/>
              <w:t xml:space="preserve">pašatteikušos personu reģistrs būtu attiecināms arī uz izlozēm. Tādējādi personām tiktu nodrošināta iespēja aizsargāt sevi arī no izložu pārmērīgas spēlēšanas. Kā pamatojums šādam ierosinājuma tika izmantots tas, ka izlozes nebūtu nošķiramas no cita veida azartspēlēm, jo arī tās ir saistāmas ar azartspēļu atkarības rašanos, turklāt saskaņā ar LV Pētījumu tas ir viens no vispopulārākajiem azartspēļu veidiem (jebkad spēlējis vismaz 31% respondentu).  Tāpat kā pamatojums šāda ierobežojuma noteikšanai tika norādīts uz Igaunijas normatīvo regulējumu, kurā ir paredzēta iespēja pašizslēgties arī no loterijām. </w:t>
            </w:r>
          </w:p>
          <w:p w14:paraId="4B287B49" w14:textId="77777777" w:rsidR="0022639B" w:rsidRPr="00DE1A22" w:rsidRDefault="0022639B" w:rsidP="0022639B">
            <w:pPr>
              <w:jc w:val="both"/>
              <w:rPr>
                <w:rFonts w:eastAsia="Times New Roman"/>
                <w:sz w:val="24"/>
                <w:szCs w:val="24"/>
              </w:rPr>
            </w:pPr>
            <w:r w:rsidRPr="00DE1A22">
              <w:rPr>
                <w:rFonts w:eastAsia="Times New Roman"/>
                <w:sz w:val="24"/>
                <w:szCs w:val="24"/>
              </w:rPr>
              <w:t>Tomēr LIAB pārstāvjiem sanāksmē tika norādīts, ka Igaunijā neesot paredzēta iespēja izslēgties no loterijām. Tādēļ, lai vienlaikus atrisinātu šo dažādo izpratni par Igaunijas regulējumu un arī pamatotu šāda regulējuma ieviešanas nepieciešamību, LIAB atkāroti pārskatīja Igaunijas normatīvos tiesību aktus un pārliecinājās, ka tie paredz personām iespēju pašizslēgties arī no izlozēm.</w:t>
            </w:r>
          </w:p>
          <w:p w14:paraId="6B0E7217" w14:textId="77777777" w:rsidR="0022639B" w:rsidRPr="00DE1A22" w:rsidRDefault="0022639B" w:rsidP="0022639B">
            <w:pPr>
              <w:jc w:val="both"/>
              <w:rPr>
                <w:rFonts w:eastAsia="Times New Roman"/>
                <w:sz w:val="24"/>
                <w:szCs w:val="24"/>
              </w:rPr>
            </w:pPr>
            <w:r w:rsidRPr="00DE1A22">
              <w:rPr>
                <w:rFonts w:eastAsia="Times New Roman"/>
                <w:sz w:val="24"/>
                <w:szCs w:val="24"/>
              </w:rPr>
              <w:t xml:space="preserve">Igaunijas Azartspēļu likuma (Gambling Act – ang. val.) 39. panta astotajā daļā ir nepārprotami norādīts, ka veiksmes spēļu, totalizatoru un klasisko izložu organizētājam ir jāievieš tādi rīki, ar kuriem ir iespējams nodrošināt, ka </w:t>
            </w:r>
            <w:r w:rsidRPr="00DE1A22">
              <w:rPr>
                <w:rFonts w:eastAsia="Times New Roman"/>
                <w:sz w:val="24"/>
                <w:szCs w:val="24"/>
              </w:rPr>
              <w:lastRenderedPageBreak/>
              <w:t xml:space="preserve">personai, kas sevi ir iekļāvusi izslēgto personu sarakstā, nav iespējams spēlēt to organizētās azartspēles.  Atbilstoši Igaunijas normatīvajiem aktiem pašatteikties nav iespējams tikai attiecībā uz momentloterijām. </w:t>
            </w:r>
          </w:p>
          <w:p w14:paraId="243BBCA4" w14:textId="77777777" w:rsidR="0022639B" w:rsidRPr="00DE1A22" w:rsidRDefault="0022639B" w:rsidP="0022639B">
            <w:pPr>
              <w:jc w:val="both"/>
              <w:rPr>
                <w:rFonts w:eastAsia="Times New Roman"/>
                <w:sz w:val="24"/>
                <w:szCs w:val="24"/>
              </w:rPr>
            </w:pPr>
            <w:r w:rsidRPr="00DE1A22">
              <w:rPr>
                <w:rFonts w:eastAsia="Times New Roman"/>
                <w:sz w:val="24"/>
                <w:szCs w:val="24"/>
              </w:rPr>
              <w:t>Līdz ar to Igaunijā, kurā līdzīgi kā Latvijā loteriju organizēšana arī ir valsts monopols, personām tomēr ir paredzēta iespēja pašizslēgties no loteriju spēlēšanas. Turklāt Latvijā šāda noteikuma praktiskā ieviešana būtu daudz vienkāršāka nekā Igaunijā, jo Latvijā izveidotajam pašatteikušos personu reģistram, veicot nepieciešamos pielāgojumus, varētu nodrošināt piekļuvi arī loteriju tirdzniecības vietās.</w:t>
            </w:r>
          </w:p>
          <w:p w14:paraId="22C0A2CA" w14:textId="77777777" w:rsidR="0022639B" w:rsidRPr="00DE1A22" w:rsidRDefault="0022639B" w:rsidP="0022639B">
            <w:pPr>
              <w:contextualSpacing/>
              <w:jc w:val="both"/>
              <w:rPr>
                <w:rFonts w:eastAsia="Times New Roman"/>
                <w:b/>
                <w:sz w:val="24"/>
                <w:szCs w:val="24"/>
              </w:rPr>
            </w:pPr>
            <w:r w:rsidRPr="00DE1A22">
              <w:rPr>
                <w:rFonts w:eastAsia="Times New Roman"/>
                <w:b/>
                <w:sz w:val="24"/>
                <w:szCs w:val="24"/>
              </w:rPr>
              <w:t>Tādēļ LIAB aicina Pamatnostādnēs iekļaut uzdevumu pašatteikušos personu reģistru attiecināt arī uz izlozēm neatkarīgi no tā, vai Azartspēļu un izložu likumā tiek saglabāta to nošķirtība no azartspēlēm vai nē.</w:t>
            </w:r>
          </w:p>
        </w:tc>
        <w:tc>
          <w:tcPr>
            <w:tcW w:w="878" w:type="pct"/>
          </w:tcPr>
          <w:p w14:paraId="0CD648E6" w14:textId="778ADDDE" w:rsidR="00F8168F" w:rsidRDefault="00F8168F" w:rsidP="00F8168F">
            <w:pPr>
              <w:jc w:val="center"/>
              <w:rPr>
                <w:rFonts w:eastAsia="Times New Roman"/>
                <w:bCs/>
                <w:sz w:val="24"/>
                <w:szCs w:val="24"/>
                <w:lang w:eastAsia="lv-LV"/>
              </w:rPr>
            </w:pPr>
            <w:r>
              <w:rPr>
                <w:rFonts w:eastAsia="Times New Roman"/>
                <w:b/>
                <w:bCs/>
                <w:sz w:val="24"/>
                <w:szCs w:val="24"/>
                <w:lang w:eastAsia="lv-LV"/>
              </w:rPr>
              <w:lastRenderedPageBreak/>
              <w:t xml:space="preserve">Pēc 13.01.2021. starpministriju (starpinstitūciju) </w:t>
            </w:r>
            <w:r w:rsidRPr="00541F9F">
              <w:rPr>
                <w:rFonts w:eastAsia="Times New Roman"/>
                <w:bCs/>
                <w:sz w:val="24"/>
                <w:szCs w:val="24"/>
                <w:lang w:eastAsia="lv-LV"/>
              </w:rPr>
              <w:t>sanāksmes nebija iespējams panākt vienošanos</w:t>
            </w:r>
            <w:r w:rsidR="00941E96">
              <w:rPr>
                <w:rFonts w:eastAsia="Times New Roman"/>
                <w:bCs/>
                <w:sz w:val="24"/>
                <w:szCs w:val="24"/>
                <w:lang w:eastAsia="lv-LV"/>
              </w:rPr>
              <w:t>.</w:t>
            </w:r>
          </w:p>
          <w:p w14:paraId="643BCA1D" w14:textId="77777777" w:rsidR="00F8168F" w:rsidRDefault="00F8168F" w:rsidP="0022639B">
            <w:pPr>
              <w:jc w:val="both"/>
              <w:rPr>
                <w:rFonts w:eastAsia="Times New Roman"/>
                <w:b/>
                <w:bCs/>
                <w:sz w:val="24"/>
                <w:szCs w:val="24"/>
                <w:lang w:eastAsia="lv-LV"/>
              </w:rPr>
            </w:pPr>
          </w:p>
          <w:p w14:paraId="5331F699" w14:textId="1886520A" w:rsidR="0022639B" w:rsidRPr="00DE1A22" w:rsidRDefault="00A52C4F" w:rsidP="002A310A">
            <w:pPr>
              <w:jc w:val="center"/>
              <w:rPr>
                <w:rFonts w:eastAsia="Times New Roman"/>
                <w:b/>
                <w:bCs/>
                <w:sz w:val="24"/>
                <w:szCs w:val="24"/>
                <w:lang w:eastAsia="lv-LV"/>
              </w:rPr>
            </w:pPr>
            <w:r>
              <w:rPr>
                <w:rFonts w:eastAsia="Times New Roman"/>
                <w:b/>
                <w:bCs/>
                <w:sz w:val="24"/>
                <w:szCs w:val="24"/>
                <w:lang w:eastAsia="lv-LV"/>
              </w:rPr>
              <w:t>Nav ņemts vērā</w:t>
            </w:r>
          </w:p>
          <w:p w14:paraId="3ECE35E8" w14:textId="77777777" w:rsidR="0022639B" w:rsidRPr="00DE1A22" w:rsidRDefault="0022639B" w:rsidP="0022639B">
            <w:pPr>
              <w:jc w:val="both"/>
              <w:rPr>
                <w:rFonts w:eastAsia="Times New Roman"/>
                <w:sz w:val="24"/>
                <w:szCs w:val="24"/>
                <w:lang w:eastAsia="lv-LV"/>
              </w:rPr>
            </w:pPr>
            <w:r w:rsidRPr="00DE1A22">
              <w:rPr>
                <w:rFonts w:eastAsia="Times New Roman"/>
                <w:sz w:val="24"/>
                <w:szCs w:val="24"/>
                <w:lang w:eastAsia="lv-LV"/>
              </w:rPr>
              <w:t xml:space="preserve">Zinātniskajos pētījumos ir secināts, ka azartspēļu automāti un kazino spēles ir tie azartspēļu veidi, kas ir visvairāk saistīti ar azartspēļu atkarības veidošanos. </w:t>
            </w:r>
          </w:p>
          <w:p w14:paraId="07F6D575" w14:textId="77777777" w:rsidR="0022639B" w:rsidRPr="00DE1A22" w:rsidRDefault="0022639B" w:rsidP="0022639B">
            <w:pPr>
              <w:jc w:val="both"/>
            </w:pPr>
            <w:r w:rsidRPr="00DE1A22">
              <w:rPr>
                <w:rFonts w:eastAsia="Times New Roman"/>
                <w:sz w:val="24"/>
                <w:szCs w:val="24"/>
                <w:lang w:eastAsia="lv-LV"/>
              </w:rPr>
              <w:t>Līdz ar to pasākumiem jābūt pēc iespējas fokusētākiem un orientētiem tieši uz būtiskāko risku mazināšanu , lai sasniegtu labāku rezultātu un augstāku šo pasākumu efektivitāti</w:t>
            </w:r>
            <w:r w:rsidRPr="00DE1A22">
              <w:t>.</w:t>
            </w:r>
            <w:r w:rsidRPr="00DE1A22">
              <w:rPr>
                <w:rStyle w:val="FootnoteReference"/>
              </w:rPr>
              <w:footnoteReference w:id="3"/>
            </w:r>
          </w:p>
          <w:p w14:paraId="2367AA9E" w14:textId="77777777" w:rsidR="0022639B" w:rsidRPr="00DE1A22" w:rsidRDefault="0022639B" w:rsidP="0022639B">
            <w:pPr>
              <w:pStyle w:val="NoSpacing"/>
              <w:jc w:val="both"/>
              <w:rPr>
                <w:lang w:val="lv-LV"/>
              </w:rPr>
            </w:pPr>
            <w:r w:rsidRPr="00DE1A22">
              <w:rPr>
                <w:lang w:val="lv-LV"/>
              </w:rPr>
              <w:t>LV pētījums rāda, ka, lai arī azartspēles automātos spēlē salīdzinoši mazāks respondentu īpatsvars kā loterijas, šādi kopumā mazinot problemātisko spēlmaņu īpatsvaru populācijā, tomēr tā kaitīgā ietekme ir augstāka, skarot pat lielāko daļu aktīvo regulāro spēlētāju.</w:t>
            </w:r>
          </w:p>
          <w:p w14:paraId="5B094351" w14:textId="77777777" w:rsidR="0022639B" w:rsidRPr="00DE1A22" w:rsidRDefault="0022639B" w:rsidP="0022639B">
            <w:pPr>
              <w:jc w:val="both"/>
              <w:rPr>
                <w:sz w:val="24"/>
                <w:szCs w:val="24"/>
              </w:rPr>
            </w:pPr>
            <w:r w:rsidRPr="00DE1A22">
              <w:rPr>
                <w:sz w:val="24"/>
                <w:szCs w:val="24"/>
              </w:rPr>
              <w:t xml:space="preserve">Aktīvo 60% spēļu automātu spēlētāju problēmas saskaņā ar </w:t>
            </w:r>
            <w:r w:rsidRPr="00DE1A22">
              <w:rPr>
                <w:sz w:val="24"/>
                <w:szCs w:val="24"/>
              </w:rPr>
              <w:lastRenderedPageBreak/>
              <w:t>indeksa vērtībām uzskatāmas nevis par zema līmeņa, bet gan par vidēja vai augsta līmeņa problēmām.</w:t>
            </w:r>
          </w:p>
          <w:p w14:paraId="0D68650D" w14:textId="77777777" w:rsidR="0022639B" w:rsidRPr="00DE1A22" w:rsidRDefault="0022639B" w:rsidP="0022639B">
            <w:pPr>
              <w:jc w:val="both"/>
              <w:rPr>
                <w:rFonts w:eastAsia="Times New Roman"/>
                <w:b/>
                <w:bCs/>
                <w:sz w:val="24"/>
                <w:szCs w:val="24"/>
                <w:lang w:eastAsia="lv-LV"/>
              </w:rPr>
            </w:pPr>
            <w:r w:rsidRPr="00DE1A22">
              <w:rPr>
                <w:sz w:val="24"/>
                <w:szCs w:val="24"/>
              </w:rPr>
              <w:t xml:space="preserve">Iepriekš minētie secinājumi nosaka, ka izložu spēlētājiem ir ievērojami mazāks atkarības risks un attiecīgi izložu dalībnieku uzskaites un pašatteikšanās prasības būtu nelietderīgas. Turklāt no fizisko personu datu aizsardzības viedokļa datu apstrāde par visām fiziskajām personām, kas piedalās izlozēs, tiktu iesaistītas vairākas personas, kas, ņemot vērā datu apjomu, būtu saistīt ar lielo datu apstrādes risku. Konkrētajā gadījumā datu apstrādes riski ir nesamērīgi ar apstrādes mērķī un ieguvumu.  </w:t>
            </w:r>
          </w:p>
        </w:tc>
        <w:tc>
          <w:tcPr>
            <w:tcW w:w="786" w:type="pct"/>
          </w:tcPr>
          <w:p w14:paraId="78F96967" w14:textId="77777777" w:rsidR="0022639B" w:rsidRPr="00DE1A22" w:rsidRDefault="0022639B" w:rsidP="0022639B">
            <w:pPr>
              <w:spacing w:before="100" w:beforeAutospacing="1" w:after="100" w:afterAutospacing="1"/>
              <w:jc w:val="both"/>
              <w:rPr>
                <w:rFonts w:eastAsia="Times New Roman"/>
                <w:sz w:val="24"/>
                <w:szCs w:val="24"/>
                <w:lang w:eastAsia="lv-LV"/>
              </w:rPr>
            </w:pPr>
          </w:p>
        </w:tc>
        <w:tc>
          <w:tcPr>
            <w:tcW w:w="832" w:type="pct"/>
          </w:tcPr>
          <w:p w14:paraId="134D91C7" w14:textId="77777777" w:rsidR="0022639B" w:rsidRPr="00DE1A22" w:rsidRDefault="0022639B" w:rsidP="0022639B">
            <w:pPr>
              <w:spacing w:after="120"/>
              <w:jc w:val="both"/>
              <w:rPr>
                <w:rFonts w:eastAsia="Times New Roman"/>
                <w:sz w:val="24"/>
                <w:szCs w:val="24"/>
                <w:lang w:eastAsia="lv-LV"/>
              </w:rPr>
            </w:pPr>
          </w:p>
        </w:tc>
      </w:tr>
      <w:tr w:rsidR="0022639B" w:rsidRPr="00DE1A22" w14:paraId="3E589CC8" w14:textId="77777777" w:rsidTr="00F64F1D">
        <w:tc>
          <w:tcPr>
            <w:tcW w:w="230" w:type="pct"/>
          </w:tcPr>
          <w:p w14:paraId="63A7C8BD" w14:textId="01418107" w:rsidR="0022639B" w:rsidRDefault="00846BEF" w:rsidP="0022639B">
            <w:pPr>
              <w:spacing w:before="100" w:beforeAutospacing="1" w:after="100" w:afterAutospacing="1"/>
              <w:jc w:val="center"/>
              <w:rPr>
                <w:rFonts w:eastAsia="Times New Roman"/>
                <w:sz w:val="24"/>
                <w:szCs w:val="24"/>
                <w:lang w:eastAsia="lv-LV"/>
              </w:rPr>
            </w:pPr>
            <w:r>
              <w:rPr>
                <w:rFonts w:eastAsia="Times New Roman"/>
                <w:sz w:val="24"/>
                <w:szCs w:val="24"/>
                <w:lang w:eastAsia="lv-LV"/>
              </w:rPr>
              <w:lastRenderedPageBreak/>
              <w:t>12</w:t>
            </w:r>
            <w:r w:rsidR="0022639B" w:rsidRPr="00DE1A22">
              <w:rPr>
                <w:rFonts w:eastAsia="Times New Roman"/>
                <w:sz w:val="24"/>
                <w:szCs w:val="24"/>
                <w:lang w:eastAsia="lv-LV"/>
              </w:rPr>
              <w:t>.</w:t>
            </w:r>
          </w:p>
        </w:tc>
        <w:tc>
          <w:tcPr>
            <w:tcW w:w="934" w:type="pct"/>
          </w:tcPr>
          <w:p w14:paraId="36CCDCE4" w14:textId="77777777" w:rsidR="0022639B" w:rsidRPr="00DE1A22" w:rsidRDefault="0022639B" w:rsidP="0022639B">
            <w:pPr>
              <w:jc w:val="both"/>
              <w:rPr>
                <w:rFonts w:eastAsia="Times New Roman"/>
                <w:sz w:val="24"/>
                <w:szCs w:val="24"/>
                <w:lang w:eastAsia="lv-LV"/>
              </w:rPr>
            </w:pPr>
            <w:r w:rsidRPr="00DE1A22">
              <w:rPr>
                <w:rFonts w:eastAsia="Times New Roman"/>
                <w:sz w:val="24"/>
                <w:szCs w:val="24"/>
                <w:lang w:eastAsia="lv-LV"/>
              </w:rPr>
              <w:t xml:space="preserve">Pamatnostādņu </w:t>
            </w:r>
            <w:r w:rsidRPr="00BF547D">
              <w:rPr>
                <w:rFonts w:eastAsia="Times New Roman"/>
                <w:b/>
                <w:sz w:val="24"/>
                <w:szCs w:val="24"/>
                <w:lang w:eastAsia="lv-LV"/>
              </w:rPr>
              <w:t>4. sadaļas 2. rīcības virziena</w:t>
            </w:r>
            <w:r w:rsidRPr="00DE1A22">
              <w:rPr>
                <w:rFonts w:eastAsia="Times New Roman"/>
                <w:sz w:val="24"/>
                <w:szCs w:val="24"/>
                <w:lang w:eastAsia="lv-LV"/>
              </w:rPr>
              <w:t xml:space="preserve"> “Azartspēļu un izložu reklāmas aizlieguma kontrole” </w:t>
            </w:r>
            <w:r w:rsidRPr="00BF547D">
              <w:rPr>
                <w:rFonts w:eastAsia="Times New Roman"/>
                <w:b/>
                <w:sz w:val="24"/>
                <w:szCs w:val="24"/>
                <w:lang w:eastAsia="lv-LV"/>
              </w:rPr>
              <w:t>3. uzdevums</w:t>
            </w:r>
            <w:r w:rsidRPr="00DE1A22">
              <w:rPr>
                <w:rFonts w:eastAsia="Times New Roman"/>
                <w:sz w:val="24"/>
                <w:szCs w:val="24"/>
                <w:lang w:eastAsia="lv-LV"/>
              </w:rPr>
              <w:t xml:space="preserve"> “Izvērtēt azartspēļu reklāmas aizlieguma </w:t>
            </w:r>
            <w:r w:rsidRPr="00DE1A22">
              <w:rPr>
                <w:rFonts w:eastAsia="Times New Roman"/>
                <w:sz w:val="24"/>
                <w:szCs w:val="24"/>
                <w:lang w:eastAsia="lv-LV"/>
              </w:rPr>
              <w:lastRenderedPageBreak/>
              <w:t>pārskatīšanu televīzijā, radio, kā arī interaktīvajā vidē.”</w:t>
            </w:r>
          </w:p>
        </w:tc>
        <w:tc>
          <w:tcPr>
            <w:tcW w:w="1340" w:type="pct"/>
          </w:tcPr>
          <w:p w14:paraId="59DE9FBA" w14:textId="77777777" w:rsidR="000058F9" w:rsidRDefault="0022639B" w:rsidP="00DA39E6">
            <w:pPr>
              <w:jc w:val="center"/>
              <w:rPr>
                <w:rFonts w:eastAsia="Times New Roman"/>
                <w:b/>
                <w:sz w:val="24"/>
                <w:szCs w:val="24"/>
              </w:rPr>
            </w:pPr>
            <w:r w:rsidRPr="00DE1A22">
              <w:rPr>
                <w:rFonts w:eastAsia="Times New Roman"/>
                <w:b/>
                <w:sz w:val="24"/>
                <w:szCs w:val="24"/>
              </w:rPr>
              <w:lastRenderedPageBreak/>
              <w:t xml:space="preserve">Veselības ministrija </w:t>
            </w:r>
          </w:p>
          <w:p w14:paraId="6C42F5AF" w14:textId="1892FC1D" w:rsidR="0022639B" w:rsidRPr="00DE1A22" w:rsidRDefault="0022639B" w:rsidP="00DA39E6">
            <w:pPr>
              <w:jc w:val="center"/>
              <w:rPr>
                <w:rFonts w:eastAsia="Times New Roman"/>
                <w:b/>
                <w:sz w:val="24"/>
                <w:szCs w:val="24"/>
              </w:rPr>
            </w:pPr>
            <w:r w:rsidRPr="00DE1A22">
              <w:rPr>
                <w:rFonts w:eastAsia="Times New Roman"/>
                <w:b/>
                <w:sz w:val="24"/>
                <w:szCs w:val="24"/>
              </w:rPr>
              <w:t>(02.03.2020. Nr.01-09/1090)</w:t>
            </w:r>
          </w:p>
          <w:p w14:paraId="5FD83920" w14:textId="77777777" w:rsidR="0022639B" w:rsidRPr="00DE1A22" w:rsidRDefault="0022639B" w:rsidP="0022639B">
            <w:pPr>
              <w:jc w:val="both"/>
              <w:rPr>
                <w:rFonts w:eastAsia="Times New Roman"/>
                <w:b/>
                <w:sz w:val="24"/>
                <w:szCs w:val="24"/>
              </w:rPr>
            </w:pPr>
            <w:r w:rsidRPr="00DE1A22">
              <w:rPr>
                <w:rFonts w:eastAsia="Times New Roman"/>
                <w:b/>
                <w:sz w:val="24"/>
                <w:szCs w:val="24"/>
              </w:rPr>
              <w:t xml:space="preserve">Lūdzam svītrot precizētajā pamatnostādņu projektā rīcības virzienā “Azartspēļu un izložu reklāmas aizlieguma kontrole” iekļauto jauno uzdevumu – Izvērtēt </w:t>
            </w:r>
            <w:r w:rsidRPr="00DE1A22">
              <w:rPr>
                <w:rFonts w:eastAsia="Times New Roman"/>
                <w:b/>
                <w:sz w:val="24"/>
                <w:szCs w:val="24"/>
              </w:rPr>
              <w:lastRenderedPageBreak/>
              <w:t>azartspēļu reklāmas aizlieguma pārskatīšanu televīzijā, radio, kā arī interaktīvajā vidē.</w:t>
            </w:r>
            <w:r w:rsidRPr="00DE1A22">
              <w:rPr>
                <w:rFonts w:eastAsia="Times New Roman"/>
                <w:sz w:val="24"/>
                <w:szCs w:val="24"/>
              </w:rPr>
              <w:t xml:space="preserve"> Veselības ministrija savā 2019.gada 30.janvāra atzinumā Nr.01-09/448 Finanšu ministrijai jau iepriekš norādīja, ka neatbalsta tās piedāvāto daļēju azartspēļu reklāmas ierobežojumu noteikšanu un uzskata, ka būtu jāsaglabā spēkā esošais regulējums attiecībā uz reklāmas pilnīgu aizliegumu azartspēļu gadījumā.</w:t>
            </w:r>
          </w:p>
        </w:tc>
        <w:tc>
          <w:tcPr>
            <w:tcW w:w="878" w:type="pct"/>
          </w:tcPr>
          <w:p w14:paraId="1DE41C20" w14:textId="6AED7438" w:rsidR="00F8168F" w:rsidRDefault="00F8168F" w:rsidP="007474C1">
            <w:pPr>
              <w:jc w:val="center"/>
              <w:rPr>
                <w:rFonts w:eastAsia="Times New Roman"/>
                <w:b/>
                <w:bCs/>
                <w:sz w:val="24"/>
                <w:szCs w:val="24"/>
                <w:lang w:eastAsia="lv-LV"/>
              </w:rPr>
            </w:pPr>
            <w:r>
              <w:rPr>
                <w:rFonts w:eastAsia="Times New Roman"/>
                <w:b/>
                <w:bCs/>
                <w:sz w:val="24"/>
                <w:szCs w:val="24"/>
                <w:lang w:eastAsia="lv-LV"/>
              </w:rPr>
              <w:lastRenderedPageBreak/>
              <w:t xml:space="preserve">Pēc 13.01.2021. starpministriju (starpinstitūciju) </w:t>
            </w:r>
            <w:r w:rsidRPr="00541F9F">
              <w:rPr>
                <w:rFonts w:eastAsia="Times New Roman"/>
                <w:bCs/>
                <w:sz w:val="24"/>
                <w:szCs w:val="24"/>
                <w:lang w:eastAsia="lv-LV"/>
              </w:rPr>
              <w:t>sanāksmes nebija iespējams panākt vienošanos</w:t>
            </w:r>
            <w:r w:rsidR="00941E96">
              <w:rPr>
                <w:rFonts w:eastAsia="Times New Roman"/>
                <w:bCs/>
                <w:sz w:val="24"/>
                <w:szCs w:val="24"/>
                <w:lang w:eastAsia="lv-LV"/>
              </w:rPr>
              <w:t>.</w:t>
            </w:r>
          </w:p>
          <w:p w14:paraId="37374735" w14:textId="77777777" w:rsidR="00F8168F" w:rsidRDefault="00F8168F" w:rsidP="007474C1">
            <w:pPr>
              <w:jc w:val="center"/>
              <w:rPr>
                <w:rFonts w:eastAsia="Times New Roman"/>
                <w:b/>
                <w:bCs/>
                <w:sz w:val="24"/>
                <w:szCs w:val="24"/>
                <w:lang w:eastAsia="lv-LV"/>
              </w:rPr>
            </w:pPr>
          </w:p>
          <w:p w14:paraId="051478E4" w14:textId="7BA68290" w:rsidR="0022639B" w:rsidRPr="00DE1A22" w:rsidRDefault="00A52C4F" w:rsidP="007474C1">
            <w:pPr>
              <w:jc w:val="center"/>
              <w:rPr>
                <w:rFonts w:eastAsia="Times New Roman"/>
                <w:b/>
                <w:bCs/>
                <w:sz w:val="24"/>
                <w:szCs w:val="24"/>
                <w:lang w:eastAsia="lv-LV"/>
              </w:rPr>
            </w:pPr>
            <w:r>
              <w:rPr>
                <w:rFonts w:eastAsia="Times New Roman"/>
                <w:b/>
                <w:bCs/>
                <w:sz w:val="24"/>
                <w:szCs w:val="24"/>
                <w:lang w:eastAsia="lv-LV"/>
              </w:rPr>
              <w:lastRenderedPageBreak/>
              <w:t>Nav ņemts vērā</w:t>
            </w:r>
          </w:p>
          <w:p w14:paraId="7D6E6465" w14:textId="77777777" w:rsidR="0022639B" w:rsidRPr="00DE1A22" w:rsidRDefault="0022639B" w:rsidP="0022639B">
            <w:pPr>
              <w:jc w:val="both"/>
              <w:rPr>
                <w:rFonts w:eastAsia="Times New Roman"/>
                <w:sz w:val="24"/>
                <w:szCs w:val="24"/>
              </w:rPr>
            </w:pPr>
            <w:r w:rsidRPr="00DE1A22">
              <w:rPr>
                <w:rFonts w:eastAsia="Times New Roman"/>
                <w:sz w:val="24"/>
                <w:szCs w:val="24"/>
              </w:rPr>
              <w:t>Pamatnostādnēs ir paredzēts izvērtēt iespēju azartspēļu reklāmas aizlieguma pārskatīšanai, nevis veikt konkrētus grozījumu normatīvajos aktos.</w:t>
            </w:r>
          </w:p>
          <w:p w14:paraId="0F0E5EEC" w14:textId="77777777" w:rsidR="0022639B" w:rsidRPr="00DE1A22" w:rsidRDefault="0022639B" w:rsidP="0022639B">
            <w:pPr>
              <w:jc w:val="both"/>
              <w:rPr>
                <w:rFonts w:eastAsia="Times New Roman"/>
                <w:sz w:val="24"/>
                <w:szCs w:val="24"/>
              </w:rPr>
            </w:pPr>
            <w:r w:rsidRPr="00DE1A22">
              <w:rPr>
                <w:rFonts w:eastAsia="Times New Roman"/>
                <w:sz w:val="24"/>
                <w:szCs w:val="24"/>
              </w:rPr>
              <w:t>Vienlaikus biedrības “Latvijas Reklāmas asociācija” un “Latvijas Raidorganizācijas asociācija” savā 2020.gada 10.marta atzinumā Nr.07/2020 izteica šādu viedokli: “Būtiski, ka noteiktie reklāmas ierobežojumi attiecas tikai uz Latvijā reģistrētajiem medijiem, attiecīgi citu valstu medijos azartspēļu reklāmas jau šobrīd ir pieejamas un tās sasniedz Latvijas auditoriju.</w:t>
            </w:r>
            <w:r w:rsidRPr="00DE1A22">
              <w:rPr>
                <w:rFonts w:eastAsia="Times New Roman"/>
                <w:b/>
                <w:sz w:val="24"/>
                <w:szCs w:val="24"/>
              </w:rPr>
              <w:t xml:space="preserve"> </w:t>
            </w:r>
            <w:r w:rsidRPr="00DE1A22">
              <w:rPr>
                <w:rFonts w:eastAsia="Times New Roman"/>
                <w:sz w:val="24"/>
                <w:szCs w:val="24"/>
              </w:rPr>
              <w:t xml:space="preserve">Tas rada ne tikai negodīgas konkurences apstākļus starp Latvijas un citu valstu medijiem, bet pamatā šādu reklāmu saturs netiek regulēts, tas netiek veidots atbildīgi (kontrolēti, atbilstoši normatīvo aktu prasībām), tas vistiešākajā veidā </w:t>
            </w:r>
            <w:r w:rsidRPr="00DE1A22">
              <w:rPr>
                <w:rFonts w:eastAsia="Times New Roman"/>
                <w:sz w:val="24"/>
                <w:szCs w:val="24"/>
              </w:rPr>
              <w:lastRenderedPageBreak/>
              <w:t>veicina azartspēļu patēriņu, tas ir pieejams bērniem un jauniešiem, kā arī tas veicina tieši nelegālo azartspēļu izplatību un patēriņu.</w:t>
            </w:r>
          </w:p>
          <w:p w14:paraId="355C2A53" w14:textId="77777777" w:rsidR="0022639B" w:rsidRPr="00DE1A22" w:rsidRDefault="0022639B" w:rsidP="0022639B">
            <w:pPr>
              <w:jc w:val="both"/>
              <w:rPr>
                <w:rFonts w:eastAsia="Times New Roman"/>
                <w:b/>
                <w:bCs/>
                <w:sz w:val="24"/>
                <w:szCs w:val="24"/>
                <w:lang w:eastAsia="lv-LV"/>
              </w:rPr>
            </w:pPr>
            <w:r w:rsidRPr="00DE1A22">
              <w:rPr>
                <w:rFonts w:eastAsia="Times New Roman"/>
                <w:sz w:val="24"/>
                <w:szCs w:val="24"/>
              </w:rPr>
              <w:t>Minētie fakti apliecina, ka reklāmas ierobežojumi digitālajā – jaunajā mediju  vides laikmetā nedarbojas, tie ne tikai nesasniedz it kā noteiktos mērķus, bet tieši pretēji, tie veicina nelikumīgas un neregulētas darbības, kā arī rada būtisku apdraudējumu un kaitējumu patērētājiem.”.</w:t>
            </w:r>
          </w:p>
        </w:tc>
        <w:tc>
          <w:tcPr>
            <w:tcW w:w="786" w:type="pct"/>
          </w:tcPr>
          <w:p w14:paraId="6D04EBBA" w14:textId="77777777" w:rsidR="007474C1" w:rsidRPr="009D4C3A" w:rsidRDefault="007474C1" w:rsidP="007474C1">
            <w:pPr>
              <w:jc w:val="center"/>
              <w:rPr>
                <w:b/>
              </w:rPr>
            </w:pPr>
            <w:r w:rsidRPr="009D4C3A">
              <w:rPr>
                <w:b/>
              </w:rPr>
              <w:lastRenderedPageBreak/>
              <w:t>13.01.2021. starpministriju (starpinstitūciju) sanāksme</w:t>
            </w:r>
          </w:p>
          <w:p w14:paraId="70D42B70" w14:textId="77777777" w:rsidR="007474C1" w:rsidRDefault="007474C1" w:rsidP="007474C1">
            <w:pPr>
              <w:jc w:val="both"/>
              <w:rPr>
                <w:iCs/>
              </w:rPr>
            </w:pPr>
          </w:p>
          <w:p w14:paraId="1693650C" w14:textId="77777777" w:rsidR="007474C1" w:rsidRPr="007474C1" w:rsidRDefault="007474C1" w:rsidP="007474C1">
            <w:pPr>
              <w:jc w:val="both"/>
              <w:rPr>
                <w:iCs/>
                <w:sz w:val="24"/>
              </w:rPr>
            </w:pPr>
            <w:r w:rsidRPr="007474C1">
              <w:rPr>
                <w:iCs/>
                <w:sz w:val="24"/>
              </w:rPr>
              <w:lastRenderedPageBreak/>
              <w:t>VM uztur iebildumu. Vienlaikus norāda, ka iebildums netiks uzturēts, ja pamatnostādņu projektā tiks norādīti precīzāki izvērtējuma mērķi un pētāmajiem jautājumiem.</w:t>
            </w:r>
          </w:p>
          <w:p w14:paraId="2F982C7E" w14:textId="77777777" w:rsidR="007474C1" w:rsidRPr="007474C1" w:rsidRDefault="007474C1" w:rsidP="007474C1">
            <w:pPr>
              <w:jc w:val="both"/>
              <w:rPr>
                <w:iCs/>
                <w:sz w:val="24"/>
              </w:rPr>
            </w:pPr>
          </w:p>
          <w:p w14:paraId="7BEF9AE9" w14:textId="77777777" w:rsidR="007474C1" w:rsidRPr="007474C1" w:rsidRDefault="007474C1" w:rsidP="007474C1">
            <w:pPr>
              <w:jc w:val="both"/>
              <w:rPr>
                <w:iCs/>
                <w:sz w:val="24"/>
              </w:rPr>
            </w:pPr>
            <w:r w:rsidRPr="007474C1">
              <w:rPr>
                <w:iCs/>
                <w:sz w:val="24"/>
              </w:rPr>
              <w:t>NEPLP norāda, ka izvērtējums ir nepieciešams, jo pašreiz spēkā esošais regulējums neatrisina ar azartspēļu un izložu reklāmu problēmas, jo īpaši interaktīvajā vidē.</w:t>
            </w:r>
          </w:p>
          <w:p w14:paraId="2BD07A89" w14:textId="77777777" w:rsidR="0022639B" w:rsidRPr="00DE1A22" w:rsidRDefault="0022639B" w:rsidP="0022639B">
            <w:pPr>
              <w:spacing w:before="100" w:beforeAutospacing="1" w:after="100" w:afterAutospacing="1"/>
              <w:jc w:val="both"/>
              <w:rPr>
                <w:rFonts w:eastAsia="Times New Roman"/>
                <w:sz w:val="24"/>
                <w:szCs w:val="24"/>
                <w:lang w:eastAsia="lv-LV"/>
              </w:rPr>
            </w:pPr>
          </w:p>
        </w:tc>
        <w:tc>
          <w:tcPr>
            <w:tcW w:w="832" w:type="pct"/>
          </w:tcPr>
          <w:p w14:paraId="77F99F13" w14:textId="2DCFA29B" w:rsidR="0022639B" w:rsidRPr="00DE1A22" w:rsidRDefault="00BF547D" w:rsidP="0022639B">
            <w:pPr>
              <w:spacing w:after="120"/>
              <w:jc w:val="both"/>
              <w:rPr>
                <w:rFonts w:eastAsia="Times New Roman"/>
                <w:sz w:val="24"/>
                <w:szCs w:val="24"/>
                <w:lang w:eastAsia="lv-LV"/>
              </w:rPr>
            </w:pPr>
            <w:r w:rsidRPr="00DE1A22">
              <w:rPr>
                <w:rFonts w:eastAsia="Times New Roman"/>
                <w:sz w:val="24"/>
                <w:szCs w:val="24"/>
                <w:lang w:eastAsia="lv-LV"/>
              </w:rPr>
              <w:lastRenderedPageBreak/>
              <w:t xml:space="preserve">Pamatnostādņu </w:t>
            </w:r>
            <w:r w:rsidRPr="00BF547D">
              <w:rPr>
                <w:rFonts w:eastAsia="Times New Roman"/>
                <w:b/>
                <w:sz w:val="24"/>
                <w:szCs w:val="24"/>
                <w:lang w:eastAsia="lv-LV"/>
              </w:rPr>
              <w:t>4. sadaļas 2. rīcības virziena</w:t>
            </w:r>
            <w:r w:rsidRPr="00DE1A22">
              <w:rPr>
                <w:rFonts w:eastAsia="Times New Roman"/>
                <w:sz w:val="24"/>
                <w:szCs w:val="24"/>
                <w:lang w:eastAsia="lv-LV"/>
              </w:rPr>
              <w:t xml:space="preserve"> “Azartspēļu un izložu reklāmas aizlieguma kontrole” </w:t>
            </w:r>
            <w:r>
              <w:rPr>
                <w:rFonts w:eastAsia="Times New Roman"/>
                <w:b/>
                <w:sz w:val="24"/>
                <w:szCs w:val="24"/>
                <w:lang w:eastAsia="lv-LV"/>
              </w:rPr>
              <w:t>2</w:t>
            </w:r>
            <w:r w:rsidRPr="00BF547D">
              <w:rPr>
                <w:rFonts w:eastAsia="Times New Roman"/>
                <w:b/>
                <w:sz w:val="24"/>
                <w:szCs w:val="24"/>
                <w:lang w:eastAsia="lv-LV"/>
              </w:rPr>
              <w:t>. uzdevums</w:t>
            </w:r>
            <w:r w:rsidRPr="00DE1A22">
              <w:rPr>
                <w:rFonts w:eastAsia="Times New Roman"/>
                <w:sz w:val="24"/>
                <w:szCs w:val="24"/>
                <w:lang w:eastAsia="lv-LV"/>
              </w:rPr>
              <w:t xml:space="preserve"> “Izvērtēt azartspēļu reklāmas </w:t>
            </w:r>
            <w:r w:rsidRPr="00DE1A22">
              <w:rPr>
                <w:rFonts w:eastAsia="Times New Roman"/>
                <w:sz w:val="24"/>
                <w:szCs w:val="24"/>
                <w:lang w:eastAsia="lv-LV"/>
              </w:rPr>
              <w:lastRenderedPageBreak/>
              <w:t>aizlieguma pārskatīšanu televīzijā, radio, kā arī interaktīvajā vidē.”</w:t>
            </w:r>
          </w:p>
        </w:tc>
      </w:tr>
      <w:tr w:rsidR="00C33596" w:rsidRPr="00DE1A22" w14:paraId="3DB2738B" w14:textId="77777777" w:rsidTr="00B00FCE">
        <w:tc>
          <w:tcPr>
            <w:tcW w:w="5000" w:type="pct"/>
            <w:gridSpan w:val="6"/>
            <w:shd w:val="clear" w:color="auto" w:fill="E2EFD9" w:themeFill="accent6" w:themeFillTint="33"/>
          </w:tcPr>
          <w:p w14:paraId="31A5B8E2" w14:textId="702D13C6" w:rsidR="00C33596" w:rsidRPr="00BE7D7D" w:rsidRDefault="00BE7D7D" w:rsidP="00BE7D7D">
            <w:pPr>
              <w:spacing w:after="120"/>
              <w:jc w:val="center"/>
              <w:rPr>
                <w:rFonts w:eastAsia="Times New Roman"/>
                <w:b/>
                <w:sz w:val="24"/>
                <w:szCs w:val="24"/>
                <w:lang w:eastAsia="lv-LV"/>
              </w:rPr>
            </w:pPr>
            <w:r w:rsidRPr="00BE7D7D">
              <w:rPr>
                <w:rFonts w:eastAsia="Times New Roman"/>
                <w:b/>
                <w:sz w:val="24"/>
                <w:szCs w:val="24"/>
                <w:lang w:eastAsia="lv-LV"/>
              </w:rPr>
              <w:lastRenderedPageBreak/>
              <w:t>Iebildumi par Pamatnostādņu 4. sadaļas 3. rīcības virziens “Azartspēļu un izložu pieejamības regulēšana”</w:t>
            </w:r>
          </w:p>
        </w:tc>
      </w:tr>
      <w:tr w:rsidR="0022639B" w:rsidRPr="00DE1A22" w14:paraId="5D834237" w14:textId="77777777" w:rsidTr="00F64F1D">
        <w:tc>
          <w:tcPr>
            <w:tcW w:w="230" w:type="pct"/>
          </w:tcPr>
          <w:p w14:paraId="68836850" w14:textId="2A961D59" w:rsidR="0022639B" w:rsidRPr="00DE1A22" w:rsidRDefault="00846BEF" w:rsidP="0022639B">
            <w:pPr>
              <w:spacing w:before="100" w:beforeAutospacing="1" w:after="100" w:afterAutospacing="1"/>
              <w:jc w:val="center"/>
              <w:rPr>
                <w:rFonts w:eastAsia="Times New Roman"/>
                <w:sz w:val="24"/>
                <w:szCs w:val="24"/>
                <w:lang w:eastAsia="lv-LV"/>
              </w:rPr>
            </w:pPr>
            <w:r>
              <w:rPr>
                <w:rFonts w:eastAsia="Times New Roman"/>
                <w:sz w:val="24"/>
                <w:szCs w:val="24"/>
                <w:lang w:eastAsia="lv-LV"/>
              </w:rPr>
              <w:t>13</w:t>
            </w:r>
            <w:r w:rsidR="0022639B" w:rsidRPr="00DE1A22">
              <w:rPr>
                <w:rFonts w:eastAsia="Times New Roman"/>
                <w:sz w:val="24"/>
                <w:szCs w:val="24"/>
                <w:lang w:eastAsia="lv-LV"/>
              </w:rPr>
              <w:t>.</w:t>
            </w:r>
          </w:p>
        </w:tc>
        <w:tc>
          <w:tcPr>
            <w:tcW w:w="934" w:type="pct"/>
            <w:shd w:val="clear" w:color="auto" w:fill="auto"/>
          </w:tcPr>
          <w:p w14:paraId="1445C618" w14:textId="5B2CD58F" w:rsidR="0022639B" w:rsidRPr="00DE1A22" w:rsidRDefault="0022639B" w:rsidP="0022639B">
            <w:pPr>
              <w:jc w:val="both"/>
              <w:rPr>
                <w:rFonts w:eastAsia="Times New Roman"/>
                <w:sz w:val="24"/>
                <w:szCs w:val="24"/>
                <w:lang w:eastAsia="lv-LV"/>
              </w:rPr>
            </w:pPr>
          </w:p>
        </w:tc>
        <w:tc>
          <w:tcPr>
            <w:tcW w:w="1340" w:type="pct"/>
            <w:shd w:val="clear" w:color="auto" w:fill="auto"/>
          </w:tcPr>
          <w:p w14:paraId="03A349C1" w14:textId="77777777" w:rsidR="00A4184D" w:rsidRDefault="0022639B" w:rsidP="00A4184D">
            <w:pPr>
              <w:jc w:val="center"/>
              <w:rPr>
                <w:rFonts w:eastAsia="Times New Roman"/>
                <w:b/>
                <w:sz w:val="24"/>
                <w:szCs w:val="24"/>
              </w:rPr>
            </w:pPr>
            <w:r w:rsidRPr="00DE1A22">
              <w:rPr>
                <w:rFonts w:eastAsia="Times New Roman"/>
                <w:b/>
                <w:sz w:val="24"/>
                <w:szCs w:val="24"/>
              </w:rPr>
              <w:t>Vides aizsardzības un r</w:t>
            </w:r>
            <w:r w:rsidR="00A4184D">
              <w:rPr>
                <w:rFonts w:eastAsia="Times New Roman"/>
                <w:b/>
                <w:sz w:val="24"/>
                <w:szCs w:val="24"/>
              </w:rPr>
              <w:t>eģionālās attīstības ministrija</w:t>
            </w:r>
          </w:p>
          <w:p w14:paraId="53CD31F4" w14:textId="5BA5D32D" w:rsidR="0022639B" w:rsidRPr="00DE1A22" w:rsidRDefault="0022639B" w:rsidP="00A4184D">
            <w:pPr>
              <w:jc w:val="center"/>
              <w:rPr>
                <w:rFonts w:eastAsia="Times New Roman"/>
                <w:b/>
                <w:sz w:val="24"/>
                <w:szCs w:val="24"/>
              </w:rPr>
            </w:pPr>
            <w:r w:rsidRPr="00DE1A22">
              <w:rPr>
                <w:rFonts w:eastAsia="Times New Roman"/>
                <w:b/>
                <w:sz w:val="24"/>
                <w:szCs w:val="24"/>
              </w:rPr>
              <w:t>(21.02.2020. Nr.1-132/1579)</w:t>
            </w:r>
          </w:p>
          <w:p w14:paraId="02023011" w14:textId="77777777" w:rsidR="0022639B" w:rsidRPr="00DE1A22" w:rsidRDefault="0022639B" w:rsidP="0022639B">
            <w:pPr>
              <w:jc w:val="both"/>
              <w:rPr>
                <w:rFonts w:eastAsia="Times New Roman"/>
                <w:b/>
                <w:sz w:val="24"/>
                <w:szCs w:val="24"/>
              </w:rPr>
            </w:pPr>
            <w:r w:rsidRPr="00DE1A22">
              <w:rPr>
                <w:rFonts w:eastAsia="Times New Roman"/>
                <w:sz w:val="24"/>
                <w:szCs w:val="24"/>
              </w:rPr>
              <w:t>Lūdzam papildināt ar uzdevumu izstrādāt metodiku maksimāli pieļaujamo azartspēļu organizēšanas vietu skaitliskajam aprēķinam Republikas pilsētās un novados un atbilstoši aprēķinam noteikt maksimāli pieļaujamo skaitu azartspēļu organizēšanas vietām konkrētā teritorijā.</w:t>
            </w:r>
          </w:p>
        </w:tc>
        <w:tc>
          <w:tcPr>
            <w:tcW w:w="878" w:type="pct"/>
            <w:shd w:val="clear" w:color="auto" w:fill="auto"/>
          </w:tcPr>
          <w:p w14:paraId="329A10F0" w14:textId="0087D251" w:rsidR="00F8168F" w:rsidRDefault="00F8168F" w:rsidP="00E6164F">
            <w:pPr>
              <w:jc w:val="center"/>
              <w:rPr>
                <w:rFonts w:eastAsia="Times New Roman"/>
                <w:bCs/>
                <w:sz w:val="24"/>
                <w:szCs w:val="24"/>
                <w:lang w:eastAsia="lv-LV"/>
              </w:rPr>
            </w:pPr>
            <w:r>
              <w:rPr>
                <w:rFonts w:eastAsia="Times New Roman"/>
                <w:b/>
                <w:bCs/>
                <w:sz w:val="24"/>
                <w:szCs w:val="24"/>
                <w:lang w:eastAsia="lv-LV"/>
              </w:rPr>
              <w:t xml:space="preserve">Pēc 13.01.2021. starpministriju (starpinstitūciju) </w:t>
            </w:r>
            <w:r w:rsidRPr="00541F9F">
              <w:rPr>
                <w:rFonts w:eastAsia="Times New Roman"/>
                <w:bCs/>
                <w:sz w:val="24"/>
                <w:szCs w:val="24"/>
                <w:lang w:eastAsia="lv-LV"/>
              </w:rPr>
              <w:t>sanāksmes nebi</w:t>
            </w:r>
            <w:r w:rsidR="00941E96">
              <w:rPr>
                <w:rFonts w:eastAsia="Times New Roman"/>
                <w:bCs/>
                <w:sz w:val="24"/>
                <w:szCs w:val="24"/>
                <w:lang w:eastAsia="lv-LV"/>
              </w:rPr>
              <w:t>ja iespējams panākt vienošanos.</w:t>
            </w:r>
          </w:p>
          <w:p w14:paraId="32906E80" w14:textId="77777777" w:rsidR="00F8168F" w:rsidRDefault="00F8168F" w:rsidP="00E6164F">
            <w:pPr>
              <w:jc w:val="center"/>
              <w:rPr>
                <w:rFonts w:eastAsia="Times New Roman"/>
                <w:bCs/>
                <w:sz w:val="24"/>
                <w:szCs w:val="24"/>
                <w:lang w:eastAsia="lv-LV"/>
              </w:rPr>
            </w:pPr>
          </w:p>
          <w:p w14:paraId="28FAA829" w14:textId="5C0D29F7" w:rsidR="0022639B" w:rsidRPr="00DE1A22" w:rsidRDefault="00A52C4F" w:rsidP="00E6164F">
            <w:pPr>
              <w:jc w:val="center"/>
              <w:rPr>
                <w:rFonts w:eastAsia="Times New Roman"/>
                <w:b/>
                <w:bCs/>
                <w:sz w:val="24"/>
                <w:szCs w:val="24"/>
                <w:lang w:eastAsia="lv-LV"/>
              </w:rPr>
            </w:pPr>
            <w:r>
              <w:rPr>
                <w:rFonts w:eastAsia="Times New Roman"/>
                <w:b/>
                <w:bCs/>
                <w:sz w:val="24"/>
                <w:szCs w:val="24"/>
                <w:lang w:eastAsia="lv-LV"/>
              </w:rPr>
              <w:t>Nav ņemts vērā</w:t>
            </w:r>
          </w:p>
          <w:p w14:paraId="3311F847" w14:textId="77777777" w:rsidR="0022639B" w:rsidRPr="00DE1A22" w:rsidRDefault="0022639B" w:rsidP="0022639B">
            <w:pPr>
              <w:jc w:val="both"/>
              <w:rPr>
                <w:rFonts w:eastAsia="Times New Roman"/>
                <w:sz w:val="24"/>
                <w:szCs w:val="24"/>
              </w:rPr>
            </w:pPr>
            <w:r w:rsidRPr="00DE1A22">
              <w:rPr>
                <w:rFonts w:eastAsia="Times New Roman"/>
                <w:sz w:val="24"/>
                <w:szCs w:val="24"/>
              </w:rPr>
              <w:t xml:space="preserve">Pamatnostādņu pielikuma 4.sadaļas 2.risinājumā ietvertais mērķis ir AIL precīzi noteikt vietas, kur ir visaugstākais azartspēļu atkarības veidošanas </w:t>
            </w:r>
            <w:r w:rsidRPr="00DE1A22">
              <w:rPr>
                <w:rFonts w:eastAsia="Times New Roman"/>
                <w:sz w:val="24"/>
                <w:szCs w:val="24"/>
              </w:rPr>
              <w:lastRenderedPageBreak/>
              <w:t>risks, un nosakot aizliegumu organizēt azartspēles minētajās vietās, tiks pasargātas ievainojamākās personu grupas. Savukārt, maksimālā pieļaujamo azartspēļu organizēšanas vietu skaita noteikšana ir subjektīvs kritērijs, kas nav vērsts uz riska grupas pasargāšanu no atkarības veidošanas.</w:t>
            </w:r>
          </w:p>
          <w:p w14:paraId="536E7BEE" w14:textId="77777777" w:rsidR="0022639B" w:rsidRPr="00DE1A22" w:rsidRDefault="0022639B" w:rsidP="0022639B">
            <w:pPr>
              <w:jc w:val="both"/>
              <w:rPr>
                <w:rFonts w:eastAsia="Times New Roman"/>
                <w:b/>
                <w:bCs/>
                <w:sz w:val="24"/>
                <w:szCs w:val="24"/>
                <w:lang w:eastAsia="lv-LV"/>
              </w:rPr>
            </w:pPr>
            <w:r w:rsidRPr="00DE1A22">
              <w:rPr>
                <w:rFonts w:eastAsia="Times New Roman"/>
                <w:sz w:val="24"/>
                <w:szCs w:val="24"/>
              </w:rPr>
              <w:t xml:space="preserve">Tā, piemēram spēļu zāles varētu atrasties vietās, kur to negatīvās ietekmes iespējamība uz mazāk aizsargāto indivīdu ir augstāka. </w:t>
            </w:r>
          </w:p>
        </w:tc>
        <w:tc>
          <w:tcPr>
            <w:tcW w:w="786" w:type="pct"/>
            <w:shd w:val="clear" w:color="auto" w:fill="auto"/>
          </w:tcPr>
          <w:p w14:paraId="486326BD" w14:textId="77777777" w:rsidR="001155F9" w:rsidRPr="001155F9" w:rsidRDefault="001155F9" w:rsidP="001155F9">
            <w:pPr>
              <w:jc w:val="center"/>
              <w:rPr>
                <w:b/>
                <w:sz w:val="24"/>
                <w:szCs w:val="24"/>
              </w:rPr>
            </w:pPr>
            <w:r w:rsidRPr="001155F9">
              <w:rPr>
                <w:b/>
                <w:sz w:val="24"/>
                <w:szCs w:val="24"/>
              </w:rPr>
              <w:lastRenderedPageBreak/>
              <w:t>13.01.2021. starpministriju (starpinstitūciju) sanāksme</w:t>
            </w:r>
          </w:p>
          <w:p w14:paraId="1ED1EAFE" w14:textId="77777777" w:rsidR="001155F9" w:rsidRPr="001155F9" w:rsidRDefault="001155F9" w:rsidP="001155F9">
            <w:pPr>
              <w:jc w:val="both"/>
              <w:rPr>
                <w:sz w:val="24"/>
                <w:szCs w:val="24"/>
              </w:rPr>
            </w:pPr>
          </w:p>
          <w:p w14:paraId="7630CCF0" w14:textId="77777777" w:rsidR="001155F9" w:rsidRPr="001155F9" w:rsidRDefault="001155F9" w:rsidP="001155F9">
            <w:pPr>
              <w:jc w:val="both"/>
              <w:rPr>
                <w:sz w:val="24"/>
                <w:szCs w:val="24"/>
              </w:rPr>
            </w:pPr>
            <w:r w:rsidRPr="001155F9">
              <w:rPr>
                <w:sz w:val="24"/>
                <w:szCs w:val="24"/>
              </w:rPr>
              <w:t>VARAM uztur iebildumu.</w:t>
            </w:r>
          </w:p>
          <w:p w14:paraId="509545E2" w14:textId="77777777" w:rsidR="0022639B" w:rsidRPr="00DE1A22" w:rsidRDefault="0022639B" w:rsidP="0022639B">
            <w:pPr>
              <w:spacing w:before="100" w:beforeAutospacing="1" w:after="100" w:afterAutospacing="1"/>
              <w:jc w:val="both"/>
              <w:rPr>
                <w:rFonts w:eastAsia="Times New Roman"/>
                <w:sz w:val="24"/>
                <w:szCs w:val="24"/>
                <w:lang w:eastAsia="lv-LV"/>
              </w:rPr>
            </w:pPr>
          </w:p>
        </w:tc>
        <w:tc>
          <w:tcPr>
            <w:tcW w:w="832" w:type="pct"/>
            <w:shd w:val="clear" w:color="auto" w:fill="auto"/>
          </w:tcPr>
          <w:p w14:paraId="09A6C293" w14:textId="77777777" w:rsidR="0022639B" w:rsidRPr="00DE1A22" w:rsidRDefault="0022639B" w:rsidP="0022639B">
            <w:pPr>
              <w:spacing w:after="120"/>
              <w:jc w:val="both"/>
              <w:rPr>
                <w:rFonts w:eastAsia="Times New Roman"/>
                <w:sz w:val="24"/>
                <w:szCs w:val="24"/>
                <w:lang w:eastAsia="lv-LV"/>
              </w:rPr>
            </w:pPr>
          </w:p>
        </w:tc>
      </w:tr>
      <w:tr w:rsidR="00BF547D" w:rsidRPr="00DE1A22" w14:paraId="4DCFBC85" w14:textId="77777777" w:rsidTr="00F64F1D">
        <w:tc>
          <w:tcPr>
            <w:tcW w:w="230" w:type="pct"/>
          </w:tcPr>
          <w:p w14:paraId="3CAFDE3E" w14:textId="2A0B87A3" w:rsidR="00BF547D" w:rsidRDefault="00BF547D" w:rsidP="00BF547D">
            <w:pPr>
              <w:spacing w:before="100" w:beforeAutospacing="1" w:after="100" w:afterAutospacing="1"/>
              <w:jc w:val="center"/>
              <w:rPr>
                <w:rFonts w:eastAsia="Times New Roman"/>
                <w:sz w:val="24"/>
                <w:szCs w:val="24"/>
                <w:lang w:eastAsia="lv-LV"/>
              </w:rPr>
            </w:pPr>
            <w:r>
              <w:rPr>
                <w:rFonts w:eastAsia="Times New Roman"/>
                <w:sz w:val="24"/>
                <w:szCs w:val="24"/>
                <w:lang w:eastAsia="lv-LV"/>
              </w:rPr>
              <w:t>1</w:t>
            </w:r>
            <w:r w:rsidR="000F1E42">
              <w:rPr>
                <w:rFonts w:eastAsia="Times New Roman"/>
                <w:sz w:val="24"/>
                <w:szCs w:val="24"/>
                <w:lang w:eastAsia="lv-LV"/>
              </w:rPr>
              <w:t>4</w:t>
            </w:r>
            <w:r>
              <w:rPr>
                <w:rFonts w:eastAsia="Times New Roman"/>
                <w:sz w:val="24"/>
                <w:szCs w:val="24"/>
                <w:lang w:eastAsia="lv-LV"/>
              </w:rPr>
              <w:t>.</w:t>
            </w:r>
          </w:p>
        </w:tc>
        <w:tc>
          <w:tcPr>
            <w:tcW w:w="934" w:type="pct"/>
            <w:shd w:val="clear" w:color="auto" w:fill="auto"/>
          </w:tcPr>
          <w:p w14:paraId="2F7796BE" w14:textId="748717C8" w:rsidR="00BF547D" w:rsidRPr="00E6164F" w:rsidRDefault="00BF547D" w:rsidP="00BF547D">
            <w:pPr>
              <w:jc w:val="both"/>
              <w:rPr>
                <w:sz w:val="24"/>
                <w:szCs w:val="24"/>
              </w:rPr>
            </w:pPr>
            <w:r w:rsidRPr="00BF547D">
              <w:rPr>
                <w:sz w:val="24"/>
                <w:szCs w:val="24"/>
              </w:rPr>
              <w:t xml:space="preserve">Pamatnostādņu </w:t>
            </w:r>
            <w:r w:rsidRPr="00BF547D">
              <w:rPr>
                <w:b/>
                <w:sz w:val="24"/>
                <w:szCs w:val="24"/>
              </w:rPr>
              <w:t>4.sadaļas 3.rīcības virziena</w:t>
            </w:r>
            <w:r w:rsidRPr="00BF547D">
              <w:rPr>
                <w:sz w:val="24"/>
                <w:szCs w:val="24"/>
              </w:rPr>
              <w:t xml:space="preserve"> “</w:t>
            </w:r>
            <w:r w:rsidRPr="00BF547D">
              <w:rPr>
                <w:bCs/>
                <w:sz w:val="24"/>
                <w:szCs w:val="24"/>
              </w:rPr>
              <w:t>Azartspēļu un izložu pieejamības regulēšana</w:t>
            </w:r>
            <w:r w:rsidRPr="00BF547D">
              <w:rPr>
                <w:sz w:val="24"/>
                <w:szCs w:val="24"/>
              </w:rPr>
              <w:t>”</w:t>
            </w:r>
            <w:r>
              <w:rPr>
                <w:sz w:val="24"/>
                <w:szCs w:val="24"/>
                <w:u w:val="single"/>
              </w:rPr>
              <w:t xml:space="preserve"> </w:t>
            </w:r>
            <w:r w:rsidRPr="00BF547D">
              <w:rPr>
                <w:b/>
                <w:sz w:val="24"/>
                <w:szCs w:val="24"/>
              </w:rPr>
              <w:t>1.uzdevums</w:t>
            </w:r>
            <w:r w:rsidRPr="00BF547D">
              <w:rPr>
                <w:sz w:val="24"/>
                <w:szCs w:val="24"/>
              </w:rPr>
              <w:t>:</w:t>
            </w:r>
            <w:r w:rsidRPr="00E6164F">
              <w:rPr>
                <w:sz w:val="24"/>
                <w:szCs w:val="24"/>
              </w:rPr>
              <w:t xml:space="preserve"> “Paplašināt to vietu uzskaitījumu, kur aizliegts organizēt azartspēles, paredzot lēmuma pieņemšanu par azartspēļu organizēšanu tikai valsts līmenī. </w:t>
            </w:r>
          </w:p>
          <w:p w14:paraId="19DECF37" w14:textId="77777777" w:rsidR="00BF547D" w:rsidRPr="00E6164F" w:rsidRDefault="00BF547D" w:rsidP="00BF547D">
            <w:pPr>
              <w:jc w:val="both"/>
              <w:rPr>
                <w:sz w:val="24"/>
                <w:szCs w:val="24"/>
              </w:rPr>
            </w:pPr>
            <w:r w:rsidRPr="00E6164F">
              <w:rPr>
                <w:sz w:val="24"/>
                <w:szCs w:val="24"/>
              </w:rPr>
              <w:t>Normatīvajos aktos noteikt šādus papildu kritērijus, vietām, kur aizliegts organizēt azartspēles:</w:t>
            </w:r>
          </w:p>
          <w:p w14:paraId="13C042CE" w14:textId="77777777" w:rsidR="00BF547D" w:rsidRPr="00E6164F" w:rsidRDefault="00BF547D" w:rsidP="00BF547D">
            <w:pPr>
              <w:jc w:val="both"/>
              <w:rPr>
                <w:sz w:val="24"/>
                <w:szCs w:val="24"/>
              </w:rPr>
            </w:pPr>
            <w:r w:rsidRPr="00E6164F">
              <w:rPr>
                <w:sz w:val="24"/>
                <w:szCs w:val="24"/>
              </w:rPr>
              <w:t xml:space="preserve">a) ēkās vai būvēs, kur izvietotas pirmsskolas </w:t>
            </w:r>
            <w:r w:rsidRPr="00E6164F">
              <w:rPr>
                <w:sz w:val="24"/>
                <w:szCs w:val="24"/>
              </w:rPr>
              <w:lastRenderedPageBreak/>
              <w:t>izglītības iestādes, pamata un vidējās izglītības iestādes un 250 metru attālumā/ perimetrā no to ieejas;</w:t>
            </w:r>
          </w:p>
          <w:p w14:paraId="51CF99CC" w14:textId="77777777" w:rsidR="00BF547D" w:rsidRPr="00E6164F" w:rsidRDefault="00BF547D" w:rsidP="00BF547D">
            <w:pPr>
              <w:jc w:val="both"/>
              <w:rPr>
                <w:sz w:val="24"/>
                <w:szCs w:val="24"/>
              </w:rPr>
            </w:pPr>
            <w:r w:rsidRPr="00E6164F">
              <w:rPr>
                <w:sz w:val="24"/>
                <w:szCs w:val="24"/>
              </w:rPr>
              <w:t xml:space="preserve">b) publiskos spēļu un rekreācijas laukumos (termins “publiskais spēļu un rekreācijas laukums” tiek lietots 2020.gada 7.janvāra Ministru kabineta noteikumu Nr. 18 “Spēļu un rekreācijas laukumu drošuma noteikumi” izpratnē) un 250 metru attālumā/ perimetrā no to ieejas; </w:t>
            </w:r>
          </w:p>
          <w:p w14:paraId="41EDBE13" w14:textId="244C1375" w:rsidR="00BF547D" w:rsidRPr="00E6164F" w:rsidRDefault="00BF547D" w:rsidP="00BF547D">
            <w:pPr>
              <w:jc w:val="both"/>
              <w:rPr>
                <w:rFonts w:eastAsia="Times New Roman"/>
                <w:sz w:val="24"/>
                <w:szCs w:val="24"/>
                <w:lang w:eastAsia="lv-LV"/>
              </w:rPr>
            </w:pPr>
            <w:r w:rsidRPr="00E6164F">
              <w:rPr>
                <w:sz w:val="24"/>
                <w:szCs w:val="24"/>
              </w:rPr>
              <w:t>c) dzīvojamās ēkās ārpus Rīgas centra un tā aizsardzības zonas, kā arī dzīvojamās ēkās citās Latvijas pilsētās.”.</w:t>
            </w:r>
          </w:p>
        </w:tc>
        <w:tc>
          <w:tcPr>
            <w:tcW w:w="1340" w:type="pct"/>
            <w:shd w:val="clear" w:color="auto" w:fill="auto"/>
          </w:tcPr>
          <w:p w14:paraId="22E3267F" w14:textId="77777777" w:rsidR="00BF547D" w:rsidRDefault="00BF547D" w:rsidP="00BF547D">
            <w:pPr>
              <w:jc w:val="center"/>
              <w:rPr>
                <w:b/>
                <w:bCs/>
                <w:sz w:val="24"/>
                <w:szCs w:val="24"/>
              </w:rPr>
            </w:pPr>
            <w:r>
              <w:rPr>
                <w:b/>
                <w:bCs/>
                <w:sz w:val="24"/>
                <w:szCs w:val="24"/>
              </w:rPr>
              <w:lastRenderedPageBreak/>
              <w:t>LSBA</w:t>
            </w:r>
          </w:p>
          <w:p w14:paraId="23F44F23" w14:textId="18D44837" w:rsidR="00BF547D" w:rsidRPr="00E6164F" w:rsidRDefault="00BF547D" w:rsidP="00BF547D">
            <w:pPr>
              <w:jc w:val="center"/>
              <w:rPr>
                <w:b/>
                <w:bCs/>
                <w:sz w:val="24"/>
                <w:szCs w:val="24"/>
              </w:rPr>
            </w:pPr>
            <w:r w:rsidRPr="00E6164F">
              <w:rPr>
                <w:b/>
                <w:bCs/>
                <w:sz w:val="24"/>
                <w:szCs w:val="24"/>
              </w:rPr>
              <w:t>(17.12.2020. Nr.22/20)</w:t>
            </w:r>
          </w:p>
          <w:p w14:paraId="6E8CC9FA" w14:textId="77777777" w:rsidR="00BF547D" w:rsidRPr="00E6164F" w:rsidRDefault="00BF547D" w:rsidP="00BF547D">
            <w:pPr>
              <w:jc w:val="both"/>
              <w:rPr>
                <w:sz w:val="24"/>
                <w:szCs w:val="24"/>
              </w:rPr>
            </w:pPr>
            <w:r w:rsidRPr="00E6164F">
              <w:rPr>
                <w:sz w:val="24"/>
                <w:szCs w:val="24"/>
              </w:rPr>
              <w:t xml:space="preserve">LSBA atbalsta centralizāciju licenču izsniegšanā, taču nepiekrīt vietu uzskaitījuma paplašināšanai. Jau šobrīd pastāvošie ierobežojumi nodrošina saprātīgu azartspēļu vietu izvietojumu jau tā blīvajā pilsētvidē. </w:t>
            </w:r>
          </w:p>
          <w:p w14:paraId="2A2D7AFA" w14:textId="77777777" w:rsidR="00BF547D" w:rsidRPr="00E6164F" w:rsidRDefault="00BF547D" w:rsidP="00BF547D">
            <w:pPr>
              <w:jc w:val="both"/>
              <w:rPr>
                <w:sz w:val="24"/>
                <w:szCs w:val="24"/>
              </w:rPr>
            </w:pPr>
            <w:r w:rsidRPr="00E6164F">
              <w:rPr>
                <w:sz w:val="24"/>
                <w:szCs w:val="24"/>
              </w:rPr>
              <w:t xml:space="preserve">Kā norādīts arī Projekta pielikumā attiecībā uz 2.risinājuma izvēli, pastāv risks, ka aizliegumu uzskaitījums būs nepilnīgs un neaptvers visus gadījumus, kur pastāv atkarības palielināšanas riski vai aizliegs azartspēļu organizēšanas vietu atrašanos vietās, kur noteiktu apsvērumu pēc attiecīgie riski faktiski nepastāv. Tāpat secināts, ka azartspēļu </w:t>
            </w:r>
            <w:r w:rsidRPr="00E6164F">
              <w:rPr>
                <w:sz w:val="24"/>
                <w:szCs w:val="24"/>
              </w:rPr>
              <w:lastRenderedPageBreak/>
              <w:t>organizēšanas vietu augstas pieejamības problemātiku būtiski risina neitrālā vizuālā izskata prasību ieviešana.</w:t>
            </w:r>
          </w:p>
          <w:p w14:paraId="2DD385BD" w14:textId="77777777" w:rsidR="00BF547D" w:rsidRPr="00E6164F" w:rsidRDefault="00BF547D" w:rsidP="00BF547D">
            <w:pPr>
              <w:jc w:val="both"/>
              <w:rPr>
                <w:sz w:val="24"/>
                <w:szCs w:val="24"/>
              </w:rPr>
            </w:pPr>
            <w:r w:rsidRPr="00E6164F">
              <w:rPr>
                <w:sz w:val="24"/>
                <w:szCs w:val="24"/>
              </w:rPr>
              <w:t xml:space="preserve">Projektā skaidrots, ka ietekme uz valsts (pašvaldību) teritoriālā plānojuma aspektiem ir atkarīga no izvēlētajiem Pamatnostādņu rīcības virzienu risinājumiem. Teritoriālās attīstības perspektīva tiks ietekmēta, pieņemot lēmumu par risinājumu azartspēļu fiziskās pieejamības ierobežojumu rīcības virzienā. </w:t>
            </w:r>
          </w:p>
          <w:p w14:paraId="26BE70FD" w14:textId="77777777" w:rsidR="00BF547D" w:rsidRPr="00E6164F" w:rsidRDefault="00BF547D" w:rsidP="00BF547D">
            <w:pPr>
              <w:jc w:val="both"/>
              <w:rPr>
                <w:sz w:val="24"/>
                <w:szCs w:val="24"/>
              </w:rPr>
            </w:pPr>
            <w:r w:rsidRPr="00E6164F">
              <w:rPr>
                <w:sz w:val="24"/>
                <w:szCs w:val="24"/>
              </w:rPr>
              <w:t xml:space="preserve">Tiesu praksē nozīmīgākais kritērijs tam, lai atzītu azartspēļu ierobežošanu noteikta veida ēku tuvumā par pamatotu, ir tas, vai pastāv pietiekams pamats, lai uzskatītu, ka to atrašanās tuvumā attiecīgajai ēkai vai ēkām dēļ var pieaugt zālē nokļuvušo personu skaits, kurām tur nemaz nav bijis nolūks doties. </w:t>
            </w:r>
          </w:p>
          <w:p w14:paraId="73015EC4" w14:textId="77777777" w:rsidR="00BF547D" w:rsidRPr="00E6164F" w:rsidRDefault="00BF547D" w:rsidP="00BF547D">
            <w:pPr>
              <w:jc w:val="both"/>
              <w:rPr>
                <w:sz w:val="24"/>
                <w:szCs w:val="24"/>
              </w:rPr>
            </w:pPr>
            <w:r w:rsidRPr="00E6164F">
              <w:rPr>
                <w:sz w:val="24"/>
                <w:szCs w:val="24"/>
              </w:rPr>
              <w:t xml:space="preserve">Projektā paredzētā vizuālo ierobežojumu noteikšana azartspēļu zāļu ārējam izskatam un to padarīšana par „neredzamām”, panākot to iekļaušanos pilsētvidē, un iespēja azartspēļu zāļu vizuālo izskatu savienot ar drošas un caurredzamas publiskās telpas veidošanās principiem, ir līdzeklis, kas novērsīs tieši šo problēmu. Proti, azartspēļu vizuālais izskats, kas piesaista pārmērīgu uzmanību, ir viens no iemesliem, kas personām rada impulsīvu un iepriekš neplānotu vēlmi apmeklēt azartspēļu </w:t>
            </w:r>
            <w:r w:rsidRPr="00E6164F">
              <w:rPr>
                <w:sz w:val="24"/>
                <w:szCs w:val="24"/>
              </w:rPr>
              <w:lastRenderedPageBreak/>
              <w:t xml:space="preserve">zāles un spēlēt azartspēles. Tādēļ, nosakot vienotas, saprātīgas un modernas prasības attiecībā uz azartspēļu zāļu vizuālo izskatu, būs iespējams panākt to, ka azartspēļu zāles neatkarīgi no to atrašanās vietas, tostarp attāluma no ievainojamiem objektiem, iekļausies pilsētvidē un vairs nebūs tādas, kas izceļas ar vizuāliem gaismas efektiem un piesaista pārmērīgu uzmanību. Līdz ar to, neatkarīgi no tā, kādu ēku tuvumā azartspēļu zāles atradīsies, tajās impulsīvi nokļuvušo personu skaits ievērojami samazināsies, jo tās vairs nepiesaistīs to personu uzmanību, kuras nebija plānojušas uz tām doties. </w:t>
            </w:r>
          </w:p>
          <w:p w14:paraId="169D82A3" w14:textId="77777777" w:rsidR="00BF547D" w:rsidRPr="00E6164F" w:rsidRDefault="00BF547D" w:rsidP="00BF547D">
            <w:pPr>
              <w:jc w:val="both"/>
              <w:rPr>
                <w:sz w:val="24"/>
                <w:szCs w:val="24"/>
              </w:rPr>
            </w:pPr>
            <w:r w:rsidRPr="00E6164F">
              <w:rPr>
                <w:sz w:val="24"/>
                <w:szCs w:val="24"/>
              </w:rPr>
              <w:t>Projektā paredzētie pasākumi - azartspēļu vietu publiskās ārtelpas vizuālais noformējums, padarot tās “neredzamas” un spēlētāju reģistrācijas ieviešana, kā arī jau ieviestais Pašatteikušos personu reģistrs ir pietiekoši rīki, lai novērstu iepriekš neplānotu vēlmi spēlēt azartspēles, kā arī samazinātu problemātisku azartspēļu spēlēšanas paradumu veidošanos. Šo pasākumu kopuma ieviešana nodrošinās Projektā izvirzīto mērķu sasniegšanu līdzvērtīgi piedāvātajiem ģeogrāfiskajiem ierobežojumiem.</w:t>
            </w:r>
          </w:p>
          <w:p w14:paraId="33A95D64" w14:textId="77777777" w:rsidR="00BF547D" w:rsidRPr="00E6164F" w:rsidRDefault="00BF547D" w:rsidP="00BF547D">
            <w:pPr>
              <w:jc w:val="both"/>
              <w:rPr>
                <w:sz w:val="24"/>
                <w:szCs w:val="24"/>
              </w:rPr>
            </w:pPr>
            <w:r w:rsidRPr="00E6164F">
              <w:rPr>
                <w:sz w:val="24"/>
                <w:szCs w:val="24"/>
              </w:rPr>
              <w:t xml:space="preserve">LSBA kategoriski iebilst pret 2020.gada 20.februāra Projekta saskaņošanas sanāksmē izskanējušo Latvijas Pašvaldību savienības </w:t>
            </w:r>
            <w:r w:rsidRPr="00E6164F">
              <w:rPr>
                <w:sz w:val="24"/>
                <w:szCs w:val="24"/>
              </w:rPr>
              <w:lastRenderedPageBreak/>
              <w:t>priekšlikumu – paredzēt tiesības pašvaldībām noteikt papildu ierobežojumus teritorijas plānojumos.</w:t>
            </w:r>
          </w:p>
          <w:p w14:paraId="03708552" w14:textId="77777777" w:rsidR="00BF547D" w:rsidRPr="00E6164F" w:rsidRDefault="00BF547D" w:rsidP="00BF547D">
            <w:pPr>
              <w:jc w:val="both"/>
              <w:rPr>
                <w:sz w:val="24"/>
                <w:szCs w:val="24"/>
              </w:rPr>
            </w:pPr>
            <w:r w:rsidRPr="00E6164F">
              <w:rPr>
                <w:sz w:val="24"/>
                <w:szCs w:val="24"/>
              </w:rPr>
              <w:t>Atbalstot Projekta pielikumā ietverto 2.risinājumu, sabiedrības viedokli un interešu izvērtējumu, kā arī pamattiesību ierobežojuma atbilstību leģitīmajam mērķim būs izvērtējis likumdevējs.</w:t>
            </w:r>
          </w:p>
          <w:p w14:paraId="0EB752EA" w14:textId="77777777" w:rsidR="00BF547D" w:rsidRPr="00E6164F" w:rsidRDefault="00BF547D" w:rsidP="00BF547D">
            <w:pPr>
              <w:jc w:val="both"/>
              <w:rPr>
                <w:sz w:val="24"/>
                <w:szCs w:val="24"/>
              </w:rPr>
            </w:pPr>
            <w:r w:rsidRPr="00E6164F">
              <w:rPr>
                <w:sz w:val="24"/>
                <w:szCs w:val="24"/>
              </w:rPr>
              <w:t>Likumā “Par izlozēm un azartspēlēm”, kas bija spēkā līdz 31.12.2005., 20.pantā bija noteikts, ka pašvaldības var noteikt teritorijas, kurās nedrīkst atrasties azartspēļu nami (šāda norma bija spēkā jau kopš 1994.gada). Kā atspoguļots Azartspēļu un izložu likuma anotācijā, pie šāda regulējuma ļoti nevienādi tika īstenota pašvaldību loma azartspēļu biznesa regulēšanā. Katrā no pašvaldībām, kura īstenoja minētās tiesības (15 pašvaldības), izvirzītie kritēriji ierobežojumu noteikšanai bija atšķirīgi un mainīgi. Ievērojot minēto, nav pieļaujama situācijas atkārtošanās.</w:t>
            </w:r>
          </w:p>
          <w:p w14:paraId="29F4905C" w14:textId="77777777" w:rsidR="00BF547D" w:rsidRPr="00E6164F" w:rsidRDefault="00BF547D" w:rsidP="00BF547D">
            <w:pPr>
              <w:jc w:val="both"/>
              <w:rPr>
                <w:sz w:val="24"/>
                <w:szCs w:val="24"/>
              </w:rPr>
            </w:pPr>
            <w:r w:rsidRPr="00E6164F">
              <w:rPr>
                <w:sz w:val="24"/>
                <w:szCs w:val="24"/>
              </w:rPr>
              <w:t xml:space="preserve">Uz šo brīdi ir skaidri redzama pašvaldību attieksme pret azartspēlēm – pašvaldības viena pēc otras, neslēpjot faktu, ka uz šādu soli tās ir pamudinājušas izmaiņas azartspēļu nodokļa sadalījumā (pašvaldībām 5% apmērā līdzšinējo 25% vietā), pamatojoties uz sabiedrisko apspriešanu ietvaros izteikto negatīvo viedokli pret azartspēļu zālēm, taču ignorējot iedzīvotāju daļas interesi par </w:t>
            </w:r>
            <w:r w:rsidRPr="00E6164F">
              <w:rPr>
                <w:sz w:val="24"/>
                <w:szCs w:val="24"/>
              </w:rPr>
              <w:lastRenderedPageBreak/>
              <w:t>azartspēlēm, plāno striktus ierobežojumus.</w:t>
            </w:r>
          </w:p>
          <w:p w14:paraId="58A1B8AA" w14:textId="2652D97D" w:rsidR="00BF547D" w:rsidRPr="00E6164F" w:rsidRDefault="00BF547D" w:rsidP="00BF547D">
            <w:pPr>
              <w:jc w:val="both"/>
              <w:rPr>
                <w:rFonts w:eastAsia="Times New Roman"/>
                <w:b/>
                <w:sz w:val="24"/>
                <w:szCs w:val="24"/>
              </w:rPr>
            </w:pPr>
            <w:r w:rsidRPr="00E6164F">
              <w:rPr>
                <w:sz w:val="24"/>
                <w:szCs w:val="24"/>
              </w:rPr>
              <w:t>Kā secināts 2019.gada oktobra GamblingCompliance ziņojumā “Spēļu zāļu regulējums un nelegālo spēļu automātu izplatība Eiropā” , centieni pamatīgi ierobežot vai pilnībā aizliegt spēļu automātus Eiropas galvenajos spēļu automātu tirgos visur bez izņēmuma ir veicinājuši redzamu nelicencētā tirgus aktivitātes pieaugumu un noveduši līdz dārgai un tikai daļēji efektīvai nelegālo automātu apkarošanai.</w:t>
            </w:r>
          </w:p>
        </w:tc>
        <w:tc>
          <w:tcPr>
            <w:tcW w:w="878" w:type="pct"/>
            <w:shd w:val="clear" w:color="auto" w:fill="auto"/>
          </w:tcPr>
          <w:p w14:paraId="4F3642D3" w14:textId="370C163A" w:rsidR="00BF547D" w:rsidRPr="00DE1A22" w:rsidRDefault="00BF547D" w:rsidP="00941E96">
            <w:pPr>
              <w:jc w:val="center"/>
              <w:rPr>
                <w:rFonts w:eastAsia="Times New Roman"/>
                <w:b/>
                <w:bCs/>
                <w:sz w:val="24"/>
                <w:szCs w:val="24"/>
                <w:lang w:eastAsia="lv-LV"/>
              </w:rPr>
            </w:pPr>
            <w:r>
              <w:rPr>
                <w:rFonts w:eastAsia="Times New Roman"/>
                <w:b/>
                <w:bCs/>
                <w:sz w:val="24"/>
                <w:szCs w:val="24"/>
                <w:lang w:eastAsia="lv-LV"/>
              </w:rPr>
              <w:lastRenderedPageBreak/>
              <w:t xml:space="preserve">Pēc 13.01.2021. starpministriju (starpinstitūciju) </w:t>
            </w:r>
            <w:r w:rsidRPr="00541F9F">
              <w:rPr>
                <w:rFonts w:eastAsia="Times New Roman"/>
                <w:bCs/>
                <w:sz w:val="24"/>
                <w:szCs w:val="24"/>
                <w:lang w:eastAsia="lv-LV"/>
              </w:rPr>
              <w:t>sanāksmes nebija iespējams panākt vienošanos</w:t>
            </w:r>
            <w:r w:rsidR="00941E96">
              <w:rPr>
                <w:rFonts w:eastAsia="Times New Roman"/>
                <w:bCs/>
                <w:sz w:val="24"/>
                <w:szCs w:val="24"/>
                <w:lang w:eastAsia="lv-LV"/>
              </w:rPr>
              <w:t>.</w:t>
            </w:r>
          </w:p>
        </w:tc>
        <w:tc>
          <w:tcPr>
            <w:tcW w:w="786" w:type="pct"/>
            <w:shd w:val="clear" w:color="auto" w:fill="auto"/>
          </w:tcPr>
          <w:p w14:paraId="33A62033" w14:textId="77777777" w:rsidR="00BF547D" w:rsidRPr="00E6164F" w:rsidRDefault="00BF547D" w:rsidP="00BF547D">
            <w:pPr>
              <w:jc w:val="center"/>
              <w:rPr>
                <w:b/>
                <w:sz w:val="24"/>
                <w:szCs w:val="24"/>
              </w:rPr>
            </w:pPr>
            <w:r w:rsidRPr="00E6164F">
              <w:rPr>
                <w:b/>
                <w:sz w:val="24"/>
                <w:szCs w:val="24"/>
              </w:rPr>
              <w:t>13.01.2021. starpministriju (starpinstitūciju) sanāksme</w:t>
            </w:r>
          </w:p>
          <w:p w14:paraId="072E1BAC" w14:textId="77777777" w:rsidR="00BF547D" w:rsidRPr="00E6164F" w:rsidRDefault="00BF547D" w:rsidP="00BF547D">
            <w:pPr>
              <w:jc w:val="both"/>
              <w:rPr>
                <w:iCs/>
                <w:sz w:val="24"/>
                <w:szCs w:val="24"/>
              </w:rPr>
            </w:pPr>
          </w:p>
          <w:p w14:paraId="0EE8527B" w14:textId="77777777" w:rsidR="00BF547D" w:rsidRPr="00E6164F" w:rsidRDefault="00BF547D" w:rsidP="00BF547D">
            <w:pPr>
              <w:jc w:val="both"/>
              <w:rPr>
                <w:sz w:val="24"/>
                <w:szCs w:val="24"/>
              </w:rPr>
            </w:pPr>
            <w:r w:rsidRPr="00E6164F">
              <w:rPr>
                <w:iCs/>
                <w:sz w:val="24"/>
                <w:szCs w:val="24"/>
              </w:rPr>
              <w:t>LSBA uztur iebildumu.</w:t>
            </w:r>
          </w:p>
          <w:p w14:paraId="6FAE7629" w14:textId="77777777" w:rsidR="00BF547D" w:rsidRPr="00DE1A22" w:rsidRDefault="00BF547D" w:rsidP="00BF547D">
            <w:pPr>
              <w:spacing w:before="100" w:beforeAutospacing="1" w:after="100" w:afterAutospacing="1"/>
              <w:jc w:val="both"/>
              <w:rPr>
                <w:rFonts w:eastAsia="Times New Roman"/>
                <w:sz w:val="24"/>
                <w:szCs w:val="24"/>
                <w:lang w:eastAsia="lv-LV"/>
              </w:rPr>
            </w:pPr>
          </w:p>
        </w:tc>
        <w:tc>
          <w:tcPr>
            <w:tcW w:w="832" w:type="pct"/>
            <w:shd w:val="clear" w:color="auto" w:fill="auto"/>
          </w:tcPr>
          <w:p w14:paraId="0DC9F886" w14:textId="02CEA50F" w:rsidR="00BF547D" w:rsidRPr="00BF547D" w:rsidRDefault="00BF547D" w:rsidP="00BF547D">
            <w:pPr>
              <w:contextualSpacing/>
              <w:jc w:val="both"/>
              <w:rPr>
                <w:sz w:val="24"/>
                <w:szCs w:val="24"/>
              </w:rPr>
            </w:pPr>
            <w:r w:rsidRPr="00BF547D">
              <w:rPr>
                <w:sz w:val="24"/>
                <w:szCs w:val="24"/>
              </w:rPr>
              <w:t xml:space="preserve">Pamatnostādņu </w:t>
            </w:r>
            <w:r w:rsidRPr="00BF547D">
              <w:rPr>
                <w:b/>
                <w:sz w:val="24"/>
                <w:szCs w:val="24"/>
              </w:rPr>
              <w:t>4.sadaļas 3.rīcības virziena</w:t>
            </w:r>
            <w:r w:rsidRPr="00BF547D">
              <w:rPr>
                <w:sz w:val="24"/>
                <w:szCs w:val="24"/>
              </w:rPr>
              <w:t xml:space="preserve"> “</w:t>
            </w:r>
            <w:r w:rsidRPr="00BF547D">
              <w:rPr>
                <w:bCs/>
                <w:sz w:val="24"/>
                <w:szCs w:val="24"/>
              </w:rPr>
              <w:t>Azartspēļu un izložu pieejamības regulēšana</w:t>
            </w:r>
            <w:r w:rsidRPr="00BF547D">
              <w:rPr>
                <w:sz w:val="24"/>
                <w:szCs w:val="24"/>
              </w:rPr>
              <w:t>”</w:t>
            </w:r>
            <w:r>
              <w:rPr>
                <w:sz w:val="24"/>
                <w:szCs w:val="24"/>
                <w:u w:val="single"/>
              </w:rPr>
              <w:t xml:space="preserve"> </w:t>
            </w:r>
            <w:r w:rsidRPr="00BF547D">
              <w:rPr>
                <w:b/>
                <w:sz w:val="24"/>
                <w:szCs w:val="24"/>
              </w:rPr>
              <w:t>1.uzdevums</w:t>
            </w:r>
            <w:r w:rsidRPr="00BF547D">
              <w:rPr>
                <w:sz w:val="24"/>
                <w:szCs w:val="24"/>
              </w:rPr>
              <w:t>:</w:t>
            </w:r>
            <w:r>
              <w:rPr>
                <w:sz w:val="24"/>
                <w:szCs w:val="24"/>
              </w:rPr>
              <w:t xml:space="preserve"> “</w:t>
            </w:r>
            <w:r w:rsidRPr="00BF547D">
              <w:rPr>
                <w:sz w:val="24"/>
                <w:szCs w:val="24"/>
              </w:rPr>
              <w:t xml:space="preserve">Paplašināt to vietu uzskaitījumu, kur aizliegts organizēt azartspēles, paredzot lēmuma pieņemšanu par azartspēļu organizēšanu tikai valsts līmenī. </w:t>
            </w:r>
          </w:p>
          <w:p w14:paraId="1A8B5D0D" w14:textId="77777777" w:rsidR="008D5336" w:rsidRPr="008D5336" w:rsidRDefault="008D5336" w:rsidP="008D5336">
            <w:pPr>
              <w:contextualSpacing/>
              <w:jc w:val="both"/>
              <w:rPr>
                <w:sz w:val="24"/>
                <w:szCs w:val="24"/>
              </w:rPr>
            </w:pPr>
            <w:r w:rsidRPr="00C54939">
              <w:rPr>
                <w:sz w:val="24"/>
                <w:szCs w:val="24"/>
              </w:rPr>
              <w:t xml:space="preserve">Normatīvajos aktos noteikt šādus papildu kritērijus jaunu </w:t>
            </w:r>
            <w:r w:rsidRPr="00C54939">
              <w:rPr>
                <w:sz w:val="24"/>
                <w:szCs w:val="24"/>
              </w:rPr>
              <w:lastRenderedPageBreak/>
              <w:t>azartspēļu vietu atvēršanai, nosakot, ka aizliegts organizēt azartspēles:</w:t>
            </w:r>
          </w:p>
          <w:p w14:paraId="4A2C3DA7" w14:textId="77777777" w:rsidR="00BF547D" w:rsidRPr="00BF547D" w:rsidRDefault="00BF547D" w:rsidP="00BF547D">
            <w:pPr>
              <w:pStyle w:val="ListParagraph"/>
              <w:spacing w:line="240" w:lineRule="auto"/>
              <w:ind w:left="0" w:firstLine="734"/>
              <w:jc w:val="both"/>
              <w:rPr>
                <w:rFonts w:ascii="Times New Roman" w:hAnsi="Times New Roman"/>
                <w:sz w:val="24"/>
                <w:szCs w:val="24"/>
              </w:rPr>
            </w:pPr>
            <w:r w:rsidRPr="00BF547D">
              <w:rPr>
                <w:rFonts w:ascii="Times New Roman" w:hAnsi="Times New Roman"/>
                <w:sz w:val="24"/>
                <w:szCs w:val="24"/>
              </w:rPr>
              <w:t>a) ēkās vai būvēs, kur izvietotas pirmsskolas izglītības iestādes, pamata un vidējās izglītības iestādes un 250 metru attālumā/ perimetrā no to ieejas;</w:t>
            </w:r>
          </w:p>
          <w:p w14:paraId="1E460FA7" w14:textId="77777777" w:rsidR="00BF547D" w:rsidRPr="00BF547D" w:rsidRDefault="00BF547D" w:rsidP="00BF547D">
            <w:pPr>
              <w:pStyle w:val="ListParagraph"/>
              <w:spacing w:line="240" w:lineRule="auto"/>
              <w:ind w:left="0" w:firstLine="734"/>
              <w:jc w:val="both"/>
              <w:rPr>
                <w:rFonts w:ascii="Times New Roman" w:hAnsi="Times New Roman"/>
                <w:sz w:val="24"/>
                <w:szCs w:val="24"/>
              </w:rPr>
            </w:pPr>
            <w:r w:rsidRPr="00BF547D">
              <w:rPr>
                <w:rFonts w:ascii="Times New Roman" w:hAnsi="Times New Roman"/>
                <w:sz w:val="24"/>
                <w:szCs w:val="24"/>
              </w:rPr>
              <w:t>b) publiskos spēļu un rekreācijas laukumos</w:t>
            </w:r>
            <w:r w:rsidRPr="00BF547D">
              <w:rPr>
                <w:rFonts w:ascii="Times New Roman" w:hAnsi="Times New Roman"/>
                <w:sz w:val="24"/>
                <w:szCs w:val="24"/>
                <w:shd w:val="clear" w:color="auto" w:fill="FFFFFF"/>
              </w:rPr>
              <w:t xml:space="preserve"> </w:t>
            </w:r>
            <w:r w:rsidRPr="00BF547D">
              <w:rPr>
                <w:rFonts w:ascii="Times New Roman" w:hAnsi="Times New Roman"/>
                <w:sz w:val="24"/>
                <w:szCs w:val="24"/>
              </w:rPr>
              <w:t>(termins “publiskais spēļu un rekreācijas laukums” tiek lietots 2020.gada 7.janvāra Ministru kabineta noteikumu Nr. 18 “</w:t>
            </w:r>
            <w:r w:rsidRPr="00BF547D">
              <w:rPr>
                <w:rFonts w:ascii="Times New Roman" w:hAnsi="Times New Roman"/>
                <w:sz w:val="24"/>
                <w:szCs w:val="24"/>
                <w:shd w:val="clear" w:color="auto" w:fill="FFFFFF"/>
              </w:rPr>
              <w:t>Spēļu un rekreācijas laukumu drošuma noteikumi</w:t>
            </w:r>
            <w:r w:rsidRPr="00BF547D">
              <w:rPr>
                <w:rFonts w:ascii="Times New Roman" w:hAnsi="Times New Roman"/>
                <w:sz w:val="24"/>
                <w:szCs w:val="24"/>
              </w:rPr>
              <w:t xml:space="preserve">” izpratnē) un 250 metru attālumā/ perimetrā no to ieejas; </w:t>
            </w:r>
          </w:p>
          <w:p w14:paraId="12F7F71D" w14:textId="24E6FDF9" w:rsidR="00BF547D" w:rsidRPr="00BF547D" w:rsidRDefault="00BF547D" w:rsidP="00BF547D">
            <w:pPr>
              <w:contextualSpacing/>
              <w:jc w:val="both"/>
              <w:rPr>
                <w:sz w:val="24"/>
                <w:szCs w:val="24"/>
              </w:rPr>
            </w:pPr>
            <w:r w:rsidRPr="00BF547D">
              <w:rPr>
                <w:sz w:val="24"/>
                <w:szCs w:val="24"/>
              </w:rPr>
              <w:t>c) dzīvojamās ēkās ārpus Rīgas centra un tā aizsardzības zonas, kā arī dzīvojamās ēkās citās Latvijas pilsētās.</w:t>
            </w:r>
            <w:r>
              <w:rPr>
                <w:sz w:val="24"/>
                <w:szCs w:val="24"/>
              </w:rPr>
              <w:t>”.</w:t>
            </w:r>
          </w:p>
        </w:tc>
      </w:tr>
      <w:tr w:rsidR="00373B61" w:rsidRPr="00DE1A22" w14:paraId="6E86C5E4" w14:textId="77777777" w:rsidTr="00F64F1D">
        <w:tc>
          <w:tcPr>
            <w:tcW w:w="230" w:type="pct"/>
          </w:tcPr>
          <w:p w14:paraId="15FC2D48" w14:textId="6025EC10" w:rsidR="00373B61" w:rsidRDefault="00373B61" w:rsidP="00373B61">
            <w:pPr>
              <w:spacing w:before="100" w:beforeAutospacing="1" w:after="100" w:afterAutospacing="1"/>
              <w:jc w:val="center"/>
              <w:rPr>
                <w:rFonts w:eastAsia="Times New Roman"/>
                <w:sz w:val="24"/>
                <w:szCs w:val="24"/>
                <w:lang w:eastAsia="lv-LV"/>
              </w:rPr>
            </w:pPr>
            <w:r>
              <w:rPr>
                <w:rFonts w:eastAsia="Times New Roman"/>
                <w:sz w:val="24"/>
                <w:szCs w:val="24"/>
                <w:lang w:eastAsia="lv-LV"/>
              </w:rPr>
              <w:lastRenderedPageBreak/>
              <w:t>1</w:t>
            </w:r>
            <w:r w:rsidR="00270AF9">
              <w:rPr>
                <w:rFonts w:eastAsia="Times New Roman"/>
                <w:sz w:val="24"/>
                <w:szCs w:val="24"/>
                <w:lang w:eastAsia="lv-LV"/>
              </w:rPr>
              <w:t>5</w:t>
            </w:r>
            <w:r>
              <w:rPr>
                <w:rFonts w:eastAsia="Times New Roman"/>
                <w:sz w:val="24"/>
                <w:szCs w:val="24"/>
                <w:lang w:eastAsia="lv-LV"/>
              </w:rPr>
              <w:t>.</w:t>
            </w:r>
          </w:p>
        </w:tc>
        <w:tc>
          <w:tcPr>
            <w:tcW w:w="934" w:type="pct"/>
            <w:shd w:val="clear" w:color="auto" w:fill="auto"/>
          </w:tcPr>
          <w:p w14:paraId="1E4BAB0C" w14:textId="77777777" w:rsidR="00373B61" w:rsidRPr="00E6164F" w:rsidRDefault="00373B61" w:rsidP="00373B61">
            <w:pPr>
              <w:jc w:val="both"/>
              <w:rPr>
                <w:sz w:val="24"/>
                <w:szCs w:val="24"/>
              </w:rPr>
            </w:pPr>
            <w:r w:rsidRPr="00BF547D">
              <w:rPr>
                <w:sz w:val="24"/>
                <w:szCs w:val="24"/>
              </w:rPr>
              <w:t xml:space="preserve">Pamatnostādņu </w:t>
            </w:r>
            <w:r w:rsidRPr="00BF547D">
              <w:rPr>
                <w:b/>
                <w:sz w:val="24"/>
                <w:szCs w:val="24"/>
              </w:rPr>
              <w:t>4.sadaļas 3.rīcības virziena</w:t>
            </w:r>
            <w:r w:rsidRPr="00BF547D">
              <w:rPr>
                <w:sz w:val="24"/>
                <w:szCs w:val="24"/>
              </w:rPr>
              <w:t xml:space="preserve"> “</w:t>
            </w:r>
            <w:r w:rsidRPr="00BF547D">
              <w:rPr>
                <w:bCs/>
                <w:sz w:val="24"/>
                <w:szCs w:val="24"/>
              </w:rPr>
              <w:t>Azartspēļu un izložu pieejamības regulēšana</w:t>
            </w:r>
            <w:r w:rsidRPr="00BF547D">
              <w:rPr>
                <w:sz w:val="24"/>
                <w:szCs w:val="24"/>
              </w:rPr>
              <w:t>”</w:t>
            </w:r>
            <w:r>
              <w:rPr>
                <w:sz w:val="24"/>
                <w:szCs w:val="24"/>
                <w:u w:val="single"/>
              </w:rPr>
              <w:t xml:space="preserve"> </w:t>
            </w:r>
            <w:r w:rsidRPr="00BF547D">
              <w:rPr>
                <w:b/>
                <w:sz w:val="24"/>
                <w:szCs w:val="24"/>
              </w:rPr>
              <w:t>1.uzdevums</w:t>
            </w:r>
            <w:r w:rsidRPr="00BF547D">
              <w:rPr>
                <w:sz w:val="24"/>
                <w:szCs w:val="24"/>
              </w:rPr>
              <w:t>:</w:t>
            </w:r>
            <w:r w:rsidRPr="00E6164F">
              <w:rPr>
                <w:sz w:val="24"/>
                <w:szCs w:val="24"/>
              </w:rPr>
              <w:t xml:space="preserve"> “Paplašināt to vietu uzskaitījumu, kur aizliegts organizēt azartspēles, paredzot lēmuma pieņemšanu par azartspēļu organizēšanu tikai valsts līmenī. </w:t>
            </w:r>
          </w:p>
          <w:p w14:paraId="57EDA32E" w14:textId="77777777" w:rsidR="00373B61" w:rsidRPr="00E6164F" w:rsidRDefault="00373B61" w:rsidP="00373B61">
            <w:pPr>
              <w:jc w:val="both"/>
              <w:rPr>
                <w:sz w:val="24"/>
                <w:szCs w:val="24"/>
              </w:rPr>
            </w:pPr>
            <w:r w:rsidRPr="00E6164F">
              <w:rPr>
                <w:sz w:val="24"/>
                <w:szCs w:val="24"/>
              </w:rPr>
              <w:t>Normatīvajos aktos noteikt šādus papildu kritērijus, vietām, kur aizliegts organizēt azartspēles:</w:t>
            </w:r>
          </w:p>
          <w:p w14:paraId="529A0D6A" w14:textId="77777777" w:rsidR="00373B61" w:rsidRPr="00E6164F" w:rsidRDefault="00373B61" w:rsidP="00373B61">
            <w:pPr>
              <w:jc w:val="both"/>
              <w:rPr>
                <w:sz w:val="24"/>
                <w:szCs w:val="24"/>
              </w:rPr>
            </w:pPr>
            <w:r w:rsidRPr="00E6164F">
              <w:rPr>
                <w:sz w:val="24"/>
                <w:szCs w:val="24"/>
              </w:rPr>
              <w:t>a) ēkās vai būvēs, kur izvietotas pirmsskolas izglītības iestādes, pamata un vidējās izglītības iestādes un 250 metru attālumā/ perimetrā no to ieejas;</w:t>
            </w:r>
          </w:p>
          <w:p w14:paraId="7B017AAA" w14:textId="77777777" w:rsidR="00373B61" w:rsidRPr="00E6164F" w:rsidRDefault="00373B61" w:rsidP="00373B61">
            <w:pPr>
              <w:jc w:val="both"/>
              <w:rPr>
                <w:sz w:val="24"/>
                <w:szCs w:val="24"/>
              </w:rPr>
            </w:pPr>
            <w:r w:rsidRPr="00E6164F">
              <w:rPr>
                <w:sz w:val="24"/>
                <w:szCs w:val="24"/>
              </w:rPr>
              <w:lastRenderedPageBreak/>
              <w:t xml:space="preserve">b) publiskos spēļu un rekreācijas laukumos (termins “publiskais spēļu un rekreācijas laukums” tiek lietots 2020.gada 7.janvāra Ministru kabineta noteikumu Nr. 18 “Spēļu un rekreācijas laukumu drošuma noteikumi” izpratnē) un 250 metru attālumā/ perimetrā no to ieejas; </w:t>
            </w:r>
          </w:p>
          <w:p w14:paraId="0661D5E3" w14:textId="02CBBFD3" w:rsidR="00373B61" w:rsidRPr="00E6164F" w:rsidRDefault="00373B61" w:rsidP="00373B61">
            <w:pPr>
              <w:jc w:val="both"/>
              <w:rPr>
                <w:sz w:val="24"/>
                <w:szCs w:val="24"/>
              </w:rPr>
            </w:pPr>
            <w:r w:rsidRPr="00E6164F">
              <w:rPr>
                <w:sz w:val="24"/>
                <w:szCs w:val="24"/>
              </w:rPr>
              <w:t>c) dzīvojamās ēkās ārpus Rīgas centra un tā aizsardzības zonas, kā arī dzīvojamās ēkās citās Latvijas pilsētās.”.</w:t>
            </w:r>
          </w:p>
        </w:tc>
        <w:tc>
          <w:tcPr>
            <w:tcW w:w="1340" w:type="pct"/>
            <w:shd w:val="clear" w:color="auto" w:fill="auto"/>
          </w:tcPr>
          <w:p w14:paraId="7239CC1D" w14:textId="77777777" w:rsidR="00373B61" w:rsidRDefault="00373B61" w:rsidP="00373B61">
            <w:pPr>
              <w:jc w:val="center"/>
              <w:rPr>
                <w:b/>
                <w:bCs/>
                <w:sz w:val="24"/>
                <w:szCs w:val="24"/>
              </w:rPr>
            </w:pPr>
            <w:r w:rsidRPr="00E6164F">
              <w:rPr>
                <w:b/>
                <w:bCs/>
                <w:sz w:val="24"/>
                <w:szCs w:val="24"/>
              </w:rPr>
              <w:lastRenderedPageBreak/>
              <w:t>Latvijas Pašvaldību savienība</w:t>
            </w:r>
          </w:p>
          <w:p w14:paraId="3B4E535B" w14:textId="77777777" w:rsidR="00373B61" w:rsidRDefault="00373B61" w:rsidP="00373B61">
            <w:pPr>
              <w:jc w:val="center"/>
              <w:rPr>
                <w:b/>
                <w:bCs/>
                <w:sz w:val="24"/>
                <w:szCs w:val="24"/>
              </w:rPr>
            </w:pPr>
            <w:r>
              <w:rPr>
                <w:b/>
                <w:bCs/>
                <w:sz w:val="24"/>
                <w:szCs w:val="24"/>
              </w:rPr>
              <w:t>(LPS)</w:t>
            </w:r>
          </w:p>
          <w:p w14:paraId="5ADD9E30" w14:textId="41497D07" w:rsidR="00373B61" w:rsidRPr="00E6164F" w:rsidRDefault="00373B61" w:rsidP="00373B61">
            <w:pPr>
              <w:jc w:val="center"/>
              <w:rPr>
                <w:b/>
                <w:bCs/>
                <w:sz w:val="24"/>
                <w:szCs w:val="24"/>
              </w:rPr>
            </w:pPr>
            <w:r w:rsidRPr="00E6164F">
              <w:rPr>
                <w:b/>
                <w:bCs/>
                <w:sz w:val="24"/>
                <w:szCs w:val="24"/>
              </w:rPr>
              <w:t xml:space="preserve"> (11.03.2020. Nr.202003/INIC143)</w:t>
            </w:r>
          </w:p>
          <w:p w14:paraId="030A6C56" w14:textId="77777777" w:rsidR="00373B61" w:rsidRPr="00E6164F" w:rsidRDefault="00373B61" w:rsidP="00373B61">
            <w:pPr>
              <w:jc w:val="both"/>
              <w:rPr>
                <w:bCs/>
                <w:sz w:val="24"/>
                <w:szCs w:val="24"/>
              </w:rPr>
            </w:pPr>
            <w:r w:rsidRPr="00E6164F">
              <w:rPr>
                <w:bCs/>
                <w:sz w:val="24"/>
                <w:szCs w:val="24"/>
              </w:rPr>
              <w:t xml:space="preserve">Finanšu ministrija, izvērtējot nepieciešamās izmaiņas azartspēļu un izložu pieejamībā, darbības vietās un to regulēšanā, Pamatnostādņu projekta pielikumā apskata divus risinājumus, kā varētu ierobežot iedzīvotāju fizisko piekļuvi azartspēļu organizēšanas norises vietām, un par atbilstošāko uzskata 2.risinājumu. Attiecīgi Pamatnostādņu projektā doti uzdevumi: 1) paplašināt to vietu uzskaitījumu, kur aizliegts organizēt azartspēles, paredzot lēmuma pieņemšanu par azartspēļu organizēšanu tikai valsts līmenī; 2) izstrādāt kārtību, kādā Izložu un azartspēļu uzraudzības inspekcija (IAUI) izvērtē azartspēļu organizēšanas vietas atbilstību “Azartspēļu un izložu </w:t>
            </w:r>
            <w:r w:rsidRPr="00E6164F">
              <w:rPr>
                <w:bCs/>
                <w:sz w:val="24"/>
                <w:szCs w:val="24"/>
              </w:rPr>
              <w:lastRenderedPageBreak/>
              <w:t>likuma” (AIL) prasībām un izsniedz attiecīgās atļaujas.</w:t>
            </w:r>
          </w:p>
          <w:p w14:paraId="41EACB00" w14:textId="77777777" w:rsidR="00373B61" w:rsidRPr="00E6164F" w:rsidRDefault="00373B61" w:rsidP="00373B61">
            <w:pPr>
              <w:jc w:val="both"/>
              <w:rPr>
                <w:bCs/>
                <w:sz w:val="24"/>
                <w:szCs w:val="24"/>
              </w:rPr>
            </w:pPr>
            <w:r w:rsidRPr="00E6164F">
              <w:rPr>
                <w:bCs/>
                <w:sz w:val="24"/>
                <w:szCs w:val="24"/>
              </w:rPr>
              <w:t xml:space="preserve">LPS ieskatā 2.risinājuma variants nav vērsts uz maksimālo sabiedrības interešu aizsardzību un atkarības veidošanas risku mazināšanos, kā arī tajā netiek līdzsvarotas sabiedrības intereses. Tieši pretēji: risinājums, kurā vērtē tikai valstiskā līmenī noteiktos vispārējos aizliegumus un neņem vērā vietējos apstākļus katrā teritorijā, ir vērsts uz sabiedrības interešu aizsardzības mazināšanu un atkarības veidošanās risku palielināšanu, un vislielākie ieguvēji no šāda risinājuma ir tieši azartspēļu vietu organizētāji. </w:t>
            </w:r>
          </w:p>
          <w:p w14:paraId="677A9BD6" w14:textId="77777777" w:rsidR="00373B61" w:rsidRPr="00E6164F" w:rsidRDefault="00373B61" w:rsidP="00373B61">
            <w:pPr>
              <w:jc w:val="both"/>
              <w:rPr>
                <w:bCs/>
                <w:sz w:val="24"/>
                <w:szCs w:val="24"/>
              </w:rPr>
            </w:pPr>
            <w:r w:rsidRPr="00E6164F">
              <w:rPr>
                <w:bCs/>
                <w:sz w:val="24"/>
                <w:szCs w:val="24"/>
              </w:rPr>
              <w:t xml:space="preserve">Saskaņā ar Eiropas Savienības Tiesas iedibināto judikatūru (19.07.2012. spriedumu lietā Nr.C-470/11 Garkalns 36. punkts, 03.06.2010. spriedums lietā C-203/08 Sportig Exchange Ltd. 26. punkts, 2007. gada apvienotās lietas C-338/04, C-359/04 un C-360/04 Placanica 47. un 48 punkts u.c.) azartspēļu tiesiskais regulējums ir viena no jomām, kurās dalībvalstu starpā pastāv ievērojamas atšķirības morāles, reliģijas un kultūras aspektos. Ievērojot, ka azartspēles katrā Eiropas Savienības dalībvalstī tiek regulētas atšķirīgi, kā arī regulējums var atšķirties valsts iekšienē reģionālā līmenī, nav pamatots apgalvojums, ka 2. risinājums ir balstīts uz starptautiskiem labākas prakses piemēriem, kas ir vērsti uz maksimālo sabiedrības interešu aizsardzību un </w:t>
            </w:r>
            <w:r w:rsidRPr="00E6164F">
              <w:rPr>
                <w:bCs/>
                <w:sz w:val="24"/>
                <w:szCs w:val="24"/>
              </w:rPr>
              <w:lastRenderedPageBreak/>
              <w:t xml:space="preserve">atkarības veidošanas risku mazināšanos. </w:t>
            </w:r>
          </w:p>
          <w:p w14:paraId="65B9539B" w14:textId="77777777" w:rsidR="00373B61" w:rsidRPr="00E6164F" w:rsidRDefault="00373B61" w:rsidP="00373B61">
            <w:pPr>
              <w:jc w:val="both"/>
              <w:rPr>
                <w:bCs/>
                <w:sz w:val="24"/>
                <w:szCs w:val="24"/>
              </w:rPr>
            </w:pPr>
            <w:r w:rsidRPr="00E6164F">
              <w:rPr>
                <w:bCs/>
                <w:sz w:val="24"/>
                <w:szCs w:val="24"/>
              </w:rPr>
              <w:t>Otrkārt, piedāvājums izslēgt AIL 42.panta trešo daļu neatbilst ne Eiropas vietējo pašvaldību hartas principiem, ne likumam “Par pašvaldībām”. Vēlamies atgādināt, ka saskaņā ar Hartā noteikto vietējā pašvaldība nozīmē vietējās varas tiesības un spēju likumā noteiktajās robežās regulēt un vadīt nozīmīgu valsts lietu daļu uz savu atbildību un vietējo iedzīvotāju interesēs. Savukārt likums “Par pašvaldībām” nosaka, ka “vietējā pašvaldība ir vietējā pārvalde, kas ar pilsoņu vēlētas pārstāvniecības – domes – [..] nodrošina likumos noteikto funkciju [..] un pašvaldības brīvprātīgo iniciatīvu izpildi, ievērojot valsts un attiecīgās administratīvās teritorijas iedzīvotāju intereses”. Vietējā pašvaldība ir izveidota ar mērķi pārstāvēt sabiedrības intereses noteiktā teritorijā un veikt savas funkcijas saskaņā ar tiesisko regulējumu.</w:t>
            </w:r>
          </w:p>
          <w:p w14:paraId="72572351" w14:textId="11C94C9C" w:rsidR="00373B61" w:rsidRPr="00E6164F" w:rsidRDefault="00373B61" w:rsidP="00373B61">
            <w:pPr>
              <w:jc w:val="both"/>
              <w:rPr>
                <w:bCs/>
                <w:sz w:val="24"/>
                <w:szCs w:val="24"/>
              </w:rPr>
            </w:pPr>
            <w:r w:rsidRPr="00E6164F">
              <w:rPr>
                <w:bCs/>
                <w:sz w:val="24"/>
                <w:szCs w:val="24"/>
              </w:rPr>
              <w:t>Līdz ar to LPS ieskatā 2.risinājuma variants tādā redakcijā, kādā to piedāvā Finanšu ministrija, nav atbalstāms.</w:t>
            </w:r>
          </w:p>
        </w:tc>
        <w:tc>
          <w:tcPr>
            <w:tcW w:w="878" w:type="pct"/>
            <w:shd w:val="clear" w:color="auto" w:fill="auto"/>
          </w:tcPr>
          <w:p w14:paraId="13F2C550" w14:textId="673BFC02" w:rsidR="00373B61" w:rsidRPr="00DE1A22" w:rsidRDefault="00373B61" w:rsidP="00941E96">
            <w:pPr>
              <w:jc w:val="center"/>
              <w:rPr>
                <w:rFonts w:eastAsia="Times New Roman"/>
                <w:b/>
                <w:bCs/>
                <w:sz w:val="24"/>
                <w:szCs w:val="24"/>
                <w:lang w:eastAsia="lv-LV"/>
              </w:rPr>
            </w:pPr>
            <w:r>
              <w:rPr>
                <w:rFonts w:eastAsia="Times New Roman"/>
                <w:b/>
                <w:bCs/>
                <w:sz w:val="24"/>
                <w:szCs w:val="24"/>
                <w:lang w:eastAsia="lv-LV"/>
              </w:rPr>
              <w:lastRenderedPageBreak/>
              <w:t xml:space="preserve">Pēc 13.01.2021. starpministriju (starpinstitūciju) </w:t>
            </w:r>
            <w:r w:rsidRPr="00541F9F">
              <w:rPr>
                <w:rFonts w:eastAsia="Times New Roman"/>
                <w:bCs/>
                <w:sz w:val="24"/>
                <w:szCs w:val="24"/>
                <w:lang w:eastAsia="lv-LV"/>
              </w:rPr>
              <w:t>sanāksmes nebija iespējams panākt vienošanos</w:t>
            </w:r>
            <w:r w:rsidR="00941E96">
              <w:rPr>
                <w:rFonts w:eastAsia="Times New Roman"/>
                <w:bCs/>
                <w:sz w:val="24"/>
                <w:szCs w:val="24"/>
                <w:lang w:eastAsia="lv-LV"/>
              </w:rPr>
              <w:t>.</w:t>
            </w:r>
          </w:p>
        </w:tc>
        <w:tc>
          <w:tcPr>
            <w:tcW w:w="786" w:type="pct"/>
            <w:shd w:val="clear" w:color="auto" w:fill="auto"/>
          </w:tcPr>
          <w:p w14:paraId="20F0BAC1" w14:textId="77777777" w:rsidR="00373B61" w:rsidRPr="00E6164F" w:rsidRDefault="00373B61" w:rsidP="00373B61">
            <w:pPr>
              <w:jc w:val="center"/>
              <w:rPr>
                <w:b/>
                <w:sz w:val="24"/>
                <w:szCs w:val="24"/>
              </w:rPr>
            </w:pPr>
            <w:r w:rsidRPr="00E6164F">
              <w:rPr>
                <w:b/>
                <w:sz w:val="24"/>
                <w:szCs w:val="24"/>
              </w:rPr>
              <w:t>13.01.2021. starpministriju (starpinstitūciju) sanāksme</w:t>
            </w:r>
          </w:p>
          <w:p w14:paraId="4E393BDB" w14:textId="77777777" w:rsidR="00373B61" w:rsidRPr="00E6164F" w:rsidRDefault="00373B61" w:rsidP="00373B61">
            <w:pPr>
              <w:jc w:val="both"/>
              <w:rPr>
                <w:sz w:val="24"/>
                <w:szCs w:val="24"/>
              </w:rPr>
            </w:pPr>
          </w:p>
          <w:p w14:paraId="04BA0DD0" w14:textId="77777777" w:rsidR="00373B61" w:rsidRPr="00E6164F" w:rsidRDefault="00373B61" w:rsidP="00373B61">
            <w:pPr>
              <w:jc w:val="both"/>
              <w:rPr>
                <w:sz w:val="24"/>
                <w:szCs w:val="24"/>
              </w:rPr>
            </w:pPr>
            <w:r w:rsidRPr="00E6164F">
              <w:rPr>
                <w:sz w:val="24"/>
                <w:szCs w:val="24"/>
              </w:rPr>
              <w:t>LPS uztur iebildumu. Vienlaikus LPS piedāvā sašaurināt iepriekš izteikto iebildumu, norādot, ka būtu īstenojams iepriekš sniegtā iebilduma 2.risinājums (pašvaldības teritorijas plānojumā nosaka vietas, kurās azartspēļu organizēšana ir aizliegta).</w:t>
            </w:r>
          </w:p>
          <w:p w14:paraId="70B0A273" w14:textId="77777777" w:rsidR="00373B61" w:rsidRPr="00E6164F" w:rsidRDefault="00373B61" w:rsidP="00373B61">
            <w:pPr>
              <w:jc w:val="both"/>
              <w:rPr>
                <w:sz w:val="24"/>
                <w:szCs w:val="24"/>
              </w:rPr>
            </w:pPr>
          </w:p>
          <w:p w14:paraId="63885910" w14:textId="161435AE" w:rsidR="00373B61" w:rsidRPr="00E6164F" w:rsidRDefault="00373B61" w:rsidP="0034598A">
            <w:pPr>
              <w:jc w:val="both"/>
              <w:rPr>
                <w:sz w:val="24"/>
                <w:szCs w:val="24"/>
              </w:rPr>
            </w:pPr>
            <w:r w:rsidRPr="00E6164F">
              <w:rPr>
                <w:sz w:val="24"/>
                <w:szCs w:val="24"/>
              </w:rPr>
              <w:lastRenderedPageBreak/>
              <w:t xml:space="preserve">LDDK </w:t>
            </w:r>
            <w:r w:rsidR="0034598A">
              <w:rPr>
                <w:sz w:val="24"/>
                <w:szCs w:val="24"/>
              </w:rPr>
              <w:t>un</w:t>
            </w:r>
            <w:r w:rsidRPr="00E6164F">
              <w:rPr>
                <w:sz w:val="24"/>
                <w:szCs w:val="24"/>
              </w:rPr>
              <w:t xml:space="preserve"> LTRK atbalsta pamatnostādņu projektā iekļauto 3. rīcības virziena “Azartspēļu un izložu pieejamības regulēšana” 1. uzdevumu, neveicot tajā papildu izmaiņas.</w:t>
            </w:r>
          </w:p>
        </w:tc>
        <w:tc>
          <w:tcPr>
            <w:tcW w:w="832" w:type="pct"/>
            <w:shd w:val="clear" w:color="auto" w:fill="auto"/>
          </w:tcPr>
          <w:p w14:paraId="6B4A592C" w14:textId="77777777" w:rsidR="00373B61" w:rsidRPr="00BF547D" w:rsidRDefault="00373B61" w:rsidP="00373B61">
            <w:pPr>
              <w:contextualSpacing/>
              <w:jc w:val="both"/>
              <w:rPr>
                <w:sz w:val="24"/>
                <w:szCs w:val="24"/>
              </w:rPr>
            </w:pPr>
            <w:r w:rsidRPr="00BF547D">
              <w:rPr>
                <w:sz w:val="24"/>
                <w:szCs w:val="24"/>
              </w:rPr>
              <w:lastRenderedPageBreak/>
              <w:t xml:space="preserve">Pamatnostādņu </w:t>
            </w:r>
            <w:r w:rsidRPr="00BF547D">
              <w:rPr>
                <w:b/>
                <w:sz w:val="24"/>
                <w:szCs w:val="24"/>
              </w:rPr>
              <w:t>4.sadaļas 3.rīcības virziena</w:t>
            </w:r>
            <w:r w:rsidRPr="00BF547D">
              <w:rPr>
                <w:sz w:val="24"/>
                <w:szCs w:val="24"/>
              </w:rPr>
              <w:t xml:space="preserve"> “</w:t>
            </w:r>
            <w:r w:rsidRPr="00BF547D">
              <w:rPr>
                <w:bCs/>
                <w:sz w:val="24"/>
                <w:szCs w:val="24"/>
              </w:rPr>
              <w:t>Azartspēļu un izložu pieejamības regulēšana</w:t>
            </w:r>
            <w:r w:rsidRPr="00BF547D">
              <w:rPr>
                <w:sz w:val="24"/>
                <w:szCs w:val="24"/>
              </w:rPr>
              <w:t>”</w:t>
            </w:r>
            <w:r>
              <w:rPr>
                <w:sz w:val="24"/>
                <w:szCs w:val="24"/>
                <w:u w:val="single"/>
              </w:rPr>
              <w:t xml:space="preserve"> </w:t>
            </w:r>
            <w:r w:rsidRPr="00BF547D">
              <w:rPr>
                <w:b/>
                <w:sz w:val="24"/>
                <w:szCs w:val="24"/>
              </w:rPr>
              <w:t>1.uzdevums</w:t>
            </w:r>
            <w:r w:rsidRPr="00BF547D">
              <w:rPr>
                <w:sz w:val="24"/>
                <w:szCs w:val="24"/>
              </w:rPr>
              <w:t>:</w:t>
            </w:r>
            <w:r>
              <w:rPr>
                <w:sz w:val="24"/>
                <w:szCs w:val="24"/>
              </w:rPr>
              <w:t xml:space="preserve"> “</w:t>
            </w:r>
            <w:r w:rsidRPr="00BF547D">
              <w:rPr>
                <w:sz w:val="24"/>
                <w:szCs w:val="24"/>
              </w:rPr>
              <w:t xml:space="preserve">Paplašināt to vietu uzskaitījumu, kur aizliegts organizēt azartspēles, paredzot lēmuma pieņemšanu par azartspēļu organizēšanu tikai valsts līmenī. </w:t>
            </w:r>
          </w:p>
          <w:p w14:paraId="0881ED76" w14:textId="77777777" w:rsidR="008D5336" w:rsidRPr="008D5336" w:rsidRDefault="008D5336" w:rsidP="008D5336">
            <w:pPr>
              <w:contextualSpacing/>
              <w:jc w:val="both"/>
              <w:rPr>
                <w:sz w:val="24"/>
                <w:szCs w:val="24"/>
              </w:rPr>
            </w:pPr>
            <w:r w:rsidRPr="00C54939">
              <w:rPr>
                <w:sz w:val="24"/>
                <w:szCs w:val="24"/>
              </w:rPr>
              <w:t>Normatīvajos aktos noteikt šādus papildu kritērijus jaunu azartspēļu vietu atvēršanai, nosakot, ka aizliegts organizēt azartspēles:</w:t>
            </w:r>
            <w:bookmarkStart w:id="0" w:name="_GoBack"/>
            <w:bookmarkEnd w:id="0"/>
          </w:p>
          <w:p w14:paraId="5FB7D4B3" w14:textId="77777777" w:rsidR="00373B61" w:rsidRPr="00BF547D" w:rsidRDefault="00373B61" w:rsidP="00373B61">
            <w:pPr>
              <w:pStyle w:val="ListParagraph"/>
              <w:spacing w:line="240" w:lineRule="auto"/>
              <w:ind w:left="0" w:firstLine="734"/>
              <w:jc w:val="both"/>
              <w:rPr>
                <w:rFonts w:ascii="Times New Roman" w:hAnsi="Times New Roman"/>
                <w:sz w:val="24"/>
                <w:szCs w:val="24"/>
              </w:rPr>
            </w:pPr>
            <w:r w:rsidRPr="00BF547D">
              <w:rPr>
                <w:rFonts w:ascii="Times New Roman" w:hAnsi="Times New Roman"/>
                <w:sz w:val="24"/>
                <w:szCs w:val="24"/>
              </w:rPr>
              <w:lastRenderedPageBreak/>
              <w:t>a) ēkās vai būvēs, kur izvietotas pirmsskolas izglītības iestādes, pamata un vidējās izglītības iestādes un 250 metru attālumā/ perimetrā no to ieejas;</w:t>
            </w:r>
          </w:p>
          <w:p w14:paraId="2A67C9F8" w14:textId="77777777" w:rsidR="00373B61" w:rsidRPr="00BF547D" w:rsidRDefault="00373B61" w:rsidP="00373B61">
            <w:pPr>
              <w:pStyle w:val="ListParagraph"/>
              <w:spacing w:line="240" w:lineRule="auto"/>
              <w:ind w:left="0" w:firstLine="734"/>
              <w:jc w:val="both"/>
              <w:rPr>
                <w:rFonts w:ascii="Times New Roman" w:hAnsi="Times New Roman"/>
                <w:sz w:val="24"/>
                <w:szCs w:val="24"/>
              </w:rPr>
            </w:pPr>
            <w:r w:rsidRPr="00BF547D">
              <w:rPr>
                <w:rFonts w:ascii="Times New Roman" w:hAnsi="Times New Roman"/>
                <w:sz w:val="24"/>
                <w:szCs w:val="24"/>
              </w:rPr>
              <w:t>b) publiskos spēļu un rekreācijas laukumos</w:t>
            </w:r>
            <w:r w:rsidRPr="00BF547D">
              <w:rPr>
                <w:rFonts w:ascii="Times New Roman" w:hAnsi="Times New Roman"/>
                <w:sz w:val="24"/>
                <w:szCs w:val="24"/>
                <w:shd w:val="clear" w:color="auto" w:fill="FFFFFF"/>
              </w:rPr>
              <w:t xml:space="preserve"> </w:t>
            </w:r>
            <w:r w:rsidRPr="00BF547D">
              <w:rPr>
                <w:rFonts w:ascii="Times New Roman" w:hAnsi="Times New Roman"/>
                <w:sz w:val="24"/>
                <w:szCs w:val="24"/>
              </w:rPr>
              <w:t>(termins “publiskais spēļu un rekreācijas laukums” tiek lietots 2020.gada 7.janvāra Ministru kabineta noteikumu Nr. 18 “</w:t>
            </w:r>
            <w:r w:rsidRPr="00BF547D">
              <w:rPr>
                <w:rFonts w:ascii="Times New Roman" w:hAnsi="Times New Roman"/>
                <w:sz w:val="24"/>
                <w:szCs w:val="24"/>
                <w:shd w:val="clear" w:color="auto" w:fill="FFFFFF"/>
              </w:rPr>
              <w:t>Spēļu un rekreācijas laukumu drošuma noteikumi</w:t>
            </w:r>
            <w:r w:rsidRPr="00BF547D">
              <w:rPr>
                <w:rFonts w:ascii="Times New Roman" w:hAnsi="Times New Roman"/>
                <w:sz w:val="24"/>
                <w:szCs w:val="24"/>
              </w:rPr>
              <w:t xml:space="preserve">” izpratnē) un 250 metru attālumā/ perimetrā no to ieejas; </w:t>
            </w:r>
          </w:p>
          <w:p w14:paraId="00CDB433" w14:textId="6ABBFAFE" w:rsidR="00373B61" w:rsidRPr="00DE1A22" w:rsidRDefault="00373B61" w:rsidP="00373B61">
            <w:pPr>
              <w:spacing w:after="120"/>
              <w:jc w:val="both"/>
              <w:rPr>
                <w:rFonts w:eastAsia="Times New Roman"/>
                <w:sz w:val="24"/>
                <w:szCs w:val="24"/>
                <w:lang w:eastAsia="lv-LV"/>
              </w:rPr>
            </w:pPr>
            <w:r w:rsidRPr="00BF547D">
              <w:rPr>
                <w:sz w:val="24"/>
                <w:szCs w:val="24"/>
              </w:rPr>
              <w:t>c) dzīvojamās ēkās ārpus Rīgas centra un tā aizsardzības zonas, kā arī dzīvojamās ēkās citās Latvijas pilsētās.</w:t>
            </w:r>
            <w:r>
              <w:rPr>
                <w:sz w:val="24"/>
                <w:szCs w:val="24"/>
              </w:rPr>
              <w:t>”.</w:t>
            </w:r>
          </w:p>
        </w:tc>
      </w:tr>
      <w:tr w:rsidR="00373B61" w:rsidRPr="00DE1A22" w14:paraId="1BD524E3" w14:textId="77777777" w:rsidTr="00F64F1D">
        <w:tc>
          <w:tcPr>
            <w:tcW w:w="230" w:type="pct"/>
          </w:tcPr>
          <w:p w14:paraId="66EA253C" w14:textId="44092778" w:rsidR="00373B61" w:rsidRDefault="00373B61" w:rsidP="00373B61">
            <w:pPr>
              <w:spacing w:before="100" w:beforeAutospacing="1" w:after="100" w:afterAutospacing="1"/>
              <w:jc w:val="center"/>
              <w:rPr>
                <w:rFonts w:eastAsia="Times New Roman"/>
                <w:sz w:val="24"/>
                <w:szCs w:val="24"/>
                <w:lang w:eastAsia="lv-LV"/>
              </w:rPr>
            </w:pPr>
            <w:r>
              <w:rPr>
                <w:rFonts w:eastAsia="Times New Roman"/>
                <w:sz w:val="24"/>
                <w:szCs w:val="24"/>
                <w:lang w:eastAsia="lv-LV"/>
              </w:rPr>
              <w:lastRenderedPageBreak/>
              <w:t>1</w:t>
            </w:r>
            <w:r w:rsidR="00270AF9">
              <w:rPr>
                <w:rFonts w:eastAsia="Times New Roman"/>
                <w:sz w:val="24"/>
                <w:szCs w:val="24"/>
                <w:lang w:eastAsia="lv-LV"/>
              </w:rPr>
              <w:t>6</w:t>
            </w:r>
            <w:r>
              <w:rPr>
                <w:rFonts w:eastAsia="Times New Roman"/>
                <w:sz w:val="24"/>
                <w:szCs w:val="24"/>
                <w:lang w:eastAsia="lv-LV"/>
              </w:rPr>
              <w:t>.</w:t>
            </w:r>
          </w:p>
        </w:tc>
        <w:tc>
          <w:tcPr>
            <w:tcW w:w="934" w:type="pct"/>
            <w:shd w:val="clear" w:color="auto" w:fill="auto"/>
          </w:tcPr>
          <w:p w14:paraId="3FA34BDC" w14:textId="77777777" w:rsidR="00373B61" w:rsidRPr="00E6164F" w:rsidRDefault="00373B61" w:rsidP="00373B61">
            <w:pPr>
              <w:jc w:val="both"/>
              <w:rPr>
                <w:sz w:val="24"/>
                <w:szCs w:val="24"/>
              </w:rPr>
            </w:pPr>
          </w:p>
        </w:tc>
        <w:tc>
          <w:tcPr>
            <w:tcW w:w="1340" w:type="pct"/>
            <w:shd w:val="clear" w:color="auto" w:fill="auto"/>
          </w:tcPr>
          <w:p w14:paraId="21DF6418" w14:textId="77777777" w:rsidR="00373B61" w:rsidRDefault="00373B61" w:rsidP="00373B61">
            <w:pPr>
              <w:jc w:val="center"/>
              <w:rPr>
                <w:rFonts w:eastAsia="Times New Roman"/>
                <w:b/>
                <w:sz w:val="24"/>
                <w:szCs w:val="24"/>
              </w:rPr>
            </w:pPr>
            <w:r w:rsidRPr="00DE1A22">
              <w:rPr>
                <w:rFonts w:eastAsia="Times New Roman"/>
                <w:b/>
                <w:sz w:val="24"/>
                <w:szCs w:val="24"/>
              </w:rPr>
              <w:t xml:space="preserve">Veselības ministrija </w:t>
            </w:r>
          </w:p>
          <w:p w14:paraId="120FAF68" w14:textId="77777777" w:rsidR="00373B61" w:rsidRPr="00DE1A22" w:rsidRDefault="00373B61" w:rsidP="00373B61">
            <w:pPr>
              <w:jc w:val="center"/>
              <w:rPr>
                <w:rFonts w:eastAsia="Times New Roman"/>
                <w:b/>
                <w:sz w:val="24"/>
                <w:szCs w:val="24"/>
              </w:rPr>
            </w:pPr>
            <w:r w:rsidRPr="00DE1A22">
              <w:rPr>
                <w:rFonts w:eastAsia="Times New Roman"/>
                <w:b/>
                <w:sz w:val="24"/>
                <w:szCs w:val="24"/>
              </w:rPr>
              <w:t>(02.03.2020. Nr.01-09/1090)</w:t>
            </w:r>
          </w:p>
          <w:p w14:paraId="76A20153" w14:textId="7EC8F594" w:rsidR="00373B61" w:rsidRPr="00E6164F" w:rsidRDefault="00373B61" w:rsidP="00373B61">
            <w:pPr>
              <w:jc w:val="both"/>
              <w:rPr>
                <w:b/>
                <w:bCs/>
                <w:sz w:val="24"/>
                <w:szCs w:val="24"/>
              </w:rPr>
            </w:pPr>
            <w:r w:rsidRPr="00DE1A22">
              <w:rPr>
                <w:rFonts w:eastAsia="Times New Roman"/>
                <w:sz w:val="24"/>
                <w:szCs w:val="24"/>
              </w:rPr>
              <w:t xml:space="preserve">Veselības ministrija konceptuāli atbalsta lēmumu pieņemšanas centralizāciju valsts līmenī par azartspēļu organizēšanu. </w:t>
            </w:r>
            <w:r w:rsidRPr="00DE1A22">
              <w:rPr>
                <w:rFonts w:eastAsia="Times New Roman"/>
                <w:b/>
                <w:sz w:val="24"/>
                <w:szCs w:val="24"/>
              </w:rPr>
              <w:t xml:space="preserve">Taču vienlaikus lūdzam iekļaut kritēriju, ka lēmums par atļauju azartspēļu organizēšanas vietai tiek saskaņots ar </w:t>
            </w:r>
            <w:r w:rsidRPr="00DE1A22">
              <w:rPr>
                <w:rFonts w:eastAsia="Times New Roman"/>
                <w:b/>
                <w:sz w:val="24"/>
                <w:szCs w:val="24"/>
              </w:rPr>
              <w:lastRenderedPageBreak/>
              <w:t>konkrēto pašvaldību, kā arī tiek noteikti stingrāki kritēriji ierobežojumiem (piemēram, lielākas distances)</w:t>
            </w:r>
            <w:r w:rsidRPr="00DE1A22">
              <w:rPr>
                <w:rFonts w:eastAsia="Times New Roman"/>
                <w:sz w:val="24"/>
                <w:szCs w:val="24"/>
              </w:rPr>
              <w:t>, ņemot vērā, ka pašvaldību funkcija ir iedzīvotāju veselīga dzīvesveida veicināšana, t.sk. procesu atkarību mazināšana.</w:t>
            </w:r>
          </w:p>
        </w:tc>
        <w:tc>
          <w:tcPr>
            <w:tcW w:w="878" w:type="pct"/>
            <w:shd w:val="clear" w:color="auto" w:fill="auto"/>
          </w:tcPr>
          <w:p w14:paraId="33CF3E0C" w14:textId="7E189384" w:rsidR="00373B61" w:rsidRDefault="00373B61" w:rsidP="00373B61">
            <w:pPr>
              <w:jc w:val="center"/>
              <w:rPr>
                <w:rFonts w:eastAsia="Times New Roman"/>
                <w:bCs/>
                <w:sz w:val="24"/>
                <w:szCs w:val="24"/>
                <w:lang w:eastAsia="lv-LV"/>
              </w:rPr>
            </w:pPr>
            <w:r>
              <w:rPr>
                <w:rFonts w:eastAsia="Times New Roman"/>
                <w:b/>
                <w:bCs/>
                <w:sz w:val="24"/>
                <w:szCs w:val="24"/>
                <w:lang w:eastAsia="lv-LV"/>
              </w:rPr>
              <w:lastRenderedPageBreak/>
              <w:t xml:space="preserve">Pēc 13.01.2021. starpministriju (starpinstitūciju) </w:t>
            </w:r>
            <w:r w:rsidRPr="00541F9F">
              <w:rPr>
                <w:rFonts w:eastAsia="Times New Roman"/>
                <w:bCs/>
                <w:sz w:val="24"/>
                <w:szCs w:val="24"/>
                <w:lang w:eastAsia="lv-LV"/>
              </w:rPr>
              <w:t>sanāksmes nebija iespējams panākt vienošanos</w:t>
            </w:r>
            <w:r w:rsidR="00941E96">
              <w:rPr>
                <w:rFonts w:eastAsia="Times New Roman"/>
                <w:bCs/>
                <w:sz w:val="24"/>
                <w:szCs w:val="24"/>
                <w:lang w:eastAsia="lv-LV"/>
              </w:rPr>
              <w:t>.</w:t>
            </w:r>
          </w:p>
          <w:p w14:paraId="1CFB0E6D" w14:textId="77777777" w:rsidR="00373B61" w:rsidRDefault="00373B61" w:rsidP="00373B61">
            <w:pPr>
              <w:jc w:val="center"/>
              <w:rPr>
                <w:rFonts w:eastAsia="Times New Roman"/>
                <w:b/>
                <w:bCs/>
                <w:sz w:val="24"/>
                <w:szCs w:val="24"/>
                <w:lang w:eastAsia="lv-LV"/>
              </w:rPr>
            </w:pPr>
          </w:p>
          <w:p w14:paraId="171CC5FF" w14:textId="6CE54D31" w:rsidR="00373B61" w:rsidRPr="00DE1A22" w:rsidRDefault="00373B61" w:rsidP="00373B61">
            <w:pPr>
              <w:jc w:val="center"/>
              <w:rPr>
                <w:rFonts w:eastAsia="Times New Roman"/>
                <w:b/>
                <w:bCs/>
                <w:sz w:val="24"/>
                <w:szCs w:val="24"/>
                <w:lang w:eastAsia="lv-LV"/>
              </w:rPr>
            </w:pPr>
            <w:r>
              <w:rPr>
                <w:rFonts w:eastAsia="Times New Roman"/>
                <w:b/>
                <w:bCs/>
                <w:sz w:val="24"/>
                <w:szCs w:val="24"/>
                <w:lang w:eastAsia="lv-LV"/>
              </w:rPr>
              <w:t>Nav ņemts vērā</w:t>
            </w:r>
          </w:p>
          <w:p w14:paraId="4019B527" w14:textId="45E47ABD" w:rsidR="00373B61" w:rsidRPr="00DE1A22" w:rsidRDefault="00373B61" w:rsidP="00373B61">
            <w:pPr>
              <w:jc w:val="both"/>
              <w:rPr>
                <w:rFonts w:eastAsia="Times New Roman"/>
                <w:b/>
                <w:bCs/>
                <w:sz w:val="24"/>
                <w:szCs w:val="24"/>
                <w:lang w:eastAsia="lv-LV"/>
              </w:rPr>
            </w:pPr>
            <w:r w:rsidRPr="00DE1A22">
              <w:rPr>
                <w:rFonts w:eastAsia="Times New Roman"/>
                <w:bCs/>
                <w:sz w:val="24"/>
                <w:szCs w:val="24"/>
                <w:lang w:eastAsia="lv-LV"/>
              </w:rPr>
              <w:lastRenderedPageBreak/>
              <w:t>Norādām, ka pamatnostādņu projektā 4. sadaļas “Rīcības virzieni un uzdevumi” 3. rīcības virziena “Azartspēļu un izložu pieejamības regulēšana” 2.uzdevums “Izstrādāt kārtību kādā IAUI izvērtē azartspēļu organizēšanas vietas atbilstību AIL prasībām un izsniedz attiecīgās atļaujas”, paredz kārtības izstrādāšanu, līdz ar to tās izstrādes procesā tiks izvērtēti visi iespējamie kritēriji, lai IAUI pieņemtais lēmums būtu pamatots un ņemtas vērā konkrētās pašvaldības iedzīvotāju tiesības uz veselī</w:t>
            </w:r>
            <w:r>
              <w:rPr>
                <w:rFonts w:eastAsia="Times New Roman"/>
                <w:bCs/>
                <w:sz w:val="24"/>
                <w:szCs w:val="24"/>
                <w:lang w:eastAsia="lv-LV"/>
              </w:rPr>
              <w:t>gu dzīvesveidu veicinošu vidi.</w:t>
            </w:r>
          </w:p>
        </w:tc>
        <w:tc>
          <w:tcPr>
            <w:tcW w:w="786" w:type="pct"/>
            <w:shd w:val="clear" w:color="auto" w:fill="auto"/>
          </w:tcPr>
          <w:p w14:paraId="65B53047" w14:textId="77777777" w:rsidR="00373B61" w:rsidRPr="00E6164F" w:rsidRDefault="00373B61" w:rsidP="00373B61">
            <w:pPr>
              <w:jc w:val="center"/>
              <w:rPr>
                <w:b/>
                <w:sz w:val="24"/>
                <w:szCs w:val="24"/>
              </w:rPr>
            </w:pPr>
            <w:r w:rsidRPr="00E6164F">
              <w:rPr>
                <w:b/>
                <w:sz w:val="24"/>
                <w:szCs w:val="24"/>
              </w:rPr>
              <w:lastRenderedPageBreak/>
              <w:t>13.01.2021. starpministriju (starpinstitūciju) sanāksme</w:t>
            </w:r>
          </w:p>
          <w:p w14:paraId="730A0EE6" w14:textId="77777777" w:rsidR="00373B61" w:rsidRPr="00E6164F" w:rsidRDefault="00373B61" w:rsidP="00373B61">
            <w:pPr>
              <w:jc w:val="both"/>
              <w:rPr>
                <w:sz w:val="24"/>
                <w:szCs w:val="24"/>
              </w:rPr>
            </w:pPr>
          </w:p>
          <w:p w14:paraId="35477781" w14:textId="5AA6DE10" w:rsidR="00373B61" w:rsidRPr="00E6164F" w:rsidRDefault="00373B61" w:rsidP="00373B61">
            <w:pPr>
              <w:jc w:val="center"/>
              <w:rPr>
                <w:b/>
                <w:sz w:val="24"/>
                <w:szCs w:val="24"/>
              </w:rPr>
            </w:pPr>
            <w:r>
              <w:rPr>
                <w:sz w:val="24"/>
                <w:szCs w:val="24"/>
              </w:rPr>
              <w:t xml:space="preserve">VM </w:t>
            </w:r>
            <w:r w:rsidRPr="00E6164F">
              <w:rPr>
                <w:sz w:val="24"/>
                <w:szCs w:val="24"/>
              </w:rPr>
              <w:t>uztur iebildumu.</w:t>
            </w:r>
          </w:p>
        </w:tc>
        <w:tc>
          <w:tcPr>
            <w:tcW w:w="832" w:type="pct"/>
            <w:shd w:val="clear" w:color="auto" w:fill="auto"/>
          </w:tcPr>
          <w:p w14:paraId="11C05DA4" w14:textId="77777777" w:rsidR="00373B61" w:rsidRPr="00DE1A22" w:rsidRDefault="00373B61" w:rsidP="00373B61">
            <w:pPr>
              <w:spacing w:after="120"/>
              <w:jc w:val="both"/>
              <w:rPr>
                <w:rFonts w:eastAsia="Times New Roman"/>
                <w:sz w:val="24"/>
                <w:szCs w:val="24"/>
                <w:lang w:eastAsia="lv-LV"/>
              </w:rPr>
            </w:pPr>
          </w:p>
        </w:tc>
      </w:tr>
      <w:tr w:rsidR="00373B61" w:rsidRPr="00DE1A22" w14:paraId="10C21B7C" w14:textId="77777777" w:rsidTr="00B00FCE">
        <w:tc>
          <w:tcPr>
            <w:tcW w:w="5000" w:type="pct"/>
            <w:gridSpan w:val="6"/>
            <w:shd w:val="clear" w:color="auto" w:fill="E2EFD9" w:themeFill="accent6" w:themeFillTint="33"/>
          </w:tcPr>
          <w:p w14:paraId="1C30A1F6" w14:textId="2D4C161E" w:rsidR="00373B61" w:rsidRPr="00B00FCE" w:rsidRDefault="00373B61" w:rsidP="00373B61">
            <w:pPr>
              <w:spacing w:after="120"/>
              <w:jc w:val="center"/>
              <w:rPr>
                <w:rFonts w:eastAsia="Times New Roman"/>
                <w:b/>
                <w:sz w:val="24"/>
                <w:szCs w:val="24"/>
                <w:lang w:eastAsia="lv-LV"/>
              </w:rPr>
            </w:pPr>
            <w:r w:rsidRPr="00B00FCE">
              <w:rPr>
                <w:rFonts w:eastAsia="Times New Roman"/>
                <w:b/>
                <w:sz w:val="24"/>
                <w:szCs w:val="24"/>
                <w:lang w:eastAsia="lv-LV"/>
              </w:rPr>
              <w:t xml:space="preserve">Iebildumi par Pamatnostādņu 4.sadaļas 4.rīcības virzienu </w:t>
            </w:r>
            <w:r w:rsidR="000F1E42">
              <w:rPr>
                <w:rFonts w:eastAsia="Times New Roman"/>
                <w:b/>
                <w:sz w:val="24"/>
                <w:szCs w:val="24"/>
                <w:lang w:eastAsia="lv-LV"/>
              </w:rPr>
              <w:t>“</w:t>
            </w:r>
            <w:r w:rsidRPr="00B00FCE">
              <w:rPr>
                <w:rFonts w:eastAsia="Times New Roman"/>
                <w:b/>
                <w:sz w:val="24"/>
                <w:szCs w:val="24"/>
                <w:lang w:eastAsia="lv-LV"/>
              </w:rPr>
              <w:t>Nelegālā tirgus ierobežošana”</w:t>
            </w:r>
          </w:p>
        </w:tc>
      </w:tr>
      <w:tr w:rsidR="00373B61" w:rsidRPr="00DE1A22" w14:paraId="0E03A858" w14:textId="77777777" w:rsidTr="00F64F1D">
        <w:tc>
          <w:tcPr>
            <w:tcW w:w="230" w:type="pct"/>
          </w:tcPr>
          <w:p w14:paraId="0F901665" w14:textId="4F764DA9" w:rsidR="00373B61" w:rsidRPr="00DE1A22" w:rsidRDefault="00373B61" w:rsidP="00373B61">
            <w:pPr>
              <w:spacing w:before="100" w:beforeAutospacing="1" w:after="100" w:afterAutospacing="1"/>
              <w:jc w:val="center"/>
              <w:rPr>
                <w:rFonts w:eastAsia="Times New Roman"/>
                <w:sz w:val="24"/>
                <w:szCs w:val="24"/>
                <w:lang w:eastAsia="lv-LV"/>
              </w:rPr>
            </w:pPr>
            <w:r>
              <w:rPr>
                <w:rFonts w:eastAsia="Times New Roman"/>
                <w:sz w:val="24"/>
                <w:szCs w:val="24"/>
                <w:lang w:eastAsia="lv-LV"/>
              </w:rPr>
              <w:t>1</w:t>
            </w:r>
            <w:r w:rsidR="00270AF9">
              <w:rPr>
                <w:rFonts w:eastAsia="Times New Roman"/>
                <w:sz w:val="24"/>
                <w:szCs w:val="24"/>
                <w:lang w:eastAsia="lv-LV"/>
              </w:rPr>
              <w:t>7</w:t>
            </w:r>
            <w:r w:rsidRPr="00DE1A22">
              <w:rPr>
                <w:rFonts w:eastAsia="Times New Roman"/>
                <w:sz w:val="24"/>
                <w:szCs w:val="24"/>
                <w:lang w:eastAsia="lv-LV"/>
              </w:rPr>
              <w:t>.</w:t>
            </w:r>
          </w:p>
        </w:tc>
        <w:tc>
          <w:tcPr>
            <w:tcW w:w="934" w:type="pct"/>
            <w:shd w:val="clear" w:color="auto" w:fill="auto"/>
          </w:tcPr>
          <w:p w14:paraId="25B7CF13" w14:textId="3018E987" w:rsidR="00373B61" w:rsidRPr="00DE1A22" w:rsidRDefault="00373B61" w:rsidP="00373B61">
            <w:pPr>
              <w:jc w:val="both"/>
              <w:rPr>
                <w:rFonts w:eastAsia="Times New Roman"/>
                <w:sz w:val="24"/>
                <w:szCs w:val="24"/>
                <w:lang w:eastAsia="lv-LV"/>
              </w:rPr>
            </w:pPr>
          </w:p>
        </w:tc>
        <w:tc>
          <w:tcPr>
            <w:tcW w:w="1340" w:type="pct"/>
            <w:shd w:val="clear" w:color="auto" w:fill="auto"/>
          </w:tcPr>
          <w:p w14:paraId="15755DEE" w14:textId="77777777" w:rsidR="00373B61" w:rsidRDefault="00373B61" w:rsidP="00373B61">
            <w:pPr>
              <w:jc w:val="center"/>
              <w:rPr>
                <w:rFonts w:eastAsia="Times New Roman"/>
                <w:b/>
                <w:sz w:val="24"/>
                <w:szCs w:val="24"/>
              </w:rPr>
            </w:pPr>
            <w:r w:rsidRPr="00DE1A22">
              <w:rPr>
                <w:rFonts w:eastAsia="Times New Roman"/>
                <w:b/>
                <w:sz w:val="24"/>
                <w:szCs w:val="24"/>
              </w:rPr>
              <w:t xml:space="preserve">Vides aizsardzības un reģionālās attīstības ministrija </w:t>
            </w:r>
          </w:p>
          <w:p w14:paraId="178FD017" w14:textId="5F7137C5" w:rsidR="00373B61" w:rsidRPr="00DE1A22" w:rsidRDefault="00373B61" w:rsidP="00373B61">
            <w:pPr>
              <w:jc w:val="center"/>
              <w:rPr>
                <w:rFonts w:eastAsia="Times New Roman"/>
                <w:b/>
                <w:sz w:val="24"/>
                <w:szCs w:val="24"/>
              </w:rPr>
            </w:pPr>
            <w:r w:rsidRPr="00DE1A22">
              <w:rPr>
                <w:rFonts w:eastAsia="Times New Roman"/>
                <w:b/>
                <w:sz w:val="24"/>
                <w:szCs w:val="24"/>
              </w:rPr>
              <w:t>(21.02.2020. Nr.1-132/1579)</w:t>
            </w:r>
          </w:p>
          <w:p w14:paraId="032EC113" w14:textId="77777777" w:rsidR="00373B61" w:rsidRPr="00DE1A22" w:rsidRDefault="00373B61" w:rsidP="00373B61">
            <w:pPr>
              <w:jc w:val="both"/>
              <w:rPr>
                <w:rFonts w:eastAsia="Times New Roman"/>
                <w:sz w:val="24"/>
                <w:szCs w:val="24"/>
              </w:rPr>
            </w:pPr>
            <w:r w:rsidRPr="00DE1A22">
              <w:rPr>
                <w:rFonts w:eastAsia="Times New Roman"/>
                <w:sz w:val="24"/>
                <w:szCs w:val="24"/>
              </w:rPr>
              <w:t>Lūdzam papildināt ar šādiem uzdevumiem:</w:t>
            </w:r>
          </w:p>
          <w:p w14:paraId="33B1AAA7" w14:textId="77777777" w:rsidR="00373B61" w:rsidRPr="00DE1A22" w:rsidRDefault="00373B61" w:rsidP="00373B61">
            <w:pPr>
              <w:jc w:val="both"/>
              <w:rPr>
                <w:rFonts w:eastAsia="Times New Roman"/>
                <w:sz w:val="24"/>
                <w:szCs w:val="24"/>
              </w:rPr>
            </w:pPr>
            <w:r w:rsidRPr="00DE1A22">
              <w:rPr>
                <w:rFonts w:eastAsia="Times New Roman"/>
                <w:sz w:val="24"/>
                <w:szCs w:val="24"/>
              </w:rPr>
              <w:t>- normatīvajos aktos noteikt lielākus naudas sodus par nelicencētu interaktīvo azartspēļu organizēšanu/piedāvāšanu Latvijas Republikā;</w:t>
            </w:r>
          </w:p>
          <w:p w14:paraId="41EC9DB7" w14:textId="77777777" w:rsidR="00373B61" w:rsidRPr="00DE1A22" w:rsidRDefault="00373B61" w:rsidP="00373B61">
            <w:pPr>
              <w:jc w:val="both"/>
              <w:rPr>
                <w:rFonts w:eastAsia="Times New Roman"/>
                <w:b/>
                <w:sz w:val="24"/>
                <w:szCs w:val="24"/>
              </w:rPr>
            </w:pPr>
            <w:r w:rsidRPr="00DE1A22">
              <w:rPr>
                <w:rFonts w:eastAsia="Times New Roman"/>
                <w:sz w:val="24"/>
                <w:szCs w:val="24"/>
              </w:rPr>
              <w:lastRenderedPageBreak/>
              <w:t>- normatīvajos aktos noteikt papildus kritērijus saistībā ar azartspēļu organizēšanas licences iegūšanu, paredzot aizliegumu saņemt licenci tādiem uzņēmumiem un personām, kuri ir iepriekš sodīti par nelikumīgām azartspēļu darbībām, kā arī piedalījušies tādā juridiskā personā, kura ir sodīta par nelicencētu azartspēļu organizēšanu, vai tās azartspēļu licence ir tikusi atcelta Latvijas Republikā vai kādā citā ES dalībvalstī.</w:t>
            </w:r>
          </w:p>
        </w:tc>
        <w:tc>
          <w:tcPr>
            <w:tcW w:w="878" w:type="pct"/>
            <w:shd w:val="clear" w:color="auto" w:fill="auto"/>
          </w:tcPr>
          <w:p w14:paraId="27315C82" w14:textId="38D4E1B2" w:rsidR="00373B61" w:rsidRDefault="00373B61" w:rsidP="00373B61">
            <w:pPr>
              <w:jc w:val="center"/>
              <w:rPr>
                <w:rFonts w:eastAsia="Times New Roman"/>
                <w:bCs/>
                <w:sz w:val="24"/>
                <w:szCs w:val="24"/>
                <w:lang w:eastAsia="lv-LV"/>
              </w:rPr>
            </w:pPr>
            <w:r>
              <w:rPr>
                <w:rFonts w:eastAsia="Times New Roman"/>
                <w:b/>
                <w:bCs/>
                <w:sz w:val="24"/>
                <w:szCs w:val="24"/>
                <w:lang w:eastAsia="lv-LV"/>
              </w:rPr>
              <w:lastRenderedPageBreak/>
              <w:t xml:space="preserve">Pēc 13.01.2021. starpministriju (starpinstitūciju) </w:t>
            </w:r>
            <w:r w:rsidRPr="00541F9F">
              <w:rPr>
                <w:rFonts w:eastAsia="Times New Roman"/>
                <w:bCs/>
                <w:sz w:val="24"/>
                <w:szCs w:val="24"/>
                <w:lang w:eastAsia="lv-LV"/>
              </w:rPr>
              <w:t>sanāksmes nebija iespējams panākt vienošanos</w:t>
            </w:r>
            <w:r w:rsidR="00941E96">
              <w:rPr>
                <w:rFonts w:eastAsia="Times New Roman"/>
                <w:bCs/>
                <w:sz w:val="24"/>
                <w:szCs w:val="24"/>
                <w:lang w:eastAsia="lv-LV"/>
              </w:rPr>
              <w:t>.</w:t>
            </w:r>
          </w:p>
          <w:p w14:paraId="6ECE5E70" w14:textId="77777777" w:rsidR="00373B61" w:rsidRDefault="00373B61" w:rsidP="00373B61">
            <w:pPr>
              <w:jc w:val="both"/>
              <w:rPr>
                <w:rFonts w:eastAsia="Times New Roman"/>
                <w:b/>
                <w:bCs/>
                <w:sz w:val="24"/>
                <w:szCs w:val="24"/>
                <w:lang w:eastAsia="lv-LV"/>
              </w:rPr>
            </w:pPr>
          </w:p>
          <w:p w14:paraId="2D6B462E" w14:textId="06376F94" w:rsidR="00373B61" w:rsidRPr="00DE1A22" w:rsidRDefault="00A52C4F" w:rsidP="00A52C4F">
            <w:pPr>
              <w:jc w:val="center"/>
              <w:rPr>
                <w:rFonts w:eastAsia="Times New Roman"/>
                <w:b/>
                <w:bCs/>
                <w:sz w:val="24"/>
                <w:szCs w:val="24"/>
                <w:lang w:eastAsia="lv-LV"/>
              </w:rPr>
            </w:pPr>
            <w:r>
              <w:rPr>
                <w:rFonts w:eastAsia="Times New Roman"/>
                <w:b/>
                <w:bCs/>
                <w:sz w:val="24"/>
                <w:szCs w:val="24"/>
                <w:lang w:eastAsia="lv-LV"/>
              </w:rPr>
              <w:t>Nav ņemts vērā</w:t>
            </w:r>
          </w:p>
          <w:p w14:paraId="07701E3E" w14:textId="77777777" w:rsidR="00373B61" w:rsidRPr="00DE1A22" w:rsidRDefault="00373B61" w:rsidP="00373B61">
            <w:pPr>
              <w:jc w:val="both"/>
              <w:rPr>
                <w:rFonts w:eastAsia="Times New Roman"/>
                <w:bCs/>
                <w:sz w:val="24"/>
                <w:szCs w:val="24"/>
                <w:lang w:eastAsia="lv-LV"/>
              </w:rPr>
            </w:pPr>
            <w:r w:rsidRPr="00DE1A22">
              <w:rPr>
                <w:rFonts w:eastAsia="Times New Roman"/>
                <w:sz w:val="24"/>
                <w:szCs w:val="24"/>
              </w:rPr>
              <w:t xml:space="preserve">Norādām, ka Sodu sistēma tika pārskatīta </w:t>
            </w:r>
            <w:r w:rsidRPr="00DE1A22">
              <w:rPr>
                <w:rFonts w:eastAsia="Times New Roman"/>
                <w:sz w:val="24"/>
                <w:szCs w:val="24"/>
              </w:rPr>
              <w:lastRenderedPageBreak/>
              <w:t>dekodifikācijas procesa ietvaros 2019.-2020.gadā.</w:t>
            </w:r>
          </w:p>
          <w:p w14:paraId="7344E798" w14:textId="77777777" w:rsidR="00373B61" w:rsidRPr="00DE1A22" w:rsidRDefault="00373B61" w:rsidP="00373B61">
            <w:pPr>
              <w:jc w:val="both"/>
              <w:rPr>
                <w:rFonts w:eastAsia="Times New Roman"/>
                <w:bCs/>
                <w:sz w:val="24"/>
                <w:szCs w:val="24"/>
                <w:lang w:eastAsia="lv-LV"/>
              </w:rPr>
            </w:pPr>
            <w:r w:rsidRPr="00DE1A22">
              <w:rPr>
                <w:rFonts w:eastAsia="Times New Roman"/>
                <w:bCs/>
                <w:sz w:val="24"/>
                <w:szCs w:val="24"/>
                <w:lang w:eastAsia="lv-LV"/>
              </w:rPr>
              <w:t>Papildus tam, Azartspēļu un izložu likuma 11.panta sestā daļa nosaka, ka iesniegumam azartspēļu organizēšanas licences saņemšanai komersants pievieno apliecinājumu, ka kapitālsabiedrības padomes un valdes locekļi un revidents atbilst šā likuma 9.panta prasībām. Savukārt Azartspēļu un izložu likuma 9.panta otrā daļa 1.punkts nosaka prasības attiecībā uz azartspēļu organizētāja amatpersonām, t.i. par azartspēļu organizētāja padomes un valdes locekli un revidentu var būt persona, kurai ir nevainojama reputācija.</w:t>
            </w:r>
          </w:p>
          <w:p w14:paraId="35759F77" w14:textId="77777777" w:rsidR="00373B61" w:rsidRPr="00DE1A22" w:rsidRDefault="00373B61" w:rsidP="00373B61">
            <w:pPr>
              <w:jc w:val="both"/>
              <w:rPr>
                <w:rFonts w:eastAsia="Times New Roman"/>
                <w:b/>
                <w:bCs/>
                <w:sz w:val="24"/>
                <w:szCs w:val="24"/>
                <w:lang w:eastAsia="lv-LV"/>
              </w:rPr>
            </w:pPr>
            <w:r w:rsidRPr="00DE1A22">
              <w:rPr>
                <w:rFonts w:eastAsia="Times New Roman"/>
                <w:bCs/>
                <w:sz w:val="24"/>
                <w:szCs w:val="24"/>
                <w:lang w:eastAsia="lv-LV"/>
              </w:rPr>
              <w:t>Līdz ar to uzskatām, ka jau šobrīd IAUI ir rīks, lai nepieļautu tādu personu dalību azartspēļu organizēšanas uzņēmumos, kuriem ir konstatēti reputācijas riski.</w:t>
            </w:r>
          </w:p>
        </w:tc>
        <w:tc>
          <w:tcPr>
            <w:tcW w:w="786" w:type="pct"/>
            <w:shd w:val="clear" w:color="auto" w:fill="auto"/>
          </w:tcPr>
          <w:p w14:paraId="0633A073" w14:textId="77777777" w:rsidR="00373B61" w:rsidRPr="00A96ECB" w:rsidRDefault="00373B61" w:rsidP="00373B61">
            <w:pPr>
              <w:jc w:val="center"/>
              <w:rPr>
                <w:b/>
                <w:sz w:val="24"/>
              </w:rPr>
            </w:pPr>
            <w:r w:rsidRPr="00A96ECB">
              <w:rPr>
                <w:b/>
                <w:sz w:val="24"/>
              </w:rPr>
              <w:lastRenderedPageBreak/>
              <w:t>13.01.2021. starpministriju (starpinstitūciju) sanāksme</w:t>
            </w:r>
          </w:p>
          <w:p w14:paraId="059F07C4" w14:textId="77777777" w:rsidR="00373B61" w:rsidRPr="00A96ECB" w:rsidRDefault="00373B61" w:rsidP="00373B61">
            <w:pPr>
              <w:jc w:val="both"/>
              <w:rPr>
                <w:sz w:val="24"/>
              </w:rPr>
            </w:pPr>
          </w:p>
          <w:p w14:paraId="40F98F38" w14:textId="77777777" w:rsidR="00373B61" w:rsidRPr="00A96ECB" w:rsidRDefault="00373B61" w:rsidP="00373B61">
            <w:pPr>
              <w:jc w:val="both"/>
              <w:rPr>
                <w:sz w:val="24"/>
              </w:rPr>
            </w:pPr>
            <w:r w:rsidRPr="00A96ECB">
              <w:rPr>
                <w:sz w:val="24"/>
              </w:rPr>
              <w:t>VARAM uztur iebildumu.</w:t>
            </w:r>
          </w:p>
          <w:p w14:paraId="7C736BC6" w14:textId="77777777" w:rsidR="00373B61" w:rsidRPr="00DE1A22" w:rsidRDefault="00373B61" w:rsidP="00373B61">
            <w:pPr>
              <w:spacing w:before="100" w:beforeAutospacing="1" w:after="100" w:afterAutospacing="1"/>
              <w:jc w:val="both"/>
              <w:rPr>
                <w:rFonts w:eastAsia="Times New Roman"/>
                <w:sz w:val="24"/>
                <w:szCs w:val="24"/>
                <w:lang w:eastAsia="lv-LV"/>
              </w:rPr>
            </w:pPr>
          </w:p>
        </w:tc>
        <w:tc>
          <w:tcPr>
            <w:tcW w:w="832" w:type="pct"/>
            <w:shd w:val="clear" w:color="auto" w:fill="auto"/>
          </w:tcPr>
          <w:p w14:paraId="72FA7912" w14:textId="77777777" w:rsidR="00373B61" w:rsidRPr="00DE1A22" w:rsidRDefault="00373B61" w:rsidP="00373B61">
            <w:pPr>
              <w:spacing w:after="120"/>
              <w:jc w:val="both"/>
              <w:rPr>
                <w:rFonts w:eastAsia="Times New Roman"/>
                <w:sz w:val="24"/>
                <w:szCs w:val="24"/>
                <w:lang w:eastAsia="lv-LV"/>
              </w:rPr>
            </w:pPr>
            <w:r w:rsidRPr="00DE1A22">
              <w:rPr>
                <w:rFonts w:eastAsia="Times New Roman"/>
                <w:sz w:val="24"/>
                <w:szCs w:val="24"/>
              </w:rPr>
              <w:t xml:space="preserve"> </w:t>
            </w:r>
          </w:p>
        </w:tc>
      </w:tr>
    </w:tbl>
    <w:p w14:paraId="598C441D" w14:textId="77777777" w:rsidR="00932171" w:rsidRDefault="00932171" w:rsidP="00932171">
      <w:pPr>
        <w:pStyle w:val="naisf"/>
        <w:spacing w:before="0" w:after="0"/>
        <w:rPr>
          <w:b/>
        </w:rPr>
      </w:pPr>
    </w:p>
    <w:p w14:paraId="751E00D2" w14:textId="77777777" w:rsidR="009C14E5" w:rsidRPr="00DE1A22" w:rsidRDefault="009C14E5" w:rsidP="00932171">
      <w:pPr>
        <w:pStyle w:val="naisf"/>
        <w:spacing w:before="0" w:after="0"/>
        <w:rPr>
          <w:b/>
        </w:rPr>
      </w:pPr>
      <w:r w:rsidRPr="00DE1A22">
        <w:rPr>
          <w:b/>
        </w:rPr>
        <w:t>Informācija par starpministriju (starpinstitūciju) sanāksmi vai elektronisko saskaņošanu</w:t>
      </w:r>
    </w:p>
    <w:tbl>
      <w:tblPr>
        <w:tblW w:w="14310" w:type="dxa"/>
        <w:tblLook w:val="00A0" w:firstRow="1" w:lastRow="0" w:firstColumn="1" w:lastColumn="0" w:noHBand="0" w:noVBand="0"/>
      </w:tblPr>
      <w:tblGrid>
        <w:gridCol w:w="6506"/>
        <w:gridCol w:w="7804"/>
      </w:tblGrid>
      <w:tr w:rsidR="009C14E5" w:rsidRPr="00DE1A22" w14:paraId="691B32EC" w14:textId="77777777" w:rsidTr="00702885">
        <w:tc>
          <w:tcPr>
            <w:tcW w:w="6506" w:type="dxa"/>
          </w:tcPr>
          <w:p w14:paraId="1B1274E6" w14:textId="77777777" w:rsidR="009C14E5" w:rsidRPr="00DE1A22" w:rsidRDefault="009C14E5" w:rsidP="00702885">
            <w:pPr>
              <w:pStyle w:val="naisf"/>
              <w:spacing w:before="0" w:after="0"/>
            </w:pPr>
            <w:r w:rsidRPr="00DE1A22">
              <w:t>Datums</w:t>
            </w:r>
          </w:p>
        </w:tc>
        <w:tc>
          <w:tcPr>
            <w:tcW w:w="7804" w:type="dxa"/>
            <w:tcBorders>
              <w:bottom w:val="single" w:sz="4" w:space="0" w:color="auto"/>
            </w:tcBorders>
          </w:tcPr>
          <w:p w14:paraId="2E1B51BB" w14:textId="77777777" w:rsidR="009C14E5" w:rsidRPr="00DE1A22" w:rsidRDefault="009C14E5" w:rsidP="00702885">
            <w:pPr>
              <w:rPr>
                <w:sz w:val="24"/>
                <w:szCs w:val="24"/>
              </w:rPr>
            </w:pPr>
            <w:r w:rsidRPr="00DE1A22">
              <w:rPr>
                <w:sz w:val="24"/>
                <w:szCs w:val="24"/>
              </w:rPr>
              <w:t>13.02.2020., 20.02.2020.</w:t>
            </w:r>
            <w:r>
              <w:rPr>
                <w:sz w:val="24"/>
                <w:szCs w:val="24"/>
              </w:rPr>
              <w:t xml:space="preserve"> un 13.01.2021.</w:t>
            </w:r>
            <w:r w:rsidRPr="00DE1A22">
              <w:rPr>
                <w:sz w:val="24"/>
                <w:szCs w:val="24"/>
              </w:rPr>
              <w:t xml:space="preserve"> starpministriju (starpinstitūciju) saskaņošanas sanāksme</w:t>
            </w:r>
            <w:r>
              <w:rPr>
                <w:sz w:val="24"/>
                <w:szCs w:val="24"/>
              </w:rPr>
              <w:t>s</w:t>
            </w:r>
          </w:p>
        </w:tc>
      </w:tr>
      <w:tr w:rsidR="009C14E5" w:rsidRPr="00DE1A22" w14:paraId="550A5583" w14:textId="77777777" w:rsidTr="00702885">
        <w:tc>
          <w:tcPr>
            <w:tcW w:w="6506" w:type="dxa"/>
          </w:tcPr>
          <w:p w14:paraId="537D6638" w14:textId="77777777" w:rsidR="009C14E5" w:rsidRPr="00DE1A22" w:rsidRDefault="009C14E5" w:rsidP="00702885">
            <w:pPr>
              <w:pStyle w:val="naisf"/>
              <w:spacing w:before="0" w:after="0"/>
            </w:pPr>
          </w:p>
        </w:tc>
        <w:tc>
          <w:tcPr>
            <w:tcW w:w="7804" w:type="dxa"/>
            <w:tcBorders>
              <w:top w:val="single" w:sz="4" w:space="0" w:color="auto"/>
            </w:tcBorders>
          </w:tcPr>
          <w:p w14:paraId="0CC74E0F" w14:textId="77777777" w:rsidR="009C14E5" w:rsidRPr="00DE1A22" w:rsidRDefault="009C14E5" w:rsidP="00702885">
            <w:pPr>
              <w:pStyle w:val="NormalWeb"/>
              <w:spacing w:before="0" w:beforeAutospacing="0" w:after="0" w:afterAutospacing="0"/>
              <w:jc w:val="both"/>
            </w:pPr>
          </w:p>
        </w:tc>
      </w:tr>
      <w:tr w:rsidR="009C14E5" w:rsidRPr="00DE1A22" w14:paraId="66A16CB2" w14:textId="77777777" w:rsidTr="00702885">
        <w:trPr>
          <w:trHeight w:val="278"/>
        </w:trPr>
        <w:tc>
          <w:tcPr>
            <w:tcW w:w="6506" w:type="dxa"/>
          </w:tcPr>
          <w:p w14:paraId="087F680C" w14:textId="77777777" w:rsidR="009C14E5" w:rsidRPr="00DE1A22" w:rsidRDefault="009C14E5" w:rsidP="00702885">
            <w:pPr>
              <w:pStyle w:val="naiskr"/>
              <w:spacing w:before="0" w:after="0"/>
              <w:jc w:val="both"/>
            </w:pPr>
            <w:r w:rsidRPr="00DE1A22">
              <w:t>Saskaņošanas dalībnieki</w:t>
            </w:r>
          </w:p>
        </w:tc>
        <w:tc>
          <w:tcPr>
            <w:tcW w:w="7804" w:type="dxa"/>
            <w:tcBorders>
              <w:left w:val="nil"/>
              <w:bottom w:val="single" w:sz="4" w:space="0" w:color="auto"/>
            </w:tcBorders>
          </w:tcPr>
          <w:p w14:paraId="1AC74597" w14:textId="77777777" w:rsidR="009C14E5" w:rsidRPr="00DE1A22" w:rsidRDefault="009C14E5" w:rsidP="00702885">
            <w:pPr>
              <w:pStyle w:val="NormalWeb"/>
              <w:spacing w:before="0" w:beforeAutospacing="0" w:after="0" w:afterAutospacing="0"/>
              <w:jc w:val="both"/>
              <w:rPr>
                <w:rFonts w:eastAsia="Times New Roman"/>
              </w:rPr>
            </w:pPr>
            <w:r w:rsidRPr="00DE1A22">
              <w:rPr>
                <w:rFonts w:eastAsia="Times New Roman"/>
              </w:rPr>
              <w:t>Tieslietu ministrija, Labklājības ministrija, Satiksmes ministrija, Ekonomikas ministrija, Izglītības un zinātnes ministrija, Kultūras ministrija, Vides aizsardzības un reģionālās attīstības ministrija, Veselības ministrija, Valsts kanceleja, Pārresoru koordinācijas centrs, Latvijas Brīvo arodbiedrību savienība, Latvijas Darba devēju konfederācija, Latvijas Pašvaldību savienība, Latvijas Lielo pilsētu asociācija, Latvijas Tirdzniecības un rūpniecības kamera, Latvijas Spēļu biznesa asociācija, Nacionālā elektronisko plašsaziņas līdzekļu padome, Latvijas Reklāmas asociācija un Latvijas interaktīvo azartspēļu biedrība.</w:t>
            </w:r>
          </w:p>
          <w:p w14:paraId="69C5724B" w14:textId="77777777" w:rsidR="009C14E5" w:rsidRPr="00DE1A22" w:rsidRDefault="009C14E5" w:rsidP="00702885">
            <w:pPr>
              <w:pStyle w:val="NormalWeb"/>
              <w:spacing w:before="0" w:beforeAutospacing="0" w:after="0" w:afterAutospacing="0"/>
              <w:jc w:val="both"/>
              <w:rPr>
                <w:rFonts w:eastAsia="Times New Roman"/>
              </w:rPr>
            </w:pPr>
          </w:p>
          <w:p w14:paraId="56BE892D" w14:textId="77777777" w:rsidR="009C14E5" w:rsidRPr="00DE1A22" w:rsidRDefault="009C14E5" w:rsidP="00702885">
            <w:pPr>
              <w:pStyle w:val="NormalWeb"/>
              <w:spacing w:before="0" w:beforeAutospacing="0" w:after="0" w:afterAutospacing="0"/>
              <w:jc w:val="both"/>
              <w:rPr>
                <w:rFonts w:eastAsia="Times New Roman"/>
              </w:rPr>
            </w:pPr>
            <w:r w:rsidRPr="00DE1A22">
              <w:rPr>
                <w:rFonts w:eastAsia="Times New Roman"/>
              </w:rPr>
              <w:t>2019.gada 28.februārī Saeimas Budžeta un finanšu (nodokļu) komisija uzdevusi atkārtoti saskaņot Pamatnostādnes. Atkārtotus atzinums sniedza Tieslietu ministrija, Labklājības ministrija, Satiksmes ministrija, Ekonomikas ministrija, Izglītības un zinātnes ministrija, Vides aizsardzības un reģionālās attīstības ministrija, Iekšlietu min</w:t>
            </w:r>
            <w:r>
              <w:rPr>
                <w:rFonts w:eastAsia="Times New Roman"/>
              </w:rPr>
              <w:t>istrija un Veselības ministrija.</w:t>
            </w:r>
          </w:p>
        </w:tc>
      </w:tr>
      <w:tr w:rsidR="009C14E5" w:rsidRPr="00DE1A22" w14:paraId="2E12C6EE" w14:textId="77777777" w:rsidTr="00702885">
        <w:trPr>
          <w:gridAfter w:val="1"/>
          <w:wAfter w:w="7804" w:type="dxa"/>
        </w:trPr>
        <w:tc>
          <w:tcPr>
            <w:tcW w:w="6506" w:type="dxa"/>
          </w:tcPr>
          <w:p w14:paraId="59D3D156" w14:textId="77777777" w:rsidR="009C14E5" w:rsidRPr="00DE1A22" w:rsidRDefault="009C14E5" w:rsidP="00702885">
            <w:pPr>
              <w:pStyle w:val="naiskr"/>
              <w:spacing w:before="0" w:after="0"/>
              <w:jc w:val="both"/>
            </w:pPr>
          </w:p>
        </w:tc>
      </w:tr>
      <w:tr w:rsidR="009C14E5" w:rsidRPr="00DE1A22" w14:paraId="709DD844" w14:textId="77777777" w:rsidTr="00702885">
        <w:trPr>
          <w:gridAfter w:val="1"/>
          <w:wAfter w:w="7804" w:type="dxa"/>
        </w:trPr>
        <w:tc>
          <w:tcPr>
            <w:tcW w:w="6506" w:type="dxa"/>
          </w:tcPr>
          <w:p w14:paraId="21666783" w14:textId="77777777" w:rsidR="009C14E5" w:rsidRPr="00DE1A22" w:rsidRDefault="009C14E5" w:rsidP="00702885">
            <w:pPr>
              <w:pStyle w:val="naiskr"/>
              <w:spacing w:before="0" w:after="0"/>
              <w:jc w:val="both"/>
            </w:pPr>
          </w:p>
        </w:tc>
      </w:tr>
      <w:tr w:rsidR="009C14E5" w:rsidRPr="00DE1A22" w14:paraId="773DF998" w14:textId="77777777" w:rsidTr="00702885">
        <w:trPr>
          <w:trHeight w:val="278"/>
        </w:trPr>
        <w:tc>
          <w:tcPr>
            <w:tcW w:w="6506" w:type="dxa"/>
          </w:tcPr>
          <w:p w14:paraId="727E9413" w14:textId="77777777" w:rsidR="009C14E5" w:rsidRPr="005C5FC3" w:rsidRDefault="009C14E5" w:rsidP="00702885">
            <w:pPr>
              <w:pStyle w:val="naiskr"/>
              <w:spacing w:before="0" w:after="0"/>
              <w:ind w:right="336"/>
              <w:jc w:val="both"/>
            </w:pPr>
            <w:r w:rsidRPr="00DE1A22">
              <w:t>Saskaņošanas dalībnieki izskatīja šādu ministriju (citu institūciju) iebildumus</w:t>
            </w:r>
          </w:p>
          <w:p w14:paraId="7D0381FA" w14:textId="77777777" w:rsidR="009C14E5" w:rsidRPr="005C5FC3" w:rsidRDefault="009C14E5" w:rsidP="00702885">
            <w:pPr>
              <w:rPr>
                <w:lang w:eastAsia="lv-LV"/>
              </w:rPr>
            </w:pPr>
          </w:p>
        </w:tc>
        <w:tc>
          <w:tcPr>
            <w:tcW w:w="7804" w:type="dxa"/>
            <w:tcBorders>
              <w:bottom w:val="single" w:sz="4" w:space="0" w:color="auto"/>
            </w:tcBorders>
          </w:tcPr>
          <w:p w14:paraId="0A9E5560" w14:textId="77777777" w:rsidR="009C14E5" w:rsidRPr="00DE1A22" w:rsidRDefault="009C14E5" w:rsidP="00702885">
            <w:pPr>
              <w:pStyle w:val="naiskr"/>
              <w:spacing w:before="0" w:after="0"/>
              <w:jc w:val="both"/>
            </w:pPr>
            <w:r w:rsidRPr="00DE1A22">
              <w:t>Tieslietu ministrijas, Labklājības ministrijas, Satiksmes ministrijas, Izglītības un zinātnes ministrijas, Kultūras ministrijas, Vides aizsardzības un reģionālās attīstības ministrijas, Veselības ministrijas, Pārresoru koordinācijas centrs, Latvijas Darba devēju konfederācijas, Latvijas Pašvaldību savienība, Latvijas Lielo pilsētu asociācijas, Latvijas Tirdzniecības un rūpniecības kameras, Latvijas Spēļu biznesa asociācijas un Latvijas interaktīvo azartspēļu biedrības izteiktie iebildumi un priekšlikumi.</w:t>
            </w:r>
          </w:p>
        </w:tc>
      </w:tr>
    </w:tbl>
    <w:p w14:paraId="1F9D457D" w14:textId="77777777" w:rsidR="00F64F1D" w:rsidRDefault="00F64F1D" w:rsidP="00A47E6A">
      <w:pPr>
        <w:spacing w:before="100" w:beforeAutospacing="1" w:after="100" w:afterAutospacing="1"/>
        <w:jc w:val="center"/>
        <w:rPr>
          <w:rFonts w:eastAsia="Times New Roman"/>
          <w:b/>
          <w:sz w:val="24"/>
          <w:szCs w:val="24"/>
          <w:lang w:eastAsia="lv-LV"/>
        </w:rPr>
      </w:pPr>
    </w:p>
    <w:p w14:paraId="0DC0C672" w14:textId="77777777" w:rsidR="009B7496" w:rsidRPr="00DE1A22" w:rsidRDefault="009403CD" w:rsidP="00A47E6A">
      <w:pPr>
        <w:spacing w:before="100" w:beforeAutospacing="1" w:after="100" w:afterAutospacing="1"/>
        <w:jc w:val="center"/>
        <w:rPr>
          <w:rFonts w:eastAsia="Times New Roman"/>
          <w:b/>
          <w:sz w:val="24"/>
          <w:szCs w:val="24"/>
          <w:lang w:eastAsia="lv-LV"/>
        </w:rPr>
      </w:pPr>
      <w:r w:rsidRPr="00DE1A22">
        <w:rPr>
          <w:rFonts w:eastAsia="Times New Roman"/>
          <w:b/>
          <w:sz w:val="24"/>
          <w:szCs w:val="24"/>
          <w:lang w:eastAsia="lv-LV"/>
        </w:rPr>
        <w:t xml:space="preserve">II. </w:t>
      </w:r>
      <w:r w:rsidR="00CF0BAC" w:rsidRPr="00DE1A22">
        <w:rPr>
          <w:rFonts w:eastAsia="Times New Roman"/>
          <w:b/>
          <w:sz w:val="24"/>
          <w:szCs w:val="24"/>
          <w:lang w:eastAsia="lv-LV"/>
        </w:rPr>
        <w:t xml:space="preserve">Jautājumi, par kuriem saskaņošanā vienošanās ir </w:t>
      </w:r>
      <w:r w:rsidR="005D70C0" w:rsidRPr="00DE1A22">
        <w:rPr>
          <w:rFonts w:eastAsia="Times New Roman"/>
          <w:b/>
          <w:sz w:val="24"/>
          <w:szCs w:val="24"/>
          <w:lang w:eastAsia="lv-LV"/>
        </w:rPr>
        <w:t xml:space="preserve">daļēji panākta vai </w:t>
      </w:r>
      <w:r w:rsidR="00CF0BAC" w:rsidRPr="00DE1A22">
        <w:rPr>
          <w:rFonts w:eastAsia="Times New Roman"/>
          <w:b/>
          <w:sz w:val="24"/>
          <w:szCs w:val="24"/>
          <w:lang w:eastAsia="lv-LV"/>
        </w:rPr>
        <w:t>panākta</w:t>
      </w:r>
    </w:p>
    <w:tbl>
      <w:tblPr>
        <w:tblpPr w:leftFromText="180" w:rightFromText="180" w:vertAnchor="text"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2"/>
        <w:gridCol w:w="3132"/>
        <w:gridCol w:w="4477"/>
        <w:gridCol w:w="3177"/>
        <w:gridCol w:w="3465"/>
      </w:tblGrid>
      <w:tr w:rsidR="00D134C5" w:rsidRPr="00DE1A22" w14:paraId="252A07B3" w14:textId="77777777" w:rsidTr="00B8198F">
        <w:tc>
          <w:tcPr>
            <w:tcW w:w="254" w:type="pct"/>
            <w:vAlign w:val="center"/>
          </w:tcPr>
          <w:p w14:paraId="3789B265" w14:textId="77777777" w:rsidR="00D134C5" w:rsidRPr="00DE1A22" w:rsidRDefault="00D134C5" w:rsidP="00D1684B">
            <w:pPr>
              <w:pStyle w:val="naisc"/>
            </w:pPr>
            <w:r w:rsidRPr="00DE1A22">
              <w:lastRenderedPageBreak/>
              <w:t> Nr.</w:t>
            </w:r>
            <w:r w:rsidRPr="00DE1A22">
              <w:br/>
              <w:t> p.k.</w:t>
            </w:r>
          </w:p>
        </w:tc>
        <w:tc>
          <w:tcPr>
            <w:tcW w:w="1043" w:type="pct"/>
            <w:vAlign w:val="center"/>
          </w:tcPr>
          <w:p w14:paraId="388DA243" w14:textId="77777777" w:rsidR="00D134C5" w:rsidRPr="00DE1A22" w:rsidRDefault="00D134C5" w:rsidP="00D1684B">
            <w:pPr>
              <w:spacing w:before="100" w:beforeAutospacing="1" w:after="100" w:afterAutospacing="1"/>
              <w:jc w:val="center"/>
              <w:rPr>
                <w:rFonts w:eastAsia="Times New Roman"/>
                <w:sz w:val="24"/>
                <w:szCs w:val="24"/>
                <w:lang w:eastAsia="lv-LV"/>
              </w:rPr>
            </w:pPr>
            <w:r w:rsidRPr="00DE1A22">
              <w:rPr>
                <w:rFonts w:eastAsia="Times New Roman"/>
                <w:sz w:val="24"/>
                <w:szCs w:val="24"/>
                <w:lang w:eastAsia="lv-LV"/>
              </w:rPr>
              <w:t>Saskaņošanai nosūtītā projekta redakcija (konkrēta punkta (panta) redakcija)</w:t>
            </w:r>
          </w:p>
        </w:tc>
        <w:tc>
          <w:tcPr>
            <w:tcW w:w="1491" w:type="pct"/>
            <w:vAlign w:val="center"/>
          </w:tcPr>
          <w:p w14:paraId="2C96A874" w14:textId="77777777" w:rsidR="00D134C5" w:rsidRPr="00DE1A22" w:rsidRDefault="00D134C5" w:rsidP="00D1684B">
            <w:pPr>
              <w:spacing w:before="100" w:beforeAutospacing="1" w:after="100" w:afterAutospacing="1"/>
              <w:jc w:val="center"/>
              <w:rPr>
                <w:rFonts w:eastAsia="Times New Roman"/>
                <w:sz w:val="24"/>
                <w:szCs w:val="24"/>
                <w:lang w:eastAsia="lv-LV"/>
              </w:rPr>
            </w:pPr>
            <w:r w:rsidRPr="00DE1A22">
              <w:rPr>
                <w:rFonts w:eastAsia="Times New Roman"/>
                <w:sz w:val="24"/>
                <w:szCs w:val="24"/>
                <w:lang w:eastAsia="lv-LV"/>
              </w:rPr>
              <w:t>Atzinumā norādītais ministrijas (citas institūcijas) iebildums, kā arī saskaņošanā papildus izteiktais iebildums par projekta konkrēto punktu (pantu)</w:t>
            </w:r>
          </w:p>
        </w:tc>
        <w:tc>
          <w:tcPr>
            <w:tcW w:w="1058" w:type="pct"/>
            <w:vAlign w:val="center"/>
          </w:tcPr>
          <w:p w14:paraId="2AC921E4" w14:textId="77777777" w:rsidR="00D134C5" w:rsidRPr="00DE1A22" w:rsidRDefault="00D134C5" w:rsidP="00D1684B">
            <w:pPr>
              <w:spacing w:before="100" w:beforeAutospacing="1" w:after="100" w:afterAutospacing="1"/>
              <w:jc w:val="center"/>
              <w:rPr>
                <w:rFonts w:eastAsia="Times New Roman"/>
                <w:sz w:val="24"/>
                <w:szCs w:val="24"/>
                <w:lang w:eastAsia="lv-LV"/>
              </w:rPr>
            </w:pPr>
            <w:r w:rsidRPr="00DE1A22">
              <w:rPr>
                <w:rFonts w:eastAsia="Times New Roman"/>
                <w:sz w:val="24"/>
                <w:szCs w:val="24"/>
                <w:lang w:eastAsia="lv-LV"/>
              </w:rPr>
              <w:t>Atbildīgās ministrijas norāde par to, ka iebildums ir ņemts vērā, vai informācija par saskaņošanā panākto alternatīvo risinājumu</w:t>
            </w:r>
          </w:p>
        </w:tc>
        <w:tc>
          <w:tcPr>
            <w:tcW w:w="1154" w:type="pct"/>
            <w:vAlign w:val="center"/>
          </w:tcPr>
          <w:p w14:paraId="0125E0B4" w14:textId="77777777" w:rsidR="00D134C5" w:rsidRPr="00DE1A22" w:rsidRDefault="00D134C5" w:rsidP="00D1684B">
            <w:pPr>
              <w:spacing w:before="100" w:beforeAutospacing="1" w:after="100" w:afterAutospacing="1"/>
              <w:jc w:val="center"/>
              <w:rPr>
                <w:rFonts w:eastAsia="Times New Roman"/>
                <w:sz w:val="24"/>
                <w:szCs w:val="24"/>
                <w:lang w:eastAsia="lv-LV"/>
              </w:rPr>
            </w:pPr>
            <w:r w:rsidRPr="00DE1A22">
              <w:rPr>
                <w:rFonts w:eastAsia="Times New Roman"/>
                <w:sz w:val="24"/>
                <w:szCs w:val="24"/>
                <w:lang w:eastAsia="lv-LV"/>
              </w:rPr>
              <w:t>Projekta attiecīgā punkta (panta) galīgā redakcija</w:t>
            </w:r>
          </w:p>
        </w:tc>
      </w:tr>
      <w:tr w:rsidR="00D134C5" w:rsidRPr="00DE1A22" w14:paraId="19EBDA4F" w14:textId="77777777" w:rsidTr="00B8198F">
        <w:trPr>
          <w:trHeight w:val="302"/>
        </w:trPr>
        <w:tc>
          <w:tcPr>
            <w:tcW w:w="254" w:type="pct"/>
          </w:tcPr>
          <w:p w14:paraId="58761B3E" w14:textId="77777777" w:rsidR="00D134C5" w:rsidRPr="00DE1A22" w:rsidRDefault="00D134C5" w:rsidP="00D1684B">
            <w:pPr>
              <w:spacing w:before="100" w:beforeAutospacing="1" w:after="100" w:afterAutospacing="1"/>
              <w:jc w:val="center"/>
              <w:rPr>
                <w:rFonts w:eastAsia="Times New Roman"/>
                <w:sz w:val="24"/>
                <w:szCs w:val="24"/>
                <w:lang w:eastAsia="lv-LV"/>
              </w:rPr>
            </w:pPr>
            <w:r w:rsidRPr="00DE1A22">
              <w:rPr>
                <w:rFonts w:eastAsia="Times New Roman"/>
                <w:sz w:val="24"/>
                <w:szCs w:val="24"/>
                <w:lang w:eastAsia="lv-LV"/>
              </w:rPr>
              <w:t>1</w:t>
            </w:r>
          </w:p>
        </w:tc>
        <w:tc>
          <w:tcPr>
            <w:tcW w:w="1043" w:type="pct"/>
          </w:tcPr>
          <w:p w14:paraId="46000E39" w14:textId="77777777" w:rsidR="00D134C5" w:rsidRPr="00DE1A22" w:rsidRDefault="00D134C5" w:rsidP="00D1684B">
            <w:pPr>
              <w:spacing w:before="100" w:beforeAutospacing="1" w:after="100" w:afterAutospacing="1"/>
              <w:jc w:val="center"/>
              <w:rPr>
                <w:rFonts w:eastAsia="Times New Roman"/>
                <w:sz w:val="24"/>
                <w:szCs w:val="24"/>
                <w:lang w:eastAsia="lv-LV"/>
              </w:rPr>
            </w:pPr>
            <w:r w:rsidRPr="00DE1A22">
              <w:rPr>
                <w:rFonts w:eastAsia="Times New Roman"/>
                <w:sz w:val="24"/>
                <w:szCs w:val="24"/>
                <w:lang w:eastAsia="lv-LV"/>
              </w:rPr>
              <w:t>2</w:t>
            </w:r>
          </w:p>
        </w:tc>
        <w:tc>
          <w:tcPr>
            <w:tcW w:w="1491" w:type="pct"/>
          </w:tcPr>
          <w:p w14:paraId="0B2E8A0F" w14:textId="77777777" w:rsidR="00D134C5" w:rsidRPr="00DE1A22" w:rsidRDefault="00D134C5" w:rsidP="00D1684B">
            <w:pPr>
              <w:spacing w:before="100" w:beforeAutospacing="1" w:after="100" w:afterAutospacing="1"/>
              <w:jc w:val="center"/>
              <w:rPr>
                <w:rFonts w:eastAsia="Times New Roman"/>
                <w:sz w:val="24"/>
                <w:szCs w:val="24"/>
                <w:lang w:eastAsia="lv-LV"/>
              </w:rPr>
            </w:pPr>
            <w:r w:rsidRPr="00DE1A22">
              <w:rPr>
                <w:rFonts w:eastAsia="Times New Roman"/>
                <w:sz w:val="24"/>
                <w:szCs w:val="24"/>
                <w:lang w:eastAsia="lv-LV"/>
              </w:rPr>
              <w:t>3</w:t>
            </w:r>
          </w:p>
        </w:tc>
        <w:tc>
          <w:tcPr>
            <w:tcW w:w="1058" w:type="pct"/>
          </w:tcPr>
          <w:p w14:paraId="137323C4" w14:textId="77777777" w:rsidR="00D134C5" w:rsidRPr="00DE1A22" w:rsidRDefault="00D134C5" w:rsidP="00D1684B">
            <w:pPr>
              <w:spacing w:before="100" w:beforeAutospacing="1" w:after="100" w:afterAutospacing="1"/>
              <w:jc w:val="center"/>
              <w:rPr>
                <w:rFonts w:eastAsia="Times New Roman"/>
                <w:sz w:val="24"/>
                <w:szCs w:val="24"/>
                <w:lang w:eastAsia="lv-LV"/>
              </w:rPr>
            </w:pPr>
            <w:r w:rsidRPr="00DE1A22">
              <w:rPr>
                <w:rFonts w:eastAsia="Times New Roman"/>
                <w:sz w:val="24"/>
                <w:szCs w:val="24"/>
                <w:lang w:eastAsia="lv-LV"/>
              </w:rPr>
              <w:t>4</w:t>
            </w:r>
          </w:p>
        </w:tc>
        <w:tc>
          <w:tcPr>
            <w:tcW w:w="1154" w:type="pct"/>
          </w:tcPr>
          <w:p w14:paraId="432FC02A" w14:textId="77777777" w:rsidR="00D134C5" w:rsidRPr="00DE1A22" w:rsidRDefault="00D134C5" w:rsidP="00D1684B">
            <w:pPr>
              <w:spacing w:before="100" w:beforeAutospacing="1" w:after="100" w:afterAutospacing="1"/>
              <w:jc w:val="center"/>
              <w:rPr>
                <w:rFonts w:eastAsia="Times New Roman"/>
                <w:sz w:val="24"/>
                <w:szCs w:val="24"/>
                <w:lang w:eastAsia="lv-LV"/>
              </w:rPr>
            </w:pPr>
            <w:r w:rsidRPr="00DE1A22">
              <w:rPr>
                <w:rFonts w:eastAsia="Times New Roman"/>
                <w:sz w:val="24"/>
                <w:szCs w:val="24"/>
                <w:lang w:eastAsia="lv-LV"/>
              </w:rPr>
              <w:t>5</w:t>
            </w:r>
          </w:p>
        </w:tc>
      </w:tr>
      <w:tr w:rsidR="00BE2F9B" w:rsidRPr="00DE1A22" w14:paraId="7F67A7D6" w14:textId="77777777" w:rsidTr="00BE2F9B">
        <w:tc>
          <w:tcPr>
            <w:tcW w:w="254" w:type="pct"/>
            <w:shd w:val="clear" w:color="auto" w:fill="auto"/>
          </w:tcPr>
          <w:p w14:paraId="4C15DD9E" w14:textId="6BBA3D1B" w:rsidR="00BE2F9B" w:rsidRPr="00DE1A22" w:rsidRDefault="00BE2F9B" w:rsidP="00BE2F9B">
            <w:pPr>
              <w:spacing w:before="100" w:beforeAutospacing="1" w:after="100" w:afterAutospacing="1"/>
              <w:jc w:val="center"/>
              <w:rPr>
                <w:rFonts w:eastAsia="Times New Roman"/>
                <w:sz w:val="24"/>
                <w:szCs w:val="24"/>
                <w:lang w:eastAsia="lv-LV"/>
              </w:rPr>
            </w:pPr>
            <w:r w:rsidRPr="00DE1A22">
              <w:rPr>
                <w:rFonts w:eastAsia="Times New Roman"/>
                <w:sz w:val="24"/>
                <w:szCs w:val="24"/>
                <w:lang w:eastAsia="lv-LV"/>
              </w:rPr>
              <w:t>1.</w:t>
            </w:r>
          </w:p>
        </w:tc>
        <w:tc>
          <w:tcPr>
            <w:tcW w:w="1043" w:type="pct"/>
          </w:tcPr>
          <w:p w14:paraId="7DE3E1FE" w14:textId="62C71E28" w:rsidR="00BE2F9B" w:rsidRPr="00DE1A22" w:rsidRDefault="00BE2F9B" w:rsidP="00BE2F9B">
            <w:pPr>
              <w:jc w:val="both"/>
              <w:rPr>
                <w:rFonts w:eastAsia="Times New Roman"/>
                <w:sz w:val="24"/>
                <w:szCs w:val="24"/>
                <w:lang w:eastAsia="lv-LV"/>
              </w:rPr>
            </w:pPr>
            <w:r>
              <w:rPr>
                <w:rFonts w:eastAsia="Times New Roman"/>
                <w:sz w:val="24"/>
                <w:szCs w:val="24"/>
                <w:lang w:eastAsia="lv-LV"/>
              </w:rPr>
              <w:t xml:space="preserve">Pamatnostādņu </w:t>
            </w:r>
            <w:r w:rsidRPr="00BE2F9B">
              <w:rPr>
                <w:rFonts w:eastAsia="Times New Roman"/>
                <w:b/>
                <w:sz w:val="24"/>
                <w:szCs w:val="24"/>
                <w:lang w:eastAsia="lv-LV"/>
              </w:rPr>
              <w:t>4.sadaļas 1. rīcības virziena</w:t>
            </w:r>
            <w:r w:rsidRPr="00DE1A22">
              <w:rPr>
                <w:rFonts w:eastAsia="Times New Roman"/>
                <w:sz w:val="24"/>
                <w:szCs w:val="24"/>
                <w:lang w:eastAsia="lv-LV"/>
              </w:rPr>
              <w:t xml:space="preserve"> “Atkarības profilakses, preventīvie, problemātiskā spēlētāja atbalsts un sabiedrības izglītojoši pasākumi” </w:t>
            </w:r>
            <w:r w:rsidRPr="00BE2F9B">
              <w:rPr>
                <w:rFonts w:eastAsia="Times New Roman"/>
                <w:b/>
                <w:sz w:val="24"/>
                <w:szCs w:val="24"/>
                <w:lang w:eastAsia="lv-LV"/>
              </w:rPr>
              <w:t xml:space="preserve">13. uzdevums </w:t>
            </w:r>
            <w:r w:rsidRPr="00DE1A22">
              <w:rPr>
                <w:rFonts w:eastAsia="Times New Roman"/>
                <w:sz w:val="24"/>
                <w:szCs w:val="24"/>
                <w:lang w:eastAsia="lv-LV"/>
              </w:rPr>
              <w:t xml:space="preserve"> “AIL noteikt ierobežojumu darba laikam azartspēļu zālēs, sākot no 3:00  līdz  6:00. Nodrošināt interaktīvajā vidē ierobežojumu dalībai interaktīvajās azartspēlēs, paredzot trīs stundu pārtraukumu diennakts laikā.”</w:t>
            </w:r>
          </w:p>
        </w:tc>
        <w:tc>
          <w:tcPr>
            <w:tcW w:w="1491" w:type="pct"/>
          </w:tcPr>
          <w:p w14:paraId="5C8EDBD9" w14:textId="77777777" w:rsidR="00BE2F9B" w:rsidRDefault="00BE2F9B" w:rsidP="00BE2F9B">
            <w:pPr>
              <w:jc w:val="center"/>
              <w:rPr>
                <w:rFonts w:eastAsia="Times New Roman"/>
                <w:b/>
                <w:sz w:val="24"/>
                <w:szCs w:val="24"/>
              </w:rPr>
            </w:pPr>
            <w:r>
              <w:rPr>
                <w:rFonts w:eastAsia="Times New Roman"/>
                <w:b/>
                <w:sz w:val="24"/>
                <w:szCs w:val="24"/>
              </w:rPr>
              <w:t>LPS</w:t>
            </w:r>
          </w:p>
          <w:p w14:paraId="0BDCCD5C" w14:textId="5F0BA391" w:rsidR="00BE2F9B" w:rsidRPr="00DE1A22" w:rsidRDefault="00BE2F9B" w:rsidP="00BE2F9B">
            <w:pPr>
              <w:jc w:val="center"/>
              <w:rPr>
                <w:rFonts w:eastAsia="Times New Roman"/>
                <w:b/>
                <w:sz w:val="24"/>
                <w:szCs w:val="24"/>
              </w:rPr>
            </w:pPr>
            <w:r w:rsidRPr="00DE1A22">
              <w:rPr>
                <w:rFonts w:eastAsia="Times New Roman"/>
                <w:b/>
                <w:sz w:val="24"/>
                <w:szCs w:val="24"/>
              </w:rPr>
              <w:t xml:space="preserve"> (11.03.2020. Nr.202003/INIC143)</w:t>
            </w:r>
          </w:p>
          <w:p w14:paraId="2A61C72F" w14:textId="30BEFA52" w:rsidR="00BE2F9B" w:rsidRPr="00DE1A22" w:rsidRDefault="00BE2F9B" w:rsidP="00BE2F9B">
            <w:pPr>
              <w:contextualSpacing/>
              <w:jc w:val="both"/>
              <w:rPr>
                <w:rFonts w:eastAsia="Times New Roman"/>
                <w:b/>
                <w:sz w:val="24"/>
                <w:szCs w:val="24"/>
              </w:rPr>
            </w:pPr>
            <w:r w:rsidRPr="00DE1A22">
              <w:rPr>
                <w:rFonts w:eastAsia="Times New Roman"/>
                <w:sz w:val="24"/>
                <w:szCs w:val="24"/>
              </w:rPr>
              <w:t>Paredzēt tiesības pašvaldībām to administratīvajā teritorijā noteikt azartspēļu zālēm maksimālo darba stundu skaitu diennaktī un attiecīgi azartspēļu zāļu darba laika pārtraukumu, kā arī tiesības noteikt maksimālo azartspēļu automātu skaitu.</w:t>
            </w:r>
          </w:p>
        </w:tc>
        <w:tc>
          <w:tcPr>
            <w:tcW w:w="1058" w:type="pct"/>
          </w:tcPr>
          <w:p w14:paraId="2995E299" w14:textId="7233F99A" w:rsidR="00BE2F9B" w:rsidRPr="00DE1A22" w:rsidRDefault="00BE2F9B" w:rsidP="00BE2F9B">
            <w:pPr>
              <w:jc w:val="center"/>
              <w:rPr>
                <w:rFonts w:eastAsia="Times New Roman"/>
                <w:b/>
                <w:bCs/>
                <w:sz w:val="24"/>
                <w:szCs w:val="24"/>
                <w:lang w:eastAsia="lv-LV"/>
              </w:rPr>
            </w:pPr>
            <w:r>
              <w:rPr>
                <w:rFonts w:eastAsia="Times New Roman"/>
                <w:b/>
                <w:bCs/>
                <w:sz w:val="24"/>
                <w:szCs w:val="24"/>
                <w:lang w:eastAsia="lv-LV"/>
              </w:rPr>
              <w:t>Panākta vienošanās 13.01.2021. starpministriju (starpinstitūciju</w:t>
            </w:r>
            <w:r w:rsidR="00AD58B4">
              <w:rPr>
                <w:rFonts w:eastAsia="Times New Roman"/>
                <w:b/>
                <w:bCs/>
                <w:sz w:val="24"/>
                <w:szCs w:val="24"/>
                <w:lang w:eastAsia="lv-LV"/>
              </w:rPr>
              <w:t>) sanāksmē</w:t>
            </w:r>
          </w:p>
          <w:p w14:paraId="04231DEF" w14:textId="39505E03" w:rsidR="00BE2F9B" w:rsidRPr="00DE1A22" w:rsidRDefault="00BE2F9B" w:rsidP="00BE2F9B">
            <w:pPr>
              <w:jc w:val="both"/>
              <w:rPr>
                <w:rFonts w:eastAsia="Times New Roman"/>
                <w:b/>
                <w:bCs/>
                <w:sz w:val="24"/>
                <w:szCs w:val="24"/>
                <w:lang w:eastAsia="lv-LV"/>
              </w:rPr>
            </w:pPr>
          </w:p>
        </w:tc>
        <w:tc>
          <w:tcPr>
            <w:tcW w:w="1154" w:type="pct"/>
          </w:tcPr>
          <w:p w14:paraId="524014B8" w14:textId="6DB8471D" w:rsidR="00BE2F9B" w:rsidRPr="00A27D49" w:rsidRDefault="00BE2F9B" w:rsidP="00BE2F9B">
            <w:pPr>
              <w:jc w:val="both"/>
              <w:rPr>
                <w:rFonts w:eastAsia="Times New Roman"/>
                <w:sz w:val="24"/>
                <w:szCs w:val="24"/>
              </w:rPr>
            </w:pPr>
            <w:r w:rsidRPr="00A27D49">
              <w:rPr>
                <w:rFonts w:eastAsia="Times New Roman"/>
                <w:sz w:val="24"/>
                <w:szCs w:val="24"/>
                <w:lang w:eastAsia="lv-LV"/>
              </w:rPr>
              <w:t xml:space="preserve">Pamatnostādņu </w:t>
            </w:r>
            <w:r w:rsidRPr="00A27D49">
              <w:rPr>
                <w:rFonts w:eastAsia="Times New Roman"/>
                <w:b/>
                <w:sz w:val="24"/>
                <w:szCs w:val="24"/>
                <w:lang w:eastAsia="lv-LV"/>
              </w:rPr>
              <w:t>4.sadaļas 1. rīcības virziena</w:t>
            </w:r>
            <w:r w:rsidRPr="00A27D49">
              <w:rPr>
                <w:rFonts w:eastAsia="Times New Roman"/>
                <w:sz w:val="24"/>
                <w:szCs w:val="24"/>
                <w:lang w:eastAsia="lv-LV"/>
              </w:rPr>
              <w:t xml:space="preserve"> “Atkarības profilakses, preventīvie, problemātiskā spēlētāja atbalsts un sabiedrības izglītojoši pasākumi” </w:t>
            </w:r>
            <w:r w:rsidRPr="00A27D49">
              <w:rPr>
                <w:rFonts w:eastAsia="Times New Roman"/>
                <w:b/>
                <w:sz w:val="24"/>
                <w:szCs w:val="24"/>
                <w:lang w:eastAsia="lv-LV"/>
              </w:rPr>
              <w:t xml:space="preserve">12. uzdevums </w:t>
            </w:r>
            <w:r w:rsidRPr="00A27D49">
              <w:rPr>
                <w:rFonts w:eastAsia="Times New Roman"/>
                <w:sz w:val="24"/>
                <w:szCs w:val="24"/>
                <w:lang w:eastAsia="lv-LV"/>
              </w:rPr>
              <w:t xml:space="preserve"> “</w:t>
            </w:r>
            <w:r w:rsidRPr="00A27D49">
              <w:rPr>
                <w:rFonts w:eastAsia="Helvetica"/>
                <w:sz w:val="24"/>
                <w:szCs w:val="24"/>
              </w:rPr>
              <w:t>Normatīvajos aktos</w:t>
            </w:r>
            <w:r w:rsidRPr="00A27D49">
              <w:rPr>
                <w:color w:val="000000" w:themeColor="text1"/>
                <w:sz w:val="24"/>
                <w:szCs w:val="24"/>
              </w:rPr>
              <w:t xml:space="preserve"> noteikt ierobežojumu darba laikam azartspēlēm, sākot no 6.00 līdz 9.00, izņemot totalizatoru un derību likmju pieņemšanas vietas.</w:t>
            </w:r>
            <w:r w:rsidRPr="00A27D49">
              <w:rPr>
                <w:rFonts w:eastAsia="Times New Roman"/>
                <w:sz w:val="24"/>
                <w:szCs w:val="24"/>
                <w:lang w:eastAsia="lv-LV"/>
              </w:rPr>
              <w:t>”</w:t>
            </w:r>
          </w:p>
        </w:tc>
      </w:tr>
      <w:tr w:rsidR="00BE2F9B" w:rsidRPr="00DE1A22" w14:paraId="225D0347" w14:textId="77777777" w:rsidTr="00BE2F9B">
        <w:tc>
          <w:tcPr>
            <w:tcW w:w="254" w:type="pct"/>
            <w:shd w:val="clear" w:color="auto" w:fill="auto"/>
          </w:tcPr>
          <w:p w14:paraId="75F67E8C" w14:textId="33D06CB2" w:rsidR="00BE2F9B" w:rsidRPr="00DE1A22" w:rsidRDefault="00BE2F9B" w:rsidP="00BE2F9B">
            <w:pPr>
              <w:spacing w:before="100" w:beforeAutospacing="1" w:after="100" w:afterAutospacing="1"/>
              <w:jc w:val="center"/>
              <w:rPr>
                <w:rFonts w:eastAsia="Times New Roman"/>
                <w:sz w:val="24"/>
                <w:szCs w:val="24"/>
                <w:lang w:eastAsia="lv-LV"/>
              </w:rPr>
            </w:pPr>
            <w:r>
              <w:rPr>
                <w:rFonts w:eastAsia="Times New Roman"/>
                <w:sz w:val="24"/>
                <w:szCs w:val="24"/>
                <w:lang w:eastAsia="lv-LV"/>
              </w:rPr>
              <w:t>2</w:t>
            </w:r>
            <w:r w:rsidRPr="00DE1A22">
              <w:rPr>
                <w:rFonts w:eastAsia="Times New Roman"/>
                <w:sz w:val="24"/>
                <w:szCs w:val="24"/>
                <w:lang w:eastAsia="lv-LV"/>
              </w:rPr>
              <w:t>.</w:t>
            </w:r>
          </w:p>
        </w:tc>
        <w:tc>
          <w:tcPr>
            <w:tcW w:w="1043" w:type="pct"/>
            <w:shd w:val="clear" w:color="auto" w:fill="auto"/>
          </w:tcPr>
          <w:p w14:paraId="0C61BF58" w14:textId="3D3A36FF" w:rsidR="00BE2F9B" w:rsidRPr="00DE1A22" w:rsidRDefault="00BE2F9B" w:rsidP="00BE2F9B">
            <w:pPr>
              <w:jc w:val="both"/>
              <w:rPr>
                <w:rFonts w:eastAsia="Times New Roman"/>
                <w:sz w:val="24"/>
                <w:szCs w:val="24"/>
                <w:lang w:eastAsia="lv-LV"/>
              </w:rPr>
            </w:pPr>
          </w:p>
        </w:tc>
        <w:tc>
          <w:tcPr>
            <w:tcW w:w="1491" w:type="pct"/>
            <w:shd w:val="clear" w:color="auto" w:fill="auto"/>
          </w:tcPr>
          <w:p w14:paraId="75F8D8EE" w14:textId="77777777" w:rsidR="00BE2F9B" w:rsidRDefault="00BE2F9B" w:rsidP="00BE2F9B">
            <w:pPr>
              <w:tabs>
                <w:tab w:val="left" w:pos="1666"/>
              </w:tabs>
              <w:jc w:val="center"/>
              <w:rPr>
                <w:rFonts w:eastAsia="Times New Roman"/>
                <w:b/>
                <w:sz w:val="24"/>
                <w:szCs w:val="24"/>
              </w:rPr>
            </w:pPr>
            <w:r>
              <w:rPr>
                <w:rFonts w:eastAsia="Times New Roman"/>
                <w:b/>
                <w:sz w:val="24"/>
                <w:szCs w:val="24"/>
              </w:rPr>
              <w:t>LIAB</w:t>
            </w:r>
          </w:p>
          <w:p w14:paraId="47961812" w14:textId="21C3F774" w:rsidR="00BE2F9B" w:rsidRPr="00DE1A22" w:rsidRDefault="00BE2F9B" w:rsidP="00BE2F9B">
            <w:pPr>
              <w:tabs>
                <w:tab w:val="left" w:pos="1666"/>
              </w:tabs>
              <w:jc w:val="center"/>
              <w:rPr>
                <w:rFonts w:eastAsia="Times New Roman"/>
                <w:b/>
                <w:sz w:val="24"/>
                <w:szCs w:val="24"/>
              </w:rPr>
            </w:pPr>
            <w:r w:rsidRPr="00DE1A22">
              <w:rPr>
                <w:rFonts w:eastAsia="Times New Roman"/>
                <w:b/>
                <w:sz w:val="24"/>
                <w:szCs w:val="24"/>
              </w:rPr>
              <w:t xml:space="preserve"> (06.03.2020.)</w:t>
            </w:r>
          </w:p>
          <w:p w14:paraId="64264C65" w14:textId="77777777" w:rsidR="00BE2F9B" w:rsidRPr="00DE1A22" w:rsidRDefault="00BE2F9B" w:rsidP="00BE2F9B">
            <w:pPr>
              <w:tabs>
                <w:tab w:val="left" w:pos="1666"/>
              </w:tabs>
              <w:jc w:val="both"/>
              <w:rPr>
                <w:rFonts w:eastAsia="Times New Roman"/>
                <w:sz w:val="24"/>
                <w:szCs w:val="24"/>
              </w:rPr>
            </w:pPr>
            <w:r w:rsidRPr="00DE1A22">
              <w:rPr>
                <w:rFonts w:eastAsia="Times New Roman"/>
                <w:sz w:val="24"/>
                <w:szCs w:val="24"/>
              </w:rPr>
              <w:t xml:space="preserve">LIAB Pamatnostādņu apspriešanas sanāksmē aicināja Pamatnostādņu 4. sadaļas 5. Rīcības virzienu “Azartspēļu un izložu nozares attīstības tendenču monitorings” papildināt 6. uzdevumu šādā redakcijā: </w:t>
            </w:r>
          </w:p>
          <w:p w14:paraId="2C4DA113" w14:textId="77777777" w:rsidR="00BE2F9B" w:rsidRPr="00DE1A22" w:rsidRDefault="00BE2F9B" w:rsidP="00BE2F9B">
            <w:pPr>
              <w:tabs>
                <w:tab w:val="left" w:pos="1666"/>
              </w:tabs>
              <w:jc w:val="both"/>
              <w:rPr>
                <w:rFonts w:eastAsia="Times New Roman"/>
                <w:sz w:val="24"/>
                <w:szCs w:val="24"/>
              </w:rPr>
            </w:pPr>
            <w:r w:rsidRPr="00DE1A22">
              <w:rPr>
                <w:rFonts w:eastAsia="Times New Roman"/>
                <w:b/>
                <w:sz w:val="24"/>
                <w:szCs w:val="24"/>
              </w:rPr>
              <w:t>Papildināt AIL ar jauniem spēļu veidiem un paplašināt iespējamos norēķinu veidus, tādejādi modernizējot normatīvo regulējumu un uzlabojot licencēto azartspēļu organizētāju konkurētspēju ar nelegālo tirgu.</w:t>
            </w:r>
            <w:r w:rsidRPr="00DE1A22">
              <w:rPr>
                <w:rFonts w:eastAsia="Times New Roman"/>
                <w:sz w:val="24"/>
                <w:szCs w:val="24"/>
              </w:rPr>
              <w:t>”</w:t>
            </w:r>
          </w:p>
          <w:p w14:paraId="39291C56" w14:textId="77777777" w:rsidR="00BE2F9B" w:rsidRPr="00DE1A22" w:rsidRDefault="00BE2F9B" w:rsidP="00BE2F9B">
            <w:pPr>
              <w:tabs>
                <w:tab w:val="left" w:pos="1666"/>
              </w:tabs>
              <w:jc w:val="both"/>
              <w:rPr>
                <w:rFonts w:eastAsia="Times New Roman"/>
                <w:sz w:val="24"/>
                <w:szCs w:val="24"/>
              </w:rPr>
            </w:pPr>
            <w:r w:rsidRPr="00DE1A22">
              <w:rPr>
                <w:rFonts w:eastAsia="Times New Roman"/>
                <w:sz w:val="24"/>
                <w:szCs w:val="24"/>
              </w:rPr>
              <w:lastRenderedPageBreak/>
              <w:t>Šādi papildinājumi ir nepieciešami tā iemesla dēļ, jo kopš 2006. gada, kad spēkā stājas AIL, ir notikusi strauja tehnoloģiju un interaktīvo azartspēļu nozares attīstība. Ir parādījušies gan daudzi jauni maksājumu veikšanas veidi, gan arī izveidojušies vairāki jauni interaktīvo azartspēļu produkti, kurus Latvijā nav iespējams piedāvāt, jo tie neatbilst nevienam no AIL noteiktajiem azartspēļu veidiem. Sīkāks skaidrojums un pamatojums nepieciešamībai modernizēt AIL un to attiecināt arī uz jaunākajiem azartspēļu veidiem, ir pieejams šā dokumenta pielikumā.</w:t>
            </w:r>
          </w:p>
          <w:p w14:paraId="1CF63776" w14:textId="7930DF30" w:rsidR="00BE2F9B" w:rsidRPr="00DE1A22" w:rsidRDefault="00BE2F9B" w:rsidP="00BE2F9B">
            <w:pPr>
              <w:contextualSpacing/>
              <w:jc w:val="both"/>
              <w:rPr>
                <w:rFonts w:eastAsia="Times New Roman"/>
                <w:b/>
                <w:sz w:val="24"/>
                <w:szCs w:val="24"/>
              </w:rPr>
            </w:pPr>
            <w:r w:rsidRPr="00DE1A22">
              <w:rPr>
                <w:rFonts w:eastAsia="Times New Roman"/>
                <w:b/>
                <w:sz w:val="24"/>
                <w:szCs w:val="24"/>
              </w:rPr>
              <w:t>Tādēļ LIAB aicina Pamatnostādņu 4. sadaļas 5. Rīcības virzienu “Azartspēļu un izložu nozares attīstības tendenču monitorings” papildināt ar 6. uzdevumu.</w:t>
            </w:r>
          </w:p>
        </w:tc>
        <w:tc>
          <w:tcPr>
            <w:tcW w:w="1058" w:type="pct"/>
            <w:shd w:val="clear" w:color="auto" w:fill="auto"/>
          </w:tcPr>
          <w:p w14:paraId="73C38482" w14:textId="3B5F0695" w:rsidR="00BE2F9B" w:rsidRPr="00DE1A22" w:rsidRDefault="00BE2F9B" w:rsidP="00BE2F9B">
            <w:pPr>
              <w:jc w:val="center"/>
              <w:rPr>
                <w:rFonts w:eastAsia="Times New Roman"/>
                <w:b/>
                <w:bCs/>
                <w:sz w:val="24"/>
                <w:szCs w:val="24"/>
                <w:lang w:eastAsia="lv-LV"/>
              </w:rPr>
            </w:pPr>
            <w:r>
              <w:rPr>
                <w:rFonts w:eastAsia="Times New Roman"/>
                <w:b/>
                <w:bCs/>
                <w:sz w:val="24"/>
                <w:szCs w:val="24"/>
                <w:lang w:eastAsia="lv-LV"/>
              </w:rPr>
              <w:lastRenderedPageBreak/>
              <w:t>Panākta vienošanās 13.01.2021. starpministriju (starpinstitūciju</w:t>
            </w:r>
            <w:r w:rsidR="00DB3F7F">
              <w:rPr>
                <w:rFonts w:eastAsia="Times New Roman"/>
                <w:b/>
                <w:bCs/>
                <w:sz w:val="24"/>
                <w:szCs w:val="24"/>
                <w:lang w:eastAsia="lv-LV"/>
              </w:rPr>
              <w:t>) sanāksmē</w:t>
            </w:r>
          </w:p>
          <w:p w14:paraId="2CBA6EF4" w14:textId="7815B4BC" w:rsidR="00BE2F9B" w:rsidRPr="00DE1A22" w:rsidRDefault="00BE2F9B" w:rsidP="00BE2F9B">
            <w:pPr>
              <w:jc w:val="both"/>
              <w:rPr>
                <w:rFonts w:eastAsia="Times New Roman"/>
                <w:b/>
                <w:bCs/>
                <w:sz w:val="24"/>
                <w:szCs w:val="24"/>
                <w:lang w:eastAsia="lv-LV"/>
              </w:rPr>
            </w:pPr>
          </w:p>
        </w:tc>
        <w:tc>
          <w:tcPr>
            <w:tcW w:w="1154" w:type="pct"/>
            <w:shd w:val="clear" w:color="auto" w:fill="auto"/>
          </w:tcPr>
          <w:p w14:paraId="073F4C41" w14:textId="77777777" w:rsidR="00BE2F9B" w:rsidRPr="00DE1A22" w:rsidRDefault="00BE2F9B" w:rsidP="00BE2F9B">
            <w:pPr>
              <w:jc w:val="both"/>
              <w:rPr>
                <w:rFonts w:eastAsia="Times New Roman"/>
                <w:sz w:val="24"/>
                <w:szCs w:val="24"/>
              </w:rPr>
            </w:pPr>
          </w:p>
        </w:tc>
      </w:tr>
      <w:tr w:rsidR="00BE2F9B" w:rsidRPr="00DE1A22" w14:paraId="4F00656F" w14:textId="77777777" w:rsidTr="00BE2F9B">
        <w:tc>
          <w:tcPr>
            <w:tcW w:w="254" w:type="pct"/>
            <w:shd w:val="clear" w:color="auto" w:fill="auto"/>
          </w:tcPr>
          <w:p w14:paraId="6D44A3E0" w14:textId="4E3F83ED" w:rsidR="00BE2F9B" w:rsidRPr="00DE1A22" w:rsidRDefault="00BE2F9B" w:rsidP="00BE2F9B">
            <w:pPr>
              <w:spacing w:before="100" w:beforeAutospacing="1" w:after="100" w:afterAutospacing="1"/>
              <w:jc w:val="center"/>
              <w:rPr>
                <w:rFonts w:eastAsia="Times New Roman"/>
                <w:sz w:val="24"/>
                <w:szCs w:val="24"/>
                <w:lang w:eastAsia="lv-LV"/>
              </w:rPr>
            </w:pPr>
            <w:r>
              <w:rPr>
                <w:rFonts w:eastAsia="Times New Roman"/>
                <w:sz w:val="24"/>
                <w:szCs w:val="24"/>
                <w:lang w:eastAsia="lv-LV"/>
              </w:rPr>
              <w:t>3</w:t>
            </w:r>
            <w:r w:rsidRPr="00DE1A22">
              <w:rPr>
                <w:rFonts w:eastAsia="Times New Roman"/>
                <w:sz w:val="24"/>
                <w:szCs w:val="24"/>
                <w:lang w:eastAsia="lv-LV"/>
              </w:rPr>
              <w:t>.</w:t>
            </w:r>
          </w:p>
        </w:tc>
        <w:tc>
          <w:tcPr>
            <w:tcW w:w="1043" w:type="pct"/>
            <w:shd w:val="clear" w:color="auto" w:fill="auto"/>
          </w:tcPr>
          <w:p w14:paraId="7D4FB77E" w14:textId="386C2D22" w:rsidR="00BE2F9B" w:rsidRPr="00DE1A22" w:rsidRDefault="00BE2F9B" w:rsidP="00BE2F9B">
            <w:pPr>
              <w:jc w:val="both"/>
              <w:rPr>
                <w:rFonts w:eastAsia="Times New Roman"/>
                <w:sz w:val="24"/>
                <w:szCs w:val="24"/>
                <w:lang w:eastAsia="lv-LV"/>
              </w:rPr>
            </w:pPr>
            <w:r w:rsidRPr="00DE1A22">
              <w:rPr>
                <w:rFonts w:eastAsia="Times New Roman"/>
                <w:sz w:val="24"/>
                <w:szCs w:val="24"/>
                <w:lang w:eastAsia="lv-LV"/>
              </w:rPr>
              <w:t xml:space="preserve">Pamatnostādņu </w:t>
            </w:r>
            <w:r w:rsidRPr="00BE2F9B">
              <w:rPr>
                <w:rFonts w:eastAsia="Times New Roman"/>
                <w:b/>
                <w:sz w:val="24"/>
                <w:szCs w:val="24"/>
                <w:lang w:eastAsia="lv-LV"/>
              </w:rPr>
              <w:t xml:space="preserve">4. sadaļas 6. rīcības virziena </w:t>
            </w:r>
            <w:r w:rsidRPr="00DE1A22">
              <w:rPr>
                <w:rFonts w:eastAsia="Times New Roman"/>
                <w:sz w:val="24"/>
                <w:szCs w:val="24"/>
                <w:lang w:eastAsia="lv-LV"/>
              </w:rPr>
              <w:t xml:space="preserve">“IAUI veiktā uzraudzības procesa pilnveidošana” </w:t>
            </w:r>
            <w:r w:rsidRPr="00BE2F9B">
              <w:rPr>
                <w:rFonts w:eastAsia="Times New Roman"/>
                <w:b/>
                <w:sz w:val="24"/>
                <w:szCs w:val="24"/>
                <w:lang w:eastAsia="lv-LV"/>
              </w:rPr>
              <w:t>3. uzdevums</w:t>
            </w:r>
            <w:r w:rsidRPr="00DE1A22">
              <w:rPr>
                <w:rFonts w:eastAsia="Times New Roman"/>
                <w:sz w:val="24"/>
                <w:szCs w:val="24"/>
                <w:lang w:eastAsia="lv-LV"/>
              </w:rPr>
              <w:t xml:space="preserve"> “Veikt grozījumus AIL, pagarināt video ieraksta glabāšanas termiņu līdz 30 dienām”.</w:t>
            </w:r>
          </w:p>
        </w:tc>
        <w:tc>
          <w:tcPr>
            <w:tcW w:w="1491" w:type="pct"/>
            <w:shd w:val="clear" w:color="auto" w:fill="auto"/>
          </w:tcPr>
          <w:p w14:paraId="62ABBFBD" w14:textId="77777777" w:rsidR="00BE2F9B" w:rsidRDefault="00BE2F9B" w:rsidP="00BE2F9B">
            <w:pPr>
              <w:jc w:val="center"/>
              <w:rPr>
                <w:rFonts w:eastAsia="Times New Roman"/>
                <w:b/>
                <w:sz w:val="24"/>
                <w:szCs w:val="24"/>
              </w:rPr>
            </w:pPr>
            <w:r>
              <w:rPr>
                <w:rFonts w:eastAsia="Times New Roman"/>
                <w:b/>
                <w:sz w:val="24"/>
                <w:szCs w:val="24"/>
              </w:rPr>
              <w:t>LSBA</w:t>
            </w:r>
          </w:p>
          <w:p w14:paraId="290C3131" w14:textId="70009D9F" w:rsidR="00BE2F9B" w:rsidRPr="00DE1A22" w:rsidRDefault="00BE2F9B" w:rsidP="00BE2F9B">
            <w:pPr>
              <w:jc w:val="center"/>
              <w:rPr>
                <w:rFonts w:eastAsia="Times New Roman"/>
                <w:b/>
                <w:sz w:val="24"/>
                <w:szCs w:val="24"/>
              </w:rPr>
            </w:pPr>
            <w:r w:rsidRPr="00DE1A22">
              <w:rPr>
                <w:rFonts w:eastAsia="Times New Roman"/>
                <w:b/>
                <w:sz w:val="24"/>
                <w:szCs w:val="24"/>
              </w:rPr>
              <w:t xml:space="preserve"> (05.03.2020. Nr.6/20)</w:t>
            </w:r>
          </w:p>
          <w:p w14:paraId="53C7F559" w14:textId="77777777" w:rsidR="00BE2F9B" w:rsidRPr="00DE1A22" w:rsidRDefault="00BE2F9B" w:rsidP="00BE2F9B">
            <w:pPr>
              <w:jc w:val="both"/>
              <w:rPr>
                <w:rFonts w:eastAsia="Times New Roman"/>
                <w:sz w:val="24"/>
                <w:szCs w:val="24"/>
              </w:rPr>
            </w:pPr>
            <w:r w:rsidRPr="00DE1A22">
              <w:rPr>
                <w:rFonts w:eastAsia="Times New Roman"/>
                <w:sz w:val="24"/>
                <w:szCs w:val="24"/>
              </w:rPr>
              <w:t>Lūdzam 6.rīcības virziena “IAUI veiktā uzraudzības procesa pilnveidošana” 3.uzdevumā “Veikt grozījumus AIL, pagarināt video ieraksta glabāšanas termiņu” paredzēt 14 dienu termiņu.</w:t>
            </w:r>
          </w:p>
          <w:p w14:paraId="763F44FF" w14:textId="391C3B4A" w:rsidR="00BE2F9B" w:rsidRPr="00DE1A22" w:rsidRDefault="00BE2F9B" w:rsidP="00BE2F9B">
            <w:pPr>
              <w:contextualSpacing/>
              <w:jc w:val="both"/>
              <w:rPr>
                <w:rFonts w:eastAsia="Times New Roman"/>
                <w:b/>
                <w:sz w:val="24"/>
                <w:szCs w:val="24"/>
              </w:rPr>
            </w:pPr>
            <w:r w:rsidRPr="00DE1A22">
              <w:rPr>
                <w:rFonts w:eastAsia="Times New Roman"/>
                <w:sz w:val="24"/>
                <w:szCs w:val="24"/>
              </w:rPr>
              <w:t>Vēršam uzmanību, ka katrā spēļu zālē ir vidēji līdz pat 18 kamerām, 30 dienās uzkrātais datu apjoms ir liels un ierakstu pienācīgā kvalitātē glabāšana prasītu papildu resursus azartspēļu organizētājiem (līdz pat 6000 EUR vienas spēļu zāles aprīkošanai). Ņemot vērā nepieciešamās investīcijas, lūdzam kā uzdevuma izpildes termiņu noteikt 2023.gadu.</w:t>
            </w:r>
          </w:p>
        </w:tc>
        <w:tc>
          <w:tcPr>
            <w:tcW w:w="1058" w:type="pct"/>
            <w:shd w:val="clear" w:color="auto" w:fill="auto"/>
          </w:tcPr>
          <w:p w14:paraId="7446DDF3" w14:textId="040E153D" w:rsidR="00BE2F9B" w:rsidRPr="00DE1A22" w:rsidRDefault="00BE2F9B" w:rsidP="00BE2F9B">
            <w:pPr>
              <w:jc w:val="center"/>
              <w:rPr>
                <w:rFonts w:eastAsia="Times New Roman"/>
                <w:b/>
                <w:bCs/>
                <w:sz w:val="24"/>
                <w:szCs w:val="24"/>
                <w:lang w:eastAsia="lv-LV"/>
              </w:rPr>
            </w:pPr>
            <w:r>
              <w:rPr>
                <w:rFonts w:eastAsia="Times New Roman"/>
                <w:b/>
                <w:bCs/>
                <w:sz w:val="24"/>
                <w:szCs w:val="24"/>
                <w:lang w:eastAsia="lv-LV"/>
              </w:rPr>
              <w:t>Panākta vienošanās 13.01.2021. starpministriju (starpinstitūciju</w:t>
            </w:r>
            <w:r w:rsidR="00BA0E10">
              <w:rPr>
                <w:rFonts w:eastAsia="Times New Roman"/>
                <w:b/>
                <w:bCs/>
                <w:sz w:val="24"/>
                <w:szCs w:val="24"/>
                <w:lang w:eastAsia="lv-LV"/>
              </w:rPr>
              <w:t>)</w:t>
            </w:r>
            <w:r>
              <w:rPr>
                <w:rFonts w:eastAsia="Times New Roman"/>
                <w:b/>
                <w:bCs/>
                <w:sz w:val="24"/>
                <w:szCs w:val="24"/>
                <w:lang w:eastAsia="lv-LV"/>
              </w:rPr>
              <w:t xml:space="preserve"> san</w:t>
            </w:r>
            <w:r w:rsidR="00BA0E10">
              <w:rPr>
                <w:rFonts w:eastAsia="Times New Roman"/>
                <w:b/>
                <w:bCs/>
                <w:sz w:val="24"/>
                <w:szCs w:val="24"/>
                <w:lang w:eastAsia="lv-LV"/>
              </w:rPr>
              <w:t>āksmē</w:t>
            </w:r>
          </w:p>
        </w:tc>
        <w:tc>
          <w:tcPr>
            <w:tcW w:w="1154" w:type="pct"/>
          </w:tcPr>
          <w:p w14:paraId="5DBDA218" w14:textId="781FD6F3" w:rsidR="00BE2F9B" w:rsidRPr="00DE1A22" w:rsidRDefault="00BE2F9B" w:rsidP="00BE2F9B">
            <w:pPr>
              <w:jc w:val="both"/>
              <w:rPr>
                <w:rFonts w:eastAsia="Times New Roman"/>
                <w:sz w:val="24"/>
                <w:szCs w:val="24"/>
              </w:rPr>
            </w:pPr>
            <w:r w:rsidRPr="00DE1A22">
              <w:rPr>
                <w:rFonts w:eastAsia="Times New Roman"/>
                <w:sz w:val="24"/>
                <w:szCs w:val="24"/>
                <w:lang w:eastAsia="lv-LV"/>
              </w:rPr>
              <w:t xml:space="preserve">Pamatnostādņu </w:t>
            </w:r>
            <w:r w:rsidRPr="00BE2F9B">
              <w:rPr>
                <w:rFonts w:eastAsia="Times New Roman"/>
                <w:b/>
                <w:sz w:val="24"/>
                <w:szCs w:val="24"/>
                <w:lang w:eastAsia="lv-LV"/>
              </w:rPr>
              <w:t xml:space="preserve">4. sadaļas 6. rīcības virziena </w:t>
            </w:r>
            <w:r w:rsidRPr="00DE1A22">
              <w:rPr>
                <w:rFonts w:eastAsia="Times New Roman"/>
                <w:sz w:val="24"/>
                <w:szCs w:val="24"/>
                <w:lang w:eastAsia="lv-LV"/>
              </w:rPr>
              <w:t xml:space="preserve">“IAUI veiktā uzraudzības procesa pilnveidošana” </w:t>
            </w:r>
            <w:r w:rsidRPr="00BE2F9B">
              <w:rPr>
                <w:rFonts w:eastAsia="Times New Roman"/>
                <w:b/>
                <w:sz w:val="24"/>
                <w:szCs w:val="24"/>
                <w:lang w:eastAsia="lv-LV"/>
              </w:rPr>
              <w:t>3. uzdevums</w:t>
            </w:r>
            <w:r w:rsidRPr="00DE1A22">
              <w:rPr>
                <w:rFonts w:eastAsia="Times New Roman"/>
                <w:sz w:val="24"/>
                <w:szCs w:val="24"/>
                <w:lang w:eastAsia="lv-LV"/>
              </w:rPr>
              <w:t xml:space="preserve"> “</w:t>
            </w:r>
            <w:r>
              <w:t xml:space="preserve"> </w:t>
            </w:r>
            <w:r w:rsidRPr="00BE2F9B">
              <w:rPr>
                <w:rFonts w:eastAsia="Times New Roman"/>
                <w:sz w:val="24"/>
                <w:szCs w:val="24"/>
                <w:lang w:eastAsia="lv-LV"/>
              </w:rPr>
              <w:t>Nodrošināt video ieraksta glabāšanas termiņu azartspēļu organizēšanas vietās līdz 30 dienām</w:t>
            </w:r>
            <w:r w:rsidRPr="00DE1A22">
              <w:rPr>
                <w:rFonts w:eastAsia="Times New Roman"/>
                <w:sz w:val="24"/>
                <w:szCs w:val="24"/>
                <w:lang w:eastAsia="lv-LV"/>
              </w:rPr>
              <w:t>”.</w:t>
            </w:r>
          </w:p>
        </w:tc>
      </w:tr>
      <w:tr w:rsidR="00BE2F9B" w:rsidRPr="00DE1A22" w14:paraId="7DB55DC9" w14:textId="77777777" w:rsidTr="00B8198F">
        <w:tc>
          <w:tcPr>
            <w:tcW w:w="254" w:type="pct"/>
          </w:tcPr>
          <w:p w14:paraId="5D4030AF" w14:textId="25EFE211" w:rsidR="00BE2F9B" w:rsidRPr="00DE1A22" w:rsidRDefault="00BE2F9B" w:rsidP="00BE2F9B">
            <w:pPr>
              <w:spacing w:before="100" w:beforeAutospacing="1" w:after="100" w:afterAutospacing="1"/>
              <w:jc w:val="center"/>
              <w:rPr>
                <w:rFonts w:eastAsia="Times New Roman"/>
                <w:sz w:val="24"/>
                <w:szCs w:val="24"/>
                <w:lang w:eastAsia="lv-LV"/>
              </w:rPr>
            </w:pPr>
            <w:r>
              <w:rPr>
                <w:rFonts w:eastAsia="Times New Roman"/>
                <w:sz w:val="24"/>
                <w:szCs w:val="24"/>
                <w:lang w:eastAsia="lv-LV"/>
              </w:rPr>
              <w:lastRenderedPageBreak/>
              <w:t>4.</w:t>
            </w:r>
          </w:p>
        </w:tc>
        <w:tc>
          <w:tcPr>
            <w:tcW w:w="1043" w:type="pct"/>
          </w:tcPr>
          <w:p w14:paraId="134C1FE4" w14:textId="7D8AF2AE" w:rsidR="00BE2F9B" w:rsidRDefault="00BE2F9B" w:rsidP="00BE2F9B">
            <w:pPr>
              <w:jc w:val="both"/>
              <w:rPr>
                <w:rFonts w:eastAsia="Times New Roman"/>
                <w:sz w:val="24"/>
                <w:szCs w:val="24"/>
                <w:lang w:eastAsia="lv-LV"/>
              </w:rPr>
            </w:pPr>
            <w:r w:rsidRPr="00DE1A22">
              <w:rPr>
                <w:rFonts w:eastAsia="Times New Roman"/>
                <w:sz w:val="24"/>
                <w:szCs w:val="24"/>
                <w:lang w:eastAsia="lv-LV"/>
              </w:rPr>
              <w:t xml:space="preserve">Pamatnostādņu </w:t>
            </w:r>
            <w:r w:rsidR="00D36551">
              <w:rPr>
                <w:rFonts w:eastAsia="Times New Roman"/>
                <w:b/>
                <w:sz w:val="24"/>
                <w:szCs w:val="24"/>
                <w:lang w:eastAsia="lv-LV"/>
              </w:rPr>
              <w:t>4. sadaļas 1</w:t>
            </w:r>
            <w:r w:rsidRPr="00D36551">
              <w:rPr>
                <w:rFonts w:eastAsia="Times New Roman"/>
                <w:b/>
                <w:sz w:val="24"/>
                <w:szCs w:val="24"/>
                <w:lang w:eastAsia="lv-LV"/>
              </w:rPr>
              <w:t>. rīcības virziena</w:t>
            </w:r>
            <w:r w:rsidRPr="00DE1A22">
              <w:rPr>
                <w:rFonts w:eastAsia="Times New Roman"/>
                <w:sz w:val="24"/>
                <w:szCs w:val="24"/>
                <w:lang w:eastAsia="lv-LV"/>
              </w:rPr>
              <w:t xml:space="preserve"> “</w:t>
            </w:r>
            <w:r w:rsidR="00D36551" w:rsidRPr="00D36551">
              <w:rPr>
                <w:rFonts w:eastAsia="Times New Roman"/>
                <w:sz w:val="24"/>
                <w:szCs w:val="24"/>
                <w:lang w:eastAsia="lv-LV"/>
              </w:rPr>
              <w:t>Atkarības profilakses, preventīvie, problemātiskā spēlētāja atbalsts un sabiedrības izglītojoši pasākumi</w:t>
            </w:r>
            <w:r w:rsidRPr="00DE1A22">
              <w:rPr>
                <w:rFonts w:eastAsia="Times New Roman"/>
                <w:sz w:val="24"/>
                <w:szCs w:val="24"/>
                <w:lang w:eastAsia="lv-LV"/>
              </w:rPr>
              <w:t>”</w:t>
            </w:r>
          </w:p>
          <w:p w14:paraId="70DD3E44" w14:textId="1DAE3A9F" w:rsidR="00BE2F9B" w:rsidRPr="00D36551" w:rsidRDefault="00D36551" w:rsidP="00BE2F9B">
            <w:pPr>
              <w:jc w:val="both"/>
              <w:rPr>
                <w:sz w:val="24"/>
                <w:szCs w:val="24"/>
              </w:rPr>
            </w:pPr>
            <w:r w:rsidRPr="00D36551">
              <w:rPr>
                <w:b/>
                <w:sz w:val="24"/>
                <w:szCs w:val="24"/>
              </w:rPr>
              <w:t>23.</w:t>
            </w:r>
            <w:r w:rsidR="00BE2F9B" w:rsidRPr="00D36551">
              <w:rPr>
                <w:b/>
                <w:sz w:val="24"/>
                <w:szCs w:val="24"/>
              </w:rPr>
              <w:t xml:space="preserve">uzdevums: </w:t>
            </w:r>
            <w:r w:rsidR="00BE2F9B" w:rsidRPr="00D36551">
              <w:rPr>
                <w:sz w:val="24"/>
                <w:szCs w:val="24"/>
              </w:rPr>
              <w:t>“Nodefinēt riskanta spēlētāja pazīmes. Izcelt ievainojamāko personu segmentu un nodrošināt tā uzvedības monitoringam īpašu uzraudzību.</w:t>
            </w:r>
          </w:p>
          <w:p w14:paraId="02988FDB" w14:textId="72AA9AE1" w:rsidR="00BE2F9B" w:rsidRPr="00DE1A22" w:rsidRDefault="00BE2F9B" w:rsidP="00BE2F9B">
            <w:pPr>
              <w:jc w:val="both"/>
              <w:rPr>
                <w:rFonts w:eastAsia="Times New Roman"/>
                <w:sz w:val="24"/>
                <w:szCs w:val="24"/>
                <w:lang w:eastAsia="lv-LV"/>
              </w:rPr>
            </w:pPr>
            <w:r w:rsidRPr="00D36551">
              <w:rPr>
                <w:sz w:val="24"/>
                <w:szCs w:val="24"/>
              </w:rPr>
              <w:t>Ieviest automātisko azartspēļu atkarības līmeņa un uzvedības monitoringa analītisko rīku, kas ļauj identificēt riskantos spēlētājus, kuriem vēl nav diagnosticēta procesu atkarība.”.</w:t>
            </w:r>
          </w:p>
        </w:tc>
        <w:tc>
          <w:tcPr>
            <w:tcW w:w="1491" w:type="pct"/>
          </w:tcPr>
          <w:p w14:paraId="6089990C" w14:textId="77777777" w:rsidR="00BE2F9B" w:rsidRDefault="00BE2F9B" w:rsidP="00BE2F9B">
            <w:pPr>
              <w:jc w:val="center"/>
              <w:rPr>
                <w:b/>
                <w:sz w:val="24"/>
                <w:szCs w:val="24"/>
              </w:rPr>
            </w:pPr>
            <w:r w:rsidRPr="00B8198F">
              <w:rPr>
                <w:b/>
                <w:sz w:val="24"/>
                <w:szCs w:val="24"/>
              </w:rPr>
              <w:t xml:space="preserve">LIAB </w:t>
            </w:r>
          </w:p>
          <w:p w14:paraId="51066AF8" w14:textId="14E64249" w:rsidR="00BE2F9B" w:rsidRPr="00B8198F" w:rsidRDefault="00BE2F9B" w:rsidP="00BE2F9B">
            <w:pPr>
              <w:jc w:val="center"/>
              <w:rPr>
                <w:b/>
                <w:sz w:val="24"/>
                <w:szCs w:val="24"/>
              </w:rPr>
            </w:pPr>
            <w:r w:rsidRPr="00B8198F">
              <w:rPr>
                <w:b/>
                <w:sz w:val="24"/>
                <w:szCs w:val="24"/>
              </w:rPr>
              <w:t>(30.12.2020.)</w:t>
            </w:r>
          </w:p>
          <w:p w14:paraId="31D375B6" w14:textId="6590FB35" w:rsidR="00BE2F9B" w:rsidRPr="00B8198F" w:rsidRDefault="00BE2F9B" w:rsidP="00BE2F9B">
            <w:pPr>
              <w:contextualSpacing/>
              <w:jc w:val="both"/>
              <w:rPr>
                <w:rFonts w:eastAsia="Times New Roman"/>
                <w:sz w:val="24"/>
                <w:szCs w:val="24"/>
              </w:rPr>
            </w:pPr>
            <w:r w:rsidRPr="00B8198F">
              <w:rPr>
                <w:sz w:val="24"/>
                <w:szCs w:val="24"/>
              </w:rPr>
              <w:t>23.uzdevums būtu jāattiecina arī uz interaktīvo izložu dalībniekiem, to izsakot šādā redakcijā: “Nodefinēt riskanta spēlētāja un interaktīvo izložu dalībnieka pazīmes. Izcelt ievainojamāko personu segmentu (no 18 līdz 24 gadu vecumam) un nodrošināt tā uzvedības monitoringam īpašu uzraudzību. Ieviest automātisko azartspēļu un interaktīvo izložu atkarības līmeņa un uzvedības monitoringa analītisko rīku, kas ļauj identificēt riskantos spēlētājus un interaktīvo izložu dalībniekus, kuriem vēl nav diagnosticēta procesu atkarība.”.</w:t>
            </w:r>
          </w:p>
        </w:tc>
        <w:tc>
          <w:tcPr>
            <w:tcW w:w="1058" w:type="pct"/>
          </w:tcPr>
          <w:p w14:paraId="1857A6F5" w14:textId="55AED47C" w:rsidR="00BE2F9B" w:rsidRPr="00DE1A22" w:rsidRDefault="00BE2F9B" w:rsidP="00BE2F9B">
            <w:pPr>
              <w:jc w:val="center"/>
              <w:rPr>
                <w:rFonts w:eastAsia="Times New Roman"/>
                <w:b/>
                <w:bCs/>
                <w:sz w:val="24"/>
                <w:szCs w:val="24"/>
                <w:lang w:eastAsia="lv-LV"/>
              </w:rPr>
            </w:pPr>
            <w:r>
              <w:rPr>
                <w:rFonts w:eastAsia="Times New Roman"/>
                <w:b/>
                <w:bCs/>
                <w:sz w:val="24"/>
                <w:szCs w:val="24"/>
                <w:lang w:eastAsia="lv-LV"/>
              </w:rPr>
              <w:t>Panākta vienošanās 13.01.2021. starpministriju (starpinstitūciju</w:t>
            </w:r>
            <w:r w:rsidR="002756C1">
              <w:rPr>
                <w:rFonts w:eastAsia="Times New Roman"/>
                <w:b/>
                <w:bCs/>
                <w:sz w:val="24"/>
                <w:szCs w:val="24"/>
                <w:lang w:eastAsia="lv-LV"/>
              </w:rPr>
              <w:t>) sanāksmē</w:t>
            </w:r>
          </w:p>
        </w:tc>
        <w:tc>
          <w:tcPr>
            <w:tcW w:w="1154" w:type="pct"/>
          </w:tcPr>
          <w:p w14:paraId="662D2C85" w14:textId="77777777" w:rsidR="00D36551" w:rsidRDefault="00D36551" w:rsidP="00D36551">
            <w:pPr>
              <w:jc w:val="both"/>
              <w:rPr>
                <w:rFonts w:eastAsia="Times New Roman"/>
                <w:sz w:val="24"/>
                <w:szCs w:val="24"/>
                <w:lang w:eastAsia="lv-LV"/>
              </w:rPr>
            </w:pPr>
            <w:r w:rsidRPr="00DE1A22">
              <w:rPr>
                <w:rFonts w:eastAsia="Times New Roman"/>
                <w:sz w:val="24"/>
                <w:szCs w:val="24"/>
                <w:lang w:eastAsia="lv-LV"/>
              </w:rPr>
              <w:t xml:space="preserve">Pamatnostādņu </w:t>
            </w:r>
            <w:r w:rsidRPr="00D36551">
              <w:rPr>
                <w:rFonts w:eastAsia="Times New Roman"/>
                <w:b/>
                <w:sz w:val="24"/>
                <w:szCs w:val="24"/>
                <w:lang w:eastAsia="lv-LV"/>
              </w:rPr>
              <w:t>4. sadaļas 6. rīcības virziena</w:t>
            </w:r>
            <w:r w:rsidRPr="00DE1A22">
              <w:rPr>
                <w:rFonts w:eastAsia="Times New Roman"/>
                <w:sz w:val="24"/>
                <w:szCs w:val="24"/>
                <w:lang w:eastAsia="lv-LV"/>
              </w:rPr>
              <w:t xml:space="preserve"> “IAUI veiktā uzraudzības procesa pilnveidošana”</w:t>
            </w:r>
          </w:p>
          <w:p w14:paraId="4DCE2AA6" w14:textId="0B2B651B" w:rsidR="00D36551" w:rsidRPr="00D36551" w:rsidRDefault="00D36551" w:rsidP="00D36551">
            <w:pPr>
              <w:jc w:val="both"/>
              <w:rPr>
                <w:sz w:val="24"/>
                <w:szCs w:val="24"/>
              </w:rPr>
            </w:pPr>
            <w:r w:rsidRPr="00D36551">
              <w:rPr>
                <w:b/>
                <w:sz w:val="24"/>
                <w:szCs w:val="24"/>
              </w:rPr>
              <w:t>23.uzdevums:</w:t>
            </w:r>
            <w:r>
              <w:t xml:space="preserve"> “</w:t>
            </w:r>
            <w:r w:rsidRPr="00D36551">
              <w:rPr>
                <w:sz w:val="24"/>
                <w:szCs w:val="24"/>
              </w:rPr>
              <w:t>Nodefinēt riskanta azartspēļu spēlētāja un interaktīvo izložu dalībnieka pazīmes. Izcelt ievainojamāko personu segmentu un nodrošināt tā uzvedības monitoringam īpašu uzraudzību.</w:t>
            </w:r>
          </w:p>
          <w:p w14:paraId="75ACB554" w14:textId="63345B76" w:rsidR="00BE2F9B" w:rsidRPr="00DE1A22" w:rsidRDefault="00D36551" w:rsidP="00D36551">
            <w:pPr>
              <w:jc w:val="both"/>
              <w:rPr>
                <w:rFonts w:eastAsia="Times New Roman"/>
                <w:sz w:val="24"/>
                <w:szCs w:val="24"/>
              </w:rPr>
            </w:pPr>
            <w:r w:rsidRPr="00D36551">
              <w:rPr>
                <w:sz w:val="24"/>
                <w:szCs w:val="24"/>
              </w:rPr>
              <w:t>Ieviest automātisko azartspēļu un interaktīvo izložu atkarības līmeņa risku noteikšanas un uzvedības monitoringa automātisko analītisko rīku, kas ļauj identificēt riskantos azartspēļu spēlētājus un interaktīvo izložu dalībniekus, kuriem vēl nav diagnosticēta</w:t>
            </w:r>
            <w:r w:rsidRPr="00D36551">
              <w:rPr>
                <w:b/>
                <w:sz w:val="24"/>
                <w:szCs w:val="24"/>
              </w:rPr>
              <w:t xml:space="preserve"> </w:t>
            </w:r>
            <w:r w:rsidRPr="00D36551">
              <w:rPr>
                <w:sz w:val="24"/>
                <w:szCs w:val="24"/>
              </w:rPr>
              <w:t>procesu atkarība.</w:t>
            </w:r>
            <w:r>
              <w:rPr>
                <w:sz w:val="24"/>
                <w:szCs w:val="24"/>
              </w:rPr>
              <w:t>”</w:t>
            </w:r>
          </w:p>
        </w:tc>
      </w:tr>
      <w:tr w:rsidR="00BE2F9B" w:rsidRPr="00DE1A22" w14:paraId="5C5EBA48" w14:textId="77777777" w:rsidTr="00B8198F">
        <w:tc>
          <w:tcPr>
            <w:tcW w:w="254" w:type="pct"/>
          </w:tcPr>
          <w:p w14:paraId="6FCF9F26" w14:textId="477F103D" w:rsidR="00BE2F9B" w:rsidRPr="00DE1A22" w:rsidRDefault="00BE2F9B" w:rsidP="00BE2F9B">
            <w:pPr>
              <w:spacing w:before="100" w:beforeAutospacing="1" w:after="100" w:afterAutospacing="1"/>
              <w:jc w:val="center"/>
              <w:rPr>
                <w:rFonts w:eastAsia="Times New Roman"/>
                <w:sz w:val="24"/>
                <w:szCs w:val="24"/>
                <w:lang w:eastAsia="lv-LV"/>
              </w:rPr>
            </w:pPr>
            <w:r>
              <w:rPr>
                <w:rFonts w:eastAsia="Times New Roman"/>
                <w:sz w:val="24"/>
                <w:szCs w:val="24"/>
                <w:lang w:eastAsia="lv-LV"/>
              </w:rPr>
              <w:t>5.</w:t>
            </w:r>
          </w:p>
        </w:tc>
        <w:tc>
          <w:tcPr>
            <w:tcW w:w="1043" w:type="pct"/>
          </w:tcPr>
          <w:p w14:paraId="0B196C9E" w14:textId="77777777" w:rsidR="00BE2F9B" w:rsidRPr="00DE1A22" w:rsidRDefault="00BE2F9B" w:rsidP="00BE2F9B">
            <w:pPr>
              <w:jc w:val="both"/>
              <w:rPr>
                <w:rFonts w:eastAsia="Times New Roman"/>
                <w:sz w:val="24"/>
                <w:szCs w:val="24"/>
                <w:lang w:eastAsia="lv-LV"/>
              </w:rPr>
            </w:pPr>
          </w:p>
        </w:tc>
        <w:tc>
          <w:tcPr>
            <w:tcW w:w="1491" w:type="pct"/>
          </w:tcPr>
          <w:p w14:paraId="1FADAD38" w14:textId="77777777" w:rsidR="00BE2F9B" w:rsidRDefault="00BE2F9B" w:rsidP="00BE2F9B">
            <w:pPr>
              <w:jc w:val="center"/>
              <w:rPr>
                <w:b/>
                <w:sz w:val="24"/>
                <w:szCs w:val="24"/>
              </w:rPr>
            </w:pPr>
            <w:r w:rsidRPr="00E31B86">
              <w:rPr>
                <w:b/>
                <w:sz w:val="24"/>
                <w:szCs w:val="24"/>
              </w:rPr>
              <w:t xml:space="preserve">LIAB </w:t>
            </w:r>
          </w:p>
          <w:p w14:paraId="660BB809" w14:textId="59DD73BB" w:rsidR="00BE2F9B" w:rsidRPr="00E31B86" w:rsidRDefault="00BE2F9B" w:rsidP="00BE2F9B">
            <w:pPr>
              <w:jc w:val="center"/>
              <w:rPr>
                <w:b/>
                <w:sz w:val="24"/>
                <w:szCs w:val="24"/>
              </w:rPr>
            </w:pPr>
            <w:r w:rsidRPr="00E31B86">
              <w:rPr>
                <w:b/>
                <w:sz w:val="24"/>
                <w:szCs w:val="24"/>
              </w:rPr>
              <w:t>(30.12.2020.)</w:t>
            </w:r>
          </w:p>
          <w:p w14:paraId="6AA021BC" w14:textId="77777777" w:rsidR="00BE2F9B" w:rsidRPr="00E31B86" w:rsidRDefault="00BE2F9B" w:rsidP="00BE2F9B">
            <w:pPr>
              <w:jc w:val="both"/>
              <w:rPr>
                <w:sz w:val="24"/>
                <w:szCs w:val="24"/>
              </w:rPr>
            </w:pPr>
            <w:r w:rsidRPr="00E31B86">
              <w:rPr>
                <w:sz w:val="24"/>
                <w:szCs w:val="24"/>
              </w:rPr>
              <w:t>LIAB vēlas atkārtoti uzsvērt problēmjautājuma par iedzīvotāju ienākuma nodokli (turpmāk – IIN) nozīmi nelegālā tirgus ierobežošanas kontekstā. Viens no izplatītākajiem iemesliem, kādēļ spēlētāji ir motivēti spēlēt pie nelicencētiem interaktīvo azartspēļu organizētājiem, ir pašreiz spēkā esošā IIN aprēķināšanas kārtība. Proti, IIN tiek iekasēts arī no tiem spēlētājiem, kuri taksācijas gada laikā ar savu dalību izlozēs un azartspēlēs ir zaudējuši lielāku summu, nekā laimējuši.</w:t>
            </w:r>
          </w:p>
          <w:p w14:paraId="1C3B1BCA" w14:textId="77777777" w:rsidR="00BE2F9B" w:rsidRPr="00E31B86" w:rsidRDefault="00BE2F9B" w:rsidP="00BE2F9B">
            <w:pPr>
              <w:jc w:val="both"/>
              <w:rPr>
                <w:sz w:val="24"/>
                <w:szCs w:val="24"/>
              </w:rPr>
            </w:pPr>
            <w:r w:rsidRPr="00E31B86">
              <w:rPr>
                <w:sz w:val="24"/>
                <w:szCs w:val="24"/>
              </w:rPr>
              <w:lastRenderedPageBreak/>
              <w:t xml:space="preserve">Piemērojot pašlaik spēkā esošās tiesību normas par IIN aprēķināšanas kārtību, vispār netiek ņemtas vērā taksācijas gada laikā spēlētāju veiktās iemaksas (spēles dalības likmes), kuras lielākajā daļā gadījumu pārsniedz spēlētājam izmaksāto laimestu summu. Tādējādi rodas ačgārna situācija, kurā spēlētājam, kurš taksācijas gadā izložu un azartspēļu organizētājiem spēles dalības likmju vai citādā veidā veicis iemaksas, piemēram, 30`000 euro apmērā, bet laimestu veidā saņēmis, piemēram, 10`000 euro, tiek uzlikts par pienākumu maksāt nodokli no laimesta summas (kura pārsniedz 3000 euro), lai gan taksācijas gada laikā spēlētājs ir zaudējis 20`000 euro.      </w:t>
            </w:r>
          </w:p>
          <w:p w14:paraId="22A5DCD7" w14:textId="77777777" w:rsidR="00BE2F9B" w:rsidRPr="00E31B86" w:rsidRDefault="00BE2F9B" w:rsidP="00BE2F9B">
            <w:pPr>
              <w:jc w:val="both"/>
              <w:rPr>
                <w:sz w:val="24"/>
                <w:szCs w:val="24"/>
              </w:rPr>
            </w:pPr>
            <w:r w:rsidRPr="00E31B86">
              <w:rPr>
                <w:sz w:val="24"/>
                <w:szCs w:val="24"/>
              </w:rPr>
              <w:t xml:space="preserve">Minētais piemērs skaidri norāda uz attiecībā pret spēlētājiem netaisnīgo regulējumu un nepieciešamību pēc atbilstošiem normatīvo aktu grozījumiem, ar kuriem tiktu precizēts apliekamais ienākums. Spēlētāji esošo nodokļa regulējumu un aprēķināšanas kārtību izjūt kā lielu netaisnību, kas pret viņiem tiek vērsta no valsts puses, un tas ir vien no galvenajiem iemesliem, kādēļ spēlētāji izvēlas spēlēt Latvijas Republikā nelicencētu interaktīvo izložu un azartspēļu organizētāju vietnēs.  </w:t>
            </w:r>
          </w:p>
          <w:p w14:paraId="5015F062" w14:textId="77777777" w:rsidR="00BE2F9B" w:rsidRPr="00E31B86" w:rsidRDefault="00BE2F9B" w:rsidP="00BE2F9B">
            <w:pPr>
              <w:jc w:val="both"/>
              <w:rPr>
                <w:sz w:val="24"/>
                <w:szCs w:val="24"/>
              </w:rPr>
            </w:pPr>
            <w:r w:rsidRPr="00E31B86">
              <w:rPr>
                <w:sz w:val="24"/>
                <w:szCs w:val="24"/>
              </w:rPr>
              <w:t xml:space="preserve">Spēlētājam veikto izmaksu kopsummas, nevis tīro laimestu aplikšana ar IIN ir pretrunā likuma “Par iedzīvotāju ienākuma nodokli” garam. Proti, IIN būtība un piemērošana vispārīgi tiek paredzēta iedzīvotāja labklājības jeb mantas pieauguma gadījumā, tātad ar IIN apliekamajai starpībai starp spēlētājam </w:t>
            </w:r>
            <w:r w:rsidRPr="00E31B86">
              <w:rPr>
                <w:sz w:val="24"/>
                <w:szCs w:val="24"/>
              </w:rPr>
              <w:lastRenderedPageBreak/>
              <w:t>izmaksātajām summām un tā veikto iemaksu summām ir jābūt pozitīvai. Arī Azartspēļu un izložu likuma 1.panta 12.punktā noteiktajā laimesta definīcijā ir paredzēts, ka laimests ir naudas summa, kuru azartspēles organizētājs izmaksā spēlētājam laimēšanas gadījumā. “Laimēšanas gadījuma” kritērijs neizpildās, ja spēlētāja veikto iemaksu summa pārsniedz tā saņemto naudas summu pārskata periodā (gada griezumā šāds rezultāts pēc būtības ir zaudējums, nevis laimests).</w:t>
            </w:r>
          </w:p>
          <w:p w14:paraId="6968ADF5" w14:textId="74B3B5FE" w:rsidR="00BE2F9B" w:rsidRPr="00E31B86" w:rsidRDefault="00BE2F9B" w:rsidP="00565420">
            <w:pPr>
              <w:jc w:val="both"/>
              <w:rPr>
                <w:b/>
                <w:sz w:val="24"/>
                <w:szCs w:val="24"/>
              </w:rPr>
            </w:pPr>
            <w:r w:rsidRPr="00E31B86">
              <w:rPr>
                <w:sz w:val="24"/>
                <w:szCs w:val="24"/>
              </w:rPr>
              <w:t>Biedrības ieskatā pie nelegālā tirgus ierobežošanas virziena valstij būtu jāstrādā ne tikai no nelicencēto organizētāju darbības perspektīvas, bet arī no spēlētāju perspektīvas, pēc iespējas mazinot spēlētāju motivāciju spēlēt pie nelicencētajiem organizētājiem. Nemainot esošo IIN aprēķināšanas kārtību, pastāv risks ne tikai nesasniegt vēlamo efektu no Pamatnostādņu 4. rīcības virzienā norādīto uzdevumu izpildes, bet arī zaudēt līdz šim jau sasniegtos rezultātus nelicencētā tirgus un ēnu ekonomikas apkarošanā.</w:t>
            </w:r>
          </w:p>
        </w:tc>
        <w:tc>
          <w:tcPr>
            <w:tcW w:w="1058" w:type="pct"/>
          </w:tcPr>
          <w:p w14:paraId="6FE6718F" w14:textId="70721190" w:rsidR="00BE2F9B" w:rsidRDefault="00BE2F9B" w:rsidP="00BE2F9B">
            <w:pPr>
              <w:jc w:val="center"/>
              <w:rPr>
                <w:rFonts w:eastAsia="Times New Roman"/>
                <w:b/>
                <w:bCs/>
                <w:sz w:val="24"/>
                <w:szCs w:val="24"/>
                <w:lang w:eastAsia="lv-LV"/>
              </w:rPr>
            </w:pPr>
            <w:r>
              <w:rPr>
                <w:rFonts w:eastAsia="Times New Roman"/>
                <w:b/>
                <w:bCs/>
                <w:sz w:val="24"/>
                <w:szCs w:val="24"/>
                <w:lang w:eastAsia="lv-LV"/>
              </w:rPr>
              <w:lastRenderedPageBreak/>
              <w:t>Panākta vienošanās 13.01.2021. starpministriju (starpinstitūciju</w:t>
            </w:r>
            <w:r w:rsidR="00B47FEB">
              <w:rPr>
                <w:rFonts w:eastAsia="Times New Roman"/>
                <w:b/>
                <w:bCs/>
                <w:sz w:val="24"/>
                <w:szCs w:val="24"/>
                <w:lang w:eastAsia="lv-LV"/>
              </w:rPr>
              <w:t>) sanāksmē</w:t>
            </w:r>
          </w:p>
        </w:tc>
        <w:tc>
          <w:tcPr>
            <w:tcW w:w="1154" w:type="pct"/>
          </w:tcPr>
          <w:p w14:paraId="769F67D1" w14:textId="77777777" w:rsidR="00BE2F9B" w:rsidRPr="00DE1A22" w:rsidRDefault="00BE2F9B" w:rsidP="00BE2F9B">
            <w:pPr>
              <w:jc w:val="both"/>
              <w:rPr>
                <w:rFonts w:eastAsia="Times New Roman"/>
                <w:sz w:val="24"/>
                <w:szCs w:val="24"/>
              </w:rPr>
            </w:pPr>
          </w:p>
        </w:tc>
      </w:tr>
      <w:tr w:rsidR="00BE2F9B" w:rsidRPr="00DE1A22" w14:paraId="5A4420D7" w14:textId="77777777" w:rsidTr="00B8198F">
        <w:tc>
          <w:tcPr>
            <w:tcW w:w="254" w:type="pct"/>
          </w:tcPr>
          <w:p w14:paraId="2BD0EBFC" w14:textId="69CC99C5" w:rsidR="00BE2F9B" w:rsidRPr="00DE1A22" w:rsidRDefault="00BE2F9B" w:rsidP="00BE2F9B">
            <w:pPr>
              <w:spacing w:before="100" w:beforeAutospacing="1" w:after="100" w:afterAutospacing="1"/>
              <w:jc w:val="center"/>
              <w:rPr>
                <w:rFonts w:eastAsia="Times New Roman"/>
                <w:sz w:val="24"/>
                <w:szCs w:val="24"/>
                <w:lang w:eastAsia="lv-LV"/>
              </w:rPr>
            </w:pPr>
            <w:r>
              <w:rPr>
                <w:rFonts w:eastAsia="Times New Roman"/>
                <w:sz w:val="24"/>
                <w:szCs w:val="24"/>
                <w:lang w:eastAsia="lv-LV"/>
              </w:rPr>
              <w:lastRenderedPageBreak/>
              <w:t>6.</w:t>
            </w:r>
          </w:p>
        </w:tc>
        <w:tc>
          <w:tcPr>
            <w:tcW w:w="1043" w:type="pct"/>
          </w:tcPr>
          <w:p w14:paraId="08FA0023" w14:textId="77777777" w:rsidR="00BE2F9B" w:rsidRPr="00DE1A22" w:rsidRDefault="00BE2F9B" w:rsidP="00BE2F9B">
            <w:pPr>
              <w:jc w:val="both"/>
              <w:rPr>
                <w:rFonts w:eastAsia="Times New Roman"/>
                <w:sz w:val="24"/>
                <w:szCs w:val="24"/>
                <w:lang w:eastAsia="lv-LV"/>
              </w:rPr>
            </w:pPr>
          </w:p>
        </w:tc>
        <w:tc>
          <w:tcPr>
            <w:tcW w:w="1491" w:type="pct"/>
          </w:tcPr>
          <w:p w14:paraId="652B943A" w14:textId="77777777" w:rsidR="00BE2F9B" w:rsidRPr="00565420" w:rsidRDefault="00BE2F9B" w:rsidP="00BE2F9B">
            <w:pPr>
              <w:jc w:val="center"/>
              <w:rPr>
                <w:b/>
                <w:sz w:val="24"/>
                <w:szCs w:val="24"/>
              </w:rPr>
            </w:pPr>
            <w:r w:rsidRPr="00565420">
              <w:rPr>
                <w:b/>
                <w:sz w:val="24"/>
                <w:szCs w:val="24"/>
              </w:rPr>
              <w:t xml:space="preserve">LIAB </w:t>
            </w:r>
          </w:p>
          <w:p w14:paraId="5DF0D23A" w14:textId="24EE4DCE" w:rsidR="00BE2F9B" w:rsidRPr="00565420" w:rsidRDefault="00BE2F9B" w:rsidP="00BE2F9B">
            <w:pPr>
              <w:jc w:val="center"/>
              <w:rPr>
                <w:b/>
                <w:sz w:val="24"/>
                <w:szCs w:val="24"/>
              </w:rPr>
            </w:pPr>
            <w:r w:rsidRPr="00565420">
              <w:rPr>
                <w:b/>
                <w:sz w:val="24"/>
                <w:szCs w:val="24"/>
              </w:rPr>
              <w:t>(30.12.2020.)</w:t>
            </w:r>
          </w:p>
          <w:p w14:paraId="7ABDF20E" w14:textId="77777777" w:rsidR="00BE2F9B" w:rsidRPr="00565420" w:rsidRDefault="00BE2F9B" w:rsidP="00BE2F9B">
            <w:pPr>
              <w:jc w:val="both"/>
              <w:rPr>
                <w:sz w:val="24"/>
                <w:szCs w:val="24"/>
              </w:rPr>
            </w:pPr>
            <w:r w:rsidRPr="00565420">
              <w:rPr>
                <w:sz w:val="24"/>
                <w:szCs w:val="24"/>
              </w:rPr>
              <w:t xml:space="preserve">Pamatnostādņu izstrādes gaitā LIAB ir vairākkārt norādījusi uz aktuālu nepieciešamību papildināt esošo normatīvo regulējumu ar jauniem azartspēļu veidiem un norēķinu veidiem. Tas neapšaubāmi ir nepieciešams kā atbilde uz straujo interaktīvo azartspēļu nozares produktu un informācijas tehnoloģiju attīstību. Azartspēļu un izložu likumā noteiktie </w:t>
            </w:r>
            <w:r w:rsidRPr="00565420">
              <w:rPr>
                <w:sz w:val="24"/>
                <w:szCs w:val="24"/>
              </w:rPr>
              <w:lastRenderedPageBreak/>
              <w:t>azartspēļu veidi kopš 2006.gada ir novecojuši, bet jaunos spēļu veidus licencētajā tirgū nav iespējams piedāvāt, jo tie neatbilst nevienam no likumā noteiktajiem azartspēļu veidiem. LIAB ieskatā spēkā esošie normatīvie akti ierobežo licencētā tirgus produktu un tehnoloģiju attīstību, kas netiešā veidā nodrošina priekšrocības nelicencētajam tirgum, jo nelicencētie interaktīvo azartspēļu organizētāji spēj piedāvāt spēlētājiem jaunākās spēles un tehnoloģijas, tiklīdz tās ir saražotas un kļūst pieejamas.</w:t>
            </w:r>
          </w:p>
          <w:p w14:paraId="63FBEE02" w14:textId="77777777" w:rsidR="00BE2F9B" w:rsidRPr="00565420" w:rsidRDefault="00BE2F9B" w:rsidP="00BE2F9B">
            <w:pPr>
              <w:jc w:val="both"/>
              <w:rPr>
                <w:sz w:val="24"/>
                <w:szCs w:val="24"/>
              </w:rPr>
            </w:pPr>
            <w:r w:rsidRPr="00565420">
              <w:rPr>
                <w:sz w:val="24"/>
                <w:szCs w:val="24"/>
              </w:rPr>
              <w:t xml:space="preserve">Analoģiska situācija ir arī attiecībā uz norēķinu veidiem ar spēlētājiem. LIAB ieskatā ir nepieciešams pilnveidot normatīvo regulējumu, atļaujot norēķinos izmantot visu licencēto maksājumu pakalpojumu sniedzēju pakalpojumus, neaprobežojoties ar komercbankām. Licencēto maksājumu pakalpojumu sniedzēji un to darbība tiek uzraudzīta un regulēta, tādēļ nav pamata norēķinu veikšanai ļaut izmantot tikai vienas vai atsevišķu kategoriju maksājumu pakalpojumu sniedzēju pakalpojumus. Norēķinu veidu daudzveidība ir viens no iemesliem, kādēļ spēlētāji izvēlas nelicencēto interaktīvo azartspēļu organizētāju pakalpojumus. </w:t>
            </w:r>
          </w:p>
          <w:p w14:paraId="79E3ED2B" w14:textId="52E6A45B" w:rsidR="00BE2F9B" w:rsidRPr="00565420" w:rsidRDefault="00BE2F9B" w:rsidP="00B33545">
            <w:pPr>
              <w:jc w:val="both"/>
              <w:rPr>
                <w:b/>
                <w:sz w:val="24"/>
                <w:szCs w:val="24"/>
              </w:rPr>
            </w:pPr>
            <w:r w:rsidRPr="00565420">
              <w:rPr>
                <w:sz w:val="24"/>
                <w:szCs w:val="24"/>
              </w:rPr>
              <w:t xml:space="preserve">LIAB ieskatā cīņa ar nelicencēto interaktīvo azartspēļu tirgu un ar to saistīto ēnu ekonomiku ir jāīsteno ciešā kopsolī ar interaktīvo azartspēļu uzņēmējdarbības vides sakārtošanu. To viennozīmīgi nodrošinātu jaunu produktu un norēķinu </w:t>
            </w:r>
            <w:r w:rsidRPr="00565420">
              <w:rPr>
                <w:sz w:val="24"/>
                <w:szCs w:val="24"/>
              </w:rPr>
              <w:lastRenderedPageBreak/>
              <w:t>veidu, kā arī brīvprātīgās sadarbības programmu ieviešana licencētajā tirgū.</w:t>
            </w:r>
          </w:p>
        </w:tc>
        <w:tc>
          <w:tcPr>
            <w:tcW w:w="1058" w:type="pct"/>
          </w:tcPr>
          <w:p w14:paraId="380E7C23" w14:textId="1D02A4AC" w:rsidR="00BE2F9B" w:rsidRDefault="00BE2F9B" w:rsidP="00BE2F9B">
            <w:pPr>
              <w:jc w:val="center"/>
              <w:rPr>
                <w:rFonts w:eastAsia="Times New Roman"/>
                <w:b/>
                <w:bCs/>
                <w:sz w:val="24"/>
                <w:szCs w:val="24"/>
                <w:lang w:eastAsia="lv-LV"/>
              </w:rPr>
            </w:pPr>
            <w:r>
              <w:rPr>
                <w:rFonts w:eastAsia="Times New Roman"/>
                <w:b/>
                <w:bCs/>
                <w:sz w:val="24"/>
                <w:szCs w:val="24"/>
                <w:lang w:eastAsia="lv-LV"/>
              </w:rPr>
              <w:lastRenderedPageBreak/>
              <w:t>Panākta vienošanās 13.01.2021. starpministriju (starpinstitūciju</w:t>
            </w:r>
            <w:r w:rsidR="001B1490">
              <w:rPr>
                <w:rFonts w:eastAsia="Times New Roman"/>
                <w:b/>
                <w:bCs/>
                <w:sz w:val="24"/>
                <w:szCs w:val="24"/>
                <w:lang w:eastAsia="lv-LV"/>
              </w:rPr>
              <w:t>) sanāksmē</w:t>
            </w:r>
          </w:p>
        </w:tc>
        <w:tc>
          <w:tcPr>
            <w:tcW w:w="1154" w:type="pct"/>
          </w:tcPr>
          <w:p w14:paraId="1EBD2BC0" w14:textId="77777777" w:rsidR="00BE2F9B" w:rsidRPr="00DE1A22" w:rsidRDefault="00BE2F9B" w:rsidP="00BE2F9B">
            <w:pPr>
              <w:jc w:val="both"/>
              <w:rPr>
                <w:rFonts w:eastAsia="Times New Roman"/>
                <w:sz w:val="24"/>
                <w:szCs w:val="24"/>
              </w:rPr>
            </w:pPr>
          </w:p>
        </w:tc>
      </w:tr>
      <w:tr w:rsidR="00BE2F9B" w:rsidRPr="00DE1A22" w14:paraId="3F4D754D" w14:textId="77777777" w:rsidTr="00B8198F">
        <w:tc>
          <w:tcPr>
            <w:tcW w:w="254" w:type="pct"/>
          </w:tcPr>
          <w:p w14:paraId="0822D461" w14:textId="527895DC" w:rsidR="00BE2F9B" w:rsidRPr="00DE1A22" w:rsidRDefault="00BE2F9B" w:rsidP="00BE2F9B">
            <w:pPr>
              <w:spacing w:before="100" w:beforeAutospacing="1" w:after="100" w:afterAutospacing="1"/>
              <w:jc w:val="center"/>
              <w:rPr>
                <w:rFonts w:eastAsia="Times New Roman"/>
                <w:sz w:val="24"/>
                <w:szCs w:val="24"/>
                <w:lang w:eastAsia="lv-LV"/>
              </w:rPr>
            </w:pPr>
            <w:r>
              <w:rPr>
                <w:rFonts w:eastAsia="Times New Roman"/>
                <w:sz w:val="24"/>
                <w:szCs w:val="24"/>
                <w:lang w:eastAsia="lv-LV"/>
              </w:rPr>
              <w:lastRenderedPageBreak/>
              <w:t>7</w:t>
            </w:r>
            <w:r w:rsidRPr="00DE1A22">
              <w:rPr>
                <w:rFonts w:eastAsia="Times New Roman"/>
                <w:sz w:val="24"/>
                <w:szCs w:val="24"/>
                <w:lang w:eastAsia="lv-LV"/>
              </w:rPr>
              <w:t>.</w:t>
            </w:r>
          </w:p>
        </w:tc>
        <w:tc>
          <w:tcPr>
            <w:tcW w:w="1043" w:type="pct"/>
          </w:tcPr>
          <w:p w14:paraId="3B3A523F" w14:textId="77777777" w:rsidR="00BE2F9B" w:rsidRPr="00DE1A22" w:rsidRDefault="00BE2F9B" w:rsidP="00BE2F9B">
            <w:pPr>
              <w:jc w:val="both"/>
              <w:rPr>
                <w:rFonts w:eastAsia="Times New Roman"/>
                <w:sz w:val="24"/>
                <w:szCs w:val="24"/>
                <w:lang w:eastAsia="lv-LV"/>
              </w:rPr>
            </w:pPr>
            <w:r w:rsidRPr="00DE1A22">
              <w:rPr>
                <w:rFonts w:eastAsia="Times New Roman"/>
                <w:sz w:val="24"/>
                <w:szCs w:val="24"/>
                <w:lang w:eastAsia="lv-LV"/>
              </w:rPr>
              <w:t>Pamatnostādņu 3. sadaļa 1. politikas rezultāts (PR) – “Samazinās azartspēļu un interaktīvo izložu problemātisko spēlētāju skaits”.</w:t>
            </w:r>
          </w:p>
        </w:tc>
        <w:tc>
          <w:tcPr>
            <w:tcW w:w="1491" w:type="pct"/>
          </w:tcPr>
          <w:p w14:paraId="47721FE4" w14:textId="77777777" w:rsidR="00BE2F9B" w:rsidRPr="00DE1A22" w:rsidRDefault="00BE2F9B" w:rsidP="00BE2F9B">
            <w:pPr>
              <w:contextualSpacing/>
              <w:jc w:val="both"/>
              <w:rPr>
                <w:rFonts w:eastAsia="Times New Roman"/>
                <w:b/>
                <w:sz w:val="24"/>
                <w:szCs w:val="24"/>
              </w:rPr>
            </w:pPr>
            <w:r w:rsidRPr="00DE1A22">
              <w:rPr>
                <w:rFonts w:eastAsia="Times New Roman"/>
                <w:b/>
                <w:sz w:val="24"/>
                <w:szCs w:val="24"/>
              </w:rPr>
              <w:t>Vides aizsardzības un reģionālās attīstības ministrija (21.02.2020. Nr.1-132/1579)</w:t>
            </w:r>
          </w:p>
          <w:p w14:paraId="003E41FA" w14:textId="77777777" w:rsidR="00BE2F9B" w:rsidRPr="00DE1A22" w:rsidRDefault="00BE2F9B" w:rsidP="00BE2F9B">
            <w:pPr>
              <w:contextualSpacing/>
              <w:jc w:val="both"/>
              <w:rPr>
                <w:rFonts w:eastAsia="Times New Roman"/>
                <w:b/>
                <w:sz w:val="24"/>
                <w:szCs w:val="24"/>
              </w:rPr>
            </w:pPr>
            <w:r w:rsidRPr="00DE1A22">
              <w:rPr>
                <w:rFonts w:eastAsia="Times New Roman"/>
                <w:sz w:val="24"/>
                <w:szCs w:val="24"/>
              </w:rPr>
              <w:t>Politikas rezultāti un rezultatīvie rādītāji 1.politikas rezultāta nosaukumā un 1.1., 1.2., 1.4., un 1.6.punktā lūdzam svītrot vārdu “interaktīvās” (atbilstošā locījumā), lai regulējumu attiecinātu uz jebkuru azartspēļu organizēšanas formu.</w:t>
            </w:r>
          </w:p>
        </w:tc>
        <w:tc>
          <w:tcPr>
            <w:tcW w:w="1058" w:type="pct"/>
          </w:tcPr>
          <w:p w14:paraId="6F75C69E" w14:textId="77777777" w:rsidR="00BE2F9B" w:rsidRPr="00DE1A22" w:rsidRDefault="00BE2F9B" w:rsidP="00BE2F9B">
            <w:pPr>
              <w:jc w:val="both"/>
              <w:rPr>
                <w:rFonts w:eastAsia="Times New Roman"/>
                <w:b/>
                <w:bCs/>
                <w:sz w:val="24"/>
                <w:szCs w:val="24"/>
                <w:lang w:eastAsia="lv-LV"/>
              </w:rPr>
            </w:pPr>
            <w:r w:rsidRPr="00DE1A22">
              <w:rPr>
                <w:rFonts w:eastAsia="Times New Roman"/>
                <w:b/>
                <w:bCs/>
                <w:sz w:val="24"/>
                <w:szCs w:val="24"/>
                <w:lang w:eastAsia="lv-LV"/>
              </w:rPr>
              <w:t>Ņemts vērā.</w:t>
            </w:r>
          </w:p>
          <w:p w14:paraId="1451A173" w14:textId="77777777" w:rsidR="00BE2F9B" w:rsidRPr="00DE1A22" w:rsidRDefault="00BE2F9B" w:rsidP="00BE2F9B">
            <w:pPr>
              <w:jc w:val="both"/>
              <w:rPr>
                <w:rFonts w:eastAsia="Times New Roman"/>
                <w:b/>
                <w:bCs/>
                <w:sz w:val="24"/>
                <w:szCs w:val="24"/>
                <w:lang w:eastAsia="lv-LV"/>
              </w:rPr>
            </w:pPr>
          </w:p>
        </w:tc>
        <w:tc>
          <w:tcPr>
            <w:tcW w:w="1154" w:type="pct"/>
          </w:tcPr>
          <w:p w14:paraId="1AAB78FE" w14:textId="77777777" w:rsidR="00BE2F9B" w:rsidRPr="00DE1A22" w:rsidRDefault="00BE2F9B" w:rsidP="00BE2F9B">
            <w:pPr>
              <w:jc w:val="both"/>
              <w:rPr>
                <w:rFonts w:eastAsia="Times New Roman"/>
                <w:sz w:val="24"/>
                <w:szCs w:val="24"/>
                <w:lang w:eastAsia="lv-LV"/>
              </w:rPr>
            </w:pPr>
            <w:r w:rsidRPr="00DE1A22">
              <w:rPr>
                <w:rFonts w:eastAsia="Times New Roman"/>
                <w:sz w:val="24"/>
                <w:szCs w:val="24"/>
              </w:rPr>
              <w:t>Atbilstoši ir precizēti Pamatnostādņu 3.sadaļas 1.politikas virziena 1.1., 1.2., 1.4. un 1.6. apakšpunkti.</w:t>
            </w:r>
          </w:p>
        </w:tc>
      </w:tr>
      <w:tr w:rsidR="00BE2F9B" w:rsidRPr="00DE1A22" w14:paraId="1951C647" w14:textId="77777777" w:rsidTr="00B8198F">
        <w:tc>
          <w:tcPr>
            <w:tcW w:w="254" w:type="pct"/>
          </w:tcPr>
          <w:p w14:paraId="1999DA53" w14:textId="66F1BEEF" w:rsidR="00BE2F9B" w:rsidRPr="00DE1A22" w:rsidRDefault="00BE2F9B" w:rsidP="00BE2F9B">
            <w:pPr>
              <w:spacing w:before="100" w:beforeAutospacing="1" w:after="100" w:afterAutospacing="1"/>
              <w:jc w:val="center"/>
              <w:rPr>
                <w:rFonts w:eastAsia="Times New Roman"/>
                <w:sz w:val="24"/>
                <w:szCs w:val="24"/>
                <w:lang w:eastAsia="lv-LV"/>
              </w:rPr>
            </w:pPr>
            <w:r>
              <w:rPr>
                <w:rFonts w:eastAsia="Times New Roman"/>
                <w:sz w:val="24"/>
                <w:szCs w:val="24"/>
                <w:lang w:eastAsia="lv-LV"/>
              </w:rPr>
              <w:t>8</w:t>
            </w:r>
            <w:r w:rsidRPr="00DE1A22">
              <w:rPr>
                <w:rFonts w:eastAsia="Times New Roman"/>
                <w:sz w:val="24"/>
                <w:szCs w:val="24"/>
                <w:lang w:eastAsia="lv-LV"/>
              </w:rPr>
              <w:t>.</w:t>
            </w:r>
          </w:p>
        </w:tc>
        <w:tc>
          <w:tcPr>
            <w:tcW w:w="1043" w:type="pct"/>
          </w:tcPr>
          <w:p w14:paraId="3E596357" w14:textId="77777777" w:rsidR="00BE2F9B" w:rsidRPr="00DE1A22" w:rsidRDefault="00BE2F9B" w:rsidP="00BE2F9B">
            <w:pPr>
              <w:jc w:val="both"/>
              <w:rPr>
                <w:rFonts w:eastAsia="Times New Roman"/>
                <w:sz w:val="24"/>
                <w:szCs w:val="24"/>
                <w:lang w:eastAsia="lv-LV"/>
              </w:rPr>
            </w:pPr>
            <w:r w:rsidRPr="00DE1A22">
              <w:rPr>
                <w:rFonts w:eastAsia="Times New Roman"/>
                <w:sz w:val="24"/>
                <w:szCs w:val="24"/>
                <w:lang w:eastAsia="lv-LV"/>
              </w:rPr>
              <w:t>Pamatnostādņu 3. sadaļas 1. politikas rezultāts (PR) – “Samazinās azartspēļu un interaktīvo izložu problemātisko spēlētāju skaits”.</w:t>
            </w:r>
          </w:p>
        </w:tc>
        <w:tc>
          <w:tcPr>
            <w:tcW w:w="1491" w:type="pct"/>
          </w:tcPr>
          <w:p w14:paraId="0644DB7F" w14:textId="77777777" w:rsidR="00BE2F9B" w:rsidRPr="00DE1A22" w:rsidRDefault="00BE2F9B" w:rsidP="00BE2F9B">
            <w:pPr>
              <w:contextualSpacing/>
              <w:jc w:val="both"/>
              <w:rPr>
                <w:rFonts w:eastAsia="Times New Roman"/>
                <w:b/>
                <w:sz w:val="24"/>
                <w:szCs w:val="24"/>
              </w:rPr>
            </w:pPr>
            <w:r w:rsidRPr="00DE1A22">
              <w:rPr>
                <w:rFonts w:eastAsia="Times New Roman"/>
                <w:b/>
                <w:sz w:val="24"/>
                <w:szCs w:val="24"/>
              </w:rPr>
              <w:t>Latvijas Spēļu biznesa asociācija (05.03.2020. Nr.6/20)</w:t>
            </w:r>
          </w:p>
          <w:p w14:paraId="1AA55747" w14:textId="77777777" w:rsidR="00BE2F9B" w:rsidRPr="00DE1A22" w:rsidRDefault="00BE2F9B" w:rsidP="00BE2F9B">
            <w:pPr>
              <w:contextualSpacing/>
              <w:jc w:val="both"/>
              <w:rPr>
                <w:rFonts w:eastAsia="Times New Roman"/>
                <w:b/>
                <w:sz w:val="24"/>
                <w:szCs w:val="24"/>
              </w:rPr>
            </w:pPr>
            <w:r w:rsidRPr="00DE1A22">
              <w:rPr>
                <w:rFonts w:eastAsia="Times New Roman"/>
                <w:b/>
                <w:sz w:val="24"/>
                <w:szCs w:val="24"/>
              </w:rPr>
              <w:t>Lūdzam izslēgt no 1.politikas rezultāta “Samazinās azartspēļu un interaktīvo izložu problemātisko spēlētāju skaits”, tam sekojošiem rezultatīvajiem rādītājiem, 1.rīcības virziena 14., 18., 19. un 20.uzdevuma un pamatnostādņu pielikuma (kur tas ir nepieciešams) vārdu “interaktīvo”.</w:t>
            </w:r>
          </w:p>
          <w:p w14:paraId="541204DA" w14:textId="77777777" w:rsidR="00BE2F9B" w:rsidRPr="00DE1A22" w:rsidRDefault="00BE2F9B" w:rsidP="00BE2F9B">
            <w:pPr>
              <w:contextualSpacing/>
              <w:jc w:val="both"/>
              <w:rPr>
                <w:rFonts w:eastAsia="Times New Roman"/>
                <w:sz w:val="24"/>
                <w:szCs w:val="24"/>
              </w:rPr>
            </w:pPr>
            <w:r w:rsidRPr="00DE1A22">
              <w:rPr>
                <w:rFonts w:eastAsia="Times New Roman"/>
                <w:sz w:val="24"/>
                <w:szCs w:val="24"/>
              </w:rPr>
              <w:t xml:space="preserve">Nav objektīva pamata izlozes un loterijas nošķirt no citiem azartspēļu veidiem. No Eiropas Savienības sekundārajiem tiesību aktiem izriet, ka par azartspēlēm ir uzskatāmas arī izlozes, loterijas un derības.  Eiropas Savienības Komisija zaļajā grāmatā par tiešsaistes azartspēlēm iekšējā tirgū ir norādījusi, ka loterija ir uzskatāma par bezsaistes azartspēļu pakalpojumu.  Tāpat, vērsta uzmanība, ka pie tiešsaistes azartspēlēm ir pieskaitāma arī loterijas pakalpojumu piegāde tiešsaistē. Eiropas Savienības Komisijas publicētajā gala ziņojumā par azartspēļu pakalpojumiem Eiropas Savienības iekšējā tirgū skaidrots, </w:t>
            </w:r>
            <w:r w:rsidRPr="00DE1A22">
              <w:rPr>
                <w:rFonts w:eastAsia="Times New Roman"/>
                <w:sz w:val="24"/>
                <w:szCs w:val="24"/>
              </w:rPr>
              <w:lastRenderedPageBreak/>
              <w:t xml:space="preserve">ka par azartspēļu pakalpojumiem ir uzskatāmi jebkuri pakalpojumi, kas ietver azartspēļu, tostarp loteriju un derību darījumu, likmju noteikšanu ar monetāru vērtību.  Arī no Eiropas Savienības tiesas sprieduma Schindler  lietā var secināt, ka loterija dalībvalstu starpā ierasti tiek uzskatīta par azartspēļu veidu un par to nepastāv strīds.  Uz to, ka loterija ir uzskatāma par azartspēļu veidu, norāda arī vārda “loterija” skaidrojums, kurā, cita starpā, ir noteikts, ka loterija ir azartspēle.  Tāpat arī juridiskajā literatūrā loterijas tiek viennozīmīgi uzskatītas par azartspēļu veidu kopā ar spēļu automātiem, kāršu spēlēm, u.c. </w:t>
            </w:r>
          </w:p>
          <w:p w14:paraId="5250F2AA" w14:textId="77777777" w:rsidR="00BE2F9B" w:rsidRPr="00DE1A22" w:rsidRDefault="00BE2F9B" w:rsidP="00BE2F9B">
            <w:pPr>
              <w:contextualSpacing/>
              <w:jc w:val="both"/>
              <w:rPr>
                <w:rFonts w:eastAsia="Times New Roman"/>
                <w:sz w:val="24"/>
                <w:szCs w:val="24"/>
              </w:rPr>
            </w:pPr>
            <w:r w:rsidRPr="00DE1A22">
              <w:rPr>
                <w:rFonts w:eastAsia="Times New Roman"/>
                <w:sz w:val="24"/>
                <w:szCs w:val="24"/>
              </w:rPr>
              <w:t>Izlozes var izraisīt tādu pašu atkarību kā “klasiskās” azartspēles, attiecīgi nav pamatoti izložu regulējumu nošķirt no pārējo azartspēļu regulējuma – īpaši reklāmas un pieejamības jomā, kas var veicināt un izraisīt atkarību. Piemēram, VAS “Latvijas Loto” 2020.gada 18.februārī savā interneta vietnē ziņo: “Loto 5 ikdienas rituāls vainagojas 5001 eiro laimestā”.  Uzņēmums paziņojumā norāda, ka “uzcītība un neatlaidība dzīvē atmaksājas” un skaidro laimētājas izvēli piedalīties loterijā “Loto 5”, “jo tur visbiežāk ir izlozes – ik pēc piecām minūtēm”. Vērtējam kritiski šādu pozitīvas attieksmes paušanu pret atkarību, piedēvējot tai tikumus “uzcītība” un “neatlaidība”.</w:t>
            </w:r>
          </w:p>
          <w:p w14:paraId="067A4AF0" w14:textId="77777777" w:rsidR="00BE2F9B" w:rsidRPr="00DE1A22" w:rsidRDefault="00BE2F9B" w:rsidP="00BE2F9B">
            <w:pPr>
              <w:contextualSpacing/>
              <w:jc w:val="both"/>
              <w:rPr>
                <w:rFonts w:eastAsia="Times New Roman"/>
                <w:sz w:val="24"/>
                <w:szCs w:val="24"/>
              </w:rPr>
            </w:pPr>
            <w:r w:rsidRPr="00DE1A22">
              <w:rPr>
                <w:rFonts w:eastAsia="Times New Roman"/>
                <w:sz w:val="24"/>
                <w:szCs w:val="24"/>
              </w:rPr>
              <w:t xml:space="preserve">Arī Veselības ministrijas pētījumā par azartspēļu spēlēšanas, datorspēļu un pārmērīgas interneta lietošanas paradumiem Latvijā  (turpmāk – VM pētījums) azartspēles tiek apskatītas kopā. Turklāt, </w:t>
            </w:r>
            <w:r w:rsidRPr="00DE1A22">
              <w:rPr>
                <w:rFonts w:eastAsia="Times New Roman"/>
                <w:sz w:val="24"/>
                <w:szCs w:val="24"/>
              </w:rPr>
              <w:lastRenderedPageBreak/>
              <w:t>65% aptaujāto cilvēku ir piekrituši, ka Latvijā ir pārāk daudz vietu, kur iegādāties loterijas kuponus vai biļetes. Aicinām izvērtēt izložu pieejamības (brīvi pieejamas pat lielveikalu kasēs – vairāk nekā 800 tirdzniecības vietas) ierobežošanas nepieciešamību.</w:t>
            </w:r>
          </w:p>
          <w:p w14:paraId="1C99913D" w14:textId="77777777" w:rsidR="00BE2F9B" w:rsidRPr="00DE1A22" w:rsidRDefault="00BE2F9B" w:rsidP="00BE2F9B">
            <w:pPr>
              <w:contextualSpacing/>
              <w:jc w:val="both"/>
              <w:rPr>
                <w:rFonts w:eastAsia="Times New Roman"/>
                <w:b/>
                <w:sz w:val="24"/>
                <w:szCs w:val="24"/>
              </w:rPr>
            </w:pPr>
            <w:r w:rsidRPr="00DE1A22">
              <w:rPr>
                <w:rFonts w:eastAsia="Times New Roman"/>
                <w:sz w:val="24"/>
                <w:szCs w:val="24"/>
              </w:rPr>
              <w:t>Aizliegums uzturlīdzekļu nemaksātājiem piedalīties azartspēlēs un izlozēs Azartspēļu un izložu likumā (turpmāk – AIL) būtu nosakāms arī attiecībā uz uzturlīdzekļu nemaksātāju dalību izlozēs (skat. 14.uzdevumu). Citādāk uzturlīdzekļu nemaksātājiem, neskatoties uz aizliegumu piedalīties azartspēlēs, aizvien būs iespējams savus brīvo finanšu līdzekļus iztērēt, spēlējot viena noteikta veida azartspēles – izlozes, nevis nodrošinot savu bērnu uzturēšanu. Tādēļ efektīva tiesiskā regulējuma dēļ ir nepieciešams noteikt, ka uzturlīdzekļu nemaksātājiem ir aizliegts piedalīties azartspēlēs un izlozēs. Fizisko personu datu pienācīgu aizsardzību nodrošinās no azartspēlēm un interaktīvajām izlozēm pašatteikušos personu reģistra (kuru plānots sasaistīt ar Uzturlīdzekļu garantiju fonda parādnieku reģistru) sistēmas paziņojumu par tajā iekļautajām personām forma – autorizētiem lietotājiem ir pieejama tikai informācija, vai persona ir vai nav iekļauta reģistrā.</w:t>
            </w:r>
          </w:p>
        </w:tc>
        <w:tc>
          <w:tcPr>
            <w:tcW w:w="1058" w:type="pct"/>
          </w:tcPr>
          <w:p w14:paraId="4A657F8A" w14:textId="77777777" w:rsidR="00BE2F9B" w:rsidRPr="00DE1A22" w:rsidRDefault="00BE2F9B" w:rsidP="00BE2F9B">
            <w:pPr>
              <w:jc w:val="both"/>
              <w:rPr>
                <w:rFonts w:eastAsia="Times New Roman"/>
                <w:b/>
                <w:bCs/>
                <w:sz w:val="24"/>
                <w:szCs w:val="24"/>
                <w:lang w:eastAsia="lv-LV"/>
              </w:rPr>
            </w:pPr>
            <w:r>
              <w:rPr>
                <w:rFonts w:eastAsia="Times New Roman"/>
                <w:b/>
                <w:bCs/>
                <w:sz w:val="24"/>
                <w:szCs w:val="24"/>
                <w:lang w:eastAsia="lv-LV"/>
              </w:rPr>
              <w:lastRenderedPageBreak/>
              <w:t>Ņ</w:t>
            </w:r>
            <w:r w:rsidRPr="00DE1A22">
              <w:rPr>
                <w:rFonts w:eastAsia="Times New Roman"/>
                <w:b/>
                <w:bCs/>
                <w:sz w:val="24"/>
                <w:szCs w:val="24"/>
                <w:lang w:eastAsia="lv-LV"/>
              </w:rPr>
              <w:t>emts  vērā.</w:t>
            </w:r>
          </w:p>
          <w:p w14:paraId="32DABBAF" w14:textId="77777777" w:rsidR="00BE2F9B" w:rsidRPr="00DE1A22" w:rsidRDefault="00BE2F9B" w:rsidP="00BE2F9B">
            <w:pPr>
              <w:jc w:val="both"/>
              <w:rPr>
                <w:rFonts w:eastAsia="Times New Roman"/>
                <w:sz w:val="24"/>
                <w:szCs w:val="24"/>
                <w:lang w:eastAsia="lv-LV"/>
              </w:rPr>
            </w:pPr>
            <w:r w:rsidRPr="00DE1A22">
              <w:rPr>
                <w:rFonts w:eastAsia="Times New Roman"/>
                <w:sz w:val="24"/>
                <w:szCs w:val="24"/>
                <w:lang w:eastAsia="lv-LV"/>
              </w:rPr>
              <w:t xml:space="preserve">Zinātniskajos pētījumos ir secināts, ka azartspēļu automāti un kazino spēles ir tie azartspēļu veidi, kas ir visvairāk saistīti ar azartspēļu atkarības veidošanos. </w:t>
            </w:r>
          </w:p>
          <w:p w14:paraId="0C5EE74B" w14:textId="77777777" w:rsidR="00BE2F9B" w:rsidRPr="00DE1A22" w:rsidRDefault="00BE2F9B" w:rsidP="00BE2F9B">
            <w:pPr>
              <w:jc w:val="both"/>
              <w:rPr>
                <w:rFonts w:eastAsia="Times New Roman"/>
                <w:sz w:val="24"/>
                <w:szCs w:val="24"/>
                <w:lang w:eastAsia="lv-LV"/>
              </w:rPr>
            </w:pPr>
            <w:r w:rsidRPr="00DE1A22">
              <w:rPr>
                <w:rFonts w:eastAsia="Times New Roman"/>
                <w:sz w:val="24"/>
                <w:szCs w:val="24"/>
                <w:lang w:eastAsia="lv-LV"/>
              </w:rPr>
              <w:t xml:space="preserve">Līdz ar to pasākumiem jābūt pēc iespējas fokusētākiem un orientētiem tieši uz būtiskāko risku mazināšanu, lai sasniegtu labāku rezultātu un augstāku šo pasākumu efektivitāti. </w:t>
            </w:r>
          </w:p>
          <w:p w14:paraId="2FDBDCFF" w14:textId="77777777" w:rsidR="00BE2F9B" w:rsidRPr="00DE1A22" w:rsidRDefault="00BE2F9B" w:rsidP="00BE2F9B">
            <w:pPr>
              <w:jc w:val="both"/>
              <w:rPr>
                <w:rFonts w:eastAsia="Times New Roman"/>
                <w:sz w:val="24"/>
                <w:szCs w:val="24"/>
                <w:lang w:eastAsia="lv-LV"/>
              </w:rPr>
            </w:pPr>
          </w:p>
          <w:p w14:paraId="20B9F7AF" w14:textId="77777777" w:rsidR="00BE2F9B" w:rsidRPr="00DE1A22" w:rsidRDefault="00BE2F9B" w:rsidP="00BE2F9B">
            <w:pPr>
              <w:jc w:val="both"/>
              <w:rPr>
                <w:rFonts w:eastAsia="Times New Roman"/>
                <w:sz w:val="24"/>
                <w:szCs w:val="24"/>
                <w:lang w:eastAsia="lv-LV"/>
              </w:rPr>
            </w:pPr>
            <w:r w:rsidRPr="00DE1A22">
              <w:rPr>
                <w:rFonts w:eastAsia="Times New Roman"/>
                <w:sz w:val="24"/>
                <w:szCs w:val="24"/>
                <w:lang w:eastAsia="lv-LV"/>
              </w:rPr>
              <w:t xml:space="preserve">Latvijā 2019.gadā veiktajā  pētījumā “Pētījums par procesu atkarību (azartspēļu, sociālo mediju, datorspēļu atkarība) izplatību Latvijas iedzīvotāju vidū un to ietekmējošiem riska faktoriem), (turpmāk – LV Pētījums)  teikts, ka, lai arī azartspēles automātos spēlē salīdzinoši mazāks </w:t>
            </w:r>
            <w:r w:rsidRPr="00DE1A22">
              <w:rPr>
                <w:rFonts w:eastAsia="Times New Roman"/>
                <w:sz w:val="24"/>
                <w:szCs w:val="24"/>
                <w:lang w:eastAsia="lv-LV"/>
              </w:rPr>
              <w:lastRenderedPageBreak/>
              <w:t>respondentu īpatsvars kā loterijas, šādi kopumā mazinot problemātisko spēlmaņu īpatsvaru populācijā, tomēr tā kaitīgā ietekme ir augstāka, skarot pat lielāko daļu aktīvo regulāro spēlētāju.</w:t>
            </w:r>
          </w:p>
          <w:p w14:paraId="195FAE46" w14:textId="77777777" w:rsidR="00BE2F9B" w:rsidRPr="00DE1A22" w:rsidRDefault="00BE2F9B" w:rsidP="00BE2F9B">
            <w:pPr>
              <w:jc w:val="both"/>
              <w:rPr>
                <w:rFonts w:eastAsia="Times New Roman"/>
                <w:sz w:val="24"/>
                <w:szCs w:val="24"/>
                <w:lang w:eastAsia="lv-LV"/>
              </w:rPr>
            </w:pPr>
            <w:r w:rsidRPr="00DE1A22">
              <w:rPr>
                <w:rFonts w:eastAsia="Times New Roman"/>
                <w:sz w:val="24"/>
                <w:szCs w:val="24"/>
                <w:lang w:eastAsia="lv-LV"/>
              </w:rPr>
              <w:t xml:space="preserve">Aktīvo 60% spēļu automātu spēlētāju problēmas saskaņā ar indeksa vērtībām uzskatāmas nevis par zema līmeņa, bet gan par vidēja vai augsta līmeņa problēmām. </w:t>
            </w:r>
          </w:p>
          <w:p w14:paraId="06AD61AA" w14:textId="77777777" w:rsidR="00BE2F9B" w:rsidRPr="00DE1A22" w:rsidRDefault="00BE2F9B" w:rsidP="00BE2F9B">
            <w:pPr>
              <w:jc w:val="both"/>
              <w:rPr>
                <w:rFonts w:eastAsia="Times New Roman"/>
                <w:sz w:val="24"/>
                <w:szCs w:val="24"/>
                <w:lang w:eastAsia="lv-LV"/>
              </w:rPr>
            </w:pPr>
            <w:r w:rsidRPr="00DE1A22">
              <w:rPr>
                <w:rFonts w:eastAsia="Times New Roman"/>
                <w:sz w:val="24"/>
                <w:szCs w:val="24"/>
                <w:lang w:eastAsia="lv-LV"/>
              </w:rPr>
              <w:t>Iepriekš minētie secinājumi nosaka, ka izložu spēlētājiem ir mazāks atkarības risks.</w:t>
            </w:r>
          </w:p>
          <w:p w14:paraId="44886D02" w14:textId="77777777" w:rsidR="00BE2F9B" w:rsidRPr="00DE1A22" w:rsidRDefault="00BE2F9B" w:rsidP="00BE2F9B">
            <w:pPr>
              <w:jc w:val="both"/>
              <w:rPr>
                <w:rFonts w:eastAsia="Times New Roman"/>
                <w:sz w:val="24"/>
                <w:szCs w:val="24"/>
                <w:lang w:eastAsia="lv-LV"/>
              </w:rPr>
            </w:pPr>
          </w:p>
          <w:p w14:paraId="40CAACAF" w14:textId="77777777" w:rsidR="00BE2F9B" w:rsidRPr="00DE1A22" w:rsidRDefault="00BE2F9B" w:rsidP="00BE2F9B">
            <w:pPr>
              <w:jc w:val="both"/>
              <w:rPr>
                <w:rFonts w:eastAsia="Times New Roman"/>
                <w:b/>
                <w:bCs/>
                <w:sz w:val="24"/>
                <w:szCs w:val="24"/>
                <w:lang w:eastAsia="lv-LV"/>
              </w:rPr>
            </w:pPr>
            <w:r w:rsidRPr="00DE1A22">
              <w:rPr>
                <w:rFonts w:eastAsia="Times New Roman"/>
                <w:sz w:val="24"/>
                <w:szCs w:val="24"/>
                <w:lang w:eastAsia="lv-LV"/>
              </w:rPr>
              <w:t xml:space="preserve">Vienlaikus Tieslietu ministrija ir norādījusi, ka izložu un azartspēļu veidi nav pielīdzināmi, jo tie atšķiras pēc procedūrām, kurās ir iesaistīta persona, kas piedalās izlozē vai azartspēlē, jo tieši personas iesaistes pakāpe var ietekmēt atkarības veidošanos. Tas apstiprinās arī ar projektam “Azartspēļu un izložu politikas pamatnostādnes 2020.-2027. gadam” pievienotajā pielikumā “Esošās situācijas vispārīgs raksturojums” minētajiem pētījumiem: “[..] Attiecībā uz derībām, totalizatoriem un izlozēm ES valstu regulējums ir </w:t>
            </w:r>
            <w:r w:rsidRPr="00DE1A22">
              <w:rPr>
                <w:rFonts w:eastAsia="Times New Roman"/>
                <w:sz w:val="24"/>
                <w:szCs w:val="24"/>
                <w:lang w:eastAsia="lv-LV"/>
              </w:rPr>
              <w:lastRenderedPageBreak/>
              <w:t>saudzīgāks, ko varētu izskaidrot tas, ka pētījumos, saistībā ar azartspēļu atkarības risku ir secināts, ka izlozes, derības un totalizatori ir tie azartspēļu veidi, kuri vismazāk saistās ar azartspēļu atkarības veidošanos. [..]” (atsauce uz Remote Gambling Research 42. lpp.; Pamatnostādņu projekta pielikuma 20. lpp. pēdējā rindkopa). Tādējādi Azartspēļu un izložu likuma (turpmāk – likums) 5. pantā uzskaitītās azartspēles, piemēram, spēļu automātu spēle, rulete, kāršu vai kauliņu spēle ir ar ievērojami augstāku personas iesaisti un kaitīgumu (atkarības riskiem), nekā tas ir likuma VIII nodaļā minētajiem izložu (loteriju) veidiem, kad personas iesaiste aprobežojas ar iemaksas veikšanu (konkrētas biļetes iegādi vai biļetes veidlapas iegādi un tās aizpildīšanu atbilstoši izlozes noteikumiem), bet informācija par laimestu tiek iegūta attālināti. Vienlaikus var pieļaut, ka atsevišķas azartspēles, piemēram, bingo, ir līdzīgs ar skaitļu loterijām, bet arī šajos gadījumos nodalīšana notiek atbilstoši personas iesaistes pakāpei.</w:t>
            </w:r>
          </w:p>
        </w:tc>
        <w:tc>
          <w:tcPr>
            <w:tcW w:w="1154" w:type="pct"/>
          </w:tcPr>
          <w:p w14:paraId="3A4F8FF0" w14:textId="77777777" w:rsidR="00BE2F9B" w:rsidRPr="00DE1A22" w:rsidRDefault="00BE2F9B" w:rsidP="00BE2F9B">
            <w:pPr>
              <w:jc w:val="both"/>
              <w:rPr>
                <w:rFonts w:eastAsia="Times New Roman"/>
                <w:sz w:val="24"/>
                <w:szCs w:val="24"/>
                <w:lang w:eastAsia="lv-LV"/>
              </w:rPr>
            </w:pPr>
            <w:r w:rsidRPr="00DE1A22">
              <w:rPr>
                <w:rFonts w:eastAsia="Times New Roman"/>
                <w:sz w:val="24"/>
                <w:szCs w:val="24"/>
                <w:lang w:eastAsia="lv-LV"/>
              </w:rPr>
              <w:lastRenderedPageBreak/>
              <w:t>Precizēti Pamatnostādņu 3. sadaļas 1. politikas rezultāti (PR)</w:t>
            </w:r>
          </w:p>
        </w:tc>
      </w:tr>
      <w:tr w:rsidR="00BE2F9B" w:rsidRPr="00DE1A22" w14:paraId="54177931" w14:textId="77777777" w:rsidTr="00B8198F">
        <w:tc>
          <w:tcPr>
            <w:tcW w:w="254" w:type="pct"/>
          </w:tcPr>
          <w:p w14:paraId="71304E55" w14:textId="42C608EA" w:rsidR="00BE2F9B" w:rsidRPr="00DE1A22" w:rsidDel="009647E5" w:rsidRDefault="00BE2F9B" w:rsidP="00BE2F9B">
            <w:pPr>
              <w:spacing w:before="100" w:beforeAutospacing="1" w:after="100" w:afterAutospacing="1"/>
              <w:jc w:val="center"/>
              <w:rPr>
                <w:rFonts w:eastAsia="Times New Roman"/>
                <w:sz w:val="24"/>
                <w:szCs w:val="24"/>
                <w:lang w:eastAsia="lv-LV"/>
              </w:rPr>
            </w:pPr>
            <w:r>
              <w:rPr>
                <w:rFonts w:eastAsia="Times New Roman"/>
                <w:sz w:val="24"/>
                <w:szCs w:val="24"/>
                <w:lang w:eastAsia="lv-LV"/>
              </w:rPr>
              <w:lastRenderedPageBreak/>
              <w:t>9</w:t>
            </w:r>
            <w:r w:rsidRPr="00DE1A22">
              <w:rPr>
                <w:rFonts w:eastAsia="Times New Roman"/>
                <w:sz w:val="24"/>
                <w:szCs w:val="24"/>
                <w:lang w:eastAsia="lv-LV"/>
              </w:rPr>
              <w:t>.</w:t>
            </w:r>
          </w:p>
        </w:tc>
        <w:tc>
          <w:tcPr>
            <w:tcW w:w="1043" w:type="pct"/>
          </w:tcPr>
          <w:p w14:paraId="653A0A16" w14:textId="77777777" w:rsidR="00BE2F9B" w:rsidRPr="00DE1A22" w:rsidRDefault="00BE2F9B" w:rsidP="00BE2F9B">
            <w:pPr>
              <w:jc w:val="both"/>
              <w:rPr>
                <w:rFonts w:eastAsia="Times New Roman"/>
                <w:sz w:val="24"/>
                <w:szCs w:val="24"/>
                <w:lang w:eastAsia="lv-LV"/>
              </w:rPr>
            </w:pPr>
            <w:r w:rsidRPr="00DE1A22">
              <w:rPr>
                <w:rFonts w:eastAsia="Times New Roman"/>
                <w:sz w:val="24"/>
                <w:szCs w:val="24"/>
                <w:lang w:eastAsia="lv-LV"/>
              </w:rPr>
              <w:t>Pamatnostādņu 4. sadaļas 1. rīcības virziena “Atkarības profilakses, preventīvie, problemātiskā spēlētāja atbalsts un sabiedrības izglītojoši pasākumi” 2. uzdevums: “Nodrošināt pašvaldībās veselības profilakses un veicināšanas pasākumus procesu atkarības (tostarp azartspēļu atkarības) risku mazināšanai.”</w:t>
            </w:r>
          </w:p>
        </w:tc>
        <w:tc>
          <w:tcPr>
            <w:tcW w:w="1491" w:type="pct"/>
          </w:tcPr>
          <w:p w14:paraId="7EA1EDE4" w14:textId="77777777" w:rsidR="00BE2F9B" w:rsidRPr="00DE1A22" w:rsidRDefault="00BE2F9B" w:rsidP="00BE2F9B">
            <w:pPr>
              <w:contextualSpacing/>
              <w:jc w:val="both"/>
              <w:rPr>
                <w:rFonts w:eastAsia="Times New Roman"/>
                <w:b/>
                <w:sz w:val="24"/>
                <w:szCs w:val="24"/>
              </w:rPr>
            </w:pPr>
            <w:r w:rsidRPr="00DE1A22">
              <w:rPr>
                <w:rFonts w:eastAsia="Times New Roman"/>
                <w:b/>
                <w:sz w:val="24"/>
                <w:szCs w:val="24"/>
              </w:rPr>
              <w:t>Latvijas Pašvaldību savienība (11.03.2020. Nr.202003/INIC143)</w:t>
            </w:r>
          </w:p>
          <w:p w14:paraId="2530465B" w14:textId="77777777" w:rsidR="00BE2F9B" w:rsidRPr="00DE1A22" w:rsidRDefault="00BE2F9B" w:rsidP="00BE2F9B">
            <w:pPr>
              <w:contextualSpacing/>
              <w:jc w:val="both"/>
              <w:rPr>
                <w:rFonts w:eastAsia="Times New Roman"/>
                <w:sz w:val="24"/>
                <w:szCs w:val="24"/>
              </w:rPr>
            </w:pPr>
            <w:r w:rsidRPr="00DE1A22">
              <w:rPr>
                <w:rFonts w:eastAsia="Times New Roman"/>
                <w:sz w:val="24"/>
                <w:szCs w:val="24"/>
              </w:rPr>
              <w:t>2. uzdevums nosaka pašvaldības kā atbildīgo institūciju profilakses pasākumu procesu atkarības (tostarp azartspēļu atkarības) risku mazināšanai nodrošināšanā. Ja uzdevums attiecas tikai uz azartspēļu atkarības profilakses pasākumu īstenošanu, lūgums konkrētajā uzdevumā kā atbildīgo institūciju saglabāt tikai Slimību profilakses un kontroles centru (SPKC) un pašvaldības paredzēt kā līdzatbildīgo institūciju, jo atkarības risku izplatības novēršana un novērtēšanas pilnveidošana sabiedrībā ir viens no SPKC darbības mērķiem un šī mērķa ietvaros centra uzdevums ir piedalīties atkarības izraisošo vielu, kā arī azartspēļu un procesu atkarību izplatības un seku ierobežošanas politikas īstenošanā (Slimību profilakses un kontroles centra darbības stratēģija 2019.– 2021. gadam (20.lpp.). Viens no šī mērķa rezultatīvajiem rādītājiem ir: “īstenoto pasākumu skaits valsts mērogā un pašvaldībās atkarības slimību izplatības ierobežošanā un seku mazināšanā, tajā skaitā situācijas monitoringā” (stratēģijas 19.lpp.).</w:t>
            </w:r>
          </w:p>
          <w:p w14:paraId="4807D4B8" w14:textId="77777777" w:rsidR="00BE2F9B" w:rsidRPr="00DE1A22" w:rsidRDefault="00BE2F9B" w:rsidP="00BE2F9B">
            <w:pPr>
              <w:contextualSpacing/>
              <w:jc w:val="both"/>
              <w:rPr>
                <w:rFonts w:eastAsia="Times New Roman"/>
                <w:b/>
                <w:sz w:val="24"/>
                <w:szCs w:val="24"/>
              </w:rPr>
            </w:pPr>
            <w:r w:rsidRPr="00DE1A22">
              <w:rPr>
                <w:rFonts w:eastAsia="Times New Roman"/>
                <w:sz w:val="24"/>
                <w:szCs w:val="24"/>
              </w:rPr>
              <w:t>Kā Veselības ministrija minēja 13.februāra starpministriju (starpinstitūciju) sanāksmē par precizēto Pamatnostādņu projektu, pašvaldību funkcija ir veicināt iedzīvotāju veselīgu dzīvesveidu, līdz ar to pašvaldības var būt atbildīgas tikai par iedzīvotāju veselības veicināšanas pasākumiem.</w:t>
            </w:r>
          </w:p>
        </w:tc>
        <w:tc>
          <w:tcPr>
            <w:tcW w:w="1058" w:type="pct"/>
          </w:tcPr>
          <w:p w14:paraId="6F787181" w14:textId="77777777" w:rsidR="00BE2F9B" w:rsidRPr="00DE1A22" w:rsidRDefault="00BE2F9B" w:rsidP="00BE2F9B">
            <w:pPr>
              <w:jc w:val="both"/>
              <w:rPr>
                <w:rFonts w:eastAsia="Times New Roman"/>
                <w:b/>
                <w:bCs/>
                <w:sz w:val="24"/>
                <w:szCs w:val="24"/>
                <w:lang w:eastAsia="lv-LV"/>
              </w:rPr>
            </w:pPr>
            <w:r w:rsidRPr="00DE1A22">
              <w:rPr>
                <w:rFonts w:eastAsia="Times New Roman"/>
                <w:b/>
                <w:bCs/>
                <w:sz w:val="24"/>
                <w:szCs w:val="24"/>
                <w:lang w:eastAsia="lv-LV"/>
              </w:rPr>
              <w:t>Ņemts vērā.</w:t>
            </w:r>
          </w:p>
          <w:p w14:paraId="7AA759D2" w14:textId="77777777" w:rsidR="00BE2F9B" w:rsidRPr="00DE1A22" w:rsidRDefault="00BE2F9B" w:rsidP="00BE2F9B">
            <w:pPr>
              <w:jc w:val="both"/>
              <w:rPr>
                <w:rFonts w:eastAsia="Times New Roman"/>
                <w:b/>
                <w:bCs/>
                <w:sz w:val="24"/>
                <w:szCs w:val="24"/>
                <w:lang w:eastAsia="lv-LV"/>
              </w:rPr>
            </w:pPr>
          </w:p>
        </w:tc>
        <w:tc>
          <w:tcPr>
            <w:tcW w:w="1154" w:type="pct"/>
          </w:tcPr>
          <w:p w14:paraId="012DC627" w14:textId="77777777" w:rsidR="00BE2F9B" w:rsidRPr="00DE1A22" w:rsidRDefault="00BE2F9B" w:rsidP="00BE2F9B">
            <w:pPr>
              <w:jc w:val="both"/>
              <w:rPr>
                <w:rFonts w:eastAsia="Times New Roman"/>
                <w:sz w:val="24"/>
                <w:szCs w:val="24"/>
                <w:lang w:eastAsia="lv-LV"/>
              </w:rPr>
            </w:pPr>
            <w:r w:rsidRPr="00DE1A22">
              <w:rPr>
                <w:rFonts w:eastAsia="Times New Roman"/>
                <w:sz w:val="24"/>
                <w:szCs w:val="24"/>
              </w:rPr>
              <w:t>Atbilstoši ir precizēts Pamatnostādņu 4.sadaļas 1.rīcības virziena 2.uzdevums.</w:t>
            </w:r>
          </w:p>
        </w:tc>
      </w:tr>
      <w:tr w:rsidR="00BE2F9B" w:rsidRPr="00DE1A22" w14:paraId="79D58F0A" w14:textId="77777777" w:rsidTr="00B8198F">
        <w:tc>
          <w:tcPr>
            <w:tcW w:w="254" w:type="pct"/>
            <w:shd w:val="clear" w:color="auto" w:fill="auto"/>
          </w:tcPr>
          <w:p w14:paraId="23914164" w14:textId="77AF99DC" w:rsidR="00BE2F9B" w:rsidRPr="00DE1A22" w:rsidDel="00AB74B7" w:rsidRDefault="00BE2F9B" w:rsidP="00BE2F9B">
            <w:pPr>
              <w:spacing w:before="100" w:beforeAutospacing="1" w:after="100" w:afterAutospacing="1"/>
              <w:jc w:val="center"/>
              <w:rPr>
                <w:rFonts w:eastAsia="Times New Roman"/>
                <w:sz w:val="24"/>
                <w:szCs w:val="24"/>
                <w:lang w:eastAsia="lv-LV"/>
              </w:rPr>
            </w:pPr>
            <w:r>
              <w:rPr>
                <w:rFonts w:eastAsia="Times New Roman"/>
                <w:sz w:val="24"/>
                <w:szCs w:val="24"/>
                <w:lang w:eastAsia="lv-LV"/>
              </w:rPr>
              <w:t>10</w:t>
            </w:r>
            <w:r w:rsidRPr="00DE1A22">
              <w:rPr>
                <w:rFonts w:eastAsia="Times New Roman"/>
                <w:sz w:val="24"/>
                <w:szCs w:val="24"/>
                <w:lang w:eastAsia="lv-LV"/>
              </w:rPr>
              <w:t>.</w:t>
            </w:r>
          </w:p>
        </w:tc>
        <w:tc>
          <w:tcPr>
            <w:tcW w:w="1043" w:type="pct"/>
            <w:shd w:val="clear" w:color="auto" w:fill="auto"/>
          </w:tcPr>
          <w:p w14:paraId="1686708C" w14:textId="77777777" w:rsidR="00BE2F9B" w:rsidRPr="00DE1A22" w:rsidRDefault="00BE2F9B" w:rsidP="00BE2F9B">
            <w:pPr>
              <w:jc w:val="both"/>
              <w:rPr>
                <w:rFonts w:eastAsia="Times New Roman"/>
                <w:sz w:val="24"/>
                <w:szCs w:val="24"/>
                <w:lang w:eastAsia="lv-LV"/>
              </w:rPr>
            </w:pPr>
            <w:r w:rsidRPr="00DE1A22">
              <w:rPr>
                <w:rFonts w:eastAsia="Times New Roman"/>
                <w:sz w:val="24"/>
                <w:szCs w:val="24"/>
                <w:lang w:eastAsia="lv-LV"/>
              </w:rPr>
              <w:t xml:space="preserve">Pamatnostādņu 4. sadaļas 1. rīcības virziena “Atkarības </w:t>
            </w:r>
            <w:r w:rsidRPr="00DE1A22">
              <w:rPr>
                <w:rFonts w:eastAsia="Times New Roman"/>
                <w:sz w:val="24"/>
                <w:szCs w:val="24"/>
                <w:lang w:eastAsia="lv-LV"/>
              </w:rPr>
              <w:lastRenderedPageBreak/>
              <w:t>profilakses, preventīvie, problemātiskā spēlētāja atbalsts un sabiedrības izglītojoši pasākumi” 10. uzdevums (jaunās redakcijas uzskaitījums) “AIL noteikt vecuma ierobežojumu dalībai azartspēlēs  no 21 gada vecuma”.</w:t>
            </w:r>
          </w:p>
        </w:tc>
        <w:tc>
          <w:tcPr>
            <w:tcW w:w="1491" w:type="pct"/>
            <w:shd w:val="clear" w:color="auto" w:fill="auto"/>
          </w:tcPr>
          <w:p w14:paraId="3E986ED2" w14:textId="77777777" w:rsidR="00BE2F9B" w:rsidRPr="00DE1A22" w:rsidRDefault="00BE2F9B" w:rsidP="00BE2F9B">
            <w:pPr>
              <w:contextualSpacing/>
              <w:jc w:val="both"/>
              <w:rPr>
                <w:rFonts w:eastAsia="Times New Roman"/>
                <w:b/>
                <w:sz w:val="24"/>
                <w:szCs w:val="24"/>
              </w:rPr>
            </w:pPr>
            <w:r w:rsidRPr="00DE1A22">
              <w:rPr>
                <w:rFonts w:eastAsia="Times New Roman"/>
                <w:b/>
                <w:sz w:val="24"/>
                <w:szCs w:val="24"/>
              </w:rPr>
              <w:lastRenderedPageBreak/>
              <w:t>Latvijas Spēļu biznesa asociācija (05.03.2020. Nr.6/20)</w:t>
            </w:r>
          </w:p>
          <w:p w14:paraId="78E03E76" w14:textId="77777777" w:rsidR="00BE2F9B" w:rsidRPr="00DE1A22" w:rsidRDefault="00BE2F9B" w:rsidP="00BE2F9B">
            <w:pPr>
              <w:contextualSpacing/>
              <w:jc w:val="both"/>
              <w:rPr>
                <w:rFonts w:eastAsia="Times New Roman"/>
                <w:b/>
                <w:sz w:val="24"/>
                <w:szCs w:val="24"/>
              </w:rPr>
            </w:pPr>
            <w:r w:rsidRPr="00DE1A22">
              <w:rPr>
                <w:rFonts w:eastAsia="Times New Roman"/>
                <w:b/>
                <w:sz w:val="24"/>
                <w:szCs w:val="24"/>
              </w:rPr>
              <w:lastRenderedPageBreak/>
              <w:t>Izslēgt 11.uzdevumu “AIL noteikt vecuma ierobežojumu dalībai azartspēlēs no 21 gada vecuma”</w:t>
            </w:r>
          </w:p>
          <w:p w14:paraId="4DC91C58" w14:textId="77777777" w:rsidR="00BE2F9B" w:rsidRPr="00DE1A22" w:rsidRDefault="00BE2F9B" w:rsidP="00BE2F9B">
            <w:pPr>
              <w:contextualSpacing/>
              <w:jc w:val="both"/>
              <w:rPr>
                <w:rFonts w:eastAsia="Times New Roman"/>
                <w:sz w:val="24"/>
                <w:szCs w:val="24"/>
              </w:rPr>
            </w:pPr>
            <w:r w:rsidRPr="00DE1A22">
              <w:rPr>
                <w:rFonts w:eastAsia="Times New Roman"/>
                <w:sz w:val="24"/>
                <w:szCs w:val="24"/>
              </w:rPr>
              <w:t>Izvērtējot vecuma ierobežojuma palielināšanas iespējamību, jāņem vērā ievērojamā nelicencēto interaktīvo azartspēļu operatoru ietekme Latvijas tirgū. Nelicencēto operatoru lielais īpatsvars Latvijas tirgū palielina risku, ka nepārdomāta vecuma ierobežojuma paaugstināšanas gadījumā liela daļa personu, it sevišķi, jaunākā spēlētāju daļa tiks novirzīta pie nelicencētajiem operatoriem, kuri neievēro atbildīgas spēles noteikumus un kuru sniegtos pakalpojumus Izložu un azartspēļu uzraudzības inspekcijas (turpmāk – IAUI) neuzrauga. Tādēļ, paaugstinot vecuma ierobežojumus, ievērojama daļa spēlētāju var tikt novirzīta bīstamā vidē, kur tiem nāksies saskarties ar bīstamu, nevis atbildīgu komercpraksi, kas ne tikai paaugstinās problemātisko spēlētāju rašanās risku, bet atsevišķos</w:t>
            </w:r>
            <w:r w:rsidRPr="00DE1A22">
              <w:rPr>
                <w:rFonts w:eastAsia="Times New Roman"/>
                <w:b/>
                <w:sz w:val="24"/>
                <w:szCs w:val="24"/>
              </w:rPr>
              <w:t xml:space="preserve"> </w:t>
            </w:r>
            <w:r w:rsidRPr="00DE1A22">
              <w:rPr>
                <w:rFonts w:eastAsia="Times New Roman"/>
                <w:sz w:val="24"/>
                <w:szCs w:val="24"/>
              </w:rPr>
              <w:t>gadījumos būs pat krāpnieciska.</w:t>
            </w:r>
          </w:p>
          <w:p w14:paraId="37512FF7" w14:textId="77777777" w:rsidR="00BE2F9B" w:rsidRPr="00DE1A22" w:rsidRDefault="00BE2F9B" w:rsidP="00BE2F9B">
            <w:pPr>
              <w:contextualSpacing/>
              <w:jc w:val="both"/>
              <w:rPr>
                <w:rFonts w:eastAsia="Times New Roman"/>
                <w:sz w:val="24"/>
                <w:szCs w:val="24"/>
              </w:rPr>
            </w:pPr>
            <w:r w:rsidRPr="00DE1A22">
              <w:rPr>
                <w:rFonts w:eastAsia="Times New Roman"/>
                <w:sz w:val="24"/>
                <w:szCs w:val="24"/>
              </w:rPr>
              <w:t xml:space="preserve">Salīdzinot Latvijas un citu ES dalībvalstu noteiktos vecuma ierobežojumus, kā arī augsto nelicencēto interaktīvo azartspēļu operatoru skaitu Latvijā, secināms, ka šobrīd – līdz nav ievērojami samazināts nelicencēto operatoru tirgus Latvijā – nav vēlams paaugstināt vecuma ierobežojumus attiecībā uz dalību azartspēlēs. Pretējā gadījumā personas, kurām tādējādi tiks liegta iespēja izmantot licencēto operatoru pakalpojumus, visticamāk, nevis atturēsies no azartspēļu spēlēšanas, bet gan, izmantojot tehnoloģiju </w:t>
            </w:r>
            <w:r w:rsidRPr="00DE1A22">
              <w:rPr>
                <w:rFonts w:eastAsia="Times New Roman"/>
                <w:sz w:val="24"/>
                <w:szCs w:val="24"/>
              </w:rPr>
              <w:lastRenderedPageBreak/>
              <w:t xml:space="preserve">sniegtās iespējas, vērsīsies pie nelicencētiem interaktīvo azartspēļu operatoriem. Sasniedzot 21 gadu vecumu, šie spēlētāji lielā daļā gadījumu nepāries spēlēt pie licencētajiem azartspēļu organizētājiem, jo nelicencēto operatoru piedāvāto bonusu sistēmas ir ļoti dāsnas, ar mērķi piesaistīti un noturēt spēlētāju, ar ko licencētie azartspēļu organizētāji nevar konkurēt.  </w:t>
            </w:r>
          </w:p>
          <w:p w14:paraId="40A9E1F5" w14:textId="77777777" w:rsidR="00BE2F9B" w:rsidRPr="00DE1A22" w:rsidRDefault="00BE2F9B" w:rsidP="00BE2F9B">
            <w:pPr>
              <w:contextualSpacing/>
              <w:jc w:val="both"/>
              <w:rPr>
                <w:rFonts w:eastAsia="Times New Roman"/>
                <w:sz w:val="24"/>
                <w:szCs w:val="24"/>
              </w:rPr>
            </w:pPr>
            <w:r w:rsidRPr="00DE1A22">
              <w:rPr>
                <w:rFonts w:eastAsia="Times New Roman"/>
                <w:sz w:val="24"/>
                <w:szCs w:val="24"/>
              </w:rPr>
              <w:t>Vēršam uzmanību, ka 2019.gada 19.decembrī Valsts sekretāru sanāksmē izsludināts plāna projekts “Alkoholisko dzērienu patēriņa mazināšanas un alkoholisma ierobežošanas rīcības plāns 2020.–2022.gadam”. No plāna projekta neizriet, ka būtu iecerētas vismaz līdzvērtīgas aktivitātes attiecībā uz šīs postošās atkarības apkarošanu, t.sk., palielinot vecuma cenzu. Lai gan tieši alkohola lietošanu sabiedrība uzskata par problēmu, kas nodara visbūtiskāko kaitējumu, kā liecina VM pētījums.</w:t>
            </w:r>
          </w:p>
          <w:p w14:paraId="504E5BEE" w14:textId="77777777" w:rsidR="00BE2F9B" w:rsidRPr="00DE1A22" w:rsidRDefault="00BE2F9B" w:rsidP="00BE2F9B">
            <w:pPr>
              <w:contextualSpacing/>
              <w:jc w:val="both"/>
              <w:rPr>
                <w:rFonts w:eastAsia="Times New Roman"/>
                <w:sz w:val="24"/>
                <w:szCs w:val="24"/>
              </w:rPr>
            </w:pPr>
            <w:r w:rsidRPr="00DE1A22">
              <w:rPr>
                <w:rFonts w:eastAsia="Times New Roman"/>
                <w:sz w:val="24"/>
                <w:szCs w:val="24"/>
              </w:rPr>
              <w:t xml:space="preserve">Izmaiņām attiecībā uz vecuma ierobežojumu jābūt kompleksām – vienlaicīgi jānosaka vienots vecuma cenzs alkohola, cigarešu u.c. apreibinošu vielu iegādei, kā arī visu azartspēļu (t.sk. izložu), videospēļu spēlēšanai u.c. atkarību izraisošām nodarbēm. Šādu pieeju atbalstījusi arī Veselības ministrija, 2019.gada augustā reaģējot uz sabiedrības iniciatīvu par aizliegumu iegādāties un lietot alkoholiskos dzērienus personām līdz 21 gada vecumam. </w:t>
            </w:r>
          </w:p>
          <w:p w14:paraId="692990D3" w14:textId="77777777" w:rsidR="00BE2F9B" w:rsidRPr="00DE1A22" w:rsidRDefault="00BE2F9B" w:rsidP="00BE2F9B">
            <w:pPr>
              <w:contextualSpacing/>
              <w:jc w:val="both"/>
              <w:rPr>
                <w:rFonts w:eastAsia="Times New Roman"/>
                <w:b/>
                <w:sz w:val="24"/>
                <w:szCs w:val="24"/>
              </w:rPr>
            </w:pPr>
            <w:r w:rsidRPr="00DE1A22">
              <w:rPr>
                <w:rFonts w:eastAsia="Times New Roman"/>
                <w:sz w:val="24"/>
                <w:szCs w:val="24"/>
              </w:rPr>
              <w:t xml:space="preserve">Lūdzam ņemt vērā arī Ieroču aprites likumā ietverto regulējumu attiecībā uz vecumu, no kura iespējams saņemt dažādu ieroču </w:t>
            </w:r>
            <w:r w:rsidRPr="00DE1A22">
              <w:rPr>
                <w:rFonts w:eastAsia="Times New Roman"/>
                <w:sz w:val="24"/>
                <w:szCs w:val="24"/>
              </w:rPr>
              <w:lastRenderedPageBreak/>
              <w:t>iegādāšanās, glabāšanas, nēsāšanas un pārvadāšanas</w:t>
            </w:r>
            <w:r w:rsidRPr="00DE1A22">
              <w:rPr>
                <w:rFonts w:eastAsia="Times New Roman"/>
                <w:b/>
                <w:sz w:val="24"/>
                <w:szCs w:val="24"/>
              </w:rPr>
              <w:t xml:space="preserve"> </w:t>
            </w:r>
            <w:r w:rsidRPr="00DE1A22">
              <w:rPr>
                <w:rFonts w:eastAsia="Times New Roman"/>
                <w:sz w:val="24"/>
                <w:szCs w:val="24"/>
              </w:rPr>
              <w:t>atļaujas. Fiziskajai personai, kura sasniegusi 10 gadu vecumu, ar vecāku vai likumisko pārstāvju atļauju ir tiesības simulācijas spēlēs izmantot peintbola ieročus [..], savukārt, personai, kura sasniegusi 16 gadu vecumu, bet nav sasniegusi 18 gadu vecumu, ievērojot likumā noteiktās prasības, ieroča īpašnieka tiešā klātbūtnē ir tiesības individuālajās medībās izmantot medībām klasificētu ieroci. LSBA nesaskata pamatu šādām atšķirībām novērtējumā, kad persona ir pietiekami pieaugusi, lai izklaide nerezultētos ar kādām problēmām, t.sk. atkarības rašanos vai pastiprināšanos.</w:t>
            </w:r>
          </w:p>
        </w:tc>
        <w:tc>
          <w:tcPr>
            <w:tcW w:w="1058" w:type="pct"/>
            <w:shd w:val="clear" w:color="auto" w:fill="auto"/>
          </w:tcPr>
          <w:p w14:paraId="7AA5E6E9" w14:textId="77777777" w:rsidR="00BE2F9B" w:rsidRPr="00DE1A22" w:rsidRDefault="00BE2F9B" w:rsidP="00BE2F9B">
            <w:pPr>
              <w:jc w:val="both"/>
              <w:rPr>
                <w:rFonts w:eastAsia="Times New Roman"/>
                <w:b/>
                <w:bCs/>
                <w:sz w:val="24"/>
                <w:szCs w:val="24"/>
                <w:lang w:eastAsia="lv-LV"/>
              </w:rPr>
            </w:pPr>
            <w:r w:rsidRPr="00DE1A22">
              <w:rPr>
                <w:rFonts w:eastAsia="Times New Roman"/>
                <w:b/>
                <w:bCs/>
                <w:sz w:val="24"/>
                <w:szCs w:val="24"/>
                <w:lang w:eastAsia="lv-LV"/>
              </w:rPr>
              <w:lastRenderedPageBreak/>
              <w:t>Daļēji ņemts vērā.</w:t>
            </w:r>
          </w:p>
          <w:p w14:paraId="499866F0" w14:textId="77777777" w:rsidR="00BE2F9B" w:rsidRPr="00DE1A22" w:rsidRDefault="00BE2F9B" w:rsidP="00BE2F9B">
            <w:pPr>
              <w:jc w:val="both"/>
              <w:rPr>
                <w:rFonts w:eastAsia="Times New Roman"/>
                <w:sz w:val="24"/>
                <w:szCs w:val="24"/>
              </w:rPr>
            </w:pPr>
            <w:r w:rsidRPr="00DE1A22">
              <w:rPr>
                <w:rFonts w:eastAsia="Times New Roman"/>
                <w:sz w:val="24"/>
                <w:szCs w:val="24"/>
              </w:rPr>
              <w:lastRenderedPageBreak/>
              <w:t xml:space="preserve">Atbilstoši LV Pētījumā norādītajam,  visjutīgākā sabiedrības daļa, kas ir visaugstākajā atkarības riska grupā, ir iedzīvotāji vecumā </w:t>
            </w:r>
            <w:r w:rsidRPr="00DE1A22">
              <w:rPr>
                <w:rFonts w:eastAsia="Times New Roman"/>
                <w:b/>
                <w:sz w:val="24"/>
                <w:szCs w:val="24"/>
              </w:rPr>
              <w:t>no 16 līdz 24 gadiem</w:t>
            </w:r>
            <w:r w:rsidRPr="00DE1A22">
              <w:rPr>
                <w:rFonts w:eastAsia="Times New Roman"/>
                <w:sz w:val="24"/>
                <w:szCs w:val="24"/>
              </w:rPr>
              <w:t>.</w:t>
            </w:r>
          </w:p>
          <w:p w14:paraId="76B1ED69" w14:textId="77777777" w:rsidR="00BE2F9B" w:rsidRPr="00DE1A22" w:rsidRDefault="00BE2F9B" w:rsidP="00BE2F9B">
            <w:pPr>
              <w:pStyle w:val="Default"/>
              <w:jc w:val="both"/>
              <w:rPr>
                <w:rFonts w:ascii="Times New Roman" w:hAnsi="Times New Roman" w:cs="Times New Roman"/>
                <w:color w:val="auto"/>
              </w:rPr>
            </w:pPr>
            <w:r w:rsidRPr="00DE1A22">
              <w:rPr>
                <w:rFonts w:ascii="Times New Roman" w:hAnsi="Times New Roman" w:cs="Times New Roman"/>
                <w:color w:val="auto"/>
              </w:rPr>
              <w:t xml:space="preserve">LV Pētījums rāda, ka personu loks, kurus varētu skart </w:t>
            </w:r>
            <w:r w:rsidRPr="00DE1A22">
              <w:rPr>
                <w:rFonts w:ascii="Times New Roman" w:hAnsi="Times New Roman" w:cs="Times New Roman"/>
                <w:bCs/>
                <w:color w:val="auto"/>
              </w:rPr>
              <w:t>problemātiska azartspēļu spēlēšana</w:t>
            </w:r>
            <w:r w:rsidRPr="00DE1A22">
              <w:rPr>
                <w:rFonts w:ascii="Times New Roman" w:hAnsi="Times New Roman" w:cs="Times New Roman"/>
                <w:color w:val="auto"/>
              </w:rPr>
              <w:t>, visu respondentu vidū ir 6,4% (salīdzinājumam Lielbritānijā 4,7%, Čehijā 5,7%), kas ir viens no lielākajiem no azartspēlēm atkarīgo spēlētāju skaits Eiropas Savienībā. Paaugstinot vecuma ierobežojumu dalībai azartspēlēs līdz 21 gada vecumam tiks mazināti riski saistībā ar atkarības rašanos.</w:t>
            </w:r>
          </w:p>
          <w:p w14:paraId="22EDC863" w14:textId="77777777" w:rsidR="00BE2F9B" w:rsidRPr="00DE1A22" w:rsidRDefault="00BE2F9B" w:rsidP="00BE2F9B">
            <w:pPr>
              <w:jc w:val="both"/>
              <w:rPr>
                <w:rFonts w:eastAsia="Times New Roman"/>
                <w:b/>
                <w:bCs/>
                <w:sz w:val="24"/>
                <w:szCs w:val="24"/>
                <w:lang w:eastAsia="lv-LV"/>
              </w:rPr>
            </w:pPr>
          </w:p>
          <w:p w14:paraId="172D3F88" w14:textId="77777777" w:rsidR="00BE2F9B" w:rsidRPr="00DE1A22" w:rsidRDefault="00BE2F9B" w:rsidP="00BE2F9B">
            <w:pPr>
              <w:jc w:val="both"/>
              <w:rPr>
                <w:rFonts w:eastAsia="Times New Roman"/>
                <w:b/>
                <w:bCs/>
                <w:sz w:val="24"/>
                <w:szCs w:val="24"/>
                <w:lang w:eastAsia="lv-LV"/>
              </w:rPr>
            </w:pPr>
          </w:p>
        </w:tc>
        <w:tc>
          <w:tcPr>
            <w:tcW w:w="1154" w:type="pct"/>
            <w:shd w:val="clear" w:color="auto" w:fill="auto"/>
          </w:tcPr>
          <w:p w14:paraId="3DEAF569" w14:textId="77777777" w:rsidR="00BE2F9B" w:rsidRPr="00DE1A22" w:rsidRDefault="00BE2F9B" w:rsidP="00BE2F9B">
            <w:pPr>
              <w:jc w:val="both"/>
              <w:rPr>
                <w:rFonts w:eastAsia="Times New Roman"/>
                <w:sz w:val="24"/>
                <w:szCs w:val="24"/>
                <w:lang w:eastAsia="lv-LV"/>
              </w:rPr>
            </w:pPr>
            <w:r w:rsidRPr="00C15202">
              <w:rPr>
                <w:rFonts w:eastAsia="Times New Roman"/>
                <w:sz w:val="24"/>
                <w:szCs w:val="24"/>
                <w:lang w:eastAsia="lv-LV"/>
              </w:rPr>
              <w:lastRenderedPageBreak/>
              <w:t xml:space="preserve">Atbilstoši ir precizēts Pamatnostādņu </w:t>
            </w:r>
            <w:r>
              <w:rPr>
                <w:rFonts w:eastAsia="Times New Roman"/>
                <w:sz w:val="24"/>
                <w:szCs w:val="24"/>
                <w:lang w:eastAsia="lv-LV"/>
              </w:rPr>
              <w:t xml:space="preserve">pielikums, </w:t>
            </w:r>
            <w:r>
              <w:rPr>
                <w:rFonts w:eastAsia="Times New Roman"/>
                <w:sz w:val="24"/>
                <w:szCs w:val="24"/>
                <w:lang w:eastAsia="lv-LV"/>
              </w:rPr>
              <w:lastRenderedPageBreak/>
              <w:t xml:space="preserve">papildinot to ar aprakstu. Noteikts </w:t>
            </w:r>
            <w:r w:rsidRPr="00C15202">
              <w:rPr>
                <w:rFonts w:eastAsia="Times New Roman"/>
                <w:sz w:val="24"/>
                <w:szCs w:val="24"/>
                <w:lang w:eastAsia="lv-LV"/>
              </w:rPr>
              <w:t xml:space="preserve">4.sadaļas 1.rīcības virziena </w:t>
            </w:r>
            <w:r>
              <w:rPr>
                <w:rFonts w:eastAsia="Times New Roman"/>
                <w:sz w:val="24"/>
                <w:szCs w:val="24"/>
                <w:lang w:eastAsia="lv-LV"/>
              </w:rPr>
              <w:t>10</w:t>
            </w:r>
            <w:r w:rsidRPr="00C15202">
              <w:rPr>
                <w:rFonts w:eastAsia="Times New Roman"/>
                <w:sz w:val="24"/>
                <w:szCs w:val="24"/>
                <w:lang w:eastAsia="lv-LV"/>
              </w:rPr>
              <w:t>.uzdevums</w:t>
            </w:r>
            <w:r>
              <w:rPr>
                <w:rFonts w:eastAsia="Times New Roman"/>
                <w:sz w:val="24"/>
                <w:szCs w:val="24"/>
                <w:lang w:eastAsia="lv-LV"/>
              </w:rPr>
              <w:t xml:space="preserve"> paredz </w:t>
            </w:r>
            <w:r w:rsidRPr="00DE1A22">
              <w:rPr>
                <w:rFonts w:eastAsia="Times New Roman"/>
                <w:sz w:val="24"/>
                <w:szCs w:val="24"/>
                <w:lang w:eastAsia="lv-LV"/>
              </w:rPr>
              <w:t xml:space="preserve"> vecuma ierobežojumu dalībai azartspēlēs  no 21 gada vecuma</w:t>
            </w:r>
            <w:r w:rsidRPr="00C15202">
              <w:rPr>
                <w:rFonts w:eastAsia="Times New Roman"/>
                <w:sz w:val="24"/>
                <w:szCs w:val="24"/>
                <w:lang w:eastAsia="lv-LV"/>
              </w:rPr>
              <w:t>.</w:t>
            </w:r>
          </w:p>
        </w:tc>
      </w:tr>
      <w:tr w:rsidR="00BE2F9B" w:rsidRPr="00DE1A22" w14:paraId="285C93BE" w14:textId="77777777" w:rsidTr="00B8198F">
        <w:tc>
          <w:tcPr>
            <w:tcW w:w="254" w:type="pct"/>
          </w:tcPr>
          <w:p w14:paraId="10DD60EE" w14:textId="64203D27" w:rsidR="00BE2F9B" w:rsidRPr="00DE1A22" w:rsidDel="00AB74B7" w:rsidRDefault="00BE2F9B" w:rsidP="00BE2F9B">
            <w:pPr>
              <w:spacing w:before="100" w:beforeAutospacing="1" w:after="100" w:afterAutospacing="1"/>
              <w:jc w:val="center"/>
              <w:rPr>
                <w:rFonts w:eastAsia="Times New Roman"/>
                <w:sz w:val="24"/>
                <w:szCs w:val="24"/>
                <w:lang w:eastAsia="lv-LV"/>
              </w:rPr>
            </w:pPr>
            <w:r>
              <w:rPr>
                <w:rFonts w:eastAsia="Times New Roman"/>
                <w:sz w:val="24"/>
                <w:szCs w:val="24"/>
                <w:lang w:eastAsia="lv-LV"/>
              </w:rPr>
              <w:lastRenderedPageBreak/>
              <w:t>11</w:t>
            </w:r>
            <w:r w:rsidRPr="00DE1A22">
              <w:rPr>
                <w:rFonts w:eastAsia="Times New Roman"/>
                <w:sz w:val="24"/>
                <w:szCs w:val="24"/>
                <w:lang w:eastAsia="lv-LV"/>
              </w:rPr>
              <w:t>.</w:t>
            </w:r>
          </w:p>
        </w:tc>
        <w:tc>
          <w:tcPr>
            <w:tcW w:w="1043" w:type="pct"/>
          </w:tcPr>
          <w:p w14:paraId="17DC4C53" w14:textId="77777777" w:rsidR="00BE2F9B" w:rsidRPr="00DE1A22" w:rsidRDefault="00BE2F9B" w:rsidP="00BE2F9B">
            <w:pPr>
              <w:jc w:val="both"/>
              <w:rPr>
                <w:rFonts w:eastAsia="Times New Roman"/>
                <w:sz w:val="24"/>
                <w:szCs w:val="24"/>
                <w:lang w:eastAsia="lv-LV"/>
              </w:rPr>
            </w:pPr>
            <w:r w:rsidRPr="00DE1A22">
              <w:rPr>
                <w:rFonts w:eastAsia="Times New Roman"/>
                <w:sz w:val="24"/>
                <w:szCs w:val="24"/>
                <w:lang w:eastAsia="lv-LV"/>
              </w:rPr>
              <w:t>Pamatnostādņu 4. sadaļas 1.rīcības virziena “Atkarības profilakses, preventīvie, problemātiskā spēlētāja atbalsts un sabiedrības izglītojoši pasākumi” 11. uzdevums: “AIL noteikt vecuma ierobežojumu dalībai azartspēlēs no 21 gada vecuma”.</w:t>
            </w:r>
          </w:p>
        </w:tc>
        <w:tc>
          <w:tcPr>
            <w:tcW w:w="1491" w:type="pct"/>
          </w:tcPr>
          <w:p w14:paraId="7968D907" w14:textId="77777777" w:rsidR="00BE2F9B" w:rsidRPr="00DE1A22" w:rsidRDefault="00BE2F9B" w:rsidP="00BE2F9B">
            <w:pPr>
              <w:contextualSpacing/>
              <w:jc w:val="both"/>
              <w:rPr>
                <w:rFonts w:eastAsia="Times New Roman"/>
                <w:b/>
                <w:sz w:val="24"/>
                <w:szCs w:val="24"/>
              </w:rPr>
            </w:pPr>
            <w:r w:rsidRPr="00DE1A22">
              <w:rPr>
                <w:rFonts w:eastAsia="Times New Roman"/>
                <w:b/>
                <w:sz w:val="24"/>
                <w:szCs w:val="24"/>
              </w:rPr>
              <w:t>Latvijas interaktīvo azartspēļu biedrība (06.03.2020.)</w:t>
            </w:r>
          </w:p>
          <w:p w14:paraId="465AC952" w14:textId="77777777" w:rsidR="00BE2F9B" w:rsidRPr="00DE1A22" w:rsidRDefault="00BE2F9B" w:rsidP="00BE2F9B">
            <w:pPr>
              <w:contextualSpacing/>
              <w:jc w:val="both"/>
              <w:rPr>
                <w:rFonts w:eastAsia="Times New Roman"/>
                <w:sz w:val="24"/>
                <w:szCs w:val="24"/>
              </w:rPr>
            </w:pPr>
            <w:r w:rsidRPr="00DE1A22">
              <w:rPr>
                <w:rFonts w:eastAsia="Times New Roman"/>
                <w:sz w:val="24"/>
                <w:szCs w:val="24"/>
              </w:rPr>
              <w:t>LIAB ieskatā no Pamatnostādņu pielikumā iekļautās informācijas (sk. 20. lpp. sadaļa “Vecuma ierobežojums dalībai azartspēlēs un izlozēs) neizriet objektīvs pamatojums tam, kādēļ Latvijā ir nepieciešams paaugstināt vecuma ierobežojumu dalībai interaktīvajās azartspēlēs.</w:t>
            </w:r>
          </w:p>
          <w:p w14:paraId="23EA184C" w14:textId="77777777" w:rsidR="00BE2F9B" w:rsidRPr="00DE1A22" w:rsidRDefault="00BE2F9B" w:rsidP="00BE2F9B">
            <w:pPr>
              <w:contextualSpacing/>
              <w:jc w:val="both"/>
              <w:rPr>
                <w:rFonts w:eastAsia="Times New Roman"/>
                <w:sz w:val="24"/>
                <w:szCs w:val="24"/>
              </w:rPr>
            </w:pPr>
            <w:r w:rsidRPr="00DE1A22">
              <w:rPr>
                <w:rFonts w:eastAsia="Times New Roman"/>
                <w:sz w:val="24"/>
                <w:szCs w:val="24"/>
              </w:rPr>
              <w:t xml:space="preserve">Pamatnostādņu pielikumā ir pamatoti analizēta citu valstu prakse un konstatēts, ka lielākoties citas valstis izvēlas noteikt 18 gadu vecuma ierobežojumu dalībai azartspēlēs. Vēl jo vairāk Pamatnostādņu pielikumā arī ir norādīts, ka attiecībā uz derībām, totalizatoriem un izlozēm Eiropas Savienības (turpmāk – ES) valstu regulējums ir saudzīgāks, ko varētu izskaidrot tas, ka pētījumos, saistībā ar azartspēļu atkarības risku ir secināts, ka </w:t>
            </w:r>
            <w:r w:rsidRPr="00DE1A22">
              <w:rPr>
                <w:rFonts w:eastAsia="Times New Roman"/>
                <w:sz w:val="24"/>
                <w:szCs w:val="24"/>
              </w:rPr>
              <w:lastRenderedPageBreak/>
              <w:t>izlozes, derības un totalizatori ir tie azartspēļu veidi, kuri vismazāk saistās ar azartspēļu atkarības veidošanos.  Tādēļ gandrīz visās ES valstīs derības, totalizatorus un izlozes ir atļauts spēlēt, sākot no 18 gadu vecuma. Tāpat Pamatnostādņu pielikumā ir vērtēta arī citu valstu prakse konkrēti attiecībā uz interaktīvajām azartspēlēm un ir norādīts, ka ES dalībvalstu regulējums attiecībā uz dalību interaktīvajās azartspēlēs pārsvarā ir vienveidīgs un gandrīz visas ES dalībvalstīs, izņemot Igauniju, Beļģiju un Grieķiju, ir noteikts, ka personām interaktīvajās azartspēlēs ir atļauts piedalīties no 18 gadu vecuma.  Tādējādi, izvērtējot citu ES dalībvalstu praksi, ir redzams, ka vecuma ierobežojuma paaugstināšana dalībai azartspēles neatbilst vispārējām tendencēm un labās prakses piemēriem citās ES dalībvalstīs ar līdzīgām problēmām un rādītājiem kā Latvijai.</w:t>
            </w:r>
          </w:p>
          <w:p w14:paraId="66B2D65A" w14:textId="77777777" w:rsidR="00BE2F9B" w:rsidRPr="00DE1A22" w:rsidRDefault="00BE2F9B" w:rsidP="00BE2F9B">
            <w:pPr>
              <w:contextualSpacing/>
              <w:jc w:val="both"/>
              <w:rPr>
                <w:rFonts w:eastAsia="Times New Roman"/>
                <w:sz w:val="24"/>
                <w:szCs w:val="24"/>
              </w:rPr>
            </w:pPr>
            <w:r w:rsidRPr="00DE1A22">
              <w:rPr>
                <w:rFonts w:eastAsia="Times New Roman"/>
                <w:sz w:val="24"/>
                <w:szCs w:val="24"/>
              </w:rPr>
              <w:t xml:space="preserve">LIAB izprot, ka šāds ierosinājums varētu būt balstīts uz Veselības Ministrijas (turpmāk – VM) pasūtītajā pētījumā “Pētījums par procesu atkarību (azartspēļu, sociālo mediju, datorspēļu atkarība) izplatību Latvijas iedzīvotāju vidū un to ietekmējošiem riska faktoriem), (turpmāk – LV Pētījums) norādīto, ka visjutīgākā sabiedrības daļa, kas ir visaugstākajā atkarības riska grupā, ir iedzīvotāji vecumā no 16 līdz 24 gadiem.  Taču, paredzot tik būtiskas un ierobežojošas izmaiņas normatīvajā regulējumā, nevar </w:t>
            </w:r>
            <w:r w:rsidRPr="00DE1A22">
              <w:rPr>
                <w:rFonts w:eastAsia="Times New Roman"/>
                <w:sz w:val="24"/>
                <w:szCs w:val="24"/>
              </w:rPr>
              <w:lastRenderedPageBreak/>
              <w:t>balstīties tikai uz teorētiskiem pētījumiem. Ir jāņem vērā arī faktiskā situācija Latvijā saistībā ar personām šāda vecuma grupā un to spēlēšanas paradumiem.</w:t>
            </w:r>
          </w:p>
          <w:p w14:paraId="75D6241E" w14:textId="77777777" w:rsidR="00BE2F9B" w:rsidRPr="00DE1A22" w:rsidRDefault="00BE2F9B" w:rsidP="00BE2F9B">
            <w:pPr>
              <w:contextualSpacing/>
              <w:jc w:val="both"/>
              <w:rPr>
                <w:rFonts w:eastAsia="Times New Roman"/>
                <w:sz w:val="24"/>
                <w:szCs w:val="24"/>
              </w:rPr>
            </w:pPr>
            <w:r w:rsidRPr="00DE1A22">
              <w:rPr>
                <w:rFonts w:eastAsia="Times New Roman"/>
                <w:sz w:val="24"/>
                <w:szCs w:val="24"/>
              </w:rPr>
              <w:t>LIAB biedri to iespēju robežās ir apkopojuši tiem pieejamo informāciju par spēlētāju paradumiem vecuma grupā no 18 līdz 21 gadiem. Lai gan personas šajā vecuma grupā veido ievērojamu daļu no kopējā klientu skaita (aptuveni 20%), šīs personas vidēji mēnesī zaudē aptuveni 7,67 euro, tas ir, gadā šīs personas zaudē vidēji 92 euro. Tāpat ir jāņem vērā, ka vidēji mazāk nekā 1,5% šajā vecuma grupā ietilpstošo spēlētāju gada laikā ir zaudējuši vairāk par 1000 euro. Ņemot vērā šos rādītājus, nav pamatoti uzskatīt, ka Latvijā personām vecuma grupā no 18 līdz 21 gadam būtu konstatējamas būtiskas azartspēļu spēlēšanas problēmas, un šīs spēlēšanas rezultātā tās apdraudētu savu vai savu tuvinieku labklājību.</w:t>
            </w:r>
          </w:p>
          <w:p w14:paraId="3334828B" w14:textId="77777777" w:rsidR="00BE2F9B" w:rsidRPr="00DE1A22" w:rsidRDefault="00BE2F9B" w:rsidP="00BE2F9B">
            <w:pPr>
              <w:contextualSpacing/>
              <w:jc w:val="both"/>
              <w:rPr>
                <w:rFonts w:eastAsia="Times New Roman"/>
                <w:sz w:val="24"/>
                <w:szCs w:val="24"/>
              </w:rPr>
            </w:pPr>
            <w:r w:rsidRPr="00DE1A22">
              <w:rPr>
                <w:rFonts w:eastAsia="Times New Roman"/>
                <w:sz w:val="24"/>
                <w:szCs w:val="24"/>
              </w:rPr>
              <w:t>Tāpat attiecībā uz spēlēšanas paradumiem ir jāņem vērā, ka mazāk par 15% no visām personām vecuma grupā no 18 līdz 21 gadam, kuras ir reģistrējušās interaktīvo azartspēļu vietnēs, interaktīvās azartspēles spēlē vismaz reizi mēnesi. Sevišķi nozīmīgs rādītājs, lai izprastu jauniešu spēlēšanas paradumus, ir arī tas, ka aptuveni 45% no visiem šajā vecuma grupā reģistrētiem lietotājiem, ir veikuši tikai vienu depozīta iemaksu. Tas nozīmē, ka liels skaits no šajā vecuma grupā reģistrētajiem spēlētājiem ir tikai vienreiz pamēģinājuši interaktīvās azartspēles, bet neturpina tās izmantot.</w:t>
            </w:r>
          </w:p>
          <w:p w14:paraId="0080DADA" w14:textId="77777777" w:rsidR="00BE2F9B" w:rsidRPr="00DE1A22" w:rsidRDefault="00BE2F9B" w:rsidP="00BE2F9B">
            <w:pPr>
              <w:contextualSpacing/>
              <w:jc w:val="both"/>
              <w:rPr>
                <w:rFonts w:eastAsia="Times New Roman"/>
                <w:sz w:val="24"/>
                <w:szCs w:val="24"/>
              </w:rPr>
            </w:pPr>
            <w:r w:rsidRPr="00DE1A22">
              <w:rPr>
                <w:rFonts w:eastAsia="Times New Roman"/>
                <w:sz w:val="24"/>
                <w:szCs w:val="24"/>
              </w:rPr>
              <w:lastRenderedPageBreak/>
              <w:t>Lai gan šādu statistikas datu iegūšana ir komplicēta un tos izdevās iegūt tikai daļai no LIAB biedriem, LIAB ieskatā šie dati ir izmantojami kā vispārēji indikatīvi rādītājai par kopējām interaktīvo azartspēļu spēlēšanas tendencēm 18 līdz 21 gadu vecu personu vidū. Savukārt atbilstoši šiem datiem 18 līdz 21 gadu vecuma grupā ietilpstošu personu spēlēšanas tendences nenorāda uz tādiem apstākļiem Latvijas interaktīvo azartspēļu tirgū, kas pamatotu nepieciešamību paaugstināt vecuma ierobežojumu dalībai interaktīvajās azartspēlēs.</w:t>
            </w:r>
          </w:p>
          <w:p w14:paraId="6A589431" w14:textId="77777777" w:rsidR="00BE2F9B" w:rsidRPr="00DE1A22" w:rsidRDefault="00BE2F9B" w:rsidP="00BE2F9B">
            <w:pPr>
              <w:contextualSpacing/>
              <w:jc w:val="both"/>
              <w:rPr>
                <w:rFonts w:eastAsia="Times New Roman"/>
                <w:sz w:val="24"/>
                <w:szCs w:val="24"/>
              </w:rPr>
            </w:pPr>
            <w:r w:rsidRPr="00DE1A22">
              <w:rPr>
                <w:rFonts w:eastAsia="Times New Roman"/>
                <w:sz w:val="24"/>
                <w:szCs w:val="24"/>
              </w:rPr>
              <w:t xml:space="preserve">Vērtējot šāda ierobežojuma nepieciešamību, ir jāņem vērā arī šāda ierobežojuma noteikšanas negatīvie aspekti un riski, kas LIAB ieskatā Latvijā ir daudz satraucošāki, nekā šādā vecuma grupā ietilpstošo personu spēlēšanas paradumi. </w:t>
            </w:r>
          </w:p>
          <w:p w14:paraId="633A0214" w14:textId="77777777" w:rsidR="00BE2F9B" w:rsidRPr="00DE1A22" w:rsidRDefault="00BE2F9B" w:rsidP="00BE2F9B">
            <w:pPr>
              <w:contextualSpacing/>
              <w:jc w:val="both"/>
              <w:rPr>
                <w:rFonts w:eastAsia="Times New Roman"/>
                <w:sz w:val="24"/>
                <w:szCs w:val="24"/>
              </w:rPr>
            </w:pPr>
            <w:r w:rsidRPr="00DE1A22">
              <w:rPr>
                <w:rFonts w:eastAsia="Times New Roman"/>
                <w:sz w:val="24"/>
                <w:szCs w:val="24"/>
              </w:rPr>
              <w:t xml:space="preserve">Nelegālais interaktīvo azartspēļu tirgus Latvijā šobrīd veido vismaz 38% no kopējā Latvijas interaktīvo azartspēļu tirgus jeb vismaz 33 miljonus euro gadā. LIAB uzskata, ka nelicencēto operatoru augstā īpatsvara un to vieglās pieejamības dēļ, ja tiks paaugstināts vecuma ierobežojums dalībai interaktīvajās azartspēlēs, personas, kuras sasniegušas 18 gadu vecumu, pievērsīsies nelegālajam azartspēļu tirgum, jo Latvijā tiem būs liegta pieeja legālai alternatīvai. Aizvien vairāk personām pievēršoties un izmantojot nelicencēto operatoru sniegtos pakalpojumus, tās ne tikai tiks pakļautas neuzraudzītai videi, kurā tiek īstenotas daudz agresīvākas reklāmas </w:t>
            </w:r>
            <w:r w:rsidRPr="00DE1A22">
              <w:rPr>
                <w:rFonts w:eastAsia="Times New Roman"/>
                <w:sz w:val="24"/>
                <w:szCs w:val="24"/>
              </w:rPr>
              <w:lastRenderedPageBreak/>
              <w:t xml:space="preserve">kampaņas, veicinot atkarības rašanos, bet arī tādai videi, kurā netiek nodrošināta atbildīgas spēles principu ievērošana, pastāv krāpniecības riski, kā arī netiek veikta nodokļu nomaksa. </w:t>
            </w:r>
          </w:p>
          <w:p w14:paraId="436E9C3F" w14:textId="77777777" w:rsidR="00BE2F9B" w:rsidRPr="00DE1A22" w:rsidRDefault="00BE2F9B" w:rsidP="00BE2F9B">
            <w:pPr>
              <w:contextualSpacing/>
              <w:jc w:val="both"/>
              <w:rPr>
                <w:rFonts w:eastAsia="Times New Roman"/>
                <w:sz w:val="24"/>
                <w:szCs w:val="24"/>
              </w:rPr>
            </w:pPr>
            <w:r w:rsidRPr="00DE1A22">
              <w:rPr>
                <w:rFonts w:eastAsia="Times New Roman"/>
                <w:sz w:val="24"/>
                <w:szCs w:val="24"/>
              </w:rPr>
              <w:t>Līdz ar to šāda neizsvērta vecuma ierobežojuma paaugstināšana, it sevišķi, attiecībā uz dalību interaktīvajās azartspēlēs var novest pie rezultātiem, kas ir pretēji šāda ierobežojuma noteikšanas mērķim – samazināt problemātisko spēlētāju skaitu jauniešu vidu. Tā vietā šāda vecuma ierobežojuma paaugstināšanas rezultātā problemātisko spēlētāju skaits jauniešu vidū, visticamāk, pieaugs, jo liels skaits jaunieši, kuri ir vismazāk aizsargāti un ietilpst visaugstākajā riska grupā, tiks novirzītas uz nedrošu, neuzraudzītu un nekontrolētu vidi, kurā ir īpaši augsts risks, ka jaunieši var tikt apkrāpti vai ierauti azartspēļu atkarībā.</w:t>
            </w:r>
          </w:p>
          <w:p w14:paraId="056CF4B5" w14:textId="77777777" w:rsidR="00BE2F9B" w:rsidRPr="00DE1A22" w:rsidRDefault="00BE2F9B" w:rsidP="00BE2F9B">
            <w:pPr>
              <w:contextualSpacing/>
              <w:jc w:val="both"/>
              <w:rPr>
                <w:rFonts w:eastAsia="Times New Roman"/>
                <w:b/>
                <w:sz w:val="24"/>
                <w:szCs w:val="24"/>
              </w:rPr>
            </w:pPr>
            <w:r w:rsidRPr="00DE1A22">
              <w:rPr>
                <w:rFonts w:eastAsia="Times New Roman"/>
                <w:b/>
                <w:sz w:val="24"/>
                <w:szCs w:val="24"/>
              </w:rPr>
              <w:t>Ņemot vērā visu iepriekš minēto, LIAB aicina dzēst Pamatnostādņu projekta 4. sadaļas 1. Rīcības virziena “Atkarības profilakses, preventīvie, problemātiskā spēlētāja atbalsts un sabiedrības izglītojoši pasākumi” 11. uzdevumu, neplānojot paaugstināt vecuma ierobežojumu dalībai interaktīvajās azartspēlēs.</w:t>
            </w:r>
          </w:p>
        </w:tc>
        <w:tc>
          <w:tcPr>
            <w:tcW w:w="1058" w:type="pct"/>
          </w:tcPr>
          <w:p w14:paraId="3FF472BC" w14:textId="77777777" w:rsidR="00BE2F9B" w:rsidRPr="00DE1A22" w:rsidRDefault="00BE2F9B" w:rsidP="00BE2F9B">
            <w:pPr>
              <w:jc w:val="both"/>
              <w:rPr>
                <w:rFonts w:eastAsia="Times New Roman"/>
                <w:b/>
                <w:bCs/>
                <w:sz w:val="24"/>
                <w:szCs w:val="24"/>
                <w:lang w:eastAsia="lv-LV"/>
              </w:rPr>
            </w:pPr>
            <w:r w:rsidRPr="00DE1A22">
              <w:rPr>
                <w:rFonts w:eastAsia="Times New Roman"/>
                <w:b/>
                <w:bCs/>
                <w:sz w:val="24"/>
                <w:szCs w:val="24"/>
                <w:lang w:eastAsia="lv-LV"/>
              </w:rPr>
              <w:lastRenderedPageBreak/>
              <w:t>Daļēji ņemts vērā.</w:t>
            </w:r>
          </w:p>
          <w:p w14:paraId="1FE26BDE" w14:textId="77777777" w:rsidR="00BE2F9B" w:rsidRPr="00DE1A22" w:rsidRDefault="00BE2F9B" w:rsidP="00BE2F9B">
            <w:pPr>
              <w:jc w:val="both"/>
              <w:rPr>
                <w:rFonts w:eastAsia="Times New Roman"/>
                <w:sz w:val="24"/>
                <w:szCs w:val="24"/>
              </w:rPr>
            </w:pPr>
            <w:r w:rsidRPr="00DE1A22">
              <w:rPr>
                <w:rFonts w:eastAsia="Times New Roman"/>
                <w:sz w:val="24"/>
                <w:szCs w:val="24"/>
              </w:rPr>
              <w:t xml:space="preserve">Atbilstoši LV Pētījumā norādītajam,  visjutīgākā sabiedrības daļa, kas ir visaugstākajā atkarības riska grupā, ir iedzīvotāji vecumā </w:t>
            </w:r>
            <w:r w:rsidRPr="00DE1A22">
              <w:rPr>
                <w:rFonts w:eastAsia="Times New Roman"/>
                <w:b/>
                <w:sz w:val="24"/>
                <w:szCs w:val="24"/>
              </w:rPr>
              <w:t>no 16 līdz 24 gadiem</w:t>
            </w:r>
            <w:r w:rsidRPr="00DE1A22">
              <w:rPr>
                <w:rFonts w:eastAsia="Times New Roman"/>
                <w:sz w:val="24"/>
                <w:szCs w:val="24"/>
              </w:rPr>
              <w:t>.</w:t>
            </w:r>
          </w:p>
          <w:p w14:paraId="4C50E7C2" w14:textId="77777777" w:rsidR="00BE2F9B" w:rsidRPr="00DE1A22" w:rsidRDefault="00BE2F9B" w:rsidP="00BE2F9B">
            <w:pPr>
              <w:pStyle w:val="Default"/>
              <w:jc w:val="both"/>
              <w:rPr>
                <w:rFonts w:ascii="Times New Roman" w:hAnsi="Times New Roman" w:cs="Times New Roman"/>
                <w:color w:val="auto"/>
              </w:rPr>
            </w:pPr>
            <w:r w:rsidRPr="00DE1A22">
              <w:rPr>
                <w:rFonts w:ascii="Times New Roman" w:hAnsi="Times New Roman" w:cs="Times New Roman"/>
                <w:color w:val="auto"/>
              </w:rPr>
              <w:t xml:space="preserve">LV Pētījums rāda, ka personu loks, kurus varētu skart </w:t>
            </w:r>
            <w:r w:rsidRPr="00DE1A22">
              <w:rPr>
                <w:rFonts w:ascii="Times New Roman" w:hAnsi="Times New Roman" w:cs="Times New Roman"/>
                <w:bCs/>
                <w:color w:val="auto"/>
              </w:rPr>
              <w:t>problemātiska azartspēļu spēlēšana</w:t>
            </w:r>
            <w:r w:rsidRPr="00DE1A22">
              <w:rPr>
                <w:rFonts w:ascii="Times New Roman" w:hAnsi="Times New Roman" w:cs="Times New Roman"/>
                <w:color w:val="auto"/>
              </w:rPr>
              <w:t xml:space="preserve">, visu respondentu vidū ir 6,4% (salīdzinājumam Lielbritānijā 4,7%, Čehijā 5,7%), kas ir viens no lielākajiem no azartspēlēm atkarīgo spēlētāju skaits Eiropas Savienībā. Paaugstinot vecuma ierobežojumu dalībai azartspēlēs līdz 21 gada </w:t>
            </w:r>
            <w:r w:rsidRPr="00DE1A22">
              <w:rPr>
                <w:rFonts w:ascii="Times New Roman" w:hAnsi="Times New Roman" w:cs="Times New Roman"/>
                <w:color w:val="auto"/>
              </w:rPr>
              <w:lastRenderedPageBreak/>
              <w:t>vecumam tiks mazināti riski saistībā ar atkarības rašanos.</w:t>
            </w:r>
          </w:p>
          <w:p w14:paraId="56D7DB96" w14:textId="77777777" w:rsidR="00BE2F9B" w:rsidRPr="00DE1A22" w:rsidRDefault="00BE2F9B" w:rsidP="00BE2F9B">
            <w:pPr>
              <w:jc w:val="both"/>
              <w:rPr>
                <w:rFonts w:eastAsia="Times New Roman"/>
                <w:sz w:val="24"/>
                <w:szCs w:val="24"/>
              </w:rPr>
            </w:pPr>
          </w:p>
          <w:p w14:paraId="320FE8BA" w14:textId="77777777" w:rsidR="00BE2F9B" w:rsidRPr="00DE1A22" w:rsidRDefault="00BE2F9B" w:rsidP="00BE2F9B">
            <w:pPr>
              <w:jc w:val="both"/>
              <w:rPr>
                <w:rFonts w:eastAsia="Times New Roman"/>
                <w:b/>
                <w:bCs/>
                <w:sz w:val="24"/>
                <w:szCs w:val="24"/>
                <w:lang w:eastAsia="lv-LV"/>
              </w:rPr>
            </w:pPr>
            <w:r w:rsidRPr="00DE1A22">
              <w:rPr>
                <w:rFonts w:eastAsia="Times New Roman"/>
                <w:sz w:val="24"/>
                <w:szCs w:val="24"/>
              </w:rPr>
              <w:t xml:space="preserve">Vienlaikus ņemot vērā Latvijas interaktīvo azartspēļu biedrības sniegto informāciju, ka  personas no 18 – 21 gada vecuma grupā </w:t>
            </w:r>
            <w:r w:rsidRPr="00DE1A22">
              <w:rPr>
                <w:rFonts w:eastAsia="Times New Roman"/>
                <w:b/>
                <w:sz w:val="24"/>
                <w:szCs w:val="24"/>
              </w:rPr>
              <w:t>veido ievērojamu daļu</w:t>
            </w:r>
            <w:r w:rsidRPr="00DE1A22">
              <w:rPr>
                <w:rFonts w:eastAsia="Times New Roman"/>
                <w:sz w:val="24"/>
                <w:szCs w:val="24"/>
              </w:rPr>
              <w:t xml:space="preserve"> no kopējā klientu skaita (2019.gadā 418 552 interaktīvo azartspēļu klienti)</w:t>
            </w:r>
            <w:r w:rsidRPr="00DE1A22">
              <w:rPr>
                <w:rStyle w:val="FootnoteReference"/>
                <w:rFonts w:eastAsia="Times New Roman"/>
                <w:sz w:val="24"/>
                <w:szCs w:val="24"/>
              </w:rPr>
              <w:footnoteReference w:id="4"/>
            </w:r>
            <w:r w:rsidRPr="00DE1A22">
              <w:rPr>
                <w:rFonts w:eastAsia="Times New Roman"/>
                <w:sz w:val="24"/>
                <w:szCs w:val="24"/>
              </w:rPr>
              <w:t xml:space="preserve"> – aptuveni 20% (83 710,4  interaktīvo azartspēļu klienti), uzskatām, ka palielināt vecuma kritēriju ir tālredzīgi, nošķirot sensitīvu grupu no iespējas izmantot brīvo laiku un finanšu līdzekļus azartspēļu organizēšanas vietās.</w:t>
            </w:r>
          </w:p>
        </w:tc>
        <w:tc>
          <w:tcPr>
            <w:tcW w:w="1154" w:type="pct"/>
          </w:tcPr>
          <w:p w14:paraId="275FFC3E" w14:textId="77777777" w:rsidR="00BE2F9B" w:rsidRPr="00DE1A22" w:rsidRDefault="00BE2F9B" w:rsidP="00BE2F9B">
            <w:pPr>
              <w:jc w:val="both"/>
              <w:rPr>
                <w:rFonts w:eastAsia="Times New Roman"/>
                <w:sz w:val="24"/>
                <w:szCs w:val="24"/>
                <w:lang w:eastAsia="lv-LV"/>
              </w:rPr>
            </w:pPr>
            <w:r w:rsidRPr="00C15202">
              <w:rPr>
                <w:rFonts w:eastAsia="Times New Roman"/>
                <w:sz w:val="24"/>
                <w:szCs w:val="24"/>
                <w:lang w:eastAsia="lv-LV"/>
              </w:rPr>
              <w:lastRenderedPageBreak/>
              <w:t xml:space="preserve">Atbilstoši ir precizēts Pamatnostādņu </w:t>
            </w:r>
            <w:r>
              <w:rPr>
                <w:rFonts w:eastAsia="Times New Roman"/>
                <w:sz w:val="24"/>
                <w:szCs w:val="24"/>
                <w:lang w:eastAsia="lv-LV"/>
              </w:rPr>
              <w:t xml:space="preserve">pielikums, papildinot to ar aprakstu. Noteikts </w:t>
            </w:r>
            <w:r w:rsidRPr="00C15202">
              <w:rPr>
                <w:rFonts w:eastAsia="Times New Roman"/>
                <w:sz w:val="24"/>
                <w:szCs w:val="24"/>
                <w:lang w:eastAsia="lv-LV"/>
              </w:rPr>
              <w:t xml:space="preserve">4.sadaļas 1.rīcības virziena </w:t>
            </w:r>
            <w:r>
              <w:rPr>
                <w:rFonts w:eastAsia="Times New Roman"/>
                <w:sz w:val="24"/>
                <w:szCs w:val="24"/>
                <w:lang w:eastAsia="lv-LV"/>
              </w:rPr>
              <w:t>10</w:t>
            </w:r>
            <w:r w:rsidRPr="00C15202">
              <w:rPr>
                <w:rFonts w:eastAsia="Times New Roman"/>
                <w:sz w:val="24"/>
                <w:szCs w:val="24"/>
                <w:lang w:eastAsia="lv-LV"/>
              </w:rPr>
              <w:t>.uzdevums</w:t>
            </w:r>
            <w:r>
              <w:rPr>
                <w:rFonts w:eastAsia="Times New Roman"/>
                <w:sz w:val="24"/>
                <w:szCs w:val="24"/>
                <w:lang w:eastAsia="lv-LV"/>
              </w:rPr>
              <w:t xml:space="preserve"> paredz </w:t>
            </w:r>
            <w:r w:rsidRPr="00DE1A22">
              <w:rPr>
                <w:rFonts w:eastAsia="Times New Roman"/>
                <w:sz w:val="24"/>
                <w:szCs w:val="24"/>
                <w:lang w:eastAsia="lv-LV"/>
              </w:rPr>
              <w:t xml:space="preserve"> vecuma ierobežojumu dalībai azartspēlēs  no 21 gada vecuma</w:t>
            </w:r>
          </w:p>
        </w:tc>
      </w:tr>
      <w:tr w:rsidR="00BE2F9B" w:rsidRPr="00DE1A22" w14:paraId="44E8B1B2" w14:textId="77777777" w:rsidTr="00B8198F">
        <w:tc>
          <w:tcPr>
            <w:tcW w:w="254" w:type="pct"/>
          </w:tcPr>
          <w:p w14:paraId="029CA2DD" w14:textId="5502A2D4" w:rsidR="00BE2F9B" w:rsidRPr="00DE1A22" w:rsidRDefault="00BE2F9B" w:rsidP="00BE2F9B">
            <w:pPr>
              <w:spacing w:before="100" w:beforeAutospacing="1" w:after="100" w:afterAutospacing="1"/>
              <w:jc w:val="center"/>
              <w:rPr>
                <w:rFonts w:eastAsia="Times New Roman"/>
                <w:sz w:val="24"/>
                <w:szCs w:val="24"/>
                <w:lang w:eastAsia="lv-LV"/>
              </w:rPr>
            </w:pPr>
            <w:r>
              <w:rPr>
                <w:rFonts w:eastAsia="Times New Roman"/>
                <w:sz w:val="24"/>
                <w:szCs w:val="24"/>
                <w:lang w:eastAsia="lv-LV"/>
              </w:rPr>
              <w:lastRenderedPageBreak/>
              <w:t>12</w:t>
            </w:r>
            <w:r w:rsidRPr="00DE1A22">
              <w:rPr>
                <w:rFonts w:eastAsia="Times New Roman"/>
                <w:sz w:val="24"/>
                <w:szCs w:val="24"/>
                <w:lang w:eastAsia="lv-LV"/>
              </w:rPr>
              <w:t>.</w:t>
            </w:r>
          </w:p>
        </w:tc>
        <w:tc>
          <w:tcPr>
            <w:tcW w:w="1043" w:type="pct"/>
          </w:tcPr>
          <w:p w14:paraId="4E20ACA9" w14:textId="77777777" w:rsidR="00BE2F9B" w:rsidRPr="00DE1A22" w:rsidRDefault="00BE2F9B" w:rsidP="00BE2F9B">
            <w:pPr>
              <w:jc w:val="both"/>
              <w:rPr>
                <w:rFonts w:eastAsia="Times New Roman"/>
                <w:sz w:val="24"/>
                <w:szCs w:val="24"/>
                <w:lang w:eastAsia="lv-LV"/>
              </w:rPr>
            </w:pPr>
            <w:r w:rsidRPr="00DE1A22">
              <w:rPr>
                <w:rFonts w:eastAsia="Times New Roman"/>
                <w:sz w:val="24"/>
                <w:szCs w:val="24"/>
                <w:lang w:eastAsia="lv-LV"/>
              </w:rPr>
              <w:t xml:space="preserve">Pamatnostādņu 4. sadaļas 1. rīcības virziena “Atkarības profilakses, preventīvie, problemātiskā spēlētāja atbalsts un sabiedrības izglītojoši pasākumi” 13. uzdevums  “AIL noteikt </w:t>
            </w:r>
            <w:r w:rsidRPr="00DE1A22">
              <w:rPr>
                <w:rFonts w:eastAsia="Times New Roman"/>
                <w:sz w:val="24"/>
                <w:szCs w:val="24"/>
                <w:lang w:eastAsia="lv-LV"/>
              </w:rPr>
              <w:lastRenderedPageBreak/>
              <w:t>ierobežojumu darba laikam azartspēļu zālēs, sākot no 3:00  līdz  6:00. Nodrošināt interaktīvajā vidē ierobežojumu dalībai interaktīvajās azartspēlēs, paredzot trīs stundu pārtraukumu diennakts laikā.”</w:t>
            </w:r>
          </w:p>
        </w:tc>
        <w:tc>
          <w:tcPr>
            <w:tcW w:w="1491" w:type="pct"/>
          </w:tcPr>
          <w:p w14:paraId="568CA7F6" w14:textId="77777777" w:rsidR="00BE2F9B" w:rsidRPr="00DE1A22" w:rsidRDefault="00BE2F9B" w:rsidP="00BE2F9B">
            <w:pPr>
              <w:contextualSpacing/>
              <w:jc w:val="both"/>
              <w:rPr>
                <w:rFonts w:eastAsia="Times New Roman"/>
                <w:b/>
                <w:sz w:val="24"/>
                <w:szCs w:val="24"/>
              </w:rPr>
            </w:pPr>
            <w:r w:rsidRPr="00DE1A22">
              <w:rPr>
                <w:rFonts w:eastAsia="Times New Roman"/>
                <w:b/>
                <w:sz w:val="24"/>
                <w:szCs w:val="24"/>
              </w:rPr>
              <w:lastRenderedPageBreak/>
              <w:t>Latvijas Spēļu biznesa asociācija (05.03.2020. Nr.6/20)</w:t>
            </w:r>
          </w:p>
          <w:p w14:paraId="6D146DAB" w14:textId="77777777" w:rsidR="00BE2F9B" w:rsidRPr="00DE1A22" w:rsidRDefault="00BE2F9B" w:rsidP="00BE2F9B">
            <w:pPr>
              <w:contextualSpacing/>
              <w:jc w:val="both"/>
              <w:rPr>
                <w:rFonts w:eastAsia="Times New Roman"/>
                <w:sz w:val="24"/>
                <w:szCs w:val="24"/>
              </w:rPr>
            </w:pPr>
            <w:r w:rsidRPr="00DE1A22">
              <w:rPr>
                <w:rFonts w:eastAsia="Times New Roman"/>
                <w:sz w:val="24"/>
                <w:szCs w:val="24"/>
              </w:rPr>
              <w:t xml:space="preserve">Pārskatīt 13.uzdevumu “AIL noteikt ierobežojumu darba laikam azartspēļu zālēs, sākot no 3:00  līdz  6:00. Nodrošināt interaktīvajā vidē ierobežojumu dalībai </w:t>
            </w:r>
            <w:r w:rsidRPr="00DE1A22">
              <w:rPr>
                <w:rFonts w:eastAsia="Times New Roman"/>
                <w:sz w:val="24"/>
                <w:szCs w:val="24"/>
              </w:rPr>
              <w:lastRenderedPageBreak/>
              <w:t>interaktīvajās azartspēlēs, paredzot trīs stundu pārtraukumu diennakts laikā”.</w:t>
            </w:r>
          </w:p>
          <w:p w14:paraId="43C02924" w14:textId="77777777" w:rsidR="00BE2F9B" w:rsidRPr="00DE1A22" w:rsidRDefault="00BE2F9B" w:rsidP="00BE2F9B">
            <w:pPr>
              <w:contextualSpacing/>
              <w:jc w:val="both"/>
              <w:rPr>
                <w:rFonts w:eastAsia="Times New Roman"/>
                <w:sz w:val="24"/>
                <w:szCs w:val="24"/>
              </w:rPr>
            </w:pPr>
            <w:r w:rsidRPr="00DE1A22">
              <w:rPr>
                <w:rFonts w:eastAsia="Times New Roman"/>
                <w:sz w:val="24"/>
                <w:szCs w:val="24"/>
              </w:rPr>
              <w:t xml:space="preserve">Prakse rāda, ka darba laika ierobežojuma noteikšana nedod vēlamo efektu. Piemēram, līdzīgs ierobežojums ir noteikts alkohola tirdzniecībai (alkohola tirdzniecības aizliegums no plkst. 22.00 līdz plkst. 8.00). Kopš 2005.gada reģistrētā absolūtā alkohola patēriņš litros ir audzis.  Arī 2019.gada septembrī tika ziņots par tendences saglabāšanos. </w:t>
            </w:r>
          </w:p>
          <w:p w14:paraId="3DF712D5" w14:textId="77777777" w:rsidR="00BE2F9B" w:rsidRPr="00DE1A22" w:rsidRDefault="00BE2F9B" w:rsidP="00BE2F9B">
            <w:pPr>
              <w:contextualSpacing/>
              <w:jc w:val="both"/>
              <w:rPr>
                <w:rFonts w:eastAsia="Times New Roman"/>
                <w:sz w:val="24"/>
                <w:szCs w:val="24"/>
              </w:rPr>
            </w:pPr>
            <w:r w:rsidRPr="00DE1A22">
              <w:rPr>
                <w:rFonts w:eastAsia="Times New Roman"/>
                <w:sz w:val="24"/>
                <w:szCs w:val="24"/>
              </w:rPr>
              <w:t>Tāpat, nav iespējams nodrošināt spēļu zāļu darbinieku drošību, ja darba laiks beidzas plkst. 3.00 naktī vai sākas plkst. 6.00, jo nav pieejami sabiedriskā transporta pakalpojumi, lai nokļūtu uz vai no darba. Sarežģīta veidotos arī darbinieku darba maiņas nodošanas procedūra – t.i., visu normatīvo aktu attiecībā uz mantisko atbildību nodrošināšana.</w:t>
            </w:r>
          </w:p>
          <w:p w14:paraId="4A9A5D87" w14:textId="77777777" w:rsidR="00BE2F9B" w:rsidRPr="00DE1A22" w:rsidRDefault="00BE2F9B" w:rsidP="00BE2F9B">
            <w:pPr>
              <w:contextualSpacing/>
              <w:jc w:val="both"/>
              <w:rPr>
                <w:rFonts w:eastAsia="Times New Roman"/>
                <w:sz w:val="24"/>
                <w:szCs w:val="24"/>
              </w:rPr>
            </w:pPr>
            <w:r w:rsidRPr="00DE1A22">
              <w:rPr>
                <w:rFonts w:eastAsia="Times New Roman"/>
                <w:sz w:val="24"/>
                <w:szCs w:val="24"/>
              </w:rPr>
              <w:t xml:space="preserve">Lūdzam ņemt vērā arī kazino pakalpojumu īpatnības – tie lielā mērā ir vērsti uz ārvalstu viesiem un spēlētājus interesējošais darba laiks ir arī pēc plkst. 3.00. </w:t>
            </w:r>
          </w:p>
          <w:p w14:paraId="1F02F051" w14:textId="77777777" w:rsidR="00BE2F9B" w:rsidRPr="00DE1A22" w:rsidRDefault="00BE2F9B" w:rsidP="00BE2F9B">
            <w:pPr>
              <w:contextualSpacing/>
              <w:jc w:val="both"/>
              <w:rPr>
                <w:rFonts w:eastAsia="Times New Roman"/>
                <w:sz w:val="24"/>
                <w:szCs w:val="24"/>
              </w:rPr>
            </w:pPr>
            <w:r w:rsidRPr="00DE1A22">
              <w:rPr>
                <w:rFonts w:eastAsia="Times New Roman"/>
                <w:sz w:val="24"/>
                <w:szCs w:val="24"/>
              </w:rPr>
              <w:t>Vēršam arī uzmanību, ka LSBA biedri nav novērojuši, ka būtu spēlētāji, kuri azartspēļu zālē pavada laiku nepārtraukti ilgāk par 21 stundām.</w:t>
            </w:r>
          </w:p>
          <w:p w14:paraId="4ECA18F5" w14:textId="77777777" w:rsidR="00BE2F9B" w:rsidRPr="00DE1A22" w:rsidRDefault="00BE2F9B" w:rsidP="00BE2F9B">
            <w:pPr>
              <w:contextualSpacing/>
              <w:jc w:val="both"/>
              <w:rPr>
                <w:rFonts w:eastAsia="Times New Roman"/>
                <w:b/>
                <w:sz w:val="24"/>
                <w:szCs w:val="24"/>
              </w:rPr>
            </w:pPr>
            <w:r w:rsidRPr="00DE1A22">
              <w:rPr>
                <w:rFonts w:eastAsia="Times New Roman"/>
                <w:b/>
                <w:sz w:val="24"/>
                <w:szCs w:val="24"/>
              </w:rPr>
              <w:t xml:space="preserve">Ja azartspēļu politikas veidotājs tomēr uzskatītu, ka likumā ir jānosaka ierobežojums darba laikam, LSBA lūdz izvērtēt šādu iespējamo regulējumu: </w:t>
            </w:r>
          </w:p>
          <w:p w14:paraId="3A2C5E6C" w14:textId="77777777" w:rsidR="00BE2F9B" w:rsidRPr="00DE1A22" w:rsidRDefault="00BE2F9B" w:rsidP="00BE2F9B">
            <w:pPr>
              <w:contextualSpacing/>
              <w:jc w:val="both"/>
              <w:rPr>
                <w:rFonts w:eastAsia="Times New Roman"/>
                <w:b/>
                <w:sz w:val="24"/>
                <w:szCs w:val="24"/>
              </w:rPr>
            </w:pPr>
            <w:r w:rsidRPr="00DE1A22">
              <w:rPr>
                <w:rFonts w:eastAsia="Times New Roman"/>
                <w:b/>
                <w:sz w:val="24"/>
                <w:szCs w:val="24"/>
              </w:rPr>
              <w:t>“AIL noteikt azartspēļu organizētājiem pienākumu nodrošināt, ka spēlētājs azartspēļu zālē nepavada nepārtraukti vairāk par 21 stundu.”</w:t>
            </w:r>
          </w:p>
        </w:tc>
        <w:tc>
          <w:tcPr>
            <w:tcW w:w="1058" w:type="pct"/>
          </w:tcPr>
          <w:p w14:paraId="532F32E5" w14:textId="77777777" w:rsidR="00BE2F9B" w:rsidRPr="00DE1A22" w:rsidRDefault="00BE2F9B" w:rsidP="00BE2F9B">
            <w:pPr>
              <w:jc w:val="both"/>
              <w:rPr>
                <w:rFonts w:eastAsia="Times New Roman"/>
                <w:b/>
                <w:bCs/>
                <w:sz w:val="24"/>
                <w:szCs w:val="24"/>
                <w:lang w:eastAsia="lv-LV"/>
              </w:rPr>
            </w:pPr>
            <w:r w:rsidRPr="00DE1A22">
              <w:rPr>
                <w:rFonts w:eastAsia="Times New Roman"/>
                <w:b/>
                <w:bCs/>
                <w:sz w:val="24"/>
                <w:szCs w:val="24"/>
                <w:lang w:eastAsia="lv-LV"/>
              </w:rPr>
              <w:lastRenderedPageBreak/>
              <w:t>Daļēji ņemts vērā.</w:t>
            </w:r>
          </w:p>
          <w:p w14:paraId="54C056FA" w14:textId="77777777" w:rsidR="00BE2F9B" w:rsidRPr="00DE1A22" w:rsidRDefault="00BE2F9B" w:rsidP="00BE2F9B">
            <w:pPr>
              <w:jc w:val="both"/>
              <w:rPr>
                <w:rFonts w:eastAsia="Times New Roman"/>
                <w:b/>
                <w:bCs/>
                <w:sz w:val="24"/>
                <w:szCs w:val="24"/>
                <w:lang w:eastAsia="lv-LV"/>
              </w:rPr>
            </w:pPr>
          </w:p>
        </w:tc>
        <w:tc>
          <w:tcPr>
            <w:tcW w:w="1154" w:type="pct"/>
          </w:tcPr>
          <w:p w14:paraId="71D5A237" w14:textId="77777777" w:rsidR="00BE2F9B" w:rsidRPr="00DE1A22" w:rsidRDefault="00BE2F9B" w:rsidP="00BE2F9B">
            <w:pPr>
              <w:jc w:val="both"/>
              <w:rPr>
                <w:rFonts w:eastAsia="Times New Roman"/>
                <w:sz w:val="24"/>
                <w:szCs w:val="24"/>
                <w:lang w:eastAsia="lv-LV"/>
              </w:rPr>
            </w:pPr>
            <w:r w:rsidRPr="00DE1A22">
              <w:rPr>
                <w:rFonts w:eastAsia="Times New Roman"/>
                <w:sz w:val="24"/>
                <w:szCs w:val="24"/>
                <w:lang w:eastAsia="lv-LV"/>
              </w:rPr>
              <w:t xml:space="preserve">Atbilstoši precizēts </w:t>
            </w:r>
            <w:r w:rsidRPr="00DE1A22">
              <w:rPr>
                <w:rFonts w:eastAsia="Times New Roman"/>
                <w:sz w:val="24"/>
                <w:szCs w:val="24"/>
              </w:rPr>
              <w:t xml:space="preserve"> Pamatnostādņu 4.sadaļas 1.rīcības virziena 12.uzdevums (jaunā numerācija).</w:t>
            </w:r>
          </w:p>
          <w:p w14:paraId="2BBCF950" w14:textId="77777777" w:rsidR="00BE2F9B" w:rsidRPr="00DE1A22" w:rsidRDefault="00BE2F9B" w:rsidP="00BE2F9B">
            <w:pPr>
              <w:jc w:val="both"/>
              <w:rPr>
                <w:rFonts w:eastAsia="Times New Roman"/>
                <w:sz w:val="24"/>
                <w:szCs w:val="24"/>
                <w:lang w:eastAsia="lv-LV"/>
              </w:rPr>
            </w:pPr>
          </w:p>
          <w:p w14:paraId="0BB54A1B" w14:textId="77777777" w:rsidR="00BE2F9B" w:rsidRPr="00DE1A22" w:rsidRDefault="00BE2F9B" w:rsidP="00BE2F9B">
            <w:pPr>
              <w:jc w:val="both"/>
              <w:rPr>
                <w:rFonts w:eastAsia="Times New Roman"/>
                <w:sz w:val="24"/>
                <w:szCs w:val="24"/>
              </w:rPr>
            </w:pPr>
          </w:p>
        </w:tc>
      </w:tr>
      <w:tr w:rsidR="00BE2F9B" w:rsidRPr="00DE1A22" w14:paraId="03CBBC7C" w14:textId="77777777" w:rsidTr="00B8198F">
        <w:tc>
          <w:tcPr>
            <w:tcW w:w="254" w:type="pct"/>
          </w:tcPr>
          <w:p w14:paraId="2DF5C2DF" w14:textId="5E09946C" w:rsidR="00BE2F9B" w:rsidRPr="00DE1A22" w:rsidRDefault="00BE2F9B" w:rsidP="00BE2F9B">
            <w:pPr>
              <w:spacing w:before="100" w:beforeAutospacing="1" w:after="100" w:afterAutospacing="1"/>
              <w:jc w:val="center"/>
              <w:rPr>
                <w:rFonts w:eastAsia="Times New Roman"/>
                <w:sz w:val="24"/>
                <w:szCs w:val="24"/>
                <w:lang w:eastAsia="lv-LV"/>
              </w:rPr>
            </w:pPr>
            <w:r>
              <w:rPr>
                <w:rFonts w:eastAsia="Times New Roman"/>
                <w:sz w:val="24"/>
                <w:szCs w:val="24"/>
                <w:lang w:eastAsia="lv-LV"/>
              </w:rPr>
              <w:lastRenderedPageBreak/>
              <w:t>13</w:t>
            </w:r>
            <w:r w:rsidRPr="00DE1A22">
              <w:rPr>
                <w:rFonts w:eastAsia="Times New Roman"/>
                <w:sz w:val="24"/>
                <w:szCs w:val="24"/>
                <w:lang w:eastAsia="lv-LV"/>
              </w:rPr>
              <w:t>.</w:t>
            </w:r>
          </w:p>
        </w:tc>
        <w:tc>
          <w:tcPr>
            <w:tcW w:w="1043" w:type="pct"/>
            <w:shd w:val="clear" w:color="auto" w:fill="auto"/>
          </w:tcPr>
          <w:p w14:paraId="4841AA3F" w14:textId="77777777" w:rsidR="00BE2F9B" w:rsidRPr="00DE1A22" w:rsidRDefault="00BE2F9B" w:rsidP="00BE2F9B">
            <w:pPr>
              <w:jc w:val="both"/>
              <w:rPr>
                <w:rFonts w:eastAsia="Times New Roman"/>
                <w:sz w:val="24"/>
                <w:szCs w:val="24"/>
                <w:lang w:eastAsia="lv-LV"/>
              </w:rPr>
            </w:pPr>
            <w:r w:rsidRPr="00DE1A22">
              <w:rPr>
                <w:rFonts w:eastAsia="Times New Roman"/>
                <w:sz w:val="24"/>
                <w:szCs w:val="24"/>
                <w:lang w:eastAsia="lv-LV"/>
              </w:rPr>
              <w:t xml:space="preserve">Pamatnostādņu 4. sadaļas 1. rīcības virziena “Atkarības profilakses, preventīvie, problemātiskā spēlētāja atbalsts un sabiedrības izglītojoši pasākumi” 13. uzdevumā ir paredzēts: </w:t>
            </w:r>
          </w:p>
          <w:p w14:paraId="1A2D066F" w14:textId="77777777" w:rsidR="00BE2F9B" w:rsidRPr="00DE1A22" w:rsidRDefault="00BE2F9B" w:rsidP="00BE2F9B">
            <w:pPr>
              <w:jc w:val="both"/>
              <w:rPr>
                <w:rFonts w:eastAsia="Times New Roman"/>
                <w:sz w:val="24"/>
                <w:szCs w:val="24"/>
                <w:lang w:eastAsia="lv-LV"/>
              </w:rPr>
            </w:pPr>
            <w:r w:rsidRPr="00DE1A22">
              <w:rPr>
                <w:rFonts w:eastAsia="Times New Roman"/>
                <w:sz w:val="24"/>
                <w:szCs w:val="24"/>
                <w:lang w:eastAsia="lv-LV"/>
              </w:rPr>
              <w:t>“[..] Nodrošināt interaktīvajā vidē ierobežojumu dalībai interaktīvajās azartspēlēs, paredzot trīs stundu pārtraukumu diennakts laikā.”</w:t>
            </w:r>
          </w:p>
        </w:tc>
        <w:tc>
          <w:tcPr>
            <w:tcW w:w="1491" w:type="pct"/>
            <w:shd w:val="clear" w:color="auto" w:fill="auto"/>
          </w:tcPr>
          <w:p w14:paraId="4C5C981B" w14:textId="77777777" w:rsidR="00BE2F9B" w:rsidRPr="00DE1A22" w:rsidRDefault="00BE2F9B" w:rsidP="00BE2F9B">
            <w:pPr>
              <w:jc w:val="both"/>
              <w:rPr>
                <w:rFonts w:eastAsia="Times New Roman"/>
                <w:b/>
                <w:sz w:val="24"/>
                <w:szCs w:val="24"/>
              </w:rPr>
            </w:pPr>
            <w:r w:rsidRPr="00DE1A22">
              <w:rPr>
                <w:rFonts w:eastAsia="Times New Roman"/>
                <w:b/>
                <w:sz w:val="24"/>
                <w:szCs w:val="24"/>
              </w:rPr>
              <w:t>Latvijas interaktīvo azartspēļu biedrība (06.03.2020.)</w:t>
            </w:r>
          </w:p>
          <w:p w14:paraId="17441E1A" w14:textId="77777777" w:rsidR="00BE2F9B" w:rsidRPr="00DE1A22" w:rsidRDefault="00BE2F9B" w:rsidP="00BE2F9B">
            <w:pPr>
              <w:jc w:val="both"/>
              <w:rPr>
                <w:rFonts w:eastAsia="Times New Roman"/>
                <w:sz w:val="24"/>
                <w:szCs w:val="24"/>
              </w:rPr>
            </w:pPr>
            <w:r w:rsidRPr="00DE1A22">
              <w:rPr>
                <w:rFonts w:eastAsia="Times New Roman"/>
                <w:sz w:val="24"/>
                <w:szCs w:val="24"/>
              </w:rPr>
              <w:t>Satversmes tiesa ir uzsvērusi, ka likumdevējam, cita starpā, ir pienākums pienācīgi pamatot tiesiskā regulējuma nepieciešamību, izmantojot arī izskaidrojošus pētījumus un izvērtējot paredzētā tiesiskā regulējuma alternatīvas.  LIAB ieskatā Pamatnostādņu pielikumā nav ietverts pamatojums tam, kādēļ ir nepieciešams ierobežot interaktīvo azartspēļu darba laiku. Attiecībā uz interaktīvo azartspēļu darbības laika ierobežojumiem nav vērtēta arī citu valstu prakse. Turklāt nav norādīts arī uz to, kādas būtiskas problēmas ir konstatētas Latvijā saistībā ar interaktīvo azartspēļu spēlēšanu, kuru dēļ ir nepieciešams paredzēt ierobežojumus to darba laikam.</w:t>
            </w:r>
          </w:p>
          <w:p w14:paraId="2B437A34" w14:textId="77777777" w:rsidR="00BE2F9B" w:rsidRPr="00DE1A22" w:rsidRDefault="00BE2F9B" w:rsidP="00BE2F9B">
            <w:pPr>
              <w:jc w:val="both"/>
              <w:rPr>
                <w:rFonts w:eastAsia="Times New Roman"/>
                <w:sz w:val="24"/>
                <w:szCs w:val="24"/>
              </w:rPr>
            </w:pPr>
            <w:r w:rsidRPr="00DE1A22">
              <w:rPr>
                <w:rFonts w:eastAsia="Times New Roman"/>
                <w:sz w:val="24"/>
                <w:szCs w:val="24"/>
              </w:rPr>
              <w:t>Lai apliecinātu, ka Latvijā nepastāv būtiskas problēmas saistībā ar interaktīvo azartspēļu spēlēšanas ilgumiem, LIAB biedri apkopoja tiem pieejamo informāciju par vidējo spēlētāju sesijas ilgumu Latvijā. Saskaņā ar LIAB biedru apkopotajiem datiem vidējais sesijas ilgums interaktīvo azartspēļu lietotājiem ir aptuveni 40 min. Savukārt 99% no visām sesijām nav bijušas ilgākas par 5h un 30 min. Par 1h un 50 min ilgākas nav bijušas 90% no visām sesijām. Vērtējot šāda ierobežojuma iespējamo mērķauditoriju, jānorāda, ka tikai 0,5% no visām sesijām ir bijušas ilgākas par 10h, savukārt nav konstatēta neviena sesija, kas būtu vismaz 20h ilga.</w:t>
            </w:r>
          </w:p>
          <w:p w14:paraId="56B3DD8D" w14:textId="77777777" w:rsidR="00BE2F9B" w:rsidRPr="00DE1A22" w:rsidRDefault="00BE2F9B" w:rsidP="00BE2F9B">
            <w:pPr>
              <w:jc w:val="both"/>
              <w:rPr>
                <w:rFonts w:eastAsia="Times New Roman"/>
                <w:sz w:val="24"/>
                <w:szCs w:val="24"/>
              </w:rPr>
            </w:pPr>
            <w:r w:rsidRPr="00DE1A22">
              <w:rPr>
                <w:rFonts w:eastAsia="Times New Roman"/>
                <w:sz w:val="24"/>
                <w:szCs w:val="24"/>
              </w:rPr>
              <w:lastRenderedPageBreak/>
              <w:t>Minētie dati LIAB ieskatā uz to, ka Latvijā nepastāv vērā ņemamas problēmas ar nepārtrauktu un pārlieku ilgstošu interaktīvo azartspēļu spēlēšanu. Pie šādiem apstākļiem LIAB nesaredz objektīvu nepieciešamību šāda ierobežojuma ieviešanai. Turklāt ir jāņem vērā, ka šāds ierobežojums negatīvi ietekmēs interaktīvo azartspēļu operatorus un ierobežos to spēju piedāvāt kvalitatīvu un ar nelegālo tirgu konkurētspējīgu pakalpojumu. Proti, LIAB biedru dati liecina, ka vairāk nekā 80% no visām sporta likmēm tiek izdarītas tieši tā sauktajā Live likmju režīmā jeb laikā, kad noris konkrētais sporta notikums, nevis pirms tā. Līdz ar to, ja Latvijas interaktīvo azartspēļu operatoriem būs jānodrošina pakalpojumu sniegšanas pārtraukšana vismaz 3 h diennaktī, neatkarīgi no laika, kurā šāds pārtraukums būs jānodrošina, tas ietekmēs lielu daļu no interaktīvo azartspēļu lietotājiem, radot tiem neērtības un liedzot izdarīt Live likmes laikā, kad norit konkrētais sporta pasākums. Minētais var būt par iemeslu personām meklēt citas alternatīvas, kurās nav jāsastopas ar šādiem ierobežojumiem.</w:t>
            </w:r>
          </w:p>
          <w:p w14:paraId="4D47610F" w14:textId="77777777" w:rsidR="00BE2F9B" w:rsidRPr="00DE1A22" w:rsidRDefault="00BE2F9B" w:rsidP="00BE2F9B">
            <w:pPr>
              <w:jc w:val="both"/>
              <w:rPr>
                <w:rFonts w:eastAsia="Times New Roman"/>
                <w:b/>
                <w:sz w:val="24"/>
                <w:szCs w:val="24"/>
              </w:rPr>
            </w:pPr>
            <w:r w:rsidRPr="00DE1A22">
              <w:rPr>
                <w:rFonts w:eastAsia="Times New Roman"/>
                <w:b/>
                <w:sz w:val="24"/>
                <w:szCs w:val="24"/>
              </w:rPr>
              <w:t xml:space="preserve">Ņemot vērā visu iepriekš minēto, LIAB aicina dzēst Pamatnostādņu projekta 4. sadaļas 1. Rīcības virziena “Atkarības profilakses, preventīvie, problemātiskā spēlētāja atbalsts un sabiedrības izglītojoši pasākumi” 13. uzdevumu daļā par interaktīvo azartspēļu darba laika ierobežošanu, neplānojot noteikt darba </w:t>
            </w:r>
            <w:r w:rsidRPr="00DE1A22">
              <w:rPr>
                <w:rFonts w:eastAsia="Times New Roman"/>
                <w:b/>
                <w:sz w:val="24"/>
                <w:szCs w:val="24"/>
              </w:rPr>
              <w:lastRenderedPageBreak/>
              <w:t>laika ierobežojumus interaktīvo azartspēļu pakalpojumu sniedzējiem.</w:t>
            </w:r>
          </w:p>
          <w:p w14:paraId="4663596F" w14:textId="77777777" w:rsidR="00BE2F9B" w:rsidRPr="00DE1A22" w:rsidRDefault="00BE2F9B" w:rsidP="00BE2F9B">
            <w:pPr>
              <w:contextualSpacing/>
              <w:jc w:val="both"/>
              <w:rPr>
                <w:rFonts w:eastAsia="Times New Roman"/>
                <w:b/>
                <w:sz w:val="24"/>
                <w:szCs w:val="24"/>
              </w:rPr>
            </w:pPr>
            <w:r w:rsidRPr="00DE1A22">
              <w:rPr>
                <w:rFonts w:eastAsia="Times New Roman"/>
                <w:sz w:val="24"/>
                <w:szCs w:val="24"/>
              </w:rPr>
              <w:t>Kā alternatīva varētu tikt izskatīta iespēja, ka ar šāda veida rīku tiek papildināts interaktīvo azartspēļu nozares piedāvātais atbildīgas spēles rīku komplekts.</w:t>
            </w:r>
          </w:p>
        </w:tc>
        <w:tc>
          <w:tcPr>
            <w:tcW w:w="1058" w:type="pct"/>
            <w:shd w:val="clear" w:color="auto" w:fill="auto"/>
          </w:tcPr>
          <w:p w14:paraId="6C6AE11F" w14:textId="77777777" w:rsidR="00BE2F9B" w:rsidRPr="00DE1A22" w:rsidRDefault="00BE2F9B" w:rsidP="00BE2F9B">
            <w:pPr>
              <w:jc w:val="both"/>
              <w:rPr>
                <w:rFonts w:eastAsia="Times New Roman"/>
                <w:b/>
                <w:bCs/>
                <w:sz w:val="24"/>
                <w:szCs w:val="24"/>
                <w:lang w:eastAsia="lv-LV"/>
              </w:rPr>
            </w:pPr>
            <w:r w:rsidRPr="00DE1A22">
              <w:rPr>
                <w:rFonts w:eastAsia="Times New Roman"/>
                <w:b/>
                <w:bCs/>
                <w:sz w:val="24"/>
                <w:szCs w:val="24"/>
                <w:lang w:eastAsia="lv-LV"/>
              </w:rPr>
              <w:lastRenderedPageBreak/>
              <w:t>Daļēji ņemts vērā.</w:t>
            </w:r>
          </w:p>
          <w:p w14:paraId="5B4B4E62" w14:textId="77777777" w:rsidR="00BE2F9B" w:rsidRPr="00DE1A22" w:rsidRDefault="00BE2F9B" w:rsidP="00BE2F9B">
            <w:pPr>
              <w:jc w:val="both"/>
              <w:rPr>
                <w:rFonts w:eastAsia="Times New Roman"/>
                <w:b/>
                <w:bCs/>
                <w:sz w:val="24"/>
                <w:szCs w:val="24"/>
                <w:lang w:eastAsia="lv-LV"/>
              </w:rPr>
            </w:pPr>
          </w:p>
        </w:tc>
        <w:tc>
          <w:tcPr>
            <w:tcW w:w="1154" w:type="pct"/>
            <w:shd w:val="clear" w:color="auto" w:fill="auto"/>
          </w:tcPr>
          <w:p w14:paraId="730AE3A2" w14:textId="77777777" w:rsidR="00BE2F9B" w:rsidRPr="00DE1A22" w:rsidRDefault="00BE2F9B" w:rsidP="00BE2F9B">
            <w:pPr>
              <w:jc w:val="both"/>
              <w:rPr>
                <w:rFonts w:eastAsia="Times New Roman"/>
                <w:sz w:val="24"/>
                <w:szCs w:val="24"/>
              </w:rPr>
            </w:pPr>
            <w:r w:rsidRPr="00DE1A22">
              <w:rPr>
                <w:rFonts w:eastAsia="Times New Roman"/>
                <w:sz w:val="24"/>
                <w:szCs w:val="24"/>
              </w:rPr>
              <w:t>Atbilstoši precizēts Pamatnostādņu 4.sadaļas 1.rīcības virziena 12.uzdevums (jaunā numerācija).</w:t>
            </w:r>
          </w:p>
        </w:tc>
      </w:tr>
    </w:tbl>
    <w:tbl>
      <w:tblPr>
        <w:tblW w:w="14742" w:type="dxa"/>
        <w:tblInd w:w="-5" w:type="dxa"/>
        <w:tblBorders>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6"/>
        <w:gridCol w:w="3066"/>
        <w:gridCol w:w="4400"/>
        <w:gridCol w:w="3118"/>
        <w:gridCol w:w="3402"/>
      </w:tblGrid>
      <w:tr w:rsidR="006064FE" w:rsidRPr="00DE1A22" w14:paraId="098AF0E0" w14:textId="77777777" w:rsidTr="00BF4AE7">
        <w:tc>
          <w:tcPr>
            <w:tcW w:w="756" w:type="dxa"/>
          </w:tcPr>
          <w:p w14:paraId="3A0A93A0" w14:textId="453DF3E2" w:rsidR="006064FE" w:rsidRPr="00DE1A22" w:rsidRDefault="00A349F5" w:rsidP="008A2225">
            <w:pPr>
              <w:spacing w:before="100" w:beforeAutospacing="1" w:after="100" w:afterAutospacing="1"/>
              <w:jc w:val="center"/>
              <w:rPr>
                <w:rFonts w:eastAsia="Times New Roman"/>
                <w:sz w:val="24"/>
                <w:szCs w:val="24"/>
                <w:lang w:eastAsia="lv-LV"/>
              </w:rPr>
            </w:pPr>
            <w:r>
              <w:rPr>
                <w:rFonts w:eastAsia="Times New Roman"/>
                <w:sz w:val="24"/>
                <w:szCs w:val="24"/>
                <w:lang w:eastAsia="lv-LV"/>
              </w:rPr>
              <w:lastRenderedPageBreak/>
              <w:t>14</w:t>
            </w:r>
            <w:r w:rsidR="006064FE" w:rsidRPr="00DE1A22">
              <w:rPr>
                <w:rFonts w:eastAsia="Times New Roman"/>
                <w:sz w:val="24"/>
                <w:szCs w:val="24"/>
                <w:lang w:eastAsia="lv-LV"/>
              </w:rPr>
              <w:t>.</w:t>
            </w:r>
          </w:p>
        </w:tc>
        <w:tc>
          <w:tcPr>
            <w:tcW w:w="3066" w:type="dxa"/>
          </w:tcPr>
          <w:p w14:paraId="42CE2BE7" w14:textId="77777777" w:rsidR="006064FE" w:rsidRPr="00DE1A22" w:rsidRDefault="006064FE" w:rsidP="008A2225">
            <w:pPr>
              <w:jc w:val="both"/>
              <w:rPr>
                <w:rFonts w:eastAsia="Times New Roman"/>
                <w:sz w:val="24"/>
                <w:szCs w:val="24"/>
                <w:lang w:eastAsia="lv-LV"/>
              </w:rPr>
            </w:pPr>
            <w:r w:rsidRPr="00DE1A22">
              <w:rPr>
                <w:rFonts w:eastAsia="Times New Roman"/>
                <w:sz w:val="24"/>
                <w:szCs w:val="24"/>
                <w:lang w:eastAsia="lv-LV"/>
              </w:rPr>
              <w:t>Pamatnostādņu 4. sadaļas 1. rīcības virziena “Atkarības profilakses, preventīvie, problemātiskā spēlētāja atbalsts un sabiedrības izglītojoši pasākumi” 14. un 15. uzdevums (jaunās redakcijas uzskaitījums) “AIL iestrādāt deleģējumu prasību izstrādei attiecībā uz spēļu automātu dizainu, skaņu efektiem, likmes limitiem, nospēlētās summas dienas limitus, kā arī likmes likšanas biežumu, tai skaitā attiecinot interaktīvajās azartspēlēs paredzētas spēlētāja brīdināšanas prasības par spēlē pavadīto laiku arī uz “zemes” azartspēlēm.</w:t>
            </w:r>
          </w:p>
          <w:p w14:paraId="7A772165" w14:textId="77777777" w:rsidR="006064FE" w:rsidRPr="00DE1A22" w:rsidRDefault="006064FE" w:rsidP="008A2225">
            <w:pPr>
              <w:jc w:val="both"/>
              <w:rPr>
                <w:rFonts w:eastAsia="Times New Roman"/>
                <w:sz w:val="24"/>
                <w:szCs w:val="24"/>
                <w:lang w:eastAsia="lv-LV"/>
              </w:rPr>
            </w:pPr>
            <w:r w:rsidRPr="00DE1A22">
              <w:rPr>
                <w:rFonts w:eastAsia="Times New Roman"/>
                <w:sz w:val="24"/>
                <w:szCs w:val="24"/>
                <w:lang w:eastAsia="lv-LV"/>
              </w:rPr>
              <w:t>AIL noteikt prasības “zemes” azartspēļu organizētājam nodrošināt, ka :</w:t>
            </w:r>
          </w:p>
          <w:p w14:paraId="47490FC9" w14:textId="77777777" w:rsidR="006064FE" w:rsidRPr="00DE1A22" w:rsidRDefault="006064FE" w:rsidP="008A2225">
            <w:pPr>
              <w:jc w:val="both"/>
              <w:rPr>
                <w:rFonts w:eastAsia="Times New Roman"/>
                <w:sz w:val="24"/>
                <w:szCs w:val="24"/>
                <w:lang w:eastAsia="lv-LV"/>
              </w:rPr>
            </w:pPr>
            <w:r w:rsidRPr="00DE1A22">
              <w:rPr>
                <w:rFonts w:eastAsia="Times New Roman"/>
                <w:sz w:val="24"/>
                <w:szCs w:val="24"/>
                <w:lang w:eastAsia="lv-LV"/>
              </w:rPr>
              <w:t>-</w:t>
            </w:r>
            <w:r w:rsidRPr="00DE1A22">
              <w:rPr>
                <w:rFonts w:eastAsia="Times New Roman"/>
                <w:sz w:val="24"/>
                <w:szCs w:val="24"/>
                <w:lang w:eastAsia="lv-LV"/>
              </w:rPr>
              <w:tab/>
              <w:t xml:space="preserve">spēlētāja reģistrācijas posmā spēlētājs var pēc noklusējuma noteikt naudas depozīta maksimālās summas ierobežojumus, kā arī pagaidu ierobežojumus. “Zemes” </w:t>
            </w:r>
            <w:r w:rsidRPr="00DE1A22">
              <w:rPr>
                <w:rFonts w:eastAsia="Times New Roman"/>
                <w:sz w:val="24"/>
                <w:szCs w:val="24"/>
                <w:lang w:eastAsia="lv-LV"/>
              </w:rPr>
              <w:lastRenderedPageBreak/>
              <w:t>azartspēlēm tiek izmantotas “gudrās kartes”, kurās ir noteikti naudas limiti, piemēram, spēlei spēļu automātos;</w:t>
            </w:r>
          </w:p>
          <w:p w14:paraId="58EF61AB" w14:textId="77777777" w:rsidR="006064FE" w:rsidRPr="00DE1A22" w:rsidRDefault="006064FE" w:rsidP="008A2225">
            <w:pPr>
              <w:jc w:val="both"/>
              <w:rPr>
                <w:rFonts w:eastAsia="Times New Roman"/>
                <w:sz w:val="24"/>
                <w:szCs w:val="24"/>
                <w:lang w:eastAsia="lv-LV"/>
              </w:rPr>
            </w:pPr>
            <w:r w:rsidRPr="00DE1A22">
              <w:rPr>
                <w:rFonts w:eastAsia="Times New Roman"/>
                <w:sz w:val="24"/>
                <w:szCs w:val="24"/>
                <w:lang w:eastAsia="lv-LV"/>
              </w:rPr>
              <w:t>-</w:t>
            </w:r>
            <w:r w:rsidRPr="00DE1A22">
              <w:rPr>
                <w:rFonts w:eastAsia="Times New Roman"/>
                <w:sz w:val="24"/>
                <w:szCs w:val="24"/>
                <w:lang w:eastAsia="lv-LV"/>
              </w:rPr>
              <w:tab/>
              <w:t xml:space="preserve">spēlētājs pēc noklusējuma var periodiski saņemt informatīvus brīdinājumus par laimestiem un zaudējumiem spēles vai derību laikā un informāciju par to, cik ilgi spēlētājs ir spēlējis. Spēlētājam jāapstiprina informatīvais brīdinājums un jādod iespēja uz laiku pārtraukt vai turpināt azartspēli;  </w:t>
            </w:r>
          </w:p>
          <w:p w14:paraId="7282BA2E" w14:textId="77777777" w:rsidR="006064FE" w:rsidRPr="00DE1A22" w:rsidRDefault="006064FE" w:rsidP="008A2225">
            <w:pPr>
              <w:jc w:val="both"/>
              <w:rPr>
                <w:rFonts w:eastAsia="Times New Roman"/>
                <w:sz w:val="24"/>
                <w:szCs w:val="24"/>
                <w:lang w:eastAsia="lv-LV"/>
              </w:rPr>
            </w:pPr>
            <w:r w:rsidRPr="00DE1A22">
              <w:rPr>
                <w:rFonts w:eastAsia="Times New Roman"/>
                <w:sz w:val="24"/>
                <w:szCs w:val="24"/>
                <w:lang w:eastAsia="lv-LV"/>
              </w:rPr>
              <w:t>-</w:t>
            </w:r>
            <w:r w:rsidRPr="00DE1A22">
              <w:rPr>
                <w:rFonts w:eastAsia="Times New Roman"/>
                <w:sz w:val="24"/>
                <w:szCs w:val="24"/>
                <w:lang w:eastAsia="lv-LV"/>
              </w:rPr>
              <w:tab/>
              <w:t>ekrāna pulksteņa uzstādīšanu ar mērķi spēlētājam saglabāt laika kontroles sajūtu.”.</w:t>
            </w:r>
          </w:p>
        </w:tc>
        <w:tc>
          <w:tcPr>
            <w:tcW w:w="4400" w:type="dxa"/>
          </w:tcPr>
          <w:p w14:paraId="1C2D677B" w14:textId="77777777" w:rsidR="006064FE" w:rsidRPr="00DE1A22" w:rsidRDefault="006064FE" w:rsidP="008A2225">
            <w:pPr>
              <w:contextualSpacing/>
              <w:jc w:val="both"/>
              <w:rPr>
                <w:rFonts w:eastAsia="Times New Roman"/>
                <w:b/>
                <w:sz w:val="24"/>
                <w:szCs w:val="24"/>
              </w:rPr>
            </w:pPr>
            <w:r w:rsidRPr="00DE1A22">
              <w:rPr>
                <w:rFonts w:eastAsia="Times New Roman"/>
                <w:b/>
                <w:sz w:val="24"/>
                <w:szCs w:val="24"/>
              </w:rPr>
              <w:lastRenderedPageBreak/>
              <w:t>Latvijas Spēļu biznesa asociācija (05.03.2020. Nr.6/20)</w:t>
            </w:r>
          </w:p>
          <w:p w14:paraId="14E79B66" w14:textId="77777777" w:rsidR="006064FE" w:rsidRPr="00DE1A22" w:rsidRDefault="006064FE" w:rsidP="008A2225">
            <w:pPr>
              <w:contextualSpacing/>
              <w:jc w:val="both"/>
              <w:rPr>
                <w:rFonts w:eastAsia="Times New Roman"/>
                <w:sz w:val="24"/>
                <w:szCs w:val="24"/>
              </w:rPr>
            </w:pPr>
            <w:r w:rsidRPr="00DE1A22">
              <w:rPr>
                <w:rFonts w:eastAsia="Times New Roman"/>
                <w:sz w:val="24"/>
                <w:szCs w:val="24"/>
              </w:rPr>
              <w:t>Izslēgt 15. un 16.uzdevumu</w:t>
            </w:r>
          </w:p>
          <w:p w14:paraId="144156FF" w14:textId="77777777" w:rsidR="006064FE" w:rsidRPr="00DE1A22" w:rsidRDefault="006064FE" w:rsidP="008A2225">
            <w:pPr>
              <w:contextualSpacing/>
              <w:jc w:val="both"/>
              <w:rPr>
                <w:rFonts w:eastAsia="Times New Roman"/>
                <w:sz w:val="24"/>
                <w:szCs w:val="24"/>
              </w:rPr>
            </w:pPr>
            <w:r w:rsidRPr="00DE1A22">
              <w:rPr>
                <w:rFonts w:eastAsia="Times New Roman"/>
                <w:sz w:val="24"/>
                <w:szCs w:val="24"/>
              </w:rPr>
              <w:t>“AIL iestrādāt deleģējumu prasību izstrādei attiecībā uz spēļu automātu dizainu, skaņu efektiem, likmes limitiem, nospēlētās summas dienas limitus, kā arī likmes likšanas biežumu, tai skaitā attiecinot interaktīvajās azartspēlēs paredzētas spēlētāja brīdināšanas prasības par spēlē pavadīto laiku arī uz “zemes” azartspēlēm”;</w:t>
            </w:r>
          </w:p>
          <w:p w14:paraId="29B33E4B" w14:textId="77777777" w:rsidR="006064FE" w:rsidRPr="00DE1A22" w:rsidRDefault="006064FE" w:rsidP="008A2225">
            <w:pPr>
              <w:contextualSpacing/>
              <w:jc w:val="both"/>
              <w:rPr>
                <w:rFonts w:eastAsia="Times New Roman"/>
                <w:sz w:val="24"/>
                <w:szCs w:val="24"/>
              </w:rPr>
            </w:pPr>
            <w:r w:rsidRPr="00DE1A22">
              <w:rPr>
                <w:rFonts w:eastAsia="Times New Roman"/>
                <w:sz w:val="24"/>
                <w:szCs w:val="24"/>
              </w:rPr>
              <w:t>“AIL noteikt prasības “zemes” azartspēļu organizētājam nodrošināt, ka:</w:t>
            </w:r>
          </w:p>
          <w:p w14:paraId="5C698BED" w14:textId="77777777" w:rsidR="006064FE" w:rsidRPr="00DE1A22" w:rsidRDefault="006064FE" w:rsidP="008A2225">
            <w:pPr>
              <w:contextualSpacing/>
              <w:jc w:val="both"/>
              <w:rPr>
                <w:rFonts w:eastAsia="Times New Roman"/>
                <w:sz w:val="24"/>
                <w:szCs w:val="24"/>
              </w:rPr>
            </w:pPr>
            <w:r w:rsidRPr="00DE1A22">
              <w:rPr>
                <w:rFonts w:eastAsia="Times New Roman"/>
                <w:sz w:val="24"/>
                <w:szCs w:val="24"/>
              </w:rPr>
              <w:t>a.</w:t>
            </w:r>
            <w:r w:rsidRPr="00DE1A22">
              <w:rPr>
                <w:rFonts w:eastAsia="Times New Roman"/>
                <w:sz w:val="24"/>
                <w:szCs w:val="24"/>
              </w:rPr>
              <w:tab/>
              <w:t>spēlētāja reģistrācijas posmā spēlētājs var pēc noklusējuma noteikt naudas depozīta maksimālās summas ierobežojumus, kā arī pagaidu ierobežojumus. “Zemes” azartspēlēm tiek izmantotas “gudrās kartes”, kurās ir noteikti naudas limiti, piemēram, spēlei spēļu automātos;</w:t>
            </w:r>
          </w:p>
          <w:p w14:paraId="5829E447" w14:textId="77777777" w:rsidR="006064FE" w:rsidRPr="00DE1A22" w:rsidRDefault="006064FE" w:rsidP="008A2225">
            <w:pPr>
              <w:contextualSpacing/>
              <w:jc w:val="both"/>
              <w:rPr>
                <w:rFonts w:eastAsia="Times New Roman"/>
                <w:sz w:val="24"/>
                <w:szCs w:val="24"/>
              </w:rPr>
            </w:pPr>
            <w:r w:rsidRPr="00DE1A22">
              <w:rPr>
                <w:rFonts w:eastAsia="Times New Roman"/>
                <w:sz w:val="24"/>
                <w:szCs w:val="24"/>
              </w:rPr>
              <w:t>b.</w:t>
            </w:r>
            <w:r w:rsidRPr="00DE1A22">
              <w:rPr>
                <w:rFonts w:eastAsia="Times New Roman"/>
                <w:sz w:val="24"/>
                <w:szCs w:val="24"/>
              </w:rPr>
              <w:tab/>
              <w:t>spēlētājs pēc noklusējuma var periodiski saņemt informatīvus brīdinājumus par laimestiem un zaudējumiem spēles vai derību laikā un informāciju par to, cik ilgi spēlētājs ir spēlējis. Spēlētājam jāapstiprina informatīvais brīdinājums un jādod iespēja uz laiku pārtraukt vai turpināt azartspēli;</w:t>
            </w:r>
          </w:p>
          <w:p w14:paraId="5A27682F" w14:textId="77777777" w:rsidR="006064FE" w:rsidRPr="00DE1A22" w:rsidRDefault="006064FE" w:rsidP="008A2225">
            <w:pPr>
              <w:contextualSpacing/>
              <w:jc w:val="both"/>
              <w:rPr>
                <w:rFonts w:eastAsia="Times New Roman"/>
                <w:sz w:val="24"/>
                <w:szCs w:val="24"/>
              </w:rPr>
            </w:pPr>
            <w:r w:rsidRPr="00DE1A22">
              <w:rPr>
                <w:rFonts w:eastAsia="Times New Roman"/>
                <w:sz w:val="24"/>
                <w:szCs w:val="24"/>
              </w:rPr>
              <w:lastRenderedPageBreak/>
              <w:t>c.</w:t>
            </w:r>
            <w:r w:rsidRPr="00DE1A22">
              <w:rPr>
                <w:rFonts w:eastAsia="Times New Roman"/>
                <w:sz w:val="24"/>
                <w:szCs w:val="24"/>
              </w:rPr>
              <w:tab/>
              <w:t>ekrāna pulksteņa uzstādīšanu ar mērķi spēlētājam saglabāt laika kontroles sajūtu.”</w:t>
            </w:r>
          </w:p>
          <w:p w14:paraId="34D4BE99" w14:textId="77777777" w:rsidR="006064FE" w:rsidRPr="00DE1A22" w:rsidRDefault="006064FE" w:rsidP="008A2225">
            <w:pPr>
              <w:contextualSpacing/>
              <w:jc w:val="both"/>
              <w:rPr>
                <w:rFonts w:eastAsia="Times New Roman"/>
                <w:sz w:val="24"/>
                <w:szCs w:val="24"/>
              </w:rPr>
            </w:pPr>
            <w:r w:rsidRPr="00DE1A22">
              <w:rPr>
                <w:rFonts w:eastAsia="Times New Roman"/>
                <w:sz w:val="24"/>
                <w:szCs w:val="24"/>
              </w:rPr>
              <w:t>LSBA kategoriski iebilst pret ideju padarīt spēļu automātus maksimāli “nepievilcīgus” ar tehniskiem līdzekļiem (ierobežojumi dizainam, skaņu efektiem, likmju limiti). Šādi tiktu izkropļota pakalpojuma būtība, kas nenoliedzami mudinātu spēlētājus meklēt iespēju spēlēt nelegālas azartspēles.</w:t>
            </w:r>
          </w:p>
          <w:p w14:paraId="60A0C028" w14:textId="77777777" w:rsidR="006064FE" w:rsidRPr="00DE1A22" w:rsidRDefault="006064FE" w:rsidP="008A2225">
            <w:pPr>
              <w:contextualSpacing/>
              <w:jc w:val="both"/>
              <w:rPr>
                <w:rFonts w:eastAsia="Times New Roman"/>
                <w:sz w:val="24"/>
                <w:szCs w:val="24"/>
              </w:rPr>
            </w:pPr>
            <w:r w:rsidRPr="00DE1A22">
              <w:rPr>
                <w:rFonts w:eastAsia="Times New Roman"/>
                <w:sz w:val="24"/>
                <w:szCs w:val="24"/>
              </w:rPr>
              <w:t>Pēc IAUI datiem par plānoto azartspēļu iekārtu izvietojumu spēļu zālēs uz 2020.gada februāri ekspluatēto spēļu automātu skaits ir 8207.  Latvijā spēļu zālēs tiek ekspluatēti ap 19 ražotāju spēļu automāti. Šie ražotāji nebūs ieinteresēti un neuzstādīs papildus funkcijas spēļu automātiem tikai Latvijas tirgum, kurā pārdoto iekārtu skaits ir ražotājiem nebūtisks.</w:t>
            </w:r>
          </w:p>
          <w:p w14:paraId="11F8B0CD" w14:textId="77777777" w:rsidR="006064FE" w:rsidRPr="00DE1A22" w:rsidRDefault="006064FE" w:rsidP="008A2225">
            <w:pPr>
              <w:contextualSpacing/>
              <w:jc w:val="both"/>
              <w:rPr>
                <w:rFonts w:eastAsia="Times New Roman"/>
                <w:sz w:val="24"/>
                <w:szCs w:val="24"/>
              </w:rPr>
            </w:pPr>
            <w:r w:rsidRPr="00DE1A22">
              <w:rPr>
                <w:rFonts w:eastAsia="Times New Roman"/>
                <w:sz w:val="24"/>
                <w:szCs w:val="24"/>
              </w:rPr>
              <w:t>Spēļu automāti var tikt uzstādīti tikai spēļu zālēs vai kazino – tātad ierobežotas piekļuves telpās, kur tiek nodrošināta apmeklētāju kontrole un piekļuve ir liegta nepilngadīgām personām. Spēļu automāti neatrodas, piemēram, uz ielas, kur to dizains varētu pievilināt personas, kuras citādi nebūtu devušās uz spēļu zāli. Šā brīža tiesiskais regulējums un arī Projekta raksturs ir vērsts uz to, lai nodrošinātu, ka azartspēļu zāles apmeklē tikai klienti, kuri apzinās, kas ir atbildīga spēle, nevis nejaušs garāmgājējs vai no azartspēlēm atkarīga persona.</w:t>
            </w:r>
          </w:p>
          <w:p w14:paraId="0CA35C07" w14:textId="77777777" w:rsidR="006064FE" w:rsidRPr="00DE1A22" w:rsidRDefault="006064FE" w:rsidP="008A2225">
            <w:pPr>
              <w:contextualSpacing/>
              <w:jc w:val="both"/>
              <w:rPr>
                <w:rFonts w:eastAsia="Times New Roman"/>
                <w:sz w:val="24"/>
                <w:szCs w:val="24"/>
              </w:rPr>
            </w:pPr>
            <w:r w:rsidRPr="00DE1A22">
              <w:rPr>
                <w:rFonts w:eastAsia="Times New Roman"/>
                <w:sz w:val="24"/>
                <w:szCs w:val="24"/>
              </w:rPr>
              <w:t xml:space="preserve">Kopš Pašatteikušos personu reģistra ieviešanas katrai personai, kurai spēļu </w:t>
            </w:r>
            <w:r w:rsidRPr="00DE1A22">
              <w:rPr>
                <w:rFonts w:eastAsia="Times New Roman"/>
                <w:sz w:val="24"/>
                <w:szCs w:val="24"/>
              </w:rPr>
              <w:lastRenderedPageBreak/>
              <w:t>automāti šķiet pārlieku vilinoši un kura nespēj spēlēt atbildīgi, ir iespēja sevi pasargāt, iekļaujot sevi minētajā reģistrā. Ņemot vērā aktīvo personu reģistrāciju (jau vairāk nekā 5400 personu), var uzskatīt, ka pastāv mehānisms azartspēļu iespējamās nelabvēlīgās ietekmes uz personām, “kurām šis brīvā laika pavadīšanas un izklaides veids var kļūt nekontrolējams un pāriet nepārvaramā un pārmērīgā tieksmē spēlēt spēles”, efektīvai novēršanai.</w:t>
            </w:r>
          </w:p>
          <w:p w14:paraId="720E2AD1" w14:textId="77777777" w:rsidR="006064FE" w:rsidRPr="00DE1A22" w:rsidRDefault="006064FE" w:rsidP="008A2225">
            <w:pPr>
              <w:contextualSpacing/>
              <w:jc w:val="both"/>
              <w:rPr>
                <w:rFonts w:eastAsia="Times New Roman"/>
                <w:sz w:val="24"/>
                <w:szCs w:val="24"/>
              </w:rPr>
            </w:pPr>
            <w:r w:rsidRPr="00DE1A22">
              <w:rPr>
                <w:rFonts w:eastAsia="Times New Roman"/>
                <w:sz w:val="24"/>
                <w:szCs w:val="24"/>
              </w:rPr>
              <w:t>Azartspēļu pakalpojumu izkropļošana, to kvalitātes pasliktināšana, t.sk. salīdzinoši ar citās valstīs pieejamajiem pakalpojumiem, nav pieļaujama. Legāla spēļu zāle nedrīkst līdzināties nelegālai. Azartspēles Latvijā jau šobrīd ir viens no visstingrāk regulētajiem komercdarbības veidiem. Jau šobrīd eksistē virkne mehānismu spēlētāju interešu aizsardzībai.</w:t>
            </w:r>
          </w:p>
          <w:p w14:paraId="248D8F8F" w14:textId="77777777" w:rsidR="006064FE" w:rsidRPr="00DE1A22" w:rsidRDefault="006064FE" w:rsidP="008A2225">
            <w:pPr>
              <w:contextualSpacing/>
              <w:jc w:val="both"/>
              <w:rPr>
                <w:rFonts w:eastAsia="Times New Roman"/>
                <w:sz w:val="24"/>
                <w:szCs w:val="24"/>
              </w:rPr>
            </w:pPr>
            <w:r w:rsidRPr="00DE1A22">
              <w:rPr>
                <w:rFonts w:eastAsia="Times New Roman"/>
                <w:sz w:val="24"/>
                <w:szCs w:val="24"/>
              </w:rPr>
              <w:t>Katrā valstī ir savs ierobežojumu komplekts, kas ir radies, ievērojot konkrētās vides specifiku, tādēļ pirms ieviest kādu papildu prasību azartspēļu organizētājiem un mehāniski nepārņemtu visas teorētiski iespējamās, lūdzam paredzēt uzdevumu veikt izvērtējumu. Būtu svarīgi, lai secinājumi tiktu izdarīti pēc zināma laika perioda, kad varētu novērtēt šobrīd noteikto ierobežojumu, prasību un atbildīgas spēles rīku efektivitāti.</w:t>
            </w:r>
          </w:p>
          <w:p w14:paraId="65C92FB2" w14:textId="77777777" w:rsidR="006064FE" w:rsidRPr="00DE1A22" w:rsidRDefault="006064FE" w:rsidP="008A2225">
            <w:pPr>
              <w:jc w:val="both"/>
              <w:rPr>
                <w:rFonts w:eastAsia="Times New Roman"/>
                <w:b/>
                <w:sz w:val="24"/>
                <w:szCs w:val="24"/>
              </w:rPr>
            </w:pPr>
            <w:r w:rsidRPr="00DE1A22">
              <w:rPr>
                <w:rFonts w:eastAsia="Times New Roman"/>
                <w:sz w:val="24"/>
                <w:szCs w:val="24"/>
              </w:rPr>
              <w:t xml:space="preserve">Attiecībā uz spēlētāju karšu ieviešanu vēršam uzmanību 2019.gada oktobra GamblingCompliance ziņojumā “Spēļu zāļu regulējums un nelegālo spēļu automātu izplatība Eiropā”  izdarītajam secinājumam, </w:t>
            </w:r>
            <w:r w:rsidRPr="00DE1A22">
              <w:rPr>
                <w:rFonts w:eastAsia="Times New Roman"/>
                <w:sz w:val="24"/>
                <w:szCs w:val="24"/>
              </w:rPr>
              <w:lastRenderedPageBreak/>
              <w:t>ka ieviešana ļauj pārraudzīt spēli licencētos spēļu automātos un piedāvā ieguvumus, taču tā arī marginalizē spēlētājus. Turpretī nelegālais spēļu automātu tirgus turpina būt atraktīvs spēlētājiem, kuri vēlas palikt anonīmi, izvairīties no nodokļiem, kas regulētajā vidē nebūtu iespējams.</w:t>
            </w:r>
          </w:p>
        </w:tc>
        <w:tc>
          <w:tcPr>
            <w:tcW w:w="3118" w:type="dxa"/>
          </w:tcPr>
          <w:p w14:paraId="7237BC31" w14:textId="77777777" w:rsidR="006064FE" w:rsidRPr="00DE1A22" w:rsidRDefault="006064FE" w:rsidP="008A2225">
            <w:pPr>
              <w:jc w:val="both"/>
              <w:rPr>
                <w:sz w:val="24"/>
                <w:szCs w:val="24"/>
              </w:rPr>
            </w:pPr>
            <w:r w:rsidRPr="00DE1A22">
              <w:rPr>
                <w:rFonts w:eastAsia="Times New Roman"/>
                <w:b/>
                <w:bCs/>
                <w:sz w:val="24"/>
                <w:szCs w:val="24"/>
                <w:lang w:eastAsia="lv-LV"/>
              </w:rPr>
              <w:lastRenderedPageBreak/>
              <w:t xml:space="preserve">Ņemts vērā </w:t>
            </w:r>
          </w:p>
          <w:p w14:paraId="5F3B9FA8" w14:textId="77777777" w:rsidR="006064FE" w:rsidRPr="00DE1A22" w:rsidRDefault="006064FE" w:rsidP="008A2225">
            <w:pPr>
              <w:jc w:val="both"/>
              <w:rPr>
                <w:rFonts w:eastAsia="Times New Roman"/>
                <w:b/>
                <w:bCs/>
                <w:sz w:val="24"/>
                <w:szCs w:val="24"/>
                <w:lang w:eastAsia="lv-LV"/>
              </w:rPr>
            </w:pPr>
          </w:p>
        </w:tc>
        <w:tc>
          <w:tcPr>
            <w:tcW w:w="3402" w:type="dxa"/>
          </w:tcPr>
          <w:p w14:paraId="0D68D39D" w14:textId="77777777" w:rsidR="006064FE" w:rsidRPr="00DE1A22" w:rsidRDefault="00EA6D59" w:rsidP="00EA6D59">
            <w:pPr>
              <w:spacing w:before="100" w:beforeAutospacing="1" w:after="100" w:afterAutospacing="1"/>
              <w:jc w:val="both"/>
              <w:rPr>
                <w:rFonts w:eastAsia="Times New Roman"/>
                <w:sz w:val="24"/>
                <w:szCs w:val="24"/>
                <w:lang w:eastAsia="lv-LV"/>
              </w:rPr>
            </w:pPr>
            <w:r w:rsidRPr="00DE1A22">
              <w:rPr>
                <w:rFonts w:eastAsia="Times New Roman"/>
                <w:sz w:val="24"/>
                <w:szCs w:val="24"/>
                <w:lang w:eastAsia="lv-LV"/>
              </w:rPr>
              <w:t>Atbilstoši iebildumam ir precizēts Pamatnostādņu 4. sadaļas 1. rīcības virziena “Atkarības profilakses, preventīvie, problemātiskā spēlētāja atbalsts un sabiedrības izglītojoši pasākumi” iekļautais uzdevums</w:t>
            </w:r>
            <w:r w:rsidR="00C15202">
              <w:rPr>
                <w:rFonts w:eastAsia="Times New Roman"/>
                <w:sz w:val="24"/>
                <w:szCs w:val="24"/>
                <w:lang w:eastAsia="lv-LV"/>
              </w:rPr>
              <w:t>.</w:t>
            </w:r>
          </w:p>
        </w:tc>
      </w:tr>
    </w:tbl>
    <w:tbl>
      <w:tblPr>
        <w:tblpPr w:leftFromText="180" w:rightFromText="180" w:vertAnchor="text" w:tblpY="1"/>
        <w:tblOverlap w:val="never"/>
        <w:tblW w:w="14737" w:type="dxa"/>
        <w:tblBorders>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1"/>
        <w:gridCol w:w="3072"/>
        <w:gridCol w:w="4394"/>
        <w:gridCol w:w="3118"/>
        <w:gridCol w:w="3402"/>
      </w:tblGrid>
      <w:tr w:rsidR="00DE1A22" w:rsidRPr="00DE1A22" w14:paraId="2D0509E1" w14:textId="77777777" w:rsidTr="00BF4AE7">
        <w:tc>
          <w:tcPr>
            <w:tcW w:w="751" w:type="dxa"/>
          </w:tcPr>
          <w:p w14:paraId="324775C0" w14:textId="447E2F4F" w:rsidR="00C5312B" w:rsidRPr="00DE1A22" w:rsidRDefault="00A349F5" w:rsidP="0047381A">
            <w:pPr>
              <w:spacing w:before="100" w:beforeAutospacing="1" w:after="100" w:afterAutospacing="1"/>
              <w:jc w:val="center"/>
              <w:rPr>
                <w:rFonts w:eastAsia="Times New Roman"/>
                <w:sz w:val="24"/>
                <w:szCs w:val="24"/>
                <w:lang w:eastAsia="lv-LV"/>
              </w:rPr>
            </w:pPr>
            <w:r>
              <w:rPr>
                <w:rFonts w:eastAsia="Times New Roman"/>
                <w:sz w:val="24"/>
                <w:szCs w:val="24"/>
                <w:lang w:eastAsia="lv-LV"/>
              </w:rPr>
              <w:lastRenderedPageBreak/>
              <w:t>15</w:t>
            </w:r>
            <w:r w:rsidR="00C5312B" w:rsidRPr="00DE1A22">
              <w:rPr>
                <w:rFonts w:eastAsia="Times New Roman"/>
                <w:sz w:val="24"/>
                <w:szCs w:val="24"/>
                <w:lang w:eastAsia="lv-LV"/>
              </w:rPr>
              <w:t>.</w:t>
            </w:r>
          </w:p>
        </w:tc>
        <w:tc>
          <w:tcPr>
            <w:tcW w:w="3072" w:type="dxa"/>
          </w:tcPr>
          <w:p w14:paraId="7A7D1F50" w14:textId="77777777" w:rsidR="00C5312B" w:rsidRPr="00DE1A22" w:rsidRDefault="00C5312B" w:rsidP="00C5312B">
            <w:pPr>
              <w:jc w:val="both"/>
              <w:rPr>
                <w:rFonts w:eastAsia="Times New Roman"/>
                <w:sz w:val="24"/>
                <w:szCs w:val="24"/>
                <w:lang w:eastAsia="lv-LV"/>
              </w:rPr>
            </w:pPr>
            <w:r w:rsidRPr="00DE1A22">
              <w:rPr>
                <w:rFonts w:eastAsia="Times New Roman"/>
                <w:sz w:val="24"/>
                <w:szCs w:val="24"/>
                <w:lang w:eastAsia="lv-LV"/>
              </w:rPr>
              <w:t>Pamatnostādņu 4. sadaļas 1. rīcības virziena “Atkarības profilakses, preventīvie, problemātiskā spēlētāja atbalsts un sabiedrības izglītojoši pasākumi” 17. uzdevums “Pašvaldībām piedāvāt sabiedrībai informatīvus materiālus par alternatīviem brīva laika pavadīšanas veidiem.”</w:t>
            </w:r>
          </w:p>
        </w:tc>
        <w:tc>
          <w:tcPr>
            <w:tcW w:w="4394" w:type="dxa"/>
          </w:tcPr>
          <w:p w14:paraId="2D2734BA" w14:textId="77777777" w:rsidR="00C5312B" w:rsidRPr="00DE1A22" w:rsidRDefault="00C5312B" w:rsidP="00C5312B">
            <w:pPr>
              <w:contextualSpacing/>
              <w:jc w:val="both"/>
              <w:rPr>
                <w:rFonts w:eastAsia="Times New Roman"/>
                <w:b/>
                <w:sz w:val="24"/>
                <w:szCs w:val="24"/>
              </w:rPr>
            </w:pPr>
            <w:r w:rsidRPr="00DE1A22">
              <w:rPr>
                <w:rFonts w:eastAsia="Times New Roman"/>
                <w:b/>
                <w:sz w:val="24"/>
                <w:szCs w:val="24"/>
              </w:rPr>
              <w:t>Latvijas Pašvaldību savienība (11.03.2020. Nr.202003/INIC143)</w:t>
            </w:r>
          </w:p>
          <w:p w14:paraId="541E965D" w14:textId="77777777" w:rsidR="00C5312B" w:rsidRPr="00DE1A22" w:rsidRDefault="00C5312B" w:rsidP="00C5312B">
            <w:pPr>
              <w:contextualSpacing/>
              <w:jc w:val="both"/>
              <w:rPr>
                <w:rFonts w:eastAsia="Times New Roman"/>
                <w:sz w:val="24"/>
                <w:szCs w:val="24"/>
              </w:rPr>
            </w:pPr>
            <w:r w:rsidRPr="00DE1A22">
              <w:rPr>
                <w:rFonts w:eastAsia="Times New Roman"/>
                <w:sz w:val="24"/>
                <w:szCs w:val="24"/>
              </w:rPr>
              <w:t xml:space="preserve">17.uzdevums paredz pašvaldībām izstrādāt risinājumu alternatīvo brīva laika pavadīšanas veidu integrēšanai sabiedrībā, veidojot izklaides un attīstības centrus teritorijās, kur azartspēļu zāle ir vieglāk pieejama alternatīva salīdzinājumā ar citām brīvā laika pavadīšanas iespējām. </w:t>
            </w:r>
          </w:p>
          <w:p w14:paraId="347B62F9" w14:textId="77777777" w:rsidR="00C5312B" w:rsidRPr="00DE1A22" w:rsidRDefault="00C5312B" w:rsidP="00C5312B">
            <w:pPr>
              <w:contextualSpacing/>
              <w:jc w:val="both"/>
              <w:rPr>
                <w:rFonts w:eastAsia="Times New Roman"/>
                <w:sz w:val="24"/>
                <w:szCs w:val="24"/>
              </w:rPr>
            </w:pPr>
            <w:r w:rsidRPr="00DE1A22">
              <w:rPr>
                <w:rFonts w:eastAsia="Times New Roman"/>
                <w:sz w:val="24"/>
                <w:szCs w:val="24"/>
              </w:rPr>
              <w:t xml:space="preserve">- Pirmkārt, ņemot vērā, ka atbilstoši likumam “Par pašvaldībām” pašvaldību autonomās funkcijas ir “rūpēties par kultūru un sekmēt tradicionālo kultūras vērtību saglabāšanu un tautas jaunrades attīstību (organizatoriska un finansiāla palīdzība kultūras iestādēm un pasākumiem, atbalsts kultūras pieminekļu saglabāšanai u.c.)” (15.panta pirmās daļas 5.punkts) un “nodrošināt veselības aprūpes pieejamību, kā arī veicināt iedzīvotāju veselīgu dzīvesveidu un sportu” (15.panta pirmās daļas 6.punkts), </w:t>
            </w:r>
            <w:r w:rsidRPr="00DE1A22">
              <w:rPr>
                <w:rFonts w:eastAsia="Times New Roman"/>
                <w:b/>
                <w:sz w:val="24"/>
                <w:szCs w:val="24"/>
              </w:rPr>
              <w:t xml:space="preserve">nav saprotams, kas Pamatnostādņu projekta uzdevumā domāts ar vārdiem “veidot izklaides un attīstības centrus teritorijās”. Paskaidrojums, kas tieši domāts ar šādiem centriem, nav sniegts arī Pamatnostādņu projekta pielikumā </w:t>
            </w:r>
            <w:r w:rsidRPr="00DE1A22">
              <w:rPr>
                <w:rFonts w:eastAsia="Times New Roman"/>
                <w:b/>
                <w:sz w:val="24"/>
                <w:szCs w:val="24"/>
              </w:rPr>
              <w:lastRenderedPageBreak/>
              <w:t>“Esošās situācijas vispārīgs raksturojums”;</w:t>
            </w:r>
          </w:p>
          <w:p w14:paraId="7C90C797" w14:textId="77777777" w:rsidR="00C5312B" w:rsidRPr="00DE1A22" w:rsidRDefault="00C5312B" w:rsidP="00C5312B">
            <w:pPr>
              <w:contextualSpacing/>
              <w:jc w:val="both"/>
              <w:rPr>
                <w:rFonts w:eastAsia="Times New Roman"/>
                <w:sz w:val="24"/>
                <w:szCs w:val="24"/>
              </w:rPr>
            </w:pPr>
            <w:r w:rsidRPr="00DE1A22">
              <w:rPr>
                <w:rFonts w:eastAsia="Times New Roman"/>
                <w:sz w:val="24"/>
                <w:szCs w:val="24"/>
              </w:rPr>
              <w:t xml:space="preserve">- Otrkārt, pašvaldības jau šobrīd atbilstoši savām funkcijām nodrošina plašu un daudzveidīgu kultūras, sporta, tūrisma un sabiedrisko pakalpojumu un pasākumu klāstu, līdz ar to nodrošinot arī azartspēļu spēlēšanai alternatīvas izklaides iespējas pie nosacījuma, ja vien konkrētais iedzīvotājs tās vēlas izmantot. </w:t>
            </w:r>
          </w:p>
          <w:p w14:paraId="5945E397" w14:textId="77777777" w:rsidR="00C5312B" w:rsidRPr="00DE1A22" w:rsidRDefault="00C5312B" w:rsidP="00C5312B">
            <w:pPr>
              <w:contextualSpacing/>
              <w:jc w:val="both"/>
              <w:rPr>
                <w:rFonts w:eastAsia="Times New Roman"/>
                <w:sz w:val="24"/>
                <w:szCs w:val="24"/>
              </w:rPr>
            </w:pPr>
            <w:r w:rsidRPr="00DE1A22">
              <w:rPr>
                <w:rFonts w:eastAsia="Times New Roman"/>
                <w:b/>
                <w:sz w:val="24"/>
                <w:szCs w:val="24"/>
              </w:rPr>
              <w:t xml:space="preserve">Lai novērtētu, kāds šobrīd pašvaldībās ir piedāvājums atpūtas un brīvā laika pavadīšanas iespējām un vai piedāvājums ir pietiekams, tad būtu jāvienojas par vērtēšanas kritērijiem (pie kādiem nosacījumiem piedāvājums tiek uzskatīts par pietiekamu) un jāveic situācijas analīze visās pašvaldībās, kurās atrodas kaut viena azartspēļu vieta. </w:t>
            </w:r>
            <w:r w:rsidRPr="00DE1A22">
              <w:rPr>
                <w:rFonts w:eastAsia="Times New Roman"/>
                <w:sz w:val="24"/>
                <w:szCs w:val="24"/>
              </w:rPr>
              <w:t>Tas būtu nepieciešams arī tādēļ, lai varētu izvirzīt sasniedzamos rezultatīvos rādītājus. Nezinot atskaites punktu, nav iespējams izmērīt konkrētās politikas/virziena rezultātu noteiktā laika periodā. Neviens no šiem jautājumiem Pamatnostādņu projekta pielikumā nav apskatīts, līdz ar to uzdevums uzskatāms tikai par deklaratīvu;</w:t>
            </w:r>
          </w:p>
          <w:p w14:paraId="6938FBE2" w14:textId="77777777" w:rsidR="00C5312B" w:rsidRPr="00DE1A22" w:rsidRDefault="00C5312B" w:rsidP="00C5312B">
            <w:pPr>
              <w:contextualSpacing/>
              <w:jc w:val="both"/>
              <w:rPr>
                <w:rFonts w:eastAsia="Times New Roman"/>
                <w:sz w:val="24"/>
                <w:szCs w:val="24"/>
              </w:rPr>
            </w:pPr>
            <w:r w:rsidRPr="00DE1A22">
              <w:rPr>
                <w:rFonts w:eastAsia="Times New Roman"/>
                <w:sz w:val="24"/>
                <w:szCs w:val="24"/>
              </w:rPr>
              <w:t xml:space="preserve">- Treškārt, ņemot vērā, ka no š.g. 1.janvāra 95% no azartspēļu nodokļa tiek ieskaitīti valsts pamatbudžetā (tātad līdzekļi no azartspēļu spēlētājiem nonāk valsts budžetā), no valsts budžeta ir finansējami arī visi preventīvie pasākumi azartspēļu atkarības mazināšanai visā Latvijas teritorijā. </w:t>
            </w:r>
            <w:r w:rsidRPr="00DE1A22">
              <w:rPr>
                <w:rFonts w:eastAsia="Times New Roman"/>
                <w:b/>
                <w:sz w:val="24"/>
                <w:szCs w:val="24"/>
              </w:rPr>
              <w:t xml:space="preserve">Attiecīgi uzdevumā minētie </w:t>
            </w:r>
            <w:r w:rsidRPr="00DE1A22">
              <w:rPr>
                <w:rFonts w:eastAsia="Times New Roman"/>
                <w:b/>
                <w:sz w:val="24"/>
                <w:szCs w:val="24"/>
              </w:rPr>
              <w:lastRenderedPageBreak/>
              <w:t>izklaides un attīstības centri (lai kāds būtu to definējums) ir finansējami no valsts budžeta.</w:t>
            </w:r>
            <w:r w:rsidRPr="00DE1A22">
              <w:rPr>
                <w:rFonts w:eastAsia="Times New Roman"/>
                <w:sz w:val="24"/>
                <w:szCs w:val="24"/>
              </w:rPr>
              <w:t xml:space="preserve"> </w:t>
            </w:r>
          </w:p>
          <w:p w14:paraId="4A23F9BF" w14:textId="77777777" w:rsidR="00C5312B" w:rsidRPr="00DE1A22" w:rsidRDefault="00C5312B" w:rsidP="00C5312B">
            <w:pPr>
              <w:contextualSpacing/>
              <w:jc w:val="both"/>
              <w:rPr>
                <w:rFonts w:eastAsia="Times New Roman"/>
                <w:sz w:val="24"/>
                <w:szCs w:val="24"/>
              </w:rPr>
            </w:pPr>
            <w:r w:rsidRPr="00DE1A22">
              <w:rPr>
                <w:rFonts w:eastAsia="Times New Roman"/>
                <w:sz w:val="24"/>
                <w:szCs w:val="24"/>
              </w:rPr>
              <w:t>Līdz 2020.gadam pašvaldību budžetā tika novirzīti 25% no ienākumiem no azartspēļu nodokļa konkrētajā pašvaldības teritorijā, kurus varēja novirzīt azartspēļu organizēšanas vietu radīto negatīvo seku mazināšanai, tai skaitā alternatīvām brīvā laika pavadīšanas iespējām. Šobrīd pašvaldību ieņēmumi no azartspēļu nodokļa ir simboliski: 2020.gadā prognozētie ieņēmumi no nodokļa pašvaldību budžetā kopumā ir 2,2 milj. euro.</w:t>
            </w:r>
          </w:p>
          <w:p w14:paraId="6130FCC3" w14:textId="77777777" w:rsidR="00C5312B" w:rsidRPr="00DE1A22" w:rsidRDefault="00C5312B" w:rsidP="00C5312B">
            <w:pPr>
              <w:contextualSpacing/>
              <w:jc w:val="both"/>
              <w:rPr>
                <w:rFonts w:eastAsia="Times New Roman"/>
                <w:b/>
                <w:sz w:val="24"/>
                <w:szCs w:val="24"/>
              </w:rPr>
            </w:pPr>
            <w:r w:rsidRPr="00DE1A22">
              <w:rPr>
                <w:rFonts w:eastAsia="Times New Roman"/>
                <w:b/>
                <w:sz w:val="24"/>
                <w:szCs w:val="24"/>
              </w:rPr>
              <w:t xml:space="preserve">Ņemot vērā iepriekš minēto, LPS lūdz svītrot Pamatnostādņu projekta 4.sadaļas 1.rīcības virziena 17.uzdevumu. </w:t>
            </w:r>
          </w:p>
          <w:p w14:paraId="2F5D9FA7" w14:textId="77777777" w:rsidR="00C5312B" w:rsidRPr="00DE1A22" w:rsidRDefault="00C5312B" w:rsidP="00C5312B">
            <w:pPr>
              <w:jc w:val="both"/>
              <w:rPr>
                <w:rFonts w:eastAsia="Times New Roman"/>
                <w:b/>
                <w:sz w:val="24"/>
                <w:szCs w:val="24"/>
              </w:rPr>
            </w:pPr>
            <w:r w:rsidRPr="00DE1A22">
              <w:rPr>
                <w:rFonts w:eastAsia="Times New Roman"/>
                <w:sz w:val="24"/>
                <w:szCs w:val="24"/>
              </w:rPr>
              <w:t>Alternatīva ir uzdevumu precizēt atbilstoši pašvaldību funkciju saturam, piemēram, “pašvaldībām veicināt kultūras, sporta, brīvā laika un atpūtas pakalpojumu attīstību iedzīvotājiem, radot azartspēļu izklaidei plašākas alternatīvas brīvā laika pavadīšanai”. Tomēr šajā gadījumā aktuāls ir iepriekš minētais, kā mērīt brīvā laika pavadīšanas iespēju, kultūras un sportisko aktivitāšu dažādošanu un paplašināšanu, ja nav zināms atskaites punkts.</w:t>
            </w:r>
          </w:p>
        </w:tc>
        <w:tc>
          <w:tcPr>
            <w:tcW w:w="3118" w:type="dxa"/>
          </w:tcPr>
          <w:p w14:paraId="35C2A934" w14:textId="77777777" w:rsidR="00C5312B" w:rsidRPr="00DE1A22" w:rsidRDefault="00C5312B" w:rsidP="00C5312B">
            <w:pPr>
              <w:jc w:val="both"/>
              <w:rPr>
                <w:rFonts w:eastAsia="Times New Roman"/>
                <w:b/>
                <w:bCs/>
                <w:sz w:val="24"/>
                <w:szCs w:val="24"/>
                <w:lang w:eastAsia="lv-LV"/>
              </w:rPr>
            </w:pPr>
            <w:r w:rsidRPr="00DE1A22">
              <w:rPr>
                <w:rFonts w:eastAsia="Times New Roman"/>
                <w:b/>
                <w:bCs/>
                <w:sz w:val="24"/>
                <w:szCs w:val="24"/>
                <w:lang w:eastAsia="lv-LV"/>
              </w:rPr>
              <w:lastRenderedPageBreak/>
              <w:t>Daļēji ņemts vērā.</w:t>
            </w:r>
          </w:p>
          <w:p w14:paraId="07E1FA13" w14:textId="77777777" w:rsidR="00C5312B" w:rsidRPr="00DE1A22" w:rsidRDefault="00C5312B" w:rsidP="00C5312B">
            <w:pPr>
              <w:jc w:val="both"/>
              <w:rPr>
                <w:rFonts w:eastAsia="Times New Roman"/>
                <w:b/>
                <w:bCs/>
                <w:sz w:val="24"/>
                <w:szCs w:val="24"/>
                <w:lang w:eastAsia="lv-LV"/>
              </w:rPr>
            </w:pPr>
          </w:p>
        </w:tc>
        <w:tc>
          <w:tcPr>
            <w:tcW w:w="3402" w:type="dxa"/>
          </w:tcPr>
          <w:p w14:paraId="034357A3" w14:textId="77777777" w:rsidR="00C5312B" w:rsidRPr="00DE1A22" w:rsidRDefault="00C5312B" w:rsidP="00C5312B">
            <w:pPr>
              <w:jc w:val="both"/>
              <w:rPr>
                <w:rFonts w:eastAsia="Times New Roman"/>
                <w:sz w:val="24"/>
                <w:szCs w:val="24"/>
                <w:lang w:eastAsia="lv-LV"/>
              </w:rPr>
            </w:pPr>
            <w:r w:rsidRPr="00DE1A22">
              <w:rPr>
                <w:rFonts w:eastAsia="Times New Roman"/>
                <w:sz w:val="24"/>
                <w:szCs w:val="24"/>
                <w:lang w:eastAsia="lv-LV"/>
              </w:rPr>
              <w:t>Atbilstoši iebildumam ir precizēts Pamatnostādņu 4.sadaļas 1.rīcības virziena “Atkarības profilakses, preventīvie, problemātiskā spēlētāja atbalsts un sabiedrības izglītojoši pasākumi” 15. uzdevums (jaunā numerācija).</w:t>
            </w:r>
          </w:p>
          <w:p w14:paraId="4985CC8D" w14:textId="77777777" w:rsidR="00C5312B" w:rsidRPr="00DE1A22" w:rsidRDefault="00C5312B" w:rsidP="00C5312B">
            <w:pPr>
              <w:jc w:val="both"/>
              <w:rPr>
                <w:rFonts w:eastAsia="Times New Roman"/>
                <w:sz w:val="24"/>
                <w:szCs w:val="24"/>
              </w:rPr>
            </w:pPr>
          </w:p>
        </w:tc>
      </w:tr>
      <w:tr w:rsidR="00DE1A22" w:rsidRPr="00DE1A22" w14:paraId="4B64FA74" w14:textId="77777777" w:rsidTr="00BF4AE7">
        <w:tc>
          <w:tcPr>
            <w:tcW w:w="751" w:type="dxa"/>
          </w:tcPr>
          <w:p w14:paraId="3558C040" w14:textId="175296DD" w:rsidR="00DE1A22" w:rsidRPr="00DE1A22" w:rsidDel="009647E5" w:rsidRDefault="00A349F5" w:rsidP="00DE1A22">
            <w:pPr>
              <w:spacing w:before="100" w:beforeAutospacing="1" w:after="100" w:afterAutospacing="1"/>
              <w:jc w:val="center"/>
              <w:rPr>
                <w:rFonts w:eastAsia="Times New Roman"/>
                <w:sz w:val="24"/>
                <w:szCs w:val="24"/>
                <w:lang w:eastAsia="lv-LV"/>
              </w:rPr>
            </w:pPr>
            <w:r>
              <w:rPr>
                <w:rFonts w:eastAsia="Times New Roman"/>
                <w:sz w:val="24"/>
                <w:szCs w:val="24"/>
                <w:lang w:eastAsia="lv-LV"/>
              </w:rPr>
              <w:lastRenderedPageBreak/>
              <w:t>16</w:t>
            </w:r>
            <w:r w:rsidR="00DE1A22">
              <w:rPr>
                <w:rFonts w:eastAsia="Times New Roman"/>
                <w:sz w:val="24"/>
                <w:szCs w:val="24"/>
                <w:lang w:eastAsia="lv-LV"/>
              </w:rPr>
              <w:t>.</w:t>
            </w:r>
          </w:p>
        </w:tc>
        <w:tc>
          <w:tcPr>
            <w:tcW w:w="3072" w:type="dxa"/>
          </w:tcPr>
          <w:p w14:paraId="28D423FA" w14:textId="77777777" w:rsidR="00DE1A22" w:rsidRPr="00DE1A22" w:rsidRDefault="00DE1A22" w:rsidP="00DE1A22">
            <w:pPr>
              <w:jc w:val="both"/>
              <w:rPr>
                <w:rFonts w:eastAsia="Times New Roman"/>
                <w:sz w:val="24"/>
                <w:szCs w:val="24"/>
                <w:lang w:eastAsia="lv-LV"/>
              </w:rPr>
            </w:pPr>
            <w:r w:rsidRPr="00DE1A22">
              <w:rPr>
                <w:rFonts w:eastAsia="Times New Roman"/>
                <w:sz w:val="24"/>
                <w:szCs w:val="24"/>
                <w:lang w:eastAsia="lv-LV"/>
              </w:rPr>
              <w:t>Pamatnostādņu 4. sadaļa “Rīcības virzieni un uzdevumi” 1.Rīcības virziena:</w:t>
            </w:r>
          </w:p>
          <w:p w14:paraId="6D7507A8" w14:textId="77777777" w:rsidR="00DE1A22" w:rsidRPr="00DE1A22" w:rsidRDefault="00DE1A22" w:rsidP="00DE1A22">
            <w:pPr>
              <w:jc w:val="both"/>
              <w:rPr>
                <w:rFonts w:eastAsia="Franklin Gothic Book"/>
                <w:sz w:val="24"/>
                <w:szCs w:val="24"/>
                <w:lang w:eastAsia="lv-LV"/>
              </w:rPr>
            </w:pPr>
            <w:r w:rsidRPr="00DE1A22">
              <w:rPr>
                <w:rFonts w:eastAsia="Times New Roman"/>
                <w:sz w:val="24"/>
                <w:szCs w:val="24"/>
                <w:lang w:eastAsia="lv-LV"/>
              </w:rPr>
              <w:t xml:space="preserve">18. </w:t>
            </w:r>
            <w:r w:rsidRPr="00DE1A22">
              <w:rPr>
                <w:rFonts w:eastAsia="Franklin Gothic Book"/>
                <w:sz w:val="24"/>
                <w:szCs w:val="24"/>
                <w:lang w:eastAsia="lv-LV"/>
              </w:rPr>
              <w:t xml:space="preserve"> Noteikt azartspēļu un interaktīvo izložu organizētājiem pienākumu </w:t>
            </w:r>
            <w:r w:rsidRPr="00DE1A22">
              <w:rPr>
                <w:rFonts w:eastAsia="Franklin Gothic Book"/>
                <w:sz w:val="24"/>
                <w:szCs w:val="24"/>
                <w:lang w:eastAsia="lv-LV"/>
              </w:rPr>
              <w:lastRenderedPageBreak/>
              <w:t>brīvprātīgās sadarbības programmā ar spēlētājiem iekļaut atbildīgas spēles rīkus un nosacījumus, nodrošinot, ka sadarbības programmas dalībnieks nevar piedalīties spēlē vai turpināt spēli, ja nav tos izmantojis.</w:t>
            </w:r>
          </w:p>
          <w:p w14:paraId="3DB3B011" w14:textId="77777777" w:rsidR="00DE1A22" w:rsidRPr="00DE1A22" w:rsidRDefault="00DE1A22" w:rsidP="00DE1A22">
            <w:pPr>
              <w:jc w:val="both"/>
              <w:rPr>
                <w:rFonts w:eastAsia="Franklin Gothic Book"/>
                <w:sz w:val="24"/>
                <w:szCs w:val="24"/>
                <w:lang w:eastAsia="lv-LV"/>
              </w:rPr>
            </w:pPr>
            <w:r w:rsidRPr="00DE1A22">
              <w:rPr>
                <w:rFonts w:eastAsia="Franklin Gothic Book"/>
                <w:sz w:val="24"/>
                <w:szCs w:val="24"/>
                <w:lang w:eastAsia="lv-LV"/>
              </w:rPr>
              <w:t>19.  Azartspēļu un interaktīvo izložu organizētājiem, piedāvājot sadarbības programmu, noteikt pienākumu novērtēt spēlētāja uzvedību un ierobežot azartspēļu vai interaktīvo izložu spēlētāja spēlēšanu, ja ir identificētas problēmspēlētāja pazīmes.</w:t>
            </w:r>
          </w:p>
          <w:p w14:paraId="317655B7" w14:textId="77777777" w:rsidR="00DE1A22" w:rsidRPr="00DE1A22" w:rsidRDefault="00DE1A22" w:rsidP="00DE1A22">
            <w:pPr>
              <w:jc w:val="both"/>
              <w:rPr>
                <w:rFonts w:eastAsia="Times New Roman"/>
                <w:sz w:val="24"/>
                <w:szCs w:val="24"/>
                <w:lang w:eastAsia="lv-LV"/>
              </w:rPr>
            </w:pPr>
            <w:r w:rsidRPr="00DE1A22">
              <w:rPr>
                <w:rFonts w:eastAsia="Franklin Gothic Book"/>
                <w:sz w:val="24"/>
                <w:szCs w:val="24"/>
                <w:lang w:eastAsia="lv-LV"/>
              </w:rPr>
              <w:t>20.  Azartspēļu un interaktīvo izložu organizētājiem jāapkopo nepersonalizēta informācija par sadarbības programmas dalībniekiem par pārskata gadu un minētā informācija reizi gadā līdz nākamā gada 1.martam jānodod IAUI azartspēļu un interaktīvo izložu nozares monitoringam.</w:t>
            </w:r>
          </w:p>
        </w:tc>
        <w:tc>
          <w:tcPr>
            <w:tcW w:w="4394" w:type="dxa"/>
          </w:tcPr>
          <w:p w14:paraId="23C329A5" w14:textId="77777777" w:rsidR="00DE1A22" w:rsidRPr="00DE1A22" w:rsidRDefault="00DE1A22" w:rsidP="00DE1A22">
            <w:pPr>
              <w:contextualSpacing/>
              <w:jc w:val="both"/>
              <w:rPr>
                <w:rFonts w:eastAsia="Times New Roman"/>
                <w:b/>
                <w:sz w:val="24"/>
                <w:szCs w:val="24"/>
              </w:rPr>
            </w:pPr>
            <w:r w:rsidRPr="00DE1A22">
              <w:rPr>
                <w:rFonts w:eastAsia="Times New Roman"/>
                <w:b/>
                <w:sz w:val="24"/>
                <w:szCs w:val="24"/>
              </w:rPr>
              <w:lastRenderedPageBreak/>
              <w:t>Vides aizsardzības un reģionālās attīstības ministrija (21.02.2020. Nr.1-132/1579)</w:t>
            </w:r>
          </w:p>
          <w:p w14:paraId="11216274" w14:textId="77777777" w:rsidR="00DE1A22" w:rsidRPr="00DE1A22" w:rsidRDefault="00DE1A22" w:rsidP="00DE1A22">
            <w:pPr>
              <w:contextualSpacing/>
              <w:jc w:val="both"/>
              <w:rPr>
                <w:rFonts w:eastAsia="Times New Roman"/>
                <w:sz w:val="24"/>
                <w:szCs w:val="24"/>
              </w:rPr>
            </w:pPr>
            <w:r w:rsidRPr="00DE1A22">
              <w:rPr>
                <w:rFonts w:eastAsia="Times New Roman"/>
                <w:sz w:val="24"/>
                <w:szCs w:val="24"/>
              </w:rPr>
              <w:t>1.rīcības virziena Atkarības profilakses, preventīvie, problemātiskā spēlētāja atbalsts un sabiedrības izglītojoši pasākumi:</w:t>
            </w:r>
          </w:p>
          <w:p w14:paraId="48CAC8DE" w14:textId="77777777" w:rsidR="00DE1A22" w:rsidRPr="00DE1A22" w:rsidRDefault="00DE1A22" w:rsidP="00DE1A22">
            <w:pPr>
              <w:contextualSpacing/>
              <w:jc w:val="both"/>
              <w:rPr>
                <w:rFonts w:eastAsia="Times New Roman"/>
                <w:sz w:val="24"/>
                <w:szCs w:val="24"/>
              </w:rPr>
            </w:pPr>
            <w:r w:rsidRPr="00DE1A22">
              <w:rPr>
                <w:rFonts w:eastAsia="Times New Roman"/>
                <w:sz w:val="24"/>
                <w:szCs w:val="24"/>
              </w:rPr>
              <w:lastRenderedPageBreak/>
              <w:t>- 18. un 20.uzdevumā lūdzam svītrot vārdu “interaktīvās”;</w:t>
            </w:r>
          </w:p>
          <w:p w14:paraId="2688C67D" w14:textId="77777777" w:rsidR="00DE1A22" w:rsidRPr="00DE1A22" w:rsidRDefault="00DE1A22" w:rsidP="00DE1A22">
            <w:pPr>
              <w:contextualSpacing/>
              <w:jc w:val="both"/>
              <w:rPr>
                <w:rFonts w:eastAsia="Times New Roman"/>
                <w:b/>
                <w:sz w:val="24"/>
                <w:szCs w:val="24"/>
              </w:rPr>
            </w:pPr>
            <w:r w:rsidRPr="00DE1A22">
              <w:rPr>
                <w:rFonts w:eastAsia="Times New Roman"/>
                <w:sz w:val="24"/>
                <w:szCs w:val="24"/>
              </w:rPr>
              <w:t>- 19.uzdevumā lūdzam svītrot vārdu “interaktīvās” un papildināt uzdevumu ar pienākumu Finanšu ministrijai noteikt pazīmes, pēc kurām azartspēļu un izložu organizētājiem būtu jāidentificē problēmspēlētāji.</w:t>
            </w:r>
          </w:p>
        </w:tc>
        <w:tc>
          <w:tcPr>
            <w:tcW w:w="3118" w:type="dxa"/>
          </w:tcPr>
          <w:p w14:paraId="68337B14" w14:textId="77777777" w:rsidR="00DE1A22" w:rsidRPr="00DE1A22" w:rsidRDefault="00DE1A22" w:rsidP="00DE1A22">
            <w:pPr>
              <w:jc w:val="both"/>
              <w:rPr>
                <w:rFonts w:eastAsia="Times New Roman"/>
                <w:b/>
                <w:bCs/>
                <w:sz w:val="24"/>
                <w:szCs w:val="24"/>
                <w:lang w:eastAsia="lv-LV"/>
              </w:rPr>
            </w:pPr>
            <w:r w:rsidRPr="00DE1A22">
              <w:rPr>
                <w:rFonts w:eastAsia="Times New Roman"/>
                <w:b/>
                <w:bCs/>
                <w:sz w:val="24"/>
                <w:szCs w:val="24"/>
                <w:lang w:eastAsia="lv-LV"/>
              </w:rPr>
              <w:lastRenderedPageBreak/>
              <w:t>Ņemts vērā.</w:t>
            </w:r>
          </w:p>
          <w:p w14:paraId="1A05AE05" w14:textId="77777777" w:rsidR="00DE1A22" w:rsidRPr="00DE1A22" w:rsidRDefault="00DE1A22" w:rsidP="00DE1A22">
            <w:pPr>
              <w:jc w:val="both"/>
              <w:rPr>
                <w:rFonts w:eastAsia="Times New Roman"/>
                <w:sz w:val="24"/>
                <w:szCs w:val="24"/>
              </w:rPr>
            </w:pPr>
          </w:p>
          <w:p w14:paraId="66F1C40A" w14:textId="77777777" w:rsidR="00DE1A22" w:rsidRPr="00DE1A22" w:rsidRDefault="00DE1A22" w:rsidP="00DE1A22">
            <w:pPr>
              <w:jc w:val="both"/>
              <w:rPr>
                <w:rFonts w:eastAsia="Times New Roman"/>
                <w:b/>
                <w:bCs/>
                <w:sz w:val="24"/>
                <w:szCs w:val="24"/>
                <w:lang w:eastAsia="lv-LV"/>
              </w:rPr>
            </w:pPr>
          </w:p>
        </w:tc>
        <w:tc>
          <w:tcPr>
            <w:tcW w:w="3402" w:type="dxa"/>
          </w:tcPr>
          <w:p w14:paraId="63FAA5BF" w14:textId="77777777" w:rsidR="00DE1A22" w:rsidRPr="00DE1A22" w:rsidRDefault="00DE1A22" w:rsidP="00DE1A22">
            <w:pPr>
              <w:jc w:val="both"/>
              <w:rPr>
                <w:rFonts w:eastAsia="Times New Roman"/>
                <w:sz w:val="24"/>
                <w:szCs w:val="24"/>
              </w:rPr>
            </w:pPr>
            <w:r w:rsidRPr="00DE1A22">
              <w:rPr>
                <w:rFonts w:eastAsia="Times New Roman"/>
                <w:sz w:val="24"/>
                <w:szCs w:val="24"/>
              </w:rPr>
              <w:t>Atbilstoši precizēti Pamatnostādņu 4.sadaļas 1.rīcības virziena uzdevumi 17., 18. un 19.uzdevums ar jaunu numerāciju un papildināts ar jaunu 23.uzdevumu.</w:t>
            </w:r>
          </w:p>
          <w:p w14:paraId="21B582BB" w14:textId="77777777" w:rsidR="00DE1A22" w:rsidRPr="00DE1A22" w:rsidRDefault="00DE1A22" w:rsidP="00DE1A22">
            <w:pPr>
              <w:jc w:val="both"/>
              <w:rPr>
                <w:rFonts w:eastAsia="Times New Roman"/>
                <w:sz w:val="24"/>
                <w:szCs w:val="24"/>
                <w:lang w:eastAsia="lv-LV"/>
              </w:rPr>
            </w:pPr>
          </w:p>
        </w:tc>
      </w:tr>
    </w:tbl>
    <w:tbl>
      <w:tblPr>
        <w:tblW w:w="1474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6"/>
        <w:gridCol w:w="3072"/>
        <w:gridCol w:w="4394"/>
        <w:gridCol w:w="3118"/>
        <w:gridCol w:w="3402"/>
      </w:tblGrid>
      <w:tr w:rsidR="00DE1A22" w:rsidRPr="00DE1A22" w14:paraId="30E1D594" w14:textId="77777777" w:rsidTr="00651FC9">
        <w:trPr>
          <w:trHeight w:val="6246"/>
        </w:trPr>
        <w:tc>
          <w:tcPr>
            <w:tcW w:w="756" w:type="dxa"/>
            <w:tcBorders>
              <w:top w:val="nil"/>
            </w:tcBorders>
          </w:tcPr>
          <w:p w14:paraId="7BE908A8" w14:textId="450D30A7" w:rsidR="006064FE" w:rsidRPr="00DE1A22" w:rsidRDefault="006064FE" w:rsidP="00DE1A22">
            <w:pPr>
              <w:spacing w:before="100" w:beforeAutospacing="1" w:after="100" w:afterAutospacing="1"/>
              <w:jc w:val="center"/>
              <w:rPr>
                <w:rFonts w:eastAsia="Times New Roman"/>
                <w:sz w:val="24"/>
                <w:szCs w:val="24"/>
                <w:lang w:eastAsia="lv-LV"/>
              </w:rPr>
            </w:pPr>
            <w:r w:rsidRPr="00DE1A22">
              <w:rPr>
                <w:rFonts w:eastAsia="Times New Roman"/>
                <w:sz w:val="24"/>
                <w:szCs w:val="24"/>
                <w:lang w:eastAsia="lv-LV"/>
              </w:rPr>
              <w:lastRenderedPageBreak/>
              <w:t xml:space="preserve"> </w:t>
            </w:r>
            <w:r w:rsidR="00DE1A22" w:rsidRPr="00DE1A22">
              <w:rPr>
                <w:rFonts w:eastAsia="Times New Roman"/>
                <w:sz w:val="24"/>
                <w:szCs w:val="24"/>
                <w:lang w:eastAsia="lv-LV"/>
              </w:rPr>
              <w:t>1</w:t>
            </w:r>
            <w:r w:rsidR="00610C5F">
              <w:rPr>
                <w:rFonts w:eastAsia="Times New Roman"/>
                <w:sz w:val="24"/>
                <w:szCs w:val="24"/>
                <w:lang w:eastAsia="lv-LV"/>
              </w:rPr>
              <w:t>7</w:t>
            </w:r>
            <w:r w:rsidRPr="00DE1A22">
              <w:rPr>
                <w:rFonts w:eastAsia="Times New Roman"/>
                <w:sz w:val="24"/>
                <w:szCs w:val="24"/>
                <w:lang w:eastAsia="lv-LV"/>
              </w:rPr>
              <w:t>.</w:t>
            </w:r>
          </w:p>
        </w:tc>
        <w:tc>
          <w:tcPr>
            <w:tcW w:w="3072" w:type="dxa"/>
            <w:tcBorders>
              <w:top w:val="nil"/>
            </w:tcBorders>
          </w:tcPr>
          <w:p w14:paraId="35FE110A" w14:textId="77777777" w:rsidR="006064FE" w:rsidRPr="00DE1A22" w:rsidRDefault="006064FE" w:rsidP="008A2225">
            <w:pPr>
              <w:jc w:val="both"/>
              <w:rPr>
                <w:rFonts w:eastAsia="Times New Roman"/>
                <w:sz w:val="24"/>
                <w:szCs w:val="24"/>
                <w:lang w:eastAsia="lv-LV"/>
              </w:rPr>
            </w:pPr>
            <w:r w:rsidRPr="00DE1A22">
              <w:rPr>
                <w:rFonts w:eastAsia="Times New Roman"/>
                <w:sz w:val="24"/>
                <w:szCs w:val="24"/>
                <w:lang w:eastAsia="lv-LV"/>
              </w:rPr>
              <w:t>Pamatnostādņu 4. sadaļas 1. rīcības virziena “Atkarības profilakses, preventīvie, problemātiskā spēlētāja atbalsts un sabiedrības izglītojoši pasākumi” 21. uzdevums  “Noteikt smēķēšanas aizliegumu spēļu zālēs un kazino.”</w:t>
            </w:r>
          </w:p>
        </w:tc>
        <w:tc>
          <w:tcPr>
            <w:tcW w:w="4394" w:type="dxa"/>
            <w:tcBorders>
              <w:top w:val="nil"/>
            </w:tcBorders>
          </w:tcPr>
          <w:p w14:paraId="6EE077C9" w14:textId="77777777" w:rsidR="006064FE" w:rsidRPr="00DE1A22" w:rsidRDefault="006064FE" w:rsidP="008A2225">
            <w:pPr>
              <w:contextualSpacing/>
              <w:jc w:val="both"/>
              <w:rPr>
                <w:rFonts w:eastAsia="Times New Roman"/>
                <w:b/>
                <w:sz w:val="24"/>
                <w:szCs w:val="24"/>
              </w:rPr>
            </w:pPr>
            <w:r w:rsidRPr="00DE1A22">
              <w:rPr>
                <w:rFonts w:eastAsia="Times New Roman"/>
                <w:b/>
                <w:sz w:val="24"/>
                <w:szCs w:val="24"/>
              </w:rPr>
              <w:t>Latvijas Spēļu biznesa asociācija (05.03.2020. Nr.6/20)</w:t>
            </w:r>
          </w:p>
          <w:p w14:paraId="34603AFA" w14:textId="77777777" w:rsidR="006064FE" w:rsidRPr="00DE1A22" w:rsidRDefault="006064FE" w:rsidP="008A2225">
            <w:pPr>
              <w:contextualSpacing/>
              <w:jc w:val="both"/>
              <w:rPr>
                <w:rFonts w:eastAsia="Times New Roman"/>
                <w:sz w:val="24"/>
                <w:szCs w:val="24"/>
              </w:rPr>
            </w:pPr>
            <w:r w:rsidRPr="00DE1A22">
              <w:rPr>
                <w:rFonts w:eastAsia="Times New Roman"/>
                <w:sz w:val="24"/>
                <w:szCs w:val="24"/>
              </w:rPr>
              <w:t>Izslēgt 21.uzdevumu “Noteikt smēķēšanas aizliegumu spēļu zālēs un kazino.”</w:t>
            </w:r>
          </w:p>
          <w:p w14:paraId="6AC36475" w14:textId="77777777" w:rsidR="006064FE" w:rsidRPr="00DE1A22" w:rsidRDefault="006064FE" w:rsidP="008A2225">
            <w:pPr>
              <w:contextualSpacing/>
              <w:jc w:val="both"/>
              <w:rPr>
                <w:rFonts w:eastAsia="Times New Roman"/>
                <w:sz w:val="24"/>
                <w:szCs w:val="24"/>
              </w:rPr>
            </w:pPr>
            <w:r w:rsidRPr="00DE1A22">
              <w:rPr>
                <w:rFonts w:eastAsia="Times New Roman"/>
                <w:sz w:val="24"/>
                <w:szCs w:val="24"/>
              </w:rPr>
              <w:t>Lai nodrošinātu spēļu zāļu un kazino telpu atbilstību Tabakas izstrādājumu, augu smēķēšanas produktu, elektronisko smēķēšanas ierīču un to šķidrumu aprites likuma 10.panta ceturtās daļas un 1.panta 15.punkta prasībām, azartspēļu organizētāji ir veikuši telpu pārbūvi, konstruktīvi nodalot telpas, kurās atļauts smēķēt. Veicot telpu pārbūvi un investējot pārbūvē ievērojamus naudas līdzekļus, azartspēļu organizētāji paļāvās, ka smēķēšanas normatīvais regulējums attiecībā uz spēļu zālēm un kazino nemainīsies. Likums tiek strikti ievērots un nekādu pārmetumu līdz šim nav bijis.</w:t>
            </w:r>
          </w:p>
          <w:p w14:paraId="64F1BBF6" w14:textId="77777777" w:rsidR="006064FE" w:rsidRPr="00DE1A22" w:rsidRDefault="006064FE" w:rsidP="008A2225">
            <w:pPr>
              <w:contextualSpacing/>
              <w:jc w:val="both"/>
              <w:rPr>
                <w:rFonts w:eastAsia="Times New Roman"/>
                <w:sz w:val="24"/>
                <w:szCs w:val="24"/>
              </w:rPr>
            </w:pPr>
            <w:r w:rsidRPr="00DE1A22">
              <w:rPr>
                <w:rFonts w:eastAsia="Times New Roman"/>
                <w:sz w:val="24"/>
                <w:szCs w:val="24"/>
              </w:rPr>
              <w:t xml:space="preserve">Smēķēšanas aizliegums attiecībā uz azartspēļu organizēšanas vietām, kurās saskaņā ar AIL prasībām ieeja ir tikai personām no 18 gadu vecumam, nav pamatots. Azartspēļu spēlētājs ir pieaudzis un rīcībspējīgs indivīds. </w:t>
            </w:r>
          </w:p>
          <w:p w14:paraId="28C4B5F1" w14:textId="77777777" w:rsidR="006064FE" w:rsidRPr="00DE1A22" w:rsidRDefault="006064FE" w:rsidP="008A2225">
            <w:pPr>
              <w:contextualSpacing/>
              <w:jc w:val="both"/>
              <w:rPr>
                <w:rFonts w:eastAsia="Times New Roman"/>
                <w:sz w:val="24"/>
                <w:szCs w:val="24"/>
              </w:rPr>
            </w:pPr>
            <w:r w:rsidRPr="00DE1A22">
              <w:rPr>
                <w:rFonts w:eastAsia="Times New Roman"/>
                <w:sz w:val="24"/>
                <w:szCs w:val="24"/>
              </w:rPr>
              <w:t xml:space="preserve">VM pētījumā ir secināts, ka 49% nesmēķētāju azartspēles par naudu nekad nav spēlējuši, turpretī patstāvīgo spēlētāju – smēķētāju īpatsvars ir 31%. Izdarīts pieņēmums, ka, ieviešot smēķēšanas ierobežojumus, cilvēkam šī vide var vairs nešķist tik pievilcīga. Skatoties uz citu valstu praksi (piemēram, Grieķijā), konstatējams, ka smēķēšanas aizliegums azartspēļu zālēs var arī nerezultēties azartspēļu spēlēšanas pārtraukšanā – </w:t>
            </w:r>
            <w:r w:rsidRPr="00DE1A22">
              <w:rPr>
                <w:rFonts w:eastAsia="Times New Roman"/>
                <w:sz w:val="24"/>
                <w:szCs w:val="24"/>
              </w:rPr>
              <w:lastRenderedPageBreak/>
              <w:t>spēlētāji smēķē ārpus azartspēļu zāles, tādējādi, pievēršot pastiprinātu uzmanību tai. Eiropas Kazino asociācija ir ziņojusi par Grieķijas atbildīgo institūciju nespēju nodrošināt smēķēšanas aizlieguma ievērošanu.</w:t>
            </w:r>
          </w:p>
          <w:p w14:paraId="1D84B5C5" w14:textId="77777777" w:rsidR="006064FE" w:rsidRPr="00DE1A22" w:rsidRDefault="006064FE" w:rsidP="008A2225">
            <w:pPr>
              <w:contextualSpacing/>
              <w:jc w:val="both"/>
              <w:rPr>
                <w:rFonts w:eastAsia="Times New Roman"/>
                <w:sz w:val="24"/>
                <w:szCs w:val="24"/>
              </w:rPr>
            </w:pPr>
            <w:r w:rsidRPr="00DE1A22">
              <w:rPr>
                <w:rFonts w:eastAsia="Times New Roman"/>
                <w:sz w:val="24"/>
                <w:szCs w:val="24"/>
              </w:rPr>
              <w:t xml:space="preserve">Vēršam uzmanību Igaunijas regulējumam, kurā ir noteiktas pastiprinātas prasības restorāniem un bāriem – t.i., atsevišķi nodalītajā telpā, kura paredzēta pamatpakalpojumu saņemšanai un smēķēšanai, uzstādāmajai nosūces ventilācijai: </w:t>
            </w:r>
          </w:p>
          <w:p w14:paraId="073E0A88" w14:textId="77777777" w:rsidR="006064FE" w:rsidRPr="00DE1A22" w:rsidRDefault="006064FE" w:rsidP="008A2225">
            <w:pPr>
              <w:contextualSpacing/>
              <w:jc w:val="both"/>
              <w:rPr>
                <w:rFonts w:eastAsia="Times New Roman"/>
                <w:sz w:val="24"/>
                <w:szCs w:val="24"/>
              </w:rPr>
            </w:pPr>
            <w:r w:rsidRPr="00DE1A22">
              <w:rPr>
                <w:rFonts w:eastAsia="Times New Roman"/>
                <w:sz w:val="24"/>
                <w:szCs w:val="24"/>
              </w:rPr>
              <w:t>- gaisa aizplūde telpā nav mazāka par 8,4 litriem sekundē uz kvadrātmetru, un, ja telpa netiek izmantota, gaisa aizplūšanu var samazināt līdz 25 procentiem no parastās gaisa apmaiņas;</w:t>
            </w:r>
          </w:p>
          <w:p w14:paraId="7226AD37" w14:textId="77777777" w:rsidR="006064FE" w:rsidRPr="00DE1A22" w:rsidRDefault="006064FE" w:rsidP="008A2225">
            <w:pPr>
              <w:contextualSpacing/>
              <w:jc w:val="both"/>
              <w:rPr>
                <w:rFonts w:eastAsia="Times New Roman"/>
                <w:sz w:val="24"/>
                <w:szCs w:val="24"/>
              </w:rPr>
            </w:pPr>
            <w:r w:rsidRPr="00DE1A22">
              <w:rPr>
                <w:rFonts w:eastAsia="Times New Roman"/>
                <w:sz w:val="24"/>
                <w:szCs w:val="24"/>
              </w:rPr>
              <w:t xml:space="preserve">- gaisa izplūdes ventilācijas sistēma ir atsevišķa un nepārtraukta vai ar atsevišķu kanālu savienota ar citām nepārtraukti darbojošām gaisa izplūdes sistēmām. </w:t>
            </w:r>
          </w:p>
          <w:p w14:paraId="50CFFE75" w14:textId="77777777" w:rsidR="006064FE" w:rsidRPr="00DE1A22" w:rsidRDefault="006064FE" w:rsidP="008A2225">
            <w:pPr>
              <w:contextualSpacing/>
              <w:jc w:val="both"/>
              <w:rPr>
                <w:rFonts w:eastAsia="Times New Roman"/>
                <w:b/>
                <w:sz w:val="24"/>
                <w:szCs w:val="24"/>
              </w:rPr>
            </w:pPr>
            <w:r w:rsidRPr="00DE1A22">
              <w:rPr>
                <w:rFonts w:eastAsia="Times New Roman"/>
                <w:b/>
                <w:sz w:val="24"/>
                <w:szCs w:val="24"/>
              </w:rPr>
              <w:t>LSBA varētu atbalstīt šāda regulējuma ieviešanu.</w:t>
            </w:r>
          </w:p>
        </w:tc>
        <w:tc>
          <w:tcPr>
            <w:tcW w:w="3118" w:type="dxa"/>
            <w:tcBorders>
              <w:top w:val="nil"/>
            </w:tcBorders>
          </w:tcPr>
          <w:p w14:paraId="5661A27F" w14:textId="77777777" w:rsidR="006064FE" w:rsidRPr="00DE1A22" w:rsidRDefault="006064FE" w:rsidP="008A2225">
            <w:pPr>
              <w:jc w:val="both"/>
              <w:rPr>
                <w:rFonts w:eastAsia="Times New Roman"/>
                <w:b/>
                <w:bCs/>
                <w:sz w:val="24"/>
                <w:szCs w:val="24"/>
                <w:lang w:eastAsia="lv-LV"/>
              </w:rPr>
            </w:pPr>
            <w:r w:rsidRPr="00DE1A22">
              <w:rPr>
                <w:rFonts w:eastAsia="Times New Roman"/>
                <w:b/>
                <w:bCs/>
                <w:sz w:val="24"/>
                <w:szCs w:val="24"/>
                <w:lang w:eastAsia="lv-LV"/>
              </w:rPr>
              <w:lastRenderedPageBreak/>
              <w:t>Ņemts vērā</w:t>
            </w:r>
            <w:r w:rsidR="008034BE" w:rsidRPr="00DE1A22">
              <w:rPr>
                <w:rFonts w:eastAsia="Times New Roman"/>
                <w:b/>
                <w:bCs/>
                <w:sz w:val="24"/>
                <w:szCs w:val="24"/>
                <w:lang w:eastAsia="lv-LV"/>
              </w:rPr>
              <w:t>.</w:t>
            </w:r>
            <w:r w:rsidRPr="00DE1A22">
              <w:rPr>
                <w:rFonts w:eastAsia="Times New Roman"/>
                <w:b/>
                <w:bCs/>
                <w:sz w:val="24"/>
                <w:szCs w:val="24"/>
                <w:lang w:eastAsia="lv-LV"/>
              </w:rPr>
              <w:t xml:space="preserve"> </w:t>
            </w:r>
          </w:p>
          <w:p w14:paraId="7AA3D3BA" w14:textId="77777777" w:rsidR="006064FE" w:rsidRPr="00DE1A22" w:rsidRDefault="006064FE" w:rsidP="008A2225">
            <w:pPr>
              <w:jc w:val="both"/>
              <w:rPr>
                <w:rFonts w:eastAsia="Times New Roman"/>
                <w:b/>
                <w:bCs/>
                <w:sz w:val="24"/>
                <w:szCs w:val="24"/>
                <w:lang w:eastAsia="lv-LV"/>
              </w:rPr>
            </w:pPr>
            <w:r w:rsidRPr="00DE1A22">
              <w:rPr>
                <w:rFonts w:eastAsia="Times New Roman"/>
                <w:sz w:val="24"/>
                <w:szCs w:val="24"/>
                <w:lang w:eastAsia="lv-LV"/>
              </w:rPr>
              <w:t xml:space="preserve"> </w:t>
            </w:r>
          </w:p>
        </w:tc>
        <w:tc>
          <w:tcPr>
            <w:tcW w:w="3402" w:type="dxa"/>
            <w:tcBorders>
              <w:top w:val="nil"/>
            </w:tcBorders>
          </w:tcPr>
          <w:p w14:paraId="79FE6E7E" w14:textId="77777777" w:rsidR="006064FE" w:rsidRPr="00DE1A22" w:rsidRDefault="00EA6D59" w:rsidP="00297FE2">
            <w:pPr>
              <w:spacing w:before="100" w:beforeAutospacing="1" w:after="100" w:afterAutospacing="1"/>
              <w:jc w:val="both"/>
              <w:rPr>
                <w:rFonts w:eastAsia="Times New Roman"/>
                <w:sz w:val="24"/>
                <w:szCs w:val="24"/>
                <w:lang w:eastAsia="lv-LV"/>
              </w:rPr>
            </w:pPr>
            <w:r w:rsidRPr="00DE1A22">
              <w:rPr>
                <w:rFonts w:eastAsia="Times New Roman"/>
                <w:sz w:val="24"/>
                <w:szCs w:val="24"/>
                <w:lang w:eastAsia="lv-LV"/>
              </w:rPr>
              <w:t xml:space="preserve">Atbilstoši iebildumam ir precizēts Pamatnostādņu 4. sadaļas 1. rīcības virziena “Atkarības profilakses, preventīvie, problemātiskā spēlētāja atbalsts un sabiedrības izglītojoši pasākumi” </w:t>
            </w:r>
            <w:r w:rsidR="00297FE2" w:rsidRPr="00DE1A22">
              <w:rPr>
                <w:rFonts w:eastAsia="Times New Roman"/>
                <w:sz w:val="24"/>
                <w:szCs w:val="24"/>
                <w:lang w:eastAsia="lv-LV"/>
              </w:rPr>
              <w:t>2</w:t>
            </w:r>
            <w:r w:rsidR="00297FE2">
              <w:rPr>
                <w:rFonts w:eastAsia="Times New Roman"/>
                <w:sz w:val="24"/>
                <w:szCs w:val="24"/>
                <w:lang w:eastAsia="lv-LV"/>
              </w:rPr>
              <w:t>0</w:t>
            </w:r>
            <w:r w:rsidRPr="00DE1A22">
              <w:rPr>
                <w:rFonts w:eastAsia="Times New Roman"/>
                <w:sz w:val="24"/>
                <w:szCs w:val="24"/>
                <w:lang w:eastAsia="lv-LV"/>
              </w:rPr>
              <w:t>. uzdevums (jaunā numerācija)</w:t>
            </w:r>
          </w:p>
        </w:tc>
      </w:tr>
      <w:tr w:rsidR="00DE1A22" w:rsidRPr="00DE1A22" w14:paraId="6DAC08E7" w14:textId="77777777" w:rsidTr="008034BE">
        <w:tc>
          <w:tcPr>
            <w:tcW w:w="756" w:type="dxa"/>
          </w:tcPr>
          <w:p w14:paraId="62CB67B4" w14:textId="20EC1274" w:rsidR="00DE1A22" w:rsidRPr="00DE1A22" w:rsidDel="009647E5" w:rsidRDefault="00DE1A22" w:rsidP="00DE1A22">
            <w:pPr>
              <w:spacing w:before="100" w:beforeAutospacing="1" w:after="100" w:afterAutospacing="1"/>
              <w:jc w:val="center"/>
              <w:rPr>
                <w:rFonts w:eastAsia="Times New Roman"/>
                <w:sz w:val="24"/>
                <w:szCs w:val="24"/>
                <w:lang w:eastAsia="lv-LV"/>
              </w:rPr>
            </w:pPr>
            <w:r w:rsidRPr="00DE1A22">
              <w:rPr>
                <w:rFonts w:eastAsia="Times New Roman"/>
                <w:sz w:val="24"/>
                <w:szCs w:val="24"/>
                <w:lang w:eastAsia="lv-LV"/>
              </w:rPr>
              <w:t>1</w:t>
            </w:r>
            <w:r w:rsidR="00610C5F">
              <w:rPr>
                <w:rFonts w:eastAsia="Times New Roman"/>
                <w:sz w:val="24"/>
                <w:szCs w:val="24"/>
                <w:lang w:eastAsia="lv-LV"/>
              </w:rPr>
              <w:t>8</w:t>
            </w:r>
            <w:r w:rsidRPr="00DE1A22">
              <w:rPr>
                <w:rFonts w:eastAsia="Times New Roman"/>
                <w:sz w:val="24"/>
                <w:szCs w:val="24"/>
                <w:lang w:eastAsia="lv-LV"/>
              </w:rPr>
              <w:t>.</w:t>
            </w:r>
          </w:p>
        </w:tc>
        <w:tc>
          <w:tcPr>
            <w:tcW w:w="3072" w:type="dxa"/>
            <w:shd w:val="clear" w:color="auto" w:fill="auto"/>
          </w:tcPr>
          <w:p w14:paraId="30565589" w14:textId="77777777" w:rsidR="00DE1A22" w:rsidRPr="00DE1A22" w:rsidRDefault="00DE1A22" w:rsidP="00DE1A22">
            <w:pPr>
              <w:jc w:val="both"/>
              <w:rPr>
                <w:rFonts w:eastAsia="Times New Roman"/>
                <w:sz w:val="24"/>
                <w:szCs w:val="24"/>
                <w:lang w:eastAsia="lv-LV"/>
              </w:rPr>
            </w:pPr>
            <w:r w:rsidRPr="00DE1A22">
              <w:rPr>
                <w:rFonts w:eastAsia="Times New Roman"/>
                <w:sz w:val="24"/>
                <w:szCs w:val="24"/>
                <w:lang w:eastAsia="lv-LV"/>
              </w:rPr>
              <w:t>Pamatnostādņu 4. sadaļa “Rīcības virzieni un uzdevumi” 1.Rīcības virziens.</w:t>
            </w:r>
          </w:p>
        </w:tc>
        <w:tc>
          <w:tcPr>
            <w:tcW w:w="4394" w:type="dxa"/>
            <w:shd w:val="clear" w:color="auto" w:fill="auto"/>
          </w:tcPr>
          <w:p w14:paraId="7B1C26E2" w14:textId="77777777" w:rsidR="00DE1A22" w:rsidRPr="00DE1A22" w:rsidRDefault="00DE1A22" w:rsidP="00DE1A22">
            <w:pPr>
              <w:contextualSpacing/>
              <w:jc w:val="both"/>
              <w:rPr>
                <w:rFonts w:eastAsia="Times New Roman"/>
                <w:b/>
                <w:sz w:val="24"/>
                <w:szCs w:val="24"/>
              </w:rPr>
            </w:pPr>
            <w:r w:rsidRPr="00DE1A22">
              <w:rPr>
                <w:rFonts w:eastAsia="Times New Roman"/>
                <w:b/>
                <w:sz w:val="24"/>
                <w:szCs w:val="24"/>
              </w:rPr>
              <w:t>Vides aizsardzības un reģionālās attīstības ministrija (21.02.2020. Nr.1-132/1579)</w:t>
            </w:r>
          </w:p>
          <w:p w14:paraId="020C9C33" w14:textId="77777777" w:rsidR="00DE1A22" w:rsidRPr="00DE1A22" w:rsidRDefault="00DE1A22" w:rsidP="00DE1A22">
            <w:pPr>
              <w:contextualSpacing/>
              <w:jc w:val="both"/>
              <w:rPr>
                <w:rFonts w:eastAsia="Times New Roman"/>
                <w:sz w:val="24"/>
                <w:szCs w:val="24"/>
              </w:rPr>
            </w:pPr>
            <w:r w:rsidRPr="00DE1A22">
              <w:rPr>
                <w:rFonts w:eastAsia="Times New Roman"/>
                <w:sz w:val="24"/>
                <w:szCs w:val="24"/>
              </w:rPr>
              <w:t>Papildināt 1.rīcības virzienu ar jaunu uzdevumu:</w:t>
            </w:r>
          </w:p>
          <w:p w14:paraId="38D0F9D0" w14:textId="77777777" w:rsidR="00DE1A22" w:rsidRPr="00DE1A22" w:rsidRDefault="00DE1A22" w:rsidP="00DE1A22">
            <w:pPr>
              <w:jc w:val="both"/>
              <w:rPr>
                <w:rFonts w:eastAsia="Times New Roman"/>
                <w:b/>
                <w:sz w:val="24"/>
                <w:szCs w:val="24"/>
              </w:rPr>
            </w:pPr>
            <w:r w:rsidRPr="00DE1A22">
              <w:rPr>
                <w:rFonts w:eastAsia="Times New Roman"/>
                <w:sz w:val="24"/>
                <w:szCs w:val="24"/>
              </w:rPr>
              <w:t>“Izveidot nozares finansētu fondu, nolūkā finansēt profilakses, preventīvās un spēlētāju atbalsta, sabiedrības izglītošanas iniciatīvas. Izveidot fonda darba un īstenoto projektu uzraudzības padomi, tajā skaitā iekļaujot padomē nozares pārstāvjus.”</w:t>
            </w:r>
          </w:p>
        </w:tc>
        <w:tc>
          <w:tcPr>
            <w:tcW w:w="3118" w:type="dxa"/>
            <w:shd w:val="clear" w:color="auto" w:fill="auto"/>
          </w:tcPr>
          <w:p w14:paraId="440C7DA0" w14:textId="77777777" w:rsidR="00DE1A22" w:rsidRPr="00DE1A22" w:rsidRDefault="00DE1A22" w:rsidP="00DE1A22">
            <w:pPr>
              <w:jc w:val="both"/>
              <w:rPr>
                <w:rFonts w:eastAsia="Times New Roman"/>
                <w:b/>
                <w:bCs/>
                <w:sz w:val="24"/>
                <w:szCs w:val="24"/>
                <w:lang w:eastAsia="lv-LV"/>
              </w:rPr>
            </w:pPr>
            <w:r w:rsidRPr="00DE1A22">
              <w:rPr>
                <w:rFonts w:eastAsia="Times New Roman"/>
                <w:b/>
                <w:bCs/>
                <w:sz w:val="24"/>
                <w:szCs w:val="24"/>
                <w:lang w:eastAsia="lv-LV"/>
              </w:rPr>
              <w:t>Ņemts vērā.</w:t>
            </w:r>
          </w:p>
          <w:p w14:paraId="2E3C4488" w14:textId="77777777" w:rsidR="00DE1A22" w:rsidRPr="00DE1A22" w:rsidRDefault="00DE1A22" w:rsidP="00DE1A22">
            <w:pPr>
              <w:jc w:val="both"/>
              <w:rPr>
                <w:rFonts w:eastAsia="Times New Roman"/>
                <w:b/>
                <w:bCs/>
                <w:sz w:val="24"/>
                <w:szCs w:val="24"/>
                <w:lang w:eastAsia="lv-LV"/>
              </w:rPr>
            </w:pPr>
          </w:p>
        </w:tc>
        <w:tc>
          <w:tcPr>
            <w:tcW w:w="3402" w:type="dxa"/>
            <w:shd w:val="clear" w:color="auto" w:fill="auto"/>
          </w:tcPr>
          <w:p w14:paraId="591DF457" w14:textId="77777777" w:rsidR="00DE1A22" w:rsidRPr="00DE1A22" w:rsidRDefault="00DE1A22" w:rsidP="00DE1A22">
            <w:pPr>
              <w:jc w:val="both"/>
              <w:rPr>
                <w:rFonts w:eastAsia="Times New Roman"/>
                <w:bCs/>
                <w:sz w:val="24"/>
                <w:szCs w:val="24"/>
                <w:lang w:eastAsia="lv-LV"/>
              </w:rPr>
            </w:pPr>
            <w:r w:rsidRPr="00DE1A22">
              <w:rPr>
                <w:rFonts w:eastAsia="Times New Roman"/>
                <w:bCs/>
                <w:sz w:val="24"/>
                <w:szCs w:val="24"/>
                <w:lang w:eastAsia="lv-LV"/>
              </w:rPr>
              <w:t>Uzdevums nav attiecināms uz publisko tiesību subjektu, attiecīgi ir papildināts Pamatnostādņu pielikums. Skatīt Pamatnostādņu pielikuma 25.lpp.</w:t>
            </w:r>
          </w:p>
          <w:p w14:paraId="6D338CC3" w14:textId="77777777" w:rsidR="00DE1A22" w:rsidRPr="00DE1A22" w:rsidRDefault="00DE1A22" w:rsidP="00DE1A22">
            <w:pPr>
              <w:spacing w:after="120"/>
              <w:jc w:val="both"/>
              <w:rPr>
                <w:rFonts w:eastAsia="Times New Roman"/>
                <w:sz w:val="24"/>
                <w:szCs w:val="24"/>
                <w:lang w:eastAsia="lv-LV"/>
              </w:rPr>
            </w:pPr>
          </w:p>
        </w:tc>
      </w:tr>
      <w:tr w:rsidR="00DE1A22" w:rsidRPr="00DE1A22" w14:paraId="4483698D" w14:textId="77777777" w:rsidTr="001C3B74">
        <w:tc>
          <w:tcPr>
            <w:tcW w:w="756" w:type="dxa"/>
          </w:tcPr>
          <w:p w14:paraId="7BDE6DB1" w14:textId="64C90C84" w:rsidR="00DE1A22" w:rsidRPr="00DE1A22" w:rsidRDefault="00DE1A22" w:rsidP="00DE1A22">
            <w:pPr>
              <w:spacing w:before="100" w:beforeAutospacing="1" w:after="100" w:afterAutospacing="1"/>
              <w:jc w:val="center"/>
              <w:rPr>
                <w:rFonts w:eastAsia="Times New Roman"/>
                <w:sz w:val="24"/>
                <w:szCs w:val="24"/>
                <w:lang w:eastAsia="lv-LV"/>
              </w:rPr>
            </w:pPr>
            <w:r w:rsidRPr="00DE1A22">
              <w:rPr>
                <w:rFonts w:eastAsia="Times New Roman"/>
                <w:sz w:val="24"/>
                <w:szCs w:val="24"/>
                <w:lang w:eastAsia="lv-LV"/>
              </w:rPr>
              <w:lastRenderedPageBreak/>
              <w:t>1</w:t>
            </w:r>
            <w:r w:rsidR="00610C5F">
              <w:rPr>
                <w:rFonts w:eastAsia="Times New Roman"/>
                <w:sz w:val="24"/>
                <w:szCs w:val="24"/>
                <w:lang w:eastAsia="lv-LV"/>
              </w:rPr>
              <w:t>9</w:t>
            </w:r>
            <w:r w:rsidRPr="00DE1A22">
              <w:rPr>
                <w:rFonts w:eastAsia="Times New Roman"/>
                <w:sz w:val="24"/>
                <w:szCs w:val="24"/>
                <w:lang w:eastAsia="lv-LV"/>
              </w:rPr>
              <w:t>.</w:t>
            </w:r>
          </w:p>
        </w:tc>
        <w:tc>
          <w:tcPr>
            <w:tcW w:w="3072" w:type="dxa"/>
            <w:shd w:val="clear" w:color="auto" w:fill="auto"/>
          </w:tcPr>
          <w:p w14:paraId="1F230F2C" w14:textId="77777777" w:rsidR="00DE1A22" w:rsidRPr="00DE1A22" w:rsidRDefault="00DE1A22" w:rsidP="001C3B74">
            <w:pPr>
              <w:jc w:val="both"/>
              <w:rPr>
                <w:rFonts w:eastAsia="Times New Roman"/>
                <w:sz w:val="24"/>
                <w:szCs w:val="24"/>
                <w:lang w:eastAsia="lv-LV"/>
              </w:rPr>
            </w:pPr>
            <w:r w:rsidRPr="00DE1A22">
              <w:rPr>
                <w:rFonts w:eastAsia="Times New Roman"/>
                <w:sz w:val="24"/>
                <w:szCs w:val="24"/>
                <w:lang w:eastAsia="lv-LV"/>
              </w:rPr>
              <w:t>Pamatnostādņu 4.sadaļas 1.rīcības virziens “</w:t>
            </w:r>
            <w:r w:rsidRPr="00DE1A22">
              <w:rPr>
                <w:rFonts w:eastAsia="Times New Roman"/>
                <w:sz w:val="24"/>
                <w:szCs w:val="24"/>
              </w:rPr>
              <w:t>Atkarības profilakses, preventīvie, problemātiskā spēlētāja atbalsts un sabiedrības izglītojoši pasākumi</w:t>
            </w:r>
            <w:r w:rsidRPr="00DE1A22">
              <w:rPr>
                <w:rFonts w:eastAsia="Times New Roman"/>
                <w:sz w:val="24"/>
                <w:szCs w:val="24"/>
                <w:lang w:eastAsia="lv-LV"/>
              </w:rPr>
              <w:t>”.</w:t>
            </w:r>
          </w:p>
          <w:p w14:paraId="1F09C5CE" w14:textId="77777777" w:rsidR="00DE1A22" w:rsidRPr="00DE1A22" w:rsidRDefault="00DE1A22" w:rsidP="001C3B74">
            <w:pPr>
              <w:jc w:val="both"/>
              <w:rPr>
                <w:rFonts w:eastAsia="Times New Roman"/>
                <w:sz w:val="24"/>
                <w:szCs w:val="24"/>
                <w:lang w:eastAsia="lv-LV"/>
              </w:rPr>
            </w:pPr>
          </w:p>
        </w:tc>
        <w:tc>
          <w:tcPr>
            <w:tcW w:w="4394" w:type="dxa"/>
            <w:shd w:val="clear" w:color="auto" w:fill="auto"/>
          </w:tcPr>
          <w:p w14:paraId="54F639DD" w14:textId="77777777" w:rsidR="00DE1A22" w:rsidRPr="00DE1A22" w:rsidRDefault="00DE1A22" w:rsidP="00DE1A22">
            <w:pPr>
              <w:tabs>
                <w:tab w:val="left" w:pos="1666"/>
              </w:tabs>
              <w:jc w:val="both"/>
              <w:rPr>
                <w:rFonts w:eastAsia="Times New Roman"/>
                <w:b/>
                <w:sz w:val="24"/>
                <w:szCs w:val="24"/>
              </w:rPr>
            </w:pPr>
            <w:r w:rsidRPr="00DE1A22">
              <w:rPr>
                <w:rFonts w:eastAsia="Times New Roman"/>
                <w:b/>
                <w:sz w:val="24"/>
                <w:szCs w:val="24"/>
              </w:rPr>
              <w:t>Latvijas interaktīvo azartspēļu biedrība (06.03.2020.)</w:t>
            </w:r>
          </w:p>
          <w:p w14:paraId="0516BED0" w14:textId="77777777" w:rsidR="00DE1A22" w:rsidRPr="00DE1A22" w:rsidRDefault="00DE1A22" w:rsidP="00DE1A22">
            <w:pPr>
              <w:tabs>
                <w:tab w:val="left" w:pos="1666"/>
              </w:tabs>
              <w:jc w:val="both"/>
              <w:rPr>
                <w:rFonts w:eastAsia="Times New Roman"/>
                <w:sz w:val="24"/>
                <w:szCs w:val="24"/>
              </w:rPr>
            </w:pPr>
            <w:r w:rsidRPr="00DE1A22">
              <w:rPr>
                <w:rFonts w:eastAsia="Times New Roman"/>
                <w:sz w:val="24"/>
                <w:szCs w:val="24"/>
              </w:rPr>
              <w:t xml:space="preserve">LIAB Pamatnostādņu apspriešanas sanāksmē aicināja Pamatnostādņu 4.sadaļas 5. Rīcības virzienu “Azartspēļu un izložu nozares attīstības tendenču monitorings” papildināt 6. uzdevumu šādā redakcijā: </w:t>
            </w:r>
          </w:p>
          <w:p w14:paraId="54A2D7C6" w14:textId="77777777" w:rsidR="00DE1A22" w:rsidRPr="00DE1A22" w:rsidRDefault="00DE1A22" w:rsidP="00DE1A22">
            <w:pPr>
              <w:contextualSpacing/>
              <w:jc w:val="both"/>
              <w:rPr>
                <w:rFonts w:eastAsia="Times New Roman"/>
                <w:b/>
                <w:sz w:val="24"/>
                <w:szCs w:val="24"/>
              </w:rPr>
            </w:pPr>
            <w:r w:rsidRPr="00DE1A22">
              <w:rPr>
                <w:rFonts w:eastAsia="Times New Roman"/>
                <w:sz w:val="24"/>
                <w:szCs w:val="24"/>
              </w:rPr>
              <w:t>“</w:t>
            </w:r>
            <w:r w:rsidRPr="00DE1A22">
              <w:rPr>
                <w:rFonts w:eastAsia="Times New Roman"/>
                <w:b/>
                <w:sz w:val="24"/>
                <w:szCs w:val="24"/>
              </w:rPr>
              <w:t>Noteikt brīvprātīgās sadarbības programmās izmantojamos atļautos un aizliegtos elementus.</w:t>
            </w:r>
          </w:p>
        </w:tc>
        <w:tc>
          <w:tcPr>
            <w:tcW w:w="3118" w:type="dxa"/>
            <w:shd w:val="clear" w:color="auto" w:fill="auto"/>
          </w:tcPr>
          <w:p w14:paraId="063CB933" w14:textId="77777777" w:rsidR="00DE1A22" w:rsidRPr="00DE1A22" w:rsidRDefault="00DE1A22" w:rsidP="00DE1A22">
            <w:pPr>
              <w:jc w:val="both"/>
              <w:rPr>
                <w:rFonts w:eastAsia="Times New Roman"/>
                <w:b/>
                <w:bCs/>
                <w:sz w:val="24"/>
                <w:szCs w:val="24"/>
                <w:lang w:eastAsia="lv-LV"/>
              </w:rPr>
            </w:pPr>
            <w:r w:rsidRPr="00DE1A22">
              <w:rPr>
                <w:rFonts w:eastAsia="Times New Roman"/>
                <w:b/>
                <w:bCs/>
                <w:sz w:val="24"/>
                <w:szCs w:val="24"/>
                <w:lang w:eastAsia="lv-LV"/>
              </w:rPr>
              <w:t>Ņemts vērā.</w:t>
            </w:r>
          </w:p>
          <w:p w14:paraId="62998D14" w14:textId="77777777" w:rsidR="00DE1A22" w:rsidRPr="00DE1A22" w:rsidRDefault="00DE1A22" w:rsidP="00DE1A22">
            <w:pPr>
              <w:jc w:val="both"/>
              <w:rPr>
                <w:rFonts w:eastAsia="Times New Roman"/>
                <w:b/>
                <w:bCs/>
                <w:sz w:val="24"/>
                <w:szCs w:val="24"/>
                <w:lang w:eastAsia="lv-LV"/>
              </w:rPr>
            </w:pPr>
          </w:p>
        </w:tc>
        <w:tc>
          <w:tcPr>
            <w:tcW w:w="3402" w:type="dxa"/>
            <w:shd w:val="clear" w:color="auto" w:fill="auto"/>
          </w:tcPr>
          <w:p w14:paraId="37C610E8" w14:textId="77777777" w:rsidR="00DE1A22" w:rsidRPr="00DE1A22" w:rsidRDefault="00DE1A22" w:rsidP="00DE1A22">
            <w:pPr>
              <w:jc w:val="both"/>
              <w:rPr>
                <w:rFonts w:eastAsia="Times New Roman"/>
                <w:bCs/>
                <w:sz w:val="24"/>
                <w:szCs w:val="24"/>
                <w:lang w:eastAsia="lv-LV"/>
              </w:rPr>
            </w:pPr>
            <w:r w:rsidRPr="00DE1A22">
              <w:rPr>
                <w:rFonts w:eastAsia="Times New Roman"/>
                <w:sz w:val="24"/>
                <w:szCs w:val="24"/>
              </w:rPr>
              <w:t>Atbilstoši ir precizēts Pamatnostādņu 4.sadaļas 1.rīcības virziena “Atkarības profilakses, preventīvie, problemātiskā spēlētāja atbalsts un sabiedrības izglītojoši pasākumi” 16.uzdevums (jaunā redakcija).</w:t>
            </w:r>
          </w:p>
        </w:tc>
      </w:tr>
      <w:tr w:rsidR="00DE1A22" w:rsidRPr="00DE1A22" w14:paraId="2E9674D2" w14:textId="77777777" w:rsidTr="00C15202">
        <w:tc>
          <w:tcPr>
            <w:tcW w:w="756" w:type="dxa"/>
          </w:tcPr>
          <w:p w14:paraId="007514D4" w14:textId="1C0A11CA" w:rsidR="00DE1A22" w:rsidRPr="00DE1A22" w:rsidRDefault="00610C5F" w:rsidP="00DE1A22">
            <w:pPr>
              <w:spacing w:before="100" w:beforeAutospacing="1" w:after="100" w:afterAutospacing="1"/>
              <w:jc w:val="center"/>
              <w:rPr>
                <w:rFonts w:eastAsia="Times New Roman"/>
                <w:sz w:val="24"/>
                <w:szCs w:val="24"/>
                <w:lang w:eastAsia="lv-LV"/>
              </w:rPr>
            </w:pPr>
            <w:r>
              <w:rPr>
                <w:rFonts w:eastAsia="Times New Roman"/>
                <w:sz w:val="24"/>
                <w:szCs w:val="24"/>
                <w:lang w:eastAsia="lv-LV"/>
              </w:rPr>
              <w:t>20</w:t>
            </w:r>
            <w:r w:rsidR="00DE1A22" w:rsidRPr="00DE1A22">
              <w:rPr>
                <w:rFonts w:eastAsia="Times New Roman"/>
                <w:sz w:val="24"/>
                <w:szCs w:val="24"/>
                <w:lang w:eastAsia="lv-LV"/>
              </w:rPr>
              <w:t>.</w:t>
            </w:r>
          </w:p>
        </w:tc>
        <w:tc>
          <w:tcPr>
            <w:tcW w:w="3072" w:type="dxa"/>
            <w:shd w:val="clear" w:color="auto" w:fill="auto"/>
            <w:vAlign w:val="center"/>
          </w:tcPr>
          <w:p w14:paraId="26ACAAE3" w14:textId="77777777" w:rsidR="00DE1A22" w:rsidRPr="00DE1A22" w:rsidRDefault="00DE1A22" w:rsidP="00DE1A22">
            <w:pPr>
              <w:jc w:val="both"/>
              <w:rPr>
                <w:rFonts w:eastAsia="Times New Roman"/>
                <w:sz w:val="24"/>
                <w:szCs w:val="24"/>
                <w:lang w:eastAsia="lv-LV"/>
              </w:rPr>
            </w:pPr>
            <w:r w:rsidRPr="00DE1A22">
              <w:rPr>
                <w:rFonts w:eastAsia="Times New Roman"/>
                <w:sz w:val="24"/>
                <w:szCs w:val="24"/>
                <w:lang w:eastAsia="lv-LV"/>
              </w:rPr>
              <w:t>Pamatnostādņu 4.sadaļas 1.rīcības virziens “</w:t>
            </w:r>
            <w:r w:rsidRPr="00DE1A22">
              <w:rPr>
                <w:rFonts w:eastAsia="Times New Roman"/>
                <w:sz w:val="24"/>
                <w:szCs w:val="24"/>
              </w:rPr>
              <w:t>Atkarības profilakses, preventīvie, problemātiskā spēlētāja atbalsts un sabiedrības izglītojoši pasākumi</w:t>
            </w:r>
            <w:r w:rsidRPr="00DE1A22">
              <w:rPr>
                <w:rFonts w:eastAsia="Times New Roman"/>
                <w:sz w:val="24"/>
                <w:szCs w:val="24"/>
                <w:lang w:eastAsia="lv-LV"/>
              </w:rPr>
              <w:t>”.</w:t>
            </w:r>
          </w:p>
        </w:tc>
        <w:tc>
          <w:tcPr>
            <w:tcW w:w="4394" w:type="dxa"/>
            <w:shd w:val="clear" w:color="auto" w:fill="auto"/>
          </w:tcPr>
          <w:p w14:paraId="49247DD6" w14:textId="77777777" w:rsidR="00DE1A22" w:rsidRPr="00DE1A22" w:rsidRDefault="00DE1A22" w:rsidP="00DE1A22">
            <w:pPr>
              <w:jc w:val="both"/>
              <w:rPr>
                <w:rFonts w:eastAsia="Times New Roman"/>
                <w:b/>
                <w:sz w:val="24"/>
                <w:szCs w:val="24"/>
              </w:rPr>
            </w:pPr>
            <w:r w:rsidRPr="00DE1A22">
              <w:rPr>
                <w:rFonts w:eastAsia="Times New Roman"/>
                <w:b/>
                <w:sz w:val="24"/>
                <w:szCs w:val="24"/>
              </w:rPr>
              <w:t>Latvijas Lielo pilsētu asociācija</w:t>
            </w:r>
          </w:p>
          <w:p w14:paraId="17FC6900" w14:textId="77777777" w:rsidR="00DE1A22" w:rsidRPr="00DE1A22" w:rsidRDefault="00DE1A22" w:rsidP="00DE1A22">
            <w:pPr>
              <w:tabs>
                <w:tab w:val="left" w:pos="1666"/>
              </w:tabs>
              <w:jc w:val="both"/>
              <w:rPr>
                <w:rFonts w:eastAsia="Times New Roman"/>
                <w:b/>
                <w:sz w:val="24"/>
                <w:szCs w:val="24"/>
              </w:rPr>
            </w:pPr>
            <w:r w:rsidRPr="00DE1A22">
              <w:rPr>
                <w:rFonts w:eastAsia="Times New Roman"/>
                <w:sz w:val="24"/>
                <w:szCs w:val="24"/>
              </w:rPr>
              <w:t>Pēc Pasaules Veselības Organizācijas rekomendācijām aicinām azartspēļu ienākumu daļu novirzīt veselības profilakses pasākumiem, kas ir atzīta un pierādīta labā prakse pasaulē.</w:t>
            </w:r>
          </w:p>
        </w:tc>
        <w:tc>
          <w:tcPr>
            <w:tcW w:w="3118" w:type="dxa"/>
            <w:shd w:val="clear" w:color="auto" w:fill="auto"/>
          </w:tcPr>
          <w:p w14:paraId="4954F686" w14:textId="77777777" w:rsidR="00DE1A22" w:rsidRPr="00DE1A22" w:rsidRDefault="00DE1A22" w:rsidP="00DE1A22">
            <w:pPr>
              <w:jc w:val="both"/>
              <w:rPr>
                <w:rFonts w:eastAsia="Times New Roman"/>
                <w:b/>
                <w:bCs/>
                <w:sz w:val="24"/>
                <w:szCs w:val="24"/>
                <w:lang w:eastAsia="lv-LV"/>
              </w:rPr>
            </w:pPr>
            <w:r w:rsidRPr="00DE1A22">
              <w:rPr>
                <w:rFonts w:eastAsia="Times New Roman"/>
                <w:b/>
                <w:bCs/>
                <w:sz w:val="24"/>
                <w:szCs w:val="24"/>
                <w:lang w:eastAsia="lv-LV"/>
              </w:rPr>
              <w:t>Ņemts vērā.</w:t>
            </w:r>
          </w:p>
        </w:tc>
        <w:tc>
          <w:tcPr>
            <w:tcW w:w="3402" w:type="dxa"/>
            <w:shd w:val="clear" w:color="auto" w:fill="auto"/>
          </w:tcPr>
          <w:p w14:paraId="5B823E22" w14:textId="77777777" w:rsidR="00DE1A22" w:rsidRPr="00DE1A22" w:rsidRDefault="00DE1A22" w:rsidP="00DE1A22">
            <w:pPr>
              <w:jc w:val="both"/>
              <w:rPr>
                <w:rFonts w:eastAsia="Times New Roman"/>
                <w:sz w:val="24"/>
                <w:szCs w:val="24"/>
              </w:rPr>
            </w:pPr>
            <w:r w:rsidRPr="00DE1A22">
              <w:rPr>
                <w:rFonts w:eastAsia="Times New Roman"/>
                <w:sz w:val="24"/>
                <w:szCs w:val="24"/>
              </w:rPr>
              <w:t>Atbilstoši ir precizēts Pamatnostādnes un tās pielikums.</w:t>
            </w:r>
          </w:p>
        </w:tc>
      </w:tr>
      <w:tr w:rsidR="00DE1A22" w:rsidRPr="00DE1A22" w14:paraId="2F2C2B36" w14:textId="77777777" w:rsidTr="008034BE">
        <w:tc>
          <w:tcPr>
            <w:tcW w:w="756" w:type="dxa"/>
          </w:tcPr>
          <w:p w14:paraId="5D0C674A" w14:textId="3D8B6113" w:rsidR="00DE1A22" w:rsidRPr="00DE1A22" w:rsidRDefault="00610C5F" w:rsidP="00DE1A22">
            <w:pPr>
              <w:spacing w:before="100" w:beforeAutospacing="1" w:after="100" w:afterAutospacing="1"/>
              <w:jc w:val="center"/>
              <w:rPr>
                <w:rFonts w:eastAsia="Times New Roman"/>
                <w:sz w:val="24"/>
                <w:szCs w:val="24"/>
                <w:lang w:eastAsia="lv-LV"/>
              </w:rPr>
            </w:pPr>
            <w:r>
              <w:rPr>
                <w:rFonts w:eastAsia="Times New Roman"/>
                <w:sz w:val="24"/>
                <w:szCs w:val="24"/>
                <w:lang w:eastAsia="lv-LV"/>
              </w:rPr>
              <w:t>21</w:t>
            </w:r>
            <w:r w:rsidR="00DE1A22" w:rsidRPr="00DE1A22">
              <w:rPr>
                <w:rFonts w:eastAsia="Times New Roman"/>
                <w:sz w:val="24"/>
                <w:szCs w:val="24"/>
                <w:lang w:eastAsia="lv-LV"/>
              </w:rPr>
              <w:t>.</w:t>
            </w:r>
          </w:p>
        </w:tc>
        <w:tc>
          <w:tcPr>
            <w:tcW w:w="3072" w:type="dxa"/>
            <w:shd w:val="clear" w:color="auto" w:fill="auto"/>
          </w:tcPr>
          <w:p w14:paraId="3FE37B44" w14:textId="77777777" w:rsidR="00DE1A22" w:rsidRPr="00DE1A22" w:rsidRDefault="00DE1A22" w:rsidP="001C3B74">
            <w:pPr>
              <w:jc w:val="both"/>
              <w:rPr>
                <w:rFonts w:eastAsia="Times New Roman"/>
                <w:sz w:val="24"/>
                <w:szCs w:val="24"/>
                <w:lang w:eastAsia="lv-LV"/>
              </w:rPr>
            </w:pPr>
            <w:r w:rsidRPr="00DE1A22">
              <w:rPr>
                <w:rFonts w:eastAsia="Times New Roman"/>
                <w:sz w:val="24"/>
                <w:szCs w:val="24"/>
                <w:lang w:eastAsia="lv-LV"/>
              </w:rPr>
              <w:t>Pamatnostādņu 4.sadaļas 2. rīcības virziena “Azartspēļu un izložu reklāmas aizlieguma kontrole” 3. uzdevums “Izvērtēt azartspēļu reklāmas aizlieguma pārskatīšanu televīzijā, radio, kā arī interaktīvajā vidē.”</w:t>
            </w:r>
          </w:p>
        </w:tc>
        <w:tc>
          <w:tcPr>
            <w:tcW w:w="4394" w:type="dxa"/>
            <w:shd w:val="clear" w:color="auto" w:fill="auto"/>
          </w:tcPr>
          <w:p w14:paraId="14FCC370" w14:textId="77777777" w:rsidR="00DE1A22" w:rsidRPr="00DE1A22" w:rsidRDefault="00DE1A22" w:rsidP="00DE1A22">
            <w:pPr>
              <w:jc w:val="both"/>
              <w:rPr>
                <w:rFonts w:eastAsia="Times New Roman"/>
                <w:b/>
                <w:sz w:val="24"/>
                <w:szCs w:val="24"/>
              </w:rPr>
            </w:pPr>
            <w:r w:rsidRPr="00DE1A22">
              <w:rPr>
                <w:rFonts w:eastAsia="Times New Roman"/>
                <w:b/>
                <w:sz w:val="24"/>
                <w:szCs w:val="24"/>
              </w:rPr>
              <w:t>Kultūras ministrija (05.03.2020.)</w:t>
            </w:r>
          </w:p>
          <w:p w14:paraId="3FE24A19" w14:textId="77777777" w:rsidR="00DE1A22" w:rsidRPr="00DE1A22" w:rsidRDefault="00DE1A22" w:rsidP="00DE1A22">
            <w:pPr>
              <w:jc w:val="both"/>
              <w:rPr>
                <w:rFonts w:eastAsia="Times New Roman"/>
                <w:sz w:val="24"/>
                <w:szCs w:val="24"/>
              </w:rPr>
            </w:pPr>
            <w:r w:rsidRPr="00DE1A22">
              <w:rPr>
                <w:rFonts w:eastAsia="Times New Roman"/>
                <w:b/>
                <w:sz w:val="24"/>
                <w:szCs w:val="24"/>
              </w:rPr>
              <w:t>Kultūras ministrija vēlētos, lai šis punkts tiktu formulēts šādi: “Izstrādāt grozījumus normatīvajos aktos, pārskatot azartspēļu reklāmas aizliegumu”,</w:t>
            </w:r>
            <w:r w:rsidRPr="00DE1A22">
              <w:rPr>
                <w:rFonts w:eastAsia="Times New Roman"/>
                <w:sz w:val="24"/>
                <w:szCs w:val="24"/>
              </w:rPr>
              <w:t xml:space="preserve"> kā mēs to minējām savā 28.janvāra vēstulē Nr.5.1-4/161. Vienlaikus, lai neaizkavētu darbu pie minēto pamatnostādņu izstrādes, mēs varētu piekrist arī Finanšu ministrijas piedāvātajam kompromisam (uz 13.februāra sanāksmi sagatavotajai redakcijai).</w:t>
            </w:r>
          </w:p>
          <w:p w14:paraId="67417393" w14:textId="77777777" w:rsidR="00DE1A22" w:rsidRPr="00DE1A22" w:rsidRDefault="00DE1A22" w:rsidP="00DE1A22">
            <w:pPr>
              <w:contextualSpacing/>
              <w:jc w:val="both"/>
              <w:rPr>
                <w:rFonts w:eastAsia="Times New Roman"/>
                <w:b/>
                <w:sz w:val="24"/>
                <w:szCs w:val="24"/>
              </w:rPr>
            </w:pPr>
            <w:r w:rsidRPr="00DE1A22">
              <w:rPr>
                <w:rFonts w:eastAsia="Times New Roman"/>
                <w:b/>
                <w:sz w:val="24"/>
                <w:szCs w:val="24"/>
              </w:rPr>
              <w:t>Vienlaikus mēs iebilstu pret mēģinājumiem šo delikāto kompromisu mainīt vēl vairāk.</w:t>
            </w:r>
            <w:r w:rsidRPr="00DE1A22">
              <w:rPr>
                <w:rFonts w:eastAsia="Times New Roman"/>
                <w:sz w:val="24"/>
                <w:szCs w:val="24"/>
              </w:rPr>
              <w:t xml:space="preserve"> Mūsuprāt, diskusijas 13.februāra sanāksmē (un ne tikai Kultūras ministrijas paustais viedoklis) viennozīmīgi parādīja, ka apstākļi kopš aizlieguma noteikšanas ir būtiski mainījušies, kas rada </w:t>
            </w:r>
            <w:r w:rsidRPr="00DE1A22">
              <w:rPr>
                <w:rFonts w:eastAsia="Times New Roman"/>
                <w:sz w:val="24"/>
                <w:szCs w:val="24"/>
              </w:rPr>
              <w:lastRenderedPageBreak/>
              <w:t>nepieciešamību aizliegumu pārskatīt vai kā minimums izvērtēt šādas pārskatīšanas nepieciešamību.</w:t>
            </w:r>
          </w:p>
        </w:tc>
        <w:tc>
          <w:tcPr>
            <w:tcW w:w="3118" w:type="dxa"/>
            <w:shd w:val="clear" w:color="auto" w:fill="auto"/>
          </w:tcPr>
          <w:p w14:paraId="54FBCE14" w14:textId="77777777" w:rsidR="00DE1A22" w:rsidRPr="00DE1A22" w:rsidRDefault="00DE1A22" w:rsidP="00DE1A22">
            <w:pPr>
              <w:jc w:val="both"/>
              <w:rPr>
                <w:rFonts w:eastAsia="Times New Roman"/>
                <w:b/>
                <w:bCs/>
                <w:sz w:val="24"/>
                <w:szCs w:val="24"/>
                <w:lang w:eastAsia="lv-LV"/>
              </w:rPr>
            </w:pPr>
            <w:r w:rsidRPr="00DE1A22">
              <w:rPr>
                <w:rFonts w:eastAsia="Times New Roman"/>
                <w:b/>
                <w:bCs/>
                <w:sz w:val="24"/>
                <w:szCs w:val="24"/>
                <w:lang w:eastAsia="lv-LV"/>
              </w:rPr>
              <w:lastRenderedPageBreak/>
              <w:t>Ņemts vērā.</w:t>
            </w:r>
          </w:p>
          <w:p w14:paraId="5B1DC2E2" w14:textId="77777777" w:rsidR="00DE1A22" w:rsidRPr="00DE1A22" w:rsidRDefault="00DE1A22" w:rsidP="00DE1A22">
            <w:pPr>
              <w:jc w:val="both"/>
              <w:rPr>
                <w:rFonts w:eastAsia="Times New Roman"/>
                <w:b/>
                <w:bCs/>
                <w:sz w:val="24"/>
                <w:szCs w:val="24"/>
                <w:lang w:eastAsia="lv-LV"/>
              </w:rPr>
            </w:pPr>
            <w:r w:rsidRPr="00DE1A22">
              <w:rPr>
                <w:rFonts w:eastAsia="Times New Roman"/>
                <w:bCs/>
                <w:sz w:val="24"/>
                <w:szCs w:val="24"/>
                <w:lang w:eastAsia="lv-LV"/>
              </w:rPr>
              <w:t xml:space="preserve"> </w:t>
            </w:r>
          </w:p>
        </w:tc>
        <w:tc>
          <w:tcPr>
            <w:tcW w:w="3402" w:type="dxa"/>
            <w:shd w:val="clear" w:color="auto" w:fill="auto"/>
          </w:tcPr>
          <w:p w14:paraId="1FCA4E57" w14:textId="77777777" w:rsidR="00DE1A22" w:rsidRPr="00DE1A22" w:rsidRDefault="00DE1A22" w:rsidP="00DE1A22">
            <w:pPr>
              <w:spacing w:after="120"/>
              <w:jc w:val="both"/>
              <w:rPr>
                <w:rFonts w:eastAsia="Times New Roman"/>
                <w:sz w:val="24"/>
                <w:szCs w:val="24"/>
                <w:lang w:eastAsia="lv-LV"/>
              </w:rPr>
            </w:pPr>
          </w:p>
        </w:tc>
      </w:tr>
    </w:tbl>
    <w:tbl>
      <w:tblPr>
        <w:tblpPr w:leftFromText="180" w:rightFromText="180" w:vertAnchor="text" w:tblpY="1"/>
        <w:tblOverlap w:val="never"/>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1"/>
        <w:gridCol w:w="3072"/>
        <w:gridCol w:w="4394"/>
        <w:gridCol w:w="3118"/>
        <w:gridCol w:w="3402"/>
      </w:tblGrid>
      <w:tr w:rsidR="00DE1A22" w:rsidRPr="00DE1A22" w14:paraId="76539564" w14:textId="77777777" w:rsidTr="008034BE">
        <w:tc>
          <w:tcPr>
            <w:tcW w:w="751" w:type="dxa"/>
            <w:tcBorders>
              <w:top w:val="nil"/>
            </w:tcBorders>
          </w:tcPr>
          <w:p w14:paraId="4C8274A8" w14:textId="2A6D5249" w:rsidR="00CC5C6C" w:rsidRPr="00DE1A22" w:rsidDel="006064FE" w:rsidRDefault="00610C5F" w:rsidP="00DE1A22">
            <w:pPr>
              <w:spacing w:before="100" w:beforeAutospacing="1" w:after="100" w:afterAutospacing="1"/>
              <w:jc w:val="center"/>
              <w:rPr>
                <w:rFonts w:eastAsia="Times New Roman"/>
                <w:sz w:val="24"/>
                <w:szCs w:val="24"/>
                <w:lang w:eastAsia="lv-LV"/>
              </w:rPr>
            </w:pPr>
            <w:r>
              <w:rPr>
                <w:rFonts w:eastAsia="Times New Roman"/>
                <w:sz w:val="24"/>
                <w:szCs w:val="24"/>
                <w:lang w:eastAsia="lv-LV"/>
              </w:rPr>
              <w:t>22</w:t>
            </w:r>
            <w:r w:rsidR="00CC5C6C" w:rsidRPr="00DE1A22">
              <w:rPr>
                <w:rFonts w:eastAsia="Times New Roman"/>
                <w:sz w:val="24"/>
                <w:szCs w:val="24"/>
                <w:lang w:eastAsia="lv-LV"/>
              </w:rPr>
              <w:t>.</w:t>
            </w:r>
          </w:p>
        </w:tc>
        <w:tc>
          <w:tcPr>
            <w:tcW w:w="3072" w:type="dxa"/>
            <w:tcBorders>
              <w:top w:val="nil"/>
            </w:tcBorders>
          </w:tcPr>
          <w:p w14:paraId="43C23A28" w14:textId="77777777" w:rsidR="00CC5C6C" w:rsidRPr="00DE1A22" w:rsidRDefault="00CC5C6C" w:rsidP="00CC5C6C">
            <w:pPr>
              <w:jc w:val="both"/>
              <w:rPr>
                <w:rFonts w:eastAsia="Times New Roman"/>
                <w:sz w:val="24"/>
                <w:szCs w:val="24"/>
                <w:lang w:eastAsia="lv-LV"/>
              </w:rPr>
            </w:pPr>
            <w:r w:rsidRPr="00DE1A22">
              <w:rPr>
                <w:rFonts w:eastAsia="Times New Roman"/>
                <w:sz w:val="24"/>
                <w:szCs w:val="24"/>
                <w:lang w:eastAsia="lv-LV"/>
              </w:rPr>
              <w:t>Pamatnostādņu 4. sadaļas 2. rīcības virziena “Azartspēļu un izložu reklāmas aizlieguma kontrole” 3. uzdevums “Izvērtēt azartspēļu reklāmas aizlieguma pārskatīšanu televīzijā, radio, kā arī interaktīvajā vidē.”</w:t>
            </w:r>
          </w:p>
        </w:tc>
        <w:tc>
          <w:tcPr>
            <w:tcW w:w="4394" w:type="dxa"/>
            <w:tcBorders>
              <w:top w:val="nil"/>
            </w:tcBorders>
          </w:tcPr>
          <w:p w14:paraId="0D3DE44E" w14:textId="77777777" w:rsidR="00CC5C6C" w:rsidRPr="00DE1A22" w:rsidRDefault="00CC5C6C" w:rsidP="00CC5C6C">
            <w:pPr>
              <w:jc w:val="both"/>
              <w:rPr>
                <w:rFonts w:eastAsia="Times New Roman"/>
                <w:b/>
                <w:sz w:val="24"/>
                <w:szCs w:val="24"/>
              </w:rPr>
            </w:pPr>
            <w:r w:rsidRPr="00DE1A22">
              <w:rPr>
                <w:rFonts w:eastAsia="Times New Roman"/>
                <w:b/>
                <w:sz w:val="24"/>
                <w:szCs w:val="24"/>
              </w:rPr>
              <w:t>Latvijas Lielo pilsētu asociācija.</w:t>
            </w:r>
          </w:p>
          <w:p w14:paraId="1A6C3AA9" w14:textId="77777777" w:rsidR="00CC5C6C" w:rsidRPr="00DE1A22" w:rsidRDefault="00CC5C6C" w:rsidP="00CC5C6C">
            <w:pPr>
              <w:jc w:val="both"/>
              <w:rPr>
                <w:rFonts w:eastAsia="Times New Roman"/>
                <w:b/>
                <w:sz w:val="24"/>
                <w:szCs w:val="24"/>
              </w:rPr>
            </w:pPr>
            <w:r w:rsidRPr="00DE1A22">
              <w:rPr>
                <w:rFonts w:eastAsia="Times New Roman"/>
                <w:b/>
                <w:sz w:val="24"/>
                <w:szCs w:val="24"/>
              </w:rPr>
              <w:t xml:space="preserve">Būtu nepieciešamas noteikt konkrētas un definētas darbības azartspēļu reklāmas mazināšanai un aizliegšanai. </w:t>
            </w:r>
          </w:p>
          <w:p w14:paraId="45133352" w14:textId="77777777" w:rsidR="00CC5C6C" w:rsidRPr="00DE1A22" w:rsidRDefault="00CC5C6C" w:rsidP="00CC5C6C">
            <w:pPr>
              <w:jc w:val="both"/>
              <w:rPr>
                <w:rFonts w:eastAsia="Times New Roman"/>
                <w:sz w:val="24"/>
                <w:szCs w:val="24"/>
              </w:rPr>
            </w:pPr>
            <w:r w:rsidRPr="00DE1A22">
              <w:rPr>
                <w:rFonts w:eastAsia="Times New Roman"/>
                <w:sz w:val="24"/>
                <w:szCs w:val="24"/>
              </w:rPr>
              <w:t>Kā jau zināms, azartspēles rada atkarību, t.sk. jau agrīnā vecumā, tāpēc būtu svarīgi ierobežot TV translācijas laiku un pieejamību, kas ir pieejams bērniem, (piemēram, “Super Bingo”’ plkst. 10.00 svētdiena vai “Latvijas lotto” pārraides LTV1) jo tas rada ilūzijas vieglai peļņai.</w:t>
            </w:r>
          </w:p>
          <w:p w14:paraId="0CA4A709" w14:textId="77777777" w:rsidR="00CC5C6C" w:rsidRPr="00DE1A22" w:rsidRDefault="00CC5C6C" w:rsidP="00CC5C6C">
            <w:pPr>
              <w:jc w:val="both"/>
              <w:rPr>
                <w:rFonts w:eastAsia="Times New Roman"/>
                <w:sz w:val="24"/>
                <w:szCs w:val="24"/>
              </w:rPr>
            </w:pPr>
            <w:r w:rsidRPr="00DE1A22">
              <w:rPr>
                <w:rFonts w:eastAsia="Times New Roman"/>
                <w:sz w:val="24"/>
                <w:szCs w:val="24"/>
              </w:rPr>
              <w:t>Šobrīd jau uz alkohola un tabakas izstrādājumiem ir norāde par vielu  kaitīgumu uz veselību, tādēļ nepieciešams ieviest šādas nepārprotami saprotamas norādes arī pirms azartspēļu translācijas TV vai to iegādes vietās.</w:t>
            </w:r>
          </w:p>
          <w:p w14:paraId="23A8BA5F" w14:textId="77777777" w:rsidR="00CC5C6C" w:rsidRPr="00DE1A22" w:rsidRDefault="00CC5C6C" w:rsidP="00CC5C6C">
            <w:pPr>
              <w:jc w:val="both"/>
              <w:rPr>
                <w:rFonts w:eastAsia="Times New Roman"/>
                <w:sz w:val="24"/>
                <w:szCs w:val="24"/>
              </w:rPr>
            </w:pPr>
            <w:r w:rsidRPr="00DE1A22">
              <w:rPr>
                <w:rFonts w:eastAsia="Times New Roman"/>
                <w:sz w:val="24"/>
                <w:szCs w:val="24"/>
              </w:rPr>
              <w:t xml:space="preserve">Tāpat aicinām izvērtēt informāciju, kas tiek apspoguļota publiskā telpā par azartspēļu pārstāvjiem, t.sk. radot maldinošu priekštatu par tiem kā sociāli atbildīgiem uzņēmumiem. </w:t>
            </w:r>
          </w:p>
          <w:p w14:paraId="1B028789" w14:textId="77777777" w:rsidR="00CC5C6C" w:rsidRPr="00DE1A22" w:rsidRDefault="00CC5C6C" w:rsidP="00CC5C6C">
            <w:pPr>
              <w:contextualSpacing/>
              <w:jc w:val="both"/>
              <w:rPr>
                <w:rFonts w:eastAsia="Times New Roman"/>
                <w:b/>
                <w:sz w:val="24"/>
                <w:szCs w:val="24"/>
              </w:rPr>
            </w:pPr>
            <w:r w:rsidRPr="00DE1A22">
              <w:rPr>
                <w:rFonts w:eastAsia="Times New Roman"/>
                <w:sz w:val="24"/>
                <w:szCs w:val="24"/>
              </w:rPr>
              <w:t>Aicinām izvērtēt un ierobežot nepilngadīgo piekļuvi azartspēļu organizatoru mājas lapām, kā arī šajās mājas lapās paredzēt nepārprotami saprotamas  norādes par azartspēļu  atkarību (piemēram, “Latvijas Loto” mājas lapa).</w:t>
            </w:r>
          </w:p>
        </w:tc>
        <w:tc>
          <w:tcPr>
            <w:tcW w:w="3118" w:type="dxa"/>
            <w:tcBorders>
              <w:top w:val="nil"/>
            </w:tcBorders>
          </w:tcPr>
          <w:p w14:paraId="4B164F03" w14:textId="77777777" w:rsidR="00CC5C6C" w:rsidRPr="00DE1A22" w:rsidRDefault="00CC5C6C" w:rsidP="00CC5C6C">
            <w:pPr>
              <w:jc w:val="both"/>
              <w:rPr>
                <w:b/>
                <w:bCs/>
                <w:sz w:val="24"/>
                <w:szCs w:val="24"/>
                <w:lang w:eastAsia="lv-LV"/>
              </w:rPr>
            </w:pPr>
            <w:r w:rsidRPr="00DE1A22">
              <w:rPr>
                <w:b/>
                <w:bCs/>
                <w:sz w:val="24"/>
                <w:szCs w:val="24"/>
                <w:lang w:eastAsia="lv-LV"/>
              </w:rPr>
              <w:t>Daļēji ņemts vērā.</w:t>
            </w:r>
          </w:p>
          <w:p w14:paraId="31E2016E" w14:textId="77777777" w:rsidR="00CC5C6C" w:rsidRPr="00DE1A22" w:rsidRDefault="00CC5C6C" w:rsidP="00CC5C6C">
            <w:pPr>
              <w:jc w:val="both"/>
              <w:rPr>
                <w:rFonts w:eastAsia="Times New Roman"/>
                <w:sz w:val="24"/>
                <w:szCs w:val="24"/>
                <w:lang w:eastAsia="lv-LV"/>
              </w:rPr>
            </w:pPr>
          </w:p>
          <w:p w14:paraId="465D9C8C" w14:textId="77777777" w:rsidR="00CC5C6C" w:rsidRPr="00DE1A22" w:rsidRDefault="00CC5C6C" w:rsidP="00CC5C6C">
            <w:pPr>
              <w:jc w:val="both"/>
              <w:rPr>
                <w:rFonts w:eastAsia="Times New Roman"/>
                <w:sz w:val="24"/>
                <w:szCs w:val="24"/>
              </w:rPr>
            </w:pPr>
            <w:r w:rsidRPr="00DE1A22">
              <w:rPr>
                <w:rFonts w:eastAsia="Times New Roman"/>
                <w:sz w:val="24"/>
                <w:szCs w:val="24"/>
                <w:lang w:eastAsia="lv-LV"/>
              </w:rPr>
              <w:t>-</w:t>
            </w:r>
            <w:r w:rsidRPr="00DE1A22">
              <w:rPr>
                <w:rFonts w:eastAsia="Times New Roman"/>
                <w:sz w:val="24"/>
                <w:szCs w:val="24"/>
              </w:rPr>
              <w:t>Pamatnostādnēs ir paredzēts izvērtēt iespēju azartspēļu reklāmas aizlieguma pārskatīšanai, nevis veikt konkrētus grozījumu normatīvajos aktos.</w:t>
            </w:r>
          </w:p>
          <w:p w14:paraId="104B7A8F" w14:textId="77777777" w:rsidR="00CC5C6C" w:rsidRPr="00DE1A22" w:rsidRDefault="00CC5C6C" w:rsidP="00CC5C6C">
            <w:pPr>
              <w:jc w:val="both"/>
              <w:rPr>
                <w:sz w:val="24"/>
                <w:szCs w:val="24"/>
              </w:rPr>
            </w:pPr>
            <w:r w:rsidRPr="00DE1A22">
              <w:rPr>
                <w:rFonts w:eastAsia="Times New Roman"/>
                <w:sz w:val="24"/>
                <w:szCs w:val="24"/>
                <w:lang w:eastAsia="lv-LV"/>
              </w:rPr>
              <w:t xml:space="preserve">Pamatnostādnes paredz noteikt </w:t>
            </w:r>
            <w:r w:rsidRPr="00DE1A22">
              <w:rPr>
                <w:sz w:val="24"/>
                <w:szCs w:val="24"/>
              </w:rPr>
              <w:t>pienākumu</w:t>
            </w:r>
            <w:r w:rsidRPr="00DE1A22">
              <w:rPr>
                <w:rFonts w:eastAsia="Times New Roman"/>
                <w:sz w:val="24"/>
                <w:szCs w:val="24"/>
                <w:lang w:eastAsia="lv-LV"/>
              </w:rPr>
              <w:t xml:space="preserve"> </w:t>
            </w:r>
            <w:r w:rsidRPr="00DE1A22">
              <w:rPr>
                <w:sz w:val="24"/>
                <w:szCs w:val="24"/>
              </w:rPr>
              <w:t>VAS “Latvijas Loto” sertificēties Eiropas Loteriju Asociācijas Atbildīgas spēles standartam, nosakot atbilstības sertifikāta nepārtrauktības uzraudzību IAUI.</w:t>
            </w:r>
          </w:p>
          <w:p w14:paraId="3AA96F4E" w14:textId="77777777" w:rsidR="00CC5C6C" w:rsidRPr="00DE1A22" w:rsidRDefault="00CC5C6C" w:rsidP="00CC5C6C">
            <w:pPr>
              <w:jc w:val="both"/>
              <w:rPr>
                <w:rFonts w:eastAsia="Times New Roman"/>
                <w:sz w:val="24"/>
                <w:szCs w:val="24"/>
                <w:lang w:eastAsia="lv-LV"/>
              </w:rPr>
            </w:pPr>
            <w:r w:rsidRPr="00DE1A22">
              <w:rPr>
                <w:sz w:val="24"/>
                <w:szCs w:val="24"/>
              </w:rPr>
              <w:t xml:space="preserve">Turklāt </w:t>
            </w:r>
            <w:r w:rsidRPr="00DE1A22">
              <w:rPr>
                <w:rFonts w:eastAsia="Times New Roman"/>
                <w:sz w:val="24"/>
                <w:szCs w:val="24"/>
                <w:lang w:eastAsia="lv-LV"/>
              </w:rPr>
              <w:t xml:space="preserve">Zinātniskajos pētījumos ir secināts, ka azartspēļu automāti un kazino spēles ir tie azartspēļu veidi, kas ir visvairāk saistīti ar azartspēļu atkarības veidošanos. Līdz ar to pasākumiem jābūt pēc iespējas fokusētākiem un orientētiem tieši uz būtiskāko risku mazināšanu , lai sasniegtu labāku rezultātu un augstāku šo pasākumu efektivitāti. </w:t>
            </w:r>
          </w:p>
          <w:p w14:paraId="111FD563" w14:textId="77777777" w:rsidR="00CC5C6C" w:rsidRPr="00DE1A22" w:rsidRDefault="00CC5C6C" w:rsidP="00CC5C6C">
            <w:pPr>
              <w:jc w:val="both"/>
              <w:rPr>
                <w:sz w:val="24"/>
                <w:szCs w:val="24"/>
              </w:rPr>
            </w:pPr>
            <w:r w:rsidRPr="00DE1A22">
              <w:rPr>
                <w:sz w:val="24"/>
                <w:szCs w:val="24"/>
              </w:rPr>
              <w:t xml:space="preserve"> </w:t>
            </w:r>
          </w:p>
          <w:p w14:paraId="0D49E679" w14:textId="77777777" w:rsidR="00CC5C6C" w:rsidRPr="00DE1A22" w:rsidRDefault="00CC5C6C" w:rsidP="00CC5C6C">
            <w:pPr>
              <w:jc w:val="both"/>
              <w:rPr>
                <w:rFonts w:eastAsia="Times New Roman"/>
                <w:b/>
                <w:bCs/>
                <w:sz w:val="24"/>
                <w:szCs w:val="24"/>
                <w:lang w:eastAsia="lv-LV"/>
              </w:rPr>
            </w:pPr>
            <w:r w:rsidRPr="00DE1A22">
              <w:rPr>
                <w:rFonts w:eastAsia="Times New Roman"/>
                <w:sz w:val="24"/>
                <w:szCs w:val="24"/>
                <w:lang w:eastAsia="lv-LV"/>
              </w:rPr>
              <w:t xml:space="preserve">Papildus tam, atbilstoši arī Tieslietu ministrijas </w:t>
            </w:r>
            <w:r w:rsidRPr="00DE1A22">
              <w:rPr>
                <w:rFonts w:eastAsia="Times New Roman"/>
                <w:sz w:val="24"/>
                <w:szCs w:val="24"/>
                <w:lang w:eastAsia="lv-LV"/>
              </w:rPr>
              <w:lastRenderedPageBreak/>
              <w:t xml:space="preserve">skaidrojumam, ka izložu un azartspēļu veidi nav pielīdzināmi, jo tie atšķiras pēc procedūrām, kurās ir iesaistīta persona, kas piedalās izlozē vai azartspēlē, jo tieši personas iesaistes pakāpe var ietekmēt atkarības veidošanos. Tas apstiprinās arī ar projektam “Azartspēļu un izložu politikas pamatnostādnes 2020.-2027. gadam” pievienotajā pielikumā “Esošās situācijas vispārīgs raksturojums” minētajiem pētījumiem: “[..] Attiecībā uz derībām, totalizatoriem un izlozēm ES valstu regulējums ir saudzīgāks, ko varētu izskaidrot tas, ka pētījumos, saistībā ar azartspēļu atkarības risku ir secināts, ka izlozes, derības un totalizatori ir tie azartspēļu veidi, kuri vismazāk saistās ar azartspēļu atkarības veidošanos. [..]” (atsauce uz Remote Gambling Research 42. lpp.; Pamatnostādņu projekta pielikuma 20. lpp. pēdējā rindkopa). Tādējādi Azartspēļu un izložu likuma (turpmāk – likums) 5. pantā uzskaitītās azartspēles, piemēram, spēļu automātu </w:t>
            </w:r>
            <w:r w:rsidRPr="00DE1A22">
              <w:rPr>
                <w:rFonts w:eastAsia="Times New Roman"/>
                <w:sz w:val="24"/>
                <w:szCs w:val="24"/>
                <w:lang w:eastAsia="lv-LV"/>
              </w:rPr>
              <w:lastRenderedPageBreak/>
              <w:t>spēle, rulete, kāršu vai kauliņu spēle ir ar ievērojami augstāku personas iesaisti un kaitīgumu (atkarības riskiem), nekā tas ir likuma VIII nodaļā minētajiem izložu (loteriju) veidiem, kad personas iesaiste aprobežojas ar iemaksas veikšanu (konkrētas biļetes iegādi vai biļetes veidlapas iegādi un tās aizpildīšanu atbilstoši izlozes noteikumiem), bet informācija par laimestu tiek iegūta attālināti. Vienlaikus var pieļaut, ka atsevišķas azartspēles, piemēram, bingo, ir līdzīgs ar skaitļu loterijām, bet arī šajos gadījumos nodalīšana notiek atbilstoši personas iesaistes pakāpei.</w:t>
            </w:r>
          </w:p>
          <w:p w14:paraId="671B6993" w14:textId="77777777" w:rsidR="00CC5C6C" w:rsidRPr="00DE1A22" w:rsidRDefault="00CC5C6C" w:rsidP="00CC5C6C">
            <w:pPr>
              <w:pStyle w:val="NoSpacing"/>
              <w:jc w:val="both"/>
              <w:rPr>
                <w:lang w:val="lv-LV"/>
              </w:rPr>
            </w:pPr>
            <w:r w:rsidRPr="00DE1A22">
              <w:rPr>
                <w:lang w:val="lv-LV"/>
              </w:rPr>
              <w:t>Turklāt LV pētījums rāda, ka, lai arī azartspēles automātos spēlē salīdzinoši mazāks respondentu īpatsvars kā loterijas, šādi kopumā mazinot problemātisko spēlmaņu īpatsvaru populācijā, tomēr tā kaitīgā ietekme ir augstāka, skarot pat lielāko daļu aktīvo regulāro spēlētāju.</w:t>
            </w:r>
          </w:p>
          <w:p w14:paraId="21AE2065" w14:textId="77777777" w:rsidR="00CC5C6C" w:rsidRPr="00DE1A22" w:rsidRDefault="00CC5C6C" w:rsidP="00CC5C6C">
            <w:pPr>
              <w:jc w:val="both"/>
              <w:rPr>
                <w:rFonts w:eastAsia="Times New Roman"/>
                <w:b/>
                <w:bCs/>
                <w:sz w:val="24"/>
                <w:szCs w:val="24"/>
                <w:lang w:eastAsia="lv-LV"/>
              </w:rPr>
            </w:pPr>
            <w:r w:rsidRPr="00DE1A22">
              <w:rPr>
                <w:sz w:val="24"/>
                <w:szCs w:val="24"/>
              </w:rPr>
              <w:t xml:space="preserve">Aktīvo 60% spēļu automātu spēlētāju problēmas saskaņā ar indeksa vērtībām uzskatāmas nevis par zema </w:t>
            </w:r>
            <w:r w:rsidRPr="00DE1A22">
              <w:rPr>
                <w:sz w:val="24"/>
                <w:szCs w:val="24"/>
              </w:rPr>
              <w:lastRenderedPageBreak/>
              <w:t>līmeņa, bet gan par vidēja vai augsta līmeņa problēmām.</w:t>
            </w:r>
          </w:p>
        </w:tc>
        <w:tc>
          <w:tcPr>
            <w:tcW w:w="3402" w:type="dxa"/>
            <w:tcBorders>
              <w:top w:val="nil"/>
            </w:tcBorders>
          </w:tcPr>
          <w:p w14:paraId="301D7D10" w14:textId="77777777" w:rsidR="00CC5C6C" w:rsidRPr="00DE1A22" w:rsidRDefault="00770FE6" w:rsidP="00770FE6">
            <w:pPr>
              <w:jc w:val="both"/>
              <w:rPr>
                <w:rFonts w:eastAsia="Times New Roman"/>
                <w:sz w:val="24"/>
                <w:szCs w:val="24"/>
                <w:lang w:eastAsia="lv-LV"/>
              </w:rPr>
            </w:pPr>
            <w:r>
              <w:rPr>
                <w:rFonts w:eastAsia="Times New Roman"/>
                <w:sz w:val="24"/>
                <w:szCs w:val="24"/>
                <w:lang w:eastAsia="lv-LV"/>
              </w:rPr>
              <w:lastRenderedPageBreak/>
              <w:t>Atbilstoši precizēts Pamatnostādņu un to pielikuma teksts</w:t>
            </w:r>
            <w:r w:rsidR="00A5727F">
              <w:rPr>
                <w:rFonts w:eastAsia="Times New Roman"/>
                <w:sz w:val="24"/>
                <w:szCs w:val="24"/>
                <w:lang w:eastAsia="lv-LV"/>
              </w:rPr>
              <w:t>.</w:t>
            </w:r>
          </w:p>
        </w:tc>
      </w:tr>
      <w:tr w:rsidR="00CC5C6C" w:rsidRPr="00DE1A22" w14:paraId="5303FD1D" w14:textId="77777777" w:rsidTr="008034BE">
        <w:tc>
          <w:tcPr>
            <w:tcW w:w="751" w:type="dxa"/>
          </w:tcPr>
          <w:p w14:paraId="7F972193" w14:textId="165A16EC" w:rsidR="00CC5C6C" w:rsidRPr="00DE1A22" w:rsidRDefault="00610C5F" w:rsidP="00DE1A22">
            <w:pPr>
              <w:spacing w:before="100" w:beforeAutospacing="1" w:after="100" w:afterAutospacing="1"/>
              <w:jc w:val="center"/>
              <w:rPr>
                <w:rFonts w:eastAsia="Times New Roman"/>
                <w:sz w:val="24"/>
                <w:szCs w:val="24"/>
                <w:lang w:eastAsia="lv-LV"/>
              </w:rPr>
            </w:pPr>
            <w:r>
              <w:rPr>
                <w:rFonts w:eastAsia="Times New Roman"/>
                <w:sz w:val="24"/>
                <w:szCs w:val="24"/>
                <w:lang w:eastAsia="lv-LV"/>
              </w:rPr>
              <w:lastRenderedPageBreak/>
              <w:t>23</w:t>
            </w:r>
            <w:r w:rsidR="00CC5C6C" w:rsidRPr="00DE1A22">
              <w:rPr>
                <w:rFonts w:eastAsia="Times New Roman"/>
                <w:sz w:val="24"/>
                <w:szCs w:val="24"/>
                <w:lang w:eastAsia="lv-LV"/>
              </w:rPr>
              <w:t>.</w:t>
            </w:r>
          </w:p>
        </w:tc>
        <w:tc>
          <w:tcPr>
            <w:tcW w:w="3072" w:type="dxa"/>
          </w:tcPr>
          <w:p w14:paraId="63EFF52B" w14:textId="77777777" w:rsidR="00CC5C6C" w:rsidRPr="00DE1A22" w:rsidRDefault="00CC5C6C" w:rsidP="00CC5C6C">
            <w:pPr>
              <w:jc w:val="both"/>
              <w:rPr>
                <w:rFonts w:eastAsia="Times New Roman"/>
                <w:sz w:val="24"/>
                <w:szCs w:val="24"/>
                <w:lang w:eastAsia="lv-LV"/>
              </w:rPr>
            </w:pPr>
            <w:r w:rsidRPr="00DE1A22">
              <w:rPr>
                <w:rFonts w:eastAsia="Times New Roman"/>
                <w:sz w:val="24"/>
                <w:szCs w:val="24"/>
                <w:lang w:eastAsia="lv-LV"/>
              </w:rPr>
              <w:t>Pamatnostādņu 4.sadaļas 2. rīcības virziens “Azartspēļu un izložu reklāmas aizlieguma kontrole”.</w:t>
            </w:r>
          </w:p>
        </w:tc>
        <w:tc>
          <w:tcPr>
            <w:tcW w:w="4394" w:type="dxa"/>
          </w:tcPr>
          <w:p w14:paraId="079D5AB3" w14:textId="77777777" w:rsidR="00CC5C6C" w:rsidRPr="00DE1A22" w:rsidRDefault="00CC5C6C" w:rsidP="00CC5C6C">
            <w:pPr>
              <w:contextualSpacing/>
              <w:jc w:val="both"/>
              <w:rPr>
                <w:rFonts w:eastAsia="Times New Roman"/>
                <w:b/>
                <w:sz w:val="24"/>
                <w:szCs w:val="24"/>
              </w:rPr>
            </w:pPr>
            <w:r w:rsidRPr="00DE1A22">
              <w:rPr>
                <w:rFonts w:eastAsia="Times New Roman"/>
                <w:b/>
                <w:sz w:val="24"/>
                <w:szCs w:val="24"/>
              </w:rPr>
              <w:t>Vides aizsardzības un reģionālās attīstības ministrija (21.02.2020. Nr.1-132/1579)</w:t>
            </w:r>
          </w:p>
          <w:p w14:paraId="3AAD43F8" w14:textId="77777777" w:rsidR="00CC5C6C" w:rsidRPr="00DE1A22" w:rsidRDefault="00CC5C6C" w:rsidP="00CC5C6C">
            <w:pPr>
              <w:contextualSpacing/>
              <w:jc w:val="both"/>
              <w:rPr>
                <w:rFonts w:eastAsia="Times New Roman"/>
                <w:sz w:val="24"/>
                <w:szCs w:val="24"/>
              </w:rPr>
            </w:pPr>
            <w:r w:rsidRPr="00DE1A22">
              <w:rPr>
                <w:rFonts w:eastAsia="Times New Roman"/>
                <w:sz w:val="24"/>
                <w:szCs w:val="24"/>
              </w:rPr>
              <w:t>Lūdzam papildināt ar uzdevumiem sagatavot grozījumus Azartspēļu un izložu likumā:</w:t>
            </w:r>
          </w:p>
          <w:p w14:paraId="24154AC0" w14:textId="77777777" w:rsidR="00CC5C6C" w:rsidRPr="00DE1A22" w:rsidRDefault="00CC5C6C" w:rsidP="00CC5C6C">
            <w:pPr>
              <w:contextualSpacing/>
              <w:jc w:val="both"/>
              <w:rPr>
                <w:rFonts w:eastAsia="Times New Roman"/>
                <w:sz w:val="24"/>
                <w:szCs w:val="24"/>
              </w:rPr>
            </w:pPr>
            <w:r w:rsidRPr="00DE1A22">
              <w:rPr>
                <w:rFonts w:eastAsia="Times New Roman"/>
                <w:sz w:val="24"/>
                <w:szCs w:val="24"/>
              </w:rPr>
              <w:t xml:space="preserve">- nosakot stingrākus reklāmas ierobežojumus azartspēļu reklamēšanai ārpus azartspēļu organizēšanas vietām </w:t>
            </w:r>
            <w:r w:rsidRPr="00DE1A22">
              <w:rPr>
                <w:rFonts w:eastAsia="Times New Roman"/>
                <w:b/>
                <w:sz w:val="24"/>
                <w:szCs w:val="24"/>
              </w:rPr>
              <w:t>tai skaitā paredzēt vienotu Ministru kabineta regulējumu par azartspēļu vietas nosaukuma (izkārtnes izskats, izmērs, krāsa u.tml.</w:t>
            </w:r>
            <w:r w:rsidRPr="00DE1A22">
              <w:rPr>
                <w:rFonts w:eastAsia="Times New Roman"/>
                <w:sz w:val="24"/>
                <w:szCs w:val="24"/>
              </w:rPr>
              <w:t xml:space="preserve">) izvietošanu un vienlaikus </w:t>
            </w:r>
            <w:r w:rsidRPr="00DE1A22">
              <w:rPr>
                <w:rFonts w:eastAsia="Times New Roman"/>
                <w:b/>
                <w:sz w:val="24"/>
                <w:szCs w:val="24"/>
              </w:rPr>
              <w:t>izslēdzot no spēkā esošā regulējuma azartspēļu organizētāja tiesības izvietot azartspēļu vietā tā preču zīmi</w:t>
            </w:r>
            <w:r w:rsidRPr="00DE1A22">
              <w:rPr>
                <w:rFonts w:eastAsia="Times New Roman"/>
                <w:sz w:val="24"/>
                <w:szCs w:val="24"/>
              </w:rPr>
              <w:t>.</w:t>
            </w:r>
          </w:p>
          <w:p w14:paraId="5FE1706E" w14:textId="77777777" w:rsidR="00CC5C6C" w:rsidRPr="00DE1A22" w:rsidRDefault="00CC5C6C" w:rsidP="00CC5C6C">
            <w:pPr>
              <w:contextualSpacing/>
              <w:jc w:val="both"/>
              <w:rPr>
                <w:rFonts w:eastAsia="Times New Roman"/>
                <w:b/>
                <w:sz w:val="24"/>
                <w:szCs w:val="24"/>
              </w:rPr>
            </w:pPr>
            <w:r w:rsidRPr="00DE1A22">
              <w:rPr>
                <w:rFonts w:eastAsia="Times New Roman"/>
                <w:sz w:val="24"/>
                <w:szCs w:val="24"/>
              </w:rPr>
              <w:t xml:space="preserve">- </w:t>
            </w:r>
            <w:r w:rsidRPr="00DE1A22">
              <w:rPr>
                <w:rFonts w:eastAsia="Times New Roman"/>
                <w:b/>
                <w:sz w:val="24"/>
                <w:szCs w:val="24"/>
              </w:rPr>
              <w:t>nosakot reklāmas ierobežojumus attiecībā uz izlozēm</w:t>
            </w:r>
            <w:r w:rsidRPr="00DE1A22">
              <w:rPr>
                <w:rFonts w:eastAsia="Times New Roman"/>
                <w:sz w:val="24"/>
                <w:szCs w:val="24"/>
              </w:rPr>
              <w:t xml:space="preserve"> (tai skaitā aizliegumu šādas izlozes reklamēt elektroniskajos plašsaziņas līdzekļos).</w:t>
            </w:r>
          </w:p>
        </w:tc>
        <w:tc>
          <w:tcPr>
            <w:tcW w:w="3118" w:type="dxa"/>
          </w:tcPr>
          <w:p w14:paraId="66A30D24" w14:textId="77777777" w:rsidR="00CC5C6C" w:rsidRPr="00DE1A22" w:rsidRDefault="00CC5C6C" w:rsidP="00CC5C6C">
            <w:pPr>
              <w:jc w:val="both"/>
              <w:rPr>
                <w:rFonts w:eastAsia="Times New Roman"/>
                <w:b/>
                <w:bCs/>
                <w:sz w:val="24"/>
                <w:szCs w:val="24"/>
                <w:lang w:eastAsia="lv-LV"/>
              </w:rPr>
            </w:pPr>
            <w:r w:rsidRPr="00DE1A22">
              <w:rPr>
                <w:rFonts w:eastAsia="Times New Roman"/>
                <w:b/>
                <w:bCs/>
                <w:sz w:val="24"/>
                <w:szCs w:val="24"/>
                <w:lang w:eastAsia="lv-LV"/>
              </w:rPr>
              <w:t>Ņemts vērā.</w:t>
            </w:r>
          </w:p>
        </w:tc>
        <w:tc>
          <w:tcPr>
            <w:tcW w:w="3402" w:type="dxa"/>
          </w:tcPr>
          <w:p w14:paraId="183C0E79" w14:textId="77777777" w:rsidR="00CC5C6C" w:rsidRPr="00DE1A22" w:rsidRDefault="00CC5C6C" w:rsidP="00CC5C6C">
            <w:pPr>
              <w:jc w:val="both"/>
              <w:rPr>
                <w:rFonts w:eastAsia="Times New Roman"/>
                <w:sz w:val="24"/>
                <w:szCs w:val="24"/>
              </w:rPr>
            </w:pPr>
            <w:r w:rsidRPr="00DE1A22">
              <w:rPr>
                <w:rFonts w:eastAsia="Times New Roman"/>
                <w:sz w:val="24"/>
                <w:szCs w:val="24"/>
              </w:rPr>
              <w:t>Atbilstoši precizēts Pamatnostādņu 4.sadaļas 2.rīcības virziens.</w:t>
            </w:r>
          </w:p>
        </w:tc>
      </w:tr>
      <w:tr w:rsidR="00651FC9" w:rsidRPr="00DE1A22" w14:paraId="4A2B522C" w14:textId="77777777" w:rsidTr="008034BE">
        <w:tc>
          <w:tcPr>
            <w:tcW w:w="751" w:type="dxa"/>
          </w:tcPr>
          <w:p w14:paraId="5B123479" w14:textId="31DFA6FA" w:rsidR="00651FC9" w:rsidRPr="00DE1A22" w:rsidRDefault="00610C5F" w:rsidP="00651FC9">
            <w:pPr>
              <w:spacing w:before="100" w:beforeAutospacing="1" w:after="100" w:afterAutospacing="1"/>
              <w:jc w:val="center"/>
              <w:rPr>
                <w:rFonts w:eastAsia="Times New Roman"/>
                <w:sz w:val="24"/>
                <w:szCs w:val="24"/>
                <w:lang w:eastAsia="lv-LV"/>
              </w:rPr>
            </w:pPr>
            <w:r>
              <w:rPr>
                <w:rFonts w:eastAsia="Times New Roman"/>
                <w:sz w:val="24"/>
                <w:szCs w:val="24"/>
                <w:lang w:eastAsia="lv-LV"/>
              </w:rPr>
              <w:t>24</w:t>
            </w:r>
            <w:r w:rsidR="00651FC9" w:rsidRPr="00DE1A22">
              <w:rPr>
                <w:rFonts w:eastAsia="Times New Roman"/>
                <w:sz w:val="24"/>
                <w:szCs w:val="24"/>
                <w:lang w:eastAsia="lv-LV"/>
              </w:rPr>
              <w:t>.</w:t>
            </w:r>
          </w:p>
        </w:tc>
        <w:tc>
          <w:tcPr>
            <w:tcW w:w="3072" w:type="dxa"/>
          </w:tcPr>
          <w:p w14:paraId="6473F839" w14:textId="77777777" w:rsidR="00651FC9" w:rsidRPr="00DE1A22" w:rsidRDefault="00651FC9" w:rsidP="00651FC9">
            <w:pPr>
              <w:jc w:val="both"/>
              <w:rPr>
                <w:rFonts w:eastAsia="Times New Roman"/>
                <w:sz w:val="24"/>
                <w:szCs w:val="24"/>
                <w:lang w:eastAsia="lv-LV"/>
              </w:rPr>
            </w:pPr>
            <w:r w:rsidRPr="00DE1A22">
              <w:rPr>
                <w:rFonts w:eastAsia="Times New Roman"/>
                <w:sz w:val="24"/>
                <w:szCs w:val="24"/>
                <w:lang w:eastAsia="lv-LV"/>
              </w:rPr>
              <w:t>Pamatnostādņu pielikuma 4. sadaļas 2. rīcības virziens “Azartspēļu un izložu reklāmas aizlieguma kontrole”.</w:t>
            </w:r>
          </w:p>
        </w:tc>
        <w:tc>
          <w:tcPr>
            <w:tcW w:w="4394" w:type="dxa"/>
          </w:tcPr>
          <w:p w14:paraId="50067C9F" w14:textId="77777777" w:rsidR="00651FC9" w:rsidRPr="00DE1A22" w:rsidRDefault="00651FC9" w:rsidP="00651FC9">
            <w:pPr>
              <w:jc w:val="both"/>
              <w:rPr>
                <w:rFonts w:eastAsia="Times New Roman"/>
                <w:b/>
                <w:sz w:val="24"/>
                <w:szCs w:val="24"/>
              </w:rPr>
            </w:pPr>
            <w:r w:rsidRPr="00DE1A22">
              <w:rPr>
                <w:rFonts w:eastAsia="Times New Roman"/>
                <w:b/>
                <w:sz w:val="24"/>
                <w:szCs w:val="24"/>
              </w:rPr>
              <w:t>Vides aizsardzības un reģionālās attīstības ministrija (21.02.2020. Nr.1-132/1579)</w:t>
            </w:r>
          </w:p>
          <w:p w14:paraId="23E7B867" w14:textId="77777777" w:rsidR="00651FC9" w:rsidRPr="00DE1A22" w:rsidRDefault="00651FC9" w:rsidP="00651FC9">
            <w:pPr>
              <w:jc w:val="both"/>
              <w:rPr>
                <w:rFonts w:eastAsia="Times New Roman"/>
                <w:sz w:val="24"/>
                <w:szCs w:val="24"/>
              </w:rPr>
            </w:pPr>
            <w:r w:rsidRPr="00DE1A22">
              <w:rPr>
                <w:rFonts w:eastAsia="Times New Roman"/>
                <w:sz w:val="24"/>
                <w:szCs w:val="24"/>
              </w:rPr>
              <w:t>Pielikumā Azartspēļu un izložu politikas pamatnostādnēm 2020. – 2027.gadam (turpmāk – pielikums) lūdzam, kopsakarībā ar izteiktajiem priekšlikumiem 4.nodaļas 2.rīcības virzienā par reklāmu aizlieguma kontroli, pārvērtēt nepieciešamību pēc tādiem pasākumiem kā:</w:t>
            </w:r>
          </w:p>
          <w:p w14:paraId="0B9A1CB1" w14:textId="77777777" w:rsidR="00651FC9" w:rsidRPr="00DE1A22" w:rsidRDefault="00651FC9" w:rsidP="00651FC9">
            <w:pPr>
              <w:jc w:val="both"/>
              <w:rPr>
                <w:rFonts w:eastAsia="Times New Roman"/>
                <w:sz w:val="24"/>
                <w:szCs w:val="24"/>
              </w:rPr>
            </w:pPr>
            <w:r w:rsidRPr="00DE1A22">
              <w:rPr>
                <w:rFonts w:eastAsia="Times New Roman"/>
                <w:sz w:val="24"/>
                <w:szCs w:val="24"/>
              </w:rPr>
              <w:t xml:space="preserve">- Rīgas vēsturiskajam centram, kā arī citu Latvijas pilsētu vēsturiskajam centram, izstrādāt vienotu publiskās ārtelpas (tajā </w:t>
            </w:r>
            <w:r w:rsidRPr="00DE1A22">
              <w:rPr>
                <w:rFonts w:eastAsia="Times New Roman"/>
                <w:sz w:val="24"/>
                <w:szCs w:val="24"/>
              </w:rPr>
              <w:lastRenderedPageBreak/>
              <w:t>skaitā skatlogu noformējuma) dizaina koncepciju, kura tiktu ņemta vērā pilsētas kopējā publiskā tēla veidošanas procesā;</w:t>
            </w:r>
          </w:p>
          <w:p w14:paraId="324B5A8A" w14:textId="77777777" w:rsidR="00651FC9" w:rsidRPr="00DE1A22" w:rsidRDefault="00651FC9" w:rsidP="00651FC9">
            <w:pPr>
              <w:jc w:val="both"/>
              <w:rPr>
                <w:rFonts w:eastAsia="Times New Roman"/>
                <w:sz w:val="24"/>
                <w:szCs w:val="24"/>
              </w:rPr>
            </w:pPr>
            <w:r w:rsidRPr="00DE1A22">
              <w:rPr>
                <w:rFonts w:eastAsia="Times New Roman"/>
                <w:sz w:val="24"/>
                <w:szCs w:val="24"/>
              </w:rPr>
              <w:t>- Noteikt aizliegumu komersantiem, kas nodarbojas ar azartspēļu organizēšanu, izkārtnes un fasādes apgaismošanai izmantot gaismas specefektus, piemēram, mirgojošās gaismas, gaismas vadus sarkanas krāsas neona lampas u.tml.</w:t>
            </w:r>
          </w:p>
          <w:p w14:paraId="0FDD285E" w14:textId="77777777" w:rsidR="00651FC9" w:rsidRPr="00DE1A22" w:rsidRDefault="00651FC9" w:rsidP="00651FC9">
            <w:pPr>
              <w:jc w:val="both"/>
              <w:rPr>
                <w:rFonts w:eastAsia="Times New Roman"/>
                <w:sz w:val="24"/>
                <w:szCs w:val="24"/>
              </w:rPr>
            </w:pPr>
            <w:r w:rsidRPr="00DE1A22">
              <w:rPr>
                <w:rFonts w:eastAsia="Times New Roman"/>
                <w:sz w:val="24"/>
                <w:szCs w:val="24"/>
              </w:rPr>
              <w:t>Ja nosacījumus informācijas izvietošanai par azartspēļu organizēšanas vietām visā valstī, ne tikai atsevišķās vēsturiskās teritorijās, noteiktu vienots normatīvs akts, tad nebūtu nepieciešamības pēc speciāla regulējuma tikai vēsturiskajiem centriem vai aizlieguma attiecībā uz konkrētu krāsu vai efektu izmantošanu azartspēļu vietu reklāmās.</w:t>
            </w:r>
          </w:p>
          <w:p w14:paraId="32625586" w14:textId="77777777" w:rsidR="00651FC9" w:rsidRPr="00DE1A22" w:rsidRDefault="00651FC9" w:rsidP="00651FC9">
            <w:pPr>
              <w:jc w:val="both"/>
              <w:rPr>
                <w:rFonts w:eastAsia="Times New Roman"/>
                <w:sz w:val="24"/>
                <w:szCs w:val="24"/>
              </w:rPr>
            </w:pPr>
            <w:r w:rsidRPr="00DE1A22">
              <w:rPr>
                <w:rFonts w:eastAsia="Times New Roman"/>
                <w:sz w:val="24"/>
                <w:szCs w:val="24"/>
              </w:rPr>
              <w:t xml:space="preserve">Priekšlikumi par reklāmas ierobežojumiem skatāmi kopsakarībā arī ar pielikumā piedāvāto risinājumu, kas paredz azartspēļu organizēšanas vietas novirzīt noteiktu metru attālumā no iestādēm, bērnu laukumiem u.tml. </w:t>
            </w:r>
          </w:p>
          <w:p w14:paraId="0177B213" w14:textId="77777777" w:rsidR="00651FC9" w:rsidRPr="00DE1A22" w:rsidRDefault="00651FC9" w:rsidP="00651FC9">
            <w:pPr>
              <w:contextualSpacing/>
              <w:jc w:val="both"/>
              <w:rPr>
                <w:rFonts w:eastAsia="Times New Roman"/>
                <w:b/>
                <w:sz w:val="24"/>
                <w:szCs w:val="24"/>
              </w:rPr>
            </w:pPr>
            <w:r w:rsidRPr="00DE1A22">
              <w:rPr>
                <w:rFonts w:eastAsia="Times New Roman"/>
                <w:sz w:val="24"/>
                <w:szCs w:val="24"/>
              </w:rPr>
              <w:t>VARAM ieskatā šāds ierobežojums nesasniedz tam izvirzīto mērķi atturēt personas no dalības azartspēlēs (piem. interaktīvajās azartspēlēs). Taču ierobežojot šo spēļu vietu reklamēšanu un stingri kontrolējot personas, kas vēlas iesaistīties azartspēlēs var sasniegt līdzvērtīgu rezultātu ar mazāk ierobežojošiem pasākumiem.</w:t>
            </w:r>
          </w:p>
        </w:tc>
        <w:tc>
          <w:tcPr>
            <w:tcW w:w="3118" w:type="dxa"/>
          </w:tcPr>
          <w:p w14:paraId="67F745D0" w14:textId="77777777" w:rsidR="00651FC9" w:rsidRPr="00DE1A22" w:rsidRDefault="00651FC9" w:rsidP="00651FC9">
            <w:pPr>
              <w:jc w:val="both"/>
              <w:rPr>
                <w:rFonts w:eastAsia="Times New Roman"/>
                <w:b/>
                <w:bCs/>
                <w:sz w:val="24"/>
                <w:szCs w:val="24"/>
                <w:lang w:eastAsia="lv-LV"/>
              </w:rPr>
            </w:pPr>
            <w:r w:rsidRPr="00DE1A22">
              <w:rPr>
                <w:rFonts w:eastAsia="Times New Roman"/>
                <w:b/>
                <w:bCs/>
                <w:sz w:val="24"/>
                <w:szCs w:val="24"/>
                <w:lang w:eastAsia="lv-LV"/>
              </w:rPr>
              <w:lastRenderedPageBreak/>
              <w:t>Ņemts vērā.</w:t>
            </w:r>
          </w:p>
          <w:p w14:paraId="143E1E46" w14:textId="77777777" w:rsidR="00651FC9" w:rsidRPr="00DE1A22" w:rsidRDefault="00651FC9" w:rsidP="00651FC9">
            <w:pPr>
              <w:jc w:val="both"/>
              <w:rPr>
                <w:sz w:val="24"/>
                <w:szCs w:val="24"/>
              </w:rPr>
            </w:pPr>
            <w:r w:rsidRPr="00DE1A22">
              <w:rPr>
                <w:rFonts w:eastAsia="Times New Roman"/>
                <w:bCs/>
                <w:sz w:val="24"/>
                <w:szCs w:val="24"/>
                <w:lang w:eastAsia="lv-LV"/>
              </w:rPr>
              <w:t xml:space="preserve">Ņemot vērā azartspēļu atkarības veidošanās psiholoģiskās komponentes, uzskatāms, ka azartspēļu organizēšanas vietu ārējam noformējumam būtu jāpieiet īpaši skrupulozi, līdz ar to Pamatnostādņu projekts ir papildināts ar uzdevumu Finanšu ministrijai izstrādāt Ministru kabineta noteikumus, nosakot vienotas </w:t>
            </w:r>
            <w:r w:rsidRPr="00DE1A22">
              <w:rPr>
                <w:rFonts w:eastAsia="Times New Roman"/>
                <w:bCs/>
                <w:sz w:val="24"/>
                <w:szCs w:val="24"/>
                <w:lang w:eastAsia="lv-LV"/>
              </w:rPr>
              <w:lastRenderedPageBreak/>
              <w:t>p</w:t>
            </w:r>
            <w:r w:rsidRPr="00DE1A22">
              <w:rPr>
                <w:sz w:val="24"/>
                <w:szCs w:val="24"/>
              </w:rPr>
              <w:t>rasības azartspēļu zāļu publiskās ārtelpas (tajā skaitā skatlogu noformējuma) dizainam, kuros tiktu ņemts vērā pilsētas kopējais publiskā tēla koncepts.</w:t>
            </w:r>
          </w:p>
          <w:p w14:paraId="2E1C1CFA" w14:textId="77777777" w:rsidR="00651FC9" w:rsidRPr="00DE1A22" w:rsidRDefault="00651FC9" w:rsidP="00651FC9">
            <w:pPr>
              <w:jc w:val="both"/>
              <w:rPr>
                <w:rFonts w:eastAsia="Times New Roman"/>
                <w:b/>
                <w:bCs/>
                <w:sz w:val="24"/>
                <w:szCs w:val="24"/>
                <w:lang w:eastAsia="lv-LV"/>
              </w:rPr>
            </w:pPr>
            <w:r w:rsidRPr="00DE1A22">
              <w:rPr>
                <w:sz w:val="24"/>
                <w:szCs w:val="24"/>
              </w:rPr>
              <w:t xml:space="preserve"> </w:t>
            </w:r>
          </w:p>
        </w:tc>
        <w:tc>
          <w:tcPr>
            <w:tcW w:w="3402" w:type="dxa"/>
          </w:tcPr>
          <w:p w14:paraId="0790697B" w14:textId="77777777" w:rsidR="00651FC9" w:rsidRPr="00DE1A22" w:rsidRDefault="001C3B74" w:rsidP="00651FC9">
            <w:pPr>
              <w:jc w:val="both"/>
              <w:rPr>
                <w:rFonts w:eastAsia="Times New Roman"/>
                <w:sz w:val="24"/>
                <w:szCs w:val="24"/>
              </w:rPr>
            </w:pPr>
            <w:r w:rsidRPr="001C3B74">
              <w:rPr>
                <w:rFonts w:eastAsia="Times New Roman"/>
                <w:sz w:val="24"/>
                <w:szCs w:val="24"/>
              </w:rPr>
              <w:lastRenderedPageBreak/>
              <w:t>Attiecīgi ir precizēts Pamatnostādņu 4.sadaļas 2.rīcības virziena “Azartspēļu un izložu reklāmas aizlieguma kontrole” 4.uzdevums (jaunā numerācija).</w:t>
            </w:r>
          </w:p>
        </w:tc>
      </w:tr>
      <w:tr w:rsidR="00651FC9" w:rsidRPr="00DE1A22" w14:paraId="48E6117D" w14:textId="77777777" w:rsidTr="008034BE">
        <w:tc>
          <w:tcPr>
            <w:tcW w:w="751" w:type="dxa"/>
          </w:tcPr>
          <w:p w14:paraId="7AFC4E8D" w14:textId="1A468BF3" w:rsidR="00651FC9" w:rsidRPr="00DE1A22" w:rsidRDefault="00610C5F" w:rsidP="00651FC9">
            <w:pPr>
              <w:spacing w:before="100" w:beforeAutospacing="1" w:after="100" w:afterAutospacing="1"/>
              <w:jc w:val="center"/>
              <w:rPr>
                <w:rFonts w:eastAsia="Times New Roman"/>
                <w:sz w:val="24"/>
                <w:szCs w:val="24"/>
                <w:lang w:eastAsia="lv-LV"/>
              </w:rPr>
            </w:pPr>
            <w:r>
              <w:rPr>
                <w:rFonts w:eastAsia="Times New Roman"/>
                <w:sz w:val="24"/>
                <w:szCs w:val="24"/>
                <w:lang w:eastAsia="lv-LV"/>
              </w:rPr>
              <w:t>25</w:t>
            </w:r>
            <w:r w:rsidR="00651FC9" w:rsidRPr="00DE1A22">
              <w:rPr>
                <w:rFonts w:eastAsia="Times New Roman"/>
                <w:sz w:val="24"/>
                <w:szCs w:val="24"/>
                <w:lang w:eastAsia="lv-LV"/>
              </w:rPr>
              <w:t>.</w:t>
            </w:r>
          </w:p>
        </w:tc>
        <w:tc>
          <w:tcPr>
            <w:tcW w:w="3072" w:type="dxa"/>
          </w:tcPr>
          <w:p w14:paraId="3C5E7EFE" w14:textId="77777777" w:rsidR="00651FC9" w:rsidRPr="00DE1A22" w:rsidRDefault="00651FC9" w:rsidP="00651FC9">
            <w:pPr>
              <w:jc w:val="both"/>
              <w:rPr>
                <w:rFonts w:eastAsia="Times New Roman"/>
                <w:sz w:val="24"/>
                <w:szCs w:val="24"/>
                <w:lang w:eastAsia="lv-LV"/>
              </w:rPr>
            </w:pPr>
            <w:r w:rsidRPr="00DE1A22">
              <w:rPr>
                <w:rFonts w:eastAsia="Times New Roman"/>
                <w:sz w:val="24"/>
                <w:szCs w:val="24"/>
                <w:lang w:eastAsia="lv-LV"/>
              </w:rPr>
              <w:t xml:space="preserve">Pamatnostādņu 4. sadaļas 2. rīcības virziena “Azartspēļu un izložu reklāmas </w:t>
            </w:r>
            <w:r w:rsidRPr="00DE1A22">
              <w:rPr>
                <w:rFonts w:eastAsia="Times New Roman"/>
                <w:sz w:val="24"/>
                <w:szCs w:val="24"/>
                <w:lang w:eastAsia="lv-LV"/>
              </w:rPr>
              <w:lastRenderedPageBreak/>
              <w:t>aizlieguma kontrole” 5. uzdevums “Noteikt aizliegumu komersantiem, kas nodarbojas ar azartspēļu organizēšanu, izkārtnes un fasādes apgaismošanai izmantot gaismas specefektus, piemēram, mirgojošās gaismas, gaismas vadus sarkanas krāsas neona lampas u.tml. Izvietojot reklāmu vizuālās komunikācijas objektus vecpilsētā jāievēro 20.gs. pirmās puses stilistika, izgatavošanas paņēmieni un vēsturiskās fotofiksācijas, tai jābūt pielāgotai vēsturiskai arhitektoniskai videi un ēkas arhitektūrai.”</w:t>
            </w:r>
          </w:p>
        </w:tc>
        <w:tc>
          <w:tcPr>
            <w:tcW w:w="4394" w:type="dxa"/>
          </w:tcPr>
          <w:p w14:paraId="103AB536" w14:textId="77777777" w:rsidR="00651FC9" w:rsidRPr="00DE1A22" w:rsidRDefault="00651FC9" w:rsidP="00651FC9">
            <w:pPr>
              <w:contextualSpacing/>
              <w:jc w:val="both"/>
              <w:rPr>
                <w:rFonts w:eastAsia="Times New Roman"/>
                <w:b/>
                <w:sz w:val="24"/>
                <w:szCs w:val="24"/>
              </w:rPr>
            </w:pPr>
            <w:r w:rsidRPr="00DE1A22">
              <w:rPr>
                <w:rFonts w:eastAsia="Times New Roman"/>
                <w:b/>
                <w:sz w:val="24"/>
                <w:szCs w:val="24"/>
              </w:rPr>
              <w:lastRenderedPageBreak/>
              <w:t>Latvijas Spēļu biznesa asociācija (05.03.2020. Nr.6/20)</w:t>
            </w:r>
          </w:p>
          <w:p w14:paraId="3746916A" w14:textId="77777777" w:rsidR="00651FC9" w:rsidRPr="00DE1A22" w:rsidRDefault="00651FC9" w:rsidP="00651FC9">
            <w:pPr>
              <w:contextualSpacing/>
              <w:jc w:val="both"/>
              <w:rPr>
                <w:rFonts w:eastAsia="Times New Roman"/>
                <w:sz w:val="24"/>
                <w:szCs w:val="24"/>
              </w:rPr>
            </w:pPr>
            <w:r w:rsidRPr="00DE1A22">
              <w:rPr>
                <w:rFonts w:eastAsia="Times New Roman"/>
                <w:sz w:val="24"/>
                <w:szCs w:val="24"/>
              </w:rPr>
              <w:lastRenderedPageBreak/>
              <w:t xml:space="preserve">“Noteikt aizliegumu komersantiem, kas nodarbojas ar azartspēļu organizēšanu, izkārtnes un fasādes apgaismošanai izmantot gaismas specefektus, piemēram, mirgojošās gaismas, gaismas vadus sarkanas krāsas neona lampas u.tml.” izslēgt vārdus “sarkanas krāsas”. Uzdevuma mērķis ir mazināt komersanta veiktās darbības pastiprinātu reklamēšanu, kā arī pastiprinātu apkārtējās uzmanības piesaistīšanu. </w:t>
            </w:r>
            <w:r w:rsidRPr="00DE1A22">
              <w:rPr>
                <w:rFonts w:eastAsia="Times New Roman"/>
                <w:b/>
                <w:sz w:val="24"/>
                <w:szCs w:val="24"/>
              </w:rPr>
              <w:t>Par konkrēto krāsu radītajiem efektiem mārketinga jomā, t.sk. attiecībā uz azartspēlēm  ir daudz pētījumu, taču nav viennozīmīgu rezultātu tieši par sarkano krāsu. Ir virkne blakusfaktoru, kas ietekmē personas uztveri, izvēli un uzvedību.</w:t>
            </w:r>
          </w:p>
        </w:tc>
        <w:tc>
          <w:tcPr>
            <w:tcW w:w="3118" w:type="dxa"/>
          </w:tcPr>
          <w:p w14:paraId="29455D36" w14:textId="77777777" w:rsidR="00651FC9" w:rsidRPr="00DE1A22" w:rsidRDefault="00651FC9" w:rsidP="00651FC9">
            <w:pPr>
              <w:jc w:val="both"/>
              <w:rPr>
                <w:rFonts w:eastAsia="Times New Roman"/>
                <w:b/>
                <w:bCs/>
                <w:sz w:val="24"/>
                <w:szCs w:val="24"/>
                <w:lang w:eastAsia="lv-LV"/>
              </w:rPr>
            </w:pPr>
            <w:r w:rsidRPr="00DE1A22">
              <w:rPr>
                <w:rFonts w:eastAsia="Times New Roman"/>
                <w:b/>
                <w:bCs/>
                <w:sz w:val="24"/>
                <w:szCs w:val="24"/>
                <w:lang w:eastAsia="lv-LV"/>
              </w:rPr>
              <w:lastRenderedPageBreak/>
              <w:t>Ņemts vērā.</w:t>
            </w:r>
          </w:p>
          <w:p w14:paraId="6515A1F4" w14:textId="77777777" w:rsidR="00651FC9" w:rsidRPr="00DE1A22" w:rsidRDefault="00651FC9" w:rsidP="00651FC9">
            <w:pPr>
              <w:jc w:val="both"/>
              <w:rPr>
                <w:rFonts w:eastAsia="Times New Roman"/>
                <w:bCs/>
                <w:sz w:val="24"/>
                <w:szCs w:val="24"/>
                <w:lang w:eastAsia="lv-LV"/>
              </w:rPr>
            </w:pPr>
          </w:p>
        </w:tc>
        <w:tc>
          <w:tcPr>
            <w:tcW w:w="3402" w:type="dxa"/>
          </w:tcPr>
          <w:p w14:paraId="09F2F678" w14:textId="77777777" w:rsidR="00651FC9" w:rsidRPr="00DE1A22" w:rsidRDefault="00651FC9" w:rsidP="00651FC9">
            <w:pPr>
              <w:jc w:val="both"/>
              <w:rPr>
                <w:rFonts w:eastAsia="Times New Roman"/>
                <w:sz w:val="24"/>
                <w:szCs w:val="24"/>
              </w:rPr>
            </w:pPr>
            <w:r w:rsidRPr="00DE1A22">
              <w:rPr>
                <w:rFonts w:eastAsia="Times New Roman"/>
                <w:sz w:val="24"/>
                <w:szCs w:val="24"/>
                <w:lang w:eastAsia="lv-LV"/>
              </w:rPr>
              <w:t xml:space="preserve">Attiecīgi ir precizēts Pamatnostādņu 4.sadaļas 2.rīcības virziena “Azartspēļu un </w:t>
            </w:r>
            <w:r w:rsidRPr="00DE1A22">
              <w:rPr>
                <w:rFonts w:eastAsia="Times New Roman"/>
                <w:sz w:val="24"/>
                <w:szCs w:val="24"/>
                <w:lang w:eastAsia="lv-LV"/>
              </w:rPr>
              <w:lastRenderedPageBreak/>
              <w:t xml:space="preserve">izložu reklāmas aizlieguma kontrole” 4.uzdevums (jaunā numerācija). </w:t>
            </w:r>
          </w:p>
        </w:tc>
      </w:tr>
      <w:tr w:rsidR="00651FC9" w:rsidRPr="00DE1A22" w14:paraId="37D03350" w14:textId="77777777" w:rsidTr="008034BE">
        <w:tc>
          <w:tcPr>
            <w:tcW w:w="751" w:type="dxa"/>
            <w:shd w:val="clear" w:color="auto" w:fill="auto"/>
          </w:tcPr>
          <w:p w14:paraId="3D39D595" w14:textId="2862F836" w:rsidR="00651FC9" w:rsidRPr="00DE1A22" w:rsidRDefault="00610C5F" w:rsidP="00651FC9">
            <w:pPr>
              <w:spacing w:before="100" w:beforeAutospacing="1" w:after="100" w:afterAutospacing="1"/>
              <w:jc w:val="center"/>
              <w:rPr>
                <w:rFonts w:eastAsia="Times New Roman"/>
                <w:sz w:val="24"/>
                <w:szCs w:val="24"/>
                <w:lang w:eastAsia="lv-LV"/>
              </w:rPr>
            </w:pPr>
            <w:r>
              <w:rPr>
                <w:rFonts w:eastAsia="Times New Roman"/>
                <w:sz w:val="24"/>
                <w:szCs w:val="24"/>
                <w:lang w:eastAsia="lv-LV"/>
              </w:rPr>
              <w:lastRenderedPageBreak/>
              <w:t>26</w:t>
            </w:r>
            <w:r w:rsidR="00651FC9" w:rsidRPr="00DE1A22">
              <w:rPr>
                <w:rFonts w:eastAsia="Times New Roman"/>
                <w:sz w:val="24"/>
                <w:szCs w:val="24"/>
                <w:lang w:eastAsia="lv-LV"/>
              </w:rPr>
              <w:t>.</w:t>
            </w:r>
          </w:p>
        </w:tc>
        <w:tc>
          <w:tcPr>
            <w:tcW w:w="3072" w:type="dxa"/>
            <w:shd w:val="clear" w:color="auto" w:fill="auto"/>
          </w:tcPr>
          <w:p w14:paraId="6EC3818E" w14:textId="77777777" w:rsidR="00651FC9" w:rsidRPr="00DE1A22" w:rsidRDefault="00651FC9" w:rsidP="00651FC9">
            <w:pPr>
              <w:jc w:val="both"/>
              <w:rPr>
                <w:rFonts w:eastAsia="Times New Roman"/>
                <w:sz w:val="24"/>
                <w:szCs w:val="24"/>
                <w:lang w:eastAsia="lv-LV"/>
              </w:rPr>
            </w:pPr>
            <w:r w:rsidRPr="00DE1A22">
              <w:rPr>
                <w:rFonts w:eastAsia="Times New Roman"/>
                <w:sz w:val="24"/>
                <w:szCs w:val="24"/>
                <w:lang w:eastAsia="lv-LV"/>
              </w:rPr>
              <w:t>Pamatnostādņu 4. sadaļas 2. rīcības virziena “Azartspēļu un izložu reklāmas aizlieguma kontrole” 5. uzdevums “Noteikt aizliegumu komersantiem, kas nodarbojas ar azartspēļu organizēšanu, izkārtnes un fasādes apgaismošanai izmantot gaismas specefektus, piemēram, mirgojošās gaismas, gaismas vadus sarkanas krāsas neona lampas u.tml.”</w:t>
            </w:r>
          </w:p>
        </w:tc>
        <w:tc>
          <w:tcPr>
            <w:tcW w:w="4394" w:type="dxa"/>
            <w:shd w:val="clear" w:color="auto" w:fill="auto"/>
          </w:tcPr>
          <w:p w14:paraId="5D4E08EA" w14:textId="77777777" w:rsidR="00651FC9" w:rsidRPr="00DE1A22" w:rsidRDefault="00651FC9" w:rsidP="00651FC9">
            <w:pPr>
              <w:jc w:val="both"/>
              <w:rPr>
                <w:rFonts w:eastAsia="Times New Roman"/>
                <w:b/>
                <w:sz w:val="24"/>
                <w:szCs w:val="24"/>
              </w:rPr>
            </w:pPr>
            <w:r w:rsidRPr="00DE1A22">
              <w:rPr>
                <w:rFonts w:eastAsia="Times New Roman"/>
                <w:b/>
                <w:sz w:val="24"/>
                <w:szCs w:val="24"/>
              </w:rPr>
              <w:t>Latvijas Lielo pilsētu asociācija.</w:t>
            </w:r>
          </w:p>
          <w:p w14:paraId="15B8DB3E" w14:textId="77777777" w:rsidR="00651FC9" w:rsidRPr="00DE1A22" w:rsidRDefault="00651FC9" w:rsidP="001C3B74">
            <w:pPr>
              <w:jc w:val="both"/>
              <w:rPr>
                <w:rFonts w:eastAsia="Times New Roman"/>
                <w:sz w:val="24"/>
                <w:szCs w:val="24"/>
              </w:rPr>
            </w:pPr>
            <w:r w:rsidRPr="00DE1A22">
              <w:rPr>
                <w:rFonts w:eastAsia="Times New Roman"/>
                <w:sz w:val="24"/>
                <w:szCs w:val="24"/>
              </w:rPr>
              <w:t xml:space="preserve">Nepieciešams konkretizēt aizliegumu. </w:t>
            </w:r>
            <w:r w:rsidRPr="00DE1A22">
              <w:rPr>
                <w:rFonts w:eastAsia="Times New Roman"/>
                <w:b/>
                <w:sz w:val="24"/>
                <w:szCs w:val="24"/>
              </w:rPr>
              <w:t>Aicinām veidot visām spēļu zālēm vienotu ārējās izkārtnes noformējumu, kas varētu būt neitrāls.</w:t>
            </w:r>
          </w:p>
        </w:tc>
        <w:tc>
          <w:tcPr>
            <w:tcW w:w="3118" w:type="dxa"/>
            <w:shd w:val="clear" w:color="auto" w:fill="auto"/>
          </w:tcPr>
          <w:p w14:paraId="6FBF9204" w14:textId="77777777" w:rsidR="00651FC9" w:rsidRPr="00DE1A22" w:rsidRDefault="00651FC9" w:rsidP="00651FC9">
            <w:pPr>
              <w:jc w:val="both"/>
              <w:rPr>
                <w:rFonts w:eastAsia="Times New Roman"/>
                <w:b/>
                <w:bCs/>
                <w:sz w:val="24"/>
                <w:szCs w:val="24"/>
                <w:lang w:eastAsia="lv-LV"/>
              </w:rPr>
            </w:pPr>
            <w:r w:rsidRPr="00DE1A22">
              <w:rPr>
                <w:rFonts w:eastAsia="Times New Roman"/>
                <w:b/>
                <w:bCs/>
                <w:sz w:val="24"/>
                <w:szCs w:val="24"/>
                <w:lang w:eastAsia="lv-LV"/>
              </w:rPr>
              <w:t>Ņemts vērā.</w:t>
            </w:r>
          </w:p>
          <w:p w14:paraId="2351A202" w14:textId="77777777" w:rsidR="00651FC9" w:rsidRPr="00DE1A22" w:rsidRDefault="00651FC9" w:rsidP="00651FC9">
            <w:pPr>
              <w:jc w:val="both"/>
              <w:rPr>
                <w:rFonts w:eastAsia="Times New Roman"/>
                <w:bCs/>
                <w:sz w:val="24"/>
                <w:szCs w:val="24"/>
                <w:lang w:eastAsia="lv-LV"/>
              </w:rPr>
            </w:pPr>
          </w:p>
        </w:tc>
        <w:tc>
          <w:tcPr>
            <w:tcW w:w="3402" w:type="dxa"/>
            <w:shd w:val="clear" w:color="auto" w:fill="auto"/>
          </w:tcPr>
          <w:p w14:paraId="0DC0F8A0" w14:textId="77777777" w:rsidR="00651FC9" w:rsidRPr="00DE1A22" w:rsidRDefault="00651FC9" w:rsidP="00651FC9">
            <w:pPr>
              <w:spacing w:line="276" w:lineRule="auto"/>
              <w:jc w:val="both"/>
              <w:rPr>
                <w:rFonts w:eastAsia="Times New Roman"/>
                <w:b/>
                <w:bCs/>
                <w:sz w:val="24"/>
                <w:szCs w:val="24"/>
                <w:lang w:eastAsia="lv-LV"/>
              </w:rPr>
            </w:pPr>
            <w:r w:rsidRPr="00DE1A22">
              <w:rPr>
                <w:bCs/>
                <w:sz w:val="24"/>
                <w:szCs w:val="24"/>
                <w:lang w:eastAsia="lv-LV"/>
              </w:rPr>
              <w:t>Skatīt pamatojumu izziņas punktā Nr.24.</w:t>
            </w:r>
          </w:p>
          <w:p w14:paraId="3F0EDA0E" w14:textId="77777777" w:rsidR="00651FC9" w:rsidRPr="00DE1A22" w:rsidRDefault="00651FC9" w:rsidP="00651FC9">
            <w:pPr>
              <w:jc w:val="both"/>
              <w:rPr>
                <w:rFonts w:eastAsia="Times New Roman"/>
                <w:sz w:val="24"/>
                <w:szCs w:val="24"/>
              </w:rPr>
            </w:pPr>
          </w:p>
        </w:tc>
      </w:tr>
      <w:tr w:rsidR="00651FC9" w:rsidRPr="00DE1A22" w14:paraId="762E2E87" w14:textId="77777777" w:rsidTr="008034BE">
        <w:tc>
          <w:tcPr>
            <w:tcW w:w="751" w:type="dxa"/>
            <w:shd w:val="clear" w:color="auto" w:fill="auto"/>
          </w:tcPr>
          <w:p w14:paraId="494D50F0" w14:textId="333D71B6" w:rsidR="00651FC9" w:rsidRPr="00DE1A22" w:rsidRDefault="00651FC9" w:rsidP="00651FC9">
            <w:pPr>
              <w:spacing w:before="100" w:beforeAutospacing="1" w:after="100" w:afterAutospacing="1"/>
              <w:jc w:val="center"/>
              <w:rPr>
                <w:rFonts w:eastAsia="Times New Roman"/>
                <w:sz w:val="24"/>
                <w:szCs w:val="24"/>
                <w:lang w:eastAsia="lv-LV"/>
              </w:rPr>
            </w:pPr>
            <w:r w:rsidRPr="00DE1A22">
              <w:rPr>
                <w:rFonts w:eastAsia="Times New Roman"/>
                <w:sz w:val="24"/>
                <w:szCs w:val="24"/>
                <w:lang w:eastAsia="lv-LV"/>
              </w:rPr>
              <w:t>2</w:t>
            </w:r>
            <w:r w:rsidR="00610C5F">
              <w:rPr>
                <w:rFonts w:eastAsia="Times New Roman"/>
                <w:sz w:val="24"/>
                <w:szCs w:val="24"/>
                <w:lang w:eastAsia="lv-LV"/>
              </w:rPr>
              <w:t>7</w:t>
            </w:r>
            <w:r w:rsidRPr="00DE1A22">
              <w:rPr>
                <w:rFonts w:eastAsia="Times New Roman"/>
                <w:sz w:val="24"/>
                <w:szCs w:val="24"/>
                <w:lang w:eastAsia="lv-LV"/>
              </w:rPr>
              <w:t>.</w:t>
            </w:r>
          </w:p>
        </w:tc>
        <w:tc>
          <w:tcPr>
            <w:tcW w:w="3072" w:type="dxa"/>
            <w:shd w:val="clear" w:color="auto" w:fill="auto"/>
          </w:tcPr>
          <w:p w14:paraId="3626EEF7" w14:textId="77777777" w:rsidR="00651FC9" w:rsidRPr="00DE1A22" w:rsidRDefault="00651FC9" w:rsidP="00651FC9">
            <w:pPr>
              <w:jc w:val="both"/>
              <w:rPr>
                <w:rFonts w:eastAsia="Times New Roman"/>
                <w:sz w:val="24"/>
                <w:szCs w:val="24"/>
                <w:lang w:eastAsia="lv-LV"/>
              </w:rPr>
            </w:pPr>
            <w:r w:rsidRPr="00DE1A22">
              <w:rPr>
                <w:rFonts w:eastAsia="Times New Roman"/>
                <w:sz w:val="24"/>
                <w:szCs w:val="24"/>
                <w:lang w:eastAsia="lv-LV"/>
              </w:rPr>
              <w:t xml:space="preserve">Pamatnostādņu 4. sadaļas 3. rīcības virziens “Azartspēļu </w:t>
            </w:r>
            <w:r w:rsidRPr="00DE1A22">
              <w:rPr>
                <w:rFonts w:eastAsia="Times New Roman"/>
                <w:sz w:val="24"/>
                <w:szCs w:val="24"/>
                <w:lang w:eastAsia="lv-LV"/>
              </w:rPr>
              <w:lastRenderedPageBreak/>
              <w:t>un izložu pieejamības regulēšana”.</w:t>
            </w:r>
          </w:p>
        </w:tc>
        <w:tc>
          <w:tcPr>
            <w:tcW w:w="4394" w:type="dxa"/>
            <w:shd w:val="clear" w:color="auto" w:fill="auto"/>
          </w:tcPr>
          <w:p w14:paraId="0EAA432A" w14:textId="77777777" w:rsidR="00651FC9" w:rsidRPr="00DE1A22" w:rsidRDefault="00651FC9" w:rsidP="00651FC9">
            <w:pPr>
              <w:jc w:val="both"/>
              <w:rPr>
                <w:rFonts w:eastAsia="Times New Roman"/>
                <w:b/>
                <w:sz w:val="24"/>
                <w:szCs w:val="24"/>
              </w:rPr>
            </w:pPr>
            <w:r w:rsidRPr="00DE1A22">
              <w:rPr>
                <w:rFonts w:eastAsia="Times New Roman"/>
                <w:b/>
                <w:sz w:val="24"/>
                <w:szCs w:val="24"/>
              </w:rPr>
              <w:lastRenderedPageBreak/>
              <w:t>Latvijas Pašvaldību savienība (11.03.2020. Nr.202003/INIC143)</w:t>
            </w:r>
          </w:p>
          <w:p w14:paraId="34DF5609" w14:textId="77777777" w:rsidR="00651FC9" w:rsidRPr="00DE1A22" w:rsidRDefault="00651FC9" w:rsidP="00651FC9">
            <w:pPr>
              <w:jc w:val="both"/>
              <w:rPr>
                <w:rFonts w:eastAsia="Times New Roman"/>
                <w:b/>
                <w:sz w:val="24"/>
                <w:szCs w:val="24"/>
              </w:rPr>
            </w:pPr>
            <w:r w:rsidRPr="00DE1A22">
              <w:rPr>
                <w:rFonts w:eastAsia="Times New Roman"/>
                <w:sz w:val="24"/>
                <w:szCs w:val="24"/>
              </w:rPr>
              <w:lastRenderedPageBreak/>
              <w:t>Aizliegt azartspēļu zālēm vērst reklāmu uz ārtelpu (ielu), izmantot gaismas reklāmas ar neona vai LED apgaismojumu, kas pastiprināti pievērš cilvēku uzmanību un var radīt nevēlamu interesi par azartspēlēm.</w:t>
            </w:r>
          </w:p>
        </w:tc>
        <w:tc>
          <w:tcPr>
            <w:tcW w:w="3118" w:type="dxa"/>
            <w:shd w:val="clear" w:color="auto" w:fill="auto"/>
          </w:tcPr>
          <w:p w14:paraId="76F45E73" w14:textId="77777777" w:rsidR="00651FC9" w:rsidRPr="00DE1A22" w:rsidRDefault="00651FC9" w:rsidP="00651FC9">
            <w:pPr>
              <w:jc w:val="both"/>
              <w:rPr>
                <w:rFonts w:eastAsia="Times New Roman"/>
                <w:b/>
                <w:bCs/>
                <w:sz w:val="24"/>
                <w:szCs w:val="24"/>
                <w:lang w:eastAsia="lv-LV"/>
              </w:rPr>
            </w:pPr>
            <w:r w:rsidRPr="00DE1A22">
              <w:rPr>
                <w:rFonts w:eastAsia="Times New Roman"/>
                <w:b/>
                <w:bCs/>
                <w:sz w:val="24"/>
                <w:szCs w:val="24"/>
                <w:lang w:eastAsia="lv-LV"/>
              </w:rPr>
              <w:lastRenderedPageBreak/>
              <w:t>Ņemts vērā.</w:t>
            </w:r>
          </w:p>
          <w:p w14:paraId="17D8510C" w14:textId="77777777" w:rsidR="00651FC9" w:rsidRPr="00DE1A22" w:rsidRDefault="00651FC9" w:rsidP="00651FC9">
            <w:pPr>
              <w:jc w:val="both"/>
              <w:rPr>
                <w:rFonts w:eastAsia="Times New Roman"/>
                <w:b/>
                <w:bCs/>
                <w:sz w:val="24"/>
                <w:szCs w:val="24"/>
                <w:lang w:eastAsia="lv-LV"/>
              </w:rPr>
            </w:pPr>
          </w:p>
        </w:tc>
        <w:tc>
          <w:tcPr>
            <w:tcW w:w="3402" w:type="dxa"/>
            <w:shd w:val="clear" w:color="auto" w:fill="auto"/>
          </w:tcPr>
          <w:p w14:paraId="60AA0928" w14:textId="77777777" w:rsidR="00651FC9" w:rsidRPr="00DE1A22" w:rsidRDefault="001C3B74" w:rsidP="00651FC9">
            <w:pPr>
              <w:jc w:val="both"/>
              <w:rPr>
                <w:rFonts w:eastAsia="Times New Roman"/>
                <w:sz w:val="24"/>
                <w:szCs w:val="24"/>
              </w:rPr>
            </w:pPr>
            <w:r w:rsidRPr="001C3B74">
              <w:rPr>
                <w:rFonts w:eastAsia="Times New Roman"/>
                <w:sz w:val="24"/>
                <w:szCs w:val="24"/>
              </w:rPr>
              <w:t xml:space="preserve">Attiecīgi ir precizēts Pamatnostādņu 4.sadaļas </w:t>
            </w:r>
            <w:r w:rsidRPr="001C3B74">
              <w:rPr>
                <w:rFonts w:eastAsia="Times New Roman"/>
                <w:sz w:val="24"/>
                <w:szCs w:val="24"/>
              </w:rPr>
              <w:lastRenderedPageBreak/>
              <w:t>2.rīcības virziena “Azartspēļu un izložu reklāmas aizlieguma kontrole” 4.uzdevums (jaunā numerācija).</w:t>
            </w:r>
          </w:p>
        </w:tc>
      </w:tr>
      <w:tr w:rsidR="00651FC9" w:rsidRPr="00DE1A22" w14:paraId="227D68B0" w14:textId="77777777" w:rsidTr="008034BE">
        <w:tc>
          <w:tcPr>
            <w:tcW w:w="751" w:type="dxa"/>
            <w:shd w:val="clear" w:color="auto" w:fill="auto"/>
          </w:tcPr>
          <w:p w14:paraId="64BBD991" w14:textId="6E29A753" w:rsidR="00651FC9" w:rsidRPr="00DE1A22" w:rsidRDefault="00610C5F" w:rsidP="00651FC9">
            <w:pPr>
              <w:spacing w:before="100" w:beforeAutospacing="1" w:after="100" w:afterAutospacing="1"/>
              <w:jc w:val="center"/>
              <w:rPr>
                <w:rFonts w:eastAsia="Times New Roman"/>
                <w:sz w:val="24"/>
                <w:szCs w:val="24"/>
                <w:lang w:eastAsia="lv-LV"/>
              </w:rPr>
            </w:pPr>
            <w:r>
              <w:rPr>
                <w:rFonts w:eastAsia="Times New Roman"/>
                <w:sz w:val="24"/>
                <w:szCs w:val="24"/>
                <w:lang w:eastAsia="lv-LV"/>
              </w:rPr>
              <w:lastRenderedPageBreak/>
              <w:t>28</w:t>
            </w:r>
            <w:r w:rsidR="00651FC9" w:rsidRPr="00DE1A22">
              <w:rPr>
                <w:rFonts w:eastAsia="Times New Roman"/>
                <w:sz w:val="24"/>
                <w:szCs w:val="24"/>
                <w:lang w:eastAsia="lv-LV"/>
              </w:rPr>
              <w:t>.</w:t>
            </w:r>
          </w:p>
        </w:tc>
        <w:tc>
          <w:tcPr>
            <w:tcW w:w="3072" w:type="dxa"/>
            <w:shd w:val="clear" w:color="auto" w:fill="auto"/>
          </w:tcPr>
          <w:p w14:paraId="15967881" w14:textId="77777777" w:rsidR="00651FC9" w:rsidRPr="00DE1A22" w:rsidRDefault="00651FC9" w:rsidP="00651FC9">
            <w:pPr>
              <w:jc w:val="both"/>
              <w:rPr>
                <w:rFonts w:eastAsia="Times New Roman"/>
                <w:sz w:val="24"/>
                <w:szCs w:val="24"/>
                <w:lang w:eastAsia="lv-LV"/>
              </w:rPr>
            </w:pPr>
            <w:r w:rsidRPr="00DE1A22">
              <w:rPr>
                <w:rFonts w:eastAsia="Times New Roman"/>
                <w:sz w:val="24"/>
                <w:szCs w:val="24"/>
                <w:lang w:eastAsia="lv-LV"/>
              </w:rPr>
              <w:t>Pamatnostādņu 4. sadaļas 3. rīcības virziens “Azartspēļu un izložu pieejamības regulēšana.”</w:t>
            </w:r>
          </w:p>
        </w:tc>
        <w:tc>
          <w:tcPr>
            <w:tcW w:w="4394" w:type="dxa"/>
            <w:shd w:val="clear" w:color="auto" w:fill="auto"/>
          </w:tcPr>
          <w:p w14:paraId="4899A4C2" w14:textId="77777777" w:rsidR="00651FC9" w:rsidRPr="00DE1A22" w:rsidRDefault="00651FC9" w:rsidP="00651FC9">
            <w:pPr>
              <w:jc w:val="both"/>
              <w:rPr>
                <w:rFonts w:eastAsia="Times New Roman"/>
                <w:b/>
                <w:sz w:val="24"/>
                <w:szCs w:val="24"/>
              </w:rPr>
            </w:pPr>
            <w:r w:rsidRPr="00DE1A22">
              <w:rPr>
                <w:rFonts w:eastAsia="Times New Roman"/>
                <w:b/>
                <w:sz w:val="24"/>
                <w:szCs w:val="24"/>
              </w:rPr>
              <w:t>Latvijas Pašvaldību savienība (11.03.2020. Nr.202003/INIC143)</w:t>
            </w:r>
          </w:p>
          <w:p w14:paraId="495293A6" w14:textId="77777777" w:rsidR="00651FC9" w:rsidRPr="00DE1A22" w:rsidRDefault="00651FC9" w:rsidP="00651FC9">
            <w:pPr>
              <w:jc w:val="both"/>
              <w:rPr>
                <w:rFonts w:eastAsia="Times New Roman"/>
                <w:sz w:val="24"/>
                <w:szCs w:val="24"/>
              </w:rPr>
            </w:pPr>
            <w:r w:rsidRPr="00DE1A22">
              <w:rPr>
                <w:rFonts w:eastAsia="Times New Roman"/>
                <w:sz w:val="24"/>
                <w:szCs w:val="24"/>
              </w:rPr>
              <w:t>Finanšu ministrija, izvērtējot nepieciešamās izmaiņas azartspēļu un izložu pieejamībā, darbības vietās un to regulēšanā, Pamatnostādņu projekta pielikumā apskata divus risinājumus, kā varētu ierobežot iedzīvotāju fizisko piekļuvi azartspēļu organizēšanas norises vietām, un par atbilstošāko uzskata 2.risinājumu. Attiecīgi Pamatnostādņu projektā doti uzdevumi: 1) paplašināt to vietu uzskaitījumu, kur aizliegts organizēt azartspēles, paredzot lēmuma pieņemšanu par azartspēļu organizēšanu tikai valsts līmenī; 2) izstrādāt kārtību, kādā Izložu un azartspēļu uzraudzības inspekcija (IAUI) izvērtē azartspēļu organizēšanas vietas atbilstību “Azartspēļu un izložu likuma” (AIL) prasībām un izsniedz attiecīgās atļaujas.</w:t>
            </w:r>
          </w:p>
          <w:p w14:paraId="7FF713BA" w14:textId="77777777" w:rsidR="00651FC9" w:rsidRPr="00DE1A22" w:rsidRDefault="00651FC9" w:rsidP="00651FC9">
            <w:pPr>
              <w:jc w:val="both"/>
              <w:rPr>
                <w:rFonts w:eastAsia="Times New Roman"/>
                <w:b/>
                <w:sz w:val="24"/>
                <w:szCs w:val="24"/>
              </w:rPr>
            </w:pPr>
            <w:r w:rsidRPr="00DE1A22">
              <w:rPr>
                <w:rFonts w:eastAsia="Times New Roman"/>
                <w:b/>
                <w:sz w:val="24"/>
                <w:szCs w:val="24"/>
              </w:rPr>
              <w:t xml:space="preserve">LPS ieskatā 2.risinājuma variants nav vērsts uz maksimālo sabiedrības interešu aizsardzību un atkarības veidošanas risku mazināšanos, kā arī tajā netiek līdzsvarotas sabiedrības intereses. Tieši pretēji: risinājums, kurā vērtē tikai valstiskā līmenī noteiktos vispārējos aizliegumus un neņem vērā vietējos </w:t>
            </w:r>
            <w:r w:rsidRPr="00DE1A22">
              <w:rPr>
                <w:rFonts w:eastAsia="Times New Roman"/>
                <w:b/>
                <w:sz w:val="24"/>
                <w:szCs w:val="24"/>
              </w:rPr>
              <w:lastRenderedPageBreak/>
              <w:t xml:space="preserve">apstākļus katrā teritorijā, ir vērsts uz sabiedrības interešu aizsardzības mazināšanu un atkarības veidošanās risku palielināšanu, un vislielākie ieguvēji no šāda risinājuma ir tieši azartspēļu vietu organizētāji. </w:t>
            </w:r>
          </w:p>
          <w:p w14:paraId="44BCD143" w14:textId="77777777" w:rsidR="00651FC9" w:rsidRPr="00DE1A22" w:rsidRDefault="00651FC9" w:rsidP="00651FC9">
            <w:pPr>
              <w:jc w:val="both"/>
              <w:rPr>
                <w:rFonts w:eastAsia="Times New Roman"/>
                <w:sz w:val="24"/>
                <w:szCs w:val="24"/>
              </w:rPr>
            </w:pPr>
            <w:r w:rsidRPr="00DE1A22">
              <w:rPr>
                <w:rFonts w:eastAsia="Times New Roman"/>
                <w:sz w:val="24"/>
                <w:szCs w:val="24"/>
              </w:rPr>
              <w:t>Saskaņā ar Eiropas Savienības Tiesas iedibināto judikatūru (</w:t>
            </w:r>
            <w:r w:rsidRPr="00DE1A22">
              <w:rPr>
                <w:rFonts w:eastAsia="Times New Roman"/>
                <w:i/>
                <w:sz w:val="24"/>
                <w:szCs w:val="24"/>
              </w:rPr>
              <w:t>19.07.2012. spriedumu lietā Nr.C-470/11 Garkalns 36. punkts, 03.06.2010. spriedums lietā C-203/08 Sportig Exchange Ltd. 26. punkts, 2007. gada apvienotās lietas C-338/04, C-359/04 un C-360/04 Placanica 47. un 48 punkts u.c.</w:t>
            </w:r>
            <w:r w:rsidRPr="00DE1A22">
              <w:rPr>
                <w:rFonts w:eastAsia="Times New Roman"/>
                <w:sz w:val="24"/>
                <w:szCs w:val="24"/>
              </w:rPr>
              <w:t xml:space="preserve">) azartspēļu tiesiskais regulējums ir viena no jomām, kurās dalībvalstu starpā pastāv ievērojamas atšķirības morāles, reliģijas un kultūras aspektos. Ievērojot, ka azartspēles katrā Eiropas Savienības dalībvalstī tiek regulētas atšķirīgi, kā arī regulējums var atšķirties valsts iekšienē reģionālā līmenī, nav pamatots apgalvojums, ka 2. risinājums ir balstīts uz starptautiskiem labākas prakses piemēriem, kas ir vērsti uz maksimālo sabiedrības interešu aizsardzību un atkarības veidošanas risku mazināšanos. </w:t>
            </w:r>
          </w:p>
          <w:p w14:paraId="1AB4D993" w14:textId="77777777" w:rsidR="00651FC9" w:rsidRPr="00DE1A22" w:rsidRDefault="00651FC9" w:rsidP="00651FC9">
            <w:pPr>
              <w:jc w:val="both"/>
              <w:rPr>
                <w:rFonts w:eastAsia="Times New Roman"/>
                <w:sz w:val="24"/>
                <w:szCs w:val="24"/>
              </w:rPr>
            </w:pPr>
            <w:r w:rsidRPr="00DE1A22">
              <w:rPr>
                <w:rFonts w:eastAsia="Times New Roman"/>
                <w:sz w:val="24"/>
                <w:szCs w:val="24"/>
              </w:rPr>
              <w:t xml:space="preserve">Otrkārt, piedāvājums izslēgt AIL 42.panta trešo daļu neatbilst ne Eiropas vietējo pašvaldību hartas principiem, ne likumam “Par pašvaldībām”. Vēlamies atgādināt, ka saskaņā ar Hartā noteikto vietējā pašvaldība nozīmē vietējās varas tiesības un spēju likumā noteiktajās robežās regulēt un vadīt nozīmīgu valsts lietu daļu uz savu atbildību </w:t>
            </w:r>
            <w:r w:rsidRPr="00DE1A22">
              <w:rPr>
                <w:rFonts w:eastAsia="Times New Roman"/>
                <w:sz w:val="24"/>
                <w:szCs w:val="24"/>
              </w:rPr>
              <w:lastRenderedPageBreak/>
              <w:t>un vietējo iedzīvotāju interesēs. Savukārt likums  “Par pašvaldībām” nosaka, ka “</w:t>
            </w:r>
            <w:r w:rsidRPr="00DE1A22">
              <w:rPr>
                <w:rFonts w:eastAsia="Times New Roman"/>
                <w:i/>
                <w:sz w:val="24"/>
                <w:szCs w:val="24"/>
              </w:rPr>
              <w:t>vietējā pašvaldība ir vietējā pārvalde, kas ar pilsoņu vēlētas pārstāvniecības – domes – [..] nodrošina likumos noteikto funkciju [..] un pašvaldības brīvprātīgo iniciatīvu izpildi, ievērojot valsts un attiecīgās administratīvās teritorijas iedzīvotāju intereses</w:t>
            </w:r>
            <w:r w:rsidRPr="00DE1A22">
              <w:rPr>
                <w:rFonts w:eastAsia="Times New Roman"/>
                <w:sz w:val="24"/>
                <w:szCs w:val="24"/>
              </w:rPr>
              <w:t>”. Vietējā pašvaldība ir izveidota ar mērķi pārstāvēt sabiedrības intereses noteiktā teritorijā un veikt savas funkcijas saskaņā ar tiesisko regulējumu.</w:t>
            </w:r>
          </w:p>
          <w:p w14:paraId="270B94E6" w14:textId="77777777" w:rsidR="00651FC9" w:rsidRPr="00DE1A22" w:rsidRDefault="00651FC9" w:rsidP="00651FC9">
            <w:pPr>
              <w:jc w:val="both"/>
              <w:rPr>
                <w:rFonts w:eastAsia="Times New Roman"/>
                <w:sz w:val="24"/>
                <w:szCs w:val="24"/>
              </w:rPr>
            </w:pPr>
            <w:r w:rsidRPr="00DE1A22">
              <w:rPr>
                <w:rFonts w:eastAsia="Times New Roman"/>
                <w:sz w:val="24"/>
                <w:szCs w:val="24"/>
              </w:rPr>
              <w:t xml:space="preserve">Līdz ar to LPS ieskatā 2.risinājuma variants tādā redakcijā, kādā to piedāvā Finanšu ministrija, nav atbalstāms. </w:t>
            </w:r>
          </w:p>
          <w:p w14:paraId="025C13C0" w14:textId="77777777" w:rsidR="00651FC9" w:rsidRPr="00DE1A22" w:rsidRDefault="00651FC9" w:rsidP="00651FC9">
            <w:pPr>
              <w:jc w:val="both"/>
              <w:rPr>
                <w:rFonts w:eastAsia="Times New Roman"/>
                <w:b/>
                <w:sz w:val="24"/>
                <w:szCs w:val="24"/>
              </w:rPr>
            </w:pPr>
            <w:r w:rsidRPr="00DE1A22">
              <w:rPr>
                <w:rFonts w:eastAsia="Times New Roman"/>
                <w:sz w:val="24"/>
                <w:szCs w:val="24"/>
              </w:rPr>
              <w:t xml:space="preserve">Lai tiešām mazinātu azartspēļu pieejamību, </w:t>
            </w:r>
            <w:r w:rsidRPr="00DE1A22">
              <w:rPr>
                <w:rFonts w:eastAsia="Times New Roman"/>
                <w:b/>
                <w:sz w:val="24"/>
                <w:szCs w:val="24"/>
              </w:rPr>
              <w:t xml:space="preserve">LPS uzskata, ka atbalstāms būtu </w:t>
            </w:r>
          </w:p>
          <w:p w14:paraId="216E5836" w14:textId="77777777" w:rsidR="00651FC9" w:rsidRPr="00DE1A22" w:rsidRDefault="00651FC9" w:rsidP="00651FC9">
            <w:pPr>
              <w:jc w:val="both"/>
              <w:rPr>
                <w:rFonts w:eastAsia="Times New Roman"/>
                <w:b/>
                <w:sz w:val="24"/>
                <w:szCs w:val="24"/>
              </w:rPr>
            </w:pPr>
            <w:r w:rsidRPr="00DE1A22">
              <w:rPr>
                <w:rFonts w:eastAsia="Times New Roman"/>
                <w:b/>
                <w:sz w:val="24"/>
                <w:szCs w:val="24"/>
              </w:rPr>
              <w:t>- 1. risinājums: azartspēļu zāļu aizliegšana visā Latvijas teritorijā, atļaujot tās organizēt tikai 4 un 5 zvaigžņu viesnīcās;</w:t>
            </w:r>
          </w:p>
          <w:p w14:paraId="213AD096" w14:textId="77777777" w:rsidR="00651FC9" w:rsidRPr="00DE1A22" w:rsidRDefault="00651FC9" w:rsidP="00651FC9">
            <w:pPr>
              <w:jc w:val="both"/>
              <w:rPr>
                <w:rFonts w:eastAsia="Times New Roman"/>
                <w:b/>
                <w:sz w:val="24"/>
                <w:szCs w:val="24"/>
              </w:rPr>
            </w:pPr>
            <w:r w:rsidRPr="00DE1A22">
              <w:rPr>
                <w:rFonts w:eastAsia="Times New Roman"/>
                <w:b/>
                <w:sz w:val="24"/>
                <w:szCs w:val="24"/>
              </w:rPr>
              <w:t xml:space="preserve">vai </w:t>
            </w:r>
          </w:p>
          <w:p w14:paraId="6860C11D" w14:textId="77777777" w:rsidR="00651FC9" w:rsidRPr="00DE1A22" w:rsidRDefault="00651FC9" w:rsidP="00651FC9">
            <w:pPr>
              <w:jc w:val="both"/>
              <w:rPr>
                <w:rFonts w:eastAsia="Times New Roman"/>
                <w:b/>
                <w:sz w:val="24"/>
                <w:szCs w:val="24"/>
              </w:rPr>
            </w:pPr>
            <w:r w:rsidRPr="00DE1A22">
              <w:rPr>
                <w:rFonts w:eastAsia="Times New Roman"/>
                <w:b/>
                <w:sz w:val="24"/>
                <w:szCs w:val="24"/>
              </w:rPr>
              <w:t xml:space="preserve">- pilnveidots 2.risinājums, kas paredzētu šādus principus: </w:t>
            </w:r>
          </w:p>
          <w:p w14:paraId="62DD5F55" w14:textId="77777777" w:rsidR="00651FC9" w:rsidRPr="00DE1A22" w:rsidRDefault="00651FC9" w:rsidP="00651FC9">
            <w:pPr>
              <w:jc w:val="both"/>
              <w:rPr>
                <w:rFonts w:eastAsia="Times New Roman"/>
                <w:b/>
                <w:sz w:val="24"/>
                <w:szCs w:val="24"/>
              </w:rPr>
            </w:pPr>
            <w:r w:rsidRPr="00DE1A22">
              <w:rPr>
                <w:rFonts w:eastAsia="Times New Roman"/>
                <w:b/>
                <w:sz w:val="24"/>
                <w:szCs w:val="24"/>
              </w:rPr>
              <w:t xml:space="preserve">1) pašvaldības teritorijas plānojumā nosaka vietas, kurās azartspēļu organizēšana ir aizliegta. </w:t>
            </w:r>
          </w:p>
          <w:p w14:paraId="619F2C00" w14:textId="77777777" w:rsidR="00651FC9" w:rsidRPr="00DE1A22" w:rsidRDefault="00651FC9" w:rsidP="00651FC9">
            <w:pPr>
              <w:jc w:val="both"/>
              <w:rPr>
                <w:rFonts w:eastAsia="Times New Roman"/>
                <w:sz w:val="24"/>
                <w:szCs w:val="24"/>
              </w:rPr>
            </w:pPr>
            <w:r w:rsidRPr="00DE1A22">
              <w:rPr>
                <w:rFonts w:eastAsia="Times New Roman"/>
                <w:sz w:val="24"/>
                <w:szCs w:val="24"/>
              </w:rPr>
              <w:t>“Satversmes 105.pants, kā arī normatīvie akti teritorijas plānošanas jomā piešķir pašvaldībai rīcības brīvību noteikt tās teritorijas plānojumā darbību prioritātes, attīstības virzienus un sasniedzamos mērķus, kuru labad nepieciešams paredzēt īpašuma tiesību izmantošanas priekšnoteikumus.” (</w:t>
            </w:r>
            <w:r w:rsidRPr="00DE1A22">
              <w:rPr>
                <w:rFonts w:eastAsia="Times New Roman"/>
                <w:i/>
                <w:sz w:val="24"/>
                <w:szCs w:val="24"/>
              </w:rPr>
              <w:t xml:space="preserve">Satversmes tiesas </w:t>
            </w:r>
            <w:r w:rsidRPr="00DE1A22">
              <w:rPr>
                <w:rFonts w:eastAsia="Times New Roman"/>
                <w:i/>
                <w:sz w:val="24"/>
                <w:szCs w:val="24"/>
              </w:rPr>
              <w:lastRenderedPageBreak/>
              <w:t>2019.gada 16.maija sprieduma lietā Nr. 2018-17-03 18.1.punkts</w:t>
            </w:r>
            <w:r w:rsidRPr="00DE1A22">
              <w:rPr>
                <w:rFonts w:eastAsia="Times New Roman"/>
                <w:sz w:val="24"/>
                <w:szCs w:val="24"/>
              </w:rPr>
              <w:t xml:space="preserve">). </w:t>
            </w:r>
          </w:p>
          <w:p w14:paraId="3267D9F6" w14:textId="77777777" w:rsidR="00651FC9" w:rsidRPr="00DE1A22" w:rsidRDefault="00651FC9" w:rsidP="00651FC9">
            <w:pPr>
              <w:jc w:val="both"/>
              <w:rPr>
                <w:rFonts w:eastAsia="Times New Roman"/>
                <w:sz w:val="24"/>
                <w:szCs w:val="24"/>
              </w:rPr>
            </w:pPr>
            <w:r w:rsidRPr="00DE1A22">
              <w:rPr>
                <w:rFonts w:eastAsia="Times New Roman"/>
                <w:sz w:val="24"/>
                <w:szCs w:val="24"/>
              </w:rPr>
              <w:t>Pašvaldības teritorijas plānojuma izstrādes procedūra ir reglamentēta tā, lai varētu identificēt un izsvērt dažādas intereses un noteikt, kurām no tām plānojumā dodama prioritāte. Pašvaldībai ir pienākums nodrošināt informācijas un lēmumu pieņemšanas atklātumu, kā arī noskaidrot sabiedrības viedokli un organizēt sabiedrības līdzdalību attiecīgās teritorijas attīstības plānošanā, sniedzot pēc iespējas plašu un saprotamu informāciju. Līdz ar to visām ieinteresētajām pusēm – gan azartspēļu biznesa pārstāvjiem, gan attiecīgās pašvaldības teritorijas iedzīvotājiem, ir iespēja paust savu viedokli par azartspēļu organizēšanas vietu iespējamo atrašanos. Savukārt pašvaldībai ir pienākums pieņemt lēmumu, kas balstīts uz azartspēļu organizētāja un sabiedrības interešu vispusīgu izvērtējumu un sabalansētu teritorijas attīstības redzējumu (pašvaldībai jālīdzsvaro privātpersonu un sabiedrības intereses ar teritorijas ilgtspējīgas attīstības iespējām).</w:t>
            </w:r>
          </w:p>
          <w:p w14:paraId="552183AA" w14:textId="77777777" w:rsidR="00651FC9" w:rsidRPr="00DE1A22" w:rsidRDefault="00651FC9" w:rsidP="00651FC9">
            <w:pPr>
              <w:jc w:val="both"/>
              <w:rPr>
                <w:rFonts w:eastAsia="Times New Roman"/>
                <w:sz w:val="24"/>
                <w:szCs w:val="24"/>
              </w:rPr>
            </w:pPr>
            <w:r w:rsidRPr="00DE1A22">
              <w:rPr>
                <w:rFonts w:eastAsia="Times New Roman"/>
                <w:sz w:val="24"/>
                <w:szCs w:val="24"/>
              </w:rPr>
              <w:t xml:space="preserve">“Azartspēļu organizēšanas ierobežojuma kā teritorijas izmantošanas aprobežojuma noteikšana pašvaldības teritorijas plānojumā nodrošina paredzamību gan komersantiem, gan iedzīvotājiem un sabiedrībai kopumā lielākā mērā nekā individuālo atļauju sistēma. Turklāt arī teritorijas plānojums ir pakļauts tiesas kontrolei, proti, persona var iesniegt Satversmes tiesā pieteikumu par </w:t>
            </w:r>
            <w:r w:rsidRPr="00DE1A22">
              <w:rPr>
                <w:rFonts w:eastAsia="Times New Roman"/>
                <w:sz w:val="24"/>
                <w:szCs w:val="24"/>
              </w:rPr>
              <w:lastRenderedPageBreak/>
              <w:t>pašvaldības pieņemto teritorijas plānojumu tāpat kā par jebkuru normatīvo aktu, ar kuru, pēc personas ieskata, tiek aizskartas tās pamattiesības. Arī līdzšinējā administratīvo tiesu praksē ir atzītas pašvaldību tiesības noteikt azartspēļu organizēšanas ierobežojumus gan teritorijas plānojumā, gan ar individuāliem lēmumiem attiecībā uz konkrētām azartspēļu organizēšanas vietām.” (</w:t>
            </w:r>
            <w:r w:rsidRPr="00DE1A22">
              <w:rPr>
                <w:rFonts w:eastAsia="Times New Roman"/>
                <w:i/>
                <w:sz w:val="24"/>
                <w:szCs w:val="24"/>
              </w:rPr>
              <w:t>Satversmes tiesas 2019.gada 16.maija sprieduma lietā Nr. 2018-17-03 18.5.punkts</w:t>
            </w:r>
            <w:r w:rsidRPr="00DE1A22">
              <w:rPr>
                <w:rFonts w:eastAsia="Times New Roman"/>
                <w:sz w:val="24"/>
                <w:szCs w:val="24"/>
              </w:rPr>
              <w:t>).</w:t>
            </w:r>
          </w:p>
          <w:p w14:paraId="01C4EDAC" w14:textId="77777777" w:rsidR="00651FC9" w:rsidRPr="00DE1A22" w:rsidRDefault="00651FC9" w:rsidP="00651FC9">
            <w:pPr>
              <w:jc w:val="both"/>
              <w:rPr>
                <w:rFonts w:eastAsia="Times New Roman"/>
                <w:sz w:val="24"/>
                <w:szCs w:val="24"/>
              </w:rPr>
            </w:pPr>
            <w:r w:rsidRPr="00DE1A22">
              <w:rPr>
                <w:rFonts w:eastAsia="Times New Roman"/>
                <w:sz w:val="24"/>
                <w:szCs w:val="24"/>
              </w:rPr>
              <w:t xml:space="preserve">Ņemot vērā, ka Saeimā iesniegtais likumprojekts “Grozījums Teritorijas attīstības plānošanas likumā” (Nr. 475/Lp13) paredz uz laiku ierobežot jaunu pašvaldību teritorijas attīstības plānošanas dokumentu izstrādi un apstiprināšanu un jaunu attīstības plānošanas dokumentu izstrāde var ilgt līdz trīs gadiem, Pamatnostādņu projektā 2020.-2027.gadam paredzēt, ka AIL tiek noteikts deleģējums pašvaldībām ar saistošajiem noteikumiem noteikt teritorijas, kurās nedrīkst rīkot un organizēt azartspēles, vienlaikus paredzot, ka saistošie noteikumi pašvaldībā ir spēkā līdz jauna (vai grozīta) teritorijas plānojuma spēkā stāšanās brīdim pēc 2021.gada. </w:t>
            </w:r>
          </w:p>
          <w:p w14:paraId="7ADE9BF3" w14:textId="77777777" w:rsidR="00651FC9" w:rsidRPr="00DE1A22" w:rsidRDefault="00651FC9" w:rsidP="00651FC9">
            <w:pPr>
              <w:jc w:val="both"/>
              <w:rPr>
                <w:rFonts w:eastAsia="Times New Roman"/>
                <w:sz w:val="24"/>
                <w:szCs w:val="24"/>
              </w:rPr>
            </w:pPr>
            <w:r w:rsidRPr="00DE1A22">
              <w:rPr>
                <w:rFonts w:eastAsia="Times New Roman"/>
                <w:sz w:val="24"/>
                <w:szCs w:val="24"/>
              </w:rPr>
              <w:t xml:space="preserve">2) pārējās teritorijās (kurās nav noteikts aizliegums organizēt azartspēles) darbojas AIL noteiktie ierobežojumi, tai skaitā paredzot minimālos attāluma ierobežojumus no “ievainojamiem” objektiem. LPS ieskatā Finanšu ministrijas Pamatnostādņu projektā piedāvātie attālumi no vietām, kur azartspēles organizēt nav </w:t>
            </w:r>
            <w:r w:rsidRPr="00DE1A22">
              <w:rPr>
                <w:rFonts w:eastAsia="Times New Roman"/>
                <w:sz w:val="24"/>
                <w:szCs w:val="24"/>
              </w:rPr>
              <w:lastRenderedPageBreak/>
              <w:t xml:space="preserve">atļauts, ir nesamērīgi mazi un nesasniedz mērķi – mazināt cilvēku saskarsmi ar azartspēļu zālēm vai atrašanos to tuvumā, kas var veicināt nevēlamu interesi par azartspēlēm. </w:t>
            </w:r>
          </w:p>
          <w:p w14:paraId="4911A986" w14:textId="77777777" w:rsidR="00651FC9" w:rsidRPr="00DE1A22" w:rsidRDefault="00651FC9" w:rsidP="00651FC9">
            <w:pPr>
              <w:jc w:val="both"/>
              <w:rPr>
                <w:rFonts w:eastAsia="Times New Roman"/>
                <w:sz w:val="24"/>
                <w:szCs w:val="24"/>
              </w:rPr>
            </w:pPr>
            <w:r w:rsidRPr="00DE1A22">
              <w:rPr>
                <w:rFonts w:eastAsia="Times New Roman"/>
                <w:sz w:val="24"/>
                <w:szCs w:val="24"/>
              </w:rPr>
              <w:t xml:space="preserve">Priekšlikums AIL 41.panta otrajā daļā (Azartspēles nav atļauts organizēt...) iekļaut šādus kritērijus: </w:t>
            </w:r>
          </w:p>
          <w:p w14:paraId="45A147FB" w14:textId="77777777" w:rsidR="00651FC9" w:rsidRPr="00DE1A22" w:rsidRDefault="00651FC9" w:rsidP="00651FC9">
            <w:pPr>
              <w:jc w:val="both"/>
              <w:rPr>
                <w:rFonts w:eastAsia="Times New Roman"/>
                <w:sz w:val="24"/>
                <w:szCs w:val="24"/>
              </w:rPr>
            </w:pPr>
            <w:r w:rsidRPr="00DE1A22">
              <w:rPr>
                <w:rFonts w:eastAsia="Times New Roman"/>
                <w:sz w:val="24"/>
                <w:szCs w:val="24"/>
              </w:rPr>
              <w:t>- Ēkās vai būvēs, kur izvietotas valsts pārvaldes iestādes un kapitālsabiedrības un 500 metru attālumā/ perimetrā no to ieejas;</w:t>
            </w:r>
          </w:p>
          <w:p w14:paraId="57533AE7" w14:textId="77777777" w:rsidR="00651FC9" w:rsidRPr="00DE1A22" w:rsidRDefault="00651FC9" w:rsidP="00651FC9">
            <w:pPr>
              <w:jc w:val="both"/>
              <w:rPr>
                <w:rFonts w:eastAsia="Times New Roman"/>
                <w:sz w:val="24"/>
                <w:szCs w:val="24"/>
              </w:rPr>
            </w:pPr>
            <w:r w:rsidRPr="00DE1A22">
              <w:rPr>
                <w:rFonts w:eastAsia="Times New Roman"/>
                <w:sz w:val="24"/>
                <w:szCs w:val="24"/>
              </w:rPr>
              <w:t>- Ārstniecības, izglītības, kultūras iestādēs, sociālās aprūpes centros un patversmēs, un 500 metru attālumā / perimetrā no to ieejas;</w:t>
            </w:r>
          </w:p>
          <w:p w14:paraId="2F079E24" w14:textId="77777777" w:rsidR="00651FC9" w:rsidRPr="00DE1A22" w:rsidRDefault="00651FC9" w:rsidP="00651FC9">
            <w:pPr>
              <w:jc w:val="both"/>
              <w:rPr>
                <w:rFonts w:eastAsia="Times New Roman"/>
                <w:sz w:val="24"/>
                <w:szCs w:val="24"/>
              </w:rPr>
            </w:pPr>
            <w:r w:rsidRPr="00DE1A22">
              <w:rPr>
                <w:rFonts w:eastAsia="Times New Roman"/>
                <w:sz w:val="24"/>
                <w:szCs w:val="24"/>
              </w:rPr>
              <w:t>- Bērnu rotaļu laukumos un 500 metru attālumā/ perimetrā no to ieejas;</w:t>
            </w:r>
          </w:p>
          <w:p w14:paraId="524A85F9" w14:textId="77777777" w:rsidR="00651FC9" w:rsidRPr="00DE1A22" w:rsidRDefault="00651FC9" w:rsidP="00651FC9">
            <w:pPr>
              <w:jc w:val="both"/>
              <w:rPr>
                <w:rFonts w:eastAsia="Times New Roman"/>
                <w:sz w:val="24"/>
                <w:szCs w:val="24"/>
              </w:rPr>
            </w:pPr>
            <w:r w:rsidRPr="00DE1A22">
              <w:rPr>
                <w:rFonts w:eastAsia="Times New Roman"/>
                <w:sz w:val="24"/>
                <w:szCs w:val="24"/>
              </w:rPr>
              <w:t>- Dzelzceļa stacijās, autoostās, lidostās, ostās un 50 metru attālumā/ perimetrā no to ieejas;</w:t>
            </w:r>
          </w:p>
          <w:p w14:paraId="10027275" w14:textId="77777777" w:rsidR="00651FC9" w:rsidRPr="00DE1A22" w:rsidRDefault="00651FC9" w:rsidP="00651FC9">
            <w:pPr>
              <w:jc w:val="both"/>
              <w:rPr>
                <w:rFonts w:eastAsia="Times New Roman"/>
                <w:sz w:val="24"/>
                <w:szCs w:val="24"/>
              </w:rPr>
            </w:pPr>
            <w:r w:rsidRPr="00DE1A22">
              <w:rPr>
                <w:rFonts w:eastAsia="Times New Roman"/>
                <w:sz w:val="24"/>
                <w:szCs w:val="24"/>
              </w:rPr>
              <w:t>- Tirdzniecības centros (lielveikalos) un 50 metru attālumā/ perimetrā no to ieejas;</w:t>
            </w:r>
          </w:p>
          <w:p w14:paraId="48EDB38B" w14:textId="77777777" w:rsidR="00651FC9" w:rsidRPr="00DE1A22" w:rsidRDefault="00651FC9" w:rsidP="00651FC9">
            <w:pPr>
              <w:jc w:val="both"/>
              <w:rPr>
                <w:rFonts w:eastAsia="Times New Roman"/>
                <w:sz w:val="24"/>
                <w:szCs w:val="24"/>
              </w:rPr>
            </w:pPr>
            <w:r w:rsidRPr="00DE1A22">
              <w:rPr>
                <w:rFonts w:eastAsia="Times New Roman"/>
                <w:sz w:val="24"/>
                <w:szCs w:val="24"/>
              </w:rPr>
              <w:t>- Dzīvojamās ēkās.</w:t>
            </w:r>
          </w:p>
          <w:p w14:paraId="620DA872" w14:textId="77777777" w:rsidR="00651FC9" w:rsidRPr="00DE1A22" w:rsidRDefault="00651FC9" w:rsidP="00651FC9">
            <w:pPr>
              <w:jc w:val="both"/>
              <w:rPr>
                <w:rFonts w:eastAsia="Times New Roman"/>
                <w:sz w:val="24"/>
                <w:szCs w:val="24"/>
              </w:rPr>
            </w:pPr>
            <w:r w:rsidRPr="00DE1A22">
              <w:rPr>
                <w:rFonts w:eastAsia="Times New Roman"/>
                <w:sz w:val="24"/>
                <w:szCs w:val="24"/>
              </w:rPr>
              <w:t xml:space="preserve">Kā minēts Pamatnostādņu projekta pielikumā (50.lpp.), “pētījumi ir apliecinājuši, ka azartspēļu norises vietu attālumam līdz iedzīvotāju dzīves vietai ir statistiski nozīmīga saikne ar paredzamo problemātisko paradumu izplatību pieaugušo populācijā. Iedzīvotājiem, kuri dzīvo 16 km rādiusā no spēļu zālēm vai kazino, pastāv divas reizes augstāks problemātisku spēlēšanas paradumu attīstības risks nekā iedzīvotājiem, kuri dzīvo lielākā attālumā. Šis risks visaugstākais ir 30 gadus vecu, kā arī vecāku iedzīvotāju vidū. Arī attiecībā uz </w:t>
            </w:r>
            <w:r w:rsidRPr="00DE1A22">
              <w:rPr>
                <w:rFonts w:eastAsia="Times New Roman"/>
                <w:sz w:val="24"/>
                <w:szCs w:val="24"/>
              </w:rPr>
              <w:lastRenderedPageBreak/>
              <w:t>citiem azartspēļu veidiem šāda saikne ir konstatēta, proti iedzīvotājiem, kuri dzīvo tuvāk nekā 0,7 km no jebkādas azartspēļu norises vietas, ir 2,05 reizes lielāks problemātisku paradumu attīstības risks nekā iedzīvotājiem, kuri dzīvo vairāk nekā 3 km attālumā. Ņemot vērā, ka risks, ka iedzīvotāji spēlēs azartspēles un ka viņiem izveidosies problemātiski spēlēšanas paradumi, ievērojami palielinās, ja dzīvesvietas tuvumā atrodas spēļu zāle vai kazino, tad šādu azartspēļu vietu ierobežošana ir visbūtiskākā teritorijās, kurās ir liels iedzīvotāju blīvums.”</w:t>
            </w:r>
          </w:p>
          <w:p w14:paraId="41040C29" w14:textId="77777777" w:rsidR="00651FC9" w:rsidRPr="00DE1A22" w:rsidRDefault="00651FC9" w:rsidP="00651FC9">
            <w:pPr>
              <w:jc w:val="both"/>
              <w:rPr>
                <w:rFonts w:eastAsia="Times New Roman"/>
                <w:b/>
                <w:sz w:val="24"/>
                <w:szCs w:val="24"/>
              </w:rPr>
            </w:pPr>
            <w:r w:rsidRPr="00DE1A22">
              <w:rPr>
                <w:rFonts w:eastAsia="Times New Roman"/>
                <w:sz w:val="24"/>
                <w:szCs w:val="24"/>
              </w:rPr>
              <w:t>3) IAUI izvērtē azartspēļu organizēšanas vietas atbilstību pašvaldības teritorijas plānojumam (pārejas periodā – saistošajiem noteikumiem par teritorijām, kurās nedrīkst rīkot un organizēt azartspēles) un AIL likuma prasībām un izsniedz attiecīgās atļaujas.</w:t>
            </w:r>
          </w:p>
        </w:tc>
        <w:tc>
          <w:tcPr>
            <w:tcW w:w="3118" w:type="dxa"/>
            <w:shd w:val="clear" w:color="auto" w:fill="auto"/>
          </w:tcPr>
          <w:p w14:paraId="53534634" w14:textId="77777777" w:rsidR="00651FC9" w:rsidRPr="00DE1A22" w:rsidRDefault="00651FC9" w:rsidP="00651FC9">
            <w:pPr>
              <w:jc w:val="both"/>
              <w:rPr>
                <w:rFonts w:eastAsia="Times New Roman"/>
                <w:b/>
                <w:bCs/>
                <w:sz w:val="24"/>
                <w:szCs w:val="24"/>
                <w:lang w:eastAsia="lv-LV"/>
              </w:rPr>
            </w:pPr>
            <w:r w:rsidRPr="00DE1A22">
              <w:rPr>
                <w:rFonts w:eastAsia="Times New Roman"/>
                <w:b/>
                <w:bCs/>
                <w:sz w:val="24"/>
                <w:szCs w:val="24"/>
                <w:lang w:eastAsia="lv-LV"/>
              </w:rPr>
              <w:lastRenderedPageBreak/>
              <w:t>Daļēji ņemts vērā.</w:t>
            </w:r>
          </w:p>
          <w:p w14:paraId="3CB91368" w14:textId="77777777" w:rsidR="00651FC9" w:rsidRPr="00DE1A22" w:rsidRDefault="00651FC9" w:rsidP="00651FC9">
            <w:pPr>
              <w:jc w:val="both"/>
              <w:rPr>
                <w:sz w:val="24"/>
                <w:szCs w:val="24"/>
              </w:rPr>
            </w:pPr>
            <w:r w:rsidRPr="00DE1A22">
              <w:rPr>
                <w:rFonts w:eastAsia="Times New Roman"/>
                <w:bCs/>
                <w:sz w:val="24"/>
                <w:szCs w:val="24"/>
                <w:lang w:eastAsia="lv-LV"/>
              </w:rPr>
              <w:t>Nosakot azartspēļu organizēšanas vietu tikai 4 vai 5 zvaigžņu viesnīcās, netieši tiktu veicināts nelicencētais azartspēļu tirgus, jo</w:t>
            </w:r>
            <w:r w:rsidRPr="00DE1A22">
              <w:rPr>
                <w:sz w:val="24"/>
                <w:szCs w:val="24"/>
                <w:lang w:eastAsia="lv-LV" w:bidi="lv-LV"/>
              </w:rPr>
              <w:t xml:space="preserve"> aizliegums neizslēgs cilvēku tieksmi spēlēt azartspēles.</w:t>
            </w:r>
            <w:r w:rsidRPr="00DE1A22">
              <w:rPr>
                <w:szCs w:val="28"/>
                <w:lang w:eastAsia="lv-LV" w:bidi="lv-LV"/>
              </w:rPr>
              <w:t xml:space="preserve"> </w:t>
            </w:r>
            <w:r w:rsidRPr="00DE1A22">
              <w:rPr>
                <w:sz w:val="24"/>
                <w:szCs w:val="24"/>
              </w:rPr>
              <w:t>Finanšu ministrijas rīcībā esošajos pētījumos nav uz pierādījumiem balstītas informācijas, kas apliecinātu azartspēļu pilnīgā aizlieguma efektivitāti un negatīvās sekas. Līdz ar to paliek atklāts jautājums, kādā veidā/vai tiks apmierināts pastāvošais pieprasījums pēc azartspēlēm, it īpaši ņemot vērā, ka azartspēļu fenomens ir saistīts ar sociālās frustrācijas (neapmierinātības) jautājumiem (ang. val.</w:t>
            </w:r>
            <w:r w:rsidRPr="00DE1A22">
              <w:rPr>
                <w:i/>
                <w:sz w:val="24"/>
                <w:szCs w:val="24"/>
              </w:rPr>
              <w:t xml:space="preserve"> social frustration</w:t>
            </w:r>
            <w:r w:rsidRPr="00DE1A22">
              <w:rPr>
                <w:sz w:val="24"/>
                <w:szCs w:val="24"/>
              </w:rPr>
              <w:t>)</w:t>
            </w:r>
            <w:r w:rsidRPr="00DE1A22">
              <w:rPr>
                <w:rStyle w:val="FootnoteReference"/>
                <w:sz w:val="24"/>
                <w:szCs w:val="24"/>
              </w:rPr>
              <w:footnoteReference w:id="5"/>
            </w:r>
            <w:r w:rsidRPr="00DE1A22">
              <w:rPr>
                <w:sz w:val="24"/>
                <w:szCs w:val="24"/>
              </w:rPr>
              <w:t xml:space="preserve">, indivīda mēģinājumiem aizbēgt no ikdienas (ang. val. </w:t>
            </w:r>
            <w:r w:rsidRPr="00DE1A22">
              <w:rPr>
                <w:i/>
                <w:sz w:val="24"/>
                <w:szCs w:val="24"/>
              </w:rPr>
              <w:t>escape theories</w:t>
            </w:r>
            <w:r w:rsidRPr="00DE1A22">
              <w:rPr>
                <w:sz w:val="24"/>
                <w:szCs w:val="24"/>
              </w:rPr>
              <w:t>)</w:t>
            </w:r>
            <w:r w:rsidRPr="00DE1A22">
              <w:rPr>
                <w:rStyle w:val="FootnoteReference"/>
                <w:sz w:val="24"/>
                <w:szCs w:val="24"/>
              </w:rPr>
              <w:footnoteReference w:id="6"/>
            </w:r>
            <w:r w:rsidRPr="00DE1A22">
              <w:rPr>
                <w:sz w:val="24"/>
                <w:szCs w:val="24"/>
              </w:rPr>
              <w:t xml:space="preserve"> un piederības jautājumiem azartspēļu </w:t>
            </w:r>
            <w:r w:rsidRPr="00DE1A22">
              <w:rPr>
                <w:sz w:val="24"/>
                <w:szCs w:val="24"/>
              </w:rPr>
              <w:lastRenderedPageBreak/>
              <w:t>spēlētāju subkultūrai (ang. val.</w:t>
            </w:r>
            <w:r w:rsidRPr="00DE1A22">
              <w:rPr>
                <w:rFonts w:eastAsia="SabonLT-Roman"/>
                <w:sz w:val="24"/>
                <w:szCs w:val="24"/>
              </w:rPr>
              <w:t xml:space="preserve"> </w:t>
            </w:r>
            <w:r w:rsidRPr="00DE1A22">
              <w:rPr>
                <w:rFonts w:eastAsia="SabonLT-Roman"/>
                <w:i/>
                <w:sz w:val="24"/>
                <w:szCs w:val="24"/>
              </w:rPr>
              <w:t>subculture studies</w:t>
            </w:r>
            <w:r w:rsidRPr="00DE1A22">
              <w:rPr>
                <w:sz w:val="24"/>
                <w:szCs w:val="24"/>
              </w:rPr>
              <w:t>).</w:t>
            </w:r>
            <w:r w:rsidRPr="00DE1A22">
              <w:rPr>
                <w:rStyle w:val="FootnoteReference"/>
                <w:sz w:val="24"/>
                <w:szCs w:val="24"/>
              </w:rPr>
              <w:footnoteReference w:id="7"/>
            </w:r>
          </w:p>
          <w:p w14:paraId="232A4072" w14:textId="77777777" w:rsidR="00651FC9" w:rsidRPr="00DE1A22" w:rsidRDefault="00651FC9" w:rsidP="00651FC9">
            <w:pPr>
              <w:jc w:val="both"/>
              <w:rPr>
                <w:sz w:val="24"/>
                <w:szCs w:val="24"/>
              </w:rPr>
            </w:pPr>
            <w:r w:rsidRPr="00DE1A22">
              <w:rPr>
                <w:sz w:val="24"/>
                <w:szCs w:val="24"/>
              </w:rPr>
              <w:t>Risinājumā ir jābūt sabalansētam visu ieinteresēto pušu interesēm, galvenokārt, ietekmējot motivāciju personu dalībai azartspēlēs (integrējot  preventīvos pasākumus, sociāli atbildīgas spēles principus, regulāra informācija par azartspēļu atkarības kaitējumu).</w:t>
            </w:r>
          </w:p>
          <w:p w14:paraId="26F709B7" w14:textId="77777777" w:rsidR="00651FC9" w:rsidRPr="00DE1A22" w:rsidRDefault="00651FC9" w:rsidP="00651FC9">
            <w:pPr>
              <w:jc w:val="both"/>
              <w:rPr>
                <w:rFonts w:eastAsia="Times New Roman"/>
                <w:b/>
                <w:bCs/>
                <w:sz w:val="24"/>
                <w:szCs w:val="24"/>
                <w:lang w:eastAsia="lv-LV"/>
              </w:rPr>
            </w:pPr>
          </w:p>
        </w:tc>
        <w:tc>
          <w:tcPr>
            <w:tcW w:w="3402" w:type="dxa"/>
            <w:shd w:val="clear" w:color="auto" w:fill="auto"/>
          </w:tcPr>
          <w:p w14:paraId="6E3C8313" w14:textId="77777777" w:rsidR="00651FC9" w:rsidRPr="00DE1A22" w:rsidRDefault="00651FC9" w:rsidP="00651FC9">
            <w:pPr>
              <w:jc w:val="both"/>
              <w:rPr>
                <w:rFonts w:eastAsia="Times New Roman"/>
                <w:sz w:val="24"/>
                <w:szCs w:val="24"/>
              </w:rPr>
            </w:pPr>
          </w:p>
        </w:tc>
      </w:tr>
      <w:tr w:rsidR="00651FC9" w:rsidRPr="00DE1A22" w14:paraId="31997A2A" w14:textId="77777777" w:rsidTr="008034BE">
        <w:tc>
          <w:tcPr>
            <w:tcW w:w="751" w:type="dxa"/>
            <w:shd w:val="clear" w:color="auto" w:fill="auto"/>
          </w:tcPr>
          <w:p w14:paraId="4025FA49" w14:textId="78769625" w:rsidR="00651FC9" w:rsidRPr="00DE1A22" w:rsidRDefault="00610C5F" w:rsidP="00651FC9">
            <w:pPr>
              <w:spacing w:before="100" w:beforeAutospacing="1" w:after="100" w:afterAutospacing="1"/>
              <w:jc w:val="center"/>
              <w:rPr>
                <w:rFonts w:eastAsia="Times New Roman"/>
                <w:sz w:val="24"/>
                <w:szCs w:val="24"/>
                <w:lang w:eastAsia="lv-LV"/>
              </w:rPr>
            </w:pPr>
            <w:r>
              <w:rPr>
                <w:rFonts w:eastAsia="Times New Roman"/>
                <w:sz w:val="24"/>
                <w:szCs w:val="24"/>
                <w:lang w:eastAsia="lv-LV"/>
              </w:rPr>
              <w:lastRenderedPageBreak/>
              <w:t>29</w:t>
            </w:r>
            <w:r w:rsidR="00651FC9" w:rsidRPr="00DE1A22">
              <w:rPr>
                <w:rFonts w:eastAsia="Times New Roman"/>
                <w:sz w:val="24"/>
                <w:szCs w:val="24"/>
                <w:lang w:eastAsia="lv-LV"/>
              </w:rPr>
              <w:t>.</w:t>
            </w:r>
          </w:p>
        </w:tc>
        <w:tc>
          <w:tcPr>
            <w:tcW w:w="3072" w:type="dxa"/>
            <w:shd w:val="clear" w:color="auto" w:fill="auto"/>
          </w:tcPr>
          <w:p w14:paraId="0BFF8DE7" w14:textId="77777777" w:rsidR="00651FC9" w:rsidRPr="00DE1A22" w:rsidRDefault="00651FC9" w:rsidP="00651FC9">
            <w:pPr>
              <w:jc w:val="both"/>
              <w:rPr>
                <w:rFonts w:eastAsia="Times New Roman"/>
                <w:sz w:val="24"/>
                <w:szCs w:val="24"/>
                <w:lang w:eastAsia="lv-LV"/>
              </w:rPr>
            </w:pPr>
            <w:r w:rsidRPr="00DE1A22">
              <w:rPr>
                <w:rFonts w:eastAsia="Times New Roman"/>
                <w:sz w:val="24"/>
                <w:szCs w:val="24"/>
                <w:lang w:eastAsia="lv-LV"/>
              </w:rPr>
              <w:t>Pamatnostādņu 4. sadaļas 3. rīcības virziena “Azartspēļu un izložu pieejamības regulēšana” 1. uzdevums “Paplašināt to vietu uzskaitījumu, kur aizliegts organizēt azartspēles, paredzot lēmuma pieņemšanu par azartspēļu organizēšanu tikai valsts līmenī.”</w:t>
            </w:r>
          </w:p>
        </w:tc>
        <w:tc>
          <w:tcPr>
            <w:tcW w:w="4394" w:type="dxa"/>
            <w:shd w:val="clear" w:color="auto" w:fill="auto"/>
          </w:tcPr>
          <w:p w14:paraId="65F3800D" w14:textId="77777777" w:rsidR="00651FC9" w:rsidRPr="00DE1A22" w:rsidRDefault="00651FC9" w:rsidP="00651FC9">
            <w:pPr>
              <w:jc w:val="both"/>
              <w:rPr>
                <w:rFonts w:eastAsia="Times New Roman"/>
                <w:b/>
                <w:sz w:val="24"/>
                <w:szCs w:val="24"/>
              </w:rPr>
            </w:pPr>
            <w:r w:rsidRPr="00DE1A22">
              <w:rPr>
                <w:rFonts w:eastAsia="Times New Roman"/>
                <w:b/>
                <w:sz w:val="24"/>
                <w:szCs w:val="24"/>
              </w:rPr>
              <w:t>Latvijas Spēļu biznesa asociācija (05.03.2020. Nr.6/20)</w:t>
            </w:r>
          </w:p>
          <w:p w14:paraId="49846836" w14:textId="77777777" w:rsidR="00651FC9" w:rsidRPr="00DE1A22" w:rsidRDefault="00651FC9" w:rsidP="00651FC9">
            <w:pPr>
              <w:jc w:val="both"/>
              <w:rPr>
                <w:rFonts w:eastAsia="Times New Roman"/>
                <w:sz w:val="24"/>
                <w:szCs w:val="24"/>
              </w:rPr>
            </w:pPr>
            <w:r w:rsidRPr="00DE1A22">
              <w:rPr>
                <w:rFonts w:eastAsia="Times New Roman"/>
                <w:b/>
                <w:sz w:val="24"/>
                <w:szCs w:val="24"/>
              </w:rPr>
              <w:t>Atbalstām centralizāciju licenču izsniegšanā, taču nepiekrītam attālumu noteikšanai no AIL 41.pantā noteiktajām vietām (kā tas norādīts Projekta pielikumā).</w:t>
            </w:r>
            <w:r w:rsidRPr="00DE1A22">
              <w:rPr>
                <w:rFonts w:eastAsia="Times New Roman"/>
                <w:sz w:val="24"/>
                <w:szCs w:val="24"/>
              </w:rPr>
              <w:t xml:space="preserve"> Uzskatām, ka jau šobrīd pastāvošie ierobežojumi nodrošina saprātīgu azartspēļu vietu izvietojumu jau tā blīvajā pilsētvidē. Turklāt, piedāvātie papildu ierobežojumi ir pretrunā ar investīciju aizsardzības principu, jo nevar paļauties, ka blakus netiks atvērts bērnudārzs vai ārstniecības iestāde (piemēram, ģimenes ārsta prakse).</w:t>
            </w:r>
          </w:p>
          <w:p w14:paraId="779EB243" w14:textId="77777777" w:rsidR="00651FC9" w:rsidRPr="00DE1A22" w:rsidRDefault="00651FC9" w:rsidP="00651FC9">
            <w:pPr>
              <w:jc w:val="both"/>
              <w:rPr>
                <w:rFonts w:eastAsia="Times New Roman"/>
                <w:sz w:val="24"/>
                <w:szCs w:val="24"/>
              </w:rPr>
            </w:pPr>
            <w:r w:rsidRPr="00DE1A22">
              <w:rPr>
                <w:rFonts w:eastAsia="Times New Roman"/>
                <w:sz w:val="24"/>
                <w:szCs w:val="24"/>
              </w:rPr>
              <w:lastRenderedPageBreak/>
              <w:t>Sarežģīta būtu arī šādu noteikumu izpildes realizēšana un administrēšana – attālumu mērīšana dabā, iestāžu statusu pārbaude, jaunatvērtu iestāžu monitorēšana.</w:t>
            </w:r>
          </w:p>
          <w:p w14:paraId="1E299B98" w14:textId="77777777" w:rsidR="00651FC9" w:rsidRPr="00DE1A22" w:rsidRDefault="00651FC9" w:rsidP="00651FC9">
            <w:pPr>
              <w:jc w:val="both"/>
              <w:rPr>
                <w:rFonts w:eastAsia="Times New Roman"/>
                <w:sz w:val="24"/>
                <w:szCs w:val="24"/>
              </w:rPr>
            </w:pPr>
            <w:r w:rsidRPr="00DE1A22">
              <w:rPr>
                <w:rFonts w:eastAsia="Times New Roman"/>
                <w:sz w:val="24"/>
                <w:szCs w:val="24"/>
              </w:rPr>
              <w:t>LSBA varētu piekrist vietu, kurās aizliegts organizēt azartspēles, uzskaitījuma papildināšanai ar šādām vietām:</w:t>
            </w:r>
          </w:p>
          <w:p w14:paraId="3D42D562" w14:textId="77777777" w:rsidR="00651FC9" w:rsidRPr="00DE1A22" w:rsidRDefault="00651FC9" w:rsidP="00651FC9">
            <w:pPr>
              <w:jc w:val="both"/>
              <w:rPr>
                <w:rFonts w:eastAsia="Times New Roman"/>
                <w:sz w:val="24"/>
                <w:szCs w:val="24"/>
              </w:rPr>
            </w:pPr>
            <w:r w:rsidRPr="00DE1A22">
              <w:rPr>
                <w:rFonts w:eastAsia="Times New Roman"/>
                <w:b/>
                <w:sz w:val="24"/>
                <w:szCs w:val="24"/>
              </w:rPr>
              <w:t>-</w:t>
            </w:r>
            <w:r w:rsidRPr="00DE1A22">
              <w:rPr>
                <w:rFonts w:eastAsia="Times New Roman"/>
                <w:b/>
                <w:sz w:val="24"/>
                <w:szCs w:val="24"/>
              </w:rPr>
              <w:tab/>
            </w:r>
            <w:r w:rsidRPr="00DE1A22">
              <w:rPr>
                <w:rFonts w:eastAsia="Times New Roman"/>
                <w:sz w:val="24"/>
                <w:szCs w:val="24"/>
              </w:rPr>
              <w:t>Sociālās aprūpes centri;</w:t>
            </w:r>
          </w:p>
          <w:p w14:paraId="4800EF29" w14:textId="77777777" w:rsidR="00651FC9" w:rsidRPr="00DE1A22" w:rsidRDefault="00651FC9" w:rsidP="00651FC9">
            <w:pPr>
              <w:jc w:val="both"/>
              <w:rPr>
                <w:rFonts w:eastAsia="Times New Roman"/>
                <w:sz w:val="24"/>
                <w:szCs w:val="24"/>
              </w:rPr>
            </w:pPr>
            <w:r w:rsidRPr="00DE1A22">
              <w:rPr>
                <w:rFonts w:eastAsia="Times New Roman"/>
                <w:sz w:val="24"/>
                <w:szCs w:val="24"/>
              </w:rPr>
              <w:t>-</w:t>
            </w:r>
            <w:r w:rsidRPr="00DE1A22">
              <w:rPr>
                <w:rFonts w:eastAsia="Times New Roman"/>
                <w:sz w:val="24"/>
                <w:szCs w:val="24"/>
              </w:rPr>
              <w:tab/>
              <w:t>Patversmes</w:t>
            </w:r>
          </w:p>
          <w:p w14:paraId="66E3DA93" w14:textId="77777777" w:rsidR="00651FC9" w:rsidRPr="00DE1A22" w:rsidRDefault="00651FC9" w:rsidP="00651FC9">
            <w:pPr>
              <w:jc w:val="both"/>
              <w:rPr>
                <w:rFonts w:eastAsia="Times New Roman"/>
                <w:sz w:val="24"/>
                <w:szCs w:val="24"/>
              </w:rPr>
            </w:pPr>
            <w:r w:rsidRPr="00DE1A22">
              <w:rPr>
                <w:rFonts w:eastAsia="Times New Roman"/>
                <w:sz w:val="24"/>
                <w:szCs w:val="24"/>
              </w:rPr>
              <w:t>-</w:t>
            </w:r>
            <w:r w:rsidRPr="00DE1A22">
              <w:rPr>
                <w:rFonts w:eastAsia="Times New Roman"/>
                <w:sz w:val="24"/>
                <w:szCs w:val="24"/>
              </w:rPr>
              <w:tab/>
              <w:t>Bērnu rotaļu laukumi.</w:t>
            </w:r>
          </w:p>
          <w:p w14:paraId="4E451BB5" w14:textId="77777777" w:rsidR="00651FC9" w:rsidRPr="00DE1A22" w:rsidRDefault="00651FC9" w:rsidP="00651FC9">
            <w:pPr>
              <w:jc w:val="both"/>
              <w:rPr>
                <w:rFonts w:eastAsia="Times New Roman"/>
                <w:sz w:val="24"/>
                <w:szCs w:val="24"/>
              </w:rPr>
            </w:pPr>
            <w:r w:rsidRPr="00DE1A22">
              <w:rPr>
                <w:rFonts w:eastAsia="Times New Roman"/>
                <w:sz w:val="24"/>
                <w:szCs w:val="24"/>
              </w:rPr>
              <w:t>Gadījumā, ja kāda no likumā minētajām vietām tiktu izveidota pēc azartspēļu zāles ierīkošanas, būtu jāparedz vismaz piecu gadu aizsardzības periods – līdzīgi kā tas ir noteikts AIL 42.panta septītajā daļā.</w:t>
            </w:r>
          </w:p>
          <w:p w14:paraId="4C44D495" w14:textId="77777777" w:rsidR="00651FC9" w:rsidRPr="00DE1A22" w:rsidRDefault="00651FC9" w:rsidP="00651FC9">
            <w:pPr>
              <w:jc w:val="both"/>
              <w:rPr>
                <w:rFonts w:eastAsia="Times New Roman"/>
                <w:sz w:val="24"/>
                <w:szCs w:val="24"/>
              </w:rPr>
            </w:pPr>
            <w:r w:rsidRPr="00DE1A22">
              <w:rPr>
                <w:rFonts w:eastAsia="Times New Roman"/>
                <w:sz w:val="24"/>
                <w:szCs w:val="24"/>
              </w:rPr>
              <w:t>Vēršam uzmanību, piemēram, Vācijas pieredzei.  Divus gadus pēc ierobežojumu spēkā stāšanās joprojām procesā ir liels skaits tiesisku strīdu attiecībā uz lēmumiem slēgt spēļu zāles.</w:t>
            </w:r>
          </w:p>
          <w:p w14:paraId="079C2C34" w14:textId="77777777" w:rsidR="00651FC9" w:rsidRPr="00DE1A22" w:rsidRDefault="00651FC9" w:rsidP="00651FC9">
            <w:pPr>
              <w:jc w:val="both"/>
              <w:rPr>
                <w:rFonts w:eastAsia="Times New Roman"/>
                <w:sz w:val="24"/>
                <w:szCs w:val="24"/>
              </w:rPr>
            </w:pPr>
            <w:r w:rsidRPr="00DE1A22">
              <w:rPr>
                <w:rFonts w:eastAsia="Times New Roman"/>
                <w:sz w:val="24"/>
                <w:szCs w:val="24"/>
              </w:rPr>
              <w:t>Kā norādīts arī Projekta pielikumā attiecībā uz 2.risinājuma izvēli, pastāv risks, ka aizliegumu uzskaitījums būs nepilnīgs un neaptvers visus gadījumus, kur pastāv atkarības palielināšanas riski vai aizliegs azartspēļu organizēšanas vietu atrašanos vietās, kur noteiktu apsvērumu pēc attiecīgie riski faktiski nepastāv.</w:t>
            </w:r>
          </w:p>
          <w:p w14:paraId="0D5872BA" w14:textId="77777777" w:rsidR="00651FC9" w:rsidRPr="00DE1A22" w:rsidRDefault="00651FC9" w:rsidP="00651FC9">
            <w:pPr>
              <w:jc w:val="both"/>
              <w:rPr>
                <w:rFonts w:eastAsia="Times New Roman"/>
                <w:sz w:val="24"/>
                <w:szCs w:val="24"/>
              </w:rPr>
            </w:pPr>
            <w:r w:rsidRPr="00DE1A22">
              <w:rPr>
                <w:rFonts w:eastAsia="Times New Roman"/>
                <w:sz w:val="24"/>
                <w:szCs w:val="24"/>
              </w:rPr>
              <w:t>LSBA kategoriski iebilst pret 2020.gada 20.februāra Projekta saskaņošanas sanāksmē izskanējušo Latvijas Pašvaldību savienības priekšlikumu – paredzēt tiesības pašvaldībām noteikt papildu ierobežojumus teritorijas plānojumos.</w:t>
            </w:r>
          </w:p>
          <w:p w14:paraId="15360704" w14:textId="77777777" w:rsidR="00651FC9" w:rsidRPr="00DE1A22" w:rsidRDefault="00651FC9" w:rsidP="00651FC9">
            <w:pPr>
              <w:jc w:val="both"/>
              <w:rPr>
                <w:rFonts w:eastAsia="Times New Roman"/>
                <w:sz w:val="24"/>
                <w:szCs w:val="24"/>
              </w:rPr>
            </w:pPr>
            <w:r w:rsidRPr="00DE1A22">
              <w:rPr>
                <w:rFonts w:eastAsia="Times New Roman"/>
                <w:sz w:val="24"/>
                <w:szCs w:val="24"/>
              </w:rPr>
              <w:t xml:space="preserve">Latvijas Republikas Satversmes tiesa 2019.gada 16.maija spriedumā lietā Nr. </w:t>
            </w:r>
            <w:r w:rsidRPr="00DE1A22">
              <w:rPr>
                <w:rFonts w:eastAsia="Times New Roman"/>
                <w:sz w:val="24"/>
                <w:szCs w:val="24"/>
              </w:rPr>
              <w:lastRenderedPageBreak/>
              <w:t>2018-17-03  atzina: “Ņemot vērā teritorijas attīstības plānošanas būtību un principus, jāatzīst: ja jau pašvaldībai ir piešķirtas tiesības ar individuāliem lēmumiem liegt  azartspēļu  organizēšanas  vietu  ierīkošanu  savā  teritorijā,  tad  vēl  jo  vairāk pašvaldībai  ir  tiesības  tās  teritorijas  plānojumā  noteikt  attiecīgus  teritorijas izmantošanas aprobežojumus  saskaņā ar teritorijas plānošanas tiesisko regulējumu.” Atbalstot Projekta pielikumā ietverto 2.risinājumu, sabiedrības viedokli un interešu izvērtējumu, kā arī pamattiesību ierobežojuma atbilstību leģitīmajam mērķim būs izvērtējis likumdevējs.</w:t>
            </w:r>
          </w:p>
          <w:p w14:paraId="54B7D5D4" w14:textId="77777777" w:rsidR="00651FC9" w:rsidRPr="00DE1A22" w:rsidRDefault="00651FC9" w:rsidP="00651FC9">
            <w:pPr>
              <w:jc w:val="both"/>
              <w:rPr>
                <w:rFonts w:eastAsia="Times New Roman"/>
                <w:sz w:val="24"/>
                <w:szCs w:val="24"/>
              </w:rPr>
            </w:pPr>
            <w:r w:rsidRPr="00DE1A22">
              <w:rPr>
                <w:rFonts w:eastAsia="Times New Roman"/>
                <w:sz w:val="24"/>
                <w:szCs w:val="24"/>
              </w:rPr>
              <w:t>Likumā “Par izlozēm un azartspēlēm”, kas bija spēkā līdz 31.12.2005., 20.pantā bija noteikts, ka pašvaldības var noteikt teritorijas, kurās nedrīkst atrasties azartspēļu nami (šāda norma bija spēkā jau kopš 1994.gada). Kā atspoguļots</w:t>
            </w:r>
            <w:r w:rsidRPr="00DE1A22">
              <w:rPr>
                <w:rFonts w:eastAsia="Times New Roman"/>
                <w:b/>
                <w:sz w:val="24"/>
                <w:szCs w:val="24"/>
              </w:rPr>
              <w:t xml:space="preserve"> </w:t>
            </w:r>
            <w:r w:rsidRPr="00DE1A22">
              <w:rPr>
                <w:rFonts w:eastAsia="Times New Roman"/>
                <w:sz w:val="24"/>
                <w:szCs w:val="24"/>
              </w:rPr>
              <w:t>Azartspēļu un izložu likuma anotācijā, pie šāda regulējuma ļoti nevienādi tika īstenota pašvaldību loma azartspēļu biznesa regulēšanā. Katrā no pašvaldībām, kura īstenoja minētās tiesības (15 pašvaldības), izvirzītie kritēriji ierobežojumu noteikšanai bija atšķirīgi un mainīgi. Ievērojot minēto, nav pieļaujama situācijas atkārtošanās.</w:t>
            </w:r>
          </w:p>
          <w:p w14:paraId="2B931AC1" w14:textId="77777777" w:rsidR="00651FC9" w:rsidRPr="00DE1A22" w:rsidRDefault="00651FC9" w:rsidP="00651FC9">
            <w:pPr>
              <w:jc w:val="both"/>
              <w:rPr>
                <w:rFonts w:eastAsia="Times New Roman"/>
                <w:sz w:val="24"/>
                <w:szCs w:val="24"/>
              </w:rPr>
            </w:pPr>
            <w:r w:rsidRPr="00DE1A22">
              <w:rPr>
                <w:rFonts w:eastAsia="Times New Roman"/>
                <w:sz w:val="24"/>
                <w:szCs w:val="24"/>
              </w:rPr>
              <w:t xml:space="preserve">Uz šo brīdi ir skaidri redzama pašvaldību attieksme pret azartspēlēm – pašvaldības viena pēc otras, neslēpjot faktu, ka uz šādu soli tās ir pamudinājušas izmaiņas azartspēļu nodokļa sadalījumā (pašvaldībām 5% apmērā līdzšinējo 25% vietā), pamatojoties uz sabiedrisko </w:t>
            </w:r>
            <w:r w:rsidRPr="00DE1A22">
              <w:rPr>
                <w:rFonts w:eastAsia="Times New Roman"/>
                <w:sz w:val="24"/>
                <w:szCs w:val="24"/>
              </w:rPr>
              <w:lastRenderedPageBreak/>
              <w:t>apspriešanu ietvaros izteikto negatīvo viedokli pret azartspēļu zālēm, taču ignorējot iedzīvotāju daļas interesi par azartspēlēm, plāno striktus ierobežojumus.</w:t>
            </w:r>
          </w:p>
          <w:p w14:paraId="457637CD" w14:textId="77777777" w:rsidR="00651FC9" w:rsidRPr="00DE1A22" w:rsidRDefault="00651FC9" w:rsidP="00651FC9">
            <w:pPr>
              <w:jc w:val="both"/>
              <w:rPr>
                <w:rFonts w:eastAsia="Times New Roman"/>
                <w:b/>
                <w:sz w:val="24"/>
                <w:szCs w:val="24"/>
              </w:rPr>
            </w:pPr>
            <w:r w:rsidRPr="00DE1A22">
              <w:rPr>
                <w:rFonts w:eastAsia="Times New Roman"/>
                <w:sz w:val="24"/>
                <w:szCs w:val="24"/>
              </w:rPr>
              <w:t>Kā secināts 2019.gada oktobra GamblingCompliance ziņojumā “Spēļu zāļu regulējums un nelegālo spēļu automātu izplatība Eiropā”, centieni pamatīgi ierobežot vai pilnībā aizliegt spēļu automātus Eiropas galvenajos spēļu automātu tirgos visur bez izņēmuma ir veicinājuši redzamu nelicencētā tirgus aktivitātes pieaugumu un noveduši līdz dārgai un tikai daļēji efektīvai nelegālo automātu apkarošanai.</w:t>
            </w:r>
          </w:p>
        </w:tc>
        <w:tc>
          <w:tcPr>
            <w:tcW w:w="3118" w:type="dxa"/>
            <w:shd w:val="clear" w:color="auto" w:fill="auto"/>
          </w:tcPr>
          <w:p w14:paraId="63479D92" w14:textId="77777777" w:rsidR="00651FC9" w:rsidRPr="00DE1A22" w:rsidRDefault="00651FC9" w:rsidP="00651FC9">
            <w:pPr>
              <w:jc w:val="both"/>
              <w:rPr>
                <w:rFonts w:eastAsia="Times New Roman"/>
                <w:b/>
                <w:bCs/>
                <w:sz w:val="24"/>
                <w:szCs w:val="24"/>
                <w:lang w:eastAsia="lv-LV"/>
              </w:rPr>
            </w:pPr>
            <w:r w:rsidRPr="00DE1A22">
              <w:rPr>
                <w:rFonts w:eastAsia="Times New Roman"/>
                <w:b/>
                <w:bCs/>
                <w:sz w:val="24"/>
                <w:szCs w:val="24"/>
                <w:lang w:eastAsia="lv-LV"/>
              </w:rPr>
              <w:lastRenderedPageBreak/>
              <w:t>Daļēji ņemts vērā.</w:t>
            </w:r>
          </w:p>
          <w:p w14:paraId="4D74CBAC" w14:textId="77777777" w:rsidR="00651FC9" w:rsidRPr="00DE1A22" w:rsidRDefault="00651FC9" w:rsidP="00651FC9">
            <w:pPr>
              <w:jc w:val="both"/>
              <w:rPr>
                <w:rFonts w:eastAsia="Times New Roman"/>
                <w:b/>
                <w:bCs/>
                <w:sz w:val="24"/>
                <w:szCs w:val="24"/>
                <w:lang w:eastAsia="lv-LV"/>
              </w:rPr>
            </w:pPr>
          </w:p>
        </w:tc>
        <w:tc>
          <w:tcPr>
            <w:tcW w:w="3402" w:type="dxa"/>
            <w:shd w:val="clear" w:color="auto" w:fill="auto"/>
          </w:tcPr>
          <w:p w14:paraId="14B652F7" w14:textId="77777777" w:rsidR="00651FC9" w:rsidRPr="00DE1A22" w:rsidRDefault="00651FC9" w:rsidP="00651FC9">
            <w:pPr>
              <w:jc w:val="both"/>
              <w:rPr>
                <w:rFonts w:eastAsia="Times New Roman"/>
                <w:sz w:val="24"/>
                <w:szCs w:val="24"/>
              </w:rPr>
            </w:pPr>
            <w:r w:rsidRPr="00DE1A22">
              <w:rPr>
                <w:rFonts w:eastAsia="Times New Roman"/>
                <w:sz w:val="24"/>
                <w:szCs w:val="24"/>
                <w:lang w:eastAsia="lv-LV"/>
              </w:rPr>
              <w:t>Atbilstoši precizēts Pamatnostādņu pielikuma 4.sadaļas 2.risinājums – Azartspēļu organizēšanas vietu ierobežošanas nosacījumu atrunāšana likumā.</w:t>
            </w:r>
          </w:p>
        </w:tc>
      </w:tr>
      <w:tr w:rsidR="00651FC9" w:rsidRPr="00DE1A22" w14:paraId="0C36ADF7" w14:textId="77777777" w:rsidTr="008034BE">
        <w:tc>
          <w:tcPr>
            <w:tcW w:w="751" w:type="dxa"/>
            <w:shd w:val="clear" w:color="auto" w:fill="auto"/>
          </w:tcPr>
          <w:p w14:paraId="67F06C15" w14:textId="502284CB" w:rsidR="00651FC9" w:rsidRPr="00DE1A22" w:rsidDel="00651FC9" w:rsidRDefault="00610C5F" w:rsidP="00651FC9">
            <w:pPr>
              <w:spacing w:before="100" w:beforeAutospacing="1" w:after="100" w:afterAutospacing="1"/>
              <w:jc w:val="center"/>
              <w:rPr>
                <w:rFonts w:eastAsia="Times New Roman"/>
                <w:sz w:val="24"/>
                <w:szCs w:val="24"/>
                <w:lang w:eastAsia="lv-LV"/>
              </w:rPr>
            </w:pPr>
            <w:r>
              <w:rPr>
                <w:rFonts w:eastAsia="Times New Roman"/>
                <w:sz w:val="24"/>
                <w:szCs w:val="24"/>
                <w:lang w:eastAsia="lv-LV"/>
              </w:rPr>
              <w:lastRenderedPageBreak/>
              <w:t>30</w:t>
            </w:r>
            <w:r w:rsidR="00651FC9" w:rsidRPr="00DE1A22">
              <w:rPr>
                <w:rFonts w:eastAsia="Times New Roman"/>
                <w:sz w:val="24"/>
                <w:szCs w:val="24"/>
                <w:lang w:eastAsia="lv-LV"/>
              </w:rPr>
              <w:t>.</w:t>
            </w:r>
          </w:p>
        </w:tc>
        <w:tc>
          <w:tcPr>
            <w:tcW w:w="3072" w:type="dxa"/>
            <w:shd w:val="clear" w:color="auto" w:fill="auto"/>
          </w:tcPr>
          <w:p w14:paraId="0D6F3EC5" w14:textId="77777777" w:rsidR="00651FC9" w:rsidRPr="00DE1A22" w:rsidRDefault="00651FC9" w:rsidP="00651FC9">
            <w:pPr>
              <w:jc w:val="both"/>
              <w:rPr>
                <w:rFonts w:eastAsia="Times New Roman"/>
                <w:sz w:val="24"/>
                <w:szCs w:val="24"/>
                <w:lang w:eastAsia="lv-LV"/>
              </w:rPr>
            </w:pPr>
            <w:r w:rsidRPr="00DE1A22">
              <w:rPr>
                <w:rFonts w:eastAsia="Times New Roman"/>
                <w:sz w:val="24"/>
                <w:szCs w:val="24"/>
                <w:lang w:eastAsia="lv-LV"/>
              </w:rPr>
              <w:t>Pamatnostādņu pielikuma 4.sadaļas 5. rīcības virziens “Azartspēļu un izložu nozares attīstības tendenču monitorings” 4. uzdevums “Publikācijas un informatīvie materiāli.”.</w:t>
            </w:r>
          </w:p>
        </w:tc>
        <w:tc>
          <w:tcPr>
            <w:tcW w:w="4394" w:type="dxa"/>
            <w:shd w:val="clear" w:color="auto" w:fill="auto"/>
          </w:tcPr>
          <w:p w14:paraId="7FC7B692" w14:textId="77777777" w:rsidR="00651FC9" w:rsidRPr="00DE1A22" w:rsidRDefault="00651FC9" w:rsidP="00651FC9">
            <w:pPr>
              <w:jc w:val="both"/>
              <w:rPr>
                <w:rFonts w:eastAsia="Times New Roman"/>
                <w:b/>
                <w:sz w:val="24"/>
                <w:szCs w:val="24"/>
              </w:rPr>
            </w:pPr>
            <w:r w:rsidRPr="00DE1A22">
              <w:rPr>
                <w:rFonts w:eastAsia="Times New Roman"/>
                <w:b/>
                <w:sz w:val="24"/>
                <w:szCs w:val="24"/>
              </w:rPr>
              <w:t>Veselības ministrija (02.03.2020. Nr.01-09/1090)</w:t>
            </w:r>
          </w:p>
          <w:p w14:paraId="2BB40949" w14:textId="77777777" w:rsidR="00651FC9" w:rsidRPr="00DE1A22" w:rsidRDefault="00651FC9" w:rsidP="00651FC9">
            <w:pPr>
              <w:jc w:val="both"/>
              <w:rPr>
                <w:rFonts w:eastAsia="Times New Roman"/>
                <w:b/>
                <w:sz w:val="24"/>
                <w:szCs w:val="24"/>
              </w:rPr>
            </w:pPr>
            <w:r w:rsidRPr="00DE1A22">
              <w:rPr>
                <w:rFonts w:eastAsia="Times New Roman"/>
                <w:sz w:val="24"/>
                <w:szCs w:val="24"/>
              </w:rPr>
              <w:t>Lūdzam svītrot Veselības ministriju kā atbildīgo institūciju no pamatnostādņu projekta 5.rīcības virziena 4.uzdevuma, ņemot vērā, ka Veselības ministrijas kompetence nav sagatavot publikācijas un informatīvos materiālus par azartspēļu un izložu nozares attīstības tendenču monitoringu.</w:t>
            </w:r>
          </w:p>
        </w:tc>
        <w:tc>
          <w:tcPr>
            <w:tcW w:w="3118" w:type="dxa"/>
            <w:shd w:val="clear" w:color="auto" w:fill="auto"/>
          </w:tcPr>
          <w:p w14:paraId="34D4EDF1" w14:textId="77777777" w:rsidR="00651FC9" w:rsidRPr="00DE1A22" w:rsidRDefault="00651FC9" w:rsidP="00651FC9">
            <w:pPr>
              <w:jc w:val="both"/>
              <w:rPr>
                <w:rFonts w:eastAsia="Times New Roman"/>
                <w:b/>
                <w:bCs/>
                <w:sz w:val="24"/>
                <w:szCs w:val="24"/>
                <w:lang w:eastAsia="lv-LV"/>
              </w:rPr>
            </w:pPr>
            <w:r w:rsidRPr="00DE1A22">
              <w:rPr>
                <w:rFonts w:eastAsia="Times New Roman"/>
                <w:b/>
                <w:bCs/>
                <w:sz w:val="24"/>
                <w:szCs w:val="24"/>
                <w:lang w:eastAsia="lv-LV"/>
              </w:rPr>
              <w:t>Ņemts vērā.</w:t>
            </w:r>
          </w:p>
          <w:p w14:paraId="67B907C5" w14:textId="77777777" w:rsidR="00651FC9" w:rsidRPr="00DE1A22" w:rsidRDefault="00651FC9" w:rsidP="00651FC9">
            <w:pPr>
              <w:jc w:val="both"/>
              <w:rPr>
                <w:rFonts w:eastAsia="Times New Roman"/>
                <w:b/>
                <w:bCs/>
                <w:sz w:val="24"/>
                <w:szCs w:val="24"/>
                <w:lang w:eastAsia="lv-LV"/>
              </w:rPr>
            </w:pPr>
          </w:p>
        </w:tc>
        <w:tc>
          <w:tcPr>
            <w:tcW w:w="3402" w:type="dxa"/>
            <w:shd w:val="clear" w:color="auto" w:fill="auto"/>
          </w:tcPr>
          <w:p w14:paraId="406C0CDF" w14:textId="77777777" w:rsidR="00651FC9" w:rsidRPr="00DE1A22" w:rsidRDefault="00651FC9" w:rsidP="00651FC9">
            <w:pPr>
              <w:jc w:val="both"/>
              <w:rPr>
                <w:rFonts w:eastAsia="Times New Roman"/>
                <w:sz w:val="24"/>
                <w:szCs w:val="24"/>
              </w:rPr>
            </w:pPr>
            <w:r w:rsidRPr="00DE1A22">
              <w:rPr>
                <w:rFonts w:eastAsia="Times New Roman"/>
                <w:sz w:val="24"/>
                <w:szCs w:val="24"/>
              </w:rPr>
              <w:t>Atbilstoši precizēts Pamatnostādņu 4.sadaļas 5.rīcības virziena “</w:t>
            </w:r>
            <w:r w:rsidRPr="00DE1A22">
              <w:rPr>
                <w:bCs/>
                <w:sz w:val="24"/>
                <w:szCs w:val="24"/>
              </w:rPr>
              <w:t>Azartspēļu un izložu nozares attīstības tendenču monitorings” 4.uzdevums.</w:t>
            </w:r>
          </w:p>
        </w:tc>
      </w:tr>
      <w:tr w:rsidR="00651FC9" w:rsidRPr="00DE1A22" w14:paraId="2D68F426" w14:textId="77777777" w:rsidTr="008034BE">
        <w:tc>
          <w:tcPr>
            <w:tcW w:w="751" w:type="dxa"/>
            <w:shd w:val="clear" w:color="auto" w:fill="auto"/>
          </w:tcPr>
          <w:p w14:paraId="28BCA63D" w14:textId="1DC801AD" w:rsidR="00651FC9" w:rsidRPr="00DE1A22" w:rsidDel="00651FC9" w:rsidRDefault="00610C5F" w:rsidP="00651FC9">
            <w:pPr>
              <w:spacing w:before="100" w:beforeAutospacing="1" w:after="100" w:afterAutospacing="1"/>
              <w:jc w:val="center"/>
              <w:rPr>
                <w:rFonts w:eastAsia="Times New Roman"/>
                <w:sz w:val="24"/>
                <w:szCs w:val="24"/>
                <w:lang w:eastAsia="lv-LV"/>
              </w:rPr>
            </w:pPr>
            <w:r>
              <w:rPr>
                <w:rFonts w:eastAsia="Times New Roman"/>
                <w:sz w:val="24"/>
                <w:szCs w:val="24"/>
                <w:lang w:eastAsia="lv-LV"/>
              </w:rPr>
              <w:t>31</w:t>
            </w:r>
            <w:r w:rsidR="00651FC9" w:rsidRPr="00DE1A22">
              <w:rPr>
                <w:rFonts w:eastAsia="Times New Roman"/>
                <w:sz w:val="24"/>
                <w:szCs w:val="24"/>
                <w:lang w:eastAsia="lv-LV"/>
              </w:rPr>
              <w:t>.</w:t>
            </w:r>
          </w:p>
        </w:tc>
        <w:tc>
          <w:tcPr>
            <w:tcW w:w="3072" w:type="dxa"/>
            <w:shd w:val="clear" w:color="auto" w:fill="auto"/>
          </w:tcPr>
          <w:p w14:paraId="68422CE7" w14:textId="77777777" w:rsidR="00651FC9" w:rsidRPr="00DE1A22" w:rsidRDefault="00651FC9" w:rsidP="00651FC9">
            <w:pPr>
              <w:jc w:val="both"/>
              <w:rPr>
                <w:rFonts w:eastAsia="Times New Roman"/>
                <w:sz w:val="24"/>
                <w:szCs w:val="24"/>
                <w:lang w:eastAsia="lv-LV"/>
              </w:rPr>
            </w:pPr>
            <w:r w:rsidRPr="00DE1A22">
              <w:rPr>
                <w:rFonts w:eastAsia="Times New Roman"/>
                <w:sz w:val="24"/>
                <w:szCs w:val="24"/>
                <w:lang w:eastAsia="lv-LV"/>
              </w:rPr>
              <w:t xml:space="preserve">Pamatnostādņu pielikuma 4. sadaļas 5. rīcības virziens “Azartspēļu un izložu nozares attīstības tendenču monitorings” 5. uzdevums “Izvērtēt nepieciešamību azartspēļu un izložu regulējumu attiecināt arī uz datorspēlēm, kā arī noteikt pasākumus  azartspēļu </w:t>
            </w:r>
            <w:r w:rsidRPr="00DE1A22">
              <w:rPr>
                <w:rFonts w:eastAsia="Times New Roman"/>
                <w:sz w:val="24"/>
                <w:szCs w:val="24"/>
                <w:lang w:eastAsia="lv-LV"/>
              </w:rPr>
              <w:lastRenderedPageBreak/>
              <w:t>atkarības veidošanas risku mazināšanai datorspēlēs.”.</w:t>
            </w:r>
          </w:p>
        </w:tc>
        <w:tc>
          <w:tcPr>
            <w:tcW w:w="4394" w:type="dxa"/>
            <w:shd w:val="clear" w:color="auto" w:fill="auto"/>
          </w:tcPr>
          <w:p w14:paraId="4DC18357" w14:textId="77777777" w:rsidR="00651FC9" w:rsidRPr="00DE1A22" w:rsidRDefault="00651FC9" w:rsidP="00651FC9">
            <w:pPr>
              <w:jc w:val="both"/>
              <w:rPr>
                <w:rFonts w:eastAsia="Times New Roman"/>
                <w:b/>
                <w:sz w:val="24"/>
                <w:szCs w:val="24"/>
              </w:rPr>
            </w:pPr>
            <w:r w:rsidRPr="00DE1A22">
              <w:rPr>
                <w:rFonts w:eastAsia="Times New Roman"/>
                <w:b/>
                <w:sz w:val="24"/>
                <w:szCs w:val="24"/>
              </w:rPr>
              <w:lastRenderedPageBreak/>
              <w:t>Veselības ministrija (02.03.2020. Nr.01-09/1090)</w:t>
            </w:r>
          </w:p>
          <w:p w14:paraId="13D89040" w14:textId="77777777" w:rsidR="00651FC9" w:rsidRPr="00DE1A22" w:rsidRDefault="00651FC9" w:rsidP="00651FC9">
            <w:pPr>
              <w:jc w:val="both"/>
              <w:rPr>
                <w:rFonts w:eastAsia="Times New Roman"/>
                <w:b/>
                <w:sz w:val="24"/>
                <w:szCs w:val="24"/>
              </w:rPr>
            </w:pPr>
            <w:r w:rsidRPr="00DE1A22">
              <w:rPr>
                <w:rFonts w:eastAsia="Times New Roman"/>
                <w:b/>
                <w:sz w:val="24"/>
                <w:szCs w:val="24"/>
              </w:rPr>
              <w:t>Lūdzam paplašināt pamatnostādņu projekta 5.rīcības virziena 5.uzdevumu to attiecinot uz visām videospēlēm</w:t>
            </w:r>
            <w:r w:rsidRPr="00DE1A22">
              <w:rPr>
                <w:rFonts w:eastAsia="Times New Roman"/>
                <w:sz w:val="24"/>
                <w:szCs w:val="24"/>
              </w:rPr>
              <w:t>, ņemot vērā, ka datorspēle ir videospēle, kuru spēlē, izmantojot personālo datoru, bet to var spēlēt arī izmantojot, piemēram, mobilos telefonus.</w:t>
            </w:r>
          </w:p>
        </w:tc>
        <w:tc>
          <w:tcPr>
            <w:tcW w:w="3118" w:type="dxa"/>
            <w:shd w:val="clear" w:color="auto" w:fill="auto"/>
          </w:tcPr>
          <w:p w14:paraId="7622B373" w14:textId="77777777" w:rsidR="00651FC9" w:rsidRPr="00DE1A22" w:rsidRDefault="00651FC9" w:rsidP="00651FC9">
            <w:pPr>
              <w:jc w:val="both"/>
              <w:rPr>
                <w:rFonts w:eastAsia="Times New Roman"/>
                <w:b/>
                <w:bCs/>
                <w:sz w:val="24"/>
                <w:szCs w:val="24"/>
                <w:lang w:eastAsia="lv-LV"/>
              </w:rPr>
            </w:pPr>
            <w:r w:rsidRPr="00DE1A22">
              <w:rPr>
                <w:rFonts w:eastAsia="Times New Roman"/>
                <w:b/>
                <w:bCs/>
                <w:sz w:val="24"/>
                <w:szCs w:val="24"/>
                <w:lang w:eastAsia="lv-LV"/>
              </w:rPr>
              <w:t>Ņemts vērā.</w:t>
            </w:r>
          </w:p>
          <w:p w14:paraId="2C4B3891" w14:textId="77777777" w:rsidR="00651FC9" w:rsidRPr="00DE1A22" w:rsidRDefault="00651FC9" w:rsidP="00651FC9">
            <w:pPr>
              <w:jc w:val="both"/>
              <w:rPr>
                <w:rFonts w:eastAsia="Times New Roman"/>
                <w:b/>
                <w:bCs/>
                <w:sz w:val="24"/>
                <w:szCs w:val="24"/>
                <w:lang w:eastAsia="lv-LV"/>
              </w:rPr>
            </w:pPr>
          </w:p>
        </w:tc>
        <w:tc>
          <w:tcPr>
            <w:tcW w:w="3402" w:type="dxa"/>
            <w:shd w:val="clear" w:color="auto" w:fill="auto"/>
          </w:tcPr>
          <w:p w14:paraId="5CC5DAD5" w14:textId="77777777" w:rsidR="00651FC9" w:rsidRPr="00DE1A22" w:rsidRDefault="00651FC9" w:rsidP="00651FC9">
            <w:pPr>
              <w:jc w:val="both"/>
              <w:rPr>
                <w:rFonts w:eastAsia="Times New Roman"/>
                <w:sz w:val="24"/>
                <w:szCs w:val="24"/>
              </w:rPr>
            </w:pPr>
            <w:r w:rsidRPr="00DE1A22">
              <w:rPr>
                <w:rFonts w:eastAsia="Times New Roman"/>
                <w:sz w:val="24"/>
                <w:szCs w:val="24"/>
              </w:rPr>
              <w:t>Atbilstoši precizēts Pamatnostādņu projekts un pielikums.</w:t>
            </w:r>
          </w:p>
        </w:tc>
      </w:tr>
      <w:tr w:rsidR="00651FC9" w:rsidRPr="00DE1A22" w14:paraId="1FFFF070" w14:textId="77777777" w:rsidTr="008034BE">
        <w:tc>
          <w:tcPr>
            <w:tcW w:w="751" w:type="dxa"/>
            <w:shd w:val="clear" w:color="auto" w:fill="auto"/>
          </w:tcPr>
          <w:p w14:paraId="2E6B1652" w14:textId="09506F36" w:rsidR="00651FC9" w:rsidRPr="00DE1A22" w:rsidRDefault="00610C5F" w:rsidP="00651FC9">
            <w:pPr>
              <w:spacing w:before="100" w:beforeAutospacing="1" w:after="100" w:afterAutospacing="1"/>
              <w:jc w:val="center"/>
              <w:rPr>
                <w:rFonts w:eastAsia="Times New Roman"/>
                <w:sz w:val="24"/>
                <w:szCs w:val="24"/>
                <w:lang w:eastAsia="lv-LV"/>
              </w:rPr>
            </w:pPr>
            <w:r>
              <w:rPr>
                <w:rFonts w:eastAsia="Times New Roman"/>
                <w:sz w:val="24"/>
                <w:szCs w:val="24"/>
                <w:lang w:eastAsia="lv-LV"/>
              </w:rPr>
              <w:t>32</w:t>
            </w:r>
            <w:r w:rsidR="00651FC9" w:rsidRPr="00DE1A22">
              <w:rPr>
                <w:rFonts w:eastAsia="Times New Roman"/>
                <w:sz w:val="24"/>
                <w:szCs w:val="24"/>
                <w:lang w:eastAsia="lv-LV"/>
              </w:rPr>
              <w:t>.</w:t>
            </w:r>
          </w:p>
        </w:tc>
        <w:tc>
          <w:tcPr>
            <w:tcW w:w="3072" w:type="dxa"/>
            <w:shd w:val="clear" w:color="auto" w:fill="auto"/>
          </w:tcPr>
          <w:p w14:paraId="5D440A53" w14:textId="77777777" w:rsidR="00651FC9" w:rsidRPr="00DE1A22" w:rsidRDefault="00651FC9" w:rsidP="00651FC9">
            <w:pPr>
              <w:jc w:val="both"/>
              <w:rPr>
                <w:rFonts w:eastAsia="Times New Roman"/>
                <w:sz w:val="24"/>
                <w:szCs w:val="24"/>
                <w:lang w:eastAsia="lv-LV"/>
              </w:rPr>
            </w:pPr>
            <w:r w:rsidRPr="00DE1A22">
              <w:rPr>
                <w:rFonts w:eastAsia="Times New Roman"/>
                <w:sz w:val="24"/>
                <w:szCs w:val="24"/>
                <w:lang w:eastAsia="lv-LV"/>
              </w:rPr>
              <w:t xml:space="preserve">Pamatnostādņu 6.sadaļas piektais pasākums “Īstenot izglītojošas profilakses programmas skolās par procesu atkarības riskiem, adaptējot labās prakses programmas modeli no citām valstīm: </w:t>
            </w:r>
          </w:p>
          <w:p w14:paraId="164CF762" w14:textId="77777777" w:rsidR="00651FC9" w:rsidRPr="00DE1A22" w:rsidRDefault="00651FC9" w:rsidP="00651FC9">
            <w:pPr>
              <w:jc w:val="both"/>
              <w:rPr>
                <w:rFonts w:eastAsia="Times New Roman"/>
                <w:sz w:val="24"/>
                <w:szCs w:val="24"/>
                <w:lang w:eastAsia="lv-LV"/>
              </w:rPr>
            </w:pPr>
            <w:r w:rsidRPr="00DE1A22">
              <w:rPr>
                <w:rFonts w:eastAsia="Times New Roman"/>
                <w:sz w:val="24"/>
                <w:szCs w:val="24"/>
                <w:lang w:eastAsia="lv-LV"/>
              </w:rPr>
              <w:t xml:space="preserve">1) izstrādāt materiālus izglītojošām skolu prevencijas programmām skolēniem, programmu vadītājiem; </w:t>
            </w:r>
          </w:p>
          <w:p w14:paraId="21BB2D4A" w14:textId="77777777" w:rsidR="00651FC9" w:rsidRPr="00DE1A22" w:rsidRDefault="00651FC9" w:rsidP="00651FC9">
            <w:pPr>
              <w:jc w:val="both"/>
              <w:rPr>
                <w:rFonts w:eastAsia="Times New Roman"/>
                <w:sz w:val="24"/>
                <w:szCs w:val="24"/>
                <w:lang w:eastAsia="lv-LV"/>
              </w:rPr>
            </w:pPr>
            <w:r w:rsidRPr="00DE1A22">
              <w:rPr>
                <w:rFonts w:eastAsia="Times New Roman"/>
                <w:sz w:val="24"/>
                <w:szCs w:val="24"/>
                <w:lang w:eastAsia="lv-LV"/>
              </w:rPr>
              <w:t>2) apmācīt programmu vadītājus;</w:t>
            </w:r>
          </w:p>
          <w:p w14:paraId="24C53CB0" w14:textId="77777777" w:rsidR="00651FC9" w:rsidRPr="00DE1A22" w:rsidRDefault="00651FC9" w:rsidP="00651FC9">
            <w:pPr>
              <w:jc w:val="both"/>
              <w:rPr>
                <w:rFonts w:eastAsia="Times New Roman"/>
                <w:sz w:val="24"/>
                <w:szCs w:val="24"/>
                <w:lang w:eastAsia="lv-LV"/>
              </w:rPr>
            </w:pPr>
            <w:r w:rsidRPr="00DE1A22">
              <w:rPr>
                <w:rFonts w:eastAsia="Times New Roman"/>
                <w:sz w:val="24"/>
                <w:szCs w:val="24"/>
                <w:lang w:eastAsia="lv-LV"/>
              </w:rPr>
              <w:t>3) īstenot programmu (norāda skaitu) skolās Latvijā”.</w:t>
            </w:r>
          </w:p>
        </w:tc>
        <w:tc>
          <w:tcPr>
            <w:tcW w:w="4394" w:type="dxa"/>
            <w:shd w:val="clear" w:color="auto" w:fill="auto"/>
          </w:tcPr>
          <w:p w14:paraId="3DB5E662" w14:textId="77777777" w:rsidR="00651FC9" w:rsidRPr="00DE1A22" w:rsidRDefault="00651FC9" w:rsidP="00651FC9">
            <w:pPr>
              <w:jc w:val="both"/>
              <w:rPr>
                <w:rFonts w:eastAsia="Times New Roman"/>
                <w:b/>
                <w:sz w:val="24"/>
                <w:szCs w:val="24"/>
              </w:rPr>
            </w:pPr>
            <w:r w:rsidRPr="00DE1A22">
              <w:rPr>
                <w:rFonts w:eastAsia="Times New Roman"/>
                <w:b/>
                <w:sz w:val="24"/>
                <w:szCs w:val="24"/>
              </w:rPr>
              <w:t>Latvijas Lielo pilsētu asociācija</w:t>
            </w:r>
          </w:p>
          <w:p w14:paraId="06540B28" w14:textId="77777777" w:rsidR="00651FC9" w:rsidRPr="00DE1A22" w:rsidRDefault="00651FC9" w:rsidP="00651FC9">
            <w:pPr>
              <w:jc w:val="both"/>
              <w:rPr>
                <w:rFonts w:eastAsia="Times New Roman"/>
                <w:sz w:val="24"/>
                <w:szCs w:val="24"/>
              </w:rPr>
            </w:pPr>
            <w:r w:rsidRPr="00DE1A22">
              <w:rPr>
                <w:rFonts w:eastAsia="Times New Roman"/>
                <w:sz w:val="24"/>
                <w:szCs w:val="24"/>
              </w:rPr>
              <w:t>Priekšlikums izstrādāt un izveidot ilgtspējīgu, vienotu un sistemātisku  programmu procesu atkarības profilaksē. Būtu lietderīgi apzināt jau pastāvošo labo praksi lielajās Latvijas pilsētās, to sasaistot kopā ar ārvalstu pieredzi.</w:t>
            </w:r>
          </w:p>
        </w:tc>
        <w:tc>
          <w:tcPr>
            <w:tcW w:w="3118" w:type="dxa"/>
            <w:shd w:val="clear" w:color="auto" w:fill="auto"/>
          </w:tcPr>
          <w:p w14:paraId="613CB0EE" w14:textId="77777777" w:rsidR="00651FC9" w:rsidRPr="00DE1A22" w:rsidRDefault="00651FC9" w:rsidP="00651FC9">
            <w:pPr>
              <w:jc w:val="both"/>
              <w:rPr>
                <w:rFonts w:eastAsia="Times New Roman"/>
                <w:b/>
                <w:bCs/>
                <w:sz w:val="24"/>
                <w:szCs w:val="24"/>
                <w:lang w:eastAsia="lv-LV"/>
              </w:rPr>
            </w:pPr>
            <w:r w:rsidRPr="00DE1A22">
              <w:rPr>
                <w:rFonts w:eastAsia="Times New Roman"/>
                <w:b/>
                <w:bCs/>
                <w:sz w:val="24"/>
                <w:szCs w:val="24"/>
                <w:lang w:eastAsia="lv-LV"/>
              </w:rPr>
              <w:t>Ņemts vērā.</w:t>
            </w:r>
          </w:p>
          <w:p w14:paraId="705C8B86" w14:textId="77777777" w:rsidR="00651FC9" w:rsidRPr="00DE1A22" w:rsidRDefault="00651FC9" w:rsidP="00651FC9">
            <w:pPr>
              <w:jc w:val="both"/>
              <w:rPr>
                <w:rFonts w:eastAsia="Times New Roman"/>
                <w:bCs/>
                <w:sz w:val="24"/>
                <w:szCs w:val="24"/>
                <w:lang w:eastAsia="lv-LV"/>
              </w:rPr>
            </w:pPr>
          </w:p>
        </w:tc>
        <w:tc>
          <w:tcPr>
            <w:tcW w:w="3402" w:type="dxa"/>
            <w:shd w:val="clear" w:color="auto" w:fill="auto"/>
          </w:tcPr>
          <w:p w14:paraId="2961978E" w14:textId="77777777" w:rsidR="00651FC9" w:rsidRPr="00DE1A22" w:rsidRDefault="00651FC9" w:rsidP="00651FC9">
            <w:pPr>
              <w:jc w:val="both"/>
              <w:rPr>
                <w:rFonts w:eastAsia="Times New Roman"/>
                <w:sz w:val="24"/>
                <w:szCs w:val="24"/>
              </w:rPr>
            </w:pPr>
            <w:r w:rsidRPr="00DE1A22">
              <w:rPr>
                <w:rFonts w:eastAsia="Times New Roman"/>
                <w:sz w:val="24"/>
                <w:szCs w:val="24"/>
              </w:rPr>
              <w:t>Atbilstoši ir papildināts Pamatnostādņu 4.sadaļas 1.rīcības virziena “Atkarības profilakses, preventīvie, problemātiskā spēlētāja atbalsts un sabiedrības izglītojoši pasākumi” 24.uzdevums.</w:t>
            </w:r>
          </w:p>
        </w:tc>
      </w:tr>
      <w:tr w:rsidR="00651FC9" w:rsidRPr="00DE1A22" w14:paraId="4052EBB9" w14:textId="77777777" w:rsidTr="008034BE">
        <w:tc>
          <w:tcPr>
            <w:tcW w:w="751" w:type="dxa"/>
            <w:shd w:val="clear" w:color="auto" w:fill="auto"/>
          </w:tcPr>
          <w:p w14:paraId="38B7C7F6" w14:textId="5CC4BAA8" w:rsidR="00651FC9" w:rsidRPr="00DE1A22" w:rsidDel="006064FE" w:rsidRDefault="00610C5F" w:rsidP="00651FC9">
            <w:pPr>
              <w:spacing w:before="100" w:beforeAutospacing="1" w:after="100" w:afterAutospacing="1"/>
              <w:jc w:val="center"/>
              <w:rPr>
                <w:rFonts w:eastAsia="Times New Roman"/>
                <w:sz w:val="24"/>
                <w:szCs w:val="24"/>
                <w:lang w:eastAsia="lv-LV"/>
              </w:rPr>
            </w:pPr>
            <w:r>
              <w:rPr>
                <w:rFonts w:eastAsia="Times New Roman"/>
                <w:sz w:val="24"/>
                <w:szCs w:val="24"/>
                <w:lang w:eastAsia="lv-LV"/>
              </w:rPr>
              <w:t>33</w:t>
            </w:r>
            <w:r w:rsidR="00651FC9" w:rsidRPr="00DE1A22">
              <w:rPr>
                <w:rFonts w:eastAsia="Times New Roman"/>
                <w:sz w:val="24"/>
                <w:szCs w:val="24"/>
                <w:lang w:eastAsia="lv-LV"/>
              </w:rPr>
              <w:t>.</w:t>
            </w:r>
          </w:p>
        </w:tc>
        <w:tc>
          <w:tcPr>
            <w:tcW w:w="3072" w:type="dxa"/>
            <w:shd w:val="clear" w:color="auto" w:fill="auto"/>
          </w:tcPr>
          <w:p w14:paraId="7D7F08F2" w14:textId="77777777" w:rsidR="00651FC9" w:rsidRPr="00DE1A22" w:rsidRDefault="00651FC9" w:rsidP="00651FC9">
            <w:pPr>
              <w:jc w:val="both"/>
              <w:rPr>
                <w:rFonts w:eastAsia="Times New Roman"/>
                <w:sz w:val="24"/>
                <w:szCs w:val="24"/>
                <w:lang w:eastAsia="lv-LV"/>
              </w:rPr>
            </w:pPr>
            <w:r w:rsidRPr="00DE1A22">
              <w:rPr>
                <w:rFonts w:eastAsia="Times New Roman"/>
                <w:sz w:val="24"/>
                <w:szCs w:val="24"/>
                <w:lang w:eastAsia="lv-LV"/>
              </w:rPr>
              <w:t>Pamatnostādņu 6.sadaļas otrais pasākums “Nodrošināt pašvaldībās profilakses pasākumus procesu atkarības (tostarp azartspēļu atkarības) risku mazināšanai”.</w:t>
            </w:r>
          </w:p>
        </w:tc>
        <w:tc>
          <w:tcPr>
            <w:tcW w:w="4394" w:type="dxa"/>
            <w:shd w:val="clear" w:color="auto" w:fill="auto"/>
          </w:tcPr>
          <w:p w14:paraId="0D87314A" w14:textId="77777777" w:rsidR="00651FC9" w:rsidRPr="00DE1A22" w:rsidRDefault="00651FC9" w:rsidP="00651FC9">
            <w:pPr>
              <w:jc w:val="both"/>
              <w:rPr>
                <w:rFonts w:eastAsia="Times New Roman"/>
                <w:b/>
                <w:sz w:val="24"/>
                <w:szCs w:val="24"/>
              </w:rPr>
            </w:pPr>
            <w:r w:rsidRPr="00DE1A22">
              <w:rPr>
                <w:rFonts w:eastAsia="Times New Roman"/>
                <w:b/>
                <w:sz w:val="24"/>
                <w:szCs w:val="24"/>
              </w:rPr>
              <w:t>Latvijas Lielo pilsētu asociācija</w:t>
            </w:r>
          </w:p>
          <w:p w14:paraId="167AA3A6" w14:textId="77777777" w:rsidR="00651FC9" w:rsidRPr="00DE1A22" w:rsidRDefault="00651FC9" w:rsidP="00651FC9">
            <w:pPr>
              <w:jc w:val="both"/>
              <w:rPr>
                <w:rFonts w:eastAsia="Times New Roman"/>
                <w:b/>
                <w:sz w:val="24"/>
                <w:szCs w:val="24"/>
              </w:rPr>
            </w:pPr>
            <w:r w:rsidRPr="00DE1A22">
              <w:rPr>
                <w:rFonts w:eastAsia="Times New Roman"/>
                <w:sz w:val="24"/>
                <w:szCs w:val="24"/>
              </w:rPr>
              <w:t>Latvijas lielākajās pilsētās jau tiek nodrošinātas atbalsta grupas. Priekšlikums līdzās jau esošajiem profilaktiskiem pasākumiem nodrošināt arī sistemātisku terapeitisku atbalsta grupu azartspēļu atkarīgām personām kvalificēta speciālista – klīniskā vai veselības psihologa – vadībā, kurš ir specializējies atkarību jomā.</w:t>
            </w:r>
          </w:p>
        </w:tc>
        <w:tc>
          <w:tcPr>
            <w:tcW w:w="3118" w:type="dxa"/>
            <w:shd w:val="clear" w:color="auto" w:fill="auto"/>
          </w:tcPr>
          <w:p w14:paraId="79E4E0E2" w14:textId="77777777" w:rsidR="00651FC9" w:rsidRPr="00DE1A22" w:rsidRDefault="00651FC9" w:rsidP="00651FC9">
            <w:pPr>
              <w:jc w:val="both"/>
              <w:rPr>
                <w:rFonts w:eastAsia="Times New Roman"/>
                <w:b/>
                <w:bCs/>
                <w:sz w:val="24"/>
                <w:szCs w:val="24"/>
                <w:lang w:eastAsia="lv-LV"/>
              </w:rPr>
            </w:pPr>
            <w:r w:rsidRPr="00DE1A22">
              <w:rPr>
                <w:rFonts w:eastAsia="Times New Roman"/>
                <w:b/>
                <w:bCs/>
                <w:sz w:val="24"/>
                <w:szCs w:val="24"/>
                <w:lang w:eastAsia="lv-LV"/>
              </w:rPr>
              <w:t>Daļēji ņemts vērā.</w:t>
            </w:r>
          </w:p>
          <w:p w14:paraId="5C94262D" w14:textId="77777777" w:rsidR="00651FC9" w:rsidRPr="00DE1A22" w:rsidRDefault="00651FC9" w:rsidP="00651FC9">
            <w:pPr>
              <w:jc w:val="both"/>
              <w:rPr>
                <w:sz w:val="24"/>
                <w:szCs w:val="24"/>
              </w:rPr>
            </w:pPr>
            <w:r w:rsidRPr="00DE1A22">
              <w:rPr>
                <w:rFonts w:eastAsia="Times New Roman"/>
                <w:sz w:val="24"/>
                <w:szCs w:val="24"/>
              </w:rPr>
              <w:t>Veselības ministrijas 2020.gada 30.aprīļa atzinumā Nr.</w:t>
            </w:r>
            <w:r w:rsidRPr="00DE1A22">
              <w:rPr>
                <w:noProof/>
                <w:sz w:val="24"/>
                <w:szCs w:val="24"/>
              </w:rPr>
              <w:t>01-09/2397 ir minēts: “</w:t>
            </w:r>
            <w:r w:rsidRPr="00DE1A22">
              <w:rPr>
                <w:sz w:val="24"/>
                <w:szCs w:val="24"/>
              </w:rPr>
              <w:t>Attiecībā uz pamatnostādņu projektā iekļauto pasākumu “</w:t>
            </w:r>
            <w:r w:rsidRPr="00DE1A22">
              <w:rPr>
                <w:i/>
                <w:iCs/>
                <w:sz w:val="24"/>
                <w:szCs w:val="24"/>
              </w:rPr>
              <w:t>Nodrošināt pašvaldībās profilakses pasākumus procesu atkarības (tostarp azartspēļu atkarības) risku mazināšanai”</w:t>
            </w:r>
            <w:r w:rsidRPr="00DE1A22">
              <w:rPr>
                <w:sz w:val="24"/>
                <w:szCs w:val="24"/>
              </w:rPr>
              <w:t xml:space="preserve"> informējam, ka Veselības ministrija šobrīd nevar sniegt informāciju par pasākuma īstenošanai nepieciešamo finansējumu, kā arī detalizētu finansējuma aprēķinu, ņemot vērā, ka </w:t>
            </w:r>
            <w:r w:rsidRPr="00DE1A22">
              <w:rPr>
                <w:sz w:val="24"/>
                <w:szCs w:val="24"/>
              </w:rPr>
              <w:lastRenderedPageBreak/>
              <w:t>Slimību profilakses un kontroles centrs (turpmāk - SPKC) vēl nav vienojies ar pašvaldībām par īstenojamo pasākumu tematiku, plānoto finansējumu un pasākumu skaitu ESF 9.2.4.2. pasākuma “Pasākumi vietējās sabiedrības veselības veicināšanai un slimību profilaksei” (turpmāk - 9.2.4.2.pasākums) projekta Nr. 9.2.4.2/16/I/106 “Slimību profilakses un kontroles centra organizēti vietēja mēroga pasākumi sabiedrības veselības veicināšanai un slimību profilaksei pašvaldībās” papildus finansējuma veselības veicināšanas un slimību profilakses pasākumu īstenošanai no 2020.gada līdz 2023.gada beigām (2.kārtas finansējumu). Šādu informāciju SPKC varēs sniegt tad, kad tiks noslēgti pakalpojuma līgumi par attiecīgo atbalsta darbību īstenošanu, kas varētu būt š.g. beigās un būs tikai par tām pašvaldībām, kurās pasākumus īstenos SPKC.</w:t>
            </w:r>
          </w:p>
          <w:p w14:paraId="3A8971BA" w14:textId="77777777" w:rsidR="00651FC9" w:rsidRPr="00DE1A22" w:rsidRDefault="00651FC9" w:rsidP="00651FC9">
            <w:pPr>
              <w:jc w:val="both"/>
              <w:rPr>
                <w:rFonts w:eastAsia="Times New Roman"/>
                <w:b/>
                <w:bCs/>
                <w:sz w:val="24"/>
                <w:szCs w:val="24"/>
                <w:lang w:eastAsia="lv-LV"/>
              </w:rPr>
            </w:pPr>
            <w:r w:rsidRPr="00DE1A22">
              <w:rPr>
                <w:sz w:val="24"/>
                <w:szCs w:val="24"/>
              </w:rPr>
              <w:t xml:space="preserve">Ņemot vērā iepriekšminēto informējam, ka Veselības ministrija varēs sniegt </w:t>
            </w:r>
            <w:r w:rsidRPr="00DE1A22">
              <w:rPr>
                <w:sz w:val="24"/>
                <w:szCs w:val="24"/>
              </w:rPr>
              <w:lastRenderedPageBreak/>
              <w:t>informāciju par tām pašvaldībām, kurās pasākumus procesu atkarību (t.sk. azartspēļu  atkarību) risku mazināšanai īstenos SPKC ESF 9.2.4.2.pasākuma projekta ietvaros. Savukārt informāciju par īstenotajiem pasākumiem procesu atkarību (t.sk. azartspēļu  atkarību)  risku mazināšanai, kur pasākumus organizēs pašvaldības pašas, Veselības ministrija varēs sniegt pēc tam, kad būs noslēgusies ESF projekta 9.2.4.2. projekta īstenošana”.</w:t>
            </w:r>
          </w:p>
        </w:tc>
        <w:tc>
          <w:tcPr>
            <w:tcW w:w="3402" w:type="dxa"/>
            <w:shd w:val="clear" w:color="auto" w:fill="auto"/>
          </w:tcPr>
          <w:p w14:paraId="45DCBD31" w14:textId="77777777" w:rsidR="00651FC9" w:rsidRPr="00DE1A22" w:rsidRDefault="00651FC9" w:rsidP="00651FC9">
            <w:pPr>
              <w:jc w:val="both"/>
              <w:rPr>
                <w:rFonts w:eastAsia="Times New Roman"/>
                <w:sz w:val="24"/>
                <w:szCs w:val="24"/>
              </w:rPr>
            </w:pPr>
          </w:p>
        </w:tc>
      </w:tr>
      <w:tr w:rsidR="00651FC9" w:rsidRPr="00DE1A22" w14:paraId="5C642F57" w14:textId="77777777" w:rsidTr="0025005A">
        <w:tc>
          <w:tcPr>
            <w:tcW w:w="751" w:type="dxa"/>
            <w:shd w:val="clear" w:color="auto" w:fill="auto"/>
          </w:tcPr>
          <w:p w14:paraId="4829F9C3" w14:textId="02F536A9" w:rsidR="00EA6D59" w:rsidRPr="00DE1A22" w:rsidRDefault="00610C5F" w:rsidP="0047381A">
            <w:pPr>
              <w:spacing w:before="100" w:beforeAutospacing="1" w:after="100" w:afterAutospacing="1"/>
              <w:jc w:val="center"/>
              <w:rPr>
                <w:rFonts w:eastAsia="Times New Roman"/>
                <w:sz w:val="24"/>
                <w:szCs w:val="24"/>
                <w:lang w:eastAsia="lv-LV"/>
              </w:rPr>
            </w:pPr>
            <w:r>
              <w:rPr>
                <w:rFonts w:eastAsia="Times New Roman"/>
                <w:sz w:val="24"/>
                <w:szCs w:val="24"/>
                <w:lang w:eastAsia="lv-LV"/>
              </w:rPr>
              <w:lastRenderedPageBreak/>
              <w:t>34</w:t>
            </w:r>
            <w:r w:rsidR="00EA6D59" w:rsidRPr="00DE1A22">
              <w:rPr>
                <w:rFonts w:eastAsia="Times New Roman"/>
                <w:sz w:val="24"/>
                <w:szCs w:val="24"/>
                <w:lang w:eastAsia="lv-LV"/>
              </w:rPr>
              <w:t>.</w:t>
            </w:r>
          </w:p>
        </w:tc>
        <w:tc>
          <w:tcPr>
            <w:tcW w:w="3072" w:type="dxa"/>
            <w:shd w:val="clear" w:color="auto" w:fill="auto"/>
          </w:tcPr>
          <w:p w14:paraId="0D5F9AB7" w14:textId="77777777" w:rsidR="00EA6D59" w:rsidRPr="00DE1A22" w:rsidRDefault="00EA6D59" w:rsidP="00EA6D59">
            <w:pPr>
              <w:jc w:val="both"/>
              <w:rPr>
                <w:rFonts w:eastAsia="Times New Roman"/>
                <w:sz w:val="24"/>
                <w:szCs w:val="24"/>
                <w:lang w:eastAsia="lv-LV"/>
              </w:rPr>
            </w:pPr>
            <w:r w:rsidRPr="00DE1A22">
              <w:rPr>
                <w:rFonts w:eastAsia="Times New Roman"/>
                <w:sz w:val="24"/>
                <w:szCs w:val="24"/>
                <w:lang w:eastAsia="lv-LV"/>
              </w:rPr>
              <w:t>Pamatnostādņu 6.sadaļa kopumā.</w:t>
            </w:r>
          </w:p>
        </w:tc>
        <w:tc>
          <w:tcPr>
            <w:tcW w:w="4394" w:type="dxa"/>
            <w:shd w:val="clear" w:color="auto" w:fill="auto"/>
          </w:tcPr>
          <w:p w14:paraId="27BF0F09" w14:textId="77777777" w:rsidR="00EA6D59" w:rsidRPr="00DE1A22" w:rsidRDefault="00EA6D59" w:rsidP="00EA6D59">
            <w:pPr>
              <w:jc w:val="both"/>
              <w:rPr>
                <w:rFonts w:eastAsia="Times New Roman"/>
                <w:b/>
                <w:sz w:val="24"/>
                <w:szCs w:val="24"/>
              </w:rPr>
            </w:pPr>
            <w:r w:rsidRPr="00DE1A22">
              <w:rPr>
                <w:rFonts w:eastAsia="Times New Roman"/>
                <w:b/>
                <w:sz w:val="24"/>
                <w:szCs w:val="24"/>
              </w:rPr>
              <w:t>Veselības ministrija (30.04.2020. Nr.01-09/2397)</w:t>
            </w:r>
          </w:p>
          <w:p w14:paraId="67B09AB8" w14:textId="77777777" w:rsidR="00EA6D59" w:rsidRPr="00DE1A22" w:rsidRDefault="00EA6D59" w:rsidP="00EA6D59">
            <w:pPr>
              <w:jc w:val="both"/>
              <w:rPr>
                <w:rFonts w:eastAsia="Times New Roman"/>
                <w:sz w:val="24"/>
                <w:szCs w:val="24"/>
              </w:rPr>
            </w:pPr>
            <w:r w:rsidRPr="00DE1A22">
              <w:rPr>
                <w:rFonts w:eastAsia="Times New Roman"/>
                <w:sz w:val="24"/>
                <w:szCs w:val="24"/>
              </w:rPr>
              <w:t>Veselības ministrija ir sagatavojusi nepieciešamo informāciju un lūdz Finanšu ministriju precizēt pamatnostādņu projekta  6. sadaļā “Ietekme uz valsts un pašvaldību budžetiem” paredzēto finansējumu sekojošiem pasākumiem.</w:t>
            </w:r>
          </w:p>
        </w:tc>
        <w:tc>
          <w:tcPr>
            <w:tcW w:w="3118" w:type="dxa"/>
            <w:shd w:val="clear" w:color="auto" w:fill="auto"/>
          </w:tcPr>
          <w:p w14:paraId="7D2C657F" w14:textId="77777777" w:rsidR="00EA6D59" w:rsidRPr="00DE1A22" w:rsidRDefault="00EA6D59" w:rsidP="00EA6D59">
            <w:pPr>
              <w:jc w:val="both"/>
              <w:rPr>
                <w:rFonts w:eastAsia="Times New Roman"/>
                <w:b/>
                <w:bCs/>
                <w:sz w:val="24"/>
                <w:szCs w:val="24"/>
                <w:lang w:eastAsia="lv-LV"/>
              </w:rPr>
            </w:pPr>
            <w:r w:rsidRPr="00DE1A22">
              <w:rPr>
                <w:rFonts w:eastAsia="Times New Roman"/>
                <w:b/>
                <w:bCs/>
                <w:sz w:val="24"/>
                <w:szCs w:val="24"/>
                <w:lang w:eastAsia="lv-LV"/>
              </w:rPr>
              <w:t>Ņemts vērā.</w:t>
            </w:r>
          </w:p>
          <w:p w14:paraId="2B3EC57B" w14:textId="77777777" w:rsidR="00EA6D59" w:rsidRPr="00DE1A22" w:rsidRDefault="00EA6D59" w:rsidP="00EA6D59">
            <w:pPr>
              <w:jc w:val="both"/>
              <w:rPr>
                <w:rFonts w:eastAsia="Times New Roman"/>
                <w:b/>
                <w:bCs/>
                <w:sz w:val="24"/>
                <w:szCs w:val="24"/>
                <w:lang w:eastAsia="lv-LV"/>
              </w:rPr>
            </w:pPr>
          </w:p>
        </w:tc>
        <w:tc>
          <w:tcPr>
            <w:tcW w:w="3402" w:type="dxa"/>
            <w:shd w:val="clear" w:color="auto" w:fill="auto"/>
          </w:tcPr>
          <w:p w14:paraId="222ABB67" w14:textId="77777777" w:rsidR="00EA6D59" w:rsidRPr="00DE1A22" w:rsidRDefault="00EA6D59" w:rsidP="003E7749">
            <w:pPr>
              <w:jc w:val="both"/>
              <w:rPr>
                <w:rFonts w:eastAsia="Times New Roman"/>
                <w:sz w:val="24"/>
                <w:szCs w:val="24"/>
              </w:rPr>
            </w:pPr>
            <w:r w:rsidRPr="00DE1A22">
              <w:rPr>
                <w:rFonts w:eastAsia="Times New Roman"/>
                <w:sz w:val="24"/>
                <w:szCs w:val="24"/>
              </w:rPr>
              <w:t xml:space="preserve">Atbilstoši saņemtajai informācijai ir precizēts Pamatnostādņu </w:t>
            </w:r>
            <w:r w:rsidR="003E7749">
              <w:rPr>
                <w:rFonts w:eastAsia="Times New Roman"/>
                <w:sz w:val="24"/>
                <w:szCs w:val="24"/>
              </w:rPr>
              <w:t>6</w:t>
            </w:r>
            <w:r w:rsidRPr="00DE1A22">
              <w:rPr>
                <w:rFonts w:eastAsia="Times New Roman"/>
                <w:sz w:val="24"/>
                <w:szCs w:val="24"/>
              </w:rPr>
              <w:t>.sadaļā (jaunā numerācija) iekļautais pasākumu finansējums.</w:t>
            </w:r>
          </w:p>
        </w:tc>
      </w:tr>
      <w:tr w:rsidR="00651FC9" w:rsidRPr="00DE1A22" w14:paraId="524D03FD" w14:textId="77777777" w:rsidTr="0025005A">
        <w:tc>
          <w:tcPr>
            <w:tcW w:w="751" w:type="dxa"/>
            <w:shd w:val="clear" w:color="auto" w:fill="auto"/>
          </w:tcPr>
          <w:p w14:paraId="0A78FD0B" w14:textId="05C70055" w:rsidR="00EA6D59" w:rsidRPr="00DE1A22" w:rsidRDefault="00610C5F" w:rsidP="0047381A">
            <w:pPr>
              <w:spacing w:before="100" w:beforeAutospacing="1" w:after="100" w:afterAutospacing="1"/>
              <w:jc w:val="center"/>
              <w:rPr>
                <w:rFonts w:eastAsia="Times New Roman"/>
                <w:sz w:val="24"/>
                <w:szCs w:val="24"/>
                <w:lang w:eastAsia="lv-LV"/>
              </w:rPr>
            </w:pPr>
            <w:r>
              <w:rPr>
                <w:rFonts w:eastAsia="Times New Roman"/>
                <w:sz w:val="24"/>
                <w:szCs w:val="24"/>
                <w:lang w:eastAsia="lv-LV"/>
              </w:rPr>
              <w:t>35</w:t>
            </w:r>
            <w:r w:rsidR="00EA6D59" w:rsidRPr="00DE1A22">
              <w:rPr>
                <w:rFonts w:eastAsia="Times New Roman"/>
                <w:sz w:val="24"/>
                <w:szCs w:val="24"/>
                <w:lang w:eastAsia="lv-LV"/>
              </w:rPr>
              <w:t>.</w:t>
            </w:r>
          </w:p>
        </w:tc>
        <w:tc>
          <w:tcPr>
            <w:tcW w:w="3072" w:type="dxa"/>
            <w:shd w:val="clear" w:color="auto" w:fill="auto"/>
          </w:tcPr>
          <w:p w14:paraId="5E9039B4" w14:textId="77777777" w:rsidR="00EA6D59" w:rsidRPr="00DE1A22" w:rsidRDefault="00EA6D59" w:rsidP="00EA6D59">
            <w:pPr>
              <w:jc w:val="both"/>
              <w:rPr>
                <w:rFonts w:eastAsia="Times New Roman"/>
                <w:sz w:val="24"/>
                <w:szCs w:val="24"/>
                <w:lang w:eastAsia="lv-LV"/>
              </w:rPr>
            </w:pPr>
            <w:r w:rsidRPr="00DE1A22">
              <w:rPr>
                <w:rFonts w:eastAsia="Times New Roman"/>
                <w:sz w:val="24"/>
                <w:szCs w:val="24"/>
                <w:lang w:eastAsia="lv-LV"/>
              </w:rPr>
              <w:t>Pamatnostādnes kopumā.</w:t>
            </w:r>
          </w:p>
        </w:tc>
        <w:tc>
          <w:tcPr>
            <w:tcW w:w="4394" w:type="dxa"/>
            <w:shd w:val="clear" w:color="auto" w:fill="auto"/>
          </w:tcPr>
          <w:p w14:paraId="5E029CC2" w14:textId="77777777" w:rsidR="00EA6D59" w:rsidRPr="00DE1A22" w:rsidRDefault="00EA6D59" w:rsidP="00EA6D59">
            <w:pPr>
              <w:jc w:val="both"/>
              <w:rPr>
                <w:rFonts w:eastAsia="Times New Roman"/>
                <w:b/>
                <w:sz w:val="24"/>
                <w:szCs w:val="24"/>
              </w:rPr>
            </w:pPr>
            <w:r w:rsidRPr="00DE1A22">
              <w:rPr>
                <w:rFonts w:eastAsia="Times New Roman"/>
                <w:b/>
                <w:sz w:val="24"/>
                <w:szCs w:val="24"/>
              </w:rPr>
              <w:t>Veselības ministrija (02.03.2020. Nr.01-09/1090)</w:t>
            </w:r>
          </w:p>
          <w:p w14:paraId="2544ADAC" w14:textId="77777777" w:rsidR="00EA6D59" w:rsidRPr="00DE1A22" w:rsidRDefault="00EA6D59" w:rsidP="00EA6D59">
            <w:pPr>
              <w:jc w:val="both"/>
              <w:rPr>
                <w:rFonts w:eastAsia="Times New Roman"/>
                <w:sz w:val="24"/>
                <w:szCs w:val="24"/>
              </w:rPr>
            </w:pPr>
            <w:r w:rsidRPr="00DE1A22">
              <w:rPr>
                <w:rFonts w:eastAsia="Times New Roman"/>
                <w:sz w:val="24"/>
                <w:szCs w:val="24"/>
              </w:rPr>
              <w:t xml:space="preserve">Lūdzam pamatnostādņu projektā iekļaut Veselības ministrijas 2019.gada 26.jūnija vēstulē Nr.01-13.1/2701 minēto pasākumu – </w:t>
            </w:r>
            <w:r w:rsidRPr="00DE1A22">
              <w:rPr>
                <w:rFonts w:eastAsia="Times New Roman"/>
                <w:b/>
                <w:sz w:val="24"/>
                <w:szCs w:val="24"/>
              </w:rPr>
              <w:t>Nodalīt azartspēļu organizēšanas vietās telpas, kurās tiek sniegti ēdināšanas pakalpojumi no telpām, kurās tiek spēlētas azartspēles.</w:t>
            </w:r>
            <w:r w:rsidRPr="00DE1A22">
              <w:rPr>
                <w:rFonts w:eastAsia="Times New Roman"/>
                <w:sz w:val="24"/>
                <w:szCs w:val="24"/>
              </w:rPr>
              <w:t xml:space="preserve"> Minētā pasākuma iekļaušana pamatnostādņu projektā pamatojama ar 2019.gada Veselības </w:t>
            </w:r>
            <w:r w:rsidRPr="00DE1A22">
              <w:rPr>
                <w:rFonts w:eastAsia="Times New Roman"/>
                <w:sz w:val="24"/>
                <w:szCs w:val="24"/>
              </w:rPr>
              <w:lastRenderedPageBreak/>
              <w:t>ministrijas pētījumā par procesu atkarību izplatību Latvijas iedzīvotāju vidū un to ietekmējošiem riska faktoriem izteiktajām rekomendācijām un secinājumiem.</w:t>
            </w:r>
          </w:p>
        </w:tc>
        <w:tc>
          <w:tcPr>
            <w:tcW w:w="3118" w:type="dxa"/>
            <w:shd w:val="clear" w:color="auto" w:fill="auto"/>
          </w:tcPr>
          <w:p w14:paraId="56C7683D" w14:textId="77777777" w:rsidR="00EA6D59" w:rsidRPr="00DE1A22" w:rsidRDefault="00EA6D59" w:rsidP="00EA6D59">
            <w:pPr>
              <w:jc w:val="both"/>
              <w:rPr>
                <w:rFonts w:eastAsia="Times New Roman"/>
                <w:b/>
                <w:bCs/>
                <w:sz w:val="24"/>
                <w:szCs w:val="24"/>
                <w:lang w:eastAsia="lv-LV"/>
              </w:rPr>
            </w:pPr>
            <w:r w:rsidRPr="00DE1A22">
              <w:rPr>
                <w:rFonts w:eastAsia="Times New Roman"/>
                <w:b/>
                <w:bCs/>
                <w:sz w:val="24"/>
                <w:szCs w:val="24"/>
                <w:lang w:eastAsia="lv-LV"/>
              </w:rPr>
              <w:lastRenderedPageBreak/>
              <w:t>Ņemts vērā.</w:t>
            </w:r>
          </w:p>
          <w:p w14:paraId="3AF6D450" w14:textId="77777777" w:rsidR="00EA6D59" w:rsidRPr="00DE1A22" w:rsidRDefault="00EA6D59" w:rsidP="00EA6D59">
            <w:pPr>
              <w:jc w:val="both"/>
              <w:rPr>
                <w:rFonts w:eastAsia="Times New Roman"/>
                <w:bCs/>
                <w:sz w:val="24"/>
                <w:szCs w:val="24"/>
                <w:lang w:eastAsia="lv-LV"/>
              </w:rPr>
            </w:pPr>
          </w:p>
        </w:tc>
        <w:tc>
          <w:tcPr>
            <w:tcW w:w="3402" w:type="dxa"/>
            <w:shd w:val="clear" w:color="auto" w:fill="auto"/>
          </w:tcPr>
          <w:p w14:paraId="2A3BC6F9" w14:textId="77777777" w:rsidR="00EA6D59" w:rsidRPr="00DE1A22" w:rsidRDefault="00EA6D59" w:rsidP="00EA6D59">
            <w:pPr>
              <w:jc w:val="both"/>
              <w:rPr>
                <w:rFonts w:eastAsia="Times New Roman"/>
                <w:sz w:val="24"/>
                <w:szCs w:val="24"/>
              </w:rPr>
            </w:pPr>
            <w:r w:rsidRPr="00DE1A22">
              <w:rPr>
                <w:rFonts w:eastAsia="Times New Roman"/>
                <w:sz w:val="24"/>
                <w:szCs w:val="24"/>
              </w:rPr>
              <w:t>Atbilstoši ir papildināts Pamatnostādņu  4.sadaļas 1.rīcības virziena “Atkarības profilakses, preventīvie, problemātiskā spēlētāja atbalsts un sabiedrības izglītojoši pasākumi” 22.uzdevums.</w:t>
            </w:r>
          </w:p>
        </w:tc>
      </w:tr>
      <w:tr w:rsidR="00651FC9" w:rsidRPr="00DE1A22" w14:paraId="29E86ED3" w14:textId="77777777" w:rsidTr="0025005A">
        <w:tc>
          <w:tcPr>
            <w:tcW w:w="751" w:type="dxa"/>
            <w:shd w:val="clear" w:color="auto" w:fill="auto"/>
          </w:tcPr>
          <w:p w14:paraId="6F9EF053" w14:textId="488A5230" w:rsidR="00EA6D59" w:rsidRPr="00DE1A22" w:rsidRDefault="00610C5F" w:rsidP="00EA6D59">
            <w:pPr>
              <w:spacing w:before="100" w:beforeAutospacing="1" w:after="100" w:afterAutospacing="1"/>
              <w:jc w:val="center"/>
              <w:rPr>
                <w:rFonts w:eastAsia="Times New Roman"/>
                <w:sz w:val="24"/>
                <w:szCs w:val="24"/>
                <w:lang w:eastAsia="lv-LV"/>
              </w:rPr>
            </w:pPr>
            <w:r>
              <w:rPr>
                <w:rFonts w:eastAsia="Times New Roman"/>
                <w:sz w:val="24"/>
                <w:szCs w:val="24"/>
                <w:lang w:eastAsia="lv-LV"/>
              </w:rPr>
              <w:t>36</w:t>
            </w:r>
            <w:r w:rsidR="00EA6D59" w:rsidRPr="00DE1A22">
              <w:rPr>
                <w:rFonts w:eastAsia="Times New Roman"/>
                <w:sz w:val="24"/>
                <w:szCs w:val="24"/>
                <w:lang w:eastAsia="lv-LV"/>
              </w:rPr>
              <w:t>.</w:t>
            </w:r>
          </w:p>
        </w:tc>
        <w:tc>
          <w:tcPr>
            <w:tcW w:w="3072" w:type="dxa"/>
            <w:shd w:val="clear" w:color="auto" w:fill="auto"/>
          </w:tcPr>
          <w:p w14:paraId="3F76A42D" w14:textId="77777777" w:rsidR="00EA6D59" w:rsidRPr="00DE1A22" w:rsidRDefault="00EA6D59" w:rsidP="00EA6D59">
            <w:pPr>
              <w:jc w:val="both"/>
              <w:rPr>
                <w:rFonts w:eastAsia="Times New Roman"/>
                <w:sz w:val="24"/>
                <w:szCs w:val="24"/>
                <w:lang w:eastAsia="lv-LV"/>
              </w:rPr>
            </w:pPr>
            <w:r w:rsidRPr="00DE1A22">
              <w:rPr>
                <w:rFonts w:eastAsia="Times New Roman"/>
                <w:sz w:val="24"/>
                <w:szCs w:val="24"/>
                <w:lang w:eastAsia="lv-LV"/>
              </w:rPr>
              <w:t>Pamatnostādnēm pievienotā izziņa.</w:t>
            </w:r>
          </w:p>
        </w:tc>
        <w:tc>
          <w:tcPr>
            <w:tcW w:w="4394" w:type="dxa"/>
            <w:shd w:val="clear" w:color="auto" w:fill="auto"/>
          </w:tcPr>
          <w:p w14:paraId="45852E49" w14:textId="77777777" w:rsidR="00EA6D59" w:rsidRPr="00DE1A22" w:rsidRDefault="00EA6D59" w:rsidP="00EA6D59">
            <w:pPr>
              <w:jc w:val="both"/>
              <w:rPr>
                <w:rFonts w:eastAsia="Times New Roman"/>
                <w:b/>
                <w:sz w:val="24"/>
                <w:szCs w:val="24"/>
              </w:rPr>
            </w:pPr>
            <w:r w:rsidRPr="00DE1A22">
              <w:rPr>
                <w:rFonts w:eastAsia="Times New Roman"/>
                <w:b/>
                <w:sz w:val="24"/>
                <w:szCs w:val="24"/>
              </w:rPr>
              <w:t>Vides aizsardzības un reģionālās attīstības ministrija (21.02.2020. Nr.1-132/1579)</w:t>
            </w:r>
          </w:p>
          <w:p w14:paraId="214D7B7E" w14:textId="77777777" w:rsidR="00EA6D59" w:rsidRPr="00DE1A22" w:rsidRDefault="00EA6D59" w:rsidP="00EA6D59">
            <w:pPr>
              <w:jc w:val="both"/>
              <w:rPr>
                <w:rFonts w:eastAsia="Times New Roman"/>
                <w:sz w:val="24"/>
                <w:szCs w:val="24"/>
              </w:rPr>
            </w:pPr>
            <w:r w:rsidRPr="00DE1A22">
              <w:rPr>
                <w:rFonts w:eastAsia="Times New Roman"/>
                <w:sz w:val="24"/>
                <w:szCs w:val="24"/>
              </w:rPr>
              <w:t>Vienlaikus izsakām priekšlikumu novērst tehnisku neprecizitāti projektam pievienotās izziņas 14.punkta ailē “Projekta attiecīgā punkta (panta) galīgā redakcija”, kura ir pretrunā projekta pielikuma 4.sadaļai, proti, projektam pievienotās izziņas par atzinumos sniegtajiem iebildumiem 14.punkta ailē “Projekta attiecīgā punkta (panta) galīgā redakcija” ir teikts, ka Ministrijas iebildums ir ņemts vērā, aizstājot projekta 4.sadaļas “Rīcības virzieni un uzdevumi” 2.Rīcības virziena “Azartspēļu un izložu pieejamības regulēšana” 4.uzdevumu ar alternatīvu risinājumu – projekta pielikuma 4.sadaļas “Azartspēļu un izložu pieejamība, darbības vietas un to regulēšana” 2.risinājums. Minētais 2.risinājums nav atrodams projekta pielikuma 4.sadaļā, bet pašreiz norādīts projekta pielikuma 5.sadaļā. Līdz ar to lūdzam precizēt projekta izziņu un projekta pielikumu, nodrošinot projekta un tam pievienoto dokumentu konsekvenci.</w:t>
            </w:r>
          </w:p>
        </w:tc>
        <w:tc>
          <w:tcPr>
            <w:tcW w:w="3118" w:type="dxa"/>
            <w:shd w:val="clear" w:color="auto" w:fill="auto"/>
          </w:tcPr>
          <w:p w14:paraId="34874380" w14:textId="77777777" w:rsidR="00EA6D59" w:rsidRPr="00DE1A22" w:rsidRDefault="00EA6D59" w:rsidP="00EA6D59">
            <w:pPr>
              <w:jc w:val="both"/>
              <w:rPr>
                <w:rFonts w:eastAsia="Times New Roman"/>
                <w:b/>
                <w:bCs/>
                <w:sz w:val="24"/>
                <w:szCs w:val="24"/>
                <w:lang w:eastAsia="lv-LV"/>
              </w:rPr>
            </w:pPr>
            <w:r w:rsidRPr="00DE1A22">
              <w:rPr>
                <w:rFonts w:eastAsia="Times New Roman"/>
                <w:b/>
                <w:bCs/>
                <w:sz w:val="24"/>
                <w:szCs w:val="24"/>
                <w:lang w:eastAsia="lv-LV"/>
              </w:rPr>
              <w:t>Ņemts vērā.</w:t>
            </w:r>
          </w:p>
          <w:p w14:paraId="44355E37" w14:textId="77777777" w:rsidR="00EA6D59" w:rsidRPr="00DE1A22" w:rsidRDefault="00EA6D59" w:rsidP="00EA6D59">
            <w:pPr>
              <w:jc w:val="both"/>
              <w:rPr>
                <w:rFonts w:eastAsia="Times New Roman"/>
                <w:bCs/>
                <w:sz w:val="24"/>
                <w:szCs w:val="24"/>
                <w:lang w:eastAsia="lv-LV"/>
              </w:rPr>
            </w:pPr>
          </w:p>
        </w:tc>
        <w:tc>
          <w:tcPr>
            <w:tcW w:w="3402" w:type="dxa"/>
            <w:shd w:val="clear" w:color="auto" w:fill="auto"/>
          </w:tcPr>
          <w:p w14:paraId="4E6C4037" w14:textId="77777777" w:rsidR="00EA6D59" w:rsidRPr="00DE1A22" w:rsidRDefault="00EA6D59" w:rsidP="00EA6D59">
            <w:pPr>
              <w:jc w:val="both"/>
              <w:rPr>
                <w:rFonts w:eastAsia="Times New Roman"/>
                <w:sz w:val="24"/>
                <w:szCs w:val="24"/>
              </w:rPr>
            </w:pPr>
            <w:r w:rsidRPr="00DE1A22">
              <w:rPr>
                <w:rFonts w:eastAsia="Times New Roman"/>
                <w:sz w:val="24"/>
                <w:szCs w:val="24"/>
              </w:rPr>
              <w:t>Atbilstoši precizēts Pamatnostādņu projekts.</w:t>
            </w:r>
          </w:p>
        </w:tc>
      </w:tr>
    </w:tbl>
    <w:p w14:paraId="54F05D42" w14:textId="77777777" w:rsidR="006812CB" w:rsidRPr="00DE1A22" w:rsidRDefault="006812CB" w:rsidP="00A47E6A">
      <w:pPr>
        <w:spacing w:before="100" w:beforeAutospacing="1" w:after="100" w:afterAutospacing="1"/>
        <w:jc w:val="center"/>
        <w:rPr>
          <w:rFonts w:eastAsia="Times New Roman"/>
          <w:b/>
          <w:sz w:val="24"/>
          <w:szCs w:val="24"/>
          <w:lang w:eastAsia="lv-LV"/>
        </w:rPr>
      </w:pPr>
    </w:p>
    <w:p w14:paraId="24368731" w14:textId="77777777" w:rsidR="00C31A6E" w:rsidRPr="00DE1A22" w:rsidRDefault="006B67AB" w:rsidP="00A47E6A">
      <w:pPr>
        <w:spacing w:before="100" w:beforeAutospacing="1" w:after="100" w:afterAutospacing="1"/>
        <w:jc w:val="center"/>
        <w:rPr>
          <w:rFonts w:eastAsia="Times New Roman"/>
          <w:b/>
          <w:sz w:val="24"/>
          <w:szCs w:val="24"/>
          <w:lang w:eastAsia="lv-LV"/>
        </w:rPr>
      </w:pPr>
      <w:r w:rsidRPr="00DE1A22">
        <w:rPr>
          <w:rFonts w:eastAsia="Times New Roman"/>
          <w:b/>
          <w:sz w:val="24"/>
          <w:szCs w:val="24"/>
          <w:lang w:eastAsia="lv-LV"/>
        </w:rPr>
        <w:t>Starpministriju (starpinstitūciju) saskaņošanas sanāksme pēc VSS 2019.gadā</w:t>
      </w:r>
    </w:p>
    <w:p w14:paraId="5AED30F3" w14:textId="77777777" w:rsidR="00F314EB" w:rsidRPr="00DE1A22" w:rsidRDefault="00BD52D8" w:rsidP="0038346E">
      <w:pPr>
        <w:spacing w:before="100" w:beforeAutospacing="1" w:after="100" w:afterAutospacing="1"/>
        <w:jc w:val="center"/>
        <w:rPr>
          <w:rFonts w:eastAsia="Times New Roman"/>
          <w:b/>
          <w:sz w:val="24"/>
          <w:szCs w:val="24"/>
          <w:lang w:eastAsia="lv-LV"/>
        </w:rPr>
      </w:pPr>
      <w:r w:rsidRPr="00DE1A22">
        <w:rPr>
          <w:rFonts w:eastAsia="Times New Roman"/>
          <w:b/>
          <w:sz w:val="24"/>
          <w:szCs w:val="24"/>
          <w:lang w:eastAsia="lv-LV"/>
        </w:rPr>
        <w:t>I. Jautājumi, par kuriem saskaņošanā vienošanās ir panākta</w:t>
      </w:r>
    </w:p>
    <w:tbl>
      <w:tblPr>
        <w:tblpPr w:leftFromText="180" w:rightFromText="180" w:vertAnchor="text" w:tblpY="1"/>
        <w:tblOverlap w:val="never"/>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0"/>
        <w:gridCol w:w="96"/>
        <w:gridCol w:w="2977"/>
        <w:gridCol w:w="4394"/>
        <w:gridCol w:w="3118"/>
        <w:gridCol w:w="3402"/>
      </w:tblGrid>
      <w:tr w:rsidR="007F20EE" w:rsidRPr="00DE1A22" w14:paraId="7ED21C2A" w14:textId="77777777" w:rsidTr="00E07510">
        <w:tc>
          <w:tcPr>
            <w:tcW w:w="750" w:type="dxa"/>
            <w:vAlign w:val="center"/>
          </w:tcPr>
          <w:p w14:paraId="587BC56C" w14:textId="77777777" w:rsidR="00337007" w:rsidRPr="00DE1A22" w:rsidRDefault="00337007" w:rsidP="00435C09">
            <w:pPr>
              <w:pStyle w:val="naisc"/>
            </w:pPr>
            <w:r w:rsidRPr="00DE1A22">
              <w:lastRenderedPageBreak/>
              <w:t> Nr.</w:t>
            </w:r>
            <w:r w:rsidRPr="00DE1A22">
              <w:br/>
              <w:t> p.k.</w:t>
            </w:r>
          </w:p>
        </w:tc>
        <w:tc>
          <w:tcPr>
            <w:tcW w:w="3073" w:type="dxa"/>
            <w:gridSpan w:val="2"/>
            <w:vAlign w:val="center"/>
          </w:tcPr>
          <w:p w14:paraId="1F51B6B3" w14:textId="77777777" w:rsidR="00337007" w:rsidRPr="00DE1A22" w:rsidRDefault="00337007" w:rsidP="00435C09">
            <w:pPr>
              <w:spacing w:before="100" w:beforeAutospacing="1" w:after="100" w:afterAutospacing="1"/>
              <w:jc w:val="center"/>
              <w:rPr>
                <w:rFonts w:eastAsia="Times New Roman"/>
                <w:sz w:val="24"/>
                <w:szCs w:val="24"/>
                <w:lang w:eastAsia="lv-LV"/>
              </w:rPr>
            </w:pPr>
            <w:r w:rsidRPr="00DE1A22">
              <w:rPr>
                <w:rFonts w:eastAsia="Times New Roman"/>
                <w:sz w:val="24"/>
                <w:szCs w:val="24"/>
                <w:lang w:eastAsia="lv-LV"/>
              </w:rPr>
              <w:t>Saskaņošanai nosūtītā projekta redakcija (konkrēta punkta (panta) redakcija)</w:t>
            </w:r>
          </w:p>
        </w:tc>
        <w:tc>
          <w:tcPr>
            <w:tcW w:w="4394" w:type="dxa"/>
            <w:vAlign w:val="center"/>
          </w:tcPr>
          <w:p w14:paraId="1CDAAB2D" w14:textId="77777777" w:rsidR="00337007" w:rsidRPr="00DE1A22" w:rsidRDefault="00337007" w:rsidP="00435C09">
            <w:pPr>
              <w:spacing w:before="100" w:beforeAutospacing="1" w:after="100" w:afterAutospacing="1"/>
              <w:jc w:val="center"/>
              <w:rPr>
                <w:rFonts w:eastAsia="Times New Roman"/>
                <w:sz w:val="24"/>
                <w:szCs w:val="24"/>
                <w:lang w:eastAsia="lv-LV"/>
              </w:rPr>
            </w:pPr>
            <w:r w:rsidRPr="00DE1A22">
              <w:rPr>
                <w:rFonts w:eastAsia="Times New Roman"/>
                <w:sz w:val="24"/>
                <w:szCs w:val="24"/>
                <w:lang w:eastAsia="lv-LV"/>
              </w:rPr>
              <w:t>Atzinumā norādītais ministrijas (citas institūcijas) iebildums, kā arī saskaņošanā papildus izteiktais iebildums par projekta konkrēto punktu (pantu)</w:t>
            </w:r>
          </w:p>
        </w:tc>
        <w:tc>
          <w:tcPr>
            <w:tcW w:w="3118" w:type="dxa"/>
            <w:vAlign w:val="center"/>
          </w:tcPr>
          <w:p w14:paraId="0BE58F07" w14:textId="77777777" w:rsidR="00337007" w:rsidRPr="00DE1A22" w:rsidRDefault="00337007" w:rsidP="00435C09">
            <w:pPr>
              <w:spacing w:before="100" w:beforeAutospacing="1" w:after="100" w:afterAutospacing="1"/>
              <w:jc w:val="center"/>
              <w:rPr>
                <w:rFonts w:eastAsia="Times New Roman"/>
                <w:sz w:val="24"/>
                <w:szCs w:val="24"/>
                <w:lang w:eastAsia="lv-LV"/>
              </w:rPr>
            </w:pPr>
            <w:r w:rsidRPr="00DE1A22">
              <w:rPr>
                <w:rFonts w:eastAsia="Times New Roman"/>
                <w:sz w:val="24"/>
                <w:szCs w:val="24"/>
                <w:lang w:eastAsia="lv-LV"/>
              </w:rPr>
              <w:t>Atbildīgās ministrijas norāde par to, ka iebildums ir ņemts vērā, vai informācija par saskaņošanā panākto alternatīvo risinājumu</w:t>
            </w:r>
          </w:p>
        </w:tc>
        <w:tc>
          <w:tcPr>
            <w:tcW w:w="3402" w:type="dxa"/>
            <w:vAlign w:val="center"/>
          </w:tcPr>
          <w:p w14:paraId="00ACC36F" w14:textId="77777777" w:rsidR="00337007" w:rsidRPr="00DE1A22" w:rsidRDefault="00337007" w:rsidP="00435C09">
            <w:pPr>
              <w:spacing w:before="100" w:beforeAutospacing="1" w:after="100" w:afterAutospacing="1"/>
              <w:jc w:val="center"/>
              <w:rPr>
                <w:rFonts w:eastAsia="Times New Roman"/>
                <w:sz w:val="24"/>
                <w:szCs w:val="24"/>
                <w:lang w:eastAsia="lv-LV"/>
              </w:rPr>
            </w:pPr>
            <w:r w:rsidRPr="00DE1A22">
              <w:rPr>
                <w:rFonts w:eastAsia="Times New Roman"/>
                <w:sz w:val="24"/>
                <w:szCs w:val="24"/>
                <w:lang w:eastAsia="lv-LV"/>
              </w:rPr>
              <w:t>Projekta attiecīgā punkta (panta) galīgā redakcija</w:t>
            </w:r>
          </w:p>
        </w:tc>
      </w:tr>
      <w:tr w:rsidR="007F20EE" w:rsidRPr="00DE1A22" w14:paraId="3603E4CD" w14:textId="77777777" w:rsidTr="00E07510">
        <w:tc>
          <w:tcPr>
            <w:tcW w:w="750" w:type="dxa"/>
          </w:tcPr>
          <w:p w14:paraId="5D8F62DB" w14:textId="77777777" w:rsidR="00337007" w:rsidRPr="00DE1A22" w:rsidRDefault="00337007" w:rsidP="00435C09">
            <w:pPr>
              <w:spacing w:before="100" w:beforeAutospacing="1" w:after="100" w:afterAutospacing="1"/>
              <w:jc w:val="center"/>
              <w:rPr>
                <w:rFonts w:eastAsia="Times New Roman"/>
                <w:sz w:val="24"/>
                <w:szCs w:val="24"/>
                <w:lang w:eastAsia="lv-LV"/>
              </w:rPr>
            </w:pPr>
            <w:r w:rsidRPr="00DE1A22">
              <w:rPr>
                <w:rFonts w:eastAsia="Times New Roman"/>
                <w:sz w:val="24"/>
                <w:szCs w:val="24"/>
                <w:lang w:eastAsia="lv-LV"/>
              </w:rPr>
              <w:t>1</w:t>
            </w:r>
          </w:p>
        </w:tc>
        <w:tc>
          <w:tcPr>
            <w:tcW w:w="3073" w:type="dxa"/>
            <w:gridSpan w:val="2"/>
          </w:tcPr>
          <w:p w14:paraId="60D04AA4" w14:textId="77777777" w:rsidR="00337007" w:rsidRPr="00DE1A22" w:rsidRDefault="00337007" w:rsidP="00435C09">
            <w:pPr>
              <w:spacing w:before="100" w:beforeAutospacing="1" w:after="100" w:afterAutospacing="1"/>
              <w:jc w:val="center"/>
              <w:rPr>
                <w:rFonts w:eastAsia="Times New Roman"/>
                <w:sz w:val="24"/>
                <w:szCs w:val="24"/>
                <w:lang w:eastAsia="lv-LV"/>
              </w:rPr>
            </w:pPr>
            <w:r w:rsidRPr="00DE1A22">
              <w:rPr>
                <w:rFonts w:eastAsia="Times New Roman"/>
                <w:sz w:val="24"/>
                <w:szCs w:val="24"/>
                <w:lang w:eastAsia="lv-LV"/>
              </w:rPr>
              <w:t>2</w:t>
            </w:r>
          </w:p>
        </w:tc>
        <w:tc>
          <w:tcPr>
            <w:tcW w:w="4394" w:type="dxa"/>
          </w:tcPr>
          <w:p w14:paraId="31CC62AD" w14:textId="77777777" w:rsidR="00337007" w:rsidRPr="00DE1A22" w:rsidRDefault="00337007" w:rsidP="00435C09">
            <w:pPr>
              <w:spacing w:before="100" w:beforeAutospacing="1" w:after="100" w:afterAutospacing="1"/>
              <w:jc w:val="center"/>
              <w:rPr>
                <w:rFonts w:eastAsia="Times New Roman"/>
                <w:sz w:val="24"/>
                <w:szCs w:val="24"/>
                <w:lang w:eastAsia="lv-LV"/>
              </w:rPr>
            </w:pPr>
            <w:r w:rsidRPr="00DE1A22">
              <w:rPr>
                <w:rFonts w:eastAsia="Times New Roman"/>
                <w:sz w:val="24"/>
                <w:szCs w:val="24"/>
                <w:lang w:eastAsia="lv-LV"/>
              </w:rPr>
              <w:t>3</w:t>
            </w:r>
          </w:p>
        </w:tc>
        <w:tc>
          <w:tcPr>
            <w:tcW w:w="3118" w:type="dxa"/>
          </w:tcPr>
          <w:p w14:paraId="08F24C4F" w14:textId="77777777" w:rsidR="00337007" w:rsidRPr="00DE1A22" w:rsidRDefault="00337007" w:rsidP="00435C09">
            <w:pPr>
              <w:spacing w:before="100" w:beforeAutospacing="1" w:after="100" w:afterAutospacing="1"/>
              <w:jc w:val="center"/>
              <w:rPr>
                <w:rFonts w:eastAsia="Times New Roman"/>
                <w:sz w:val="24"/>
                <w:szCs w:val="24"/>
                <w:lang w:eastAsia="lv-LV"/>
              </w:rPr>
            </w:pPr>
            <w:r w:rsidRPr="00DE1A22">
              <w:rPr>
                <w:rFonts w:eastAsia="Times New Roman"/>
                <w:sz w:val="24"/>
                <w:szCs w:val="24"/>
                <w:lang w:eastAsia="lv-LV"/>
              </w:rPr>
              <w:t>4</w:t>
            </w:r>
          </w:p>
        </w:tc>
        <w:tc>
          <w:tcPr>
            <w:tcW w:w="3402" w:type="dxa"/>
          </w:tcPr>
          <w:p w14:paraId="526634C9" w14:textId="77777777" w:rsidR="00337007" w:rsidRPr="00DE1A22" w:rsidRDefault="00337007" w:rsidP="00435C09">
            <w:pPr>
              <w:spacing w:before="100" w:beforeAutospacing="1" w:after="100" w:afterAutospacing="1"/>
              <w:jc w:val="center"/>
              <w:rPr>
                <w:rFonts w:eastAsia="Times New Roman"/>
                <w:sz w:val="24"/>
                <w:szCs w:val="24"/>
                <w:lang w:eastAsia="lv-LV"/>
              </w:rPr>
            </w:pPr>
            <w:r w:rsidRPr="00DE1A22">
              <w:rPr>
                <w:rFonts w:eastAsia="Times New Roman"/>
                <w:sz w:val="24"/>
                <w:szCs w:val="24"/>
                <w:lang w:eastAsia="lv-LV"/>
              </w:rPr>
              <w:t>5</w:t>
            </w:r>
          </w:p>
        </w:tc>
      </w:tr>
      <w:tr w:rsidR="00681F9E" w:rsidRPr="00DE1A22" w14:paraId="2F714F6C" w14:textId="77777777" w:rsidTr="00B8198F">
        <w:tc>
          <w:tcPr>
            <w:tcW w:w="14737" w:type="dxa"/>
            <w:gridSpan w:val="6"/>
            <w:shd w:val="clear" w:color="auto" w:fill="E2EFD9" w:themeFill="accent6" w:themeFillTint="33"/>
          </w:tcPr>
          <w:p w14:paraId="4E6D67E2" w14:textId="77777777" w:rsidR="00681F9E" w:rsidRPr="00DE1A22" w:rsidRDefault="00681F9E" w:rsidP="004D33BF">
            <w:pPr>
              <w:jc w:val="both"/>
              <w:rPr>
                <w:rFonts w:eastAsia="Times New Roman"/>
                <w:sz w:val="24"/>
                <w:szCs w:val="24"/>
              </w:rPr>
            </w:pPr>
          </w:p>
          <w:p w14:paraId="56373A04" w14:textId="77777777" w:rsidR="00681F9E" w:rsidRPr="00DE1A22" w:rsidRDefault="00681F9E" w:rsidP="00681F9E">
            <w:pPr>
              <w:jc w:val="center"/>
              <w:rPr>
                <w:rFonts w:eastAsia="Times New Roman"/>
                <w:b/>
                <w:sz w:val="24"/>
                <w:szCs w:val="24"/>
              </w:rPr>
            </w:pPr>
            <w:r w:rsidRPr="00DE1A22">
              <w:rPr>
                <w:rFonts w:eastAsia="Times New Roman"/>
                <w:b/>
                <w:sz w:val="24"/>
                <w:szCs w:val="24"/>
              </w:rPr>
              <w:t>Pamatnostādnes</w:t>
            </w:r>
          </w:p>
          <w:p w14:paraId="1FB9A164" w14:textId="77777777" w:rsidR="00681F9E" w:rsidRPr="00DE1A22" w:rsidRDefault="00681F9E" w:rsidP="004D33BF">
            <w:pPr>
              <w:jc w:val="both"/>
              <w:rPr>
                <w:rFonts w:eastAsia="Times New Roman"/>
                <w:sz w:val="24"/>
                <w:szCs w:val="24"/>
              </w:rPr>
            </w:pPr>
          </w:p>
        </w:tc>
      </w:tr>
      <w:tr w:rsidR="005B04CB" w:rsidRPr="00DE1A22" w14:paraId="7F4F8430" w14:textId="77777777" w:rsidTr="00BF4AE7">
        <w:tc>
          <w:tcPr>
            <w:tcW w:w="846" w:type="dxa"/>
            <w:gridSpan w:val="2"/>
          </w:tcPr>
          <w:p w14:paraId="2900B0C3" w14:textId="77777777" w:rsidR="005B04CB" w:rsidRPr="00DE1A22" w:rsidRDefault="005B04CB" w:rsidP="005B04CB">
            <w:pPr>
              <w:spacing w:before="100" w:beforeAutospacing="1" w:after="100" w:afterAutospacing="1"/>
              <w:jc w:val="center"/>
              <w:rPr>
                <w:rFonts w:eastAsia="Times New Roman"/>
                <w:sz w:val="24"/>
                <w:szCs w:val="24"/>
                <w:lang w:eastAsia="lv-LV"/>
              </w:rPr>
            </w:pPr>
            <w:r w:rsidRPr="00DE1A22">
              <w:rPr>
                <w:rFonts w:eastAsia="Times New Roman"/>
                <w:sz w:val="24"/>
                <w:szCs w:val="24"/>
                <w:lang w:eastAsia="lv-LV"/>
              </w:rPr>
              <w:t>1.</w:t>
            </w:r>
          </w:p>
        </w:tc>
        <w:tc>
          <w:tcPr>
            <w:tcW w:w="2977" w:type="dxa"/>
          </w:tcPr>
          <w:p w14:paraId="1A89EA1B" w14:textId="77777777" w:rsidR="005B04CB" w:rsidRPr="00DE1A22" w:rsidRDefault="005B04CB" w:rsidP="005B04CB">
            <w:pPr>
              <w:jc w:val="both"/>
              <w:rPr>
                <w:rFonts w:eastAsia="Times New Roman"/>
                <w:sz w:val="24"/>
                <w:szCs w:val="24"/>
                <w:lang w:eastAsia="lv-LV"/>
              </w:rPr>
            </w:pPr>
            <w:r w:rsidRPr="00DE1A22">
              <w:rPr>
                <w:rFonts w:eastAsia="Times New Roman"/>
                <w:sz w:val="24"/>
                <w:szCs w:val="24"/>
                <w:lang w:eastAsia="lv-LV"/>
              </w:rPr>
              <w:t xml:space="preserve">Projekta 3. sadaļas “Politikas rezultāti un rezultatīvie rādītāji” 1. Politikas rezultāta “Samazinās azartspēļu un interaktīvo izložu problemātisko spēlētāju skaits” </w:t>
            </w:r>
            <w:r w:rsidR="000C2873" w:rsidRPr="00DE1A22">
              <w:rPr>
                <w:rFonts w:eastAsia="Times New Roman"/>
                <w:sz w:val="24"/>
                <w:szCs w:val="24"/>
                <w:lang w:eastAsia="lv-LV"/>
              </w:rPr>
              <w:t>r</w:t>
            </w:r>
            <w:r w:rsidRPr="00DE1A22">
              <w:rPr>
                <w:rFonts w:eastAsia="Times New Roman"/>
                <w:sz w:val="24"/>
                <w:szCs w:val="24"/>
                <w:lang w:eastAsia="lv-LV"/>
              </w:rPr>
              <w:t>ezultatīvā rādītāja  “Pozitīvi ietekmēto problemātisko vai potenciāli problemātisko spēlētāju skaits (% no visiem potenciāli problemātiskajiem un problemātiskajiem spēlētājiem)” novērtēšanas rādītāji:</w:t>
            </w:r>
          </w:p>
          <w:p w14:paraId="37E6C94D" w14:textId="77777777" w:rsidR="005B04CB" w:rsidRPr="00DE1A22" w:rsidRDefault="005B04CB" w:rsidP="005B04CB">
            <w:pPr>
              <w:jc w:val="both"/>
              <w:rPr>
                <w:rFonts w:eastAsia="Times New Roman"/>
                <w:sz w:val="24"/>
                <w:szCs w:val="24"/>
                <w:lang w:eastAsia="lv-LV"/>
              </w:rPr>
            </w:pPr>
            <w:r w:rsidRPr="00DE1A22">
              <w:rPr>
                <w:rFonts w:eastAsia="Times New Roman"/>
                <w:sz w:val="24"/>
                <w:szCs w:val="24"/>
                <w:lang w:eastAsia="lv-LV"/>
              </w:rPr>
              <w:t>1.4. Netiek veicināta pārmērīga interese par azartspēlēm un interaktīvajām izlozēm.</w:t>
            </w:r>
          </w:p>
          <w:p w14:paraId="2BC5715B" w14:textId="77777777" w:rsidR="005B04CB" w:rsidRPr="00DE1A22" w:rsidRDefault="005B04CB" w:rsidP="005B04CB">
            <w:pPr>
              <w:jc w:val="both"/>
              <w:rPr>
                <w:rFonts w:eastAsia="Times New Roman"/>
                <w:sz w:val="24"/>
                <w:szCs w:val="24"/>
                <w:lang w:eastAsia="lv-LV"/>
              </w:rPr>
            </w:pPr>
            <w:r w:rsidRPr="00DE1A22">
              <w:rPr>
                <w:rFonts w:eastAsia="Times New Roman"/>
                <w:sz w:val="24"/>
                <w:szCs w:val="24"/>
                <w:lang w:eastAsia="lv-LV"/>
              </w:rPr>
              <w:t>1.5. Personām ir izpratne par azartspēļu un izložu kaitīgo ietekmi.</w:t>
            </w:r>
          </w:p>
        </w:tc>
        <w:tc>
          <w:tcPr>
            <w:tcW w:w="4394" w:type="dxa"/>
          </w:tcPr>
          <w:p w14:paraId="509A767E" w14:textId="77777777" w:rsidR="005B04CB" w:rsidRPr="00DE1A22" w:rsidRDefault="005B04CB" w:rsidP="005B04CB">
            <w:pPr>
              <w:contextualSpacing/>
              <w:jc w:val="both"/>
              <w:rPr>
                <w:rFonts w:eastAsia="Times New Roman"/>
                <w:b/>
                <w:sz w:val="24"/>
                <w:szCs w:val="24"/>
              </w:rPr>
            </w:pPr>
            <w:r w:rsidRPr="00DE1A22">
              <w:rPr>
                <w:rFonts w:eastAsia="Times New Roman"/>
                <w:sz w:val="24"/>
                <w:szCs w:val="24"/>
                <w:lang w:eastAsia="lv-LV"/>
              </w:rPr>
              <w:t xml:space="preserve">Priekšlikums: </w:t>
            </w:r>
            <w:r w:rsidRPr="00DE1A22">
              <w:rPr>
                <w:rFonts w:eastAsia="Times New Roman"/>
                <w:b/>
                <w:sz w:val="24"/>
                <w:szCs w:val="24"/>
              </w:rPr>
              <w:t>Labklājības ministrija (25.01.2019. Nr.A-21-09/9)</w:t>
            </w:r>
          </w:p>
          <w:p w14:paraId="50C08FB9" w14:textId="77777777" w:rsidR="005B04CB" w:rsidRPr="00DE1A22" w:rsidRDefault="005B04CB" w:rsidP="005B04CB">
            <w:pPr>
              <w:contextualSpacing/>
              <w:jc w:val="both"/>
              <w:rPr>
                <w:rFonts w:eastAsia="Times New Roman"/>
                <w:b/>
                <w:sz w:val="24"/>
                <w:szCs w:val="24"/>
                <w:lang w:eastAsia="lv-LV"/>
              </w:rPr>
            </w:pPr>
            <w:r w:rsidRPr="00DE1A22">
              <w:rPr>
                <w:rFonts w:eastAsia="Times New Roman"/>
                <w:sz w:val="24"/>
                <w:szCs w:val="24"/>
              </w:rPr>
              <w:t>1.4. un 1.5. rādītāju formulējums ir vispārīgs un nav saprotams, kā varētu tikt iegūti un mērīti šie rādītāji. Lūdzam precizēt rādītāju formulējumu vai arī noteikt tādus rezultatīvos rādītājus, kas būtu nepārprotami, izmērāmi un pārbaudāmi.</w:t>
            </w:r>
          </w:p>
        </w:tc>
        <w:tc>
          <w:tcPr>
            <w:tcW w:w="3118" w:type="dxa"/>
          </w:tcPr>
          <w:p w14:paraId="06567EC8" w14:textId="77777777" w:rsidR="005B04CB" w:rsidRPr="00DE1A22" w:rsidRDefault="005B04CB" w:rsidP="005B04CB">
            <w:pPr>
              <w:jc w:val="center"/>
              <w:rPr>
                <w:rFonts w:eastAsia="Times New Roman"/>
                <w:b/>
                <w:bCs/>
                <w:sz w:val="24"/>
                <w:szCs w:val="24"/>
                <w:lang w:eastAsia="lv-LV"/>
              </w:rPr>
            </w:pPr>
            <w:r w:rsidRPr="00DE1A22">
              <w:rPr>
                <w:rFonts w:eastAsia="Times New Roman"/>
                <w:b/>
                <w:bCs/>
                <w:sz w:val="24"/>
                <w:szCs w:val="24"/>
                <w:lang w:eastAsia="lv-LV"/>
              </w:rPr>
              <w:t>Ņemts vērā.</w:t>
            </w:r>
          </w:p>
          <w:p w14:paraId="3F4A7894" w14:textId="77777777" w:rsidR="005B04CB" w:rsidRPr="00DE1A22" w:rsidRDefault="005B04CB" w:rsidP="00CB4782">
            <w:pPr>
              <w:jc w:val="both"/>
              <w:rPr>
                <w:rFonts w:eastAsia="Times New Roman"/>
                <w:b/>
                <w:bCs/>
                <w:sz w:val="24"/>
                <w:szCs w:val="24"/>
                <w:lang w:eastAsia="lv-LV"/>
              </w:rPr>
            </w:pPr>
            <w:r w:rsidRPr="00DE1A22">
              <w:rPr>
                <w:rFonts w:eastAsia="Times New Roman"/>
                <w:bCs/>
                <w:sz w:val="24"/>
                <w:szCs w:val="24"/>
                <w:lang w:eastAsia="lv-LV"/>
              </w:rPr>
              <w:t xml:space="preserve"> </w:t>
            </w:r>
          </w:p>
        </w:tc>
        <w:tc>
          <w:tcPr>
            <w:tcW w:w="3402" w:type="dxa"/>
          </w:tcPr>
          <w:p w14:paraId="270088E7" w14:textId="77777777" w:rsidR="006A5961" w:rsidRPr="00DE1A22" w:rsidRDefault="006A5961" w:rsidP="006A5961">
            <w:pPr>
              <w:jc w:val="both"/>
              <w:rPr>
                <w:rFonts w:eastAsia="Times New Roman"/>
                <w:bCs/>
                <w:sz w:val="24"/>
                <w:szCs w:val="24"/>
                <w:lang w:eastAsia="lv-LV"/>
              </w:rPr>
            </w:pPr>
            <w:r w:rsidRPr="00DE1A22">
              <w:rPr>
                <w:rFonts w:eastAsia="Times New Roman"/>
                <w:bCs/>
                <w:sz w:val="24"/>
                <w:szCs w:val="24"/>
                <w:lang w:eastAsia="lv-LV"/>
              </w:rPr>
              <w:t>Pielikuma 2.3. sadaļa “2.3. Profilaktiskie pasākumi ar azartspēlēm un izlozēm saistīto risku mazināšanai” – “- izstrādāti un pieņemti 2019.gada 16.jūlija Ministru kabineta noteikumi Nr.333 “No azartspēlēm un interaktīvajām izlozēm pašatteikušos personu reģistra noteikumi”. Noteikumi paredz no spēlēm pašatteikušos personu reģistra (turpmāk – reģistrs) izveidi, lai, pamatojoties uz fizisku personu izteiktajiem pieprasījumiem, tām tiktu liegts piedalīties spēlēs.”</w:t>
            </w:r>
          </w:p>
          <w:p w14:paraId="5A90D62A" w14:textId="77777777" w:rsidR="006A5961" w:rsidRPr="00DE1A22" w:rsidRDefault="006A5961" w:rsidP="006A5961">
            <w:pPr>
              <w:jc w:val="both"/>
              <w:rPr>
                <w:rFonts w:eastAsia="Times New Roman"/>
                <w:bCs/>
                <w:sz w:val="24"/>
                <w:szCs w:val="24"/>
                <w:lang w:eastAsia="lv-LV"/>
              </w:rPr>
            </w:pPr>
            <w:r w:rsidRPr="00DE1A22">
              <w:rPr>
                <w:rFonts w:eastAsia="Times New Roman"/>
                <w:bCs/>
                <w:sz w:val="24"/>
                <w:szCs w:val="24"/>
                <w:lang w:eastAsia="lv-LV"/>
              </w:rPr>
              <w:t>Uzskatām, ka ieviestā Pašatteikušos personu reģistrā iekļauto personu skaits ir kā viens no rādītājiem, par cik samazinās personu ar pārmērīgu tieksmi uz azartspēļu spēlēm loks.</w:t>
            </w:r>
          </w:p>
          <w:p w14:paraId="0174F7B5" w14:textId="77777777" w:rsidR="005B04CB" w:rsidRPr="00DE1A22" w:rsidRDefault="006A5961" w:rsidP="006A5961">
            <w:pPr>
              <w:jc w:val="both"/>
              <w:rPr>
                <w:rFonts w:eastAsia="Times New Roman"/>
                <w:sz w:val="24"/>
                <w:szCs w:val="24"/>
              </w:rPr>
            </w:pPr>
            <w:r w:rsidRPr="00DE1A22">
              <w:rPr>
                <w:rFonts w:eastAsia="Times New Roman"/>
                <w:bCs/>
                <w:sz w:val="24"/>
                <w:szCs w:val="24"/>
                <w:lang w:eastAsia="lv-LV"/>
              </w:rPr>
              <w:t xml:space="preserve">Savukārt, atkarību no medicīniska aspekta vērtējama sadarbībā ar Veselības ministriju, apzinot, vai šobrīd ir ieviesta no </w:t>
            </w:r>
            <w:r w:rsidRPr="00DE1A22">
              <w:rPr>
                <w:rFonts w:eastAsia="Times New Roman"/>
                <w:bCs/>
                <w:sz w:val="24"/>
                <w:szCs w:val="24"/>
                <w:lang w:eastAsia="lv-LV"/>
              </w:rPr>
              <w:lastRenderedPageBreak/>
              <w:t>pārmērīgas tieksmes uz azartspēļu spēlēšanu reģistrs/ uzskaite, iespējamā ārstēšana utt.</w:t>
            </w:r>
          </w:p>
        </w:tc>
      </w:tr>
      <w:tr w:rsidR="005B04CB" w:rsidRPr="00DE1A22" w14:paraId="4F073456" w14:textId="77777777" w:rsidTr="00BF4AE7">
        <w:tc>
          <w:tcPr>
            <w:tcW w:w="846" w:type="dxa"/>
            <w:gridSpan w:val="2"/>
            <w:shd w:val="clear" w:color="auto" w:fill="auto"/>
          </w:tcPr>
          <w:p w14:paraId="288F1070" w14:textId="77777777" w:rsidR="005B04CB" w:rsidRPr="00DE1A22" w:rsidRDefault="00CB4782" w:rsidP="005B04CB">
            <w:pPr>
              <w:spacing w:before="100" w:beforeAutospacing="1" w:after="100" w:afterAutospacing="1"/>
              <w:jc w:val="center"/>
              <w:rPr>
                <w:rFonts w:eastAsia="Times New Roman"/>
                <w:sz w:val="24"/>
                <w:szCs w:val="24"/>
                <w:lang w:eastAsia="lv-LV"/>
              </w:rPr>
            </w:pPr>
            <w:r w:rsidRPr="00DE1A22">
              <w:rPr>
                <w:rFonts w:eastAsia="Times New Roman"/>
                <w:sz w:val="24"/>
                <w:szCs w:val="24"/>
                <w:lang w:eastAsia="lv-LV"/>
              </w:rPr>
              <w:lastRenderedPageBreak/>
              <w:t>2</w:t>
            </w:r>
            <w:r w:rsidR="005B04CB" w:rsidRPr="00DE1A22">
              <w:rPr>
                <w:rFonts w:eastAsia="Times New Roman"/>
                <w:sz w:val="24"/>
                <w:szCs w:val="24"/>
                <w:lang w:eastAsia="lv-LV"/>
              </w:rPr>
              <w:t>.</w:t>
            </w:r>
          </w:p>
        </w:tc>
        <w:tc>
          <w:tcPr>
            <w:tcW w:w="2977" w:type="dxa"/>
            <w:shd w:val="clear" w:color="auto" w:fill="auto"/>
          </w:tcPr>
          <w:p w14:paraId="13766664" w14:textId="77777777" w:rsidR="005B04CB" w:rsidRPr="00DE1A22" w:rsidRDefault="005B04CB" w:rsidP="005B04CB">
            <w:pPr>
              <w:jc w:val="both"/>
              <w:rPr>
                <w:rFonts w:eastAsia="Times New Roman"/>
                <w:sz w:val="24"/>
                <w:szCs w:val="24"/>
                <w:lang w:eastAsia="lv-LV"/>
              </w:rPr>
            </w:pPr>
            <w:r w:rsidRPr="00DE1A22">
              <w:rPr>
                <w:rFonts w:eastAsia="Times New Roman"/>
                <w:sz w:val="24"/>
                <w:szCs w:val="24"/>
                <w:lang w:eastAsia="lv-LV"/>
              </w:rPr>
              <w:t>Projekta 4. sadaļas 1. Rīcības virziena “Nelegālā tirgus ierobežošana” 1. uzdevums “Noteikt, ka elektronisko sakaru komersants piekļuves ierobežošanu Latvijā nelicencēta interaktīvo azartspēļu un/vai nelicencēta izložu organizētāja interneta mājaslapai nodrošina sev piemērotā veidā.”</w:t>
            </w:r>
          </w:p>
        </w:tc>
        <w:tc>
          <w:tcPr>
            <w:tcW w:w="4394" w:type="dxa"/>
            <w:shd w:val="clear" w:color="auto" w:fill="auto"/>
          </w:tcPr>
          <w:p w14:paraId="4042CBAA" w14:textId="77777777" w:rsidR="005B04CB" w:rsidRPr="00DE1A22" w:rsidRDefault="005B04CB" w:rsidP="005B04CB">
            <w:pPr>
              <w:contextualSpacing/>
              <w:jc w:val="both"/>
              <w:rPr>
                <w:rFonts w:eastAsia="Times New Roman"/>
                <w:b/>
                <w:sz w:val="24"/>
                <w:szCs w:val="24"/>
                <w:lang w:eastAsia="lv-LV"/>
              </w:rPr>
            </w:pPr>
            <w:r w:rsidRPr="00DE1A22">
              <w:rPr>
                <w:rFonts w:eastAsia="Times New Roman"/>
                <w:b/>
                <w:sz w:val="24"/>
                <w:szCs w:val="24"/>
                <w:lang w:eastAsia="lv-LV"/>
              </w:rPr>
              <w:t>Latvijas Darba devēju konfederācija (25.01.2019. Nr.2-10/2)</w:t>
            </w:r>
          </w:p>
          <w:p w14:paraId="5D8C2195" w14:textId="77777777" w:rsidR="005B04CB" w:rsidRPr="00DE1A22" w:rsidRDefault="005B04CB" w:rsidP="005B04CB">
            <w:pPr>
              <w:contextualSpacing/>
              <w:jc w:val="both"/>
              <w:rPr>
                <w:rFonts w:eastAsia="Times New Roman"/>
                <w:sz w:val="24"/>
                <w:szCs w:val="24"/>
                <w:lang w:eastAsia="lv-LV"/>
              </w:rPr>
            </w:pPr>
            <w:r w:rsidRPr="00DE1A22">
              <w:rPr>
                <w:rFonts w:eastAsia="Times New Roman"/>
                <w:sz w:val="24"/>
                <w:szCs w:val="24"/>
                <w:lang w:eastAsia="lv-LV"/>
              </w:rPr>
              <w:t>LDDK aicina pārskatīt Pamatnostādnēs ietverto uzdevumu: “Noteikt, ka elektronisko sakaru komersants piekļuves ierobežošanu Latvijā nelicencēta interaktīvo azartspēļu un/vai nelicencēta izložu organizētāja interneta mājaslapai nodrošina sev piemērotā veidā.”</w:t>
            </w:r>
          </w:p>
          <w:p w14:paraId="63F12F63" w14:textId="77777777" w:rsidR="005B04CB" w:rsidRPr="00DE1A22" w:rsidRDefault="005B04CB" w:rsidP="005B04CB">
            <w:pPr>
              <w:contextualSpacing/>
              <w:jc w:val="both"/>
              <w:rPr>
                <w:rFonts w:eastAsia="Times New Roman"/>
                <w:sz w:val="24"/>
                <w:szCs w:val="24"/>
                <w:lang w:eastAsia="lv-LV"/>
              </w:rPr>
            </w:pPr>
          </w:p>
          <w:p w14:paraId="36B3D623" w14:textId="77777777" w:rsidR="005B04CB" w:rsidRPr="00DE1A22" w:rsidRDefault="005B04CB" w:rsidP="005B04CB">
            <w:pPr>
              <w:contextualSpacing/>
              <w:jc w:val="both"/>
              <w:rPr>
                <w:rFonts w:eastAsia="Times New Roman"/>
                <w:sz w:val="24"/>
                <w:szCs w:val="24"/>
                <w:lang w:eastAsia="lv-LV"/>
              </w:rPr>
            </w:pPr>
            <w:r w:rsidRPr="00DE1A22">
              <w:rPr>
                <w:rFonts w:eastAsia="Times New Roman"/>
                <w:sz w:val="24"/>
                <w:szCs w:val="24"/>
                <w:lang w:eastAsia="lv-LV"/>
              </w:rPr>
              <w:t>Priekšlikums: Deleģēt IAUI izveidot vienotu, tiešsaistē pieejamu un elektroniski apstrādājamu bloķēto mājas lapu sarakstu, kuru elektronisko sakaru komersanti varētu izmantot automatizētai lēmumu izpildei.</w:t>
            </w:r>
          </w:p>
          <w:p w14:paraId="2C2AC925" w14:textId="77777777" w:rsidR="005B04CB" w:rsidRPr="00DE1A22" w:rsidRDefault="005B04CB" w:rsidP="005B04CB">
            <w:pPr>
              <w:contextualSpacing/>
              <w:jc w:val="both"/>
              <w:rPr>
                <w:rFonts w:eastAsia="Times New Roman"/>
                <w:sz w:val="24"/>
                <w:szCs w:val="24"/>
                <w:lang w:eastAsia="lv-LV"/>
              </w:rPr>
            </w:pPr>
          </w:p>
          <w:p w14:paraId="00734E69" w14:textId="77777777" w:rsidR="005B04CB" w:rsidRPr="00DE1A22" w:rsidRDefault="005B04CB" w:rsidP="005B04CB">
            <w:pPr>
              <w:contextualSpacing/>
              <w:jc w:val="both"/>
              <w:rPr>
                <w:rFonts w:eastAsia="Times New Roman"/>
                <w:sz w:val="24"/>
                <w:szCs w:val="24"/>
                <w:lang w:eastAsia="lv-LV"/>
              </w:rPr>
            </w:pPr>
            <w:r w:rsidRPr="00DE1A22">
              <w:rPr>
                <w:rFonts w:eastAsia="Times New Roman"/>
                <w:sz w:val="24"/>
                <w:szCs w:val="24"/>
                <w:lang w:eastAsia="lv-LV"/>
              </w:rPr>
              <w:t>Pamatojums:</w:t>
            </w:r>
          </w:p>
          <w:p w14:paraId="6293CDEF" w14:textId="77777777" w:rsidR="005B04CB" w:rsidRPr="00DE1A22" w:rsidRDefault="005B04CB" w:rsidP="005B04CB">
            <w:pPr>
              <w:contextualSpacing/>
              <w:jc w:val="both"/>
              <w:rPr>
                <w:rFonts w:eastAsia="Times New Roman"/>
                <w:sz w:val="24"/>
                <w:szCs w:val="24"/>
                <w:lang w:eastAsia="lv-LV"/>
              </w:rPr>
            </w:pPr>
            <w:r w:rsidRPr="00DE1A22">
              <w:rPr>
                <w:rFonts w:eastAsia="Times New Roman"/>
                <w:sz w:val="24"/>
                <w:szCs w:val="24"/>
                <w:lang w:eastAsia="lv-LV"/>
              </w:rPr>
              <w:t>Elektronisko sakaru likuma 19.panta pirmās daļas 22.punkts jau šobrīd nosaka elektronisko sakaru komersantu pienākumu, pamatojoties uz IAUI lēmumu, ierobežot piekļuvi nelicencēta interaktīvo azartspēļu organizētāja interneta mājaslapai.</w:t>
            </w:r>
          </w:p>
          <w:p w14:paraId="5B504814" w14:textId="77777777" w:rsidR="005B04CB" w:rsidRPr="00DE1A22" w:rsidRDefault="005B04CB" w:rsidP="005B04CB">
            <w:pPr>
              <w:contextualSpacing/>
              <w:jc w:val="both"/>
              <w:rPr>
                <w:rFonts w:eastAsia="Times New Roman"/>
                <w:sz w:val="24"/>
                <w:szCs w:val="24"/>
                <w:lang w:eastAsia="lv-LV"/>
              </w:rPr>
            </w:pPr>
            <w:r w:rsidRPr="00DE1A22">
              <w:rPr>
                <w:rFonts w:eastAsia="Times New Roman"/>
                <w:sz w:val="24"/>
                <w:szCs w:val="24"/>
                <w:lang w:eastAsia="lv-LV"/>
              </w:rPr>
              <w:t xml:space="preserve">Vēršam Finanšu ministrijas uzmanību uz objektīvu apstākli, ka IAUI lēmumu izpilde ir iespējama vienīgi tiktāl, ciktāl to pieļauj katra komersanta tehnoloģiskās iespējas, piemēram, liedzot mājaslapas domēna vārda izmantošanu, ierobežojot mājaslapas apakšsadaļu pieejamību vai bloķējot servera IP adresi. Turklāt jāņem vērā arī galalietotājiem pieejamie risinājumi </w:t>
            </w:r>
            <w:r w:rsidRPr="00DE1A22">
              <w:rPr>
                <w:rFonts w:eastAsia="Times New Roman"/>
                <w:sz w:val="24"/>
                <w:szCs w:val="24"/>
                <w:lang w:eastAsia="lv-LV"/>
              </w:rPr>
              <w:lastRenderedPageBreak/>
              <w:t>ierobežojumu apiešanai, piemēram, starpniekserveru un privāto tīklu izmantošana, kas būtiski samazina jebkādu ierobežojumu efektivitāti. Pamatnostādnēs ietvertais uzdevums rada neskaidrību par elektronisko sakaru komersantu pienākumu saturu, tostarp, ciktāl komersanti būtu atbildīgi par IAUI lēmuma izpildi sev objektīvi pieejamo tehnoloģisko risinājumu ietvaros, vai arī galarezultāta sasniegšanu, neraugoties uz tehnoloģiskajiem šķēršļiem un galalietotājam pieejamiem risinājumiem.</w:t>
            </w:r>
          </w:p>
          <w:p w14:paraId="31EA0F0B" w14:textId="77777777" w:rsidR="005B04CB" w:rsidRPr="00DE1A22" w:rsidRDefault="005B04CB" w:rsidP="005B04CB">
            <w:pPr>
              <w:jc w:val="both"/>
              <w:rPr>
                <w:rFonts w:eastAsia="Times New Roman"/>
                <w:sz w:val="24"/>
                <w:szCs w:val="24"/>
              </w:rPr>
            </w:pPr>
            <w:r w:rsidRPr="00DE1A22">
              <w:rPr>
                <w:rFonts w:eastAsia="Times New Roman"/>
                <w:sz w:val="24"/>
                <w:szCs w:val="24"/>
                <w:lang w:eastAsia="lv-LV"/>
              </w:rPr>
              <w:t>LDDK atbalsta mūsdienīgus un efektīvus tehnoloģiskos līdzekļus nelegālo azartspēļu organizētāju interneta mājaslapu bloķēšanai. Lai veicinātu IAUI lēmumu izpildi, Pamatnostādnēs noteiktajiem uzdevumiem jātiek vērstiem uz informācijas apmaiņu starp valsts pārvaldes iestādēm un elektronisko sakaru komersantiem. Elektroniski apstrādājama bloķēto mājas lapu saraksta pieejamība IAUI mājaslapā ir būtisks priekšnoteikums automatizētai informācijas pārnesamībai uz elektronisko sakaru komersantu informācijas sistēmām. Šāds risinājums sekmētu operatīvu un nekļūdīgu lēmumu izpildi, kā arī samazinātu administratīvo slogu elektronisko sakaru komersantiem.</w:t>
            </w:r>
          </w:p>
        </w:tc>
        <w:tc>
          <w:tcPr>
            <w:tcW w:w="3118" w:type="dxa"/>
            <w:shd w:val="clear" w:color="auto" w:fill="auto"/>
          </w:tcPr>
          <w:p w14:paraId="7B4FE26C" w14:textId="77777777" w:rsidR="005B04CB" w:rsidRPr="00DE1A22" w:rsidRDefault="000C4D61" w:rsidP="000C4D61">
            <w:pPr>
              <w:jc w:val="center"/>
              <w:rPr>
                <w:rFonts w:eastAsia="Times New Roman"/>
                <w:b/>
                <w:bCs/>
                <w:sz w:val="24"/>
                <w:szCs w:val="24"/>
                <w:lang w:eastAsia="lv-LV"/>
              </w:rPr>
            </w:pPr>
            <w:r w:rsidRPr="00DE1A22">
              <w:rPr>
                <w:rFonts w:eastAsia="Times New Roman"/>
                <w:b/>
                <w:bCs/>
                <w:sz w:val="24"/>
                <w:szCs w:val="24"/>
                <w:lang w:eastAsia="lv-LV"/>
              </w:rPr>
              <w:lastRenderedPageBreak/>
              <w:t>Ņemts vērā.</w:t>
            </w:r>
          </w:p>
        </w:tc>
        <w:tc>
          <w:tcPr>
            <w:tcW w:w="3402" w:type="dxa"/>
            <w:shd w:val="clear" w:color="auto" w:fill="auto"/>
          </w:tcPr>
          <w:p w14:paraId="42AE49BD" w14:textId="77777777" w:rsidR="000C4D61" w:rsidRPr="00DE1A22" w:rsidRDefault="000C4D61" w:rsidP="000C4D61">
            <w:pPr>
              <w:jc w:val="both"/>
              <w:rPr>
                <w:rFonts w:eastAsia="Times New Roman"/>
                <w:bCs/>
                <w:sz w:val="24"/>
                <w:szCs w:val="24"/>
                <w:lang w:eastAsia="lv-LV"/>
              </w:rPr>
            </w:pPr>
            <w:r w:rsidRPr="00DE1A22">
              <w:rPr>
                <w:rFonts w:eastAsia="Times New Roman"/>
                <w:bCs/>
                <w:sz w:val="24"/>
                <w:szCs w:val="24"/>
                <w:lang w:eastAsia="lv-LV"/>
              </w:rPr>
              <w:t xml:space="preserve">Uzdevums izpildīts ar 2019.gada 3.aprīlī Saeimā pieņemto likumu Par valsts budžetu 2019.gadam un to pavadošajiem 14 likumprojektiem, tai skaitā iekļautajiem četriem likumprojektiem, kas paredz ierobežot Latvijā nelicencētu interaktīvo azartspēļu un izložu pieejamību. </w:t>
            </w:r>
          </w:p>
          <w:p w14:paraId="334F9EEB" w14:textId="77777777" w:rsidR="000C4D61" w:rsidRPr="00DE1A22" w:rsidRDefault="000C4D61" w:rsidP="000C4D61">
            <w:pPr>
              <w:jc w:val="both"/>
              <w:rPr>
                <w:rFonts w:eastAsia="Times New Roman"/>
                <w:bCs/>
                <w:sz w:val="24"/>
                <w:szCs w:val="24"/>
                <w:lang w:eastAsia="lv-LV"/>
              </w:rPr>
            </w:pPr>
            <w:r w:rsidRPr="00DE1A22">
              <w:rPr>
                <w:rFonts w:eastAsia="Times New Roman"/>
                <w:bCs/>
                <w:sz w:val="24"/>
                <w:szCs w:val="24"/>
                <w:lang w:eastAsia="lv-LV"/>
              </w:rPr>
              <w:t>Kompleksie pasākumi paredz:</w:t>
            </w:r>
          </w:p>
          <w:p w14:paraId="10906D3F" w14:textId="77777777" w:rsidR="000C4D61" w:rsidRPr="00DE1A22" w:rsidRDefault="000C4D61" w:rsidP="000C4D61">
            <w:pPr>
              <w:jc w:val="both"/>
              <w:rPr>
                <w:rFonts w:eastAsia="Times New Roman"/>
                <w:bCs/>
                <w:sz w:val="24"/>
                <w:szCs w:val="24"/>
                <w:lang w:eastAsia="lv-LV"/>
              </w:rPr>
            </w:pPr>
            <w:r w:rsidRPr="00DE1A22">
              <w:rPr>
                <w:rFonts w:eastAsia="Times New Roman"/>
                <w:bCs/>
                <w:sz w:val="24"/>
                <w:szCs w:val="24"/>
                <w:lang w:eastAsia="lv-LV"/>
              </w:rPr>
              <w:t>1)</w:t>
            </w:r>
            <w:r w:rsidRPr="00DE1A22">
              <w:rPr>
                <w:rFonts w:eastAsia="Times New Roman"/>
                <w:bCs/>
                <w:sz w:val="24"/>
                <w:szCs w:val="24"/>
                <w:lang w:eastAsia="lv-LV"/>
              </w:rPr>
              <w:tab/>
              <w:t>Grozījumus Maksājumu pakalpojumu un elektroniskās naudas likumā</w:t>
            </w:r>
          </w:p>
          <w:p w14:paraId="0FBBD57E" w14:textId="77777777" w:rsidR="000C4D61" w:rsidRPr="00DE1A22" w:rsidRDefault="000C4D61" w:rsidP="000C4D61">
            <w:pPr>
              <w:jc w:val="both"/>
              <w:rPr>
                <w:rFonts w:eastAsia="Times New Roman"/>
                <w:bCs/>
                <w:sz w:val="24"/>
                <w:szCs w:val="24"/>
                <w:lang w:eastAsia="lv-LV"/>
              </w:rPr>
            </w:pPr>
            <w:r w:rsidRPr="00DE1A22">
              <w:rPr>
                <w:rFonts w:eastAsia="Times New Roman"/>
                <w:bCs/>
                <w:sz w:val="24"/>
                <w:szCs w:val="24"/>
                <w:lang w:eastAsia="lv-LV"/>
              </w:rPr>
              <w:t>- nosakot pienākumu kredītiestādēm un maksājumu pakalpojumu sniedzējiem atteikt attālināto maksājumu veikšanu ar Latvijas Republikas rezidentam izsniegto maksājumu karti Latvijas Republikā nelicencētam interaktīvo azartspēļu un interaktīvo izložu organizētājam;</w:t>
            </w:r>
          </w:p>
          <w:p w14:paraId="33FA00D1" w14:textId="77777777" w:rsidR="000C4D61" w:rsidRPr="00DE1A22" w:rsidRDefault="000C4D61" w:rsidP="000C4D61">
            <w:pPr>
              <w:jc w:val="both"/>
              <w:rPr>
                <w:rFonts w:eastAsia="Times New Roman"/>
                <w:bCs/>
                <w:sz w:val="24"/>
                <w:szCs w:val="24"/>
                <w:lang w:eastAsia="lv-LV"/>
              </w:rPr>
            </w:pPr>
            <w:r w:rsidRPr="00DE1A22">
              <w:rPr>
                <w:rFonts w:eastAsia="Times New Roman"/>
                <w:bCs/>
                <w:sz w:val="24"/>
                <w:szCs w:val="24"/>
                <w:lang w:eastAsia="lv-LV"/>
              </w:rPr>
              <w:t xml:space="preserve">- nosakot pienākumu kredītiestādēm un citiem maksājumu pakalpojumu sniedzējiem sniegt Valsts ieņēmumu dienestam atteikumu pārskatu par kredītiestāžu un citu maksājumu pakalpojumu sniedzēju par Latvijas Republikas rezidentu attālināto maksājumu pieteikumiem </w:t>
            </w:r>
            <w:r w:rsidRPr="00DE1A22">
              <w:rPr>
                <w:rFonts w:eastAsia="Times New Roman"/>
                <w:bCs/>
                <w:sz w:val="24"/>
                <w:szCs w:val="24"/>
                <w:lang w:eastAsia="lv-LV"/>
              </w:rPr>
              <w:lastRenderedPageBreak/>
              <w:t>Latvijas Republikā nelicencētam interaktīvo azartspēļu un interaktīvo izložu organizētājam;</w:t>
            </w:r>
          </w:p>
          <w:p w14:paraId="18FE14B1" w14:textId="77777777" w:rsidR="000C4D61" w:rsidRPr="00DE1A22" w:rsidRDefault="000C4D61" w:rsidP="000C4D61">
            <w:pPr>
              <w:jc w:val="both"/>
              <w:rPr>
                <w:rFonts w:eastAsia="Times New Roman"/>
                <w:bCs/>
                <w:sz w:val="24"/>
                <w:szCs w:val="24"/>
                <w:lang w:eastAsia="lv-LV"/>
              </w:rPr>
            </w:pPr>
            <w:r w:rsidRPr="00DE1A22">
              <w:rPr>
                <w:rFonts w:eastAsia="Times New Roman"/>
                <w:bCs/>
                <w:sz w:val="24"/>
                <w:szCs w:val="24"/>
                <w:lang w:eastAsia="lv-LV"/>
              </w:rPr>
              <w:t>- iespēju iegūt informāciju par fizisko personu laimestu apmēru, kas nav deklarēts un par kuru nav veikti nodokļu maksājumi.</w:t>
            </w:r>
          </w:p>
          <w:p w14:paraId="666C77B5" w14:textId="77777777" w:rsidR="000C4D61" w:rsidRPr="00DE1A22" w:rsidRDefault="000C4D61" w:rsidP="000C4D61">
            <w:pPr>
              <w:jc w:val="both"/>
              <w:rPr>
                <w:rFonts w:eastAsia="Times New Roman"/>
                <w:bCs/>
                <w:sz w:val="24"/>
                <w:szCs w:val="24"/>
                <w:lang w:eastAsia="lv-LV"/>
              </w:rPr>
            </w:pPr>
            <w:r w:rsidRPr="00DE1A22">
              <w:rPr>
                <w:rFonts w:eastAsia="Times New Roman"/>
                <w:bCs/>
                <w:sz w:val="24"/>
                <w:szCs w:val="24"/>
                <w:lang w:eastAsia="lv-LV"/>
              </w:rPr>
              <w:t>2) Grozījumus Elektronisko sakaru likumā</w:t>
            </w:r>
          </w:p>
          <w:p w14:paraId="6A393770" w14:textId="77777777" w:rsidR="000C4D61" w:rsidRPr="00DE1A22" w:rsidRDefault="000C4D61" w:rsidP="000C4D61">
            <w:pPr>
              <w:jc w:val="both"/>
              <w:rPr>
                <w:rFonts w:eastAsia="Times New Roman"/>
                <w:bCs/>
                <w:sz w:val="24"/>
                <w:szCs w:val="24"/>
                <w:lang w:eastAsia="lv-LV"/>
              </w:rPr>
            </w:pPr>
            <w:r w:rsidRPr="00DE1A22">
              <w:rPr>
                <w:rFonts w:eastAsia="Times New Roman"/>
                <w:bCs/>
                <w:sz w:val="24"/>
                <w:szCs w:val="24"/>
                <w:lang w:eastAsia="lv-LV"/>
              </w:rPr>
              <w:t>- elektronisko sakaru komersants, izpildot Izložu un azartspēļu uzraudzības inspekcijas lēmumu par piekļuves ierobežošanu, nodrošinās tīmekļa vietnes lietotāja pāradresāciju uz Izložu un azartspēļu uzraudzības inspekcijas tīmekļa vietni, kurā lietotājam tiks sniegta informācija par liegumu spēlēt Latvijā nelicencētas interaktīvās azartspēles un interaktīvās izlozes, par Latvijā licencētiem interaktīvajiem azartspēļu organizētājiem, kā arī informācija par atkarību no azartspēlēm un izlozēm mazinošiem pasākumiem;</w:t>
            </w:r>
          </w:p>
          <w:p w14:paraId="3010B7FA" w14:textId="77777777" w:rsidR="000C4D61" w:rsidRPr="00DE1A22" w:rsidRDefault="000C4D61" w:rsidP="000C4D61">
            <w:pPr>
              <w:jc w:val="both"/>
              <w:rPr>
                <w:rFonts w:eastAsia="Times New Roman"/>
                <w:bCs/>
                <w:sz w:val="24"/>
                <w:szCs w:val="24"/>
                <w:lang w:eastAsia="lv-LV"/>
              </w:rPr>
            </w:pPr>
            <w:r w:rsidRPr="00DE1A22">
              <w:rPr>
                <w:rFonts w:eastAsia="Times New Roman"/>
                <w:bCs/>
                <w:sz w:val="24"/>
                <w:szCs w:val="24"/>
                <w:lang w:eastAsia="lv-LV"/>
              </w:rPr>
              <w:t>- nepārprotami noteikt minimālās piekļuves ierobežošanas prasības un arī tiesības elektronisko pakalpojumu sniedzējam izvēlēties tehnoloģisko risinājumu, kā tiek ierobežota piekļuve attiecīgajai tīmekļa vietnei sev piemērotā veidā;</w:t>
            </w:r>
          </w:p>
          <w:p w14:paraId="0C6EC811" w14:textId="77777777" w:rsidR="000C4D61" w:rsidRPr="00DE1A22" w:rsidRDefault="000C4D61" w:rsidP="000C4D61">
            <w:pPr>
              <w:jc w:val="both"/>
              <w:rPr>
                <w:rFonts w:eastAsia="Times New Roman"/>
                <w:bCs/>
                <w:sz w:val="24"/>
                <w:szCs w:val="24"/>
                <w:lang w:eastAsia="lv-LV"/>
              </w:rPr>
            </w:pPr>
            <w:r w:rsidRPr="00DE1A22">
              <w:rPr>
                <w:rFonts w:eastAsia="Times New Roman"/>
                <w:bCs/>
                <w:sz w:val="24"/>
                <w:szCs w:val="24"/>
                <w:lang w:eastAsia="lv-LV"/>
              </w:rPr>
              <w:lastRenderedPageBreak/>
              <w:t>- pilnveidot regulējumu attiecībā uz to, ja elektronisko sakaru komersants atbilstoši normatīvo aktu prasībām regulāri nenodrošina pieejas ierobežošanu Latvijā nelicencētu interaktīvo azartspēļu un interaktīvo izložu organizētāja tīmekļu vietnei vismaz minimālo prasību līmenī.</w:t>
            </w:r>
          </w:p>
          <w:p w14:paraId="10FDEA47" w14:textId="77777777" w:rsidR="000C4D61" w:rsidRPr="00DE1A22" w:rsidRDefault="000C4D61" w:rsidP="000C4D61">
            <w:pPr>
              <w:jc w:val="both"/>
              <w:rPr>
                <w:rFonts w:eastAsia="Times New Roman"/>
                <w:bCs/>
                <w:sz w:val="24"/>
                <w:szCs w:val="24"/>
                <w:lang w:eastAsia="lv-LV"/>
              </w:rPr>
            </w:pPr>
            <w:r w:rsidRPr="00DE1A22">
              <w:rPr>
                <w:rFonts w:eastAsia="Times New Roman"/>
                <w:bCs/>
                <w:sz w:val="24"/>
                <w:szCs w:val="24"/>
                <w:lang w:eastAsia="lv-LV"/>
              </w:rPr>
              <w:t>3) Grozījumus Latvijas Administratīvo pārkāpumu kodeksā</w:t>
            </w:r>
          </w:p>
          <w:p w14:paraId="78115ECF" w14:textId="77777777" w:rsidR="000C4D61" w:rsidRPr="00DE1A22" w:rsidRDefault="000C4D61" w:rsidP="000C4D61">
            <w:pPr>
              <w:jc w:val="both"/>
              <w:rPr>
                <w:rFonts w:eastAsia="Times New Roman"/>
                <w:bCs/>
                <w:sz w:val="24"/>
                <w:szCs w:val="24"/>
                <w:lang w:eastAsia="lv-LV"/>
              </w:rPr>
            </w:pPr>
            <w:r w:rsidRPr="00DE1A22">
              <w:rPr>
                <w:rFonts w:eastAsia="Times New Roman"/>
                <w:bCs/>
                <w:sz w:val="24"/>
                <w:szCs w:val="24"/>
                <w:lang w:eastAsia="lv-LV"/>
              </w:rPr>
              <w:t>- paredzot noteikt atbildību personai par dalību Latvijas Republikā nelicencētās interaktīvās azartspēlēs vai interaktīvās izlozēs.</w:t>
            </w:r>
          </w:p>
          <w:p w14:paraId="4D6F342B" w14:textId="77777777" w:rsidR="000C4D61" w:rsidRPr="00DE1A22" w:rsidRDefault="000C4D61" w:rsidP="000C4D61">
            <w:pPr>
              <w:jc w:val="both"/>
              <w:rPr>
                <w:rFonts w:eastAsia="Times New Roman"/>
                <w:bCs/>
                <w:sz w:val="24"/>
                <w:szCs w:val="24"/>
                <w:lang w:eastAsia="lv-LV"/>
              </w:rPr>
            </w:pPr>
            <w:r w:rsidRPr="00DE1A22">
              <w:rPr>
                <w:rFonts w:eastAsia="Times New Roman"/>
                <w:bCs/>
                <w:sz w:val="24"/>
                <w:szCs w:val="24"/>
                <w:lang w:eastAsia="lv-LV"/>
              </w:rPr>
              <w:t>4) Grozījumus Azartspēļu un izložu likumā</w:t>
            </w:r>
          </w:p>
          <w:p w14:paraId="3E3130F6" w14:textId="77777777" w:rsidR="000C4D61" w:rsidRPr="00DE1A22" w:rsidRDefault="000C4D61" w:rsidP="000C4D61">
            <w:pPr>
              <w:jc w:val="both"/>
              <w:rPr>
                <w:rFonts w:eastAsia="Times New Roman"/>
                <w:bCs/>
                <w:sz w:val="24"/>
                <w:szCs w:val="24"/>
                <w:lang w:eastAsia="lv-LV"/>
              </w:rPr>
            </w:pPr>
            <w:r w:rsidRPr="00DE1A22">
              <w:rPr>
                <w:rFonts w:eastAsia="Times New Roman"/>
                <w:bCs/>
                <w:sz w:val="24"/>
                <w:szCs w:val="24"/>
                <w:lang w:eastAsia="lv-LV"/>
              </w:rPr>
              <w:t>- nosakot liegumu personai piedalīties Latvijā nelicencētās interaktīvās azartspēlēs un interaktīvās izlozēs;</w:t>
            </w:r>
          </w:p>
          <w:p w14:paraId="003010F5" w14:textId="77777777" w:rsidR="005B04CB" w:rsidRPr="00DE1A22" w:rsidRDefault="000C4D61" w:rsidP="000C4D61">
            <w:pPr>
              <w:jc w:val="both"/>
              <w:rPr>
                <w:rFonts w:eastAsia="Times New Roman"/>
                <w:sz w:val="24"/>
                <w:szCs w:val="24"/>
              </w:rPr>
            </w:pPr>
            <w:r w:rsidRPr="00DE1A22">
              <w:rPr>
                <w:rFonts w:eastAsia="Times New Roman"/>
                <w:bCs/>
                <w:sz w:val="24"/>
                <w:szCs w:val="24"/>
                <w:lang w:eastAsia="lv-LV"/>
              </w:rPr>
              <w:t>- iespēju fiziskai personai pieprasīt noteikt tai liegumu spēlēt azartspēles, t.sk. interaktīvās azartspēles un interaktīvās izlozes, un iekļaut to pašatteikušos personu reģistrā.</w:t>
            </w:r>
          </w:p>
        </w:tc>
      </w:tr>
      <w:tr w:rsidR="005B04CB" w:rsidRPr="00DE1A22" w14:paraId="070DD4F5" w14:textId="77777777" w:rsidTr="00BF4AE7">
        <w:tc>
          <w:tcPr>
            <w:tcW w:w="846" w:type="dxa"/>
            <w:gridSpan w:val="2"/>
          </w:tcPr>
          <w:p w14:paraId="626F9CF6" w14:textId="77777777" w:rsidR="005B04CB" w:rsidRPr="00DE1A22" w:rsidRDefault="00CB4782" w:rsidP="005B04CB">
            <w:pPr>
              <w:spacing w:before="100" w:beforeAutospacing="1" w:after="100" w:afterAutospacing="1"/>
              <w:jc w:val="center"/>
              <w:rPr>
                <w:rFonts w:eastAsia="Times New Roman"/>
                <w:sz w:val="24"/>
                <w:szCs w:val="24"/>
                <w:lang w:eastAsia="lv-LV"/>
              </w:rPr>
            </w:pPr>
            <w:r w:rsidRPr="00DE1A22">
              <w:rPr>
                <w:rFonts w:eastAsia="Times New Roman"/>
                <w:sz w:val="24"/>
                <w:szCs w:val="24"/>
                <w:lang w:eastAsia="lv-LV"/>
              </w:rPr>
              <w:lastRenderedPageBreak/>
              <w:t>3</w:t>
            </w:r>
            <w:r w:rsidR="005B04CB" w:rsidRPr="00DE1A22">
              <w:rPr>
                <w:rFonts w:eastAsia="Times New Roman"/>
                <w:sz w:val="24"/>
                <w:szCs w:val="24"/>
                <w:lang w:eastAsia="lv-LV"/>
              </w:rPr>
              <w:t>.</w:t>
            </w:r>
          </w:p>
        </w:tc>
        <w:tc>
          <w:tcPr>
            <w:tcW w:w="2977" w:type="dxa"/>
          </w:tcPr>
          <w:p w14:paraId="6EE569CC" w14:textId="77777777" w:rsidR="005B04CB" w:rsidRPr="00DE1A22" w:rsidRDefault="005B04CB" w:rsidP="00D708C6">
            <w:pPr>
              <w:jc w:val="both"/>
              <w:rPr>
                <w:rFonts w:eastAsia="Times New Roman"/>
                <w:sz w:val="24"/>
                <w:szCs w:val="24"/>
                <w:lang w:eastAsia="lv-LV"/>
              </w:rPr>
            </w:pPr>
            <w:r w:rsidRPr="00DE1A22">
              <w:rPr>
                <w:rFonts w:eastAsia="Times New Roman"/>
                <w:sz w:val="24"/>
                <w:szCs w:val="24"/>
                <w:lang w:eastAsia="lv-LV"/>
              </w:rPr>
              <w:t>Projekta 4. sadaļas “Rīcības virzieni un uzdevumi” 2. Rīcības virziena “Azartspēļu un izložu pieejamības regulēšana</w:t>
            </w:r>
            <w:r w:rsidR="00D708C6" w:rsidRPr="00DE1A22">
              <w:rPr>
                <w:rFonts w:eastAsia="Times New Roman"/>
                <w:sz w:val="24"/>
                <w:szCs w:val="24"/>
                <w:lang w:eastAsia="lv-LV"/>
              </w:rPr>
              <w:t>.</w:t>
            </w:r>
            <w:r w:rsidRPr="00DE1A22">
              <w:rPr>
                <w:rFonts w:eastAsia="Times New Roman"/>
                <w:sz w:val="24"/>
                <w:szCs w:val="24"/>
                <w:lang w:eastAsia="lv-LV"/>
              </w:rPr>
              <w:t>”</w:t>
            </w:r>
          </w:p>
        </w:tc>
        <w:tc>
          <w:tcPr>
            <w:tcW w:w="4394" w:type="dxa"/>
          </w:tcPr>
          <w:p w14:paraId="7218AE8B" w14:textId="77777777" w:rsidR="005B04CB" w:rsidRPr="00DE1A22" w:rsidRDefault="005B04CB" w:rsidP="005B04CB">
            <w:pPr>
              <w:contextualSpacing/>
              <w:jc w:val="both"/>
              <w:rPr>
                <w:rFonts w:eastAsia="Times New Roman"/>
                <w:b/>
                <w:sz w:val="24"/>
                <w:szCs w:val="24"/>
                <w:lang w:eastAsia="lv-LV"/>
              </w:rPr>
            </w:pPr>
            <w:r w:rsidRPr="00DE1A22">
              <w:rPr>
                <w:rFonts w:eastAsia="Times New Roman"/>
                <w:b/>
                <w:sz w:val="24"/>
                <w:szCs w:val="24"/>
                <w:lang w:eastAsia="lv-LV"/>
              </w:rPr>
              <w:t>Izglītības un zinātnes ministrija (15.03.2019. Nr.4-3.2e-PAD/19/22)</w:t>
            </w:r>
          </w:p>
          <w:p w14:paraId="37ECF904" w14:textId="77777777" w:rsidR="005B04CB" w:rsidRPr="00DE1A22" w:rsidRDefault="005B04CB" w:rsidP="005B04CB">
            <w:pPr>
              <w:contextualSpacing/>
              <w:jc w:val="both"/>
              <w:rPr>
                <w:rFonts w:eastAsia="Times New Roman"/>
                <w:b/>
                <w:sz w:val="24"/>
                <w:szCs w:val="24"/>
                <w:lang w:eastAsia="lv-LV"/>
              </w:rPr>
            </w:pPr>
            <w:r w:rsidRPr="00DE1A22">
              <w:rPr>
                <w:rFonts w:eastAsia="Times New Roman"/>
                <w:sz w:val="24"/>
                <w:szCs w:val="24"/>
                <w:lang w:eastAsia="lv-LV"/>
              </w:rPr>
              <w:t xml:space="preserve">Pamatnostādnes tikai daļēji piedāvā risinājumus azartspēļu pieejamības mazināšanai. Ministrijas ieskatā ir jāīsteno daudz radikālāki pasākumi, lai novērstu </w:t>
            </w:r>
            <w:r w:rsidRPr="00DE1A22">
              <w:rPr>
                <w:rFonts w:eastAsia="Times New Roman"/>
                <w:sz w:val="24"/>
                <w:szCs w:val="24"/>
                <w:lang w:eastAsia="lv-LV"/>
              </w:rPr>
              <w:lastRenderedPageBreak/>
              <w:t>azartspēļu kaitīgo ietekmi, it īpaši uz bērniem un jauniešiem, tādēļ Pamatnostādņu 4.sadaļā „Rīcības virzieni un uzdevumi” iekļautais 2.Rīcības virziens „Azartspēļu un izložu pieejamības regulēšana” papildināms ar jaunu pasākumu (vienlaikus attiecīgi precizējot arī 2.Rīcības virziena „Azartspēļu un izložu pieejamības regulēšana” 4.pasākuma redakciju), kurš paredz uzdevumu normatīvajos aktos noteikt kazino un spēļu zāļu darbības aizliegumu, izņemot gadījumu, ja kazino vai spēļu zāle ir izvietota luksus klases viesnīcās (ar to saprot vismaz četru zvaigžņu viesnīca (saskaņā ar Hotelstars Union kritērijiem), vienlaikus paredzot piecus gadu ilgu pārejas periodu attiecībā uz esošajiem kazino un esošajām spēļu zālēm.</w:t>
            </w:r>
          </w:p>
        </w:tc>
        <w:tc>
          <w:tcPr>
            <w:tcW w:w="3118" w:type="dxa"/>
          </w:tcPr>
          <w:p w14:paraId="1919E54C" w14:textId="77777777" w:rsidR="005B04CB" w:rsidRPr="00DE1A22" w:rsidRDefault="005B04CB" w:rsidP="005B04CB">
            <w:pPr>
              <w:jc w:val="center"/>
              <w:rPr>
                <w:rFonts w:eastAsia="Times New Roman"/>
                <w:b/>
                <w:bCs/>
                <w:sz w:val="24"/>
                <w:szCs w:val="24"/>
                <w:lang w:eastAsia="lv-LV"/>
              </w:rPr>
            </w:pPr>
            <w:r w:rsidRPr="00DE1A22">
              <w:rPr>
                <w:rFonts w:eastAsia="Times New Roman"/>
                <w:b/>
                <w:bCs/>
                <w:sz w:val="24"/>
                <w:szCs w:val="24"/>
                <w:lang w:eastAsia="lv-LV"/>
              </w:rPr>
              <w:lastRenderedPageBreak/>
              <w:t>Ņemts vērā.</w:t>
            </w:r>
          </w:p>
          <w:p w14:paraId="117E5C18" w14:textId="77777777" w:rsidR="005B04CB" w:rsidRPr="00DE1A22" w:rsidRDefault="005B04CB" w:rsidP="005B04CB">
            <w:pPr>
              <w:jc w:val="both"/>
              <w:rPr>
                <w:rFonts w:eastAsia="Times New Roman"/>
                <w:b/>
                <w:bCs/>
                <w:sz w:val="24"/>
                <w:szCs w:val="24"/>
                <w:lang w:eastAsia="lv-LV"/>
              </w:rPr>
            </w:pPr>
          </w:p>
        </w:tc>
        <w:tc>
          <w:tcPr>
            <w:tcW w:w="3402" w:type="dxa"/>
          </w:tcPr>
          <w:p w14:paraId="379FC323" w14:textId="77777777" w:rsidR="005B04CB" w:rsidRPr="00DE1A22" w:rsidRDefault="00944FDC" w:rsidP="005B04CB">
            <w:pPr>
              <w:jc w:val="both"/>
              <w:rPr>
                <w:rFonts w:eastAsia="Times New Roman"/>
                <w:sz w:val="24"/>
                <w:szCs w:val="24"/>
              </w:rPr>
            </w:pPr>
            <w:r w:rsidRPr="00DE1A22">
              <w:rPr>
                <w:rFonts w:eastAsia="Times New Roman"/>
                <w:bCs/>
                <w:sz w:val="24"/>
                <w:szCs w:val="24"/>
                <w:lang w:eastAsia="lv-LV"/>
              </w:rPr>
              <w:t xml:space="preserve">Projekta 4.sadaļas “Azartspēļu un izložu pieejamība, darbības vietas un to regulēšana”, “Labās prakses piemēri Fiziskās piekļuves ierobežošanā </w:t>
            </w:r>
            <w:r w:rsidRPr="00DE1A22">
              <w:rPr>
                <w:rFonts w:eastAsia="Times New Roman"/>
                <w:bCs/>
                <w:sz w:val="24"/>
                <w:szCs w:val="24"/>
                <w:lang w:eastAsia="lv-LV"/>
              </w:rPr>
              <w:lastRenderedPageBreak/>
              <w:t>azartspēļu zālēm” 1. un 2. risinājums.</w:t>
            </w:r>
          </w:p>
        </w:tc>
      </w:tr>
      <w:tr w:rsidR="005B04CB" w:rsidRPr="00DE1A22" w14:paraId="3FF6103E" w14:textId="77777777" w:rsidTr="00BF4AE7">
        <w:tc>
          <w:tcPr>
            <w:tcW w:w="846" w:type="dxa"/>
            <w:gridSpan w:val="2"/>
            <w:shd w:val="clear" w:color="auto" w:fill="auto"/>
          </w:tcPr>
          <w:p w14:paraId="38AF7A2B" w14:textId="77777777" w:rsidR="005B04CB" w:rsidRPr="00DE1A22" w:rsidRDefault="00CB4782" w:rsidP="005B04CB">
            <w:pPr>
              <w:spacing w:before="100" w:beforeAutospacing="1" w:after="100" w:afterAutospacing="1"/>
              <w:jc w:val="center"/>
              <w:rPr>
                <w:rFonts w:eastAsia="Times New Roman"/>
                <w:sz w:val="24"/>
                <w:szCs w:val="24"/>
                <w:lang w:eastAsia="lv-LV"/>
              </w:rPr>
            </w:pPr>
            <w:r w:rsidRPr="00DE1A22">
              <w:rPr>
                <w:rFonts w:eastAsia="Times New Roman"/>
                <w:sz w:val="24"/>
                <w:szCs w:val="24"/>
                <w:lang w:eastAsia="lv-LV"/>
              </w:rPr>
              <w:lastRenderedPageBreak/>
              <w:t>4</w:t>
            </w:r>
            <w:r w:rsidR="005B04CB" w:rsidRPr="00DE1A22">
              <w:rPr>
                <w:rFonts w:eastAsia="Times New Roman"/>
                <w:sz w:val="24"/>
                <w:szCs w:val="24"/>
                <w:lang w:eastAsia="lv-LV"/>
              </w:rPr>
              <w:t>.</w:t>
            </w:r>
          </w:p>
        </w:tc>
        <w:tc>
          <w:tcPr>
            <w:tcW w:w="2977" w:type="dxa"/>
            <w:shd w:val="clear" w:color="auto" w:fill="auto"/>
          </w:tcPr>
          <w:p w14:paraId="3EEEA22E" w14:textId="77777777" w:rsidR="005B04CB" w:rsidRPr="00DE1A22" w:rsidRDefault="005B04CB" w:rsidP="005B04CB">
            <w:pPr>
              <w:jc w:val="both"/>
              <w:rPr>
                <w:rFonts w:eastAsia="Times New Roman"/>
                <w:sz w:val="24"/>
                <w:szCs w:val="24"/>
                <w:lang w:eastAsia="lv-LV"/>
              </w:rPr>
            </w:pPr>
            <w:r w:rsidRPr="00DE1A22">
              <w:rPr>
                <w:rFonts w:eastAsia="Times New Roman"/>
                <w:sz w:val="24"/>
                <w:szCs w:val="24"/>
                <w:lang w:eastAsia="lv-LV"/>
              </w:rPr>
              <w:t xml:space="preserve">Projekta 4. sadaļas “Rīcības virzieni un uzdevumi” 1. Rīcības virziena “Nelegālā tirgus ierobežošana” 2. uzdevums “Noteikt elektronisko sakaru komersantam pienākumu, īstenojot piekļuves ierobežošanu Latvijā nelicencēta interaktīvo azartspēļu un/vai nelicencēta izložu organizētāja interneta mājaslapai, norādīt informāciju par Latvijā nelicencēto interaktīvo azartspēļu un/vai nelicencēto izložu spēlētāja atbildību un </w:t>
            </w:r>
            <w:r w:rsidRPr="00DE1A22">
              <w:rPr>
                <w:rFonts w:eastAsia="Times New Roman"/>
                <w:sz w:val="24"/>
                <w:szCs w:val="24"/>
                <w:lang w:eastAsia="lv-LV"/>
              </w:rPr>
              <w:lastRenderedPageBreak/>
              <w:t>norādīt, ka Latvijā licencēto interaktīvo azartspēļu un/vai izložu organizētāju saraksts ir pieejams Izložu un azartspēļu uzraudzības inspekcijas mājaslapā.”</w:t>
            </w:r>
          </w:p>
        </w:tc>
        <w:tc>
          <w:tcPr>
            <w:tcW w:w="4394" w:type="dxa"/>
            <w:shd w:val="clear" w:color="auto" w:fill="auto"/>
          </w:tcPr>
          <w:p w14:paraId="63D0A164" w14:textId="77777777" w:rsidR="005B04CB" w:rsidRPr="00DE1A22" w:rsidRDefault="005B04CB" w:rsidP="005B04CB">
            <w:pPr>
              <w:contextualSpacing/>
              <w:jc w:val="both"/>
              <w:rPr>
                <w:rFonts w:eastAsia="Times New Roman"/>
                <w:b/>
                <w:sz w:val="24"/>
                <w:szCs w:val="24"/>
                <w:lang w:eastAsia="lv-LV"/>
              </w:rPr>
            </w:pPr>
            <w:r w:rsidRPr="00DE1A22">
              <w:rPr>
                <w:rFonts w:eastAsia="Times New Roman"/>
                <w:b/>
                <w:sz w:val="24"/>
                <w:szCs w:val="24"/>
                <w:lang w:eastAsia="lv-LV"/>
              </w:rPr>
              <w:lastRenderedPageBreak/>
              <w:t>Latvijas Darba devēju konfederācija (25.01.2019. Nr.2-10/2)</w:t>
            </w:r>
          </w:p>
          <w:p w14:paraId="55CC5BA2" w14:textId="77777777" w:rsidR="005B04CB" w:rsidRPr="00DE1A22" w:rsidRDefault="005B04CB" w:rsidP="005B04CB">
            <w:pPr>
              <w:contextualSpacing/>
              <w:jc w:val="both"/>
              <w:rPr>
                <w:rFonts w:eastAsia="Times New Roman"/>
                <w:sz w:val="24"/>
                <w:szCs w:val="24"/>
                <w:lang w:eastAsia="lv-LV"/>
              </w:rPr>
            </w:pPr>
            <w:r w:rsidRPr="00DE1A22">
              <w:rPr>
                <w:rFonts w:eastAsia="Times New Roman"/>
                <w:sz w:val="24"/>
                <w:szCs w:val="24"/>
                <w:lang w:eastAsia="lv-LV"/>
              </w:rPr>
              <w:t>LDDK aicina pārskatīt Pamatnostādnēs ietverto uzdevumu: “Noteikt elektronisko sakaru komersantam pienākumu, īstenojot piekļuves ierobežošanu Latvijā nelicencēta interaktīvo azartspēļu un/vai nelicencēta izložu organizētāja interneta mājaslapai, norādīt informāciju par Latvijā nelicencēto interaktīvo azartspēļu un/vai nelicencēto izložu spēlētāja atbildību un norādīt, ka Latvijā licencēto interaktīvo azartspēļu un/vai izložu organizētāju saraksts ir pieejams Izložu un azartspēļu uzraudzības inspekcijas mājaslapā.”</w:t>
            </w:r>
          </w:p>
          <w:p w14:paraId="1BE43BAE" w14:textId="77777777" w:rsidR="005B04CB" w:rsidRPr="00DE1A22" w:rsidRDefault="005B04CB" w:rsidP="005B04CB">
            <w:pPr>
              <w:jc w:val="both"/>
              <w:rPr>
                <w:rFonts w:eastAsia="Times New Roman"/>
                <w:sz w:val="24"/>
                <w:szCs w:val="24"/>
              </w:rPr>
            </w:pPr>
          </w:p>
        </w:tc>
        <w:tc>
          <w:tcPr>
            <w:tcW w:w="3118" w:type="dxa"/>
            <w:shd w:val="clear" w:color="auto" w:fill="auto"/>
          </w:tcPr>
          <w:p w14:paraId="1DD25648" w14:textId="77777777" w:rsidR="005B04CB" w:rsidRPr="00DE1A22" w:rsidRDefault="005B04CB" w:rsidP="005B04CB">
            <w:pPr>
              <w:jc w:val="center"/>
              <w:rPr>
                <w:rFonts w:eastAsia="Times New Roman"/>
                <w:b/>
                <w:bCs/>
                <w:sz w:val="24"/>
                <w:szCs w:val="24"/>
                <w:lang w:eastAsia="lv-LV"/>
              </w:rPr>
            </w:pPr>
            <w:r w:rsidRPr="00DE1A22">
              <w:rPr>
                <w:rFonts w:eastAsia="Times New Roman"/>
                <w:b/>
                <w:bCs/>
                <w:sz w:val="24"/>
                <w:szCs w:val="24"/>
                <w:lang w:eastAsia="lv-LV"/>
              </w:rPr>
              <w:t>Ņemts vērā.</w:t>
            </w:r>
          </w:p>
          <w:p w14:paraId="2944DA5B" w14:textId="77777777" w:rsidR="005B04CB" w:rsidRPr="00DE1A22" w:rsidRDefault="005B04CB" w:rsidP="00FA4E81">
            <w:pPr>
              <w:tabs>
                <w:tab w:val="left" w:pos="0"/>
                <w:tab w:val="left" w:pos="709"/>
                <w:tab w:val="left" w:pos="993"/>
              </w:tabs>
              <w:suppressAutoHyphens/>
              <w:jc w:val="both"/>
              <w:outlineLvl w:val="3"/>
              <w:rPr>
                <w:rFonts w:eastAsia="Times New Roman"/>
                <w:b/>
                <w:bCs/>
                <w:sz w:val="24"/>
                <w:szCs w:val="24"/>
                <w:lang w:eastAsia="lv-LV"/>
              </w:rPr>
            </w:pPr>
          </w:p>
        </w:tc>
        <w:tc>
          <w:tcPr>
            <w:tcW w:w="3402" w:type="dxa"/>
            <w:shd w:val="clear" w:color="auto" w:fill="auto"/>
          </w:tcPr>
          <w:p w14:paraId="51799280" w14:textId="77777777" w:rsidR="005B04CB" w:rsidRPr="00DE1A22" w:rsidRDefault="00944FDC" w:rsidP="005B04CB">
            <w:pPr>
              <w:jc w:val="both"/>
              <w:rPr>
                <w:rFonts w:eastAsia="Times New Roman"/>
                <w:sz w:val="24"/>
                <w:szCs w:val="24"/>
              </w:rPr>
            </w:pPr>
            <w:r w:rsidRPr="00DE1A22">
              <w:rPr>
                <w:rFonts w:eastAsia="Times New Roman"/>
                <w:bCs/>
                <w:sz w:val="24"/>
                <w:szCs w:val="24"/>
                <w:lang w:eastAsia="lv-LV"/>
              </w:rPr>
              <w:t>Uzdevums izpildīts ar 2019.gada 3.aprīlī Saeimā pieņemto likumu Par valsts budžetu 2019.gadam un to pavadošajiem 14 likumprojektiem, tai skaitā iekļautajiem četriem likumprojektiem, kas paredz ierobežot Latvijā nelicencētu interaktīvo azartspēļu un izložu pieejamību.</w:t>
            </w:r>
          </w:p>
        </w:tc>
      </w:tr>
      <w:tr w:rsidR="005B04CB" w:rsidRPr="00DE1A22" w14:paraId="7061FDBC" w14:textId="77777777" w:rsidTr="00BF4AE7">
        <w:tc>
          <w:tcPr>
            <w:tcW w:w="846" w:type="dxa"/>
            <w:gridSpan w:val="2"/>
            <w:shd w:val="clear" w:color="auto" w:fill="auto"/>
          </w:tcPr>
          <w:p w14:paraId="5DD9E8E6" w14:textId="77777777" w:rsidR="005B04CB" w:rsidRPr="00DE1A22" w:rsidRDefault="00CB4782" w:rsidP="005B04CB">
            <w:pPr>
              <w:spacing w:before="100" w:beforeAutospacing="1" w:after="100" w:afterAutospacing="1"/>
              <w:jc w:val="center"/>
              <w:rPr>
                <w:rFonts w:eastAsia="Times New Roman"/>
                <w:sz w:val="24"/>
                <w:szCs w:val="24"/>
                <w:lang w:eastAsia="lv-LV"/>
              </w:rPr>
            </w:pPr>
            <w:r w:rsidRPr="00DE1A22">
              <w:rPr>
                <w:rFonts w:eastAsia="Times New Roman"/>
                <w:sz w:val="24"/>
                <w:szCs w:val="24"/>
                <w:lang w:eastAsia="lv-LV"/>
              </w:rPr>
              <w:t>5</w:t>
            </w:r>
            <w:r w:rsidR="005B04CB" w:rsidRPr="00DE1A22">
              <w:rPr>
                <w:rFonts w:eastAsia="Times New Roman"/>
                <w:sz w:val="24"/>
                <w:szCs w:val="24"/>
                <w:lang w:eastAsia="lv-LV"/>
              </w:rPr>
              <w:t>.</w:t>
            </w:r>
          </w:p>
        </w:tc>
        <w:tc>
          <w:tcPr>
            <w:tcW w:w="2977" w:type="dxa"/>
            <w:shd w:val="clear" w:color="auto" w:fill="auto"/>
          </w:tcPr>
          <w:p w14:paraId="0BC8993F" w14:textId="77777777" w:rsidR="005B04CB" w:rsidRPr="00DE1A22" w:rsidRDefault="005B04CB" w:rsidP="005B04CB">
            <w:pPr>
              <w:jc w:val="both"/>
              <w:rPr>
                <w:rFonts w:eastAsia="Times New Roman"/>
                <w:sz w:val="24"/>
                <w:szCs w:val="24"/>
                <w:lang w:eastAsia="lv-LV"/>
              </w:rPr>
            </w:pPr>
            <w:r w:rsidRPr="00DE1A22">
              <w:rPr>
                <w:rFonts w:eastAsia="Times New Roman"/>
                <w:sz w:val="24"/>
                <w:szCs w:val="24"/>
                <w:lang w:eastAsia="lv-LV"/>
              </w:rPr>
              <w:t>Projekta 4. sadaļas “Rīcības virzieni un uzdevumi” 1. Rīcības virziena “Nelegālā tirgus ierobežošana” 3. uzdevums “Noteikt elektronisko sakaru komersantam soda naudu par Elektronisko sakaru likuma 19.panta pirmās daļas 22.punkta neievērošanu, kā arī pienākumu valsts budžetā ieskaitīt izrietošus neiegūtos nodokļu ieņēmumus, ja gadījumā šos līdzekļus nevar piedzīt no attiecīgā normatīvo aktu pārkāpēja.”</w:t>
            </w:r>
          </w:p>
        </w:tc>
        <w:tc>
          <w:tcPr>
            <w:tcW w:w="4394" w:type="dxa"/>
            <w:shd w:val="clear" w:color="auto" w:fill="auto"/>
          </w:tcPr>
          <w:p w14:paraId="29ABC9A0" w14:textId="77777777" w:rsidR="005B04CB" w:rsidRPr="00DE1A22" w:rsidRDefault="005B04CB" w:rsidP="005B04CB">
            <w:pPr>
              <w:contextualSpacing/>
              <w:jc w:val="both"/>
              <w:rPr>
                <w:rFonts w:eastAsia="Times New Roman"/>
                <w:b/>
                <w:sz w:val="24"/>
                <w:szCs w:val="24"/>
                <w:lang w:eastAsia="lv-LV"/>
              </w:rPr>
            </w:pPr>
            <w:r w:rsidRPr="00DE1A22">
              <w:rPr>
                <w:rFonts w:eastAsia="Times New Roman"/>
                <w:b/>
                <w:sz w:val="24"/>
                <w:szCs w:val="24"/>
                <w:lang w:eastAsia="lv-LV"/>
              </w:rPr>
              <w:t>Latvijas Darba devēju konfederācija (25.01.2019. Nr.2-10/2)</w:t>
            </w:r>
          </w:p>
          <w:p w14:paraId="3E62BA65" w14:textId="77777777" w:rsidR="005B04CB" w:rsidRPr="00DE1A22" w:rsidRDefault="005B04CB" w:rsidP="005B04CB">
            <w:pPr>
              <w:contextualSpacing/>
              <w:jc w:val="both"/>
              <w:rPr>
                <w:rFonts w:eastAsia="Times New Roman"/>
                <w:sz w:val="24"/>
                <w:szCs w:val="24"/>
                <w:lang w:eastAsia="lv-LV"/>
              </w:rPr>
            </w:pPr>
            <w:r w:rsidRPr="00DE1A22">
              <w:rPr>
                <w:rFonts w:eastAsia="Times New Roman"/>
                <w:sz w:val="24"/>
                <w:szCs w:val="24"/>
                <w:lang w:eastAsia="lv-LV"/>
              </w:rPr>
              <w:t>LDDK iebilst pret Pamatnostādnēs ietverto uzdevumu: “Noteikt elektronisko sakaru komersantam soda naudu par Elektronisko sakaru likuma 19.panta pirmās daļas 22.punkta neievērošanu, kā arī pienākumu valsts budžetā ieskaitīt izrietošus neiegūtos nodokļu ieņēmumus, ja gadījumā šos līdzekļus nevar piedzīt no attiecīgā normatīvo aktu pārkāpēja.”</w:t>
            </w:r>
          </w:p>
          <w:p w14:paraId="6C95822A" w14:textId="77777777" w:rsidR="005B04CB" w:rsidRPr="00DE1A22" w:rsidRDefault="005B04CB" w:rsidP="002071DA">
            <w:pPr>
              <w:contextualSpacing/>
              <w:jc w:val="both"/>
              <w:rPr>
                <w:rFonts w:eastAsia="Times New Roman"/>
                <w:sz w:val="24"/>
                <w:szCs w:val="24"/>
              </w:rPr>
            </w:pPr>
          </w:p>
        </w:tc>
        <w:tc>
          <w:tcPr>
            <w:tcW w:w="3118" w:type="dxa"/>
            <w:shd w:val="clear" w:color="auto" w:fill="auto"/>
          </w:tcPr>
          <w:p w14:paraId="3EAF7E6B" w14:textId="77777777" w:rsidR="005B04CB" w:rsidRPr="00DE1A22" w:rsidRDefault="005B04CB" w:rsidP="005B04CB">
            <w:pPr>
              <w:jc w:val="center"/>
              <w:rPr>
                <w:rFonts w:eastAsia="Times New Roman"/>
                <w:b/>
                <w:bCs/>
                <w:sz w:val="24"/>
                <w:szCs w:val="24"/>
                <w:lang w:eastAsia="lv-LV"/>
              </w:rPr>
            </w:pPr>
            <w:r w:rsidRPr="00DE1A22">
              <w:rPr>
                <w:rFonts w:eastAsia="Times New Roman"/>
                <w:b/>
                <w:bCs/>
                <w:sz w:val="24"/>
                <w:szCs w:val="24"/>
                <w:lang w:eastAsia="lv-LV"/>
              </w:rPr>
              <w:t>Ņemts vērā.</w:t>
            </w:r>
          </w:p>
          <w:p w14:paraId="6D919DC5" w14:textId="77777777" w:rsidR="005B04CB" w:rsidRPr="00DE1A22" w:rsidRDefault="005B04CB" w:rsidP="001B3B68">
            <w:pPr>
              <w:tabs>
                <w:tab w:val="left" w:pos="0"/>
                <w:tab w:val="left" w:pos="709"/>
                <w:tab w:val="left" w:pos="993"/>
              </w:tabs>
              <w:suppressAutoHyphens/>
              <w:jc w:val="both"/>
              <w:outlineLvl w:val="3"/>
              <w:rPr>
                <w:rFonts w:eastAsia="Times New Roman"/>
                <w:b/>
                <w:bCs/>
                <w:sz w:val="24"/>
                <w:szCs w:val="24"/>
                <w:lang w:eastAsia="lv-LV"/>
              </w:rPr>
            </w:pPr>
          </w:p>
        </w:tc>
        <w:tc>
          <w:tcPr>
            <w:tcW w:w="3402" w:type="dxa"/>
            <w:shd w:val="clear" w:color="auto" w:fill="auto"/>
          </w:tcPr>
          <w:p w14:paraId="065E72AD" w14:textId="77777777" w:rsidR="005B04CB" w:rsidRPr="00DE1A22" w:rsidRDefault="00D64597" w:rsidP="005B04CB">
            <w:pPr>
              <w:jc w:val="both"/>
              <w:rPr>
                <w:rFonts w:eastAsia="Times New Roman"/>
                <w:sz w:val="24"/>
                <w:szCs w:val="24"/>
              </w:rPr>
            </w:pPr>
            <w:r w:rsidRPr="00DE1A22">
              <w:rPr>
                <w:rFonts w:eastAsia="Times New Roman"/>
                <w:bCs/>
                <w:sz w:val="24"/>
                <w:szCs w:val="24"/>
                <w:lang w:eastAsia="lv-LV"/>
              </w:rPr>
              <w:t>Uzdevums izpildīts ar 2019.gada 3.aprīlī Saeimā pieņemto likumu Par valsts budžetu 2019.gadam un to pavadošajiem 14 likumprojektiem, tai skaitā iekļautajiem četriem likumprojektiem, kas paredz ierobežot Latvijā nelicencētu interaktīvo azartspēļu un izložu pieejamību.</w:t>
            </w:r>
          </w:p>
        </w:tc>
      </w:tr>
      <w:tr w:rsidR="005B04CB" w:rsidRPr="00DE1A22" w14:paraId="3D055F5E" w14:textId="77777777" w:rsidTr="00BF4AE7">
        <w:tc>
          <w:tcPr>
            <w:tcW w:w="846" w:type="dxa"/>
            <w:gridSpan w:val="2"/>
            <w:shd w:val="clear" w:color="auto" w:fill="auto"/>
          </w:tcPr>
          <w:p w14:paraId="7A4FF98C" w14:textId="77777777" w:rsidR="005B04CB" w:rsidRPr="00DE1A22" w:rsidRDefault="00CB4782" w:rsidP="005B04CB">
            <w:pPr>
              <w:spacing w:before="100" w:beforeAutospacing="1" w:after="100" w:afterAutospacing="1"/>
              <w:jc w:val="center"/>
              <w:rPr>
                <w:rFonts w:eastAsia="Times New Roman"/>
                <w:sz w:val="24"/>
                <w:szCs w:val="24"/>
                <w:lang w:eastAsia="lv-LV"/>
              </w:rPr>
            </w:pPr>
            <w:r w:rsidRPr="00DE1A22">
              <w:rPr>
                <w:rFonts w:eastAsia="Times New Roman"/>
                <w:sz w:val="24"/>
                <w:szCs w:val="24"/>
                <w:lang w:eastAsia="lv-LV"/>
              </w:rPr>
              <w:t>6</w:t>
            </w:r>
            <w:r w:rsidR="005B04CB" w:rsidRPr="00DE1A22">
              <w:rPr>
                <w:rFonts w:eastAsia="Times New Roman"/>
                <w:sz w:val="24"/>
                <w:szCs w:val="24"/>
                <w:lang w:eastAsia="lv-LV"/>
              </w:rPr>
              <w:t>.</w:t>
            </w:r>
          </w:p>
        </w:tc>
        <w:tc>
          <w:tcPr>
            <w:tcW w:w="2977" w:type="dxa"/>
            <w:shd w:val="clear" w:color="auto" w:fill="auto"/>
          </w:tcPr>
          <w:p w14:paraId="6925718F" w14:textId="77777777" w:rsidR="005B04CB" w:rsidRPr="00DE1A22" w:rsidRDefault="005B04CB" w:rsidP="005B04CB">
            <w:pPr>
              <w:jc w:val="both"/>
              <w:rPr>
                <w:rFonts w:eastAsia="Times New Roman"/>
                <w:sz w:val="24"/>
                <w:szCs w:val="24"/>
                <w:lang w:eastAsia="lv-LV"/>
              </w:rPr>
            </w:pPr>
            <w:r w:rsidRPr="00DE1A22">
              <w:rPr>
                <w:rFonts w:eastAsia="Times New Roman"/>
                <w:sz w:val="24"/>
                <w:szCs w:val="24"/>
                <w:lang w:eastAsia="lv-LV"/>
              </w:rPr>
              <w:t>Projekta 4. sadaļas “Rīcības virzieni un uzdevumi” 1. Rīcības virziena “Nelegālā tirgus ierobežošana” 3. uzdevums:</w:t>
            </w:r>
          </w:p>
          <w:p w14:paraId="5C8264F9" w14:textId="77777777" w:rsidR="005B04CB" w:rsidRPr="00DE1A22" w:rsidRDefault="005B04CB" w:rsidP="000C2873">
            <w:pPr>
              <w:jc w:val="both"/>
              <w:rPr>
                <w:rFonts w:eastAsia="Times New Roman"/>
                <w:sz w:val="24"/>
                <w:szCs w:val="24"/>
                <w:lang w:eastAsia="lv-LV"/>
              </w:rPr>
            </w:pPr>
            <w:r w:rsidRPr="00DE1A22">
              <w:rPr>
                <w:rFonts w:eastAsia="Times New Roman"/>
                <w:sz w:val="24"/>
                <w:szCs w:val="24"/>
                <w:lang w:eastAsia="lv-LV"/>
              </w:rPr>
              <w:t xml:space="preserve">“Noteikt elektronisko sakaru komersantam soda naudu par Elektronisko sakaru likuma 19.panta pirmās daļas 22.punkta neievērošanu, kā arī pienākumu valsts budžetā ieskaitīt izrietošus neiegūtos nodokļu ieņēmumus, ja gadījumā šos līdzekļus nevar </w:t>
            </w:r>
            <w:r w:rsidRPr="00DE1A22">
              <w:rPr>
                <w:rFonts w:eastAsia="Times New Roman"/>
                <w:sz w:val="24"/>
                <w:szCs w:val="24"/>
                <w:lang w:eastAsia="lv-LV"/>
              </w:rPr>
              <w:lastRenderedPageBreak/>
              <w:t>piedzīt no attiecīgā normatīvo aktu pārkāpēja.”</w:t>
            </w:r>
          </w:p>
        </w:tc>
        <w:tc>
          <w:tcPr>
            <w:tcW w:w="4394" w:type="dxa"/>
            <w:shd w:val="clear" w:color="auto" w:fill="auto"/>
          </w:tcPr>
          <w:p w14:paraId="11687F20" w14:textId="77777777" w:rsidR="005B04CB" w:rsidRPr="00DE1A22" w:rsidRDefault="005B04CB" w:rsidP="005B04CB">
            <w:pPr>
              <w:contextualSpacing/>
              <w:jc w:val="both"/>
              <w:rPr>
                <w:rFonts w:eastAsia="Times New Roman"/>
                <w:b/>
                <w:sz w:val="24"/>
                <w:szCs w:val="24"/>
              </w:rPr>
            </w:pPr>
            <w:r w:rsidRPr="00DE1A22">
              <w:rPr>
                <w:rFonts w:eastAsia="Times New Roman"/>
                <w:b/>
                <w:sz w:val="24"/>
                <w:szCs w:val="24"/>
              </w:rPr>
              <w:lastRenderedPageBreak/>
              <w:t>Tieslietu ministrija (25.01.2019. Nr.1-9.1/88).</w:t>
            </w:r>
          </w:p>
          <w:p w14:paraId="70E199DB" w14:textId="77777777" w:rsidR="005B04CB" w:rsidRPr="00DE1A22" w:rsidRDefault="005B04CB" w:rsidP="005B04CB">
            <w:pPr>
              <w:contextualSpacing/>
              <w:jc w:val="both"/>
              <w:rPr>
                <w:rFonts w:eastAsia="Times New Roman"/>
                <w:sz w:val="24"/>
                <w:szCs w:val="24"/>
              </w:rPr>
            </w:pPr>
            <w:r w:rsidRPr="00DE1A22">
              <w:rPr>
                <w:rFonts w:eastAsia="Times New Roman"/>
                <w:sz w:val="24"/>
                <w:szCs w:val="24"/>
              </w:rPr>
              <w:t xml:space="preserve">Elektronisko sakaru likuma 19. panta pirmās daļas 22. punkts elektronisko sakaru komersantam uzliek pienākumu, pamatojoties uz Izložu un azartspēļu uzraudzības inspekcijas lēmumu, veikt konkrētas darbības, lai ierobežotu piekļuvi Latvijā nelicencēta interaktīvo azartspēļu organizētāja interneta mājaslapai. Izložu un azartspēļu uzraudzības inspekcijas lēmums konkrētajā gadījumā ir administratīvais akts, par kura nepienācīgu izpildi iestādei, lai panāktu atbilstošu rīcību no </w:t>
            </w:r>
            <w:r w:rsidRPr="00DE1A22">
              <w:rPr>
                <w:rFonts w:eastAsia="Times New Roman"/>
                <w:sz w:val="24"/>
                <w:szCs w:val="24"/>
              </w:rPr>
              <w:lastRenderedPageBreak/>
              <w:t>administratīvā akta adresāta, jārīkojas saskaņā ar Administratīvā procesa likumā (turpmāk – APL) noteikto kārtību par administratīvā akta izpildi.</w:t>
            </w:r>
          </w:p>
          <w:p w14:paraId="19D85F58" w14:textId="77777777" w:rsidR="005B04CB" w:rsidRPr="00DE1A22" w:rsidRDefault="005B04CB" w:rsidP="005B04CB">
            <w:pPr>
              <w:jc w:val="both"/>
              <w:rPr>
                <w:rFonts w:eastAsia="Times New Roman"/>
                <w:sz w:val="24"/>
                <w:szCs w:val="24"/>
              </w:rPr>
            </w:pPr>
          </w:p>
        </w:tc>
        <w:tc>
          <w:tcPr>
            <w:tcW w:w="3118" w:type="dxa"/>
            <w:shd w:val="clear" w:color="auto" w:fill="auto"/>
          </w:tcPr>
          <w:p w14:paraId="1CCE8551" w14:textId="77777777" w:rsidR="005B04CB" w:rsidRPr="00DE1A22" w:rsidRDefault="005B04CB" w:rsidP="005B04CB">
            <w:pPr>
              <w:jc w:val="center"/>
              <w:rPr>
                <w:rFonts w:eastAsia="Times New Roman"/>
                <w:b/>
                <w:bCs/>
                <w:sz w:val="24"/>
                <w:szCs w:val="24"/>
                <w:lang w:eastAsia="lv-LV"/>
              </w:rPr>
            </w:pPr>
            <w:r w:rsidRPr="00DE1A22">
              <w:rPr>
                <w:rFonts w:eastAsia="Times New Roman"/>
                <w:b/>
                <w:bCs/>
                <w:sz w:val="24"/>
                <w:szCs w:val="24"/>
                <w:lang w:eastAsia="lv-LV"/>
              </w:rPr>
              <w:lastRenderedPageBreak/>
              <w:t>Ņemts vērā.</w:t>
            </w:r>
          </w:p>
          <w:p w14:paraId="39DD3FCE" w14:textId="77777777" w:rsidR="005B04CB" w:rsidRPr="00DE1A22" w:rsidRDefault="005B04CB" w:rsidP="001627CF">
            <w:pPr>
              <w:tabs>
                <w:tab w:val="left" w:pos="0"/>
                <w:tab w:val="left" w:pos="709"/>
                <w:tab w:val="left" w:pos="993"/>
              </w:tabs>
              <w:suppressAutoHyphens/>
              <w:jc w:val="both"/>
              <w:outlineLvl w:val="3"/>
              <w:rPr>
                <w:rFonts w:eastAsia="Times New Roman"/>
                <w:b/>
                <w:bCs/>
                <w:sz w:val="24"/>
                <w:szCs w:val="24"/>
                <w:lang w:eastAsia="lv-LV"/>
              </w:rPr>
            </w:pPr>
          </w:p>
        </w:tc>
        <w:tc>
          <w:tcPr>
            <w:tcW w:w="3402" w:type="dxa"/>
            <w:shd w:val="clear" w:color="auto" w:fill="auto"/>
          </w:tcPr>
          <w:p w14:paraId="77E59155" w14:textId="77777777" w:rsidR="005B04CB" w:rsidRPr="00DE1A22" w:rsidRDefault="00D64597" w:rsidP="005B04CB">
            <w:pPr>
              <w:jc w:val="both"/>
              <w:rPr>
                <w:rFonts w:eastAsia="Times New Roman"/>
                <w:sz w:val="24"/>
                <w:szCs w:val="24"/>
              </w:rPr>
            </w:pPr>
            <w:r w:rsidRPr="00DE1A22">
              <w:rPr>
                <w:rFonts w:eastAsia="Times New Roman"/>
                <w:bCs/>
                <w:sz w:val="24"/>
                <w:szCs w:val="24"/>
                <w:lang w:eastAsia="lv-LV"/>
              </w:rPr>
              <w:t>Uzdevums izpildīts ar 2019.gada 3.aprīlī Saeimā pieņemto likumu Par valsts budžetu 2019.gadam un to pavadošajiem 14 likumprojektiem, tai skaitā iekļautajiem četriem likumprojektiem, kas paredz ierobežot Latvijā nelicencētu interaktīvo azartspēļu un izložu pieejamību.</w:t>
            </w:r>
          </w:p>
        </w:tc>
      </w:tr>
      <w:tr w:rsidR="005B04CB" w:rsidRPr="00DE1A22" w14:paraId="21571013" w14:textId="77777777" w:rsidTr="00BF4AE7">
        <w:tc>
          <w:tcPr>
            <w:tcW w:w="846" w:type="dxa"/>
            <w:gridSpan w:val="2"/>
            <w:shd w:val="clear" w:color="auto" w:fill="auto"/>
          </w:tcPr>
          <w:p w14:paraId="12286BCC" w14:textId="77777777" w:rsidR="005B04CB" w:rsidRPr="00DE1A22" w:rsidRDefault="00CB4782" w:rsidP="005B04CB">
            <w:pPr>
              <w:spacing w:before="100" w:beforeAutospacing="1" w:after="100" w:afterAutospacing="1"/>
              <w:jc w:val="center"/>
              <w:rPr>
                <w:rFonts w:eastAsia="Times New Roman"/>
                <w:sz w:val="24"/>
                <w:szCs w:val="24"/>
                <w:lang w:eastAsia="lv-LV"/>
              </w:rPr>
            </w:pPr>
            <w:r w:rsidRPr="00DE1A22">
              <w:rPr>
                <w:rFonts w:eastAsia="Times New Roman"/>
                <w:sz w:val="24"/>
                <w:szCs w:val="24"/>
                <w:lang w:eastAsia="lv-LV"/>
              </w:rPr>
              <w:t>7</w:t>
            </w:r>
            <w:r w:rsidR="005B04CB" w:rsidRPr="00DE1A22">
              <w:rPr>
                <w:rFonts w:eastAsia="Times New Roman"/>
                <w:sz w:val="24"/>
                <w:szCs w:val="24"/>
                <w:lang w:eastAsia="lv-LV"/>
              </w:rPr>
              <w:t>.</w:t>
            </w:r>
          </w:p>
        </w:tc>
        <w:tc>
          <w:tcPr>
            <w:tcW w:w="2977" w:type="dxa"/>
            <w:shd w:val="clear" w:color="auto" w:fill="auto"/>
          </w:tcPr>
          <w:p w14:paraId="33BC3200" w14:textId="77777777" w:rsidR="005B04CB" w:rsidRPr="00DE1A22" w:rsidRDefault="005B04CB" w:rsidP="005B04CB">
            <w:pPr>
              <w:jc w:val="both"/>
              <w:rPr>
                <w:rFonts w:eastAsia="Times New Roman"/>
                <w:sz w:val="24"/>
                <w:szCs w:val="24"/>
                <w:lang w:eastAsia="lv-LV"/>
              </w:rPr>
            </w:pPr>
            <w:r w:rsidRPr="00DE1A22">
              <w:rPr>
                <w:rFonts w:eastAsia="Times New Roman"/>
                <w:sz w:val="24"/>
                <w:szCs w:val="24"/>
                <w:lang w:eastAsia="lv-LV"/>
              </w:rPr>
              <w:t>Projekta 4. sadaļas “Rīcības virzieni un uzdevumi” 1. Rīcības virziena “Nelegālā tirgus ierobežošana” 3. uzdevums:</w:t>
            </w:r>
          </w:p>
          <w:p w14:paraId="55D6E904" w14:textId="77777777" w:rsidR="005B04CB" w:rsidRPr="00DE1A22" w:rsidRDefault="005B04CB" w:rsidP="000C2873">
            <w:pPr>
              <w:jc w:val="both"/>
              <w:rPr>
                <w:rFonts w:eastAsia="Times New Roman"/>
                <w:sz w:val="24"/>
                <w:szCs w:val="24"/>
                <w:lang w:eastAsia="lv-LV"/>
              </w:rPr>
            </w:pPr>
            <w:r w:rsidRPr="00DE1A22">
              <w:rPr>
                <w:rFonts w:eastAsia="Times New Roman"/>
                <w:sz w:val="24"/>
                <w:szCs w:val="24"/>
                <w:lang w:eastAsia="lv-LV"/>
              </w:rPr>
              <w:t>“3. Noteikt elektronisko sakaru komersantam soda naudu par Elektronisko sakaru likuma 19.panta pirmās daļas 22.punkta neievērošanu, kā arī pienākumu valsts budžetā ieskaitīt izrietošus neiegūtos nodokļu ieņēmumus, ja gadījumā šos līdzekļus nevar piedzīt no attiecīgā normatīvo aktu pārkāpēja.”</w:t>
            </w:r>
          </w:p>
        </w:tc>
        <w:tc>
          <w:tcPr>
            <w:tcW w:w="4394" w:type="dxa"/>
            <w:shd w:val="clear" w:color="auto" w:fill="auto"/>
          </w:tcPr>
          <w:p w14:paraId="30B60F14" w14:textId="77777777" w:rsidR="005B04CB" w:rsidRPr="00DE1A22" w:rsidRDefault="005B04CB" w:rsidP="005B04CB">
            <w:pPr>
              <w:contextualSpacing/>
              <w:jc w:val="both"/>
              <w:rPr>
                <w:rFonts w:eastAsia="Times New Roman"/>
                <w:b/>
                <w:sz w:val="24"/>
                <w:szCs w:val="24"/>
                <w:lang w:eastAsia="lv-LV"/>
              </w:rPr>
            </w:pPr>
            <w:r w:rsidRPr="00DE1A22">
              <w:rPr>
                <w:rFonts w:eastAsia="Times New Roman"/>
                <w:b/>
                <w:sz w:val="24"/>
                <w:szCs w:val="24"/>
                <w:lang w:eastAsia="lv-LV"/>
              </w:rPr>
              <w:t>Satiksmes ministrija (28.01.2019. Nr.03-03/13)</w:t>
            </w:r>
          </w:p>
          <w:p w14:paraId="536D36D3" w14:textId="77777777" w:rsidR="005B04CB" w:rsidRPr="00DE1A22" w:rsidRDefault="005B04CB" w:rsidP="005B04CB">
            <w:pPr>
              <w:contextualSpacing/>
              <w:jc w:val="both"/>
              <w:rPr>
                <w:rFonts w:eastAsia="Times New Roman"/>
                <w:sz w:val="24"/>
                <w:szCs w:val="24"/>
                <w:lang w:eastAsia="lv-LV"/>
              </w:rPr>
            </w:pPr>
            <w:r w:rsidRPr="00DE1A22">
              <w:rPr>
                <w:rFonts w:eastAsia="Times New Roman"/>
                <w:sz w:val="24"/>
                <w:szCs w:val="24"/>
                <w:lang w:eastAsia="lv-LV"/>
              </w:rPr>
              <w:t xml:space="preserve">Pamatnostādnēs iekļautā 4.punkta “Rīcības virzieni un uzdevumi” (1.Rīcības virziens - Nelegālā tirgus ierobežošana) 3.uzdevumā paredzēts uzdevums “noteikt elektronisko sakaru komersantiem  soda naudu par Elektronisko sakaru likuma 19.panta pirmās daļas 22.punkta neievērošanu, kā arī pienākumu valsts budžetā ieskaitīt izrietošus valsts neiegūtos nodokļu ieņēmumus, ja gadījumā šos līdzekļus nevar piedzīt no attiecīgā normatīvo aktu pārkāpēja”. </w:t>
            </w:r>
          </w:p>
          <w:p w14:paraId="1FDD1E36" w14:textId="77777777" w:rsidR="005B04CB" w:rsidRPr="00DE1A22" w:rsidRDefault="005B04CB" w:rsidP="002071DA">
            <w:pPr>
              <w:contextualSpacing/>
              <w:jc w:val="both"/>
              <w:rPr>
                <w:rFonts w:eastAsia="Times New Roman"/>
                <w:sz w:val="24"/>
                <w:szCs w:val="24"/>
              </w:rPr>
            </w:pPr>
          </w:p>
        </w:tc>
        <w:tc>
          <w:tcPr>
            <w:tcW w:w="3118" w:type="dxa"/>
            <w:shd w:val="clear" w:color="auto" w:fill="auto"/>
          </w:tcPr>
          <w:p w14:paraId="00DCC421" w14:textId="77777777" w:rsidR="005B04CB" w:rsidRPr="00DE1A22" w:rsidRDefault="005B04CB" w:rsidP="005B04CB">
            <w:pPr>
              <w:jc w:val="center"/>
              <w:rPr>
                <w:rFonts w:eastAsia="Times New Roman"/>
                <w:b/>
                <w:bCs/>
                <w:sz w:val="24"/>
                <w:szCs w:val="24"/>
                <w:lang w:eastAsia="lv-LV"/>
              </w:rPr>
            </w:pPr>
            <w:r w:rsidRPr="00DE1A22">
              <w:rPr>
                <w:rFonts w:eastAsia="Times New Roman"/>
                <w:b/>
                <w:bCs/>
                <w:sz w:val="24"/>
                <w:szCs w:val="24"/>
                <w:lang w:eastAsia="lv-LV"/>
              </w:rPr>
              <w:t>Ņemts vērā.</w:t>
            </w:r>
          </w:p>
          <w:p w14:paraId="305CD68B" w14:textId="77777777" w:rsidR="005B04CB" w:rsidRPr="00DE1A22" w:rsidRDefault="005B04CB" w:rsidP="00492CCF">
            <w:pPr>
              <w:tabs>
                <w:tab w:val="left" w:pos="0"/>
                <w:tab w:val="left" w:pos="709"/>
                <w:tab w:val="left" w:pos="993"/>
              </w:tabs>
              <w:suppressAutoHyphens/>
              <w:jc w:val="both"/>
              <w:outlineLvl w:val="3"/>
              <w:rPr>
                <w:rFonts w:eastAsia="Times New Roman"/>
                <w:b/>
                <w:bCs/>
                <w:sz w:val="24"/>
                <w:szCs w:val="24"/>
                <w:lang w:eastAsia="lv-LV"/>
              </w:rPr>
            </w:pPr>
          </w:p>
        </w:tc>
        <w:tc>
          <w:tcPr>
            <w:tcW w:w="3402" w:type="dxa"/>
            <w:shd w:val="clear" w:color="auto" w:fill="auto"/>
          </w:tcPr>
          <w:p w14:paraId="749F60F2" w14:textId="77777777" w:rsidR="005B04CB" w:rsidRPr="00DE1A22" w:rsidRDefault="00D64597" w:rsidP="005B04CB">
            <w:pPr>
              <w:jc w:val="both"/>
              <w:rPr>
                <w:rFonts w:eastAsia="Times New Roman"/>
                <w:sz w:val="24"/>
                <w:szCs w:val="24"/>
              </w:rPr>
            </w:pPr>
            <w:r w:rsidRPr="00DE1A22">
              <w:rPr>
                <w:rFonts w:eastAsia="Times New Roman"/>
                <w:bCs/>
                <w:sz w:val="24"/>
                <w:szCs w:val="24"/>
                <w:lang w:eastAsia="lv-LV"/>
              </w:rPr>
              <w:t>Uzdevums izpildīts ar 2019.gada 3.aprīlī Saeimā pieņemto likumu Par valsts budžetu 2019.gadam un to pavadošajiem 14 likumprojektiem, tai skaitā iekļautajiem četriem likumprojektiem, kas paredz ierobežot Latvijā nelicencētu interaktīvo azartspēļu un izložu pieejamību.</w:t>
            </w:r>
          </w:p>
        </w:tc>
      </w:tr>
      <w:tr w:rsidR="005B04CB" w:rsidRPr="00DE1A22" w14:paraId="34BC0A06" w14:textId="77777777" w:rsidTr="00BF4AE7">
        <w:tc>
          <w:tcPr>
            <w:tcW w:w="846" w:type="dxa"/>
            <w:gridSpan w:val="2"/>
            <w:shd w:val="clear" w:color="auto" w:fill="auto"/>
          </w:tcPr>
          <w:p w14:paraId="24107734" w14:textId="77777777" w:rsidR="005B04CB" w:rsidRPr="00DE1A22" w:rsidRDefault="00CB4782" w:rsidP="005B04CB">
            <w:pPr>
              <w:spacing w:before="100" w:beforeAutospacing="1" w:after="100" w:afterAutospacing="1"/>
              <w:jc w:val="center"/>
              <w:rPr>
                <w:rFonts w:eastAsia="Times New Roman"/>
                <w:sz w:val="24"/>
                <w:szCs w:val="24"/>
                <w:lang w:eastAsia="lv-LV"/>
              </w:rPr>
            </w:pPr>
            <w:r w:rsidRPr="00DE1A22">
              <w:rPr>
                <w:rFonts w:eastAsia="Times New Roman"/>
                <w:sz w:val="24"/>
                <w:szCs w:val="24"/>
                <w:lang w:eastAsia="lv-LV"/>
              </w:rPr>
              <w:t>8</w:t>
            </w:r>
            <w:r w:rsidR="005B04CB" w:rsidRPr="00DE1A22">
              <w:rPr>
                <w:rFonts w:eastAsia="Times New Roman"/>
                <w:sz w:val="24"/>
                <w:szCs w:val="24"/>
                <w:lang w:eastAsia="lv-LV"/>
              </w:rPr>
              <w:t>.</w:t>
            </w:r>
          </w:p>
        </w:tc>
        <w:tc>
          <w:tcPr>
            <w:tcW w:w="2977" w:type="dxa"/>
            <w:shd w:val="clear" w:color="auto" w:fill="auto"/>
          </w:tcPr>
          <w:p w14:paraId="26B9D89D" w14:textId="77777777" w:rsidR="005B04CB" w:rsidRPr="00DE1A22" w:rsidRDefault="005B04CB" w:rsidP="005B04CB">
            <w:pPr>
              <w:jc w:val="both"/>
              <w:rPr>
                <w:rFonts w:eastAsia="Times New Roman"/>
                <w:sz w:val="24"/>
                <w:szCs w:val="24"/>
                <w:lang w:eastAsia="lv-LV"/>
              </w:rPr>
            </w:pPr>
            <w:r w:rsidRPr="00DE1A22">
              <w:rPr>
                <w:rFonts w:eastAsia="Times New Roman"/>
                <w:sz w:val="24"/>
                <w:szCs w:val="24"/>
                <w:lang w:eastAsia="lv-LV"/>
              </w:rPr>
              <w:t>Projekta 4. sadaļas “Rīcības virzieni un uzdevumi” 1. Rīcības virziena “Nelegālā tirgus ierobežošana” 1., 2. un 3.uzdevums:</w:t>
            </w:r>
          </w:p>
          <w:p w14:paraId="42B7C6E4" w14:textId="77777777" w:rsidR="005B04CB" w:rsidRPr="00DE1A22" w:rsidRDefault="005B04CB" w:rsidP="005B04CB">
            <w:pPr>
              <w:jc w:val="both"/>
              <w:rPr>
                <w:rFonts w:eastAsia="Times New Roman"/>
                <w:sz w:val="24"/>
                <w:szCs w:val="24"/>
                <w:lang w:eastAsia="lv-LV"/>
              </w:rPr>
            </w:pPr>
            <w:r w:rsidRPr="00DE1A22">
              <w:rPr>
                <w:rFonts w:eastAsia="Times New Roman"/>
                <w:sz w:val="24"/>
                <w:szCs w:val="24"/>
                <w:lang w:eastAsia="lv-LV"/>
              </w:rPr>
              <w:t>“1. Noteikt, ka elektronisko sakaru komersants piekļuves ierobežošanu Latvijā nelicencēta interaktīvo azartspēļu un/vai nelicencēta izložu organizētāja interneta mājaslapai nodrošina sev piemērotā veidā.</w:t>
            </w:r>
          </w:p>
          <w:p w14:paraId="1F55FA16" w14:textId="77777777" w:rsidR="005B04CB" w:rsidRPr="00DE1A22" w:rsidRDefault="005B04CB" w:rsidP="005B04CB">
            <w:pPr>
              <w:jc w:val="both"/>
              <w:rPr>
                <w:rFonts w:eastAsia="Times New Roman"/>
                <w:sz w:val="24"/>
                <w:szCs w:val="24"/>
                <w:lang w:eastAsia="lv-LV"/>
              </w:rPr>
            </w:pPr>
            <w:r w:rsidRPr="00DE1A22">
              <w:rPr>
                <w:rFonts w:eastAsia="Times New Roman"/>
                <w:sz w:val="24"/>
                <w:szCs w:val="24"/>
                <w:lang w:eastAsia="lv-LV"/>
              </w:rPr>
              <w:lastRenderedPageBreak/>
              <w:t>2. Noteikt elektronisko sakaru komersantam pienākumu, īstenojot piekļuves ierobežošanu Latvijā nelicencēta interaktīvo azartspēļu un/vai nelicencēta izložu organizētāja interneta mājaslapai, norādīt informāciju par Latvijā nelicencēto interaktīvo azartspēļu un/vai nelicencēto izložu spēlētāja atbildību un norādīt, ka Latvijā licencēto interaktīvo azartspēļu un/vai izložu organizētāju saraksts ir pieejams Izložu un azartspēļu uzraudzības inspekcijas mājaslapā.</w:t>
            </w:r>
          </w:p>
          <w:p w14:paraId="4067EEFD" w14:textId="77777777" w:rsidR="005B04CB" w:rsidRPr="00DE1A22" w:rsidRDefault="005B04CB" w:rsidP="005B04CB">
            <w:pPr>
              <w:jc w:val="both"/>
              <w:rPr>
                <w:rFonts w:eastAsia="Times New Roman"/>
                <w:sz w:val="24"/>
                <w:szCs w:val="24"/>
                <w:lang w:eastAsia="lv-LV"/>
              </w:rPr>
            </w:pPr>
            <w:r w:rsidRPr="00DE1A22">
              <w:rPr>
                <w:rFonts w:eastAsia="Times New Roman"/>
                <w:sz w:val="24"/>
                <w:szCs w:val="24"/>
                <w:lang w:eastAsia="lv-LV"/>
              </w:rPr>
              <w:t>3. Noteikt elektronisko sakaru komersantam soda naudu par Elektronisko sakaru likuma 19.panta pirmās daļas 22.punkta neievērošanu, kā arī pienākumu valsts budžetā ieskaitīt izrietošus neiegūtos nodokļu ieņēmumus, ja gadījumā šos līdzekļus nevar piedzīt no attiecīgā normatīvo aktu pārkāpēja.”</w:t>
            </w:r>
          </w:p>
        </w:tc>
        <w:tc>
          <w:tcPr>
            <w:tcW w:w="4394" w:type="dxa"/>
            <w:shd w:val="clear" w:color="auto" w:fill="auto"/>
          </w:tcPr>
          <w:p w14:paraId="6E48474F" w14:textId="77777777" w:rsidR="005B04CB" w:rsidRPr="00DE1A22" w:rsidRDefault="005B04CB" w:rsidP="005B04CB">
            <w:pPr>
              <w:contextualSpacing/>
              <w:jc w:val="both"/>
              <w:rPr>
                <w:rFonts w:eastAsia="Times New Roman"/>
                <w:b/>
                <w:sz w:val="24"/>
                <w:szCs w:val="24"/>
                <w:lang w:eastAsia="lv-LV"/>
              </w:rPr>
            </w:pPr>
            <w:r w:rsidRPr="00DE1A22">
              <w:rPr>
                <w:rFonts w:eastAsia="Times New Roman"/>
                <w:b/>
                <w:sz w:val="24"/>
                <w:szCs w:val="24"/>
                <w:lang w:eastAsia="lv-LV"/>
              </w:rPr>
              <w:lastRenderedPageBreak/>
              <w:t>Satiksmes ministrija (28.01.2019. Nr.03-03/13)</w:t>
            </w:r>
          </w:p>
          <w:p w14:paraId="65E49503" w14:textId="77777777" w:rsidR="005B04CB" w:rsidRPr="00DE1A22" w:rsidRDefault="005B04CB" w:rsidP="000C2873">
            <w:pPr>
              <w:jc w:val="both"/>
              <w:rPr>
                <w:rFonts w:eastAsia="Times New Roman"/>
                <w:sz w:val="24"/>
                <w:szCs w:val="24"/>
              </w:rPr>
            </w:pPr>
            <w:r w:rsidRPr="00DE1A22">
              <w:rPr>
                <w:rFonts w:eastAsia="Times New Roman"/>
                <w:sz w:val="24"/>
                <w:szCs w:val="24"/>
                <w:lang w:eastAsia="lv-LV"/>
              </w:rPr>
              <w:t>Lūdzam svītrot Pamatnostādnēs iekļautā 4.punkta “Rīcības virzieni un uzdevumi” (1.</w:t>
            </w:r>
            <w:r w:rsidR="00024365" w:rsidRPr="00DE1A22">
              <w:rPr>
                <w:rFonts w:eastAsia="Times New Roman"/>
                <w:sz w:val="24"/>
                <w:szCs w:val="24"/>
                <w:lang w:eastAsia="lv-LV"/>
              </w:rPr>
              <w:t xml:space="preserve"> </w:t>
            </w:r>
            <w:r w:rsidRPr="00DE1A22">
              <w:rPr>
                <w:rFonts w:eastAsia="Times New Roman"/>
                <w:sz w:val="24"/>
                <w:szCs w:val="24"/>
                <w:lang w:eastAsia="lv-LV"/>
              </w:rPr>
              <w:t>Rīcības virziens</w:t>
            </w:r>
            <w:r w:rsidR="00024365" w:rsidRPr="00DE1A22">
              <w:rPr>
                <w:rFonts w:eastAsia="Times New Roman"/>
                <w:sz w:val="24"/>
                <w:szCs w:val="24"/>
                <w:lang w:eastAsia="lv-LV"/>
              </w:rPr>
              <w:t xml:space="preserve"> – </w:t>
            </w:r>
            <w:r w:rsidRPr="00DE1A22">
              <w:rPr>
                <w:rFonts w:eastAsia="Times New Roman"/>
                <w:sz w:val="24"/>
                <w:szCs w:val="24"/>
                <w:lang w:eastAsia="lv-LV"/>
              </w:rPr>
              <w:t>Nelegālā tirgus ierobežošana) 1., 2. un 3.uzdevumā Satiksmes ministriju kā atbildīgo iestādi, norādot Satiksmes ministriju kā līdzatbildīgo minēto uzdevumu izpildē.</w:t>
            </w:r>
          </w:p>
        </w:tc>
        <w:tc>
          <w:tcPr>
            <w:tcW w:w="3118" w:type="dxa"/>
            <w:shd w:val="clear" w:color="auto" w:fill="auto"/>
          </w:tcPr>
          <w:p w14:paraId="0D3582EA" w14:textId="77777777" w:rsidR="005B04CB" w:rsidRPr="00DE1A22" w:rsidRDefault="005B04CB" w:rsidP="005B04CB">
            <w:pPr>
              <w:jc w:val="center"/>
              <w:rPr>
                <w:rFonts w:eastAsia="Times New Roman"/>
                <w:b/>
                <w:bCs/>
                <w:sz w:val="24"/>
                <w:szCs w:val="24"/>
                <w:lang w:eastAsia="lv-LV"/>
              </w:rPr>
            </w:pPr>
            <w:r w:rsidRPr="00DE1A22">
              <w:rPr>
                <w:rFonts w:eastAsia="Times New Roman"/>
                <w:b/>
                <w:bCs/>
                <w:sz w:val="24"/>
                <w:szCs w:val="24"/>
                <w:lang w:eastAsia="lv-LV"/>
              </w:rPr>
              <w:t>Ņemts vērā.</w:t>
            </w:r>
          </w:p>
          <w:p w14:paraId="58EBF0EC" w14:textId="77777777" w:rsidR="005B04CB" w:rsidRPr="00DE1A22" w:rsidRDefault="005B04CB" w:rsidP="00F87B7C">
            <w:pPr>
              <w:tabs>
                <w:tab w:val="left" w:pos="0"/>
                <w:tab w:val="left" w:pos="709"/>
                <w:tab w:val="left" w:pos="993"/>
              </w:tabs>
              <w:suppressAutoHyphens/>
              <w:jc w:val="both"/>
              <w:outlineLvl w:val="3"/>
              <w:rPr>
                <w:rFonts w:eastAsia="Times New Roman"/>
                <w:b/>
                <w:bCs/>
                <w:sz w:val="24"/>
                <w:szCs w:val="24"/>
                <w:lang w:eastAsia="lv-LV"/>
              </w:rPr>
            </w:pPr>
          </w:p>
        </w:tc>
        <w:tc>
          <w:tcPr>
            <w:tcW w:w="3402" w:type="dxa"/>
            <w:shd w:val="clear" w:color="auto" w:fill="auto"/>
          </w:tcPr>
          <w:p w14:paraId="6E866420" w14:textId="77777777" w:rsidR="005B04CB" w:rsidRPr="00DE1A22" w:rsidRDefault="00D64597" w:rsidP="005B04CB">
            <w:pPr>
              <w:jc w:val="both"/>
              <w:rPr>
                <w:rFonts w:eastAsia="Times New Roman"/>
                <w:sz w:val="24"/>
                <w:szCs w:val="24"/>
              </w:rPr>
            </w:pPr>
            <w:r w:rsidRPr="00DE1A22">
              <w:rPr>
                <w:rFonts w:eastAsia="Times New Roman"/>
                <w:bCs/>
                <w:sz w:val="24"/>
                <w:szCs w:val="24"/>
                <w:lang w:eastAsia="lv-LV"/>
              </w:rPr>
              <w:t>Uzdevums izpildīts ar 2019.gada 3.aprīlī Saeimā pieņemto likumu Par valsts budžetu 2019.gadam un to pavadošajiem 14 likumprojektiem, tai skaitā iekļautajiem četriem likumprojektiem, kas paredz ierobežot Latvijā nelicencētu interaktīvo azartspēļu un izložu pieejamību.</w:t>
            </w:r>
          </w:p>
        </w:tc>
      </w:tr>
      <w:tr w:rsidR="005B04CB" w:rsidRPr="00DE1A22" w14:paraId="50DA1D0F" w14:textId="77777777" w:rsidTr="00BF4AE7">
        <w:tc>
          <w:tcPr>
            <w:tcW w:w="846" w:type="dxa"/>
            <w:gridSpan w:val="2"/>
            <w:shd w:val="clear" w:color="auto" w:fill="auto"/>
          </w:tcPr>
          <w:p w14:paraId="2CD95F53" w14:textId="77777777" w:rsidR="005B04CB" w:rsidRPr="00DE1A22" w:rsidRDefault="00CB4782" w:rsidP="005B04CB">
            <w:pPr>
              <w:spacing w:before="100" w:beforeAutospacing="1" w:after="100" w:afterAutospacing="1"/>
              <w:jc w:val="center"/>
              <w:rPr>
                <w:rFonts w:eastAsia="Times New Roman"/>
                <w:sz w:val="24"/>
                <w:szCs w:val="24"/>
                <w:lang w:eastAsia="lv-LV"/>
              </w:rPr>
            </w:pPr>
            <w:r w:rsidRPr="00DE1A22">
              <w:rPr>
                <w:rFonts w:eastAsia="Times New Roman"/>
                <w:sz w:val="24"/>
                <w:szCs w:val="24"/>
                <w:lang w:eastAsia="lv-LV"/>
              </w:rPr>
              <w:t>9</w:t>
            </w:r>
            <w:r w:rsidR="005B04CB" w:rsidRPr="00DE1A22">
              <w:rPr>
                <w:rFonts w:eastAsia="Times New Roman"/>
                <w:sz w:val="24"/>
                <w:szCs w:val="24"/>
                <w:lang w:eastAsia="lv-LV"/>
              </w:rPr>
              <w:t>.</w:t>
            </w:r>
          </w:p>
        </w:tc>
        <w:tc>
          <w:tcPr>
            <w:tcW w:w="2977" w:type="dxa"/>
            <w:shd w:val="clear" w:color="auto" w:fill="auto"/>
          </w:tcPr>
          <w:p w14:paraId="2A2AB025" w14:textId="77777777" w:rsidR="005B04CB" w:rsidRPr="00DE1A22" w:rsidRDefault="005B04CB" w:rsidP="005B04CB">
            <w:pPr>
              <w:jc w:val="both"/>
              <w:rPr>
                <w:rFonts w:eastAsia="Times New Roman"/>
                <w:sz w:val="24"/>
                <w:szCs w:val="24"/>
                <w:lang w:eastAsia="lv-LV"/>
              </w:rPr>
            </w:pPr>
            <w:r w:rsidRPr="00DE1A22">
              <w:rPr>
                <w:rFonts w:eastAsia="Times New Roman"/>
                <w:sz w:val="24"/>
                <w:szCs w:val="24"/>
                <w:lang w:eastAsia="lv-LV"/>
              </w:rPr>
              <w:t>Projekta 4. sadaļas “Rīcības virzieni un uzdevumi” 1. Rīcības virziena “Nelegālā tirgus ierobežošana” 5. punkts:</w:t>
            </w:r>
          </w:p>
          <w:p w14:paraId="42B44FBC" w14:textId="77777777" w:rsidR="005B04CB" w:rsidRPr="00DE1A22" w:rsidRDefault="005B04CB" w:rsidP="000C2873">
            <w:pPr>
              <w:jc w:val="both"/>
              <w:rPr>
                <w:rFonts w:eastAsia="Times New Roman"/>
                <w:sz w:val="24"/>
                <w:szCs w:val="24"/>
                <w:lang w:eastAsia="lv-LV"/>
              </w:rPr>
            </w:pPr>
            <w:r w:rsidRPr="00DE1A22">
              <w:rPr>
                <w:rFonts w:eastAsia="Times New Roman"/>
                <w:sz w:val="24"/>
                <w:szCs w:val="24"/>
                <w:lang w:eastAsia="lv-LV"/>
              </w:rPr>
              <w:lastRenderedPageBreak/>
              <w:t>“Noteikt fiziskajām un juridiskajām personām soda naudu 100% apmērā par valsts neiegūtiem nodokļu ieņēmumiem no personas dalības Latvijā nelicencētās interaktīvo azartspēļu organizētāja azartspēlēs un/vai nelicencētās izložu organizatoru izlozēs, kā arī pienākumu valsts budžetā ieskaitīt izrietošus neiegūtos nodokļu ieņēmumus.”</w:t>
            </w:r>
          </w:p>
        </w:tc>
        <w:tc>
          <w:tcPr>
            <w:tcW w:w="4394" w:type="dxa"/>
            <w:shd w:val="clear" w:color="auto" w:fill="auto"/>
          </w:tcPr>
          <w:p w14:paraId="1A63C667" w14:textId="77777777" w:rsidR="005B04CB" w:rsidRPr="00DE1A22" w:rsidRDefault="005B04CB" w:rsidP="005B04CB">
            <w:pPr>
              <w:contextualSpacing/>
              <w:jc w:val="both"/>
              <w:rPr>
                <w:rFonts w:eastAsia="Times New Roman"/>
                <w:b/>
                <w:sz w:val="24"/>
                <w:szCs w:val="24"/>
              </w:rPr>
            </w:pPr>
            <w:r w:rsidRPr="00DE1A22">
              <w:rPr>
                <w:rFonts w:eastAsia="Times New Roman"/>
                <w:b/>
                <w:sz w:val="24"/>
                <w:szCs w:val="24"/>
              </w:rPr>
              <w:lastRenderedPageBreak/>
              <w:t>Tieslietu ministrija (25.01.2019. Nr.1-9.1/88).</w:t>
            </w:r>
          </w:p>
          <w:p w14:paraId="00BF0E80" w14:textId="77777777" w:rsidR="005B04CB" w:rsidRPr="00DE1A22" w:rsidRDefault="005B04CB" w:rsidP="005B04CB">
            <w:pPr>
              <w:jc w:val="both"/>
              <w:rPr>
                <w:rFonts w:eastAsia="Times New Roman"/>
                <w:sz w:val="24"/>
                <w:szCs w:val="24"/>
              </w:rPr>
            </w:pPr>
            <w:r w:rsidRPr="00DE1A22">
              <w:rPr>
                <w:rFonts w:eastAsia="Times New Roman"/>
                <w:sz w:val="24"/>
                <w:szCs w:val="24"/>
              </w:rPr>
              <w:t xml:space="preserve">Tieslietu ministrija neatbalsta soda naudas piemērošanu ne projekta 1. Rīcības virziena 3. punktā paredzētajā gadījumā, ne arī </w:t>
            </w:r>
            <w:r w:rsidRPr="00DE1A22">
              <w:rPr>
                <w:rFonts w:eastAsia="Times New Roman"/>
                <w:sz w:val="24"/>
                <w:szCs w:val="24"/>
              </w:rPr>
              <w:lastRenderedPageBreak/>
              <w:t xml:space="preserve">projekta 1. Rīcības virziena 5. punktā paredzētajā gadījumā. Vēršam uzmanību, ka tiesiskais regulējums attiecībā uz administratīvajiem sodiem Latvijā ir noteikts Latvijas Administratīvo pārkāpumu kodeksā, savukārt par kriminālsodiem – Krimināllikumā. Nav saprotams, kāda atbildība konkrētajā gadījumā tiek paredzēta, jo projektā piedāvātais atbildības veids neietilpst Latvijā spēkā esošajā regulējumā par juridiskās atbildības veidiem. </w:t>
            </w:r>
          </w:p>
        </w:tc>
        <w:tc>
          <w:tcPr>
            <w:tcW w:w="3118" w:type="dxa"/>
            <w:shd w:val="clear" w:color="auto" w:fill="auto"/>
          </w:tcPr>
          <w:p w14:paraId="3C9BF701" w14:textId="77777777" w:rsidR="005B04CB" w:rsidRPr="00DE1A22" w:rsidRDefault="005B04CB" w:rsidP="005B04CB">
            <w:pPr>
              <w:jc w:val="center"/>
              <w:rPr>
                <w:rFonts w:eastAsia="Times New Roman"/>
                <w:b/>
                <w:bCs/>
                <w:sz w:val="24"/>
                <w:szCs w:val="24"/>
                <w:lang w:eastAsia="lv-LV"/>
              </w:rPr>
            </w:pPr>
            <w:r w:rsidRPr="00DE1A22">
              <w:rPr>
                <w:rFonts w:eastAsia="Times New Roman"/>
                <w:b/>
                <w:bCs/>
                <w:sz w:val="24"/>
                <w:szCs w:val="24"/>
                <w:lang w:eastAsia="lv-LV"/>
              </w:rPr>
              <w:lastRenderedPageBreak/>
              <w:t>Ņemts vērā.</w:t>
            </w:r>
          </w:p>
          <w:p w14:paraId="465FA52D" w14:textId="77777777" w:rsidR="005B04CB" w:rsidRPr="00DE1A22" w:rsidRDefault="005B04CB" w:rsidP="00CB0CB0">
            <w:pPr>
              <w:tabs>
                <w:tab w:val="left" w:pos="0"/>
                <w:tab w:val="left" w:pos="709"/>
                <w:tab w:val="left" w:pos="993"/>
              </w:tabs>
              <w:suppressAutoHyphens/>
              <w:jc w:val="both"/>
              <w:outlineLvl w:val="3"/>
              <w:rPr>
                <w:rFonts w:eastAsia="Times New Roman"/>
                <w:b/>
                <w:bCs/>
                <w:sz w:val="24"/>
                <w:szCs w:val="24"/>
                <w:lang w:eastAsia="lv-LV"/>
              </w:rPr>
            </w:pPr>
          </w:p>
        </w:tc>
        <w:tc>
          <w:tcPr>
            <w:tcW w:w="3402" w:type="dxa"/>
            <w:shd w:val="clear" w:color="auto" w:fill="auto"/>
          </w:tcPr>
          <w:p w14:paraId="5E507D0C" w14:textId="77777777" w:rsidR="005B04CB" w:rsidRPr="00DE1A22" w:rsidRDefault="00D64597" w:rsidP="005B04CB">
            <w:pPr>
              <w:jc w:val="both"/>
              <w:rPr>
                <w:rFonts w:eastAsia="Times New Roman"/>
                <w:sz w:val="24"/>
                <w:szCs w:val="24"/>
              </w:rPr>
            </w:pPr>
            <w:r w:rsidRPr="00DE1A22">
              <w:rPr>
                <w:rFonts w:eastAsia="Times New Roman"/>
                <w:bCs/>
                <w:sz w:val="24"/>
                <w:szCs w:val="24"/>
                <w:lang w:eastAsia="lv-LV"/>
              </w:rPr>
              <w:t xml:space="preserve">Uzdevums izpildīts ar 2019.gada 3.aprīlī Saeimā pieņemto likumu Par valsts budžetu 2019.gadam un to pavadošajiem 14 likumprojektiem, tai skaitā </w:t>
            </w:r>
            <w:r w:rsidRPr="00DE1A22">
              <w:rPr>
                <w:rFonts w:eastAsia="Times New Roman"/>
                <w:bCs/>
                <w:sz w:val="24"/>
                <w:szCs w:val="24"/>
                <w:lang w:eastAsia="lv-LV"/>
              </w:rPr>
              <w:lastRenderedPageBreak/>
              <w:t>iekļautajiem četriem likumprojektiem, kas paredz ierobežot Latvijā nelicencētu interaktīvo azartspēļu un izložu pieejamību.</w:t>
            </w:r>
          </w:p>
        </w:tc>
      </w:tr>
      <w:tr w:rsidR="00A6269B" w:rsidRPr="00DE1A22" w14:paraId="5BD16976" w14:textId="77777777" w:rsidTr="00BF4AE7">
        <w:tc>
          <w:tcPr>
            <w:tcW w:w="846" w:type="dxa"/>
            <w:gridSpan w:val="2"/>
            <w:shd w:val="clear" w:color="auto" w:fill="auto"/>
          </w:tcPr>
          <w:p w14:paraId="5A99B146" w14:textId="77777777" w:rsidR="00A6269B" w:rsidRPr="00DE1A22" w:rsidRDefault="00A6269B" w:rsidP="005B04CB">
            <w:pPr>
              <w:spacing w:before="100" w:beforeAutospacing="1" w:after="100" w:afterAutospacing="1"/>
              <w:jc w:val="center"/>
              <w:rPr>
                <w:rFonts w:eastAsia="Times New Roman"/>
                <w:sz w:val="24"/>
                <w:szCs w:val="24"/>
                <w:lang w:eastAsia="lv-LV"/>
              </w:rPr>
            </w:pPr>
            <w:r w:rsidRPr="00DE1A22">
              <w:rPr>
                <w:rFonts w:eastAsia="Times New Roman"/>
                <w:sz w:val="24"/>
                <w:szCs w:val="24"/>
                <w:lang w:eastAsia="lv-LV"/>
              </w:rPr>
              <w:lastRenderedPageBreak/>
              <w:t>10.</w:t>
            </w:r>
          </w:p>
        </w:tc>
        <w:tc>
          <w:tcPr>
            <w:tcW w:w="2977" w:type="dxa"/>
            <w:shd w:val="clear" w:color="auto" w:fill="auto"/>
          </w:tcPr>
          <w:p w14:paraId="5532A8B0" w14:textId="77777777" w:rsidR="00A6269B" w:rsidRPr="00DE1A22" w:rsidRDefault="00A6269B" w:rsidP="005B04CB">
            <w:pPr>
              <w:jc w:val="both"/>
              <w:rPr>
                <w:rFonts w:eastAsia="Times New Roman"/>
                <w:sz w:val="24"/>
                <w:szCs w:val="24"/>
                <w:lang w:eastAsia="lv-LV"/>
              </w:rPr>
            </w:pPr>
            <w:r w:rsidRPr="00DE1A22">
              <w:rPr>
                <w:rFonts w:eastAsia="Times New Roman"/>
                <w:sz w:val="24"/>
                <w:szCs w:val="24"/>
                <w:lang w:eastAsia="lv-LV"/>
              </w:rPr>
              <w:t>Projekta 4. sadaļas “Rīcības virzieni un uzdevumi” 1. Rīcības virziena “Nelegālā tirgus ierobežošana”.</w:t>
            </w:r>
          </w:p>
        </w:tc>
        <w:tc>
          <w:tcPr>
            <w:tcW w:w="4394" w:type="dxa"/>
            <w:shd w:val="clear" w:color="auto" w:fill="auto"/>
          </w:tcPr>
          <w:p w14:paraId="137E551C" w14:textId="77777777" w:rsidR="00A6269B" w:rsidRPr="00DE1A22" w:rsidRDefault="00A6269B" w:rsidP="005B04CB">
            <w:pPr>
              <w:contextualSpacing/>
              <w:jc w:val="both"/>
              <w:rPr>
                <w:rFonts w:eastAsia="Times New Roman"/>
                <w:b/>
                <w:sz w:val="24"/>
                <w:szCs w:val="24"/>
              </w:rPr>
            </w:pPr>
            <w:r w:rsidRPr="00DE1A22">
              <w:rPr>
                <w:rFonts w:eastAsia="Times New Roman"/>
                <w:b/>
                <w:sz w:val="24"/>
                <w:szCs w:val="24"/>
              </w:rPr>
              <w:t>Latvijas Tirdzniecības un rūpniecības kamera (08.02.2019. Nr.2019)</w:t>
            </w:r>
          </w:p>
          <w:p w14:paraId="7093DF99" w14:textId="77777777" w:rsidR="00A6269B" w:rsidRPr="00DE1A22" w:rsidRDefault="00A6269B" w:rsidP="00A6269B">
            <w:pPr>
              <w:contextualSpacing/>
              <w:jc w:val="both"/>
              <w:rPr>
                <w:rFonts w:eastAsia="Times New Roman"/>
                <w:sz w:val="24"/>
                <w:szCs w:val="24"/>
              </w:rPr>
            </w:pPr>
            <w:r w:rsidRPr="00DE1A22">
              <w:rPr>
                <w:rFonts w:eastAsia="Times New Roman"/>
                <w:sz w:val="24"/>
                <w:szCs w:val="24"/>
              </w:rPr>
              <w:t>Pamatnostādņu projekta Pielikumā Nr.l "Esošās situācijas vispārīgs risinājums” šobrīd par atbilstošāko variantu atzīts vispārīgā risinājuma ceturtajā sadaļā "Azartspēļu un izložu pieejamība, darbības vietas un to regulēšana” piedāvātais 2. risinājums "Divpakāpju sistēmas nostiprināšana lēmumu pieņemšanā par azartspēles vietu organizēšanu”. Ņemot vērā šā brīža situāciju un pašvaldību līdzšinējo rīcību, sabiedrības un nozares interešu sabalansējošāks tomēr ir Pamatnostādņu projekta Pielikumā Nr.l piedāvātais 3. risinājums: azartspēļu organizēšanas vietas ierobežošanas nosacījumu atrunāšana likumā, precizējot risinājumā izvirzītos nosacījumus.</w:t>
            </w:r>
          </w:p>
          <w:p w14:paraId="73F5D4E8" w14:textId="77777777" w:rsidR="00A6269B" w:rsidRPr="00DE1A22" w:rsidRDefault="00A6269B" w:rsidP="00A6269B">
            <w:pPr>
              <w:contextualSpacing/>
              <w:jc w:val="both"/>
              <w:rPr>
                <w:rFonts w:eastAsia="Times New Roman"/>
                <w:sz w:val="24"/>
                <w:szCs w:val="24"/>
              </w:rPr>
            </w:pPr>
            <w:r w:rsidRPr="00DE1A22">
              <w:rPr>
                <w:rFonts w:eastAsia="Times New Roman"/>
                <w:sz w:val="24"/>
                <w:szCs w:val="24"/>
              </w:rPr>
              <w:t xml:space="preserve">Pamatnostādņu projekta Pielikumā Nr.l "Esošās situācijas vispārīgs risinājums" 7. sadaļa "Latvijā nelegālās un nelicencētas azartspēles un izlozes un to novēršana" </w:t>
            </w:r>
            <w:r w:rsidRPr="00DE1A22">
              <w:rPr>
                <w:rFonts w:eastAsia="Times New Roman"/>
                <w:sz w:val="24"/>
                <w:szCs w:val="24"/>
              </w:rPr>
              <w:lastRenderedPageBreak/>
              <w:t>paredz nepieciešamos pasākumus, lai ierobežotu nelegālo azartspēļu un izložu organizatoru aktivitāti. Minētajā vispārīgā risinājuma 7.sadaļā cita starpā konstatēta nepieciešamība veikt grozījumus Elektronisko sakaru likumā. Nevar piekrist minētajā dokumentā norādītajam, ka elektronisko sakaru komersants piekļuves ierobežošanu Latvijā nelicencēta interaktīvo azartspēļu organizētāja internēta mājaslapai nodrošina sev piemērotā veidā. LTRK norāda, ka normatīvu aktu ir jānosaka veids, kādā ir jāveic bloķēšana, to nevar atstāt katra komersanta izvēlei, ievērojot gan publisko tiesību specifiku, gan e-komercijas principu "mere conduit".</w:t>
            </w:r>
          </w:p>
          <w:p w14:paraId="38F5D0E0" w14:textId="77777777" w:rsidR="00A6269B" w:rsidRPr="00DE1A22" w:rsidRDefault="00A6269B" w:rsidP="00A6269B">
            <w:pPr>
              <w:contextualSpacing/>
              <w:jc w:val="both"/>
              <w:rPr>
                <w:rFonts w:eastAsia="Times New Roman"/>
                <w:sz w:val="24"/>
                <w:szCs w:val="24"/>
              </w:rPr>
            </w:pPr>
          </w:p>
          <w:p w14:paraId="495B004F" w14:textId="77777777" w:rsidR="00A6269B" w:rsidRPr="00DE1A22" w:rsidRDefault="00A6269B" w:rsidP="00A6269B">
            <w:pPr>
              <w:contextualSpacing/>
              <w:jc w:val="both"/>
              <w:rPr>
                <w:rFonts w:eastAsia="Times New Roman"/>
                <w:sz w:val="24"/>
                <w:szCs w:val="24"/>
              </w:rPr>
            </w:pPr>
            <w:r w:rsidRPr="00DE1A22">
              <w:rPr>
                <w:rFonts w:eastAsia="Times New Roman"/>
                <w:sz w:val="24"/>
                <w:szCs w:val="24"/>
              </w:rPr>
              <w:t xml:space="preserve">Nevar atbalstīt elektronisko sakaru komersantam nosakāmo pienākumu īstenojot piekļuves ierobežošanu Latvijā nelicencēta interaktīvo azartspēļu organizētāja internēta mājaslapai norādīt informāciju par Latvijā nelicencēto interaktīvo azartspēļu spēlētāja atbildību un norādīt, ka Latvijā licencēto interaktīvo azartspēļu organizētāju saraksts ir pieejams Izložu un azartspēļu uzraudzības inspekcijas mājaslapā. Ar šādu normu sakaru komersantam tiktu uzlikts papildu neattaisnojams slogs - sekot norādāmās informācijas saturam, lai to pareizi norādītu, kā arī funkcija no uzraudzības (valsts pārvaldes) sektora tiek pārlikta uz privāta komersanta </w:t>
            </w:r>
            <w:r w:rsidRPr="00DE1A22">
              <w:t xml:space="preserve"> </w:t>
            </w:r>
            <w:r w:rsidRPr="00DE1A22">
              <w:rPr>
                <w:rFonts w:eastAsia="Times New Roman"/>
                <w:sz w:val="24"/>
                <w:szCs w:val="24"/>
              </w:rPr>
              <w:t xml:space="preserve">pleciem. Nevar piekrist ari piedāvājumam noteikt soda naudu par atsevišķu Elektronisko sakaru likuma pantu </w:t>
            </w:r>
            <w:r w:rsidRPr="00DE1A22">
              <w:rPr>
                <w:rFonts w:eastAsia="Times New Roman"/>
                <w:sz w:val="24"/>
                <w:szCs w:val="24"/>
              </w:rPr>
              <w:lastRenderedPageBreak/>
              <w:t>neievērošanu, kā ari pienākumam valsts budžetā ieskaitīt valsts negūtos nodokļu ieņēmumus. Ņemot vērā, ka sodīšanas mērķis pamatnostādņu kontekstā ir veicināt vietņu bloķēšanas pienākuma izpildi, pastāv virkne situāciju, kad tehnoloģisku iemeslu dēļ bloķēšana nevar notikt, neatkarīgi no komersanta labās gribas un pieliktajām pūlēm. Minētajos gadījumos soda piemērošana nav samērīga un taisnīga. Attiecībā uz neiegūto nodokļu nomaksas pienākumu jānorāda, ka šāds pienākums neatbilst nodokļu sistēmai kopumā, kur nodokļu samaksas pienākums ir katrā attiecīgajā likumā norādītajam subjektam, nevis iestādei vai privāto tiesību subjektam, kas ar darbību vai bezdarbību pieļauj vai veicina, ka nodoklis netiek samaksāts.</w:t>
            </w:r>
          </w:p>
        </w:tc>
        <w:tc>
          <w:tcPr>
            <w:tcW w:w="3118" w:type="dxa"/>
            <w:shd w:val="clear" w:color="auto" w:fill="auto"/>
          </w:tcPr>
          <w:p w14:paraId="4327B5DC" w14:textId="77777777" w:rsidR="00A6269B" w:rsidRPr="00DE1A22" w:rsidRDefault="00A6269B" w:rsidP="005B04CB">
            <w:pPr>
              <w:jc w:val="center"/>
              <w:rPr>
                <w:rFonts w:eastAsia="Times New Roman"/>
                <w:b/>
                <w:bCs/>
                <w:sz w:val="24"/>
                <w:szCs w:val="24"/>
                <w:lang w:eastAsia="lv-LV"/>
              </w:rPr>
            </w:pPr>
            <w:r w:rsidRPr="00DE1A22">
              <w:rPr>
                <w:rFonts w:eastAsia="Times New Roman"/>
                <w:b/>
                <w:bCs/>
                <w:sz w:val="24"/>
                <w:szCs w:val="24"/>
                <w:lang w:eastAsia="lv-LV"/>
              </w:rPr>
              <w:lastRenderedPageBreak/>
              <w:t>Ņemt vērā.</w:t>
            </w:r>
          </w:p>
        </w:tc>
        <w:tc>
          <w:tcPr>
            <w:tcW w:w="3402" w:type="dxa"/>
            <w:shd w:val="clear" w:color="auto" w:fill="auto"/>
          </w:tcPr>
          <w:p w14:paraId="6578869F" w14:textId="77777777" w:rsidR="00A6269B" w:rsidRPr="00DE1A22" w:rsidRDefault="00A6269B" w:rsidP="005B04CB">
            <w:pPr>
              <w:jc w:val="both"/>
              <w:rPr>
                <w:rFonts w:eastAsia="Times New Roman"/>
                <w:bCs/>
                <w:sz w:val="24"/>
                <w:szCs w:val="24"/>
                <w:lang w:eastAsia="lv-LV"/>
              </w:rPr>
            </w:pPr>
            <w:r w:rsidRPr="00DE1A22">
              <w:rPr>
                <w:rFonts w:eastAsia="Times New Roman"/>
                <w:bCs/>
                <w:sz w:val="24"/>
                <w:szCs w:val="24"/>
                <w:lang w:eastAsia="lv-LV"/>
              </w:rPr>
              <w:t>Uzdevums izpildīts ar 2019.gada 3.aprīlī Saeimā pieņemto likumu Par valsts budžetu 2019.gadam un to pavadošajiem 14 likumprojektiem, tai skaitā iekļautajiem četriem likumprojektiem, kas paredz ierobežot Latvijā nelicencētu interaktīvo azartspēļu un izložu pieejamību.</w:t>
            </w:r>
          </w:p>
        </w:tc>
      </w:tr>
      <w:tr w:rsidR="005B04CB" w:rsidRPr="00DE1A22" w14:paraId="6BAB60F2" w14:textId="77777777" w:rsidTr="00BF4AE7">
        <w:tc>
          <w:tcPr>
            <w:tcW w:w="846" w:type="dxa"/>
            <w:gridSpan w:val="2"/>
            <w:shd w:val="clear" w:color="auto" w:fill="auto"/>
          </w:tcPr>
          <w:p w14:paraId="0BC7BCB2" w14:textId="77777777" w:rsidR="005B04CB" w:rsidRPr="00DE1A22" w:rsidRDefault="00CB4782" w:rsidP="005B04CB">
            <w:pPr>
              <w:spacing w:before="100" w:beforeAutospacing="1" w:after="100" w:afterAutospacing="1"/>
              <w:jc w:val="center"/>
              <w:rPr>
                <w:rFonts w:eastAsia="Times New Roman"/>
                <w:sz w:val="24"/>
                <w:szCs w:val="24"/>
                <w:lang w:eastAsia="lv-LV"/>
              </w:rPr>
            </w:pPr>
            <w:r w:rsidRPr="00DE1A22">
              <w:rPr>
                <w:rFonts w:eastAsia="Times New Roman"/>
                <w:sz w:val="24"/>
                <w:szCs w:val="24"/>
                <w:lang w:eastAsia="lv-LV"/>
              </w:rPr>
              <w:lastRenderedPageBreak/>
              <w:t>10</w:t>
            </w:r>
            <w:r w:rsidR="005B04CB" w:rsidRPr="00DE1A22">
              <w:rPr>
                <w:rFonts w:eastAsia="Times New Roman"/>
                <w:sz w:val="24"/>
                <w:szCs w:val="24"/>
                <w:lang w:eastAsia="lv-LV"/>
              </w:rPr>
              <w:t>.</w:t>
            </w:r>
          </w:p>
        </w:tc>
        <w:tc>
          <w:tcPr>
            <w:tcW w:w="2977" w:type="dxa"/>
            <w:shd w:val="clear" w:color="auto" w:fill="auto"/>
          </w:tcPr>
          <w:p w14:paraId="089EB090" w14:textId="77777777" w:rsidR="005B04CB" w:rsidRPr="00DE1A22" w:rsidRDefault="005B04CB" w:rsidP="005B04CB">
            <w:pPr>
              <w:jc w:val="both"/>
              <w:rPr>
                <w:rFonts w:eastAsia="Times New Roman"/>
                <w:sz w:val="24"/>
                <w:szCs w:val="24"/>
                <w:lang w:eastAsia="lv-LV"/>
              </w:rPr>
            </w:pPr>
            <w:r w:rsidRPr="00DE1A22">
              <w:rPr>
                <w:rFonts w:eastAsia="Times New Roman"/>
                <w:sz w:val="24"/>
                <w:szCs w:val="24"/>
                <w:lang w:eastAsia="lv-LV"/>
              </w:rPr>
              <w:t>Projekta pielikums kopumā.</w:t>
            </w:r>
          </w:p>
        </w:tc>
        <w:tc>
          <w:tcPr>
            <w:tcW w:w="4394" w:type="dxa"/>
            <w:shd w:val="clear" w:color="auto" w:fill="auto"/>
          </w:tcPr>
          <w:p w14:paraId="4AE84B1F" w14:textId="77777777" w:rsidR="005B04CB" w:rsidRPr="00DE1A22" w:rsidRDefault="005B04CB" w:rsidP="005B04CB">
            <w:pPr>
              <w:contextualSpacing/>
              <w:jc w:val="both"/>
              <w:rPr>
                <w:rFonts w:eastAsia="Times New Roman"/>
                <w:b/>
                <w:sz w:val="24"/>
                <w:szCs w:val="24"/>
                <w:lang w:eastAsia="lv-LV"/>
              </w:rPr>
            </w:pPr>
            <w:r w:rsidRPr="00DE1A22">
              <w:rPr>
                <w:rFonts w:eastAsia="Times New Roman"/>
                <w:b/>
                <w:sz w:val="24"/>
                <w:szCs w:val="24"/>
                <w:lang w:eastAsia="lv-LV"/>
              </w:rPr>
              <w:t>Satiksmes ministrija (28.01.2019. Nr.03-03/13)</w:t>
            </w:r>
          </w:p>
          <w:p w14:paraId="4C96B0B0" w14:textId="77777777" w:rsidR="005B04CB" w:rsidRPr="00DE1A22" w:rsidRDefault="005B04CB" w:rsidP="005B04CB">
            <w:pPr>
              <w:jc w:val="both"/>
              <w:rPr>
                <w:rFonts w:eastAsia="Times New Roman"/>
                <w:sz w:val="24"/>
                <w:szCs w:val="24"/>
              </w:rPr>
            </w:pPr>
            <w:r w:rsidRPr="00DE1A22">
              <w:rPr>
                <w:rFonts w:eastAsia="Times New Roman"/>
                <w:sz w:val="24"/>
                <w:szCs w:val="24"/>
                <w:lang w:eastAsia="lv-LV"/>
              </w:rPr>
              <w:t xml:space="preserve">Lūdzam papildināt Pamatnostādņu pielikumu “Esošās situācijas vispārīgs raksturojums” (turpmāk – Pielikums) ar skaidrojumu par Pamatnostādnēs iekļautā 4.punkta “Rīcības virzieni un uzdevumi” (1. Rīcības virziens </w:t>
            </w:r>
            <w:r w:rsidR="008256EE" w:rsidRPr="00DE1A22">
              <w:rPr>
                <w:rFonts w:eastAsia="Times New Roman"/>
                <w:sz w:val="24"/>
                <w:szCs w:val="24"/>
                <w:lang w:eastAsia="lv-LV"/>
              </w:rPr>
              <w:t>–</w:t>
            </w:r>
            <w:r w:rsidRPr="00DE1A22">
              <w:rPr>
                <w:rFonts w:eastAsia="Times New Roman"/>
                <w:sz w:val="24"/>
                <w:szCs w:val="24"/>
                <w:lang w:eastAsia="lv-LV"/>
              </w:rPr>
              <w:t xml:space="preserve"> Nelegālā tirgus ierobežošana) 1.uzdevumā noteikto, “ka elektronisko sakaru komersants piekļuves ierobežošanu azartspēļu organizētāja mājaslapai nodrošina sev piemērotā veidā”, norādot arī, kāds rezultāts tiek sagaidīts.</w:t>
            </w:r>
          </w:p>
        </w:tc>
        <w:tc>
          <w:tcPr>
            <w:tcW w:w="3118" w:type="dxa"/>
            <w:shd w:val="clear" w:color="auto" w:fill="auto"/>
          </w:tcPr>
          <w:p w14:paraId="4C053444" w14:textId="77777777" w:rsidR="005B04CB" w:rsidRPr="00DE1A22" w:rsidRDefault="005B04CB" w:rsidP="005B04CB">
            <w:pPr>
              <w:jc w:val="center"/>
              <w:rPr>
                <w:rFonts w:eastAsia="Times New Roman"/>
                <w:b/>
                <w:bCs/>
                <w:sz w:val="24"/>
                <w:szCs w:val="24"/>
                <w:lang w:eastAsia="lv-LV"/>
              </w:rPr>
            </w:pPr>
            <w:r w:rsidRPr="00DE1A22">
              <w:rPr>
                <w:rFonts w:eastAsia="Times New Roman"/>
                <w:b/>
                <w:bCs/>
                <w:sz w:val="24"/>
                <w:szCs w:val="24"/>
                <w:lang w:eastAsia="lv-LV"/>
              </w:rPr>
              <w:t>Ņemts vērā.</w:t>
            </w:r>
          </w:p>
          <w:p w14:paraId="7EB2F6DB" w14:textId="77777777" w:rsidR="005B04CB" w:rsidRPr="00DE1A22" w:rsidRDefault="005B04CB" w:rsidP="004A16A8">
            <w:pPr>
              <w:tabs>
                <w:tab w:val="left" w:pos="0"/>
                <w:tab w:val="left" w:pos="709"/>
                <w:tab w:val="left" w:pos="993"/>
              </w:tabs>
              <w:suppressAutoHyphens/>
              <w:jc w:val="both"/>
              <w:outlineLvl w:val="3"/>
              <w:rPr>
                <w:rFonts w:eastAsia="Times New Roman"/>
                <w:b/>
                <w:bCs/>
                <w:sz w:val="24"/>
                <w:szCs w:val="24"/>
                <w:lang w:eastAsia="lv-LV"/>
              </w:rPr>
            </w:pPr>
          </w:p>
        </w:tc>
        <w:tc>
          <w:tcPr>
            <w:tcW w:w="3402" w:type="dxa"/>
            <w:shd w:val="clear" w:color="auto" w:fill="auto"/>
          </w:tcPr>
          <w:p w14:paraId="32B52DD0" w14:textId="77777777" w:rsidR="005B04CB" w:rsidRPr="00DE1A22" w:rsidRDefault="00D64597" w:rsidP="005B04CB">
            <w:pPr>
              <w:jc w:val="both"/>
              <w:rPr>
                <w:rFonts w:eastAsia="Times New Roman"/>
                <w:sz w:val="24"/>
                <w:szCs w:val="24"/>
              </w:rPr>
            </w:pPr>
            <w:r w:rsidRPr="00DE1A22">
              <w:rPr>
                <w:rFonts w:eastAsia="Times New Roman"/>
                <w:bCs/>
                <w:sz w:val="24"/>
                <w:szCs w:val="24"/>
                <w:lang w:eastAsia="lv-LV"/>
              </w:rPr>
              <w:t>Uzdevums izpildīts ar 2019.gada 3.aprīlī Saeimā pieņemto likumu Par valsts budžetu 2019.gadam un to pavadošajiem 14 likumprojektiem, tai skaitā iekļautajiem četriem likumprojektiem, kas paredz ierobežot Latvijā nelicencētu interaktīvo azartspēļu un izložu pieejamību.</w:t>
            </w:r>
          </w:p>
        </w:tc>
      </w:tr>
      <w:tr w:rsidR="005B04CB" w:rsidRPr="00DE1A22" w14:paraId="09AC1A9B" w14:textId="77777777" w:rsidTr="00BF4AE7">
        <w:tc>
          <w:tcPr>
            <w:tcW w:w="846" w:type="dxa"/>
            <w:gridSpan w:val="2"/>
          </w:tcPr>
          <w:p w14:paraId="28B322B2" w14:textId="77777777" w:rsidR="005B04CB" w:rsidRPr="00DE1A22" w:rsidRDefault="00CB4782" w:rsidP="005B04CB">
            <w:pPr>
              <w:spacing w:before="100" w:beforeAutospacing="1" w:after="100" w:afterAutospacing="1"/>
              <w:jc w:val="center"/>
              <w:rPr>
                <w:rFonts w:eastAsia="Times New Roman"/>
                <w:sz w:val="24"/>
                <w:szCs w:val="24"/>
                <w:lang w:eastAsia="lv-LV"/>
              </w:rPr>
            </w:pPr>
            <w:r w:rsidRPr="00DE1A22">
              <w:rPr>
                <w:rFonts w:eastAsia="Times New Roman"/>
                <w:sz w:val="24"/>
                <w:szCs w:val="24"/>
                <w:lang w:eastAsia="lv-LV"/>
              </w:rPr>
              <w:t>11</w:t>
            </w:r>
            <w:r w:rsidR="005B04CB" w:rsidRPr="00DE1A22">
              <w:rPr>
                <w:rFonts w:eastAsia="Times New Roman"/>
                <w:sz w:val="24"/>
                <w:szCs w:val="24"/>
                <w:lang w:eastAsia="lv-LV"/>
              </w:rPr>
              <w:t>.</w:t>
            </w:r>
          </w:p>
        </w:tc>
        <w:tc>
          <w:tcPr>
            <w:tcW w:w="2977" w:type="dxa"/>
          </w:tcPr>
          <w:p w14:paraId="7B46C706" w14:textId="77777777" w:rsidR="005B04CB" w:rsidRPr="00DE1A22" w:rsidRDefault="005B04CB" w:rsidP="005B04CB">
            <w:pPr>
              <w:jc w:val="both"/>
              <w:rPr>
                <w:rFonts w:eastAsia="Times New Roman"/>
                <w:sz w:val="24"/>
                <w:szCs w:val="24"/>
                <w:lang w:eastAsia="lv-LV"/>
              </w:rPr>
            </w:pPr>
            <w:r w:rsidRPr="00DE1A22">
              <w:rPr>
                <w:rFonts w:eastAsia="Times New Roman"/>
                <w:sz w:val="24"/>
                <w:szCs w:val="24"/>
                <w:lang w:eastAsia="lv-LV"/>
              </w:rPr>
              <w:t xml:space="preserve">Projekta 4. sadaļas “Rīcības virzieni un uzdevumi” 2. Rīcības virziena “Azartspēļu un izložu pieejamības regulēšana” 1. uzdevums </w:t>
            </w:r>
            <w:r w:rsidRPr="00DE1A22">
              <w:rPr>
                <w:rFonts w:eastAsia="Times New Roman"/>
                <w:sz w:val="24"/>
                <w:szCs w:val="24"/>
                <w:lang w:eastAsia="lv-LV"/>
              </w:rPr>
              <w:lastRenderedPageBreak/>
              <w:t>“Normatīvajos aktos noteikt ierobežojumus sociāli neaizsargāto personu dalībai azartspēlēs. Pasākuma īstenošana ir tehniski iespējama pēc vienota azartspēļu spēlētāju reģistra ieviešanas un reģistra datu savietošanas no valsts un pašvaldību informācijas sistēmām par attiecīgajiem iedzīvotājiem piešķirtajiem statusiem.”</w:t>
            </w:r>
          </w:p>
        </w:tc>
        <w:tc>
          <w:tcPr>
            <w:tcW w:w="4394" w:type="dxa"/>
          </w:tcPr>
          <w:p w14:paraId="654E3281" w14:textId="77777777" w:rsidR="005B04CB" w:rsidRPr="00DE1A22" w:rsidRDefault="005B04CB" w:rsidP="005B04CB">
            <w:pPr>
              <w:contextualSpacing/>
              <w:jc w:val="both"/>
              <w:rPr>
                <w:rFonts w:eastAsia="Times New Roman"/>
                <w:sz w:val="24"/>
                <w:szCs w:val="24"/>
                <w:lang w:eastAsia="lv-LV"/>
              </w:rPr>
            </w:pPr>
            <w:r w:rsidRPr="00DE1A22">
              <w:rPr>
                <w:rFonts w:eastAsia="Times New Roman"/>
                <w:sz w:val="24"/>
                <w:szCs w:val="24"/>
                <w:lang w:eastAsia="lv-LV"/>
              </w:rPr>
              <w:lastRenderedPageBreak/>
              <w:t>Priekšlikums:</w:t>
            </w:r>
          </w:p>
          <w:p w14:paraId="03F46C7D" w14:textId="77777777" w:rsidR="005B04CB" w:rsidRPr="00DE1A22" w:rsidRDefault="005B04CB" w:rsidP="005B04CB">
            <w:pPr>
              <w:contextualSpacing/>
              <w:jc w:val="both"/>
              <w:rPr>
                <w:rFonts w:eastAsia="Times New Roman"/>
                <w:b/>
                <w:sz w:val="24"/>
                <w:szCs w:val="24"/>
                <w:lang w:eastAsia="lv-LV"/>
              </w:rPr>
            </w:pPr>
            <w:r w:rsidRPr="00DE1A22">
              <w:rPr>
                <w:rFonts w:eastAsia="Times New Roman"/>
                <w:b/>
                <w:sz w:val="24"/>
                <w:szCs w:val="24"/>
                <w:lang w:eastAsia="lv-LV"/>
              </w:rPr>
              <w:t>Labklājības ministrija (25.01.2019. Nr.A-21-09/9)</w:t>
            </w:r>
          </w:p>
          <w:p w14:paraId="52F2A0EB" w14:textId="77777777" w:rsidR="005B04CB" w:rsidRPr="00DE1A22" w:rsidRDefault="005B04CB" w:rsidP="005B04CB">
            <w:pPr>
              <w:jc w:val="both"/>
              <w:rPr>
                <w:rFonts w:eastAsia="Times New Roman"/>
                <w:sz w:val="24"/>
                <w:szCs w:val="24"/>
              </w:rPr>
            </w:pPr>
            <w:r w:rsidRPr="00DE1A22">
              <w:rPr>
                <w:rFonts w:eastAsia="Times New Roman"/>
                <w:sz w:val="24"/>
                <w:szCs w:val="24"/>
                <w:lang w:eastAsia="lv-LV"/>
              </w:rPr>
              <w:t xml:space="preserve">Lūdzam par līdzatbildīgo institūciju noteikt arī Tieslietu ministriju, lai tādējādi jau </w:t>
            </w:r>
            <w:r w:rsidRPr="00DE1A22">
              <w:rPr>
                <w:rFonts w:eastAsia="Times New Roman"/>
                <w:sz w:val="24"/>
                <w:szCs w:val="24"/>
                <w:lang w:eastAsia="lv-LV"/>
              </w:rPr>
              <w:lastRenderedPageBreak/>
              <w:t>normatīvajos aktos noteikto ierobežojumu izstrādes procesā juridiski profesionāli izvērtētu ierobežojumu pamatotību un tiesiskumu attiecībā uz sociāli mazaizsargāto personu grupām.</w:t>
            </w:r>
          </w:p>
        </w:tc>
        <w:tc>
          <w:tcPr>
            <w:tcW w:w="3118" w:type="dxa"/>
          </w:tcPr>
          <w:p w14:paraId="41144956" w14:textId="77777777" w:rsidR="005B04CB" w:rsidRPr="00DE1A22" w:rsidRDefault="005B04CB" w:rsidP="005B04CB">
            <w:pPr>
              <w:jc w:val="center"/>
              <w:rPr>
                <w:rFonts w:eastAsia="Times New Roman"/>
                <w:b/>
                <w:bCs/>
                <w:sz w:val="24"/>
                <w:szCs w:val="24"/>
                <w:lang w:eastAsia="lv-LV"/>
              </w:rPr>
            </w:pPr>
            <w:r w:rsidRPr="00DE1A22">
              <w:rPr>
                <w:rFonts w:eastAsia="Times New Roman"/>
                <w:b/>
                <w:bCs/>
                <w:sz w:val="24"/>
                <w:szCs w:val="24"/>
                <w:lang w:eastAsia="lv-LV"/>
              </w:rPr>
              <w:lastRenderedPageBreak/>
              <w:t>Ņemts vērā.</w:t>
            </w:r>
          </w:p>
          <w:p w14:paraId="424E4CA5" w14:textId="77777777" w:rsidR="005B04CB" w:rsidRPr="00DE1A22" w:rsidRDefault="005B04CB" w:rsidP="00B44344">
            <w:pPr>
              <w:jc w:val="both"/>
              <w:rPr>
                <w:rFonts w:eastAsia="Times New Roman"/>
                <w:b/>
                <w:bCs/>
                <w:sz w:val="24"/>
                <w:szCs w:val="24"/>
                <w:lang w:eastAsia="lv-LV"/>
              </w:rPr>
            </w:pPr>
          </w:p>
        </w:tc>
        <w:tc>
          <w:tcPr>
            <w:tcW w:w="3402" w:type="dxa"/>
          </w:tcPr>
          <w:p w14:paraId="50DF3F11" w14:textId="77777777" w:rsidR="00B44344" w:rsidRPr="00DE1A22" w:rsidRDefault="00B44344" w:rsidP="00B44344">
            <w:pPr>
              <w:jc w:val="both"/>
              <w:rPr>
                <w:rFonts w:eastAsia="Times New Roman"/>
                <w:bCs/>
                <w:sz w:val="24"/>
                <w:szCs w:val="24"/>
                <w:lang w:eastAsia="lv-LV"/>
              </w:rPr>
            </w:pPr>
            <w:r w:rsidRPr="00DE1A22">
              <w:rPr>
                <w:rFonts w:eastAsia="Times New Roman"/>
                <w:bCs/>
                <w:sz w:val="24"/>
                <w:szCs w:val="24"/>
                <w:lang w:eastAsia="lv-LV"/>
              </w:rPr>
              <w:t>Uzdevums zaudējis aktualitāti un dzēsts no projekta.</w:t>
            </w:r>
          </w:p>
          <w:p w14:paraId="1F8342F3" w14:textId="77777777" w:rsidR="005B04CB" w:rsidRPr="00DE1A22" w:rsidRDefault="005B04CB" w:rsidP="005B04CB">
            <w:pPr>
              <w:jc w:val="both"/>
              <w:rPr>
                <w:rFonts w:eastAsia="Times New Roman"/>
                <w:sz w:val="24"/>
                <w:szCs w:val="24"/>
              </w:rPr>
            </w:pPr>
          </w:p>
        </w:tc>
      </w:tr>
      <w:tr w:rsidR="005B04CB" w:rsidRPr="00DE1A22" w14:paraId="7633A91E" w14:textId="77777777" w:rsidTr="00BF4AE7">
        <w:tc>
          <w:tcPr>
            <w:tcW w:w="846" w:type="dxa"/>
            <w:gridSpan w:val="2"/>
          </w:tcPr>
          <w:p w14:paraId="2A8553DF" w14:textId="77777777" w:rsidR="005B04CB" w:rsidRPr="00DE1A22" w:rsidRDefault="005B04CB" w:rsidP="00CB4782">
            <w:pPr>
              <w:spacing w:before="100" w:beforeAutospacing="1" w:after="100" w:afterAutospacing="1"/>
              <w:jc w:val="center"/>
              <w:rPr>
                <w:rFonts w:eastAsia="Times New Roman"/>
                <w:sz w:val="24"/>
                <w:szCs w:val="24"/>
                <w:lang w:eastAsia="lv-LV"/>
              </w:rPr>
            </w:pPr>
            <w:r w:rsidRPr="00DE1A22">
              <w:rPr>
                <w:rFonts w:eastAsia="Times New Roman"/>
                <w:sz w:val="24"/>
                <w:szCs w:val="24"/>
                <w:lang w:eastAsia="lv-LV"/>
              </w:rPr>
              <w:t>1</w:t>
            </w:r>
            <w:r w:rsidR="00CB4782" w:rsidRPr="00DE1A22">
              <w:rPr>
                <w:rFonts w:eastAsia="Times New Roman"/>
                <w:sz w:val="24"/>
                <w:szCs w:val="24"/>
                <w:lang w:eastAsia="lv-LV"/>
              </w:rPr>
              <w:t>2</w:t>
            </w:r>
            <w:r w:rsidRPr="00DE1A22">
              <w:rPr>
                <w:rFonts w:eastAsia="Times New Roman"/>
                <w:sz w:val="24"/>
                <w:szCs w:val="24"/>
                <w:lang w:eastAsia="lv-LV"/>
              </w:rPr>
              <w:t>.</w:t>
            </w:r>
          </w:p>
        </w:tc>
        <w:tc>
          <w:tcPr>
            <w:tcW w:w="2977" w:type="dxa"/>
          </w:tcPr>
          <w:p w14:paraId="57EF6841" w14:textId="77777777" w:rsidR="005B04CB" w:rsidRPr="00DE1A22" w:rsidRDefault="005B04CB" w:rsidP="000C2873">
            <w:pPr>
              <w:jc w:val="both"/>
              <w:rPr>
                <w:rFonts w:eastAsia="Times New Roman"/>
                <w:sz w:val="24"/>
                <w:szCs w:val="24"/>
                <w:lang w:eastAsia="lv-LV"/>
              </w:rPr>
            </w:pPr>
            <w:r w:rsidRPr="00DE1A22">
              <w:rPr>
                <w:rFonts w:eastAsia="Times New Roman"/>
                <w:sz w:val="24"/>
                <w:szCs w:val="24"/>
                <w:lang w:eastAsia="lv-LV"/>
              </w:rPr>
              <w:t>Projekta 4. sadaļas  “Rīcības virzieni un uzdevumi” 2. Rīcības virziena “Azartspēļu un izložu pieejamības regulēšana” 1. uzdevums “Normatīvajos aktos noteikt ierobežojumus sociāli mazaizsargāto personu grupu dalībai azartspēlēs. Pasākuma īstenošana ir tehniski iespējama pēc vienota azartspēļu spēlētāju reģistra ieviešanas un reģistra datu savietošanas no valsts un pašvaldību informācijas sistēmām par attiecīgajiem iedzīvotājiem piešķirtajiem statusiem.”</w:t>
            </w:r>
          </w:p>
        </w:tc>
        <w:tc>
          <w:tcPr>
            <w:tcW w:w="4394" w:type="dxa"/>
          </w:tcPr>
          <w:p w14:paraId="167F6214" w14:textId="77777777" w:rsidR="005B04CB" w:rsidRPr="00DE1A22" w:rsidRDefault="005B04CB" w:rsidP="005B04CB">
            <w:pPr>
              <w:contextualSpacing/>
              <w:jc w:val="both"/>
              <w:rPr>
                <w:rFonts w:eastAsia="Times New Roman"/>
                <w:b/>
                <w:sz w:val="24"/>
                <w:szCs w:val="24"/>
                <w:lang w:eastAsia="lv-LV"/>
              </w:rPr>
            </w:pPr>
            <w:r w:rsidRPr="00DE1A22">
              <w:rPr>
                <w:rFonts w:eastAsia="Times New Roman"/>
                <w:b/>
                <w:sz w:val="24"/>
                <w:szCs w:val="24"/>
                <w:lang w:eastAsia="lv-LV"/>
              </w:rPr>
              <w:t>Veselības ministrija (30.01.2019. Nr.01-09/448)</w:t>
            </w:r>
          </w:p>
          <w:p w14:paraId="2FE2524A" w14:textId="77777777" w:rsidR="005B04CB" w:rsidRPr="00DE1A22" w:rsidRDefault="005B04CB" w:rsidP="005B04CB">
            <w:pPr>
              <w:jc w:val="both"/>
              <w:rPr>
                <w:rFonts w:eastAsia="Times New Roman"/>
                <w:sz w:val="24"/>
                <w:szCs w:val="24"/>
              </w:rPr>
            </w:pPr>
            <w:r w:rsidRPr="00DE1A22">
              <w:rPr>
                <w:rFonts w:eastAsia="Times New Roman"/>
                <w:sz w:val="24"/>
                <w:szCs w:val="24"/>
                <w:lang w:eastAsia="lv-LV"/>
              </w:rPr>
              <w:t>Lūdzam svītrot Veselības ministriju kā līdzatbildīgo institūciju no pamatnostādņu projekta 2. rīcības virziena 1. punkta, ņemot vērā, ka augstāk minētais uzdevums nav Veselības ministrijas kompetencē.</w:t>
            </w:r>
          </w:p>
        </w:tc>
        <w:tc>
          <w:tcPr>
            <w:tcW w:w="3118" w:type="dxa"/>
          </w:tcPr>
          <w:p w14:paraId="187B9D21" w14:textId="77777777" w:rsidR="005B04CB" w:rsidRPr="00DE1A22" w:rsidRDefault="005B04CB" w:rsidP="005B04CB">
            <w:pPr>
              <w:jc w:val="center"/>
              <w:rPr>
                <w:rFonts w:eastAsia="Times New Roman"/>
                <w:b/>
                <w:bCs/>
                <w:sz w:val="24"/>
                <w:szCs w:val="24"/>
                <w:lang w:eastAsia="lv-LV"/>
              </w:rPr>
            </w:pPr>
            <w:r w:rsidRPr="00DE1A22">
              <w:rPr>
                <w:rFonts w:eastAsia="Times New Roman"/>
                <w:b/>
                <w:bCs/>
                <w:sz w:val="24"/>
                <w:szCs w:val="24"/>
                <w:lang w:eastAsia="lv-LV"/>
              </w:rPr>
              <w:t>Ņemts vērā.</w:t>
            </w:r>
          </w:p>
          <w:p w14:paraId="5947AFF6" w14:textId="77777777" w:rsidR="005B04CB" w:rsidRPr="00DE1A22" w:rsidRDefault="005B04CB" w:rsidP="005B04CB">
            <w:pPr>
              <w:jc w:val="both"/>
              <w:rPr>
                <w:rFonts w:eastAsia="Times New Roman"/>
                <w:bCs/>
                <w:sz w:val="24"/>
                <w:szCs w:val="24"/>
                <w:lang w:eastAsia="lv-LV"/>
              </w:rPr>
            </w:pPr>
          </w:p>
        </w:tc>
        <w:tc>
          <w:tcPr>
            <w:tcW w:w="3402" w:type="dxa"/>
          </w:tcPr>
          <w:p w14:paraId="2E365A51" w14:textId="77777777" w:rsidR="005B04CB" w:rsidRPr="00DE1A22" w:rsidRDefault="00B44344" w:rsidP="005B04CB">
            <w:pPr>
              <w:jc w:val="both"/>
              <w:rPr>
                <w:rFonts w:eastAsia="Times New Roman"/>
                <w:sz w:val="24"/>
                <w:szCs w:val="24"/>
              </w:rPr>
            </w:pPr>
            <w:r w:rsidRPr="00DE1A22">
              <w:rPr>
                <w:rFonts w:eastAsia="Times New Roman"/>
                <w:bCs/>
                <w:sz w:val="24"/>
                <w:szCs w:val="24"/>
                <w:lang w:eastAsia="lv-LV"/>
              </w:rPr>
              <w:t>Uzdevums zaudējis aktualitāti un dzēsts no projekta.</w:t>
            </w:r>
          </w:p>
        </w:tc>
      </w:tr>
      <w:tr w:rsidR="005B04CB" w:rsidRPr="00DE1A22" w14:paraId="1AA41051" w14:textId="77777777" w:rsidTr="00BF4AE7">
        <w:tc>
          <w:tcPr>
            <w:tcW w:w="846" w:type="dxa"/>
            <w:gridSpan w:val="2"/>
          </w:tcPr>
          <w:p w14:paraId="36EBDFFB" w14:textId="77777777" w:rsidR="005B04CB" w:rsidRPr="00DE1A22" w:rsidRDefault="005B04CB" w:rsidP="00CB4782">
            <w:pPr>
              <w:spacing w:before="100" w:beforeAutospacing="1" w:after="100" w:afterAutospacing="1"/>
              <w:jc w:val="center"/>
              <w:rPr>
                <w:rFonts w:eastAsia="Times New Roman"/>
                <w:sz w:val="24"/>
                <w:szCs w:val="24"/>
                <w:lang w:eastAsia="lv-LV"/>
              </w:rPr>
            </w:pPr>
            <w:r w:rsidRPr="00DE1A22">
              <w:rPr>
                <w:rFonts w:eastAsia="Times New Roman"/>
                <w:sz w:val="24"/>
                <w:szCs w:val="24"/>
                <w:lang w:eastAsia="lv-LV"/>
              </w:rPr>
              <w:t>1</w:t>
            </w:r>
            <w:r w:rsidR="00CB4782" w:rsidRPr="00DE1A22">
              <w:rPr>
                <w:rFonts w:eastAsia="Times New Roman"/>
                <w:sz w:val="24"/>
                <w:szCs w:val="24"/>
                <w:lang w:eastAsia="lv-LV"/>
              </w:rPr>
              <w:t>3</w:t>
            </w:r>
            <w:r w:rsidRPr="00DE1A22">
              <w:rPr>
                <w:rFonts w:eastAsia="Times New Roman"/>
                <w:sz w:val="24"/>
                <w:szCs w:val="24"/>
                <w:lang w:eastAsia="lv-LV"/>
              </w:rPr>
              <w:t>.</w:t>
            </w:r>
          </w:p>
        </w:tc>
        <w:tc>
          <w:tcPr>
            <w:tcW w:w="2977" w:type="dxa"/>
          </w:tcPr>
          <w:p w14:paraId="11FC723C" w14:textId="77777777" w:rsidR="005B04CB" w:rsidRPr="00DE1A22" w:rsidRDefault="005B04CB" w:rsidP="005B04CB">
            <w:pPr>
              <w:jc w:val="both"/>
              <w:rPr>
                <w:rFonts w:eastAsia="Times New Roman"/>
                <w:sz w:val="24"/>
                <w:szCs w:val="24"/>
                <w:lang w:eastAsia="lv-LV"/>
              </w:rPr>
            </w:pPr>
            <w:r w:rsidRPr="00DE1A22">
              <w:rPr>
                <w:rFonts w:eastAsia="Times New Roman"/>
                <w:sz w:val="24"/>
                <w:szCs w:val="24"/>
                <w:lang w:eastAsia="lv-LV"/>
              </w:rPr>
              <w:t xml:space="preserve">Projekta 4. sadaļas “Rīcības virzieni un uzdevumi” 2. Rīcības virziena “Azartspēļu un izložu pieejamības </w:t>
            </w:r>
            <w:r w:rsidRPr="00DE1A22">
              <w:rPr>
                <w:rFonts w:eastAsia="Times New Roman"/>
                <w:sz w:val="24"/>
                <w:szCs w:val="24"/>
                <w:lang w:eastAsia="lv-LV"/>
              </w:rPr>
              <w:lastRenderedPageBreak/>
              <w:t>regulēšana” 1. un 2. uzdevums:</w:t>
            </w:r>
          </w:p>
          <w:p w14:paraId="1CB7174E" w14:textId="77777777" w:rsidR="005B04CB" w:rsidRPr="00DE1A22" w:rsidRDefault="005B04CB" w:rsidP="005B04CB">
            <w:pPr>
              <w:jc w:val="both"/>
              <w:rPr>
                <w:rFonts w:eastAsia="Times New Roman"/>
                <w:sz w:val="24"/>
                <w:szCs w:val="24"/>
                <w:lang w:eastAsia="lv-LV"/>
              </w:rPr>
            </w:pPr>
            <w:r w:rsidRPr="00DE1A22">
              <w:rPr>
                <w:rFonts w:eastAsia="Times New Roman"/>
                <w:sz w:val="24"/>
                <w:szCs w:val="24"/>
                <w:lang w:eastAsia="lv-LV"/>
              </w:rPr>
              <w:t>“1. Normatīvajos aktos noteikt ierobežojumus sociāli neaizsargāto personu dalībai azartspēlēs. Pasākuma īstenošana ir tehniski iespējama pēc vienota azartspēļu spēlētāju reģistra ieviešanas un reģistra datu savietošanas no valsts un pašvaldību informācijas sistēmām par attiecīgajiem iedzīvotājiem piešķirtajiem statusiem.</w:t>
            </w:r>
          </w:p>
          <w:p w14:paraId="3705C4F5" w14:textId="77777777" w:rsidR="005B04CB" w:rsidRPr="00DE1A22" w:rsidRDefault="005B04CB" w:rsidP="005B04CB">
            <w:pPr>
              <w:jc w:val="both"/>
              <w:rPr>
                <w:rFonts w:eastAsia="Times New Roman"/>
                <w:sz w:val="24"/>
                <w:szCs w:val="24"/>
                <w:lang w:eastAsia="lv-LV"/>
              </w:rPr>
            </w:pPr>
            <w:r w:rsidRPr="00DE1A22">
              <w:rPr>
                <w:rFonts w:eastAsia="Times New Roman"/>
                <w:sz w:val="24"/>
                <w:szCs w:val="24"/>
                <w:lang w:eastAsia="lv-LV"/>
              </w:rPr>
              <w:t>2. Normatīvajos aktos noteikt ierobežojumus “zemes” azartspēļu un interaktīvo azartspēļu apmeklējumu skaitam konkrētajā periodā, ja personas rīcība un apmeklējumu skaits norāda uz atkarības riskiem, labprātīgi virzot personu uz profilakses un/vai ārstēšanas iespējām. Pasākuma īstenošana ir tehniski iespējama pēc vienota azartspēļu spēlētāju reģistra ieviešanas.”</w:t>
            </w:r>
          </w:p>
          <w:p w14:paraId="7361B8A0" w14:textId="77777777" w:rsidR="005B04CB" w:rsidRPr="00DE1A22" w:rsidRDefault="005B04CB" w:rsidP="005B04CB">
            <w:pPr>
              <w:jc w:val="both"/>
              <w:rPr>
                <w:rFonts w:eastAsia="Times New Roman"/>
                <w:sz w:val="24"/>
                <w:szCs w:val="24"/>
                <w:lang w:eastAsia="lv-LV"/>
              </w:rPr>
            </w:pPr>
          </w:p>
          <w:p w14:paraId="06F4D939" w14:textId="77777777" w:rsidR="005B04CB" w:rsidRPr="00DE1A22" w:rsidRDefault="005B04CB" w:rsidP="005B04CB">
            <w:pPr>
              <w:jc w:val="both"/>
              <w:rPr>
                <w:rFonts w:eastAsia="Times New Roman"/>
                <w:sz w:val="24"/>
                <w:szCs w:val="24"/>
                <w:lang w:eastAsia="lv-LV"/>
              </w:rPr>
            </w:pPr>
            <w:r w:rsidRPr="00DE1A22">
              <w:rPr>
                <w:rFonts w:eastAsia="Times New Roman"/>
                <w:sz w:val="24"/>
                <w:szCs w:val="24"/>
                <w:lang w:eastAsia="lv-LV"/>
              </w:rPr>
              <w:t xml:space="preserve">Vienlaikus projekta pielikuma 4. nodaļas “Azartspēļu un izložu pieejamība, darbības vietas </w:t>
            </w:r>
            <w:r w:rsidRPr="00DE1A22">
              <w:rPr>
                <w:rFonts w:eastAsia="Times New Roman"/>
                <w:sz w:val="24"/>
                <w:szCs w:val="24"/>
                <w:lang w:eastAsia="lv-LV"/>
              </w:rPr>
              <w:lastRenderedPageBreak/>
              <w:t>un to regulēšana” sadaļa “Nepieciešamie pasākumi” (60. lpp.) paredz “normatīvajos aktos noteikt ierobežojumus sociāli neaizsargāto personu dalībai azartspēlēs. Pasākuma īstenošana ir tehniski iespējama pēc vienota azartspēļu spēlētāju reģistra ieviešanas un reģistra datu savietošanas no valsts un pašvaldību informācijas sistēmām par attiecīgajiem iedzīvotāju piešķirtajiem statusiem; normatīvajos aktos noteikt ierobežojumus “zemes” azartspēļu un interaktīvo azartspēļu apmeklējumu skaitam konkrētajā periodā, ja personas rīcība un apmeklējumu skaits norāda uz atkarības riskiem, labprātīgi virzot personu uz profilakses un/vai ārstēšanas iespējām. Pasākuma īstenošana ir tehniski iespējama pēc vienota azartspēļu spēlētāju reģistra ieviešanas.”</w:t>
            </w:r>
          </w:p>
        </w:tc>
        <w:tc>
          <w:tcPr>
            <w:tcW w:w="4394" w:type="dxa"/>
          </w:tcPr>
          <w:p w14:paraId="7A3E265C" w14:textId="77777777" w:rsidR="005B04CB" w:rsidRPr="00DE1A22" w:rsidRDefault="005B04CB" w:rsidP="005B04CB">
            <w:pPr>
              <w:contextualSpacing/>
              <w:jc w:val="both"/>
              <w:rPr>
                <w:rFonts w:eastAsia="Times New Roman"/>
                <w:b/>
                <w:sz w:val="24"/>
                <w:szCs w:val="24"/>
              </w:rPr>
            </w:pPr>
            <w:r w:rsidRPr="00DE1A22">
              <w:rPr>
                <w:rFonts w:eastAsia="Times New Roman"/>
                <w:b/>
                <w:sz w:val="24"/>
                <w:szCs w:val="24"/>
              </w:rPr>
              <w:lastRenderedPageBreak/>
              <w:t>Tieslietu ministrija (25.01.2019. Nr.1-9.1/88).</w:t>
            </w:r>
          </w:p>
          <w:p w14:paraId="3D52A2A4" w14:textId="77777777" w:rsidR="005B04CB" w:rsidRPr="00DE1A22" w:rsidRDefault="005B04CB" w:rsidP="005B04CB">
            <w:pPr>
              <w:contextualSpacing/>
              <w:jc w:val="both"/>
              <w:rPr>
                <w:rFonts w:eastAsia="Times New Roman"/>
                <w:sz w:val="24"/>
                <w:szCs w:val="24"/>
              </w:rPr>
            </w:pPr>
            <w:r w:rsidRPr="00DE1A22">
              <w:rPr>
                <w:rFonts w:eastAsia="Times New Roman"/>
                <w:sz w:val="24"/>
                <w:szCs w:val="24"/>
              </w:rPr>
              <w:t xml:space="preserve">Vēršam uzmanību, ka, projekta pielikums nesniedz skaidrojumu un neidentificē ieguvumu jeb labumu (sabiedrības </w:t>
            </w:r>
            <w:r w:rsidRPr="00DE1A22">
              <w:rPr>
                <w:rFonts w:eastAsia="Times New Roman"/>
                <w:sz w:val="24"/>
                <w:szCs w:val="24"/>
              </w:rPr>
              <w:lastRenderedPageBreak/>
              <w:t xml:space="preserve">intereses), ko sabiedrība iegūst, nosakot iepriekš minētos ierobežojumus privātpersonām.  </w:t>
            </w:r>
          </w:p>
          <w:p w14:paraId="263633F0" w14:textId="77777777" w:rsidR="005B04CB" w:rsidRPr="00DE1A22" w:rsidRDefault="005B04CB" w:rsidP="005B04CB">
            <w:pPr>
              <w:contextualSpacing/>
              <w:jc w:val="both"/>
              <w:rPr>
                <w:rFonts w:eastAsia="Times New Roman"/>
                <w:sz w:val="24"/>
                <w:szCs w:val="24"/>
              </w:rPr>
            </w:pPr>
            <w:r w:rsidRPr="00DE1A22">
              <w:rPr>
                <w:rFonts w:eastAsia="Times New Roman"/>
                <w:sz w:val="24"/>
                <w:szCs w:val="24"/>
              </w:rPr>
              <w:t>Lai nepārkāptu Eiropas Cilvēktiesību konvencijas 8. panta pirmajā daļā noteikto par tiesībām uz privāto dzīvi, ir jānodrošina piemērota un adekvāta tiesiskā aizsardzība. Arī Eiropas Savienības Pamattiesību hartas 7. pants paredz, ka ikvienai personai ir tiesības uz savas privātās un ģimenes dzīves, dzīvokļa un saziņas neaizskaramību. Tomēr tiesības uz privātās dzīves neaizskaramību nav absolūtas. Tās var ierobežot, ja ierobežojums ir noteikts ar likumu, tas kalpo leģitīmam mērķim un ir nepieciešams demokrātiskā sabiedrībā. Eiropas Savienības pamattiesību hartas 52. panta 1. punktā ir prasīts ne tikai tas, ka visiem pamattiesību ierobežojumiem ir jābūt “noteiktiem tiesību aktos”, bet arī tas, ka tie ir jāīsteno, stingri ievērojot samērīguma principu. (..) Proti, tajā samērīgums nav noteikts kā vispārējs Eiropas Savienības princips, bet daudz konkrētāk, kā jebkura pamattiesību ierobežojuma būtisks priekšnosacījums.</w:t>
            </w:r>
          </w:p>
          <w:p w14:paraId="0873472C" w14:textId="77777777" w:rsidR="005B04CB" w:rsidRPr="00DE1A22" w:rsidRDefault="005B04CB" w:rsidP="005B04CB">
            <w:pPr>
              <w:contextualSpacing/>
              <w:jc w:val="both"/>
              <w:rPr>
                <w:rFonts w:eastAsia="Times New Roman"/>
                <w:sz w:val="24"/>
                <w:szCs w:val="24"/>
              </w:rPr>
            </w:pPr>
            <w:r w:rsidRPr="00DE1A22">
              <w:rPr>
                <w:rFonts w:eastAsia="Times New Roman"/>
                <w:sz w:val="24"/>
                <w:szCs w:val="24"/>
              </w:rPr>
              <w:t xml:space="preserve">Attiecīgi, lai noskaidrotu, vai ierobežojums ir nepieciešams demokrātiskā sabiedrībā, ir jāvērtē vai ierobežojums ir sociāli nepieciešams un samērīgs. Lai izvērtētu personas pamattiesību ierobežojuma samērīgumu, jānoskaidro: </w:t>
            </w:r>
          </w:p>
          <w:p w14:paraId="497E1350" w14:textId="77777777" w:rsidR="005B04CB" w:rsidRPr="00DE1A22" w:rsidRDefault="005B04CB" w:rsidP="005B04CB">
            <w:pPr>
              <w:contextualSpacing/>
              <w:jc w:val="both"/>
              <w:rPr>
                <w:rFonts w:eastAsia="Times New Roman"/>
                <w:sz w:val="24"/>
                <w:szCs w:val="24"/>
              </w:rPr>
            </w:pPr>
            <w:r w:rsidRPr="00DE1A22">
              <w:rPr>
                <w:rFonts w:eastAsia="Times New Roman"/>
                <w:sz w:val="24"/>
                <w:szCs w:val="24"/>
              </w:rPr>
              <w:t xml:space="preserve">1) vai izraudzītie līdzekļi ir piemēroti leģitīmā mērķa sasniegšanai; </w:t>
            </w:r>
          </w:p>
          <w:p w14:paraId="04B7C3FA" w14:textId="77777777" w:rsidR="005B04CB" w:rsidRPr="00DE1A22" w:rsidRDefault="005B04CB" w:rsidP="005B04CB">
            <w:pPr>
              <w:contextualSpacing/>
              <w:jc w:val="both"/>
              <w:rPr>
                <w:rFonts w:eastAsia="Times New Roman"/>
                <w:sz w:val="24"/>
                <w:szCs w:val="24"/>
              </w:rPr>
            </w:pPr>
            <w:r w:rsidRPr="00DE1A22">
              <w:rPr>
                <w:rFonts w:eastAsia="Times New Roman"/>
                <w:sz w:val="24"/>
                <w:szCs w:val="24"/>
              </w:rPr>
              <w:t xml:space="preserve">2) vai nepastāv personu pamattiesības mazāk ierobežojoši (saudzējošāki) līdzekļi; </w:t>
            </w:r>
          </w:p>
          <w:p w14:paraId="18E5EE1E" w14:textId="77777777" w:rsidR="005B04CB" w:rsidRPr="00DE1A22" w:rsidRDefault="005B04CB" w:rsidP="005B04CB">
            <w:pPr>
              <w:contextualSpacing/>
              <w:jc w:val="both"/>
              <w:rPr>
                <w:rFonts w:eastAsia="Times New Roman"/>
                <w:sz w:val="24"/>
                <w:szCs w:val="24"/>
              </w:rPr>
            </w:pPr>
            <w:r w:rsidRPr="00DE1A22">
              <w:rPr>
                <w:rFonts w:eastAsia="Times New Roman"/>
                <w:sz w:val="24"/>
                <w:szCs w:val="24"/>
              </w:rPr>
              <w:lastRenderedPageBreak/>
              <w:t>3) vai labums, ko iegūs sabiedrība, ir lielāks par indivīda tiesībām un likumiskajām interesēm nodarīto zaudējumu (</w:t>
            </w:r>
            <w:r w:rsidRPr="00DE1A22">
              <w:rPr>
                <w:rFonts w:eastAsia="Times New Roman"/>
                <w:i/>
                <w:sz w:val="24"/>
                <w:szCs w:val="24"/>
              </w:rPr>
              <w:t>sk., piemēram, Satversmes tiesas 2011. gada 30. marta sprieduma lietā Nr. 2010-60-01 23. punktu</w:t>
            </w:r>
            <w:r w:rsidRPr="00DE1A22">
              <w:rPr>
                <w:rFonts w:eastAsia="Times New Roman"/>
                <w:sz w:val="24"/>
                <w:szCs w:val="24"/>
              </w:rPr>
              <w:t>).</w:t>
            </w:r>
          </w:p>
          <w:p w14:paraId="47ECB363" w14:textId="77777777" w:rsidR="005B04CB" w:rsidRPr="00DE1A22" w:rsidRDefault="005B04CB" w:rsidP="005B04CB">
            <w:pPr>
              <w:jc w:val="both"/>
              <w:rPr>
                <w:rFonts w:eastAsia="Times New Roman"/>
                <w:sz w:val="24"/>
                <w:szCs w:val="24"/>
              </w:rPr>
            </w:pPr>
            <w:r w:rsidRPr="00DE1A22">
              <w:rPr>
                <w:rFonts w:eastAsia="Times New Roman"/>
                <w:sz w:val="24"/>
                <w:szCs w:val="24"/>
              </w:rPr>
              <w:t>Ievērojot minēto, aicinām papildināt projekta pielikumu ar pamatojumu attiecībā uz iepriekš minēto ierobežojumu ieviešanas tiesiskajiem aspektiem, ietverot tajā izvērtējumu par personas tiesību ierobežojuma samērīgumu un pamatotību.</w:t>
            </w:r>
          </w:p>
        </w:tc>
        <w:tc>
          <w:tcPr>
            <w:tcW w:w="3118" w:type="dxa"/>
          </w:tcPr>
          <w:p w14:paraId="5EAAC989" w14:textId="77777777" w:rsidR="005B04CB" w:rsidRPr="00DE1A22" w:rsidRDefault="005B04CB" w:rsidP="005B04CB">
            <w:pPr>
              <w:jc w:val="center"/>
              <w:rPr>
                <w:rFonts w:eastAsia="Times New Roman"/>
                <w:b/>
                <w:bCs/>
                <w:sz w:val="24"/>
                <w:szCs w:val="24"/>
                <w:lang w:eastAsia="lv-LV"/>
              </w:rPr>
            </w:pPr>
            <w:r w:rsidRPr="00DE1A22">
              <w:rPr>
                <w:rFonts w:eastAsia="Times New Roman"/>
                <w:b/>
                <w:bCs/>
                <w:sz w:val="24"/>
                <w:szCs w:val="24"/>
                <w:lang w:eastAsia="lv-LV"/>
              </w:rPr>
              <w:lastRenderedPageBreak/>
              <w:t>Ņemts vērā.</w:t>
            </w:r>
          </w:p>
          <w:p w14:paraId="59026E2D" w14:textId="77777777" w:rsidR="005B04CB" w:rsidRPr="00DE1A22" w:rsidRDefault="005B04CB" w:rsidP="005B04CB">
            <w:pPr>
              <w:tabs>
                <w:tab w:val="left" w:pos="0"/>
                <w:tab w:val="left" w:pos="709"/>
                <w:tab w:val="left" w:pos="993"/>
              </w:tabs>
              <w:suppressAutoHyphens/>
              <w:jc w:val="both"/>
              <w:outlineLvl w:val="3"/>
              <w:rPr>
                <w:rFonts w:eastAsia="Times New Roman"/>
                <w:b/>
                <w:bCs/>
                <w:sz w:val="24"/>
                <w:szCs w:val="24"/>
                <w:lang w:eastAsia="lv-LV"/>
              </w:rPr>
            </w:pPr>
          </w:p>
        </w:tc>
        <w:tc>
          <w:tcPr>
            <w:tcW w:w="3402" w:type="dxa"/>
          </w:tcPr>
          <w:p w14:paraId="4D499348" w14:textId="77777777" w:rsidR="005B04CB" w:rsidRPr="00DE1A22" w:rsidRDefault="00B44344" w:rsidP="005B04CB">
            <w:pPr>
              <w:jc w:val="both"/>
              <w:rPr>
                <w:rFonts w:eastAsia="Times New Roman"/>
                <w:sz w:val="24"/>
                <w:szCs w:val="24"/>
              </w:rPr>
            </w:pPr>
            <w:r w:rsidRPr="00DE1A22">
              <w:rPr>
                <w:rFonts w:eastAsia="Times New Roman"/>
                <w:bCs/>
                <w:sz w:val="24"/>
                <w:szCs w:val="24"/>
                <w:lang w:eastAsia="lv-LV"/>
              </w:rPr>
              <w:t>Uzdevums zaudējis aktualitāti un dzēsts no projekta.</w:t>
            </w:r>
          </w:p>
        </w:tc>
      </w:tr>
      <w:tr w:rsidR="005B04CB" w:rsidRPr="00DE1A22" w14:paraId="02C69CBE" w14:textId="77777777" w:rsidTr="00BF4AE7">
        <w:tc>
          <w:tcPr>
            <w:tcW w:w="846" w:type="dxa"/>
            <w:gridSpan w:val="2"/>
          </w:tcPr>
          <w:p w14:paraId="2312C121" w14:textId="77777777" w:rsidR="005B04CB" w:rsidRPr="00DE1A22" w:rsidRDefault="005B04CB" w:rsidP="00CB4782">
            <w:pPr>
              <w:spacing w:before="100" w:beforeAutospacing="1" w:after="100" w:afterAutospacing="1"/>
              <w:jc w:val="center"/>
              <w:rPr>
                <w:rFonts w:eastAsia="Times New Roman"/>
                <w:sz w:val="24"/>
                <w:szCs w:val="24"/>
                <w:lang w:eastAsia="lv-LV"/>
              </w:rPr>
            </w:pPr>
            <w:r w:rsidRPr="00DE1A22">
              <w:rPr>
                <w:rFonts w:eastAsia="Times New Roman"/>
                <w:sz w:val="24"/>
                <w:szCs w:val="24"/>
                <w:lang w:eastAsia="lv-LV"/>
              </w:rPr>
              <w:lastRenderedPageBreak/>
              <w:t>1</w:t>
            </w:r>
            <w:r w:rsidR="00CB4782" w:rsidRPr="00DE1A22">
              <w:rPr>
                <w:rFonts w:eastAsia="Times New Roman"/>
                <w:sz w:val="24"/>
                <w:szCs w:val="24"/>
                <w:lang w:eastAsia="lv-LV"/>
              </w:rPr>
              <w:t>4</w:t>
            </w:r>
            <w:r w:rsidRPr="00DE1A22">
              <w:rPr>
                <w:rFonts w:eastAsia="Times New Roman"/>
                <w:sz w:val="24"/>
                <w:szCs w:val="24"/>
                <w:lang w:eastAsia="lv-LV"/>
              </w:rPr>
              <w:t>.</w:t>
            </w:r>
          </w:p>
        </w:tc>
        <w:tc>
          <w:tcPr>
            <w:tcW w:w="2977" w:type="dxa"/>
          </w:tcPr>
          <w:p w14:paraId="2187D054" w14:textId="77777777" w:rsidR="005B04CB" w:rsidRPr="00DE1A22" w:rsidRDefault="005B04CB" w:rsidP="005B04CB">
            <w:pPr>
              <w:jc w:val="both"/>
              <w:rPr>
                <w:rFonts w:eastAsia="Times New Roman"/>
                <w:sz w:val="24"/>
                <w:szCs w:val="24"/>
                <w:lang w:eastAsia="lv-LV"/>
              </w:rPr>
            </w:pPr>
            <w:r w:rsidRPr="00DE1A22">
              <w:rPr>
                <w:rFonts w:eastAsia="Times New Roman"/>
                <w:sz w:val="24"/>
                <w:szCs w:val="24"/>
                <w:lang w:eastAsia="lv-LV"/>
              </w:rPr>
              <w:t>Projekta 4. sadaļas “Rīcības virzieni un uzdevumi” 2.  Rīcības virziena “Azartspēļu un izložu pieejamības regulēšana” 4. uzdevums:</w:t>
            </w:r>
          </w:p>
          <w:p w14:paraId="724FE8F9" w14:textId="77777777" w:rsidR="005B04CB" w:rsidRPr="00DE1A22" w:rsidRDefault="005B04CB" w:rsidP="005B04CB">
            <w:pPr>
              <w:jc w:val="both"/>
              <w:rPr>
                <w:rFonts w:eastAsia="Times New Roman"/>
                <w:sz w:val="24"/>
                <w:szCs w:val="24"/>
                <w:lang w:eastAsia="lv-LV"/>
              </w:rPr>
            </w:pPr>
            <w:r w:rsidRPr="00DE1A22">
              <w:rPr>
                <w:rFonts w:eastAsia="Times New Roman"/>
                <w:sz w:val="24"/>
                <w:szCs w:val="24"/>
                <w:lang w:eastAsia="lv-LV"/>
              </w:rPr>
              <w:lastRenderedPageBreak/>
              <w:t>“Normatīvajos aktos noteikt skaidrus kritērijus, pēc kuriem pašvaldībām ir jāvadās, pieņemot lēmumu par konkrētas azartspēļu organizēšanas vietas atļaušanu vai aizliegšanu (t.sk. koncentrējot azartspēļu aktivitātes uzņēmējdarbību ekonomiski un sociāli visaktīvākajā pilsētas  teritorijā, mazinot ietekmi uz kultūrvēsturisko mantojumu, koncentrēšanās uz tūristiem, vietu skaita noteikšanai proporcionāli iedzīvotāju skaitam noteiktajā pašvaldībā).”.</w:t>
            </w:r>
          </w:p>
        </w:tc>
        <w:tc>
          <w:tcPr>
            <w:tcW w:w="4394" w:type="dxa"/>
          </w:tcPr>
          <w:p w14:paraId="7EA99D14" w14:textId="77777777" w:rsidR="005B04CB" w:rsidRPr="00DE1A22" w:rsidRDefault="005B04CB" w:rsidP="005B04CB">
            <w:pPr>
              <w:contextualSpacing/>
              <w:jc w:val="both"/>
              <w:rPr>
                <w:rFonts w:eastAsia="Times New Roman"/>
                <w:b/>
                <w:sz w:val="24"/>
                <w:szCs w:val="24"/>
                <w:lang w:eastAsia="lv-LV"/>
              </w:rPr>
            </w:pPr>
            <w:r w:rsidRPr="00DE1A22">
              <w:rPr>
                <w:rFonts w:eastAsia="Times New Roman"/>
                <w:b/>
                <w:sz w:val="24"/>
                <w:szCs w:val="24"/>
                <w:lang w:eastAsia="lv-LV"/>
              </w:rPr>
              <w:lastRenderedPageBreak/>
              <w:t>Vides aizsardzības un reģionālās attīstības ministrija (25.01.2019. Nr.1-22/693)</w:t>
            </w:r>
          </w:p>
          <w:p w14:paraId="4BFBF596" w14:textId="77777777" w:rsidR="005B04CB" w:rsidRPr="00DE1A22" w:rsidRDefault="005B04CB" w:rsidP="005B04CB">
            <w:pPr>
              <w:jc w:val="both"/>
              <w:rPr>
                <w:rFonts w:eastAsia="Times New Roman"/>
                <w:sz w:val="24"/>
                <w:szCs w:val="24"/>
              </w:rPr>
            </w:pPr>
            <w:r w:rsidRPr="00DE1A22">
              <w:rPr>
                <w:rFonts w:eastAsia="Times New Roman"/>
                <w:sz w:val="24"/>
                <w:szCs w:val="24"/>
                <w:lang w:eastAsia="lv-LV"/>
              </w:rPr>
              <w:t xml:space="preserve">Atbilstoši likuma “Par pašvaldībām” 5.panta pirmajai daļai un 7.panta pirmajai </w:t>
            </w:r>
            <w:r w:rsidRPr="00DE1A22">
              <w:rPr>
                <w:rFonts w:eastAsia="Times New Roman"/>
                <w:sz w:val="24"/>
                <w:szCs w:val="24"/>
                <w:lang w:eastAsia="lv-LV"/>
              </w:rPr>
              <w:lastRenderedPageBreak/>
              <w:t xml:space="preserve">un otrajai daļai pašvaldības savas kompetences un likuma ietvaros darbojas patstāvīgi. Šā likuma 15.pantā noteiktās pašvaldību autonomās funkcijas pildāmas kārtībā, kāda paredzēta attiecīgajos likumos un Ministru kabineta noteikumos, kā arī autonomo funkciju izpildi organizē un par to atbild pašvaldības. Likuma “Par pašvaldībām” 15.panta pirmās daļas 10. un 13.punkts kā pašvaldības autonomās funkcijas noteic saimnieciskās darbības attiecīgajā administratīvajā teritorijā sekmēšanu, rūpēšanos par bezdarba samazināšanu, zemes izmantošanas un apbūves kārtības noteikšanu saskaņā ar attiecīgās pašvaldības teritorijas plānojumu. Savukārt minētā likuma 21.panta pirmās daļas 3., 5. un 23.punkts un Teritorijas attīstības plānošanas likuma 12.panta pirmā un trešā daļa paredz, ka apstiprināt pašvaldības teritorijas attīstības programmu un teritorijas plānojumu, kā arī apstiprināt pašvaldības ekonomiskās un sociālās attīstības un apkārtējās vides aizsardzības perspektīvās programmas un lemt par kārtību, kādā izpildāmas šā likuma 15.pantā minētās funkcijas, ir pašvaldības domes ekskluzīvā kompetencē. Pašvaldībām ir saistoši Attīstības plānošanas sistēmas likuma 5.pantā noteiktie attīstības plānošanas pamatprincipi un Teritorijas attīstības plānošanas likuma 3.pantā noteiktie teritorijas attīstības plānošanas principi, tajā skaitā interešu saskaņotības princips un vienlīdzīgu iespēju princips, kas paredz nozaru un teritoriālās, kā arī </w:t>
            </w:r>
            <w:r w:rsidRPr="00DE1A22">
              <w:rPr>
                <w:rFonts w:eastAsia="Times New Roman"/>
                <w:sz w:val="24"/>
                <w:szCs w:val="24"/>
                <w:lang w:eastAsia="lv-LV"/>
              </w:rPr>
              <w:lastRenderedPageBreak/>
              <w:t>privātpersonu un sabiedrības intereses vērtēt kopsakarībā ar mērķi veicināt attiecīgās teritorijas ilgtspējīgu attīstību. Līdz ar to gan teritorijas attīstības plānošanas procesā, gan lēmuma pieņemšanā par jaunas azartspēļu organizēšanas vietas atvēršanu vienīgi katras pašvaldības kompetencē ir izvērtēt esošo situāciju un pieņemt tādu lēmumu, kas balstīts uz azartspēļu organizētāja un sabiedrības interešu vispusīgu izvērtējumu un sabalansētu teritorijas attīstības redzējumu. Ievērojot minēto, lūdzam pamatnostādņu 4.sadaļas “Rīcības virzieni un uzdevumi” otrā rīcības virziena “Azartspēļu un izložu pieejamības regulēšana” 4.punktā un pamatnostādņu pielikumā (57. un 61.lpp.) svītrot vārdus “koncentrējot azartspēļu aktivitātes uzņēmējdarbību ekonomiski un sociāli visaktīvākajā pilsētas teritorijā”. Vienlaikus neiebilstam pret principa “azartspēle iet prom ar tūristu” ieviešanu, kā tas norādīts pamatnostādņu pielikumā (57.lpp.), taču tādā gadījumā konkrēti norādāma potenciālās azartspēļu organizēšanas teritorijas sasaiste ar tūristu visvairāk apmeklētām teritorijām (objektiem), kas ne vienmēr būs “ekonomiski un sociāli visaktīvākā pilsētas teritorija”, sevišķi attiecībā uz novadu pašvaldību administratīvajām teritorijām.</w:t>
            </w:r>
          </w:p>
        </w:tc>
        <w:tc>
          <w:tcPr>
            <w:tcW w:w="3118" w:type="dxa"/>
          </w:tcPr>
          <w:p w14:paraId="1C0955EF" w14:textId="77777777" w:rsidR="005B04CB" w:rsidRPr="00DE1A22" w:rsidRDefault="005B04CB" w:rsidP="00FC5F16">
            <w:pPr>
              <w:jc w:val="center"/>
              <w:rPr>
                <w:rFonts w:eastAsia="Times New Roman"/>
                <w:b/>
                <w:bCs/>
                <w:sz w:val="24"/>
                <w:szCs w:val="24"/>
                <w:lang w:eastAsia="lv-LV"/>
              </w:rPr>
            </w:pPr>
            <w:r w:rsidRPr="00DE1A22">
              <w:rPr>
                <w:rFonts w:eastAsia="Times New Roman"/>
                <w:b/>
                <w:bCs/>
                <w:sz w:val="24"/>
                <w:szCs w:val="24"/>
                <w:lang w:eastAsia="lv-LV"/>
              </w:rPr>
              <w:lastRenderedPageBreak/>
              <w:t>Ņemts vērā</w:t>
            </w:r>
            <w:r w:rsidR="00FC5F16" w:rsidRPr="00DE1A22">
              <w:rPr>
                <w:rFonts w:eastAsia="Times New Roman"/>
                <w:b/>
                <w:bCs/>
                <w:sz w:val="24"/>
                <w:szCs w:val="24"/>
                <w:lang w:eastAsia="lv-LV"/>
              </w:rPr>
              <w:t>, aizstājot ar alternatīvu risinājumu</w:t>
            </w:r>
            <w:r w:rsidRPr="00DE1A22">
              <w:rPr>
                <w:rFonts w:eastAsia="Times New Roman"/>
                <w:b/>
                <w:bCs/>
                <w:sz w:val="24"/>
                <w:szCs w:val="24"/>
                <w:lang w:eastAsia="lv-LV"/>
              </w:rPr>
              <w:t>.</w:t>
            </w:r>
          </w:p>
        </w:tc>
        <w:tc>
          <w:tcPr>
            <w:tcW w:w="3402" w:type="dxa"/>
          </w:tcPr>
          <w:p w14:paraId="2D326E85" w14:textId="77777777" w:rsidR="005B04CB" w:rsidRPr="00DE1A22" w:rsidRDefault="00FC5F16" w:rsidP="005B04CB">
            <w:pPr>
              <w:jc w:val="both"/>
              <w:rPr>
                <w:rFonts w:eastAsia="Times New Roman"/>
                <w:sz w:val="24"/>
                <w:szCs w:val="24"/>
              </w:rPr>
            </w:pPr>
            <w:r w:rsidRPr="00DE1A22">
              <w:rPr>
                <w:rFonts w:eastAsia="Times New Roman"/>
                <w:bCs/>
                <w:sz w:val="24"/>
                <w:szCs w:val="24"/>
                <w:lang w:eastAsia="lv-LV"/>
              </w:rPr>
              <w:t>Iebildums ņemts vērā, aizstājot</w:t>
            </w:r>
            <w:r w:rsidRPr="00DE1A22">
              <w:t xml:space="preserve"> </w:t>
            </w:r>
            <w:r w:rsidRPr="00DE1A22">
              <w:rPr>
                <w:rFonts w:eastAsia="Times New Roman"/>
                <w:bCs/>
                <w:sz w:val="24"/>
                <w:szCs w:val="24"/>
                <w:lang w:eastAsia="lv-LV"/>
              </w:rPr>
              <w:t xml:space="preserve">Projekta 4. sadaļas “Rīcības virzieni un uzdevumi” 2.  Rīcības virziena “Azartspēļu un izložu pieejamības regulēšana” 4. </w:t>
            </w:r>
            <w:r w:rsidRPr="00DE1A22">
              <w:rPr>
                <w:rFonts w:eastAsia="Times New Roman"/>
                <w:bCs/>
                <w:sz w:val="24"/>
                <w:szCs w:val="24"/>
                <w:lang w:eastAsia="lv-LV"/>
              </w:rPr>
              <w:lastRenderedPageBreak/>
              <w:t>uzdevumu ar alternatīvu risinājumu – Projekta pielikuma 4.sadaļas “Azartspēļu un izložu pieejamība, darbības vietas un to regulēšana” 2.risinājums.</w:t>
            </w:r>
          </w:p>
        </w:tc>
      </w:tr>
      <w:tr w:rsidR="005B04CB" w:rsidRPr="00DE1A22" w14:paraId="207267EB" w14:textId="77777777" w:rsidTr="00BF4AE7">
        <w:tc>
          <w:tcPr>
            <w:tcW w:w="846" w:type="dxa"/>
            <w:gridSpan w:val="2"/>
          </w:tcPr>
          <w:p w14:paraId="1877CFE3" w14:textId="77777777" w:rsidR="005B04CB" w:rsidRPr="00DE1A22" w:rsidRDefault="005B04CB" w:rsidP="00CB4782">
            <w:pPr>
              <w:spacing w:before="100" w:beforeAutospacing="1" w:after="100" w:afterAutospacing="1"/>
              <w:jc w:val="center"/>
              <w:rPr>
                <w:rFonts w:eastAsia="Times New Roman"/>
                <w:sz w:val="24"/>
                <w:szCs w:val="24"/>
                <w:lang w:eastAsia="lv-LV"/>
              </w:rPr>
            </w:pPr>
            <w:r w:rsidRPr="00DE1A22">
              <w:rPr>
                <w:rFonts w:eastAsia="Times New Roman"/>
                <w:sz w:val="24"/>
                <w:szCs w:val="24"/>
                <w:lang w:eastAsia="lv-LV"/>
              </w:rPr>
              <w:lastRenderedPageBreak/>
              <w:t>1</w:t>
            </w:r>
            <w:r w:rsidR="00CB4782" w:rsidRPr="00DE1A22">
              <w:rPr>
                <w:rFonts w:eastAsia="Times New Roman"/>
                <w:sz w:val="24"/>
                <w:szCs w:val="24"/>
                <w:lang w:eastAsia="lv-LV"/>
              </w:rPr>
              <w:t>5</w:t>
            </w:r>
            <w:r w:rsidRPr="00DE1A22">
              <w:rPr>
                <w:rFonts w:eastAsia="Times New Roman"/>
                <w:sz w:val="24"/>
                <w:szCs w:val="24"/>
                <w:lang w:eastAsia="lv-LV"/>
              </w:rPr>
              <w:t>.</w:t>
            </w:r>
          </w:p>
        </w:tc>
        <w:tc>
          <w:tcPr>
            <w:tcW w:w="2977" w:type="dxa"/>
          </w:tcPr>
          <w:p w14:paraId="476EE70C" w14:textId="77777777" w:rsidR="005B04CB" w:rsidRPr="00DE1A22" w:rsidRDefault="005B04CB" w:rsidP="000C2873">
            <w:pPr>
              <w:jc w:val="both"/>
              <w:rPr>
                <w:rFonts w:eastAsia="Times New Roman"/>
                <w:sz w:val="24"/>
                <w:szCs w:val="24"/>
                <w:lang w:eastAsia="lv-LV"/>
              </w:rPr>
            </w:pPr>
            <w:r w:rsidRPr="00DE1A22">
              <w:rPr>
                <w:rFonts w:eastAsia="Times New Roman"/>
                <w:sz w:val="24"/>
                <w:szCs w:val="24"/>
                <w:lang w:eastAsia="lv-LV"/>
              </w:rPr>
              <w:t xml:space="preserve">Projekta 4. sadaļas “Rīcības virzieni un uzdevumi” 2. Rīcības virziena “Azartspēļu un izložu pieejamības </w:t>
            </w:r>
            <w:r w:rsidRPr="00DE1A22">
              <w:rPr>
                <w:rFonts w:eastAsia="Times New Roman"/>
                <w:sz w:val="24"/>
                <w:szCs w:val="24"/>
                <w:lang w:eastAsia="lv-LV"/>
              </w:rPr>
              <w:lastRenderedPageBreak/>
              <w:t>regulēšana” 4. uzdevums “Normatīvajos aktos noteikt skaidrus kritērijus, pēc kuriem pašvaldībām ir jāvadās, pieņemot lēmumu par konkrētas azartspēļu organizēšanas vietas atļaušanu vai aizliegšanu (t.sk. koncentrējot azartspēļu aktivitātes uzņēmējdarbību ekonomiski un sociāli visaktīvākajā pilsētas  teritorijā, mazinot ietekmi uz kultūrvēsturisko mantojumu, koncentrēšanās uz tūristiem, vietu skaita noteikšanai proporcionāli iedzīvotāju skaitam noteiktajā pašvaldībā).”</w:t>
            </w:r>
          </w:p>
        </w:tc>
        <w:tc>
          <w:tcPr>
            <w:tcW w:w="4394" w:type="dxa"/>
          </w:tcPr>
          <w:p w14:paraId="04A28EF4" w14:textId="77777777" w:rsidR="005B04CB" w:rsidRPr="00DE1A22" w:rsidRDefault="005B04CB" w:rsidP="005B04CB">
            <w:pPr>
              <w:contextualSpacing/>
              <w:jc w:val="both"/>
              <w:rPr>
                <w:rFonts w:eastAsia="Times New Roman"/>
                <w:b/>
                <w:sz w:val="24"/>
                <w:szCs w:val="24"/>
                <w:lang w:eastAsia="lv-LV"/>
              </w:rPr>
            </w:pPr>
            <w:r w:rsidRPr="00DE1A22">
              <w:rPr>
                <w:rFonts w:eastAsia="Times New Roman"/>
                <w:b/>
                <w:sz w:val="24"/>
                <w:szCs w:val="24"/>
                <w:lang w:eastAsia="lv-LV"/>
              </w:rPr>
              <w:lastRenderedPageBreak/>
              <w:t>Latvijas Pašvaldību savienība (28.01.2019. Nr.201901/SAN102/NOS61)</w:t>
            </w:r>
          </w:p>
          <w:p w14:paraId="6B52E714" w14:textId="77777777" w:rsidR="005B04CB" w:rsidRPr="00DE1A22" w:rsidRDefault="005B04CB" w:rsidP="005B04CB">
            <w:pPr>
              <w:contextualSpacing/>
              <w:jc w:val="both"/>
              <w:rPr>
                <w:rFonts w:eastAsia="Times New Roman"/>
                <w:sz w:val="24"/>
                <w:szCs w:val="24"/>
                <w:lang w:eastAsia="lv-LV"/>
              </w:rPr>
            </w:pPr>
            <w:r w:rsidRPr="00DE1A22">
              <w:rPr>
                <w:rFonts w:eastAsia="Times New Roman"/>
                <w:sz w:val="24"/>
                <w:szCs w:val="24"/>
                <w:lang w:eastAsia="lv-LV"/>
              </w:rPr>
              <w:t xml:space="preserve">Pamatnostādņu 2.rīcības virziena “Azartspēļu un izložu pieejamības </w:t>
            </w:r>
            <w:r w:rsidRPr="00DE1A22">
              <w:rPr>
                <w:rFonts w:eastAsia="Times New Roman"/>
                <w:sz w:val="24"/>
                <w:szCs w:val="24"/>
                <w:lang w:eastAsia="lv-LV"/>
              </w:rPr>
              <w:lastRenderedPageBreak/>
              <w:t xml:space="preserve">regulēšana” 4.punkts paredz normatīvajos aktos noteikt skaidrus kritērijus, pēc kuriem pašvaldībām ir jāvadās, pieņemot lēmumu par konkrētas azartspēļu organizēšanas vietas atļaušanu vai aizliegšanu (t.sk. koncentrējot azartspēļu aktivitātes uzņēmējdarbību ekonomiski un sociāli visaktīvākajā pilsētas teritorijā, mazinot ietekmi uz kultūrvēsturisko mantojumu, koncentrēšanās uz tūristiem, vietu skaita noteikšanai proporcionāli iedzīvotāju skaitam noteiktajā pašvaldībā). Savukārt Pamatnostādņu pielikumā uzskaitītas risinājuma priekšrocības un trūkumi. Iebilstam pret Pamatnostādnēs ieteikto 2. risinājumu, jo vērtējums attiecībā uz risinājuma priekšrocībām nav objektīvs: </w:t>
            </w:r>
          </w:p>
          <w:p w14:paraId="6677CC32" w14:textId="77777777" w:rsidR="005B04CB" w:rsidRPr="00DE1A22" w:rsidRDefault="005B04CB" w:rsidP="00990D6F">
            <w:pPr>
              <w:contextualSpacing/>
              <w:jc w:val="both"/>
              <w:rPr>
                <w:rFonts w:eastAsia="Times New Roman"/>
                <w:sz w:val="24"/>
                <w:szCs w:val="24"/>
              </w:rPr>
            </w:pPr>
            <w:r w:rsidRPr="00DE1A22">
              <w:rPr>
                <w:rFonts w:eastAsia="Times New Roman"/>
                <w:sz w:val="24"/>
                <w:szCs w:val="24"/>
                <w:lang w:eastAsia="lv-LV"/>
              </w:rPr>
              <w:t>1)</w:t>
            </w:r>
            <w:r w:rsidRPr="00DE1A22">
              <w:rPr>
                <w:rFonts w:eastAsia="Times New Roman"/>
                <w:sz w:val="24"/>
                <w:szCs w:val="24"/>
                <w:lang w:eastAsia="lv-LV"/>
              </w:rPr>
              <w:tab/>
              <w:t>Normatīvo aktu interpretācijas iespējas pašvaldībās un nozarē netiks novērstas pēc būtības, jo piedāvātie kritēriji nav objektīvi izmērāmi un pielietojami teritorijas funkcionālā zonējuma un teritorijas izmantošanas un apbūves noteikumu izstrādē, kas nozīmē samērā plašas interpretācijas iespējas teritorijas plānojuma izstrādes procesā, nosakot teritorijas, kas ir, piemēram, “ekonomiski un sociāli visaktīvākā pilsētas teritorija”. Piemēram, Rīgā šāda teritorija ir Rīgas pilsētas vēsturiskais centrs un tā aizsardzības zona, kas vienlaikus ir kultūrvēsturiski vērtīgākā pilsētas daļa, uz kuru būtu attiecināms otrs ierobežojošais kritērijs par ietekmes mazināšanu uz kultūrvēsturisko mantojumu</w:t>
            </w:r>
            <w:r w:rsidR="000F15CB" w:rsidRPr="00DE1A22">
              <w:rPr>
                <w:rFonts w:eastAsia="Times New Roman"/>
                <w:sz w:val="24"/>
                <w:szCs w:val="24"/>
                <w:lang w:eastAsia="lv-LV"/>
              </w:rPr>
              <w:t>.</w:t>
            </w:r>
          </w:p>
        </w:tc>
        <w:tc>
          <w:tcPr>
            <w:tcW w:w="3118" w:type="dxa"/>
          </w:tcPr>
          <w:p w14:paraId="1CE18397" w14:textId="77777777" w:rsidR="005B04CB" w:rsidRPr="00DE1A22" w:rsidRDefault="00FC5F16" w:rsidP="00FC5F16">
            <w:pPr>
              <w:tabs>
                <w:tab w:val="left" w:pos="0"/>
                <w:tab w:val="left" w:pos="709"/>
                <w:tab w:val="left" w:pos="993"/>
              </w:tabs>
              <w:suppressAutoHyphens/>
              <w:jc w:val="center"/>
              <w:outlineLvl w:val="3"/>
              <w:rPr>
                <w:rFonts w:eastAsia="Times New Roman"/>
                <w:b/>
                <w:bCs/>
                <w:sz w:val="24"/>
                <w:szCs w:val="24"/>
                <w:lang w:eastAsia="lv-LV"/>
              </w:rPr>
            </w:pPr>
            <w:r w:rsidRPr="00DE1A22">
              <w:rPr>
                <w:rFonts w:eastAsia="Times New Roman"/>
                <w:b/>
                <w:bCs/>
                <w:sz w:val="24"/>
                <w:szCs w:val="24"/>
                <w:lang w:eastAsia="lv-LV"/>
              </w:rPr>
              <w:lastRenderedPageBreak/>
              <w:t>Ņemts vērā, aizstājot ar alternatīvu risinājumu.</w:t>
            </w:r>
          </w:p>
        </w:tc>
        <w:tc>
          <w:tcPr>
            <w:tcW w:w="3402" w:type="dxa"/>
          </w:tcPr>
          <w:p w14:paraId="12820123" w14:textId="77777777" w:rsidR="005B04CB" w:rsidRPr="00DE1A22" w:rsidRDefault="00FC5F16" w:rsidP="005B04CB">
            <w:pPr>
              <w:jc w:val="both"/>
              <w:rPr>
                <w:rFonts w:eastAsia="Times New Roman"/>
                <w:sz w:val="24"/>
                <w:szCs w:val="24"/>
              </w:rPr>
            </w:pPr>
            <w:r w:rsidRPr="00DE1A22">
              <w:rPr>
                <w:rFonts w:eastAsia="Times New Roman"/>
                <w:bCs/>
                <w:sz w:val="24"/>
                <w:szCs w:val="24"/>
                <w:lang w:eastAsia="lv-LV"/>
              </w:rPr>
              <w:t>Iebildums ņemts vērā, aizstājot</w:t>
            </w:r>
            <w:r w:rsidRPr="00DE1A22">
              <w:t xml:space="preserve"> </w:t>
            </w:r>
            <w:r w:rsidRPr="00DE1A22">
              <w:rPr>
                <w:rFonts w:eastAsia="Times New Roman"/>
                <w:bCs/>
                <w:sz w:val="24"/>
                <w:szCs w:val="24"/>
                <w:lang w:eastAsia="lv-LV"/>
              </w:rPr>
              <w:t xml:space="preserve">Projekta 4. sadaļas “Rīcības virzieni un uzdevumi” 2.  Rīcības virziena “Azartspēļu un izložu </w:t>
            </w:r>
            <w:r w:rsidRPr="00DE1A22">
              <w:rPr>
                <w:rFonts w:eastAsia="Times New Roman"/>
                <w:bCs/>
                <w:sz w:val="24"/>
                <w:szCs w:val="24"/>
                <w:lang w:eastAsia="lv-LV"/>
              </w:rPr>
              <w:lastRenderedPageBreak/>
              <w:t>pieejamības regulēšana” 4. uzdevumu ar alternatīvu risinājumu – Projekta pielikuma 4.sadaļas “Azartspēļu un izložu pieejamība, darbības vietas un to regulēšana” 2.risinājums.</w:t>
            </w:r>
          </w:p>
        </w:tc>
      </w:tr>
      <w:tr w:rsidR="005B04CB" w:rsidRPr="00DE1A22" w14:paraId="418B655E" w14:textId="77777777" w:rsidTr="00BF4AE7">
        <w:tc>
          <w:tcPr>
            <w:tcW w:w="846" w:type="dxa"/>
            <w:gridSpan w:val="2"/>
          </w:tcPr>
          <w:p w14:paraId="600971CB" w14:textId="77777777" w:rsidR="005B04CB" w:rsidRPr="00DE1A22" w:rsidRDefault="005B04CB" w:rsidP="00CB4782">
            <w:pPr>
              <w:spacing w:before="100" w:beforeAutospacing="1" w:after="100" w:afterAutospacing="1"/>
              <w:jc w:val="center"/>
              <w:rPr>
                <w:rFonts w:eastAsia="Times New Roman"/>
                <w:sz w:val="24"/>
                <w:szCs w:val="24"/>
                <w:lang w:eastAsia="lv-LV"/>
              </w:rPr>
            </w:pPr>
            <w:r w:rsidRPr="00DE1A22">
              <w:rPr>
                <w:rFonts w:eastAsia="Times New Roman"/>
                <w:sz w:val="24"/>
                <w:szCs w:val="24"/>
                <w:lang w:eastAsia="lv-LV"/>
              </w:rPr>
              <w:lastRenderedPageBreak/>
              <w:t>1</w:t>
            </w:r>
            <w:r w:rsidR="00CB4782" w:rsidRPr="00DE1A22">
              <w:rPr>
                <w:rFonts w:eastAsia="Times New Roman"/>
                <w:sz w:val="24"/>
                <w:szCs w:val="24"/>
                <w:lang w:eastAsia="lv-LV"/>
              </w:rPr>
              <w:t>6</w:t>
            </w:r>
            <w:r w:rsidRPr="00DE1A22">
              <w:rPr>
                <w:rFonts w:eastAsia="Times New Roman"/>
                <w:sz w:val="24"/>
                <w:szCs w:val="24"/>
                <w:lang w:eastAsia="lv-LV"/>
              </w:rPr>
              <w:t>.</w:t>
            </w:r>
          </w:p>
        </w:tc>
        <w:tc>
          <w:tcPr>
            <w:tcW w:w="2977" w:type="dxa"/>
          </w:tcPr>
          <w:p w14:paraId="655F6743" w14:textId="77777777" w:rsidR="005B04CB" w:rsidRPr="00DE1A22" w:rsidRDefault="005B04CB" w:rsidP="005B04CB">
            <w:pPr>
              <w:jc w:val="both"/>
              <w:rPr>
                <w:rFonts w:eastAsia="Times New Roman"/>
                <w:sz w:val="24"/>
                <w:szCs w:val="24"/>
                <w:lang w:eastAsia="lv-LV"/>
              </w:rPr>
            </w:pPr>
            <w:r w:rsidRPr="00DE1A22">
              <w:rPr>
                <w:rFonts w:eastAsia="Times New Roman"/>
                <w:sz w:val="24"/>
                <w:szCs w:val="24"/>
                <w:lang w:eastAsia="lv-LV"/>
              </w:rPr>
              <w:t>Projekta 4. sadaļas “Rīcības virzieni un uzdevumi” 2. Rīcības virziena “Azartspēļu un izložu pieejamības regulēšana” 4. uzdevums “Normatīvajos aktos noteikt skaidrus kritērijus, pēc kuriem pašvaldībām ir jāvadās, pieņemot lēmumu par konkrētas azartspēļu organizēšanas vietas atļaušanu vai aizliegšanu (t.sk. koncentrējot azartspēļu aktivitātes uzņēmējdarbību ekonomiski un sociāli visaktīvākajā pilsētas  teritorijā, mazinot ietekmi uz kultūrvēsturisko mantojumu, koncentrēšanās uz tūristiem, vietu skaita noteikšanai proporcionāli iedzīvotāju skaitam noteiktajā pašvaldībā).”.</w:t>
            </w:r>
          </w:p>
        </w:tc>
        <w:tc>
          <w:tcPr>
            <w:tcW w:w="4394" w:type="dxa"/>
          </w:tcPr>
          <w:p w14:paraId="18097279" w14:textId="77777777" w:rsidR="005B04CB" w:rsidRPr="00DE1A22" w:rsidRDefault="005B04CB" w:rsidP="005B04CB">
            <w:pPr>
              <w:ind w:firstLine="28"/>
              <w:contextualSpacing/>
              <w:jc w:val="both"/>
              <w:rPr>
                <w:rFonts w:eastAsia="Times New Roman"/>
                <w:b/>
                <w:sz w:val="24"/>
                <w:szCs w:val="24"/>
                <w:lang w:eastAsia="lv-LV"/>
              </w:rPr>
            </w:pPr>
            <w:r w:rsidRPr="00DE1A22">
              <w:rPr>
                <w:rFonts w:eastAsia="Times New Roman"/>
                <w:b/>
                <w:sz w:val="24"/>
                <w:szCs w:val="24"/>
                <w:lang w:eastAsia="lv-LV"/>
              </w:rPr>
              <w:t>Latvijas Lielo pilsētu asociācija (25.01.2019. Nr.5-1/16)</w:t>
            </w:r>
          </w:p>
          <w:p w14:paraId="3D794C79" w14:textId="77777777" w:rsidR="005B04CB" w:rsidRPr="00DE1A22" w:rsidRDefault="005B04CB" w:rsidP="005B04CB">
            <w:pPr>
              <w:ind w:firstLine="28"/>
              <w:jc w:val="both"/>
              <w:rPr>
                <w:sz w:val="24"/>
                <w:szCs w:val="24"/>
              </w:rPr>
            </w:pPr>
            <w:r w:rsidRPr="00DE1A22">
              <w:rPr>
                <w:sz w:val="24"/>
                <w:szCs w:val="24"/>
              </w:rPr>
              <w:t>Latvijas Lielo pilsētu asociācija (turpmāk – LLPA) iebilst pret šo risinājumu, jo LLPA ieskatā tā vērtējums attiecībā uz priekšrocībām, ko sniedz attiecīgais risinājums, nav objektīvs šādu apstākļu dēļ:</w:t>
            </w:r>
          </w:p>
          <w:p w14:paraId="7177807E" w14:textId="77777777" w:rsidR="005B04CB" w:rsidRPr="00DE1A22" w:rsidRDefault="005B04CB" w:rsidP="005B04CB">
            <w:pPr>
              <w:pStyle w:val="ListParagraph"/>
              <w:numPr>
                <w:ilvl w:val="0"/>
                <w:numId w:val="4"/>
              </w:numPr>
              <w:spacing w:after="160" w:line="240" w:lineRule="auto"/>
              <w:ind w:left="0" w:firstLine="28"/>
              <w:jc w:val="both"/>
              <w:rPr>
                <w:rFonts w:ascii="Times New Roman" w:hAnsi="Times New Roman"/>
                <w:sz w:val="24"/>
                <w:szCs w:val="24"/>
              </w:rPr>
            </w:pPr>
            <w:r w:rsidRPr="00DE1A22">
              <w:rPr>
                <w:rFonts w:ascii="Times New Roman" w:hAnsi="Times New Roman"/>
                <w:sz w:val="24"/>
                <w:szCs w:val="24"/>
              </w:rPr>
              <w:t>Normatīvo aktu interpretācijas iespējas pašvaldībās un nozarē netiks novērstas pēc būtības, jo piedāvātie kritēriji nav objektīvi izmērāmi, kas nozīmē samērā plašas interpretācijas iespējas teritorijas plānojuma izstrādes procesā, nosakot teritorijas, kas ir “visaktīvākajā uzņēmējdarbību ekonomiski un sociāli visaktīvākajā pilsētas  teritorijā”. Pie tam, piemēram, Rīgas situācijā tas varētu būt Rīgas pilsētas vēsturiskais centrs un tā aizsardzības zona, kas vienlaikus ir kultūrvēsturiski vērtīgākā pilsētas daļa, uz kuru būtu attiecināms otrs ierobežojošais kritērijs par ietekmes mazināšanu uz kultūrvēsturisko mantojumu;</w:t>
            </w:r>
          </w:p>
          <w:p w14:paraId="10894701" w14:textId="77777777" w:rsidR="005B04CB" w:rsidRPr="00DE1A22" w:rsidRDefault="005B04CB" w:rsidP="005B04CB">
            <w:pPr>
              <w:pStyle w:val="ListParagraph"/>
              <w:numPr>
                <w:ilvl w:val="0"/>
                <w:numId w:val="4"/>
              </w:numPr>
              <w:spacing w:after="160" w:line="240" w:lineRule="auto"/>
              <w:ind w:left="0" w:firstLine="28"/>
              <w:jc w:val="both"/>
              <w:rPr>
                <w:rFonts w:ascii="Times New Roman" w:hAnsi="Times New Roman"/>
                <w:sz w:val="24"/>
                <w:szCs w:val="24"/>
              </w:rPr>
            </w:pPr>
            <w:r w:rsidRPr="00DE1A22">
              <w:rPr>
                <w:rFonts w:ascii="Times New Roman" w:hAnsi="Times New Roman"/>
                <w:sz w:val="24"/>
                <w:szCs w:val="24"/>
              </w:rPr>
              <w:t xml:space="preserve">No pamatnostādņu projekta nav skaidrs, kādām būtu jābūt prasībām azartspēļu organizēšanas vietu vizuālajām noformējumam, jo vadlīnijās šis aspekts nav analizēts. No konteksta var izsecināt, ka noformējumam jābūt atbilstošam prasībām, kas mazina ietekmi uz kultūrvēsturisko mantojumu, bet tādas prasības jau šobrīd pastāv gan Vēsturiskā centra saglabāšanas un aizsardzības likumā, gan, kā, piemēram, norādījusi Rīgas dome, arī Rīgas vēsturiskā centra un tā aizsardzības zonas teritorijas </w:t>
            </w:r>
            <w:r w:rsidRPr="00DE1A22">
              <w:rPr>
                <w:rFonts w:ascii="Times New Roman" w:hAnsi="Times New Roman"/>
                <w:sz w:val="24"/>
                <w:szCs w:val="24"/>
              </w:rPr>
              <w:lastRenderedPageBreak/>
              <w:t>plānojumā un Rīgas teritorijas plānojumā 2006.</w:t>
            </w:r>
            <w:r w:rsidR="00E94B9E" w:rsidRPr="00DE1A22">
              <w:rPr>
                <w:rFonts w:ascii="Times New Roman" w:hAnsi="Times New Roman"/>
                <w:sz w:val="24"/>
                <w:szCs w:val="24"/>
              </w:rPr>
              <w:t xml:space="preserve"> – </w:t>
            </w:r>
            <w:r w:rsidRPr="00DE1A22">
              <w:rPr>
                <w:rFonts w:ascii="Times New Roman" w:hAnsi="Times New Roman"/>
                <w:sz w:val="24"/>
                <w:szCs w:val="24"/>
              </w:rPr>
              <w:t>2018.;</w:t>
            </w:r>
          </w:p>
          <w:p w14:paraId="7D75B41F" w14:textId="77777777" w:rsidR="005B04CB" w:rsidRPr="00DE1A22" w:rsidRDefault="005B04CB" w:rsidP="005B04CB">
            <w:pPr>
              <w:pStyle w:val="ListParagraph"/>
              <w:numPr>
                <w:ilvl w:val="0"/>
                <w:numId w:val="4"/>
              </w:numPr>
              <w:spacing w:after="160" w:line="240" w:lineRule="auto"/>
              <w:ind w:left="0" w:firstLine="28"/>
              <w:jc w:val="both"/>
              <w:rPr>
                <w:rFonts w:ascii="Times New Roman" w:hAnsi="Times New Roman"/>
                <w:sz w:val="24"/>
                <w:szCs w:val="24"/>
              </w:rPr>
            </w:pPr>
            <w:r w:rsidRPr="00DE1A22">
              <w:rPr>
                <w:rFonts w:ascii="Times New Roman" w:hAnsi="Times New Roman"/>
                <w:sz w:val="24"/>
                <w:szCs w:val="24"/>
              </w:rPr>
              <w:t>Savukārt, sabiedriskās kārtības efektīva kontrole jānodrošina jebkurā pilsētas apdzīvotā teritorijā, īpaši ekonomiski un sociāli visaktīvākajās pilsētas teritorijās. Līdz ar to kritērijs nonāk pretrunā ar diviem iepriekš izvirzītajiem kritērijiem, kā rezultātā, piemēram Rīgas pilsētā, kas Latvijas mērogā ir uzskatāma par blīvi apdzīvotu teritoriju ar salīdzinoši blīvi izvietotu kultūrvēsturisko mantojumu arī ārpus Rīgas vēsturiskā centra un tā aizsardzības zonas, nav iespējams, balstoties uz iepriekš minētajiem kritērijiem, objektīvi noteikt konkrētas teritorijas.</w:t>
            </w:r>
          </w:p>
          <w:p w14:paraId="278C0366" w14:textId="77777777" w:rsidR="005B04CB" w:rsidRPr="00DE1A22" w:rsidRDefault="005B04CB" w:rsidP="005B04CB">
            <w:pPr>
              <w:jc w:val="both"/>
              <w:rPr>
                <w:rFonts w:eastAsia="Times New Roman"/>
                <w:sz w:val="24"/>
                <w:szCs w:val="24"/>
              </w:rPr>
            </w:pPr>
            <w:r w:rsidRPr="00DE1A22">
              <w:rPr>
                <w:sz w:val="24"/>
                <w:szCs w:val="24"/>
              </w:rPr>
              <w:t xml:space="preserve">Ņemot vērā iepriekš minēto, LLPA ieskatā likumā ir jāparedz konkrēti, objektīvi izmērāmi kritēriji, vai, ja tādus nav iespējams noteikt, tad rosinām izdarīt grozījumus Azartspēļu un izložu likumā (turpmāk – AIL), nosakot, ka azartspēļu organizēšana ir pieļaujama tikai 4 un 5 zvaigžņu viesnīcās, atsaucoties uz pielikumā pievienoto “ESOŠĀS SITUĀCIJAS VISPĀRĪGS RAKSTUROJUMS”, kurā minēts, ka </w:t>
            </w:r>
            <w:r w:rsidRPr="00DE1A22">
              <w:rPr>
                <w:i/>
                <w:sz w:val="24"/>
                <w:szCs w:val="24"/>
              </w:rPr>
              <w:t xml:space="preserve">“vēsturiski kazino ES valstīs un Amerikas Savienotajās valstīs bija izvietotas ārpus blīvi apdzīvotām vietām un koncentrētas tūristu iecienītajās teritorijās, orientējot azartspēles kā eksporta preci (“gambling go home with the tourist”). Šī principa saglabāšana un uzsvēršana ir nozīmīga </w:t>
            </w:r>
            <w:r w:rsidRPr="00DE1A22">
              <w:rPr>
                <w:i/>
                <w:sz w:val="24"/>
                <w:szCs w:val="24"/>
              </w:rPr>
              <w:lastRenderedPageBreak/>
              <w:t>azartspēļu problemātisku spēlēšanas paradumu ierobežošanā”.</w:t>
            </w:r>
          </w:p>
        </w:tc>
        <w:tc>
          <w:tcPr>
            <w:tcW w:w="3118" w:type="dxa"/>
          </w:tcPr>
          <w:p w14:paraId="416B1687" w14:textId="77777777" w:rsidR="005B04CB" w:rsidRPr="00DE1A22" w:rsidRDefault="005B04CB" w:rsidP="005B04CB">
            <w:pPr>
              <w:jc w:val="center"/>
              <w:rPr>
                <w:rFonts w:eastAsia="Times New Roman"/>
                <w:b/>
                <w:bCs/>
                <w:sz w:val="24"/>
                <w:szCs w:val="24"/>
                <w:lang w:eastAsia="lv-LV"/>
              </w:rPr>
            </w:pPr>
            <w:r w:rsidRPr="00DE1A22">
              <w:rPr>
                <w:rFonts w:eastAsia="Times New Roman"/>
                <w:b/>
                <w:bCs/>
                <w:sz w:val="24"/>
                <w:szCs w:val="24"/>
                <w:lang w:eastAsia="lv-LV"/>
              </w:rPr>
              <w:lastRenderedPageBreak/>
              <w:t>Ņemts vērā.</w:t>
            </w:r>
          </w:p>
          <w:p w14:paraId="444C14E8" w14:textId="77777777" w:rsidR="005B04CB" w:rsidRPr="00DE1A22" w:rsidRDefault="005B04CB" w:rsidP="005B04CB">
            <w:pPr>
              <w:tabs>
                <w:tab w:val="left" w:pos="0"/>
                <w:tab w:val="left" w:pos="709"/>
                <w:tab w:val="left" w:pos="993"/>
              </w:tabs>
              <w:suppressAutoHyphens/>
              <w:jc w:val="both"/>
              <w:outlineLvl w:val="3"/>
              <w:rPr>
                <w:rFonts w:eastAsia="Times New Roman"/>
                <w:b/>
                <w:bCs/>
                <w:sz w:val="24"/>
                <w:szCs w:val="24"/>
                <w:lang w:eastAsia="lv-LV"/>
              </w:rPr>
            </w:pPr>
          </w:p>
        </w:tc>
        <w:tc>
          <w:tcPr>
            <w:tcW w:w="3402" w:type="dxa"/>
          </w:tcPr>
          <w:p w14:paraId="35CAD648" w14:textId="77777777" w:rsidR="005B04CB" w:rsidRPr="00DE1A22" w:rsidRDefault="002635C9" w:rsidP="005B04CB">
            <w:pPr>
              <w:jc w:val="both"/>
              <w:rPr>
                <w:rFonts w:eastAsia="Times New Roman"/>
                <w:sz w:val="24"/>
                <w:szCs w:val="24"/>
              </w:rPr>
            </w:pPr>
            <w:r w:rsidRPr="00DE1A22">
              <w:rPr>
                <w:rFonts w:eastAsia="Times New Roman"/>
                <w:bCs/>
                <w:sz w:val="24"/>
                <w:szCs w:val="24"/>
                <w:lang w:eastAsia="lv-LV"/>
              </w:rPr>
              <w:t>Uzdevums zaudējis aktualitāti un dzēsts no projekta.</w:t>
            </w:r>
          </w:p>
        </w:tc>
      </w:tr>
      <w:tr w:rsidR="005B04CB" w:rsidRPr="00DE1A22" w14:paraId="334EA447" w14:textId="77777777" w:rsidTr="00BF4AE7">
        <w:tc>
          <w:tcPr>
            <w:tcW w:w="846" w:type="dxa"/>
            <w:gridSpan w:val="2"/>
          </w:tcPr>
          <w:p w14:paraId="1BBC9F7E" w14:textId="77777777" w:rsidR="005B04CB" w:rsidRPr="00DE1A22" w:rsidRDefault="00CB4782" w:rsidP="005B04CB">
            <w:pPr>
              <w:spacing w:before="100" w:beforeAutospacing="1" w:after="100" w:afterAutospacing="1"/>
              <w:jc w:val="center"/>
              <w:rPr>
                <w:rFonts w:eastAsia="Times New Roman"/>
                <w:sz w:val="24"/>
                <w:szCs w:val="24"/>
                <w:lang w:eastAsia="lv-LV"/>
              </w:rPr>
            </w:pPr>
            <w:r w:rsidRPr="00DE1A22">
              <w:rPr>
                <w:rFonts w:eastAsia="Times New Roman"/>
                <w:sz w:val="24"/>
                <w:szCs w:val="24"/>
                <w:lang w:eastAsia="lv-LV"/>
              </w:rPr>
              <w:lastRenderedPageBreak/>
              <w:t>17.</w:t>
            </w:r>
          </w:p>
        </w:tc>
        <w:tc>
          <w:tcPr>
            <w:tcW w:w="2977" w:type="dxa"/>
          </w:tcPr>
          <w:p w14:paraId="2E3F5E2C" w14:textId="77777777" w:rsidR="005B04CB" w:rsidRPr="00DE1A22" w:rsidRDefault="005B04CB" w:rsidP="005B04CB">
            <w:pPr>
              <w:jc w:val="both"/>
              <w:rPr>
                <w:rFonts w:eastAsia="Times New Roman"/>
                <w:sz w:val="24"/>
                <w:szCs w:val="24"/>
                <w:lang w:eastAsia="lv-LV"/>
              </w:rPr>
            </w:pPr>
            <w:r w:rsidRPr="00DE1A22">
              <w:rPr>
                <w:rFonts w:eastAsia="Times New Roman"/>
                <w:sz w:val="24"/>
                <w:szCs w:val="24"/>
                <w:lang w:eastAsia="lv-LV"/>
              </w:rPr>
              <w:t>Projekta 4. sadaļas “Rīcības virzieni un uzdevumi” 2. Rīcības virziena “Azartspēļu un izložu pieejamības regulēšana” 5. punkts.</w:t>
            </w:r>
          </w:p>
        </w:tc>
        <w:tc>
          <w:tcPr>
            <w:tcW w:w="4394" w:type="dxa"/>
          </w:tcPr>
          <w:p w14:paraId="500C76B4" w14:textId="77777777" w:rsidR="005B04CB" w:rsidRPr="00DE1A22" w:rsidRDefault="005B04CB" w:rsidP="005B04CB">
            <w:pPr>
              <w:contextualSpacing/>
              <w:jc w:val="both"/>
              <w:rPr>
                <w:rFonts w:eastAsia="Times New Roman"/>
                <w:b/>
                <w:sz w:val="24"/>
                <w:szCs w:val="24"/>
                <w:lang w:eastAsia="lv-LV"/>
              </w:rPr>
            </w:pPr>
            <w:r w:rsidRPr="00DE1A22">
              <w:rPr>
                <w:rFonts w:eastAsia="Times New Roman"/>
                <w:b/>
                <w:sz w:val="24"/>
                <w:szCs w:val="24"/>
                <w:lang w:eastAsia="lv-LV"/>
              </w:rPr>
              <w:t>Tieslietu ministrija (18.03.2019. Nr.1-9.1/295)</w:t>
            </w:r>
          </w:p>
          <w:p w14:paraId="0932C47D" w14:textId="77777777" w:rsidR="005B04CB" w:rsidRPr="00DE1A22" w:rsidRDefault="005B04CB" w:rsidP="005B04CB">
            <w:pPr>
              <w:jc w:val="both"/>
              <w:rPr>
                <w:sz w:val="23"/>
                <w:szCs w:val="23"/>
              </w:rPr>
            </w:pPr>
            <w:r w:rsidRPr="00DE1A22">
              <w:rPr>
                <w:rFonts w:eastAsia="Times New Roman"/>
                <w:sz w:val="23"/>
                <w:szCs w:val="23"/>
                <w:lang w:eastAsia="lv-LV"/>
              </w:rPr>
              <w:t xml:space="preserve">Lūdzam papildināt </w:t>
            </w:r>
            <w:r w:rsidRPr="00DE1A22">
              <w:rPr>
                <w:sz w:val="23"/>
                <w:szCs w:val="23"/>
              </w:rPr>
              <w:t xml:space="preserve">pamatnostādņu projekta 2. punktu </w:t>
            </w:r>
            <w:r w:rsidRPr="00DE1A22">
              <w:rPr>
                <w:rFonts w:eastAsia="Times New Roman"/>
                <w:sz w:val="23"/>
                <w:szCs w:val="23"/>
                <w:lang w:eastAsia="lv-LV"/>
              </w:rPr>
              <w:t>“</w:t>
            </w:r>
            <w:r w:rsidRPr="00DE1A22">
              <w:rPr>
                <w:sz w:val="23"/>
                <w:szCs w:val="23"/>
              </w:rPr>
              <w:t>Azartspēļu un izložu pieejamības regulēšana” ar 5. punktu šādā redakcijā: “personām, kas ir Uzturlīdzekļu garantiju fonda administrācijas parādnieki, normatīvajos aktos nosakāms ierobežojums dalībai azartspēlēs (kazino, laimētavās) kā arī interaktīvajās azartspēlēs, vienlaicīgi nodrošinot šāda ierobežojuma kontroles mehānismu</w:t>
            </w:r>
            <w:r w:rsidRPr="00DE1A22">
              <w:rPr>
                <w:rFonts w:eastAsia="Times New Roman"/>
                <w:sz w:val="23"/>
                <w:szCs w:val="23"/>
                <w:lang w:eastAsia="lv-LV"/>
              </w:rPr>
              <w:t>”</w:t>
            </w:r>
            <w:r w:rsidRPr="00DE1A22">
              <w:rPr>
                <w:sz w:val="23"/>
                <w:szCs w:val="23"/>
              </w:rPr>
              <w:t>, ņemot vērā tālāk minēto.</w:t>
            </w:r>
          </w:p>
          <w:p w14:paraId="7BA8B4DE" w14:textId="77777777" w:rsidR="005B04CB" w:rsidRPr="00DE1A22" w:rsidRDefault="005B04CB" w:rsidP="005B04CB">
            <w:pPr>
              <w:jc w:val="both"/>
              <w:rPr>
                <w:rFonts w:eastAsia="Times New Roman"/>
                <w:sz w:val="23"/>
                <w:szCs w:val="23"/>
                <w:lang w:eastAsia="lv-LV"/>
              </w:rPr>
            </w:pPr>
            <w:r w:rsidRPr="00DE1A22">
              <w:rPr>
                <w:sz w:val="23"/>
                <w:szCs w:val="23"/>
              </w:rPr>
              <w:t xml:space="preserve">Izmaksāto </w:t>
            </w:r>
            <w:r w:rsidRPr="00DE1A22">
              <w:rPr>
                <w:rFonts w:eastAsia="Times New Roman"/>
                <w:sz w:val="23"/>
                <w:szCs w:val="23"/>
                <w:lang w:eastAsia="lv-LV"/>
              </w:rPr>
              <w:t>uzturlīdzekļu apmērs no Uzturlīdzekļu garantiju fonda</w:t>
            </w:r>
            <w:r w:rsidRPr="00DE1A22">
              <w:rPr>
                <w:sz w:val="23"/>
                <w:szCs w:val="23"/>
              </w:rPr>
              <w:t xml:space="preserve"> (turpmāk – Fonds) </w:t>
            </w:r>
            <w:r w:rsidRPr="00DE1A22">
              <w:rPr>
                <w:rFonts w:eastAsia="Times New Roman"/>
                <w:sz w:val="23"/>
                <w:szCs w:val="23"/>
                <w:lang w:eastAsia="lv-LV"/>
              </w:rPr>
              <w:t>joprojām ir ļoti augsts, piemēram, 2019. gada janvārī uzturlīdzekļi no Fonda tika izmaksāti kopā vairāk nekā 4 miljonu eiro apmērā 39 785 parādnieku vietā. Ņemot vērā minēto, Tieslietu ministrija turpina veikt darbu pie dažādu risinājumu ieviešanas, tajā skaitā, lai ar dažādu piespiedu līdzekļu palīdzību veicinātu vecākiem noteiktā pienākuma izpildi nodrošināt uzturlīdzekļus bērnam vismaz Ministru kabineta noteiktajā minimālajā apmērā.</w:t>
            </w:r>
          </w:p>
          <w:p w14:paraId="122F911A" w14:textId="77777777" w:rsidR="005B04CB" w:rsidRPr="00DE1A22" w:rsidRDefault="005B04CB" w:rsidP="005B04CB">
            <w:pPr>
              <w:jc w:val="both"/>
              <w:rPr>
                <w:rFonts w:eastAsia="Times New Roman"/>
                <w:sz w:val="23"/>
                <w:szCs w:val="23"/>
                <w:lang w:eastAsia="lv-LV"/>
              </w:rPr>
            </w:pPr>
            <w:r w:rsidRPr="00DE1A22">
              <w:rPr>
                <w:rFonts w:eastAsia="Times New Roman"/>
                <w:sz w:val="23"/>
                <w:szCs w:val="23"/>
                <w:lang w:eastAsia="lv-LV"/>
              </w:rPr>
              <w:t xml:space="preserve">Uzturlīdzekļu garantiju fonda likumā jau šobrīd paredzēti vairāki ierobežojumi parādniekiem, lai motivētu parādniekus pildīt ar likumu noteikto pienākumu – nodrošināt bērnu ar uzturlīdzekļiem. </w:t>
            </w:r>
            <w:r w:rsidRPr="00DE1A22">
              <w:rPr>
                <w:sz w:val="23"/>
                <w:szCs w:val="23"/>
              </w:rPr>
              <w:t xml:space="preserve">No 2017. gada 1. februāra parādnieku dati pieejami, autorizējoties portālā </w:t>
            </w:r>
            <w:hyperlink r:id="rId8" w:history="1">
              <w:r w:rsidRPr="00DE1A22">
                <w:rPr>
                  <w:rStyle w:val="Hyperlink"/>
                  <w:color w:val="auto"/>
                  <w:sz w:val="23"/>
                  <w:szCs w:val="23"/>
                </w:rPr>
                <w:t>www.latvija.lv</w:t>
              </w:r>
            </w:hyperlink>
            <w:r w:rsidRPr="00DE1A22">
              <w:rPr>
                <w:rStyle w:val="Hyperlink"/>
                <w:color w:val="auto"/>
                <w:sz w:val="23"/>
                <w:szCs w:val="23"/>
              </w:rPr>
              <w:t>. Datu bāzē iekļautas ziņas par aptuveni 22 tūkstošiem personu.</w:t>
            </w:r>
          </w:p>
          <w:p w14:paraId="45DE4E03" w14:textId="77777777" w:rsidR="005B04CB" w:rsidRPr="00DE1A22" w:rsidRDefault="005B04CB" w:rsidP="005B04CB">
            <w:pPr>
              <w:autoSpaceDE w:val="0"/>
              <w:autoSpaceDN w:val="0"/>
              <w:adjustRightInd w:val="0"/>
              <w:jc w:val="both"/>
              <w:rPr>
                <w:sz w:val="23"/>
                <w:szCs w:val="23"/>
              </w:rPr>
            </w:pPr>
            <w:r w:rsidRPr="00DE1A22">
              <w:rPr>
                <w:sz w:val="23"/>
                <w:szCs w:val="23"/>
              </w:rPr>
              <w:lastRenderedPageBreak/>
              <w:t xml:space="preserve">Attiecībā uz aizliegumu uzturlīdzekļu parādniekiem spēlēt azartspēles, norādām, ka šobrīd Latvijā pienākums reģistrēties un katrā apmeklējuma reizē uzrādīt personu apliecinošu dokumentu vai klienta karti vai autentificēties, izmantojot savus personas datus, ir spēkā attiecībā uz 6 kazino un 7 interaktīvajiem kazino. Šie kazino ir iekļauti </w:t>
            </w:r>
            <w:r w:rsidRPr="00DE1A22">
              <w:rPr>
                <w:bCs/>
                <w:sz w:val="23"/>
                <w:szCs w:val="23"/>
              </w:rPr>
              <w:t>Centralizētajā kazino apmeklētāju reģistrā</w:t>
            </w:r>
            <w:r w:rsidRPr="00DE1A22">
              <w:rPr>
                <w:sz w:val="23"/>
                <w:szCs w:val="23"/>
              </w:rPr>
              <w:t xml:space="preserve">. Attiecīgi, lai aizliegumu varētu piemērot, būtu nepieciešams veikt Izložu un azartspēļu uzraudzības inspekcijas pārziņā esošā </w:t>
            </w:r>
            <w:r w:rsidRPr="00DE1A22">
              <w:rPr>
                <w:bCs/>
                <w:sz w:val="23"/>
                <w:szCs w:val="23"/>
              </w:rPr>
              <w:t>Centralizētā kazino apmeklētāju reģistra</w:t>
            </w:r>
            <w:r w:rsidRPr="00DE1A22">
              <w:rPr>
                <w:sz w:val="23"/>
                <w:szCs w:val="23"/>
              </w:rPr>
              <w:t xml:space="preserve"> pilnveidošanu. Vienlaikus tika diskutēts, ka aizliegums uzturlīdzekļu parādniekiem spēlēt azartspēles daudz efektīvāk sasniegtu mērķi, ja tiktu attiecināts arī uz spēļu zālēm/laimētavām, taču šāda ierobežojuma ieviešana prasa izmaiņas attiecīgās nozares normatīvajos aktos, jo šobrīd spēļu zālēs/laimētavās netiek veikta personu reģistrācija un nav kontroles mehānisma. </w:t>
            </w:r>
          </w:p>
          <w:p w14:paraId="7C63B270" w14:textId="77777777" w:rsidR="005B04CB" w:rsidRPr="00DE1A22" w:rsidRDefault="005B04CB" w:rsidP="00173AED">
            <w:pPr>
              <w:autoSpaceDE w:val="0"/>
              <w:autoSpaceDN w:val="0"/>
              <w:adjustRightInd w:val="0"/>
              <w:jc w:val="both"/>
              <w:rPr>
                <w:rFonts w:eastAsia="Times New Roman"/>
                <w:b/>
                <w:sz w:val="24"/>
                <w:szCs w:val="24"/>
                <w:lang w:eastAsia="lv-LV"/>
              </w:rPr>
            </w:pPr>
            <w:r w:rsidRPr="00DE1A22">
              <w:rPr>
                <w:sz w:val="23"/>
                <w:szCs w:val="23"/>
              </w:rPr>
              <w:t xml:space="preserve">Ierobežojums parādniekiem spēlēt azartspēles tika atbalstīts arī Tieslietu ministrijas rīkotajā sanāksmē 2018. gada 16. maijā, kurā piedalījās </w:t>
            </w:r>
            <w:r w:rsidRPr="00DE1A22">
              <w:rPr>
                <w:sz w:val="23"/>
                <w:szCs w:val="23"/>
                <w:lang w:eastAsia="lv-LV"/>
              </w:rPr>
              <w:t xml:space="preserve">Uzturlīdzekļu garantiju fonda administrācijas, Finanšu ministrijas, </w:t>
            </w:r>
            <w:r w:rsidRPr="00DE1A22">
              <w:rPr>
                <w:sz w:val="23"/>
                <w:szCs w:val="23"/>
              </w:rPr>
              <w:t xml:space="preserve">Valsts policijas, Vides aizsardzības un reģionālās attīstības ministrijas, Iekšlietu ministrijas, Latvijas Zvērinātu tiesu izpildītāju padomes, Labklājības ministrijas pārstāvji, deputāts I. Parādnieks u.c. Sanāksmē Finanšu ministrijas Nodokļu administrēšanas un sabiedrības interešu politiku departamenta pārstāvji norādīja, ka pēc tam, kad tiks izveidots azartspēļu atkarīgo personu reģistrs, izvērtējama iespēja paredzēt </w:t>
            </w:r>
            <w:r w:rsidRPr="00DE1A22">
              <w:rPr>
                <w:sz w:val="23"/>
                <w:szCs w:val="23"/>
              </w:rPr>
              <w:lastRenderedPageBreak/>
              <w:t>arī regulējumu, kas uzturlīdzekļu parādniekiem liedz spēlēt azartspēles. Šāds regulējums būtu atbalstāms, un meklējami risinājumi nepieciešamo informācijas sistēmu izstrādei un pielāgošanai, lai ierobežojumu nostiprinātu normatīvajos ak</w:t>
            </w:r>
            <w:r w:rsidR="00173AED" w:rsidRPr="00DE1A22">
              <w:rPr>
                <w:sz w:val="23"/>
                <w:szCs w:val="23"/>
              </w:rPr>
              <w:t>tos.</w:t>
            </w:r>
          </w:p>
        </w:tc>
        <w:tc>
          <w:tcPr>
            <w:tcW w:w="3118" w:type="dxa"/>
          </w:tcPr>
          <w:p w14:paraId="17C15B5D" w14:textId="77777777" w:rsidR="005B04CB" w:rsidRPr="00DE1A22" w:rsidRDefault="005B04CB" w:rsidP="005B04CB">
            <w:pPr>
              <w:jc w:val="center"/>
              <w:rPr>
                <w:rFonts w:eastAsia="Times New Roman"/>
                <w:b/>
                <w:bCs/>
                <w:sz w:val="24"/>
                <w:szCs w:val="24"/>
                <w:lang w:eastAsia="lv-LV"/>
              </w:rPr>
            </w:pPr>
            <w:r w:rsidRPr="00DE1A22">
              <w:rPr>
                <w:rFonts w:eastAsia="Times New Roman"/>
                <w:b/>
                <w:bCs/>
                <w:sz w:val="24"/>
                <w:szCs w:val="24"/>
                <w:lang w:eastAsia="lv-LV"/>
              </w:rPr>
              <w:lastRenderedPageBreak/>
              <w:t>Ņemts vērā.</w:t>
            </w:r>
          </w:p>
          <w:p w14:paraId="6FDACF2E" w14:textId="77777777" w:rsidR="005B04CB" w:rsidRPr="00DE1A22" w:rsidRDefault="005B04CB" w:rsidP="005B04CB">
            <w:pPr>
              <w:jc w:val="both"/>
              <w:rPr>
                <w:rFonts w:eastAsia="Times New Roman"/>
                <w:b/>
                <w:bCs/>
                <w:sz w:val="24"/>
                <w:szCs w:val="24"/>
                <w:lang w:eastAsia="lv-LV"/>
              </w:rPr>
            </w:pPr>
          </w:p>
        </w:tc>
        <w:tc>
          <w:tcPr>
            <w:tcW w:w="3402" w:type="dxa"/>
          </w:tcPr>
          <w:p w14:paraId="384B1418" w14:textId="77777777" w:rsidR="005B04CB" w:rsidRPr="00DE1A22" w:rsidRDefault="00173AED" w:rsidP="005B04CB">
            <w:pPr>
              <w:jc w:val="both"/>
              <w:rPr>
                <w:rFonts w:eastAsia="Times New Roman"/>
                <w:sz w:val="24"/>
                <w:szCs w:val="24"/>
                <w:lang w:eastAsia="lv-LV"/>
              </w:rPr>
            </w:pPr>
            <w:r w:rsidRPr="00DE1A22">
              <w:rPr>
                <w:rFonts w:eastAsia="Times New Roman"/>
                <w:bCs/>
                <w:sz w:val="24"/>
                <w:szCs w:val="24"/>
                <w:lang w:eastAsia="lv-LV"/>
              </w:rPr>
              <w:t>Jaunajā redakcijā 4. sadaļas “Rīcības virzieni un uzdevumi” 1. Rīcības virziens “1. Rīcības virziens – Atkarības profilakses, preventīvie, problemātiskā spēlētāja atbalsts un sabiedrības izglītojoši pasākumi” 14. punkts “AIL noteikt aizliegumu uzturlīdzekļu nemaksātajiem piedalīties azartspēlēs”.</w:t>
            </w:r>
          </w:p>
        </w:tc>
      </w:tr>
      <w:tr w:rsidR="005B04CB" w:rsidRPr="00DE1A22" w14:paraId="752C3855" w14:textId="77777777" w:rsidTr="00BF4AE7">
        <w:tc>
          <w:tcPr>
            <w:tcW w:w="846" w:type="dxa"/>
            <w:gridSpan w:val="2"/>
          </w:tcPr>
          <w:p w14:paraId="6B00FD2D" w14:textId="77777777" w:rsidR="005B04CB" w:rsidRPr="00DE1A22" w:rsidRDefault="00CB4782" w:rsidP="005B04CB">
            <w:pPr>
              <w:spacing w:before="100" w:beforeAutospacing="1" w:after="100" w:afterAutospacing="1"/>
              <w:jc w:val="center"/>
              <w:rPr>
                <w:rFonts w:eastAsia="Times New Roman"/>
                <w:sz w:val="24"/>
                <w:szCs w:val="24"/>
                <w:lang w:eastAsia="lv-LV"/>
              </w:rPr>
            </w:pPr>
            <w:r w:rsidRPr="00DE1A22">
              <w:rPr>
                <w:rFonts w:eastAsia="Times New Roman"/>
                <w:sz w:val="24"/>
                <w:szCs w:val="24"/>
                <w:lang w:eastAsia="lv-LV"/>
              </w:rPr>
              <w:lastRenderedPageBreak/>
              <w:t>18.</w:t>
            </w:r>
          </w:p>
        </w:tc>
        <w:tc>
          <w:tcPr>
            <w:tcW w:w="2977" w:type="dxa"/>
          </w:tcPr>
          <w:p w14:paraId="1FFD88D5" w14:textId="77777777" w:rsidR="005B04CB" w:rsidRPr="00DE1A22" w:rsidRDefault="005B04CB" w:rsidP="005B04CB">
            <w:pPr>
              <w:jc w:val="both"/>
              <w:rPr>
                <w:rFonts w:eastAsia="Times New Roman"/>
                <w:sz w:val="24"/>
                <w:szCs w:val="24"/>
                <w:lang w:eastAsia="lv-LV"/>
              </w:rPr>
            </w:pPr>
            <w:r w:rsidRPr="00DE1A22">
              <w:rPr>
                <w:rFonts w:eastAsia="Times New Roman"/>
                <w:sz w:val="24"/>
                <w:szCs w:val="24"/>
                <w:lang w:eastAsia="lv-LV"/>
              </w:rPr>
              <w:t>Projekta 4. sadaļas “Rīcības virzieni un uzdevumi” 2. Rīcības virziena “Azartspēļu un izložu pieejamības regulēšana” 5. punkts.</w:t>
            </w:r>
          </w:p>
        </w:tc>
        <w:tc>
          <w:tcPr>
            <w:tcW w:w="4394" w:type="dxa"/>
          </w:tcPr>
          <w:p w14:paraId="5C7712FE" w14:textId="77777777" w:rsidR="005B04CB" w:rsidRPr="00DE1A22" w:rsidRDefault="005B04CB" w:rsidP="005B04CB">
            <w:pPr>
              <w:contextualSpacing/>
              <w:jc w:val="both"/>
              <w:rPr>
                <w:rFonts w:eastAsia="Times New Roman"/>
                <w:b/>
                <w:sz w:val="24"/>
                <w:szCs w:val="24"/>
                <w:lang w:eastAsia="lv-LV"/>
              </w:rPr>
            </w:pPr>
            <w:r w:rsidRPr="00DE1A22">
              <w:rPr>
                <w:rFonts w:eastAsia="Times New Roman"/>
                <w:b/>
                <w:sz w:val="24"/>
                <w:szCs w:val="24"/>
                <w:lang w:eastAsia="lv-LV"/>
              </w:rPr>
              <w:t>Labklājības ministrija (08.03.2019.)</w:t>
            </w:r>
          </w:p>
          <w:p w14:paraId="5F207C47" w14:textId="77777777" w:rsidR="005B04CB" w:rsidRPr="00DE1A22" w:rsidRDefault="005B04CB" w:rsidP="005B04CB">
            <w:pPr>
              <w:contextualSpacing/>
              <w:jc w:val="both"/>
              <w:rPr>
                <w:rFonts w:eastAsia="Times New Roman"/>
                <w:b/>
                <w:sz w:val="24"/>
                <w:szCs w:val="24"/>
                <w:lang w:eastAsia="lv-LV"/>
              </w:rPr>
            </w:pPr>
            <w:r w:rsidRPr="00DE1A22">
              <w:rPr>
                <w:rFonts w:eastAsia="Times New Roman"/>
                <w:sz w:val="24"/>
                <w:szCs w:val="24"/>
                <w:lang w:eastAsia="lv-LV"/>
              </w:rPr>
              <w:t>Labklājības ministrija ierosina paredzēt ierobežojumus dalībai azartspēlēs personām, kuras izvairās maksāt uzturlīdzekļus bērna uzturam un kuru vietā uzturlīdzekļi tiek izmaksāti no Uzturlīdzekļu garantiju fonda, Pamatnostādņu projekta 4.sadaļā “Rīcības virzieni un uzdevumi” otrajā rīcības virzienā “Azartspēļu un izložu pieejamības regulēšana” iekļaujot atbilstošu uzdevumu vai papildinot uzdevumu “Normatīvajos aktos noteikt ierobežojumus sociāli neaizsargāto personu dalībai azartspēlēs. Pasākuma īstenošana ir tehniski iespējama pēc vienota azartspēļu spēlētāju reģistra ieviešanas un reģistra datu savietošanas no valsts un pašvaldību informācijas sistēmām par attiecīgajiem iedzīvotājiem piešķirtajiem statusiem.”</w:t>
            </w:r>
          </w:p>
        </w:tc>
        <w:tc>
          <w:tcPr>
            <w:tcW w:w="3118" w:type="dxa"/>
          </w:tcPr>
          <w:p w14:paraId="7C4CA01B" w14:textId="77777777" w:rsidR="005B04CB" w:rsidRPr="00DE1A22" w:rsidRDefault="005B04CB" w:rsidP="005B04CB">
            <w:pPr>
              <w:jc w:val="center"/>
              <w:rPr>
                <w:rFonts w:eastAsia="Times New Roman"/>
                <w:b/>
                <w:bCs/>
                <w:sz w:val="24"/>
                <w:szCs w:val="24"/>
                <w:lang w:eastAsia="lv-LV"/>
              </w:rPr>
            </w:pPr>
            <w:r w:rsidRPr="00DE1A22">
              <w:rPr>
                <w:rFonts w:eastAsia="Times New Roman"/>
                <w:b/>
                <w:bCs/>
                <w:sz w:val="24"/>
                <w:szCs w:val="24"/>
                <w:lang w:eastAsia="lv-LV"/>
              </w:rPr>
              <w:t>Ņemts vērā.</w:t>
            </w:r>
          </w:p>
          <w:p w14:paraId="22A736BA" w14:textId="77777777" w:rsidR="005B04CB" w:rsidRPr="00DE1A22" w:rsidRDefault="005B04CB" w:rsidP="005B04CB">
            <w:pPr>
              <w:jc w:val="both"/>
              <w:rPr>
                <w:rFonts w:eastAsia="Times New Roman"/>
                <w:b/>
                <w:bCs/>
                <w:sz w:val="24"/>
                <w:szCs w:val="24"/>
                <w:lang w:eastAsia="lv-LV"/>
              </w:rPr>
            </w:pPr>
          </w:p>
        </w:tc>
        <w:tc>
          <w:tcPr>
            <w:tcW w:w="3402" w:type="dxa"/>
          </w:tcPr>
          <w:p w14:paraId="03EB4E6C" w14:textId="77777777" w:rsidR="005B04CB" w:rsidRPr="00DE1A22" w:rsidRDefault="00173AED" w:rsidP="005B04CB">
            <w:pPr>
              <w:jc w:val="both"/>
              <w:rPr>
                <w:rFonts w:eastAsia="Times New Roman"/>
                <w:sz w:val="24"/>
                <w:szCs w:val="24"/>
                <w:lang w:eastAsia="lv-LV"/>
              </w:rPr>
            </w:pPr>
            <w:r w:rsidRPr="00DE1A22">
              <w:rPr>
                <w:rFonts w:eastAsia="Times New Roman"/>
                <w:bCs/>
                <w:sz w:val="24"/>
                <w:szCs w:val="24"/>
                <w:lang w:eastAsia="lv-LV"/>
              </w:rPr>
              <w:t>Jaunajā redakcijā 4. sadaļas “Rīcības virzieni un uzdevumi” 1. Rīcības virziens “1. Rīcības virziens – Atkarības profilakses, preventīvie, problemātiskā spēlētāja atbalsts un sabiedrības izglītojoši pasākumi” 14. punkts “AIL noteikt aizliegumu uzturlīdzekļu nemaksātajiem piedalīties azartspēlēs”.</w:t>
            </w:r>
          </w:p>
        </w:tc>
      </w:tr>
      <w:tr w:rsidR="00AB74B7" w:rsidRPr="00DE1A22" w14:paraId="3C78C42A" w14:textId="77777777" w:rsidTr="006064FE">
        <w:tc>
          <w:tcPr>
            <w:tcW w:w="846" w:type="dxa"/>
            <w:gridSpan w:val="2"/>
          </w:tcPr>
          <w:p w14:paraId="3C7A1070" w14:textId="77777777" w:rsidR="00AB74B7" w:rsidRPr="00DE1A22" w:rsidRDefault="00AB74B7" w:rsidP="00AB74B7">
            <w:pPr>
              <w:spacing w:before="100" w:beforeAutospacing="1" w:after="100" w:afterAutospacing="1"/>
              <w:jc w:val="center"/>
              <w:rPr>
                <w:rFonts w:eastAsia="Times New Roman"/>
                <w:sz w:val="24"/>
                <w:szCs w:val="24"/>
                <w:lang w:eastAsia="lv-LV"/>
              </w:rPr>
            </w:pPr>
            <w:r w:rsidRPr="00DE1A22">
              <w:rPr>
                <w:rFonts w:eastAsia="Times New Roman"/>
                <w:sz w:val="24"/>
                <w:szCs w:val="24"/>
                <w:lang w:eastAsia="lv-LV"/>
              </w:rPr>
              <w:t>13.</w:t>
            </w:r>
          </w:p>
        </w:tc>
        <w:tc>
          <w:tcPr>
            <w:tcW w:w="2977" w:type="dxa"/>
          </w:tcPr>
          <w:p w14:paraId="31D56065" w14:textId="77777777" w:rsidR="00AB74B7" w:rsidRPr="00DE1A22" w:rsidRDefault="00AB74B7" w:rsidP="00AB74B7">
            <w:pPr>
              <w:jc w:val="both"/>
              <w:rPr>
                <w:rFonts w:eastAsia="Times New Roman"/>
                <w:sz w:val="24"/>
                <w:szCs w:val="24"/>
                <w:lang w:eastAsia="lv-LV"/>
              </w:rPr>
            </w:pPr>
            <w:r w:rsidRPr="00DE1A22">
              <w:rPr>
                <w:rFonts w:eastAsia="Times New Roman"/>
                <w:sz w:val="24"/>
                <w:szCs w:val="24"/>
                <w:lang w:eastAsia="lv-LV"/>
              </w:rPr>
              <w:t>Pamatnostādņu 4. sadaļas 3. rīcības virziens “Azartspēļu un izložu pieejamības regulēšana”.</w:t>
            </w:r>
          </w:p>
        </w:tc>
        <w:tc>
          <w:tcPr>
            <w:tcW w:w="4394" w:type="dxa"/>
          </w:tcPr>
          <w:p w14:paraId="61DFD603" w14:textId="77777777" w:rsidR="00AB74B7" w:rsidRPr="00DE1A22" w:rsidRDefault="00AB74B7" w:rsidP="00AB74B7">
            <w:pPr>
              <w:jc w:val="both"/>
              <w:rPr>
                <w:rFonts w:eastAsia="Times New Roman"/>
                <w:b/>
                <w:sz w:val="24"/>
                <w:szCs w:val="24"/>
              </w:rPr>
            </w:pPr>
            <w:r w:rsidRPr="00DE1A22">
              <w:rPr>
                <w:rFonts w:eastAsia="Times New Roman"/>
                <w:b/>
                <w:sz w:val="24"/>
                <w:szCs w:val="24"/>
              </w:rPr>
              <w:t>Latvijas Lielo pilsētu asociācija</w:t>
            </w:r>
          </w:p>
          <w:p w14:paraId="63220A54" w14:textId="77777777" w:rsidR="00AB74B7" w:rsidRPr="00DE1A22" w:rsidRDefault="00AB74B7" w:rsidP="00AB74B7">
            <w:pPr>
              <w:contextualSpacing/>
              <w:jc w:val="both"/>
              <w:rPr>
                <w:rFonts w:eastAsia="Times New Roman"/>
                <w:b/>
                <w:sz w:val="24"/>
                <w:szCs w:val="24"/>
                <w:lang w:eastAsia="lv-LV"/>
              </w:rPr>
            </w:pPr>
            <w:r w:rsidRPr="00DE1A22">
              <w:rPr>
                <w:rFonts w:eastAsia="Times New Roman"/>
                <w:sz w:val="24"/>
                <w:szCs w:val="24"/>
              </w:rPr>
              <w:t>Azartspēļu un izložu likumā ir jānosaka deleģējums pašvaldībām ar saistošajiem noteikumiem noteikt teritorijas, kurās var (vai nevar) rīkot un organizēt azartspēles.</w:t>
            </w:r>
          </w:p>
        </w:tc>
        <w:tc>
          <w:tcPr>
            <w:tcW w:w="3118" w:type="dxa"/>
          </w:tcPr>
          <w:p w14:paraId="2BF31F2B" w14:textId="77777777" w:rsidR="00AB74B7" w:rsidRPr="00DE1A22" w:rsidRDefault="00AB74B7" w:rsidP="00AB74B7">
            <w:pPr>
              <w:jc w:val="both"/>
              <w:rPr>
                <w:rFonts w:eastAsia="Times New Roman"/>
                <w:b/>
                <w:bCs/>
                <w:sz w:val="24"/>
                <w:szCs w:val="24"/>
                <w:lang w:eastAsia="lv-LV"/>
              </w:rPr>
            </w:pPr>
            <w:r w:rsidRPr="00DE1A22">
              <w:rPr>
                <w:rFonts w:eastAsia="Times New Roman"/>
                <w:b/>
                <w:bCs/>
                <w:sz w:val="24"/>
                <w:szCs w:val="24"/>
                <w:lang w:eastAsia="lv-LV"/>
              </w:rPr>
              <w:t>Daļēji ņemts vērā  .</w:t>
            </w:r>
          </w:p>
          <w:p w14:paraId="28FF889E" w14:textId="77777777" w:rsidR="00AB74B7" w:rsidRPr="00DE1A22" w:rsidRDefault="00AB74B7" w:rsidP="00AB74B7">
            <w:pPr>
              <w:jc w:val="both"/>
              <w:rPr>
                <w:rFonts w:eastAsia="Times New Roman"/>
                <w:sz w:val="24"/>
                <w:szCs w:val="24"/>
              </w:rPr>
            </w:pPr>
            <w:r w:rsidRPr="00DE1A22">
              <w:rPr>
                <w:rFonts w:eastAsia="Times New Roman"/>
                <w:sz w:val="24"/>
                <w:szCs w:val="24"/>
              </w:rPr>
              <w:t xml:space="preserve">Norādām, ka Pamatnostādņu projekta  pielikuma 4.sadaļas “Rīcības virzieni un uzdevumi” 3. rīcības virziens “Azartspēļu un izložu pieejamības regulēšana” 1. uzdevums paredz “Paplašināt to vietu uzskaitījumu, kur aizliegts organizēt azartspēles, </w:t>
            </w:r>
            <w:r w:rsidRPr="00DE1A22">
              <w:rPr>
                <w:rFonts w:eastAsia="Times New Roman"/>
                <w:sz w:val="24"/>
                <w:szCs w:val="24"/>
              </w:rPr>
              <w:lastRenderedPageBreak/>
              <w:t>paredzot lēmuma pieņemšanu par azartspēļu organizēšanu tikai valsts līmenī.”, līdz ar to uzskatām, ka jau šobrīd projektā ir ietverts risinājums, kas aptver papildu riska teritorijas, kas var ietekmēt vai vērst uzmanību uz iespējamo azartspēļu organizēšanas vietu sabiedrībai.</w:t>
            </w:r>
          </w:p>
          <w:p w14:paraId="6E28E0A0" w14:textId="77777777" w:rsidR="00AB74B7" w:rsidRPr="00DE1A22" w:rsidRDefault="00AB74B7" w:rsidP="00AB74B7">
            <w:pPr>
              <w:jc w:val="center"/>
              <w:rPr>
                <w:rFonts w:eastAsia="Times New Roman"/>
                <w:b/>
                <w:bCs/>
                <w:sz w:val="24"/>
                <w:szCs w:val="24"/>
                <w:lang w:eastAsia="lv-LV"/>
              </w:rPr>
            </w:pPr>
            <w:r w:rsidRPr="00DE1A22">
              <w:rPr>
                <w:rFonts w:eastAsia="Times New Roman"/>
                <w:sz w:val="24"/>
                <w:szCs w:val="24"/>
              </w:rPr>
              <w:t xml:space="preserve">Turklāt projekts kopumā paredz pāriet uz centralizētu uzraudzības un monitoringa sistēmu, tādējādi pārnesot administratīvo slogu no pašvaldībām uz IAUI. </w:t>
            </w:r>
          </w:p>
        </w:tc>
        <w:tc>
          <w:tcPr>
            <w:tcW w:w="3402" w:type="dxa"/>
          </w:tcPr>
          <w:p w14:paraId="313E420D" w14:textId="77777777" w:rsidR="00AB74B7" w:rsidRPr="00DE1A22" w:rsidRDefault="00AB74B7" w:rsidP="00AB74B7">
            <w:pPr>
              <w:jc w:val="both"/>
              <w:rPr>
                <w:rFonts w:eastAsia="Times New Roman"/>
                <w:bCs/>
                <w:sz w:val="24"/>
                <w:szCs w:val="24"/>
                <w:lang w:eastAsia="lv-LV"/>
              </w:rPr>
            </w:pPr>
          </w:p>
        </w:tc>
      </w:tr>
      <w:tr w:rsidR="005B04CB" w:rsidRPr="00DE1A22" w14:paraId="265CC416" w14:textId="77777777" w:rsidTr="00BF4AE7">
        <w:tc>
          <w:tcPr>
            <w:tcW w:w="846" w:type="dxa"/>
            <w:gridSpan w:val="2"/>
          </w:tcPr>
          <w:p w14:paraId="000A5821" w14:textId="77777777" w:rsidR="005B04CB" w:rsidRPr="00DE1A22" w:rsidRDefault="00CB4782" w:rsidP="005B04CB">
            <w:pPr>
              <w:spacing w:before="100" w:beforeAutospacing="1" w:after="100" w:afterAutospacing="1"/>
              <w:jc w:val="center"/>
              <w:rPr>
                <w:rFonts w:eastAsia="Times New Roman"/>
                <w:sz w:val="24"/>
                <w:szCs w:val="24"/>
                <w:lang w:eastAsia="lv-LV"/>
              </w:rPr>
            </w:pPr>
            <w:r w:rsidRPr="00DE1A22">
              <w:rPr>
                <w:rFonts w:eastAsia="Times New Roman"/>
                <w:sz w:val="24"/>
                <w:szCs w:val="24"/>
                <w:lang w:eastAsia="lv-LV"/>
              </w:rPr>
              <w:t>19.</w:t>
            </w:r>
          </w:p>
        </w:tc>
        <w:tc>
          <w:tcPr>
            <w:tcW w:w="2977" w:type="dxa"/>
          </w:tcPr>
          <w:p w14:paraId="27E38770" w14:textId="77777777" w:rsidR="005B04CB" w:rsidRPr="00DE1A22" w:rsidRDefault="005B04CB" w:rsidP="005B04CB">
            <w:pPr>
              <w:jc w:val="both"/>
              <w:rPr>
                <w:rFonts w:eastAsia="Times New Roman"/>
                <w:sz w:val="24"/>
                <w:szCs w:val="24"/>
                <w:lang w:eastAsia="lv-LV"/>
              </w:rPr>
            </w:pPr>
            <w:r w:rsidRPr="00DE1A22">
              <w:rPr>
                <w:rFonts w:eastAsia="Times New Roman"/>
                <w:sz w:val="24"/>
                <w:szCs w:val="24"/>
                <w:lang w:eastAsia="lv-LV"/>
              </w:rPr>
              <w:t>Projekta 4. sadaļas “Rīcības virzieni un uzdevumi” 3. Rīcības virziens “Azartspēļu un izložu reklāmas ierobežošana”.</w:t>
            </w:r>
          </w:p>
        </w:tc>
        <w:tc>
          <w:tcPr>
            <w:tcW w:w="4394" w:type="dxa"/>
          </w:tcPr>
          <w:p w14:paraId="5ECF95ED" w14:textId="77777777" w:rsidR="005B04CB" w:rsidRPr="00DE1A22" w:rsidRDefault="005B04CB" w:rsidP="005B04CB">
            <w:pPr>
              <w:contextualSpacing/>
              <w:jc w:val="both"/>
              <w:rPr>
                <w:rFonts w:eastAsia="Times New Roman"/>
                <w:b/>
                <w:sz w:val="24"/>
                <w:szCs w:val="24"/>
                <w:lang w:eastAsia="lv-LV"/>
              </w:rPr>
            </w:pPr>
            <w:r w:rsidRPr="00DE1A22">
              <w:rPr>
                <w:rFonts w:eastAsia="Times New Roman"/>
                <w:b/>
                <w:sz w:val="24"/>
                <w:szCs w:val="24"/>
                <w:lang w:eastAsia="lv-LV"/>
              </w:rPr>
              <w:t>Kultūras ministrija (28.01.2019. Nr.5.1-4/161)</w:t>
            </w:r>
          </w:p>
          <w:p w14:paraId="5CB77C17" w14:textId="77777777" w:rsidR="005B04CB" w:rsidRPr="00DE1A22" w:rsidRDefault="005B04CB" w:rsidP="005B04CB">
            <w:pPr>
              <w:contextualSpacing/>
              <w:jc w:val="both"/>
              <w:rPr>
                <w:rFonts w:eastAsia="Times New Roman"/>
                <w:sz w:val="24"/>
                <w:szCs w:val="24"/>
                <w:lang w:eastAsia="lv-LV"/>
              </w:rPr>
            </w:pPr>
            <w:r w:rsidRPr="00DE1A22">
              <w:rPr>
                <w:rFonts w:eastAsia="Times New Roman"/>
                <w:sz w:val="24"/>
                <w:szCs w:val="24"/>
                <w:lang w:eastAsia="lv-LV"/>
              </w:rPr>
              <w:t xml:space="preserve">Pamatnostādnēs un Pamatnostādņu pielikumā “Esošās situācijas vispārīgs raksturojums” (turpmāk – Pielikums) aplūkotie jautājumi un identificētās problēmas ir sabiedrības interesēm būtiski, tomēr jautājumi par reklāmas ierobežojumiem tieši skar arī masu informācijas (plašsaziņas) līdzekļu nozari, kas saskaņā ar Ministru kabineta 2003.gada 29.aprīļa noteikumu Nr.241 “Kultūras ministrijas nolikums” 4.7.2 apakšpunktu ietilpst Kultūras ministrijas kompetencē. </w:t>
            </w:r>
          </w:p>
          <w:p w14:paraId="062053C7" w14:textId="77777777" w:rsidR="005B04CB" w:rsidRPr="00DE1A22" w:rsidRDefault="005B04CB" w:rsidP="005B04CB">
            <w:pPr>
              <w:contextualSpacing/>
              <w:jc w:val="both"/>
              <w:rPr>
                <w:rFonts w:eastAsia="Times New Roman"/>
                <w:sz w:val="24"/>
                <w:szCs w:val="24"/>
                <w:lang w:eastAsia="lv-LV"/>
              </w:rPr>
            </w:pPr>
            <w:r w:rsidRPr="00DE1A22">
              <w:rPr>
                <w:rFonts w:eastAsia="Times New Roman"/>
                <w:sz w:val="24"/>
                <w:szCs w:val="24"/>
                <w:lang w:eastAsia="lv-LV"/>
              </w:rPr>
              <w:t xml:space="preserve">Pielikuma 3.nodaļas “Azartspēļu un izložu reklāmas ierobežojumi” 3.1.apakšnodaļā “Azartspēļu joma” sadaļā “Konstatētā problēma” norādīts, ka Latvijā joprojām nedarbojas visaptveroši un spēcīgi reklāmas </w:t>
            </w:r>
            <w:r w:rsidRPr="00DE1A22">
              <w:rPr>
                <w:rFonts w:eastAsia="Times New Roman"/>
                <w:sz w:val="24"/>
                <w:szCs w:val="24"/>
                <w:lang w:eastAsia="lv-LV"/>
              </w:rPr>
              <w:lastRenderedPageBreak/>
              <w:t>izplatīšanas ētikas principi un pastāv dažāds nozaru regulējums (brīvais ES reklāmas, preču zīmju un mediju tirgus pret strikti nacionāli regulēto azartspēļu tirgu), tādēļ reklāmas ierobežojumu pārskatīšana Latvijā ir rūpīgi izvērtējama (Pielikuma 27.lp.). Turpmāk Pielikuma sadaļā „Reklāmas ierobežojumu labā prakse un citu ES dalībvalstu pieredze” ir aprakstīta citu Eiropas Savienības dalībvalstu prakse, kā arī aplūkoti Eiropas Komisijas rekomendējošie dokumenti attiecībā uz azartspēļu reklamēšanu. Līdzīgi Pielikuma 3.2.apakšnodaļā „Izložu joma” vērtētas izložu reklāmas. Savukārt Pielikuma 3.3.apakšnodaļā „Citi viedokļi” norādīts, ka darba grupas locekļu un pārstāvju viedokļu dažādības dēļ vienošanās Pamatnostādņu izstrādes darba grupā par vienotu risinājuma variantu netika panākta (Pielikuma 43.lpp.).</w:t>
            </w:r>
          </w:p>
          <w:p w14:paraId="213AAF78" w14:textId="77777777" w:rsidR="005B04CB" w:rsidRPr="00DE1A22" w:rsidRDefault="005B04CB" w:rsidP="005B04CB">
            <w:pPr>
              <w:contextualSpacing/>
              <w:jc w:val="both"/>
              <w:rPr>
                <w:rFonts w:eastAsia="Times New Roman"/>
                <w:sz w:val="24"/>
                <w:szCs w:val="24"/>
                <w:lang w:eastAsia="lv-LV"/>
              </w:rPr>
            </w:pPr>
            <w:r w:rsidRPr="00DE1A22">
              <w:rPr>
                <w:rFonts w:eastAsia="Times New Roman"/>
                <w:sz w:val="24"/>
                <w:szCs w:val="24"/>
                <w:lang w:eastAsia="lv-LV"/>
              </w:rPr>
              <w:t>Nacionālā elektronisko plašsaziņas līdzekļu padome (turpmāk – NEPLP) pēc Veselības ministrijas Pamatnostādņu izstrādes darba grupas locekļu uzaicinājuma ir sniegusi viedokli  par plānotajiem ierobežojumiem izložu reklāmas jomā Latvijas jurisdikcijā esošajos elektroniskajos plašsaziņas līdzekļos. NEPLP kā neatkarīga, pilntiesīga un autonoma institūcija, kuras kompetencē ir pārstāvēt sabiedrības intereses elektronisko plašsaziņas līdzekļu jomā un veicināt Latvijas jurisdikcijā esošo elektronisko plašsaziņas līdzekļu konkurētspēju Latvijas, Eiropas un pasaules tirgū</w:t>
            </w:r>
            <w:r w:rsidR="009222F7" w:rsidRPr="00DE1A22">
              <w:rPr>
                <w:rFonts w:eastAsia="Times New Roman"/>
                <w:sz w:val="24"/>
                <w:szCs w:val="24"/>
                <w:lang w:eastAsia="lv-LV"/>
              </w:rPr>
              <w:t xml:space="preserve"> </w:t>
            </w:r>
            <w:r w:rsidRPr="00DE1A22">
              <w:rPr>
                <w:rFonts w:eastAsia="Times New Roman"/>
                <w:sz w:val="24"/>
                <w:szCs w:val="24"/>
                <w:lang w:eastAsia="lv-LV"/>
              </w:rPr>
              <w:t xml:space="preserve">ir izteikusi šaubas par plānotā </w:t>
            </w:r>
            <w:r w:rsidRPr="00DE1A22">
              <w:rPr>
                <w:rFonts w:eastAsia="Times New Roman"/>
                <w:sz w:val="24"/>
                <w:szCs w:val="24"/>
                <w:lang w:eastAsia="lv-LV"/>
              </w:rPr>
              <w:lastRenderedPageBreak/>
              <w:t xml:space="preserve">normatīvā regulējuma izmaiņu lietderību, kas tika apsvērts Pamatnostādņu izstrādes ietvaros. </w:t>
            </w:r>
          </w:p>
          <w:p w14:paraId="636A4E95" w14:textId="77777777" w:rsidR="005B04CB" w:rsidRPr="00DE1A22" w:rsidRDefault="005B04CB" w:rsidP="005B04CB">
            <w:pPr>
              <w:contextualSpacing/>
              <w:jc w:val="both"/>
              <w:rPr>
                <w:rFonts w:eastAsia="Times New Roman"/>
                <w:sz w:val="24"/>
                <w:szCs w:val="24"/>
                <w:lang w:eastAsia="lv-LV"/>
              </w:rPr>
            </w:pPr>
            <w:r w:rsidRPr="00DE1A22">
              <w:rPr>
                <w:rFonts w:eastAsia="Times New Roman"/>
                <w:sz w:val="24"/>
                <w:szCs w:val="24"/>
                <w:lang w:eastAsia="lv-LV"/>
              </w:rPr>
              <w:t>Kultūras ministrijas ieskatā ir nepieciešams iekļaut Pamatnostādnēs uzdevumu par azartspēļu reklāmas ierobežojumu pārskatīšanu, tādējādi, ievērojot gan sabiedrības, gan masu informācijas (plašsaziņas) līdzekļu intereses, radot vietu diskusijām, kuru rezultātā ieinteresētās puses izveidotu labākajai starptautiskajai praksei atbilstošu normatīvo regulējumu.</w:t>
            </w:r>
          </w:p>
          <w:p w14:paraId="0055889E" w14:textId="77777777" w:rsidR="005B04CB" w:rsidRPr="00DE1A22" w:rsidRDefault="005B04CB" w:rsidP="005B04CB">
            <w:pPr>
              <w:contextualSpacing/>
              <w:jc w:val="both"/>
              <w:rPr>
                <w:rFonts w:eastAsia="Times New Roman"/>
                <w:b/>
                <w:sz w:val="24"/>
                <w:szCs w:val="24"/>
                <w:lang w:eastAsia="lv-LV"/>
              </w:rPr>
            </w:pPr>
            <w:r w:rsidRPr="00DE1A22">
              <w:rPr>
                <w:rFonts w:eastAsia="Times New Roman"/>
                <w:sz w:val="24"/>
                <w:szCs w:val="24"/>
                <w:lang w:eastAsia="lv-LV"/>
              </w:rPr>
              <w:t>Ņemot vērā iepriekš minēto, kā arī nepieciešamību nepasliktināt Latvijas jurisdikcijā esošo mediju konkurētspēju, lūdzam papildināt Pamatnostādņu 3.rīcības virzienu „Azartspēļu un izložu reklāmas ierobežošana” ar 5.uzdevumu „Izstrādāt grozījumus normatīvajos aktos, pārskatot azartspēļu reklāmas aizliegumu”. Kā atbildīgo institūciju lūdzam noteikt Izložu un azartspēļu uzraudzības inspekciju, savukārt kā līdzatbildīgās institūcijas no masu informācijas (plašsaziņas) līdzekļu politikas aspekta uzdevuma izpildē lūdzam pievienot NEPLP un Latvijas Raidorganizāciju asociāciju, kā arī Latvijas Reklāmas asociāciju.</w:t>
            </w:r>
          </w:p>
        </w:tc>
        <w:tc>
          <w:tcPr>
            <w:tcW w:w="3118" w:type="dxa"/>
          </w:tcPr>
          <w:p w14:paraId="6C66CABF" w14:textId="77777777" w:rsidR="005B04CB" w:rsidRPr="00DE1A22" w:rsidRDefault="005B04CB" w:rsidP="005B04CB">
            <w:pPr>
              <w:jc w:val="center"/>
              <w:rPr>
                <w:rFonts w:eastAsia="Times New Roman"/>
                <w:b/>
                <w:bCs/>
                <w:sz w:val="24"/>
                <w:szCs w:val="24"/>
                <w:lang w:eastAsia="lv-LV"/>
              </w:rPr>
            </w:pPr>
            <w:r w:rsidRPr="00DE1A22">
              <w:rPr>
                <w:rFonts w:eastAsia="Times New Roman"/>
                <w:b/>
                <w:bCs/>
                <w:sz w:val="24"/>
                <w:szCs w:val="24"/>
                <w:lang w:eastAsia="lv-LV"/>
              </w:rPr>
              <w:lastRenderedPageBreak/>
              <w:t>Ņemts vērā.</w:t>
            </w:r>
          </w:p>
          <w:p w14:paraId="3E7CE7D1" w14:textId="77777777" w:rsidR="005B04CB" w:rsidRPr="00DE1A22" w:rsidRDefault="005B04CB" w:rsidP="005B04CB">
            <w:pPr>
              <w:jc w:val="center"/>
              <w:rPr>
                <w:rFonts w:eastAsia="Times New Roman"/>
                <w:b/>
                <w:bCs/>
                <w:sz w:val="24"/>
                <w:szCs w:val="24"/>
                <w:lang w:eastAsia="lv-LV"/>
              </w:rPr>
            </w:pPr>
          </w:p>
        </w:tc>
        <w:tc>
          <w:tcPr>
            <w:tcW w:w="3402" w:type="dxa"/>
          </w:tcPr>
          <w:p w14:paraId="58D60A7A" w14:textId="77777777" w:rsidR="005B04CB" w:rsidRPr="00DE1A22" w:rsidRDefault="00173AED" w:rsidP="00173AED">
            <w:pPr>
              <w:jc w:val="both"/>
              <w:rPr>
                <w:rFonts w:eastAsia="Times New Roman"/>
                <w:bCs/>
                <w:sz w:val="24"/>
                <w:szCs w:val="24"/>
                <w:lang w:eastAsia="lv-LV"/>
              </w:rPr>
            </w:pPr>
            <w:r w:rsidRPr="00DE1A22">
              <w:rPr>
                <w:rFonts w:eastAsia="Times New Roman"/>
                <w:bCs/>
                <w:sz w:val="24"/>
                <w:szCs w:val="24"/>
                <w:lang w:eastAsia="lv-LV"/>
              </w:rPr>
              <w:t>Projekta 4. sadaļas “Rīcības virzieni un uzdevumi” 2. Rīcības virziens “Azartspēļu un izložu reklāmas ierobežošana”.</w:t>
            </w:r>
          </w:p>
        </w:tc>
      </w:tr>
      <w:tr w:rsidR="005B04CB" w:rsidRPr="00DE1A22" w14:paraId="64C8D469" w14:textId="77777777" w:rsidTr="00BF4AE7">
        <w:tc>
          <w:tcPr>
            <w:tcW w:w="846" w:type="dxa"/>
            <w:gridSpan w:val="2"/>
          </w:tcPr>
          <w:p w14:paraId="4FDB4AB2" w14:textId="77777777" w:rsidR="005B04CB" w:rsidRPr="00DE1A22" w:rsidRDefault="00CB4782" w:rsidP="005B04CB">
            <w:pPr>
              <w:spacing w:before="100" w:beforeAutospacing="1" w:after="100" w:afterAutospacing="1"/>
              <w:jc w:val="center"/>
              <w:rPr>
                <w:rFonts w:eastAsia="Times New Roman"/>
                <w:sz w:val="24"/>
                <w:szCs w:val="24"/>
                <w:lang w:eastAsia="lv-LV"/>
              </w:rPr>
            </w:pPr>
            <w:r w:rsidRPr="00DE1A22">
              <w:rPr>
                <w:rFonts w:eastAsia="Times New Roman"/>
                <w:sz w:val="24"/>
                <w:szCs w:val="24"/>
                <w:lang w:eastAsia="lv-LV"/>
              </w:rPr>
              <w:lastRenderedPageBreak/>
              <w:t>20</w:t>
            </w:r>
            <w:r w:rsidR="005B04CB" w:rsidRPr="00DE1A22">
              <w:rPr>
                <w:rFonts w:eastAsia="Times New Roman"/>
                <w:sz w:val="24"/>
                <w:szCs w:val="24"/>
                <w:lang w:eastAsia="lv-LV"/>
              </w:rPr>
              <w:t>.</w:t>
            </w:r>
          </w:p>
        </w:tc>
        <w:tc>
          <w:tcPr>
            <w:tcW w:w="2977" w:type="dxa"/>
          </w:tcPr>
          <w:p w14:paraId="2ACD6C2D" w14:textId="77777777" w:rsidR="005B04CB" w:rsidRPr="00DE1A22" w:rsidRDefault="005B04CB" w:rsidP="005B04CB">
            <w:pPr>
              <w:jc w:val="both"/>
              <w:rPr>
                <w:rFonts w:eastAsia="Times New Roman"/>
                <w:sz w:val="24"/>
                <w:szCs w:val="24"/>
                <w:lang w:eastAsia="lv-LV"/>
              </w:rPr>
            </w:pPr>
            <w:r w:rsidRPr="00DE1A22">
              <w:rPr>
                <w:rFonts w:eastAsia="Times New Roman"/>
                <w:sz w:val="24"/>
                <w:szCs w:val="24"/>
                <w:lang w:eastAsia="lv-LV"/>
              </w:rPr>
              <w:t xml:space="preserve">Projekta 4. sadaļas “Rīcības virzieni un uzdevumi” 4. Rīcības virziena “Atkarības profilakses, problemātiskā spēlētāja atbalsts un sabiedrības izglītojoši pasākumi” 12. uzdevums “Izglītības standartā skaidri </w:t>
            </w:r>
            <w:r w:rsidRPr="00DE1A22">
              <w:rPr>
                <w:rFonts w:eastAsia="Times New Roman"/>
                <w:sz w:val="24"/>
                <w:szCs w:val="24"/>
                <w:lang w:eastAsia="lv-LV"/>
              </w:rPr>
              <w:lastRenderedPageBreak/>
              <w:t>definēti sasniedzamie rezultāti par procesu atkarību jautājumiem.”.</w:t>
            </w:r>
          </w:p>
        </w:tc>
        <w:tc>
          <w:tcPr>
            <w:tcW w:w="4394" w:type="dxa"/>
          </w:tcPr>
          <w:p w14:paraId="25BBC833" w14:textId="77777777" w:rsidR="005B04CB" w:rsidRPr="00DE1A22" w:rsidRDefault="005B04CB" w:rsidP="005B04CB">
            <w:pPr>
              <w:contextualSpacing/>
              <w:jc w:val="both"/>
              <w:rPr>
                <w:rFonts w:eastAsia="Times New Roman"/>
                <w:b/>
                <w:sz w:val="24"/>
                <w:szCs w:val="24"/>
                <w:lang w:eastAsia="lv-LV"/>
              </w:rPr>
            </w:pPr>
            <w:r w:rsidRPr="00DE1A22">
              <w:rPr>
                <w:rFonts w:eastAsia="Times New Roman"/>
                <w:b/>
                <w:sz w:val="24"/>
                <w:szCs w:val="24"/>
                <w:lang w:eastAsia="lv-LV"/>
              </w:rPr>
              <w:lastRenderedPageBreak/>
              <w:t>Izglītības un zinātnes ministrija (23.01.2019. Nr.4-3.2e-PAD/19/10)</w:t>
            </w:r>
          </w:p>
          <w:p w14:paraId="2FFC1BCE" w14:textId="77777777" w:rsidR="005B04CB" w:rsidRPr="00DE1A22" w:rsidRDefault="005B04CB" w:rsidP="000C2873">
            <w:pPr>
              <w:contextualSpacing/>
              <w:jc w:val="both"/>
              <w:rPr>
                <w:rFonts w:eastAsia="Times New Roman"/>
                <w:b/>
                <w:sz w:val="24"/>
                <w:szCs w:val="24"/>
                <w:lang w:eastAsia="lv-LV"/>
              </w:rPr>
            </w:pPr>
            <w:r w:rsidRPr="00DE1A22">
              <w:rPr>
                <w:rFonts w:eastAsia="Times New Roman"/>
                <w:sz w:val="24"/>
                <w:szCs w:val="24"/>
                <w:lang w:eastAsia="lv-LV"/>
              </w:rPr>
              <w:t xml:space="preserve">Svītrot no pamatnostādņu 4.Rīcības virziena – “Atkarības profilakses, problemātiskā spēlētāja atbalsts un sabiedrības izglītojoši pasākumi” 12.uzdevumu: “Izglītības standartā skaidri </w:t>
            </w:r>
            <w:r w:rsidRPr="00DE1A22">
              <w:rPr>
                <w:rFonts w:eastAsia="Times New Roman"/>
                <w:sz w:val="24"/>
                <w:szCs w:val="24"/>
                <w:lang w:eastAsia="lv-LV"/>
              </w:rPr>
              <w:lastRenderedPageBreak/>
              <w:t>definēti sasniedzamie rezultāti par procesu atkarību jautājumiem</w:t>
            </w:r>
            <w:r w:rsidR="005B1106" w:rsidRPr="00DE1A22">
              <w:rPr>
                <w:rFonts w:eastAsia="Times New Roman"/>
                <w:sz w:val="24"/>
                <w:szCs w:val="24"/>
                <w:lang w:eastAsia="lv-LV"/>
              </w:rPr>
              <w:t>.</w:t>
            </w:r>
            <w:r w:rsidRPr="00DE1A22">
              <w:rPr>
                <w:rFonts w:eastAsia="Times New Roman"/>
                <w:sz w:val="24"/>
                <w:szCs w:val="24"/>
                <w:lang w:eastAsia="lv-LV"/>
              </w:rPr>
              <w:t>”</w:t>
            </w:r>
          </w:p>
        </w:tc>
        <w:tc>
          <w:tcPr>
            <w:tcW w:w="3118" w:type="dxa"/>
            <w:shd w:val="clear" w:color="auto" w:fill="auto"/>
          </w:tcPr>
          <w:p w14:paraId="75C3680D" w14:textId="77777777" w:rsidR="005B04CB" w:rsidRPr="00DE1A22" w:rsidRDefault="00D81C63" w:rsidP="00D81C63">
            <w:pPr>
              <w:jc w:val="center"/>
              <w:rPr>
                <w:rFonts w:eastAsia="Times New Roman"/>
                <w:b/>
                <w:bCs/>
                <w:sz w:val="24"/>
                <w:szCs w:val="24"/>
                <w:lang w:eastAsia="lv-LV"/>
              </w:rPr>
            </w:pPr>
            <w:r w:rsidRPr="00DE1A22">
              <w:rPr>
                <w:rFonts w:eastAsia="Times New Roman"/>
                <w:b/>
                <w:bCs/>
                <w:sz w:val="24"/>
                <w:szCs w:val="24"/>
                <w:lang w:eastAsia="lv-LV"/>
              </w:rPr>
              <w:lastRenderedPageBreak/>
              <w:t xml:space="preserve">Ņemts vērā. </w:t>
            </w:r>
          </w:p>
        </w:tc>
        <w:tc>
          <w:tcPr>
            <w:tcW w:w="3402" w:type="dxa"/>
          </w:tcPr>
          <w:p w14:paraId="647BC018" w14:textId="77777777" w:rsidR="00D81C63" w:rsidRPr="00DE1A22" w:rsidRDefault="00D81C63" w:rsidP="00D81C63">
            <w:pPr>
              <w:spacing w:before="100" w:beforeAutospacing="1" w:after="100" w:afterAutospacing="1"/>
              <w:jc w:val="both"/>
              <w:rPr>
                <w:rFonts w:eastAsia="Times New Roman"/>
                <w:sz w:val="24"/>
                <w:szCs w:val="24"/>
                <w:lang w:eastAsia="lv-LV"/>
              </w:rPr>
            </w:pPr>
            <w:r w:rsidRPr="00DE1A22">
              <w:rPr>
                <w:rFonts w:eastAsia="Times New Roman"/>
                <w:sz w:val="24"/>
                <w:szCs w:val="24"/>
                <w:lang w:eastAsia="lv-LV"/>
              </w:rPr>
              <w:t xml:space="preserve">Ir būtiski precizēts </w:t>
            </w:r>
            <w:r w:rsidR="00D108C6" w:rsidRPr="00DE1A22">
              <w:rPr>
                <w:rFonts w:eastAsia="Times New Roman"/>
                <w:sz w:val="24"/>
                <w:szCs w:val="24"/>
                <w:lang w:eastAsia="lv-LV"/>
              </w:rPr>
              <w:t>10.</w:t>
            </w:r>
            <w:r w:rsidRPr="00DE1A22">
              <w:rPr>
                <w:rFonts w:eastAsia="Times New Roman"/>
                <w:sz w:val="24"/>
                <w:szCs w:val="24"/>
                <w:lang w:eastAsia="lv-LV"/>
              </w:rPr>
              <w:t>uzdevuma konteksts un saturs.</w:t>
            </w:r>
          </w:p>
          <w:p w14:paraId="7A853ED8" w14:textId="77777777" w:rsidR="005B04CB" w:rsidRPr="00DE1A22" w:rsidRDefault="005B04CB" w:rsidP="005B04CB">
            <w:pPr>
              <w:jc w:val="both"/>
              <w:rPr>
                <w:rFonts w:eastAsia="Times New Roman"/>
                <w:sz w:val="24"/>
                <w:szCs w:val="24"/>
                <w:lang w:eastAsia="lv-LV"/>
              </w:rPr>
            </w:pPr>
          </w:p>
        </w:tc>
      </w:tr>
      <w:tr w:rsidR="005B04CB" w:rsidRPr="00DE1A22" w14:paraId="32022068" w14:textId="77777777" w:rsidTr="00BF4AE7">
        <w:tc>
          <w:tcPr>
            <w:tcW w:w="846" w:type="dxa"/>
            <w:gridSpan w:val="2"/>
          </w:tcPr>
          <w:p w14:paraId="0789A860" w14:textId="77777777" w:rsidR="005B04CB" w:rsidRPr="00DE1A22" w:rsidRDefault="00CB4782" w:rsidP="005B04CB">
            <w:pPr>
              <w:spacing w:before="100" w:beforeAutospacing="1" w:after="100" w:afterAutospacing="1"/>
              <w:jc w:val="center"/>
              <w:rPr>
                <w:rFonts w:eastAsia="Times New Roman"/>
                <w:sz w:val="24"/>
                <w:szCs w:val="24"/>
                <w:lang w:eastAsia="lv-LV"/>
              </w:rPr>
            </w:pPr>
            <w:r w:rsidRPr="00DE1A22">
              <w:rPr>
                <w:rFonts w:eastAsia="Times New Roman"/>
                <w:sz w:val="24"/>
                <w:szCs w:val="24"/>
                <w:lang w:eastAsia="lv-LV"/>
              </w:rPr>
              <w:t>21.</w:t>
            </w:r>
          </w:p>
        </w:tc>
        <w:tc>
          <w:tcPr>
            <w:tcW w:w="2977" w:type="dxa"/>
          </w:tcPr>
          <w:p w14:paraId="470D1163" w14:textId="77777777" w:rsidR="005B04CB" w:rsidRPr="00DE1A22" w:rsidRDefault="005B04CB" w:rsidP="000C2873">
            <w:pPr>
              <w:jc w:val="both"/>
              <w:rPr>
                <w:rFonts w:eastAsia="Times New Roman"/>
                <w:sz w:val="24"/>
                <w:szCs w:val="24"/>
                <w:lang w:eastAsia="lv-LV"/>
              </w:rPr>
            </w:pPr>
            <w:r w:rsidRPr="00DE1A22">
              <w:rPr>
                <w:rFonts w:eastAsia="Times New Roman"/>
                <w:sz w:val="24"/>
                <w:szCs w:val="24"/>
                <w:lang w:eastAsia="lv-LV"/>
              </w:rPr>
              <w:t>Projekta 4. sadaļas 4. Rīcības virziena “Atkarības profilakses, problemātiskā spēlētāja atbalsts un sabiedrības izglītojoši pasākumi” 2. uzdevums “Nodrošināt pašvaldībās profilakses pasākumus procesu atkarības (tostarp azartspēļu atkarības) risku mazināšanai.”</w:t>
            </w:r>
          </w:p>
        </w:tc>
        <w:tc>
          <w:tcPr>
            <w:tcW w:w="4394" w:type="dxa"/>
          </w:tcPr>
          <w:p w14:paraId="5B60EABD" w14:textId="77777777" w:rsidR="005B04CB" w:rsidRPr="00DE1A22" w:rsidRDefault="005B04CB" w:rsidP="005B04CB">
            <w:pPr>
              <w:contextualSpacing/>
              <w:jc w:val="both"/>
              <w:rPr>
                <w:rFonts w:eastAsia="Times New Roman"/>
                <w:b/>
                <w:sz w:val="24"/>
                <w:szCs w:val="24"/>
                <w:lang w:eastAsia="lv-LV"/>
              </w:rPr>
            </w:pPr>
            <w:r w:rsidRPr="00DE1A22">
              <w:rPr>
                <w:rFonts w:eastAsia="Times New Roman"/>
                <w:b/>
                <w:sz w:val="24"/>
                <w:szCs w:val="24"/>
                <w:lang w:eastAsia="lv-LV"/>
              </w:rPr>
              <w:t>Latvijas Lielo pilsētu asociācija (25.01.2019. Nr.5-1/16)</w:t>
            </w:r>
          </w:p>
          <w:p w14:paraId="301A4474" w14:textId="77777777" w:rsidR="005B04CB" w:rsidRPr="00DE1A22" w:rsidRDefault="005B04CB" w:rsidP="000C2873">
            <w:pPr>
              <w:contextualSpacing/>
              <w:jc w:val="both"/>
              <w:rPr>
                <w:rFonts w:eastAsia="Times New Roman"/>
                <w:b/>
                <w:sz w:val="24"/>
                <w:szCs w:val="24"/>
                <w:lang w:eastAsia="lv-LV"/>
              </w:rPr>
            </w:pPr>
            <w:r w:rsidRPr="00DE1A22">
              <w:rPr>
                <w:sz w:val="24"/>
                <w:szCs w:val="24"/>
              </w:rPr>
              <w:t>Lūdzam skaidrot par plānoto pasākumu organizēšanas finansējumu, vai tiek plānots, ka minēto pasākumu organizēšana tiks nodrošināta no valsts budžeta līdzekļiem atbilstoši likuma “Par pašvaldībām” 8. pantā noteiktajam, ka ar likumu pašvaldībām var uzdot pildīt autonomās funkcijas, kas nav paredzētas šajā likumā, vienlaikus attiecīgajā likumā nosakot papildu finansēšanas avotus, ja funkciju izpilde saistīta ar izdevumu palielināšanos. Vadoties no iepriekš minētā, lūdzam norādīt finansējuma avotu vai gadījumā, ja valsts finansējums nav paredzēts, lūdzam svītrot atrunu, ka pasākumus nodrošina “pašvaldības</w:t>
            </w:r>
            <w:r w:rsidR="007E53E7" w:rsidRPr="00DE1A22">
              <w:rPr>
                <w:sz w:val="24"/>
                <w:szCs w:val="24"/>
              </w:rPr>
              <w:t>.</w:t>
            </w:r>
            <w:r w:rsidRPr="00DE1A22">
              <w:rPr>
                <w:sz w:val="24"/>
                <w:szCs w:val="24"/>
              </w:rPr>
              <w:t>”</w:t>
            </w:r>
          </w:p>
        </w:tc>
        <w:tc>
          <w:tcPr>
            <w:tcW w:w="3118" w:type="dxa"/>
          </w:tcPr>
          <w:p w14:paraId="7AC0F047" w14:textId="77777777" w:rsidR="005B04CB" w:rsidRPr="00DE1A22" w:rsidRDefault="005B04CB" w:rsidP="005B04CB">
            <w:pPr>
              <w:jc w:val="center"/>
              <w:rPr>
                <w:rFonts w:eastAsia="Times New Roman"/>
                <w:b/>
                <w:bCs/>
                <w:sz w:val="24"/>
                <w:szCs w:val="24"/>
                <w:lang w:eastAsia="lv-LV"/>
              </w:rPr>
            </w:pPr>
            <w:r w:rsidRPr="00DE1A22">
              <w:rPr>
                <w:rFonts w:eastAsia="Times New Roman"/>
                <w:b/>
                <w:bCs/>
                <w:sz w:val="24"/>
                <w:szCs w:val="24"/>
                <w:lang w:eastAsia="lv-LV"/>
              </w:rPr>
              <w:t>Ņemts vērā.</w:t>
            </w:r>
          </w:p>
          <w:p w14:paraId="56CEC156" w14:textId="77777777" w:rsidR="005B04CB" w:rsidRPr="00DE1A22" w:rsidRDefault="005B04CB" w:rsidP="005B04CB">
            <w:pPr>
              <w:jc w:val="both"/>
              <w:rPr>
                <w:rFonts w:eastAsia="Times New Roman"/>
                <w:b/>
                <w:bCs/>
                <w:sz w:val="24"/>
                <w:szCs w:val="24"/>
                <w:lang w:eastAsia="lv-LV"/>
              </w:rPr>
            </w:pPr>
          </w:p>
        </w:tc>
        <w:tc>
          <w:tcPr>
            <w:tcW w:w="3402" w:type="dxa"/>
          </w:tcPr>
          <w:p w14:paraId="54DBEFA9" w14:textId="77777777" w:rsidR="00173AED" w:rsidRPr="00DE1A22" w:rsidRDefault="00173AED" w:rsidP="00173AED">
            <w:pPr>
              <w:jc w:val="both"/>
              <w:rPr>
                <w:rFonts w:eastAsia="Times New Roman"/>
                <w:bCs/>
                <w:sz w:val="24"/>
                <w:szCs w:val="24"/>
                <w:lang w:eastAsia="lv-LV"/>
              </w:rPr>
            </w:pPr>
            <w:r w:rsidRPr="00DE1A22">
              <w:rPr>
                <w:rFonts w:eastAsia="Times New Roman"/>
                <w:bCs/>
                <w:sz w:val="24"/>
                <w:szCs w:val="24"/>
                <w:lang w:eastAsia="lv-LV"/>
              </w:rPr>
              <w:t>Projekta 4. sadaļas 1. Rīcības virziena “Atkarības profilakses, preventīvie, problemātiskā spēlētāja atbalsts un sabiedrības izglītojoši pasākumi” 2. uzdevums “Nodrošināt pašvaldībās profilakses pasākumus procesu atkarības (tostarp azartspēļu atkarības) risku mazināšanai.”</w:t>
            </w:r>
          </w:p>
          <w:p w14:paraId="1486040F" w14:textId="77777777" w:rsidR="00173AED" w:rsidRPr="00DE1A22" w:rsidRDefault="00173AED" w:rsidP="00173AED">
            <w:pPr>
              <w:jc w:val="both"/>
              <w:rPr>
                <w:rFonts w:eastAsia="Times New Roman"/>
                <w:bCs/>
                <w:sz w:val="24"/>
                <w:szCs w:val="24"/>
                <w:lang w:eastAsia="lv-LV"/>
              </w:rPr>
            </w:pPr>
          </w:p>
          <w:p w14:paraId="745668DF" w14:textId="77777777" w:rsidR="005B04CB" w:rsidRPr="00DE1A22" w:rsidRDefault="00173AED" w:rsidP="00173AED">
            <w:pPr>
              <w:jc w:val="both"/>
              <w:rPr>
                <w:rFonts w:eastAsia="Times New Roman"/>
                <w:sz w:val="24"/>
                <w:szCs w:val="24"/>
                <w:lang w:eastAsia="lv-LV"/>
              </w:rPr>
            </w:pPr>
            <w:r w:rsidRPr="00DE1A22">
              <w:rPr>
                <w:rFonts w:eastAsia="Times New Roman"/>
                <w:bCs/>
                <w:sz w:val="24"/>
                <w:szCs w:val="24"/>
                <w:lang w:eastAsia="lv-LV"/>
              </w:rPr>
              <w:t>Projektā iekļautie pasākumi tiek īstenoti iestāžu esošā budžeta ietvarā.</w:t>
            </w:r>
          </w:p>
        </w:tc>
      </w:tr>
      <w:tr w:rsidR="005B04CB" w:rsidRPr="00DE1A22" w14:paraId="39EE0175" w14:textId="77777777" w:rsidTr="00BF4AE7">
        <w:tc>
          <w:tcPr>
            <w:tcW w:w="846" w:type="dxa"/>
            <w:gridSpan w:val="2"/>
          </w:tcPr>
          <w:p w14:paraId="16A2171E" w14:textId="77777777" w:rsidR="005B04CB" w:rsidRPr="00DE1A22" w:rsidRDefault="00CB4782" w:rsidP="005B04CB">
            <w:pPr>
              <w:spacing w:before="100" w:beforeAutospacing="1" w:after="100" w:afterAutospacing="1"/>
              <w:jc w:val="center"/>
              <w:rPr>
                <w:rFonts w:eastAsia="Times New Roman"/>
                <w:sz w:val="24"/>
                <w:szCs w:val="24"/>
                <w:lang w:eastAsia="lv-LV"/>
              </w:rPr>
            </w:pPr>
            <w:r w:rsidRPr="00DE1A22">
              <w:rPr>
                <w:rFonts w:eastAsia="Times New Roman"/>
                <w:sz w:val="24"/>
                <w:szCs w:val="24"/>
                <w:lang w:eastAsia="lv-LV"/>
              </w:rPr>
              <w:t>22.</w:t>
            </w:r>
          </w:p>
        </w:tc>
        <w:tc>
          <w:tcPr>
            <w:tcW w:w="2977" w:type="dxa"/>
          </w:tcPr>
          <w:p w14:paraId="635D8B80" w14:textId="77777777" w:rsidR="005B04CB" w:rsidRPr="00DE1A22" w:rsidRDefault="005B04CB" w:rsidP="000C2873">
            <w:pPr>
              <w:jc w:val="both"/>
              <w:rPr>
                <w:rFonts w:eastAsia="Times New Roman"/>
                <w:sz w:val="24"/>
                <w:szCs w:val="24"/>
                <w:lang w:eastAsia="lv-LV"/>
              </w:rPr>
            </w:pPr>
            <w:r w:rsidRPr="00DE1A22">
              <w:rPr>
                <w:rFonts w:eastAsia="Times New Roman"/>
                <w:sz w:val="24"/>
                <w:szCs w:val="24"/>
                <w:lang w:eastAsia="lv-LV"/>
              </w:rPr>
              <w:t>Projekta 4. sadaļas “Rīcības virzieni un uzdevumi” 6. Rīcības virziena “Azartspēļu un izložu nozares attīstības tendenču monitorings” 6. uzdevums “Publikācijas un informatīvie materiāli.”</w:t>
            </w:r>
          </w:p>
        </w:tc>
        <w:tc>
          <w:tcPr>
            <w:tcW w:w="4394" w:type="dxa"/>
          </w:tcPr>
          <w:p w14:paraId="16BD90C8" w14:textId="77777777" w:rsidR="005B04CB" w:rsidRPr="00DE1A22" w:rsidRDefault="005B04CB" w:rsidP="005B04CB">
            <w:pPr>
              <w:contextualSpacing/>
              <w:jc w:val="both"/>
              <w:rPr>
                <w:rFonts w:eastAsia="Times New Roman"/>
                <w:b/>
                <w:sz w:val="24"/>
                <w:szCs w:val="24"/>
                <w:lang w:eastAsia="lv-LV"/>
              </w:rPr>
            </w:pPr>
            <w:r w:rsidRPr="00DE1A22">
              <w:rPr>
                <w:rFonts w:eastAsia="Times New Roman"/>
                <w:b/>
                <w:sz w:val="24"/>
                <w:szCs w:val="24"/>
                <w:lang w:eastAsia="lv-LV"/>
              </w:rPr>
              <w:t>Veselības ministrija (</w:t>
            </w:r>
            <w:r w:rsidR="00414CB1" w:rsidRPr="00DE1A22">
              <w:rPr>
                <w:rFonts w:eastAsia="Times New Roman"/>
                <w:b/>
                <w:sz w:val="24"/>
                <w:szCs w:val="24"/>
                <w:lang w:eastAsia="lv-LV"/>
              </w:rPr>
              <w:t>23</w:t>
            </w:r>
            <w:r w:rsidRPr="00DE1A22">
              <w:rPr>
                <w:rFonts w:eastAsia="Times New Roman"/>
                <w:b/>
                <w:sz w:val="24"/>
                <w:szCs w:val="24"/>
                <w:lang w:eastAsia="lv-LV"/>
              </w:rPr>
              <w:t>.01.2019. Nr.01-09/448)</w:t>
            </w:r>
          </w:p>
          <w:p w14:paraId="016815FD" w14:textId="77777777" w:rsidR="005B04CB" w:rsidRPr="00DE1A22" w:rsidRDefault="005B04CB" w:rsidP="005B04CB">
            <w:pPr>
              <w:contextualSpacing/>
              <w:jc w:val="both"/>
              <w:rPr>
                <w:rFonts w:eastAsia="Times New Roman"/>
                <w:b/>
                <w:sz w:val="24"/>
                <w:szCs w:val="24"/>
                <w:lang w:eastAsia="lv-LV"/>
              </w:rPr>
            </w:pPr>
            <w:r w:rsidRPr="00DE1A22">
              <w:rPr>
                <w:rFonts w:eastAsia="Times New Roman"/>
                <w:sz w:val="24"/>
                <w:szCs w:val="24"/>
                <w:lang w:eastAsia="lv-LV"/>
              </w:rPr>
              <w:t>Lūdzam noteikt 6.rīcības virziena 6.punkta izpildes termiņu 2023.gadu, ņemot vērā, ka šādu publikāciju un materiālu izstrādei ir jānotiek vienlaikus ar valsts mēroga sabiedrības informēšanas pasākumiem par procesu atkarības riskiem un pieejamo palīdzību iedzīvotājiem, kuri cieš no procesu atkarības (4.rīcības virziena 1.punkts).</w:t>
            </w:r>
          </w:p>
        </w:tc>
        <w:tc>
          <w:tcPr>
            <w:tcW w:w="3118" w:type="dxa"/>
          </w:tcPr>
          <w:p w14:paraId="11202969" w14:textId="77777777" w:rsidR="005B04CB" w:rsidRPr="00DE1A22" w:rsidRDefault="005B04CB" w:rsidP="005B04CB">
            <w:pPr>
              <w:jc w:val="center"/>
              <w:rPr>
                <w:rFonts w:eastAsia="Times New Roman"/>
                <w:b/>
                <w:bCs/>
                <w:sz w:val="24"/>
                <w:szCs w:val="24"/>
                <w:lang w:eastAsia="lv-LV"/>
              </w:rPr>
            </w:pPr>
            <w:r w:rsidRPr="00DE1A22">
              <w:rPr>
                <w:rFonts w:eastAsia="Times New Roman"/>
                <w:b/>
                <w:bCs/>
                <w:sz w:val="24"/>
                <w:szCs w:val="24"/>
                <w:lang w:eastAsia="lv-LV"/>
              </w:rPr>
              <w:t>Ņemts vērā.</w:t>
            </w:r>
          </w:p>
          <w:p w14:paraId="19E151DA" w14:textId="77777777" w:rsidR="005B04CB" w:rsidRPr="00DE1A22" w:rsidRDefault="005B04CB" w:rsidP="00173AED">
            <w:pPr>
              <w:jc w:val="both"/>
              <w:rPr>
                <w:rFonts w:eastAsia="Times New Roman"/>
                <w:b/>
                <w:bCs/>
                <w:sz w:val="24"/>
                <w:szCs w:val="24"/>
                <w:lang w:eastAsia="lv-LV"/>
              </w:rPr>
            </w:pPr>
          </w:p>
        </w:tc>
        <w:tc>
          <w:tcPr>
            <w:tcW w:w="3402" w:type="dxa"/>
          </w:tcPr>
          <w:p w14:paraId="740DD9B8" w14:textId="77777777" w:rsidR="00173AED" w:rsidRPr="00DE1A22" w:rsidRDefault="00173AED" w:rsidP="00173AED">
            <w:pPr>
              <w:jc w:val="both"/>
              <w:rPr>
                <w:rFonts w:eastAsia="Times New Roman"/>
                <w:bCs/>
                <w:sz w:val="24"/>
                <w:szCs w:val="24"/>
                <w:lang w:eastAsia="lv-LV"/>
              </w:rPr>
            </w:pPr>
            <w:r w:rsidRPr="00DE1A22">
              <w:rPr>
                <w:rFonts w:eastAsia="Times New Roman"/>
                <w:bCs/>
                <w:sz w:val="24"/>
                <w:szCs w:val="24"/>
                <w:lang w:eastAsia="lv-LV"/>
              </w:rPr>
              <w:t>Jaunā redakcija – Projekta 4. sadaļas “Rīcības virzieni un uzdevumi” 5. Rīcības virziena “Azartspēļu un izložu nozares attīstības tendenču monitorings” 4. uzdevums “Publikācijas un informatīvie materiāli.”</w:t>
            </w:r>
          </w:p>
          <w:p w14:paraId="52664EE8" w14:textId="77777777" w:rsidR="005B04CB" w:rsidRPr="00DE1A22" w:rsidRDefault="005B04CB" w:rsidP="005B04CB">
            <w:pPr>
              <w:jc w:val="both"/>
              <w:rPr>
                <w:rFonts w:eastAsia="Times New Roman"/>
                <w:sz w:val="24"/>
                <w:szCs w:val="24"/>
                <w:lang w:eastAsia="lv-LV"/>
              </w:rPr>
            </w:pPr>
          </w:p>
        </w:tc>
      </w:tr>
      <w:tr w:rsidR="005B04CB" w:rsidRPr="00DE1A22" w14:paraId="0B118B71" w14:textId="77777777" w:rsidTr="00BF4AE7">
        <w:tc>
          <w:tcPr>
            <w:tcW w:w="846" w:type="dxa"/>
            <w:gridSpan w:val="2"/>
          </w:tcPr>
          <w:p w14:paraId="7ABAC3E9" w14:textId="77777777" w:rsidR="005B04CB" w:rsidRPr="00DE1A22" w:rsidRDefault="00CB4782" w:rsidP="005B04CB">
            <w:pPr>
              <w:spacing w:before="100" w:beforeAutospacing="1" w:after="100" w:afterAutospacing="1"/>
              <w:jc w:val="center"/>
              <w:rPr>
                <w:rFonts w:eastAsia="Times New Roman"/>
                <w:sz w:val="24"/>
                <w:szCs w:val="24"/>
                <w:lang w:eastAsia="lv-LV"/>
              </w:rPr>
            </w:pPr>
            <w:r w:rsidRPr="00DE1A22">
              <w:rPr>
                <w:rFonts w:eastAsia="Times New Roman"/>
                <w:sz w:val="24"/>
                <w:szCs w:val="24"/>
                <w:lang w:eastAsia="lv-LV"/>
              </w:rPr>
              <w:t>23</w:t>
            </w:r>
            <w:r w:rsidR="005B04CB" w:rsidRPr="00DE1A22">
              <w:rPr>
                <w:rFonts w:eastAsia="Times New Roman"/>
                <w:sz w:val="24"/>
                <w:szCs w:val="24"/>
                <w:lang w:eastAsia="lv-LV"/>
              </w:rPr>
              <w:t>.</w:t>
            </w:r>
          </w:p>
        </w:tc>
        <w:tc>
          <w:tcPr>
            <w:tcW w:w="2977" w:type="dxa"/>
          </w:tcPr>
          <w:p w14:paraId="69FABCC0" w14:textId="77777777" w:rsidR="005B04CB" w:rsidRPr="00DE1A22" w:rsidRDefault="005B04CB" w:rsidP="000C2873">
            <w:pPr>
              <w:jc w:val="both"/>
              <w:rPr>
                <w:rFonts w:eastAsia="Times New Roman"/>
                <w:sz w:val="24"/>
                <w:szCs w:val="24"/>
                <w:lang w:eastAsia="lv-LV"/>
              </w:rPr>
            </w:pPr>
            <w:r w:rsidRPr="00DE1A22">
              <w:rPr>
                <w:rFonts w:eastAsia="Times New Roman"/>
                <w:sz w:val="24"/>
                <w:szCs w:val="24"/>
                <w:lang w:eastAsia="lv-LV"/>
              </w:rPr>
              <w:t xml:space="preserve">Projekta pielikuma 3. sadaļa “Azartspēļu un izložu reklāmas ierobežojumi” 3.1. </w:t>
            </w:r>
            <w:r w:rsidRPr="00DE1A22">
              <w:rPr>
                <w:rFonts w:eastAsia="Times New Roman"/>
                <w:sz w:val="24"/>
                <w:szCs w:val="24"/>
                <w:lang w:eastAsia="lv-LV"/>
              </w:rPr>
              <w:lastRenderedPageBreak/>
              <w:t>apakšsadaļa “Azartspēļu joma</w:t>
            </w:r>
            <w:r w:rsidR="00E22008" w:rsidRPr="00DE1A22">
              <w:rPr>
                <w:rFonts w:eastAsia="Times New Roman"/>
                <w:sz w:val="24"/>
                <w:szCs w:val="24"/>
                <w:lang w:eastAsia="lv-LV"/>
              </w:rPr>
              <w:t>.</w:t>
            </w:r>
            <w:r w:rsidRPr="00DE1A22">
              <w:rPr>
                <w:rFonts w:eastAsia="Times New Roman"/>
                <w:sz w:val="24"/>
                <w:szCs w:val="24"/>
                <w:lang w:eastAsia="lv-LV"/>
              </w:rPr>
              <w:t>”</w:t>
            </w:r>
          </w:p>
        </w:tc>
        <w:tc>
          <w:tcPr>
            <w:tcW w:w="4394" w:type="dxa"/>
          </w:tcPr>
          <w:p w14:paraId="5327FC5F" w14:textId="77777777" w:rsidR="005B04CB" w:rsidRPr="00DE1A22" w:rsidRDefault="005B04CB" w:rsidP="005B04CB">
            <w:pPr>
              <w:contextualSpacing/>
              <w:jc w:val="both"/>
              <w:rPr>
                <w:rFonts w:eastAsia="Times New Roman"/>
                <w:b/>
                <w:sz w:val="24"/>
                <w:szCs w:val="24"/>
                <w:lang w:eastAsia="lv-LV"/>
              </w:rPr>
            </w:pPr>
            <w:r w:rsidRPr="00DE1A22">
              <w:rPr>
                <w:rFonts w:eastAsia="Times New Roman"/>
                <w:b/>
                <w:sz w:val="24"/>
                <w:szCs w:val="24"/>
                <w:lang w:eastAsia="lv-LV"/>
              </w:rPr>
              <w:lastRenderedPageBreak/>
              <w:t>Biedrība “Latvijas Spēļu biznesa asociācija” (30.01.2019. Nr.2/19)</w:t>
            </w:r>
          </w:p>
          <w:p w14:paraId="4009B48F" w14:textId="77777777" w:rsidR="005B04CB" w:rsidRPr="00DE1A22" w:rsidRDefault="005B04CB" w:rsidP="005B04CB">
            <w:pPr>
              <w:contextualSpacing/>
              <w:jc w:val="both"/>
              <w:rPr>
                <w:rFonts w:eastAsia="Times New Roman"/>
                <w:sz w:val="24"/>
                <w:szCs w:val="24"/>
                <w:lang w:eastAsia="lv-LV"/>
              </w:rPr>
            </w:pPr>
            <w:r w:rsidRPr="00DE1A22">
              <w:rPr>
                <w:rFonts w:eastAsia="Times New Roman"/>
                <w:sz w:val="24"/>
                <w:szCs w:val="24"/>
                <w:lang w:eastAsia="lv-LV"/>
              </w:rPr>
              <w:lastRenderedPageBreak/>
              <w:t>LSBA aicina pārskatīt Pamatnostādņu 1. pielikumā (37.lpp) izteikto secinājumu:</w:t>
            </w:r>
          </w:p>
          <w:p w14:paraId="4F60A8F1" w14:textId="77777777" w:rsidR="005B04CB" w:rsidRPr="00DE1A22" w:rsidRDefault="005B04CB" w:rsidP="005B04CB">
            <w:pPr>
              <w:contextualSpacing/>
              <w:jc w:val="both"/>
              <w:rPr>
                <w:rFonts w:eastAsia="Times New Roman"/>
                <w:sz w:val="24"/>
                <w:szCs w:val="24"/>
                <w:lang w:eastAsia="lv-LV"/>
              </w:rPr>
            </w:pPr>
            <w:r w:rsidRPr="00DE1A22">
              <w:rPr>
                <w:rFonts w:eastAsia="Times New Roman"/>
                <w:sz w:val="24"/>
                <w:szCs w:val="24"/>
                <w:lang w:eastAsia="lv-LV"/>
              </w:rPr>
              <w:t>“Ņemot vērā nepieciešamību aizsargāt patērētāju intereses, veicinot legālās komercdarbības konkurētspēju, salīdzinot ar nekontrolēto vidi, attiecībā uz interaktīvo vidi tiek vērtēts atļaut Latvijā licencētajiem interaktīvo azartspēļu organizētājiem izvietot savas mājas lapas adresi „tīmeklī” vai elektroniskos plašsaziņas līdzekļos, jo citu instrumentu kā informēt sabiedrību par iespējām piedalīties Latvijā licencētajās interaktīvajās azartspēlēs šiem organizatoriem nav. Vienlaikus normatīvajos aktos būtu jānosaka konkrēti kritēriji, kā šī informācija par vietnes esamību tiek sniegta, piemēram, jānosaka, ka šādai informācijai jāsatur brīdinājuma teksts, ka azartspēles var izraisīt atkarību, kā arī reklāmas tehnisko formātu, tādējādi ievērojot EK rekomendācijās noteikto.”</w:t>
            </w:r>
          </w:p>
          <w:p w14:paraId="4A3DFAF8" w14:textId="77777777" w:rsidR="005B04CB" w:rsidRPr="00DE1A22" w:rsidRDefault="005B04CB" w:rsidP="005B04CB">
            <w:pPr>
              <w:contextualSpacing/>
              <w:jc w:val="both"/>
              <w:rPr>
                <w:rFonts w:eastAsia="Times New Roman"/>
                <w:sz w:val="24"/>
                <w:szCs w:val="24"/>
                <w:lang w:eastAsia="lv-LV"/>
              </w:rPr>
            </w:pPr>
          </w:p>
          <w:p w14:paraId="46D1D8A1" w14:textId="77777777" w:rsidR="005B04CB" w:rsidRPr="00DE1A22" w:rsidRDefault="005B04CB" w:rsidP="005B04CB">
            <w:pPr>
              <w:contextualSpacing/>
              <w:jc w:val="both"/>
              <w:rPr>
                <w:rFonts w:eastAsia="Times New Roman"/>
                <w:sz w:val="24"/>
                <w:szCs w:val="24"/>
                <w:lang w:eastAsia="lv-LV"/>
              </w:rPr>
            </w:pPr>
            <w:r w:rsidRPr="00DE1A22">
              <w:rPr>
                <w:rFonts w:eastAsia="Times New Roman"/>
                <w:sz w:val="24"/>
                <w:szCs w:val="24"/>
                <w:lang w:eastAsia="lv-LV"/>
              </w:rPr>
              <w:t xml:space="preserve">Pamatojums: </w:t>
            </w:r>
          </w:p>
          <w:p w14:paraId="7B707ED6" w14:textId="77777777" w:rsidR="005B04CB" w:rsidRPr="00DE1A22" w:rsidRDefault="005B04CB" w:rsidP="005B04CB">
            <w:pPr>
              <w:contextualSpacing/>
              <w:jc w:val="both"/>
              <w:rPr>
                <w:rFonts w:eastAsia="Times New Roman"/>
                <w:sz w:val="24"/>
                <w:szCs w:val="24"/>
                <w:lang w:eastAsia="lv-LV"/>
              </w:rPr>
            </w:pPr>
            <w:r w:rsidRPr="00DE1A22">
              <w:rPr>
                <w:rFonts w:eastAsia="Times New Roman"/>
                <w:sz w:val="24"/>
                <w:szCs w:val="24"/>
                <w:lang w:eastAsia="lv-LV"/>
              </w:rPr>
              <w:t xml:space="preserve">LSBA pamatnostādņu darba grupā ir paudusi skaidru viedokli – azartspēļu reklāma ir aizliegta. Piekrītam, ka, lai nodrošinātu sabiedrības informēšanu par iespējām piedalīties interaktīvajās azartspēlēs, Latvijā licencētajiem interaktīvo azartspēļu organizētājiem jāatļauj izvietot savas mājas lapas adresi vai logo interaktīvajā vidē, konkrēti definējot izvietojamās informācijas satura un formas nosacījumus „tīmeklī”. </w:t>
            </w:r>
          </w:p>
          <w:p w14:paraId="25BEDC98" w14:textId="77777777" w:rsidR="005B04CB" w:rsidRPr="00DE1A22" w:rsidRDefault="005B04CB" w:rsidP="005B04CB">
            <w:pPr>
              <w:contextualSpacing/>
              <w:jc w:val="both"/>
              <w:rPr>
                <w:rFonts w:eastAsia="Times New Roman"/>
                <w:sz w:val="24"/>
                <w:szCs w:val="24"/>
                <w:lang w:eastAsia="lv-LV"/>
              </w:rPr>
            </w:pPr>
            <w:r w:rsidRPr="00DE1A22">
              <w:rPr>
                <w:rFonts w:eastAsia="Times New Roman"/>
                <w:sz w:val="24"/>
                <w:szCs w:val="24"/>
                <w:lang w:eastAsia="lv-LV"/>
              </w:rPr>
              <w:t xml:space="preserve">Taču piedāvājums atļaut interaktīvo azartspēļu reklāmu elektroniskos </w:t>
            </w:r>
            <w:r w:rsidRPr="00DE1A22">
              <w:rPr>
                <w:rFonts w:eastAsia="Times New Roman"/>
                <w:sz w:val="24"/>
                <w:szCs w:val="24"/>
                <w:lang w:eastAsia="lv-LV"/>
              </w:rPr>
              <w:lastRenderedPageBreak/>
              <w:t>plašsaziņas līdzekļos tiešā veidā konfliktē ar pamatnostādņu galveno mērķi – “samazināt riskus, kuri objektīvi un pamatoti rada kaitējumu sabiedrībai, nodrošinot šīs nozares pakalpojumu sabiedrībai kā izklaidi</w:t>
            </w:r>
            <w:r w:rsidR="00A03A25" w:rsidRPr="00DE1A22">
              <w:rPr>
                <w:rFonts w:eastAsia="Times New Roman"/>
                <w:sz w:val="24"/>
                <w:szCs w:val="24"/>
                <w:lang w:eastAsia="lv-LV"/>
              </w:rPr>
              <w:t>”</w:t>
            </w:r>
            <w:r w:rsidRPr="00DE1A22">
              <w:rPr>
                <w:rFonts w:eastAsia="Times New Roman"/>
                <w:sz w:val="24"/>
                <w:szCs w:val="24"/>
                <w:lang w:eastAsia="lv-LV"/>
              </w:rPr>
              <w:t xml:space="preserve">. Turklāt, lai nodrošinātu vienotu reklāmas regulējumu interaktīvajām un “zemes spēlēm” (spēļu zālēm, kazino, totalizatoriem), atļaujot interaktīvajām azartspēlēm reklāmu elektroniskajos plašsaziņas līdzekļos, šādas tiesības būtu jādod arī “zemes spēļu” organizētājiem. </w:t>
            </w:r>
          </w:p>
          <w:p w14:paraId="262168A5" w14:textId="77777777" w:rsidR="005B04CB" w:rsidRPr="00DE1A22" w:rsidRDefault="005B04CB" w:rsidP="005B04CB">
            <w:pPr>
              <w:contextualSpacing/>
              <w:jc w:val="both"/>
              <w:rPr>
                <w:rFonts w:eastAsia="Times New Roman"/>
                <w:sz w:val="24"/>
                <w:szCs w:val="24"/>
                <w:lang w:eastAsia="lv-LV"/>
              </w:rPr>
            </w:pPr>
          </w:p>
          <w:p w14:paraId="6AB848F9" w14:textId="77777777" w:rsidR="005B04CB" w:rsidRPr="00DE1A22" w:rsidRDefault="005B04CB" w:rsidP="005B04CB">
            <w:pPr>
              <w:ind w:firstLine="28"/>
              <w:contextualSpacing/>
              <w:jc w:val="both"/>
              <w:rPr>
                <w:rFonts w:eastAsia="Times New Roman"/>
                <w:b/>
                <w:sz w:val="24"/>
                <w:szCs w:val="24"/>
                <w:lang w:eastAsia="lv-LV"/>
              </w:rPr>
            </w:pPr>
            <w:r w:rsidRPr="00DE1A22">
              <w:rPr>
                <w:rFonts w:eastAsia="Times New Roman"/>
                <w:sz w:val="24"/>
                <w:szCs w:val="24"/>
                <w:lang w:eastAsia="lv-LV"/>
              </w:rPr>
              <w:t>Priekšlikums: svītrot no pamatnostādņu  1.pielikuma 37.lpp. secinājumā vārdus “vai elektroniskos plašsaziņas līdzekļos”.</w:t>
            </w:r>
          </w:p>
        </w:tc>
        <w:tc>
          <w:tcPr>
            <w:tcW w:w="3118" w:type="dxa"/>
          </w:tcPr>
          <w:p w14:paraId="3AD459CA" w14:textId="77777777" w:rsidR="005B04CB" w:rsidRPr="00DE1A22" w:rsidRDefault="005B04CB" w:rsidP="005B04CB">
            <w:pPr>
              <w:jc w:val="center"/>
              <w:rPr>
                <w:rFonts w:eastAsia="Times New Roman"/>
                <w:b/>
                <w:bCs/>
                <w:sz w:val="24"/>
                <w:szCs w:val="24"/>
                <w:lang w:eastAsia="lv-LV"/>
              </w:rPr>
            </w:pPr>
            <w:r w:rsidRPr="00DE1A22">
              <w:rPr>
                <w:rFonts w:eastAsia="Times New Roman"/>
                <w:b/>
                <w:bCs/>
                <w:sz w:val="24"/>
                <w:szCs w:val="24"/>
                <w:lang w:eastAsia="lv-LV"/>
              </w:rPr>
              <w:lastRenderedPageBreak/>
              <w:t>Ņemts vērā.</w:t>
            </w:r>
          </w:p>
          <w:p w14:paraId="7F857258" w14:textId="77777777" w:rsidR="005B04CB" w:rsidRPr="00DE1A22" w:rsidRDefault="005B04CB" w:rsidP="005B04CB">
            <w:pPr>
              <w:jc w:val="both"/>
              <w:rPr>
                <w:rFonts w:eastAsia="Times New Roman"/>
                <w:b/>
                <w:bCs/>
                <w:sz w:val="24"/>
                <w:szCs w:val="24"/>
                <w:lang w:eastAsia="lv-LV"/>
              </w:rPr>
            </w:pPr>
          </w:p>
        </w:tc>
        <w:tc>
          <w:tcPr>
            <w:tcW w:w="3402" w:type="dxa"/>
          </w:tcPr>
          <w:p w14:paraId="3D80A39D" w14:textId="77777777" w:rsidR="005B04CB" w:rsidRPr="00DE1A22" w:rsidRDefault="00FD7A62" w:rsidP="005B04CB">
            <w:pPr>
              <w:jc w:val="both"/>
              <w:rPr>
                <w:rFonts w:eastAsia="Times New Roman"/>
                <w:sz w:val="24"/>
                <w:szCs w:val="24"/>
                <w:lang w:eastAsia="lv-LV"/>
              </w:rPr>
            </w:pPr>
            <w:r w:rsidRPr="00DE1A22">
              <w:rPr>
                <w:rFonts w:eastAsia="Times New Roman"/>
                <w:bCs/>
                <w:sz w:val="24"/>
                <w:szCs w:val="24"/>
                <w:lang w:eastAsia="lv-LV"/>
              </w:rPr>
              <w:t>Projekta redakcija atbilstoši pilnveidota secinājumu dzēšot.</w:t>
            </w:r>
          </w:p>
        </w:tc>
      </w:tr>
      <w:tr w:rsidR="005B04CB" w:rsidRPr="00DE1A22" w14:paraId="1B588B05" w14:textId="77777777" w:rsidTr="00BF4AE7">
        <w:tc>
          <w:tcPr>
            <w:tcW w:w="846" w:type="dxa"/>
            <w:gridSpan w:val="2"/>
          </w:tcPr>
          <w:p w14:paraId="3B1F1384" w14:textId="77777777" w:rsidR="005B04CB" w:rsidRPr="00DE1A22" w:rsidRDefault="00CB4782" w:rsidP="005B04CB">
            <w:pPr>
              <w:spacing w:before="100" w:beforeAutospacing="1" w:after="100" w:afterAutospacing="1"/>
              <w:jc w:val="center"/>
              <w:rPr>
                <w:rFonts w:eastAsia="Times New Roman"/>
                <w:sz w:val="24"/>
                <w:szCs w:val="24"/>
                <w:lang w:eastAsia="lv-LV"/>
              </w:rPr>
            </w:pPr>
            <w:r w:rsidRPr="00DE1A22">
              <w:rPr>
                <w:rFonts w:eastAsia="Times New Roman"/>
                <w:sz w:val="24"/>
                <w:szCs w:val="24"/>
                <w:lang w:eastAsia="lv-LV"/>
              </w:rPr>
              <w:lastRenderedPageBreak/>
              <w:t>24</w:t>
            </w:r>
            <w:r w:rsidR="005B04CB" w:rsidRPr="00DE1A22">
              <w:rPr>
                <w:rFonts w:eastAsia="Times New Roman"/>
                <w:sz w:val="24"/>
                <w:szCs w:val="24"/>
                <w:lang w:eastAsia="lv-LV"/>
              </w:rPr>
              <w:t>.</w:t>
            </w:r>
          </w:p>
        </w:tc>
        <w:tc>
          <w:tcPr>
            <w:tcW w:w="2977" w:type="dxa"/>
          </w:tcPr>
          <w:p w14:paraId="323C81E6" w14:textId="77777777" w:rsidR="005B04CB" w:rsidRPr="00DE1A22" w:rsidRDefault="005B04CB" w:rsidP="005B04CB">
            <w:pPr>
              <w:jc w:val="both"/>
              <w:rPr>
                <w:rFonts w:eastAsia="Times New Roman"/>
                <w:sz w:val="24"/>
                <w:szCs w:val="24"/>
                <w:lang w:eastAsia="lv-LV"/>
              </w:rPr>
            </w:pPr>
            <w:r w:rsidRPr="00DE1A22">
              <w:rPr>
                <w:rFonts w:eastAsia="Times New Roman"/>
                <w:sz w:val="24"/>
                <w:szCs w:val="24"/>
                <w:lang w:eastAsia="lv-LV"/>
              </w:rPr>
              <w:t>Projekta pielikuma 3. sadaļa “Azartspēļu un izložu reklāmas ierobežojumi” 3.2. apakšsadaļa “Izložu joma</w:t>
            </w:r>
            <w:r w:rsidR="00886971" w:rsidRPr="00DE1A22">
              <w:rPr>
                <w:rFonts w:eastAsia="Times New Roman"/>
                <w:sz w:val="24"/>
                <w:szCs w:val="24"/>
                <w:lang w:eastAsia="lv-LV"/>
              </w:rPr>
              <w:t>.</w:t>
            </w:r>
            <w:r w:rsidRPr="00DE1A22">
              <w:rPr>
                <w:rFonts w:eastAsia="Times New Roman"/>
                <w:sz w:val="24"/>
                <w:szCs w:val="24"/>
                <w:lang w:eastAsia="lv-LV"/>
              </w:rPr>
              <w:t>”</w:t>
            </w:r>
          </w:p>
        </w:tc>
        <w:tc>
          <w:tcPr>
            <w:tcW w:w="4394" w:type="dxa"/>
          </w:tcPr>
          <w:p w14:paraId="56503151" w14:textId="77777777" w:rsidR="005B04CB" w:rsidRPr="00DE1A22" w:rsidRDefault="005B04CB" w:rsidP="005B04CB">
            <w:pPr>
              <w:contextualSpacing/>
              <w:jc w:val="both"/>
              <w:rPr>
                <w:rFonts w:eastAsia="Times New Roman"/>
                <w:b/>
                <w:sz w:val="24"/>
                <w:szCs w:val="24"/>
                <w:lang w:eastAsia="lv-LV"/>
              </w:rPr>
            </w:pPr>
            <w:r w:rsidRPr="00DE1A22">
              <w:rPr>
                <w:rFonts w:eastAsia="Times New Roman"/>
                <w:b/>
                <w:sz w:val="24"/>
                <w:szCs w:val="24"/>
                <w:lang w:eastAsia="lv-LV"/>
              </w:rPr>
              <w:t>Biedrība “Latvijas Spēļu biznesa asociācija” (30.01.2019. Nr.2/19)</w:t>
            </w:r>
          </w:p>
          <w:p w14:paraId="5D80C551" w14:textId="77777777" w:rsidR="005B04CB" w:rsidRPr="00DE1A22" w:rsidRDefault="005B04CB" w:rsidP="005B04CB">
            <w:pPr>
              <w:contextualSpacing/>
              <w:jc w:val="both"/>
              <w:rPr>
                <w:rFonts w:eastAsia="Times New Roman"/>
                <w:sz w:val="24"/>
                <w:szCs w:val="24"/>
                <w:lang w:eastAsia="lv-LV"/>
              </w:rPr>
            </w:pPr>
            <w:r w:rsidRPr="00DE1A22">
              <w:rPr>
                <w:rFonts w:eastAsia="Times New Roman"/>
                <w:sz w:val="24"/>
                <w:szCs w:val="24"/>
                <w:lang w:eastAsia="lv-LV"/>
              </w:rPr>
              <w:t>LSBA aicina pārskatīt Pamatnostādņu 1. pielikumā (42.lpp) izteikto secinājumu:</w:t>
            </w:r>
          </w:p>
          <w:p w14:paraId="301EACE9" w14:textId="77777777" w:rsidR="005B04CB" w:rsidRPr="00DE1A22" w:rsidRDefault="005B04CB" w:rsidP="005B04CB">
            <w:pPr>
              <w:contextualSpacing/>
              <w:jc w:val="both"/>
              <w:rPr>
                <w:rFonts w:eastAsia="Times New Roman"/>
                <w:sz w:val="24"/>
                <w:szCs w:val="24"/>
                <w:lang w:eastAsia="lv-LV"/>
              </w:rPr>
            </w:pPr>
            <w:r w:rsidRPr="00DE1A22">
              <w:rPr>
                <w:rFonts w:eastAsia="Times New Roman"/>
                <w:sz w:val="24"/>
                <w:szCs w:val="24"/>
                <w:lang w:eastAsia="lv-LV"/>
              </w:rPr>
              <w:t>“Nepieciešamie pasākumi:</w:t>
            </w:r>
          </w:p>
          <w:p w14:paraId="23DC437C" w14:textId="77777777" w:rsidR="005B04CB" w:rsidRPr="00DE1A22" w:rsidRDefault="005B04CB" w:rsidP="005B04CB">
            <w:pPr>
              <w:contextualSpacing/>
              <w:jc w:val="both"/>
              <w:rPr>
                <w:rFonts w:eastAsia="Times New Roman"/>
                <w:sz w:val="24"/>
                <w:szCs w:val="24"/>
                <w:lang w:eastAsia="lv-LV"/>
              </w:rPr>
            </w:pPr>
            <w:r w:rsidRPr="00DE1A22">
              <w:rPr>
                <w:rFonts w:eastAsia="Times New Roman"/>
                <w:sz w:val="24"/>
                <w:szCs w:val="24"/>
                <w:lang w:eastAsia="lv-LV"/>
              </w:rPr>
              <w:t>-</w:t>
            </w:r>
            <w:r w:rsidRPr="00DE1A22">
              <w:rPr>
                <w:rFonts w:eastAsia="Times New Roman"/>
                <w:sz w:val="24"/>
                <w:szCs w:val="24"/>
                <w:lang w:eastAsia="lv-LV"/>
              </w:rPr>
              <w:tab/>
              <w:t xml:space="preserve">izvērtēt iespējas panākt AIL noteiktā reklāmas aizlieguma izpildes efektīvāku nodrošināšanu, tajā skaitā, piemērojot administratīvo atbildību jebkurai personai par azartspēļu reklāmas aizlieguma izplatīšanas pārkāpumu. </w:t>
            </w:r>
          </w:p>
          <w:p w14:paraId="5415A18B" w14:textId="77777777" w:rsidR="005B04CB" w:rsidRPr="00DE1A22" w:rsidRDefault="005B04CB" w:rsidP="005B04CB">
            <w:pPr>
              <w:contextualSpacing/>
              <w:jc w:val="both"/>
              <w:rPr>
                <w:rFonts w:eastAsia="Times New Roman"/>
                <w:sz w:val="24"/>
                <w:szCs w:val="24"/>
                <w:lang w:eastAsia="lv-LV"/>
              </w:rPr>
            </w:pPr>
            <w:r w:rsidRPr="00DE1A22">
              <w:rPr>
                <w:rFonts w:eastAsia="Times New Roman"/>
                <w:sz w:val="24"/>
                <w:szCs w:val="24"/>
                <w:lang w:eastAsia="lv-LV"/>
              </w:rPr>
              <w:t>-</w:t>
            </w:r>
            <w:r w:rsidRPr="00DE1A22">
              <w:rPr>
                <w:rFonts w:eastAsia="Times New Roman"/>
                <w:sz w:val="24"/>
                <w:szCs w:val="24"/>
                <w:lang w:eastAsia="lv-LV"/>
              </w:rPr>
              <w:tab/>
              <w:t>grozījumi AIL, nosakot VAS “Latvijas Loto” pienākumu sertificēties Eiropas Loteriju Asociācijas Atbildīgas spēles standartam, nosakot atbilstības sertifikāta nepārtrauktības uzraudzību IAUI.</w:t>
            </w:r>
          </w:p>
          <w:p w14:paraId="5CE345DC" w14:textId="77777777" w:rsidR="005B04CB" w:rsidRPr="00DE1A22" w:rsidRDefault="005B04CB" w:rsidP="005B04CB">
            <w:pPr>
              <w:contextualSpacing/>
              <w:jc w:val="both"/>
              <w:rPr>
                <w:rFonts w:eastAsia="Times New Roman"/>
                <w:sz w:val="24"/>
                <w:szCs w:val="24"/>
                <w:lang w:eastAsia="lv-LV"/>
              </w:rPr>
            </w:pPr>
            <w:r w:rsidRPr="00DE1A22">
              <w:rPr>
                <w:rFonts w:eastAsia="Times New Roman"/>
                <w:sz w:val="24"/>
                <w:szCs w:val="24"/>
                <w:lang w:eastAsia="lv-LV"/>
              </w:rPr>
              <w:lastRenderedPageBreak/>
              <w:t>-</w:t>
            </w:r>
            <w:r w:rsidRPr="00DE1A22">
              <w:rPr>
                <w:rFonts w:eastAsia="Times New Roman"/>
                <w:sz w:val="24"/>
                <w:szCs w:val="24"/>
                <w:lang w:eastAsia="lv-LV"/>
              </w:rPr>
              <w:tab/>
              <w:t>grozījumi normatīvajos aktos, nosakot atbildīgās reklāmas principus preču un pakalpojumu loterijām.”</w:t>
            </w:r>
          </w:p>
          <w:p w14:paraId="15FBE623" w14:textId="77777777" w:rsidR="005B04CB" w:rsidRPr="00DE1A22" w:rsidRDefault="005B04CB" w:rsidP="005B04CB">
            <w:pPr>
              <w:contextualSpacing/>
              <w:jc w:val="both"/>
              <w:rPr>
                <w:rFonts w:eastAsia="Times New Roman"/>
                <w:sz w:val="24"/>
                <w:szCs w:val="24"/>
                <w:lang w:eastAsia="lv-LV"/>
              </w:rPr>
            </w:pPr>
          </w:p>
          <w:p w14:paraId="7BB87EB0" w14:textId="77777777" w:rsidR="005B04CB" w:rsidRPr="00DE1A22" w:rsidRDefault="005B04CB" w:rsidP="005B04CB">
            <w:pPr>
              <w:contextualSpacing/>
              <w:jc w:val="both"/>
              <w:rPr>
                <w:rFonts w:eastAsia="Times New Roman"/>
                <w:sz w:val="24"/>
                <w:szCs w:val="24"/>
                <w:lang w:eastAsia="lv-LV"/>
              </w:rPr>
            </w:pPr>
            <w:r w:rsidRPr="00DE1A22">
              <w:rPr>
                <w:rFonts w:eastAsia="Times New Roman"/>
                <w:sz w:val="24"/>
                <w:szCs w:val="24"/>
                <w:lang w:eastAsia="lv-LV"/>
              </w:rPr>
              <w:t>Pamatojums: nepieciešams veikt grozījumus AIL un attiecināt reklāmas ierobežojumus vienlīdzīgi uz visiem likumā minētajiem azartspēļu un izložu veidiem, jo nav objektīva pamata izlozes un loterijas nošķirt no citiem azartspēļu veidiem un tās neuzskatīt par azartspēlēm.</w:t>
            </w:r>
          </w:p>
          <w:p w14:paraId="6FE12C0E" w14:textId="77777777" w:rsidR="005B04CB" w:rsidRPr="00DE1A22" w:rsidRDefault="005B04CB" w:rsidP="005B04CB">
            <w:pPr>
              <w:contextualSpacing/>
              <w:jc w:val="both"/>
              <w:rPr>
                <w:rFonts w:eastAsia="Times New Roman"/>
                <w:sz w:val="24"/>
                <w:szCs w:val="24"/>
                <w:lang w:eastAsia="lv-LV"/>
              </w:rPr>
            </w:pPr>
          </w:p>
          <w:p w14:paraId="2C641AAF" w14:textId="77777777" w:rsidR="005B04CB" w:rsidRPr="00DE1A22" w:rsidRDefault="005B04CB" w:rsidP="005B04CB">
            <w:pPr>
              <w:contextualSpacing/>
              <w:jc w:val="both"/>
              <w:rPr>
                <w:rFonts w:eastAsia="Times New Roman"/>
                <w:sz w:val="24"/>
                <w:szCs w:val="24"/>
                <w:lang w:eastAsia="lv-LV"/>
              </w:rPr>
            </w:pPr>
            <w:r w:rsidRPr="00DE1A22">
              <w:rPr>
                <w:rFonts w:eastAsia="Times New Roman"/>
                <w:sz w:val="24"/>
                <w:szCs w:val="24"/>
                <w:lang w:eastAsia="lv-LV"/>
              </w:rPr>
              <w:t>Priekšlikums: Papildināt Pamatnostādņu 1. pielikumā (42.lpp) izteikto secinājumu ar sekojošo:</w:t>
            </w:r>
          </w:p>
          <w:p w14:paraId="17608052" w14:textId="77777777" w:rsidR="005B04CB" w:rsidRPr="00DE1A22" w:rsidRDefault="005B04CB" w:rsidP="00AD3FF1">
            <w:pPr>
              <w:ind w:firstLine="28"/>
              <w:contextualSpacing/>
              <w:jc w:val="both"/>
              <w:rPr>
                <w:rFonts w:eastAsia="Times New Roman"/>
                <w:b/>
                <w:sz w:val="24"/>
                <w:szCs w:val="24"/>
                <w:lang w:eastAsia="lv-LV"/>
              </w:rPr>
            </w:pPr>
            <w:r w:rsidRPr="00DE1A22">
              <w:rPr>
                <w:rFonts w:eastAsia="Times New Roman"/>
                <w:sz w:val="24"/>
                <w:szCs w:val="24"/>
                <w:lang w:eastAsia="lv-LV"/>
              </w:rPr>
              <w:t>-</w:t>
            </w:r>
            <w:r w:rsidRPr="00DE1A22">
              <w:rPr>
                <w:rFonts w:eastAsia="Times New Roman"/>
                <w:sz w:val="24"/>
                <w:szCs w:val="24"/>
                <w:lang w:eastAsia="lv-LV"/>
              </w:rPr>
              <w:tab/>
              <w:t>veikt grozījumus AIL, nosakot komersantiem vienādus nosacījumus azartspēļu un izložu reklāmas jomā;</w:t>
            </w:r>
          </w:p>
        </w:tc>
        <w:tc>
          <w:tcPr>
            <w:tcW w:w="3118" w:type="dxa"/>
          </w:tcPr>
          <w:p w14:paraId="6C278DF9" w14:textId="77777777" w:rsidR="00AD3FF1" w:rsidRPr="00DE1A22" w:rsidRDefault="00AD3FF1" w:rsidP="00AD3FF1">
            <w:pPr>
              <w:jc w:val="center"/>
              <w:rPr>
                <w:rFonts w:eastAsia="Times New Roman"/>
                <w:b/>
                <w:bCs/>
                <w:sz w:val="24"/>
                <w:szCs w:val="24"/>
                <w:lang w:eastAsia="lv-LV"/>
              </w:rPr>
            </w:pPr>
            <w:r w:rsidRPr="00DE1A22">
              <w:rPr>
                <w:rFonts w:eastAsia="Times New Roman"/>
                <w:b/>
                <w:bCs/>
                <w:sz w:val="24"/>
                <w:szCs w:val="24"/>
                <w:lang w:eastAsia="lv-LV"/>
              </w:rPr>
              <w:lastRenderedPageBreak/>
              <w:t>Ņemts vērā.</w:t>
            </w:r>
          </w:p>
          <w:p w14:paraId="447E6E89" w14:textId="77777777" w:rsidR="005B04CB" w:rsidRPr="00DE1A22" w:rsidRDefault="005B04CB" w:rsidP="005B04CB">
            <w:pPr>
              <w:jc w:val="both"/>
              <w:rPr>
                <w:rFonts w:eastAsia="Times New Roman"/>
                <w:b/>
                <w:bCs/>
                <w:sz w:val="24"/>
                <w:szCs w:val="24"/>
                <w:lang w:eastAsia="lv-LV"/>
              </w:rPr>
            </w:pPr>
          </w:p>
        </w:tc>
        <w:tc>
          <w:tcPr>
            <w:tcW w:w="3402" w:type="dxa"/>
          </w:tcPr>
          <w:p w14:paraId="416358F5" w14:textId="77777777" w:rsidR="005B04CB" w:rsidRPr="00DE1A22" w:rsidRDefault="00FD7A62" w:rsidP="005B04CB">
            <w:pPr>
              <w:jc w:val="both"/>
              <w:rPr>
                <w:rFonts w:eastAsia="Times New Roman"/>
                <w:sz w:val="24"/>
                <w:szCs w:val="24"/>
                <w:lang w:eastAsia="lv-LV"/>
              </w:rPr>
            </w:pPr>
            <w:r w:rsidRPr="00DE1A22">
              <w:rPr>
                <w:rFonts w:eastAsia="Times New Roman"/>
                <w:bCs/>
                <w:sz w:val="24"/>
                <w:szCs w:val="24"/>
                <w:lang w:eastAsia="lv-LV"/>
              </w:rPr>
              <w:t>Projekts atbilstoši precizēts – 3.sadaļas “Azartspēļu un izložu reklāmas ierobežojumi” apakšsadaļa “Nepieciešamie pasākumi”.</w:t>
            </w:r>
          </w:p>
        </w:tc>
      </w:tr>
      <w:tr w:rsidR="005B04CB" w:rsidRPr="00DE1A22" w14:paraId="320128A2" w14:textId="77777777" w:rsidTr="00BF4AE7">
        <w:tc>
          <w:tcPr>
            <w:tcW w:w="846" w:type="dxa"/>
            <w:gridSpan w:val="2"/>
          </w:tcPr>
          <w:p w14:paraId="2ED9F464" w14:textId="77777777" w:rsidR="005B04CB" w:rsidRPr="00DE1A22" w:rsidRDefault="00CB4782" w:rsidP="005B04CB">
            <w:pPr>
              <w:spacing w:before="100" w:beforeAutospacing="1" w:after="100" w:afterAutospacing="1"/>
              <w:jc w:val="center"/>
              <w:rPr>
                <w:rFonts w:eastAsia="Times New Roman"/>
                <w:sz w:val="24"/>
                <w:szCs w:val="24"/>
                <w:lang w:eastAsia="lv-LV"/>
              </w:rPr>
            </w:pPr>
            <w:r w:rsidRPr="00DE1A22">
              <w:rPr>
                <w:rFonts w:eastAsia="Times New Roman"/>
                <w:sz w:val="24"/>
                <w:szCs w:val="24"/>
                <w:lang w:eastAsia="lv-LV"/>
              </w:rPr>
              <w:t>25</w:t>
            </w:r>
            <w:r w:rsidR="005B04CB" w:rsidRPr="00DE1A22">
              <w:rPr>
                <w:rFonts w:eastAsia="Times New Roman"/>
                <w:sz w:val="24"/>
                <w:szCs w:val="24"/>
                <w:lang w:eastAsia="lv-LV"/>
              </w:rPr>
              <w:t>.</w:t>
            </w:r>
          </w:p>
        </w:tc>
        <w:tc>
          <w:tcPr>
            <w:tcW w:w="2977" w:type="dxa"/>
          </w:tcPr>
          <w:p w14:paraId="7A81754B" w14:textId="77777777" w:rsidR="005B04CB" w:rsidRPr="00DE1A22" w:rsidRDefault="005B04CB" w:rsidP="000C2873">
            <w:pPr>
              <w:jc w:val="both"/>
              <w:rPr>
                <w:rFonts w:eastAsia="Times New Roman"/>
                <w:sz w:val="24"/>
                <w:szCs w:val="24"/>
                <w:lang w:eastAsia="lv-LV"/>
              </w:rPr>
            </w:pPr>
            <w:r w:rsidRPr="00DE1A22">
              <w:rPr>
                <w:rFonts w:eastAsia="Times New Roman"/>
                <w:sz w:val="24"/>
                <w:szCs w:val="24"/>
                <w:lang w:eastAsia="lv-LV"/>
              </w:rPr>
              <w:t>Projekta pielikuma 3. sadaļas “Azartspēļu un izložu reklāmas ierobežojumi” 4. tabula “Reklamēšanas aizlieguma īstenošana azartspēlēm</w:t>
            </w:r>
            <w:r w:rsidR="00B7453F" w:rsidRPr="00DE1A22">
              <w:rPr>
                <w:rFonts w:eastAsia="Times New Roman"/>
                <w:sz w:val="24"/>
                <w:szCs w:val="24"/>
                <w:lang w:eastAsia="lv-LV"/>
              </w:rPr>
              <w:t>.</w:t>
            </w:r>
            <w:r w:rsidRPr="00DE1A22">
              <w:rPr>
                <w:rFonts w:eastAsia="Times New Roman"/>
                <w:sz w:val="24"/>
                <w:szCs w:val="24"/>
                <w:lang w:eastAsia="lv-LV"/>
              </w:rPr>
              <w:t>”</w:t>
            </w:r>
          </w:p>
        </w:tc>
        <w:tc>
          <w:tcPr>
            <w:tcW w:w="4394" w:type="dxa"/>
          </w:tcPr>
          <w:p w14:paraId="537DBDB3" w14:textId="77777777" w:rsidR="005B04CB" w:rsidRPr="00DE1A22" w:rsidRDefault="005B04CB" w:rsidP="005B04CB">
            <w:pPr>
              <w:contextualSpacing/>
              <w:jc w:val="both"/>
              <w:rPr>
                <w:rFonts w:eastAsia="Times New Roman"/>
                <w:b/>
                <w:sz w:val="24"/>
                <w:szCs w:val="24"/>
                <w:lang w:eastAsia="lv-LV"/>
              </w:rPr>
            </w:pPr>
            <w:r w:rsidRPr="00DE1A22">
              <w:rPr>
                <w:rFonts w:eastAsia="Times New Roman"/>
                <w:b/>
                <w:sz w:val="24"/>
                <w:szCs w:val="24"/>
                <w:lang w:eastAsia="lv-LV"/>
              </w:rPr>
              <w:t>Veselības ministrija (</w:t>
            </w:r>
            <w:r w:rsidR="003863B7" w:rsidRPr="00DE1A22">
              <w:rPr>
                <w:rFonts w:eastAsia="Times New Roman"/>
                <w:b/>
                <w:sz w:val="24"/>
                <w:szCs w:val="24"/>
                <w:lang w:eastAsia="lv-LV"/>
              </w:rPr>
              <w:t>23</w:t>
            </w:r>
            <w:r w:rsidRPr="00DE1A22">
              <w:rPr>
                <w:rFonts w:eastAsia="Times New Roman"/>
                <w:b/>
                <w:sz w:val="24"/>
                <w:szCs w:val="24"/>
                <w:lang w:eastAsia="lv-LV"/>
              </w:rPr>
              <w:t>.01.2019. Nr.01-09/448)</w:t>
            </w:r>
          </w:p>
          <w:p w14:paraId="19E354D2" w14:textId="77777777" w:rsidR="005B04CB" w:rsidRPr="00DE1A22" w:rsidRDefault="005B04CB" w:rsidP="005B04CB">
            <w:pPr>
              <w:contextualSpacing/>
              <w:jc w:val="both"/>
              <w:rPr>
                <w:rFonts w:eastAsia="Times New Roman"/>
                <w:sz w:val="24"/>
                <w:szCs w:val="24"/>
                <w:lang w:eastAsia="lv-LV"/>
              </w:rPr>
            </w:pPr>
            <w:r w:rsidRPr="00DE1A22">
              <w:rPr>
                <w:rFonts w:eastAsia="Times New Roman"/>
                <w:sz w:val="24"/>
                <w:szCs w:val="24"/>
                <w:lang w:eastAsia="lv-LV"/>
              </w:rPr>
              <w:t xml:space="preserve">Pielikuma 3.nodaļas “Azartspēļu un izložu reklāmas ierobežojumi” 4.tabulā ir norādīts, ka azartspēles varēs reklamēt televīzijas un radio pārraižu starplaikos laika periodā no plkst. 22.00 līdz 6.00, kā arī varēs reklamēt azartspēles internetā un elektroniskajos plašsaziņas līdzekļos, kas šobrīd saskaņā ar Azartspēļu un izložu likumā noteikto (turpmāk – Likums) ir aizliegts. Vienlaikus pielikuma 3. nodaļas 5.tabulā norādīts, ka attiecībā uz izlozēm un loterijām reklāmas ierobežojumi nav paredzēti. </w:t>
            </w:r>
          </w:p>
          <w:p w14:paraId="4139B922" w14:textId="77777777" w:rsidR="005B04CB" w:rsidRPr="00DE1A22" w:rsidRDefault="005B04CB" w:rsidP="005B04CB">
            <w:pPr>
              <w:contextualSpacing/>
              <w:jc w:val="both"/>
              <w:rPr>
                <w:rFonts w:eastAsia="Times New Roman"/>
                <w:sz w:val="24"/>
                <w:szCs w:val="24"/>
                <w:lang w:eastAsia="lv-LV"/>
              </w:rPr>
            </w:pPr>
            <w:r w:rsidRPr="00DE1A22">
              <w:rPr>
                <w:rFonts w:eastAsia="Times New Roman"/>
                <w:sz w:val="24"/>
                <w:szCs w:val="24"/>
                <w:lang w:eastAsia="lv-LV"/>
              </w:rPr>
              <w:t xml:space="preserve">Vēršam uzmanību, ka reklāmu ierobežošanas mērķis ir samazināt reklāmas ietekmi uz neaizsargātām riska grupām, primāri jauniešiem, kas balstīts </w:t>
            </w:r>
            <w:r w:rsidRPr="00DE1A22">
              <w:rPr>
                <w:rFonts w:eastAsia="Times New Roman"/>
                <w:sz w:val="24"/>
                <w:szCs w:val="24"/>
                <w:lang w:eastAsia="lv-LV"/>
              </w:rPr>
              <w:lastRenderedPageBreak/>
              <w:t xml:space="preserve">pierādījumos, ka azartspēļu spēlēšana agrīnā vecumā ir saistīta ar problemātiskiem paradumiem vēlākā dzīves laikā. </w:t>
            </w:r>
          </w:p>
          <w:p w14:paraId="5E8013B5" w14:textId="77777777" w:rsidR="005B04CB" w:rsidRPr="00DE1A22" w:rsidRDefault="005B04CB" w:rsidP="005B04CB">
            <w:pPr>
              <w:ind w:firstLine="28"/>
              <w:contextualSpacing/>
              <w:jc w:val="both"/>
              <w:rPr>
                <w:rFonts w:eastAsia="Times New Roman"/>
                <w:b/>
                <w:sz w:val="24"/>
                <w:szCs w:val="24"/>
                <w:lang w:eastAsia="lv-LV"/>
              </w:rPr>
            </w:pPr>
            <w:r w:rsidRPr="00DE1A22">
              <w:rPr>
                <w:rFonts w:eastAsia="Times New Roman"/>
                <w:sz w:val="24"/>
                <w:szCs w:val="24"/>
                <w:lang w:eastAsia="lv-LV"/>
              </w:rPr>
              <w:t>Ņemot vērā augstāk minēto, Veselības ministrija neatbalsta Finanšu ministrijas piedāvāto daļēju azartspēļu reklāmas ierobežojumu noteikšanu un uzskata, ka būtu jāsaglabā spēkā esošais regulējums attiecībā uz reklāmas aizliegumu azartspēļu gadījumā. Vienlaikus rosinām aizliegt reklāmu arī izlozēm, nosakot, ka ir atļauta tikai izložu rezultātu paziņošana, piemēram, specializētos raidījumos TV un radio, bet nosakot ierobežojumu, piemēram, attiecībā uz diennakts laiku, biežumu utt. Attiecībā uz izlozēm un loterijām būtu jāierobežo arī vides reklāma.</w:t>
            </w:r>
          </w:p>
        </w:tc>
        <w:tc>
          <w:tcPr>
            <w:tcW w:w="3118" w:type="dxa"/>
          </w:tcPr>
          <w:p w14:paraId="7280F618" w14:textId="77777777" w:rsidR="005B04CB" w:rsidRPr="00DE1A22" w:rsidRDefault="005B04CB" w:rsidP="005B04CB">
            <w:pPr>
              <w:jc w:val="center"/>
              <w:rPr>
                <w:rFonts w:eastAsia="Times New Roman"/>
                <w:b/>
                <w:bCs/>
                <w:sz w:val="24"/>
                <w:szCs w:val="24"/>
                <w:lang w:eastAsia="lv-LV"/>
              </w:rPr>
            </w:pPr>
            <w:r w:rsidRPr="00DE1A22">
              <w:rPr>
                <w:rFonts w:eastAsia="Times New Roman"/>
                <w:b/>
                <w:bCs/>
                <w:sz w:val="24"/>
                <w:szCs w:val="24"/>
                <w:lang w:eastAsia="lv-LV"/>
              </w:rPr>
              <w:lastRenderedPageBreak/>
              <w:t>Ņemts vērā.</w:t>
            </w:r>
          </w:p>
          <w:p w14:paraId="586DF3C6" w14:textId="77777777" w:rsidR="005B04CB" w:rsidRPr="00DE1A22" w:rsidRDefault="005B04CB" w:rsidP="003700BB">
            <w:pPr>
              <w:jc w:val="both"/>
              <w:rPr>
                <w:rFonts w:eastAsia="Times New Roman"/>
                <w:b/>
                <w:bCs/>
                <w:sz w:val="24"/>
                <w:szCs w:val="24"/>
                <w:lang w:eastAsia="lv-LV"/>
              </w:rPr>
            </w:pPr>
          </w:p>
        </w:tc>
        <w:tc>
          <w:tcPr>
            <w:tcW w:w="3402" w:type="dxa"/>
          </w:tcPr>
          <w:p w14:paraId="0D2DD2EB" w14:textId="77777777" w:rsidR="003700BB" w:rsidRPr="00DE1A22" w:rsidRDefault="00FD7A62" w:rsidP="005B04CB">
            <w:pPr>
              <w:jc w:val="both"/>
              <w:rPr>
                <w:rFonts w:eastAsia="Times New Roman"/>
                <w:sz w:val="24"/>
                <w:szCs w:val="24"/>
                <w:lang w:eastAsia="lv-LV"/>
              </w:rPr>
            </w:pPr>
            <w:r w:rsidRPr="00DE1A22">
              <w:rPr>
                <w:rFonts w:eastAsia="Times New Roman"/>
                <w:bCs/>
                <w:sz w:val="24"/>
                <w:szCs w:val="24"/>
                <w:lang w:eastAsia="lv-LV"/>
              </w:rPr>
              <w:t>Projekts atbilstoši precizēts – 3.sadaļas “Azartspēļu un izložu reklāmas ierobežojumi” apakšsadaļa “Nepieciešamie pasākumi”.</w:t>
            </w:r>
          </w:p>
        </w:tc>
      </w:tr>
      <w:tr w:rsidR="005B04CB" w:rsidRPr="00DE1A22" w14:paraId="72C59ABD" w14:textId="77777777" w:rsidTr="00BF4AE7">
        <w:tc>
          <w:tcPr>
            <w:tcW w:w="846" w:type="dxa"/>
            <w:gridSpan w:val="2"/>
          </w:tcPr>
          <w:p w14:paraId="7180AF95" w14:textId="77777777" w:rsidR="005B04CB" w:rsidRPr="00DE1A22" w:rsidRDefault="00CB4782" w:rsidP="005B04CB">
            <w:pPr>
              <w:spacing w:before="100" w:beforeAutospacing="1" w:after="100" w:afterAutospacing="1"/>
              <w:jc w:val="center"/>
              <w:rPr>
                <w:rFonts w:eastAsia="Times New Roman"/>
                <w:sz w:val="24"/>
                <w:szCs w:val="24"/>
                <w:lang w:eastAsia="lv-LV"/>
              </w:rPr>
            </w:pPr>
            <w:r w:rsidRPr="00DE1A22">
              <w:rPr>
                <w:rFonts w:eastAsia="Times New Roman"/>
                <w:sz w:val="24"/>
                <w:szCs w:val="24"/>
                <w:lang w:eastAsia="lv-LV"/>
              </w:rPr>
              <w:t>26.</w:t>
            </w:r>
          </w:p>
        </w:tc>
        <w:tc>
          <w:tcPr>
            <w:tcW w:w="2977" w:type="dxa"/>
          </w:tcPr>
          <w:p w14:paraId="70DCD412" w14:textId="77777777" w:rsidR="005B04CB" w:rsidRPr="00DE1A22" w:rsidRDefault="005B04CB" w:rsidP="005B04CB">
            <w:pPr>
              <w:jc w:val="both"/>
              <w:rPr>
                <w:rFonts w:eastAsia="Times New Roman"/>
                <w:sz w:val="24"/>
                <w:szCs w:val="24"/>
                <w:lang w:eastAsia="lv-LV"/>
              </w:rPr>
            </w:pPr>
            <w:r w:rsidRPr="00DE1A22">
              <w:rPr>
                <w:rFonts w:eastAsia="Times New Roman"/>
                <w:sz w:val="24"/>
                <w:szCs w:val="24"/>
                <w:lang w:eastAsia="lv-LV"/>
              </w:rPr>
              <w:t>Projekta 6. sadaļas “Ietekme uz valsts un pašvaldību budžetiem” tabulas “Pamatnostādņu īstenošanai plānotie finanšu avoti ir valsts un pašvaldību budžets” informācija pie norādītā pasākuma “Nodrošināt pašvaldībās profilakses pasākumus procesu atkarības (tostarp azartspēļu atkarības) risku mazināšanai</w:t>
            </w:r>
            <w:r w:rsidR="00107864" w:rsidRPr="00DE1A22">
              <w:rPr>
                <w:rFonts w:eastAsia="Times New Roman"/>
                <w:sz w:val="24"/>
                <w:szCs w:val="24"/>
                <w:lang w:eastAsia="lv-LV"/>
              </w:rPr>
              <w:t>.</w:t>
            </w:r>
            <w:r w:rsidRPr="00DE1A22">
              <w:rPr>
                <w:rFonts w:eastAsia="Times New Roman"/>
                <w:sz w:val="24"/>
                <w:szCs w:val="24"/>
                <w:lang w:eastAsia="lv-LV"/>
              </w:rPr>
              <w:t>”</w:t>
            </w:r>
          </w:p>
        </w:tc>
        <w:tc>
          <w:tcPr>
            <w:tcW w:w="4394" w:type="dxa"/>
          </w:tcPr>
          <w:p w14:paraId="62C0BAF0" w14:textId="77777777" w:rsidR="005B04CB" w:rsidRPr="00DE1A22" w:rsidRDefault="005B04CB" w:rsidP="005B04CB">
            <w:pPr>
              <w:contextualSpacing/>
              <w:jc w:val="both"/>
              <w:rPr>
                <w:rFonts w:eastAsia="Times New Roman"/>
                <w:b/>
                <w:sz w:val="24"/>
                <w:szCs w:val="24"/>
                <w:lang w:eastAsia="lv-LV"/>
              </w:rPr>
            </w:pPr>
            <w:r w:rsidRPr="00DE1A22">
              <w:rPr>
                <w:rFonts w:eastAsia="Times New Roman"/>
                <w:b/>
                <w:sz w:val="24"/>
                <w:szCs w:val="24"/>
                <w:lang w:eastAsia="lv-LV"/>
              </w:rPr>
              <w:t>Vides aizsardzības un reģionālās attīstības ministrija (25.01.2019. Nr.1-22/693)</w:t>
            </w:r>
          </w:p>
          <w:p w14:paraId="16D06188" w14:textId="77777777" w:rsidR="005B04CB" w:rsidRPr="00DE1A22" w:rsidRDefault="005B04CB" w:rsidP="005B04CB">
            <w:pPr>
              <w:contextualSpacing/>
              <w:jc w:val="both"/>
              <w:rPr>
                <w:rFonts w:eastAsia="Times New Roman"/>
                <w:sz w:val="24"/>
                <w:szCs w:val="24"/>
                <w:lang w:eastAsia="lv-LV"/>
              </w:rPr>
            </w:pPr>
            <w:r w:rsidRPr="00DE1A22">
              <w:rPr>
                <w:rFonts w:eastAsia="Times New Roman"/>
                <w:sz w:val="24"/>
                <w:szCs w:val="24"/>
                <w:lang w:eastAsia="lv-LV"/>
              </w:rPr>
              <w:t xml:space="preserve">Precizēt pamatnostādnēs 6.sadaļas “Ietekme uz valsts un pašvaldību budžetiem” tabulas “Pamatnostādņu īstenošanas plānotie finanšu avoti ir valsts un pašvaldību budžets” informāciju pie norādītā pasākuma “Nodrošināt pašvaldībās profilakses pasākumus procesu atkarības (tostarp azartspēļu atkarības) risku mazināšanai”, mainot ailē “Atbildīgā institūcija” vārdu  “pašvaldības” ar vārdiem “Veselības ministrija”, jo saskaņā ar rīkojumā 4.punktā norādīto jautājumu par atbildīgajām institūcijām papildu nepieciešamā finansējuma piešķiršanu pamatnostādnēs paredzēto uzdevumu un </w:t>
            </w:r>
            <w:r w:rsidRPr="00DE1A22">
              <w:rPr>
                <w:rFonts w:eastAsia="Times New Roman"/>
                <w:sz w:val="24"/>
                <w:szCs w:val="24"/>
                <w:lang w:eastAsia="lv-LV"/>
              </w:rPr>
              <w:lastRenderedPageBreak/>
              <w:t>pasākumu īstenošanai skatīt gadskārtējā valsts budžeta projekta un vidējā termiņa budžeta ietvara projekta sagatavošanas procesā kopā ar visu ministriju un citu centrālo valsts iestāžu prioritāšu pieteikumiem, ievērojot valsts budžeta finansiālās iespējas.</w:t>
            </w:r>
          </w:p>
          <w:p w14:paraId="533A57CD" w14:textId="77777777" w:rsidR="005B04CB" w:rsidRPr="00DE1A22" w:rsidRDefault="005B04CB" w:rsidP="005B04CB">
            <w:pPr>
              <w:contextualSpacing/>
              <w:jc w:val="both"/>
              <w:rPr>
                <w:rFonts w:eastAsia="Times New Roman"/>
                <w:b/>
                <w:sz w:val="24"/>
                <w:szCs w:val="24"/>
                <w:lang w:eastAsia="lv-LV"/>
              </w:rPr>
            </w:pPr>
          </w:p>
        </w:tc>
        <w:tc>
          <w:tcPr>
            <w:tcW w:w="3118" w:type="dxa"/>
          </w:tcPr>
          <w:p w14:paraId="00473290" w14:textId="77777777" w:rsidR="005B04CB" w:rsidRPr="00DE1A22" w:rsidRDefault="005B04CB" w:rsidP="005B04CB">
            <w:pPr>
              <w:jc w:val="center"/>
              <w:rPr>
                <w:rFonts w:eastAsia="Times New Roman"/>
                <w:b/>
                <w:bCs/>
                <w:sz w:val="24"/>
                <w:szCs w:val="24"/>
                <w:lang w:eastAsia="lv-LV"/>
              </w:rPr>
            </w:pPr>
            <w:r w:rsidRPr="00DE1A22">
              <w:rPr>
                <w:rFonts w:eastAsia="Times New Roman"/>
                <w:b/>
                <w:bCs/>
                <w:sz w:val="24"/>
                <w:szCs w:val="24"/>
                <w:lang w:eastAsia="lv-LV"/>
              </w:rPr>
              <w:lastRenderedPageBreak/>
              <w:t>Ņemts vērā.</w:t>
            </w:r>
          </w:p>
          <w:p w14:paraId="466B5EAE" w14:textId="77777777" w:rsidR="005B04CB" w:rsidRPr="00DE1A22" w:rsidRDefault="005B04CB" w:rsidP="00A33290">
            <w:pPr>
              <w:jc w:val="both"/>
              <w:rPr>
                <w:rFonts w:eastAsia="Times New Roman"/>
                <w:b/>
                <w:bCs/>
                <w:sz w:val="24"/>
                <w:szCs w:val="24"/>
                <w:lang w:eastAsia="lv-LV"/>
              </w:rPr>
            </w:pPr>
          </w:p>
        </w:tc>
        <w:tc>
          <w:tcPr>
            <w:tcW w:w="3402" w:type="dxa"/>
          </w:tcPr>
          <w:p w14:paraId="201C2509" w14:textId="77777777" w:rsidR="005B04CB" w:rsidRPr="00DE1A22" w:rsidRDefault="00173AED" w:rsidP="005B04CB">
            <w:pPr>
              <w:spacing w:before="100" w:beforeAutospacing="1" w:after="100" w:afterAutospacing="1"/>
              <w:jc w:val="both"/>
              <w:rPr>
                <w:rFonts w:eastAsia="Times New Roman"/>
                <w:sz w:val="24"/>
                <w:szCs w:val="24"/>
                <w:lang w:eastAsia="lv-LV"/>
              </w:rPr>
            </w:pPr>
            <w:r w:rsidRPr="00DE1A22">
              <w:rPr>
                <w:rFonts w:eastAsia="Times New Roman"/>
                <w:bCs/>
                <w:sz w:val="24"/>
                <w:szCs w:val="24"/>
                <w:lang w:eastAsia="lv-LV"/>
              </w:rPr>
              <w:t>Projekts atbilstoši precizēts.</w:t>
            </w:r>
          </w:p>
        </w:tc>
      </w:tr>
      <w:tr w:rsidR="005B04CB" w:rsidRPr="00DE1A22" w14:paraId="4D4A320B" w14:textId="77777777" w:rsidTr="00BF4AE7">
        <w:tc>
          <w:tcPr>
            <w:tcW w:w="846" w:type="dxa"/>
            <w:gridSpan w:val="2"/>
          </w:tcPr>
          <w:p w14:paraId="21CE4803" w14:textId="77777777" w:rsidR="005B04CB" w:rsidRPr="00DE1A22" w:rsidRDefault="00CB4782" w:rsidP="005B04CB">
            <w:pPr>
              <w:spacing w:before="100" w:beforeAutospacing="1" w:after="100" w:afterAutospacing="1"/>
              <w:jc w:val="center"/>
              <w:rPr>
                <w:rFonts w:eastAsia="Times New Roman"/>
                <w:sz w:val="24"/>
                <w:szCs w:val="24"/>
                <w:lang w:eastAsia="lv-LV"/>
              </w:rPr>
            </w:pPr>
            <w:r w:rsidRPr="00DE1A22">
              <w:rPr>
                <w:rFonts w:eastAsia="Times New Roman"/>
                <w:sz w:val="24"/>
                <w:szCs w:val="24"/>
                <w:lang w:eastAsia="lv-LV"/>
              </w:rPr>
              <w:t>27.</w:t>
            </w:r>
          </w:p>
        </w:tc>
        <w:tc>
          <w:tcPr>
            <w:tcW w:w="2977" w:type="dxa"/>
          </w:tcPr>
          <w:p w14:paraId="01AD5E9B" w14:textId="77777777" w:rsidR="005B04CB" w:rsidRPr="00DE1A22" w:rsidRDefault="005B04CB" w:rsidP="005B04CB">
            <w:pPr>
              <w:jc w:val="both"/>
              <w:rPr>
                <w:rFonts w:eastAsia="Times New Roman"/>
                <w:sz w:val="24"/>
                <w:szCs w:val="24"/>
                <w:lang w:eastAsia="lv-LV"/>
              </w:rPr>
            </w:pPr>
            <w:r w:rsidRPr="00DE1A22">
              <w:rPr>
                <w:rFonts w:eastAsia="Times New Roman"/>
                <w:sz w:val="24"/>
                <w:szCs w:val="24"/>
                <w:lang w:eastAsia="lv-LV"/>
              </w:rPr>
              <w:t>Projekta 6. sadaļa “Ietekme uz valsts un pašvaldību budžetiem</w:t>
            </w:r>
            <w:r w:rsidR="00107864" w:rsidRPr="00DE1A22">
              <w:rPr>
                <w:rFonts w:eastAsia="Times New Roman"/>
                <w:sz w:val="24"/>
                <w:szCs w:val="24"/>
                <w:lang w:eastAsia="lv-LV"/>
              </w:rPr>
              <w:t>.</w:t>
            </w:r>
            <w:r w:rsidRPr="00DE1A22">
              <w:rPr>
                <w:rFonts w:eastAsia="Times New Roman"/>
                <w:sz w:val="24"/>
                <w:szCs w:val="24"/>
                <w:lang w:eastAsia="lv-LV"/>
              </w:rPr>
              <w:t>”</w:t>
            </w:r>
          </w:p>
        </w:tc>
        <w:tc>
          <w:tcPr>
            <w:tcW w:w="4394" w:type="dxa"/>
          </w:tcPr>
          <w:p w14:paraId="731306AB" w14:textId="77777777" w:rsidR="005B04CB" w:rsidRPr="00DE1A22" w:rsidRDefault="005B04CB" w:rsidP="005B04CB">
            <w:pPr>
              <w:contextualSpacing/>
              <w:jc w:val="both"/>
              <w:rPr>
                <w:rFonts w:eastAsia="Times New Roman"/>
                <w:b/>
                <w:sz w:val="24"/>
                <w:szCs w:val="24"/>
                <w:lang w:eastAsia="lv-LV"/>
              </w:rPr>
            </w:pPr>
            <w:r w:rsidRPr="00DE1A22">
              <w:rPr>
                <w:rFonts w:eastAsia="Times New Roman"/>
                <w:b/>
                <w:sz w:val="24"/>
                <w:szCs w:val="24"/>
                <w:lang w:eastAsia="lv-LV"/>
              </w:rPr>
              <w:t>Veselības ministrija (</w:t>
            </w:r>
            <w:r w:rsidR="001C2E38" w:rsidRPr="00DE1A22">
              <w:rPr>
                <w:rFonts w:eastAsia="Times New Roman"/>
                <w:b/>
                <w:sz w:val="24"/>
                <w:szCs w:val="24"/>
                <w:lang w:eastAsia="lv-LV"/>
              </w:rPr>
              <w:t>23</w:t>
            </w:r>
            <w:r w:rsidRPr="00DE1A22">
              <w:rPr>
                <w:rFonts w:eastAsia="Times New Roman"/>
                <w:b/>
                <w:sz w:val="24"/>
                <w:szCs w:val="24"/>
                <w:lang w:eastAsia="lv-LV"/>
              </w:rPr>
              <w:t>.01.2019. Nr.01-09/448)</w:t>
            </w:r>
          </w:p>
          <w:p w14:paraId="3BF3CE54" w14:textId="77777777" w:rsidR="005B04CB" w:rsidRPr="00DE1A22" w:rsidRDefault="005B04CB" w:rsidP="005B04CB">
            <w:pPr>
              <w:contextualSpacing/>
              <w:jc w:val="both"/>
              <w:rPr>
                <w:rFonts w:eastAsia="Times New Roman"/>
                <w:sz w:val="24"/>
                <w:szCs w:val="24"/>
                <w:lang w:eastAsia="lv-LV"/>
              </w:rPr>
            </w:pPr>
            <w:r w:rsidRPr="00DE1A22">
              <w:rPr>
                <w:rFonts w:eastAsia="Times New Roman"/>
                <w:sz w:val="24"/>
                <w:szCs w:val="24"/>
                <w:lang w:eastAsia="lv-LV"/>
              </w:rPr>
              <w:t>Lūdzam precizēt pamatnostādņu projekta punktā “6.</w:t>
            </w:r>
            <w:r w:rsidR="007D1BA5" w:rsidRPr="00DE1A22">
              <w:rPr>
                <w:rFonts w:eastAsia="Times New Roman"/>
                <w:sz w:val="24"/>
                <w:szCs w:val="24"/>
                <w:lang w:eastAsia="lv-LV"/>
              </w:rPr>
              <w:t xml:space="preserve">  </w:t>
            </w:r>
            <w:r w:rsidRPr="00DE1A22">
              <w:rPr>
                <w:rFonts w:eastAsia="Times New Roman"/>
                <w:sz w:val="24"/>
                <w:szCs w:val="24"/>
                <w:lang w:eastAsia="lv-LV"/>
              </w:rPr>
              <w:t>Ietekme uz valsts un pašvaldību budžetiem” paredzēto finansējumu sekojošiem pasākumiem:</w:t>
            </w:r>
          </w:p>
          <w:p w14:paraId="133F2ED5" w14:textId="77777777" w:rsidR="005B04CB" w:rsidRPr="00DE1A22" w:rsidRDefault="005B04CB" w:rsidP="005B04CB">
            <w:pPr>
              <w:contextualSpacing/>
              <w:jc w:val="both"/>
              <w:rPr>
                <w:rFonts w:eastAsia="Times New Roman"/>
                <w:sz w:val="24"/>
                <w:szCs w:val="24"/>
                <w:lang w:eastAsia="lv-LV"/>
              </w:rPr>
            </w:pPr>
            <w:r w:rsidRPr="00DE1A22">
              <w:rPr>
                <w:rFonts w:eastAsia="Times New Roman"/>
                <w:sz w:val="24"/>
                <w:szCs w:val="24"/>
                <w:lang w:eastAsia="lv-LV"/>
              </w:rPr>
              <w:t>•</w:t>
            </w:r>
            <w:r w:rsidRPr="00DE1A22">
              <w:rPr>
                <w:rFonts w:eastAsia="Times New Roman"/>
                <w:sz w:val="24"/>
                <w:szCs w:val="24"/>
                <w:lang w:eastAsia="lv-LV"/>
              </w:rPr>
              <w:tab/>
              <w:t>Pasākumam, kurā paredzēts īstenot valsts mēroga sabiedrības informēšanas pasākumus par procesu atkarības riskiem un pieejamo palīdzību iedzīvotājiem, kuri cieš no procesu atkarības, nepieciešams precizēt ESF finansējumu 2020.gadā 50 000 €, 2021.gadā 50 000 €, 2022.gadā 50 000 €.</w:t>
            </w:r>
          </w:p>
          <w:p w14:paraId="79F44B56" w14:textId="77777777" w:rsidR="005B04CB" w:rsidRPr="00DE1A22" w:rsidRDefault="005B04CB" w:rsidP="005B04CB">
            <w:pPr>
              <w:contextualSpacing/>
              <w:jc w:val="both"/>
              <w:rPr>
                <w:rFonts w:eastAsia="Times New Roman"/>
                <w:sz w:val="24"/>
                <w:szCs w:val="24"/>
                <w:lang w:eastAsia="lv-LV"/>
              </w:rPr>
            </w:pPr>
            <w:r w:rsidRPr="00DE1A22">
              <w:rPr>
                <w:rFonts w:eastAsia="Times New Roman"/>
                <w:sz w:val="24"/>
                <w:szCs w:val="24"/>
                <w:lang w:eastAsia="lv-LV"/>
              </w:rPr>
              <w:t>•</w:t>
            </w:r>
            <w:r w:rsidRPr="00DE1A22">
              <w:rPr>
                <w:rFonts w:eastAsia="Times New Roman"/>
                <w:sz w:val="24"/>
                <w:szCs w:val="24"/>
                <w:lang w:eastAsia="lv-LV"/>
              </w:rPr>
              <w:tab/>
              <w:t xml:space="preserve">Pasākumam, kurā paredzēts īstenot izglītojošas profilakses programmas skolās par procesu atkarības riskiem, adaptējot labās prakses programmas modeli no citām valstīm: 1) izstrādāt materiālus izglītojošām skolu prevencijas programmām skolēniem, programmu vadītājiem; 2) apmācīt programmu vadītājus; 3) īstenot programmu (norāda skaitu) skolās Latvijā, precizēt finansējuma avotus. ESF finansējums paredzēts 2021.gadā 75 756 € apmērā. Savukārt no 2022.gada līdz 2026.gadam paredzēt valsts budžeta papildu finansējumu 11 652 € katru gadu; </w:t>
            </w:r>
          </w:p>
          <w:p w14:paraId="2BFB17A8" w14:textId="77777777" w:rsidR="005B04CB" w:rsidRPr="00DE1A22" w:rsidRDefault="005B04CB" w:rsidP="005B04CB">
            <w:pPr>
              <w:contextualSpacing/>
              <w:jc w:val="both"/>
              <w:rPr>
                <w:rFonts w:eastAsia="Times New Roman"/>
                <w:sz w:val="24"/>
                <w:szCs w:val="24"/>
                <w:lang w:eastAsia="lv-LV"/>
              </w:rPr>
            </w:pPr>
            <w:r w:rsidRPr="00DE1A22">
              <w:rPr>
                <w:rFonts w:eastAsia="Times New Roman"/>
                <w:sz w:val="24"/>
                <w:szCs w:val="24"/>
                <w:lang w:eastAsia="lv-LV"/>
              </w:rPr>
              <w:lastRenderedPageBreak/>
              <w:t>•</w:t>
            </w:r>
            <w:r w:rsidRPr="00DE1A22">
              <w:rPr>
                <w:rFonts w:eastAsia="Times New Roman"/>
                <w:sz w:val="24"/>
                <w:szCs w:val="24"/>
                <w:lang w:eastAsia="lv-LV"/>
              </w:rPr>
              <w:tab/>
              <w:t>Pasākumam, kurā paredzēts uzlabot pieejamību valsts apmaksātai Minesotas stacionārās ārstēšanas programmai personām, kurām diagnosticēta patoloģiska tieksme uz azartspēlēm, palielinot apmaksāto ārstēšanas vietu skaitu (aptuveni par 100 pacientiem gada laikā), neparedzēt finansējumu 2019.gadam. Norādīt no 2020.gada līdz 2026.gadam valsts budžeta papildu finansējumu 109 086 € katru gadu;</w:t>
            </w:r>
          </w:p>
          <w:p w14:paraId="5AC753C8" w14:textId="77777777" w:rsidR="005B04CB" w:rsidRPr="00DE1A22" w:rsidRDefault="005B04CB" w:rsidP="005B04CB">
            <w:pPr>
              <w:contextualSpacing/>
              <w:jc w:val="both"/>
              <w:rPr>
                <w:rFonts w:eastAsia="Times New Roman"/>
                <w:sz w:val="24"/>
                <w:szCs w:val="24"/>
                <w:lang w:eastAsia="lv-LV"/>
              </w:rPr>
            </w:pPr>
            <w:r w:rsidRPr="00DE1A22">
              <w:rPr>
                <w:rFonts w:eastAsia="Times New Roman"/>
                <w:sz w:val="24"/>
                <w:szCs w:val="24"/>
                <w:lang w:eastAsia="lv-LV"/>
              </w:rPr>
              <w:t>•</w:t>
            </w:r>
            <w:r w:rsidRPr="00DE1A22">
              <w:rPr>
                <w:rFonts w:eastAsia="Times New Roman"/>
                <w:sz w:val="24"/>
                <w:szCs w:val="24"/>
                <w:lang w:eastAsia="lv-LV"/>
              </w:rPr>
              <w:tab/>
              <w:t xml:space="preserve">Pasākumam, kurā paredzēts nodrošināt valsts apmaksātas veselības vai klīnisko psihologu vadītās ambulatorās atbalsta grupas personām, kurām diagnosticēta patoloģiska tieksme uz azartspēlēm, neparedzēt finansējumu 2019.gadam. Norādīt no 2020.gada līdz 2026.gadam valsts budžeta papildu finansējumu 40 872 € katru gadu; </w:t>
            </w:r>
          </w:p>
          <w:p w14:paraId="2BE61200" w14:textId="77777777" w:rsidR="005B04CB" w:rsidRPr="00DE1A22" w:rsidRDefault="005B04CB" w:rsidP="005B04CB">
            <w:pPr>
              <w:contextualSpacing/>
              <w:jc w:val="both"/>
              <w:rPr>
                <w:rFonts w:eastAsia="Times New Roman"/>
                <w:b/>
                <w:sz w:val="24"/>
                <w:szCs w:val="24"/>
                <w:lang w:eastAsia="lv-LV"/>
              </w:rPr>
            </w:pPr>
            <w:r w:rsidRPr="00DE1A22">
              <w:rPr>
                <w:rFonts w:eastAsia="Times New Roman"/>
                <w:sz w:val="24"/>
                <w:szCs w:val="24"/>
                <w:lang w:eastAsia="lv-LV"/>
              </w:rPr>
              <w:t>•</w:t>
            </w:r>
            <w:r w:rsidRPr="00DE1A22">
              <w:rPr>
                <w:rFonts w:eastAsia="Times New Roman"/>
                <w:sz w:val="24"/>
                <w:szCs w:val="24"/>
                <w:lang w:eastAsia="lv-LV"/>
              </w:rPr>
              <w:tab/>
              <w:t>Pasākumam, kurā paredzēts īstenot apmācības klīniskajiem un veselības psihologiem, lai pilnveidotu profesionālās zināšanas un iemaņas attiecībā uz palīdzības sniegšanu izložu un azartspēļu spēlētājiem, tai skaitā personām, kurām raksturīga patoloģiska tieksme uz azartspēļu spēlēšanu, neparedzēt finansējumu 2019.gadam un 2020.gadam. Precizēt ESF finansējumu šādā redakcijā: 2021. gadam 65 822 €, 2022.gadam 24 768 €.</w:t>
            </w:r>
          </w:p>
        </w:tc>
        <w:tc>
          <w:tcPr>
            <w:tcW w:w="3118" w:type="dxa"/>
          </w:tcPr>
          <w:p w14:paraId="344D4485" w14:textId="77777777" w:rsidR="005B04CB" w:rsidRPr="00DE1A22" w:rsidRDefault="005B04CB" w:rsidP="005B04CB">
            <w:pPr>
              <w:jc w:val="center"/>
              <w:rPr>
                <w:rFonts w:eastAsia="Times New Roman"/>
                <w:b/>
                <w:bCs/>
                <w:sz w:val="24"/>
                <w:szCs w:val="24"/>
                <w:lang w:eastAsia="lv-LV"/>
              </w:rPr>
            </w:pPr>
            <w:r w:rsidRPr="00DE1A22">
              <w:rPr>
                <w:rFonts w:eastAsia="Times New Roman"/>
                <w:b/>
                <w:bCs/>
                <w:sz w:val="24"/>
                <w:szCs w:val="24"/>
                <w:lang w:eastAsia="lv-LV"/>
              </w:rPr>
              <w:lastRenderedPageBreak/>
              <w:t>Ņemts vērā.</w:t>
            </w:r>
          </w:p>
          <w:p w14:paraId="134A76D7" w14:textId="77777777" w:rsidR="005B04CB" w:rsidRPr="00DE1A22" w:rsidRDefault="005B04CB" w:rsidP="00773B54">
            <w:pPr>
              <w:jc w:val="both"/>
              <w:rPr>
                <w:rFonts w:eastAsia="Times New Roman"/>
                <w:b/>
                <w:bCs/>
                <w:sz w:val="24"/>
                <w:szCs w:val="24"/>
                <w:lang w:eastAsia="lv-LV"/>
              </w:rPr>
            </w:pPr>
          </w:p>
        </w:tc>
        <w:tc>
          <w:tcPr>
            <w:tcW w:w="3402" w:type="dxa"/>
          </w:tcPr>
          <w:p w14:paraId="2ABDC563" w14:textId="77777777" w:rsidR="005B04CB" w:rsidRPr="00DE1A22" w:rsidRDefault="00173AED" w:rsidP="005B04CB">
            <w:pPr>
              <w:spacing w:before="100" w:beforeAutospacing="1" w:after="100" w:afterAutospacing="1"/>
              <w:jc w:val="both"/>
              <w:rPr>
                <w:rFonts w:eastAsia="Times New Roman"/>
                <w:sz w:val="24"/>
                <w:szCs w:val="24"/>
                <w:lang w:eastAsia="lv-LV"/>
              </w:rPr>
            </w:pPr>
            <w:r w:rsidRPr="00DE1A22">
              <w:rPr>
                <w:rFonts w:eastAsia="Times New Roman"/>
                <w:bCs/>
                <w:sz w:val="24"/>
                <w:szCs w:val="24"/>
                <w:lang w:eastAsia="lv-LV"/>
              </w:rPr>
              <w:t>Projektā iekļautie uzdevumi tiek pildīti esošo budžetu ietvaros.</w:t>
            </w:r>
          </w:p>
        </w:tc>
      </w:tr>
      <w:tr w:rsidR="005B04CB" w:rsidRPr="00DE1A22" w14:paraId="6A8C7FCE" w14:textId="77777777" w:rsidTr="00BF4AE7">
        <w:tc>
          <w:tcPr>
            <w:tcW w:w="846" w:type="dxa"/>
            <w:gridSpan w:val="2"/>
          </w:tcPr>
          <w:p w14:paraId="326EA9FC" w14:textId="77777777" w:rsidR="005B04CB" w:rsidRPr="00DE1A22" w:rsidRDefault="00CB4782" w:rsidP="005B04CB">
            <w:pPr>
              <w:spacing w:before="100" w:beforeAutospacing="1" w:after="100" w:afterAutospacing="1"/>
              <w:jc w:val="center"/>
              <w:rPr>
                <w:rFonts w:eastAsia="Times New Roman"/>
                <w:sz w:val="24"/>
                <w:szCs w:val="24"/>
                <w:lang w:eastAsia="lv-LV"/>
              </w:rPr>
            </w:pPr>
            <w:r w:rsidRPr="00DE1A22">
              <w:rPr>
                <w:rFonts w:eastAsia="Times New Roman"/>
                <w:sz w:val="24"/>
                <w:szCs w:val="24"/>
                <w:lang w:eastAsia="lv-LV"/>
              </w:rPr>
              <w:t>28</w:t>
            </w:r>
            <w:r w:rsidR="005B04CB" w:rsidRPr="00DE1A22">
              <w:rPr>
                <w:rFonts w:eastAsia="Times New Roman"/>
                <w:sz w:val="24"/>
                <w:szCs w:val="24"/>
                <w:lang w:eastAsia="lv-LV"/>
              </w:rPr>
              <w:t>.</w:t>
            </w:r>
          </w:p>
        </w:tc>
        <w:tc>
          <w:tcPr>
            <w:tcW w:w="2977" w:type="dxa"/>
          </w:tcPr>
          <w:p w14:paraId="5A7C0827" w14:textId="77777777" w:rsidR="005B04CB" w:rsidRPr="00DE1A22" w:rsidRDefault="005B04CB" w:rsidP="005B04CB">
            <w:pPr>
              <w:jc w:val="both"/>
              <w:rPr>
                <w:rFonts w:eastAsia="Times New Roman"/>
                <w:sz w:val="24"/>
                <w:szCs w:val="24"/>
                <w:lang w:eastAsia="lv-LV"/>
              </w:rPr>
            </w:pPr>
            <w:r w:rsidRPr="00DE1A22">
              <w:rPr>
                <w:rFonts w:eastAsia="Times New Roman"/>
                <w:sz w:val="24"/>
                <w:szCs w:val="24"/>
                <w:lang w:eastAsia="lv-LV"/>
              </w:rPr>
              <w:t>Projekta pielikuma 7. sadaļa “Latvijā nelegālās un nelicencētas azartspēles un izlozes un to novēršana</w:t>
            </w:r>
            <w:r w:rsidR="00C37758" w:rsidRPr="00DE1A22">
              <w:rPr>
                <w:rFonts w:eastAsia="Times New Roman"/>
                <w:sz w:val="24"/>
                <w:szCs w:val="24"/>
                <w:lang w:eastAsia="lv-LV"/>
              </w:rPr>
              <w:t>.</w:t>
            </w:r>
            <w:r w:rsidRPr="00DE1A22">
              <w:rPr>
                <w:rFonts w:eastAsia="Times New Roman"/>
                <w:sz w:val="24"/>
                <w:szCs w:val="24"/>
                <w:lang w:eastAsia="lv-LV"/>
              </w:rPr>
              <w:t>”</w:t>
            </w:r>
          </w:p>
        </w:tc>
        <w:tc>
          <w:tcPr>
            <w:tcW w:w="4394" w:type="dxa"/>
          </w:tcPr>
          <w:p w14:paraId="6351B7AD" w14:textId="77777777" w:rsidR="005B04CB" w:rsidRPr="00DE1A22" w:rsidRDefault="005B04CB" w:rsidP="005B04CB">
            <w:pPr>
              <w:contextualSpacing/>
              <w:jc w:val="both"/>
              <w:rPr>
                <w:rFonts w:eastAsia="Times New Roman"/>
                <w:b/>
                <w:sz w:val="24"/>
                <w:szCs w:val="24"/>
                <w:lang w:eastAsia="lv-LV"/>
              </w:rPr>
            </w:pPr>
            <w:r w:rsidRPr="00DE1A22">
              <w:rPr>
                <w:rFonts w:eastAsia="Times New Roman"/>
                <w:b/>
                <w:sz w:val="24"/>
                <w:szCs w:val="24"/>
                <w:lang w:eastAsia="lv-LV"/>
              </w:rPr>
              <w:t>Satiksmes ministrija (28.01.2019. Nr.03-03/13)</w:t>
            </w:r>
          </w:p>
          <w:p w14:paraId="51005D2F" w14:textId="77777777" w:rsidR="005B04CB" w:rsidRPr="00DE1A22" w:rsidRDefault="005B04CB" w:rsidP="005B04CB">
            <w:pPr>
              <w:contextualSpacing/>
              <w:jc w:val="both"/>
              <w:rPr>
                <w:rFonts w:eastAsia="Times New Roman"/>
                <w:b/>
                <w:sz w:val="24"/>
                <w:szCs w:val="24"/>
                <w:lang w:eastAsia="lv-LV"/>
              </w:rPr>
            </w:pPr>
            <w:r w:rsidRPr="00DE1A22">
              <w:rPr>
                <w:rFonts w:eastAsia="Times New Roman"/>
                <w:sz w:val="24"/>
                <w:szCs w:val="24"/>
                <w:lang w:eastAsia="lv-LV"/>
              </w:rPr>
              <w:t xml:space="preserve">Pielikumā sadaļā “7. Latvijā nelegālās un nelicencētas azartspēles un izlozes un to novēršana” ir norādīts, ka tas, ka ir “liels </w:t>
            </w:r>
            <w:r w:rsidRPr="00DE1A22">
              <w:rPr>
                <w:rFonts w:eastAsia="Times New Roman"/>
                <w:sz w:val="24"/>
                <w:szCs w:val="24"/>
                <w:lang w:eastAsia="lv-LV"/>
              </w:rPr>
              <w:lastRenderedPageBreak/>
              <w:t>elektronisko sakaru komersantu skaits, kas regulāri mainās, jo tiek reģistrēti jauni, bet citi pārtrauc pakalpojumu sniegšanu, apgrūtina veikt visaptverošu detalizētu analīzi par katra elektronisko sakaru komersanta sniegtā pakalpojuma izpildes kvalitāti un pakalpojuma sniegšanas vietu.</w:t>
            </w:r>
            <w:r w:rsidR="00BD2AC1" w:rsidRPr="00DE1A22">
              <w:rPr>
                <w:rFonts w:eastAsia="Times New Roman"/>
                <w:sz w:val="24"/>
                <w:szCs w:val="24"/>
                <w:lang w:eastAsia="lv-LV"/>
              </w:rPr>
              <w:t>”</w:t>
            </w:r>
            <w:r w:rsidRPr="00DE1A22">
              <w:rPr>
                <w:rFonts w:eastAsia="Times New Roman"/>
                <w:sz w:val="24"/>
                <w:szCs w:val="24"/>
                <w:lang w:eastAsia="lv-LV"/>
              </w:rPr>
              <w:t xml:space="preserve"> Informējam, ka elektronisko sakaru komersantu sniegto pakalpojumu kvalitāti uzrauga Sabiedrisko pakalpojumu regulēšanas komisija. Ievērojot minēto, lūdzam izvērtēt minēto redakciju un to precizēt.</w:t>
            </w:r>
          </w:p>
        </w:tc>
        <w:tc>
          <w:tcPr>
            <w:tcW w:w="3118" w:type="dxa"/>
          </w:tcPr>
          <w:p w14:paraId="1603BF26" w14:textId="77777777" w:rsidR="00AD3FF1" w:rsidRPr="00DE1A22" w:rsidRDefault="00AD3FF1" w:rsidP="00AD3FF1">
            <w:pPr>
              <w:jc w:val="center"/>
              <w:rPr>
                <w:rFonts w:eastAsia="Times New Roman"/>
                <w:b/>
                <w:bCs/>
                <w:sz w:val="24"/>
                <w:szCs w:val="24"/>
                <w:lang w:eastAsia="lv-LV"/>
              </w:rPr>
            </w:pPr>
            <w:r w:rsidRPr="00DE1A22">
              <w:rPr>
                <w:rFonts w:eastAsia="Times New Roman"/>
                <w:b/>
                <w:bCs/>
                <w:sz w:val="24"/>
                <w:szCs w:val="24"/>
                <w:lang w:eastAsia="lv-LV"/>
              </w:rPr>
              <w:lastRenderedPageBreak/>
              <w:t>Ņemts vērā.</w:t>
            </w:r>
          </w:p>
          <w:p w14:paraId="28C8DDF0" w14:textId="77777777" w:rsidR="005B04CB" w:rsidRPr="00DE1A22" w:rsidRDefault="005B04CB" w:rsidP="005B04CB">
            <w:pPr>
              <w:jc w:val="both"/>
              <w:rPr>
                <w:rFonts w:eastAsia="Times New Roman"/>
                <w:b/>
                <w:bCs/>
                <w:sz w:val="24"/>
                <w:szCs w:val="24"/>
                <w:lang w:eastAsia="lv-LV"/>
              </w:rPr>
            </w:pPr>
          </w:p>
        </w:tc>
        <w:tc>
          <w:tcPr>
            <w:tcW w:w="3402" w:type="dxa"/>
          </w:tcPr>
          <w:p w14:paraId="3CF6FE74" w14:textId="77777777" w:rsidR="005B04CB" w:rsidRPr="00DE1A22" w:rsidRDefault="00FC5F16" w:rsidP="005B04CB">
            <w:pPr>
              <w:jc w:val="both"/>
              <w:rPr>
                <w:rFonts w:eastAsia="Times New Roman"/>
                <w:sz w:val="24"/>
                <w:szCs w:val="24"/>
                <w:lang w:eastAsia="lv-LV"/>
              </w:rPr>
            </w:pPr>
            <w:r w:rsidRPr="00DE1A22">
              <w:rPr>
                <w:rFonts w:eastAsia="Times New Roman"/>
                <w:bCs/>
                <w:sz w:val="24"/>
                <w:szCs w:val="24"/>
                <w:lang w:eastAsia="lv-LV"/>
              </w:rPr>
              <w:t xml:space="preserve">Uzdevums izpildīts ar 2019.gada 3.aprīlī Saeimā pieņemto likumu par 2019.gada valsts budžetu un to pavadošajiem 14 likumprojektiem, tai skaitā </w:t>
            </w:r>
            <w:r w:rsidRPr="00DE1A22">
              <w:rPr>
                <w:rFonts w:eastAsia="Times New Roman"/>
                <w:bCs/>
                <w:sz w:val="24"/>
                <w:szCs w:val="24"/>
                <w:lang w:eastAsia="lv-LV"/>
              </w:rPr>
              <w:lastRenderedPageBreak/>
              <w:t>iekļautajiem četriem likumprojektiem, kas paredz ierobežot Latvijā nelicencētu interaktīvo azartspēļu un izložu pieejamību.</w:t>
            </w:r>
          </w:p>
        </w:tc>
      </w:tr>
      <w:tr w:rsidR="005B04CB" w:rsidRPr="00DE1A22" w14:paraId="0709AA74" w14:textId="77777777" w:rsidTr="00BF4AE7">
        <w:tc>
          <w:tcPr>
            <w:tcW w:w="846" w:type="dxa"/>
            <w:gridSpan w:val="2"/>
            <w:shd w:val="clear" w:color="auto" w:fill="auto"/>
          </w:tcPr>
          <w:p w14:paraId="2B0FEF9C" w14:textId="77777777" w:rsidR="005B04CB" w:rsidRPr="00DE1A22" w:rsidRDefault="00CB4782" w:rsidP="005B04CB">
            <w:pPr>
              <w:spacing w:before="100" w:beforeAutospacing="1" w:after="100" w:afterAutospacing="1"/>
              <w:jc w:val="center"/>
              <w:rPr>
                <w:rFonts w:eastAsia="Times New Roman"/>
                <w:sz w:val="24"/>
                <w:szCs w:val="24"/>
                <w:lang w:eastAsia="lv-LV"/>
              </w:rPr>
            </w:pPr>
            <w:r w:rsidRPr="00DE1A22">
              <w:rPr>
                <w:rFonts w:eastAsia="Times New Roman"/>
                <w:sz w:val="24"/>
                <w:szCs w:val="24"/>
                <w:lang w:eastAsia="lv-LV"/>
              </w:rPr>
              <w:lastRenderedPageBreak/>
              <w:t>29</w:t>
            </w:r>
            <w:r w:rsidR="005B04CB" w:rsidRPr="00DE1A22">
              <w:rPr>
                <w:rFonts w:eastAsia="Times New Roman"/>
                <w:sz w:val="24"/>
                <w:szCs w:val="24"/>
                <w:lang w:eastAsia="lv-LV"/>
              </w:rPr>
              <w:t>.</w:t>
            </w:r>
          </w:p>
        </w:tc>
        <w:tc>
          <w:tcPr>
            <w:tcW w:w="2977" w:type="dxa"/>
            <w:shd w:val="clear" w:color="auto" w:fill="auto"/>
          </w:tcPr>
          <w:p w14:paraId="1D67EB1F" w14:textId="77777777" w:rsidR="005B04CB" w:rsidRPr="00DE1A22" w:rsidRDefault="005B04CB" w:rsidP="005B04CB">
            <w:pPr>
              <w:jc w:val="both"/>
              <w:rPr>
                <w:rFonts w:eastAsia="Times New Roman"/>
                <w:sz w:val="24"/>
                <w:szCs w:val="24"/>
                <w:lang w:eastAsia="lv-LV"/>
              </w:rPr>
            </w:pPr>
            <w:r w:rsidRPr="00DE1A22">
              <w:rPr>
                <w:rFonts w:eastAsia="Times New Roman"/>
                <w:sz w:val="24"/>
                <w:szCs w:val="24"/>
                <w:lang w:eastAsia="lv-LV"/>
              </w:rPr>
              <w:t>Projekta 4. sadaļa “Rīcības virzieni un uzdevumi” (7. lpp.) un projekta pielikums “Esošās situācijas vispārīgs novērtējums” (55. un 61. lpp.).</w:t>
            </w:r>
          </w:p>
        </w:tc>
        <w:tc>
          <w:tcPr>
            <w:tcW w:w="4394" w:type="dxa"/>
            <w:shd w:val="clear" w:color="auto" w:fill="auto"/>
          </w:tcPr>
          <w:p w14:paraId="36B3C7A0" w14:textId="77777777" w:rsidR="005B04CB" w:rsidRPr="00DE1A22" w:rsidRDefault="005B04CB" w:rsidP="005B04CB">
            <w:pPr>
              <w:jc w:val="both"/>
              <w:rPr>
                <w:rFonts w:eastAsia="Times New Roman"/>
                <w:sz w:val="24"/>
                <w:szCs w:val="24"/>
              </w:rPr>
            </w:pPr>
            <w:r w:rsidRPr="00DE1A22">
              <w:rPr>
                <w:rFonts w:eastAsia="Times New Roman"/>
                <w:sz w:val="24"/>
                <w:szCs w:val="24"/>
              </w:rPr>
              <w:t>Priekšlikums:</w:t>
            </w:r>
          </w:p>
          <w:p w14:paraId="29FE03EB" w14:textId="77777777" w:rsidR="005B04CB" w:rsidRPr="00DE1A22" w:rsidRDefault="005B04CB" w:rsidP="005B04CB">
            <w:pPr>
              <w:jc w:val="both"/>
              <w:rPr>
                <w:rFonts w:eastAsia="Times New Roman"/>
                <w:b/>
                <w:sz w:val="24"/>
                <w:szCs w:val="24"/>
              </w:rPr>
            </w:pPr>
            <w:r w:rsidRPr="00DE1A22">
              <w:rPr>
                <w:rFonts w:eastAsia="Times New Roman"/>
                <w:b/>
                <w:sz w:val="24"/>
                <w:szCs w:val="24"/>
              </w:rPr>
              <w:t>Labklājības ministrija (25.01.2019. Nr.A-21-09/9)</w:t>
            </w:r>
          </w:p>
          <w:p w14:paraId="10E90A18" w14:textId="77777777" w:rsidR="005B04CB" w:rsidRPr="00DE1A22" w:rsidRDefault="005B04CB" w:rsidP="000C2873">
            <w:pPr>
              <w:jc w:val="both"/>
              <w:rPr>
                <w:rFonts w:eastAsia="Times New Roman"/>
                <w:sz w:val="24"/>
                <w:szCs w:val="24"/>
              </w:rPr>
            </w:pPr>
            <w:r w:rsidRPr="00DE1A22">
              <w:rPr>
                <w:rFonts w:eastAsia="Times New Roman"/>
                <w:sz w:val="24"/>
                <w:szCs w:val="24"/>
              </w:rPr>
              <w:t>Projekta 4.sadaļā “Rīcības virzieni un uzdevumi” (7. lpp.) un pielikumā “Esošās situācijas vispārīgs novērtējums” (55. un 61. lpp.) lietoto jēdzienu “sociāli neaizsargātās personas” aizstāt ar terminu, kāds tiek lietots Latvijas normatīvajos aktos un politikas plānošanas un attīstības plānošanas dokumentos, t.i. “sociāli mazaizsargāto personu grupas</w:t>
            </w:r>
            <w:r w:rsidR="00A3425A" w:rsidRPr="00DE1A22">
              <w:rPr>
                <w:rFonts w:eastAsia="Times New Roman"/>
                <w:sz w:val="24"/>
                <w:szCs w:val="24"/>
              </w:rPr>
              <w:t>.</w:t>
            </w:r>
            <w:r w:rsidRPr="00DE1A22">
              <w:rPr>
                <w:rFonts w:eastAsia="Times New Roman"/>
                <w:sz w:val="24"/>
                <w:szCs w:val="24"/>
              </w:rPr>
              <w:t xml:space="preserve">” 2005.gada 11.janvāra Ministru kabineta noteikumi Nr. 32 “Noteikumi par sociāli mazaizsargāto personu grupām” nosaka to personu loku, kuras atbilst sociāli mazaizsargāto personu grupas statusam – pavisam 16 grupas, tostarp ģimenes, kuras audzina trīs un vairāk bērnus, nepilnās ģimenes, personas ar invaliditāti, personas virs darbaspējas vecuma, 15 – 25 gadus veci jaunieši, personas, kuras atbrīvotas no brīvības atņemšanas iestādēm, bezpajumtnieki, </w:t>
            </w:r>
            <w:r w:rsidRPr="00DE1A22">
              <w:rPr>
                <w:rFonts w:eastAsia="Times New Roman"/>
                <w:sz w:val="24"/>
                <w:szCs w:val="24"/>
              </w:rPr>
              <w:lastRenderedPageBreak/>
              <w:t>ilgstošie bezdarbnieki, politiski represētās personas, cilvēktirdzniecības upuri u.c.</w:t>
            </w:r>
          </w:p>
        </w:tc>
        <w:tc>
          <w:tcPr>
            <w:tcW w:w="3118" w:type="dxa"/>
            <w:shd w:val="clear" w:color="auto" w:fill="auto"/>
          </w:tcPr>
          <w:p w14:paraId="5734E547" w14:textId="77777777" w:rsidR="005B04CB" w:rsidRPr="00DE1A22" w:rsidRDefault="005B04CB" w:rsidP="00100BCE">
            <w:pPr>
              <w:tabs>
                <w:tab w:val="left" w:pos="0"/>
                <w:tab w:val="left" w:pos="709"/>
                <w:tab w:val="left" w:pos="993"/>
              </w:tabs>
              <w:suppressAutoHyphens/>
              <w:jc w:val="center"/>
              <w:outlineLvl w:val="3"/>
              <w:rPr>
                <w:rFonts w:eastAsia="Times New Roman"/>
                <w:b/>
                <w:bCs/>
                <w:sz w:val="24"/>
                <w:szCs w:val="24"/>
                <w:lang w:eastAsia="lv-LV"/>
              </w:rPr>
            </w:pPr>
            <w:r w:rsidRPr="00DE1A22">
              <w:rPr>
                <w:rFonts w:eastAsia="Times New Roman"/>
                <w:b/>
                <w:bCs/>
                <w:sz w:val="24"/>
                <w:szCs w:val="24"/>
                <w:lang w:eastAsia="lv-LV"/>
              </w:rPr>
              <w:lastRenderedPageBreak/>
              <w:t>Ņemts vērā.</w:t>
            </w:r>
          </w:p>
        </w:tc>
        <w:tc>
          <w:tcPr>
            <w:tcW w:w="3402" w:type="dxa"/>
            <w:shd w:val="clear" w:color="auto" w:fill="auto"/>
          </w:tcPr>
          <w:p w14:paraId="234CB53A" w14:textId="77777777" w:rsidR="00D256A7" w:rsidRPr="00DE1A22" w:rsidRDefault="00D256A7" w:rsidP="00D256A7">
            <w:pPr>
              <w:jc w:val="both"/>
              <w:rPr>
                <w:rFonts w:eastAsia="Times New Roman"/>
                <w:sz w:val="24"/>
                <w:szCs w:val="24"/>
              </w:rPr>
            </w:pPr>
            <w:r w:rsidRPr="00DE1A22">
              <w:rPr>
                <w:rFonts w:eastAsia="Times New Roman"/>
                <w:sz w:val="24"/>
                <w:szCs w:val="24"/>
              </w:rPr>
              <w:t xml:space="preserve">Projekts un projekta pielikums atbilstoši precizēts. </w:t>
            </w:r>
          </w:p>
          <w:p w14:paraId="50D14324" w14:textId="77777777" w:rsidR="005B04CB" w:rsidRPr="00DE1A22" w:rsidRDefault="005B04CB" w:rsidP="005B04CB">
            <w:pPr>
              <w:jc w:val="both"/>
              <w:rPr>
                <w:rFonts w:eastAsia="Times New Roman"/>
                <w:sz w:val="24"/>
                <w:szCs w:val="24"/>
              </w:rPr>
            </w:pPr>
          </w:p>
        </w:tc>
      </w:tr>
      <w:tr w:rsidR="005B04CB" w:rsidRPr="00DE1A22" w14:paraId="52B05493" w14:textId="77777777" w:rsidTr="00BF4AE7">
        <w:tc>
          <w:tcPr>
            <w:tcW w:w="846" w:type="dxa"/>
            <w:gridSpan w:val="2"/>
          </w:tcPr>
          <w:p w14:paraId="18DCC69C" w14:textId="77777777" w:rsidR="005B04CB" w:rsidRPr="00DE1A22" w:rsidRDefault="00CB4782" w:rsidP="005B04CB">
            <w:pPr>
              <w:spacing w:before="100" w:beforeAutospacing="1" w:after="100" w:afterAutospacing="1"/>
              <w:jc w:val="center"/>
              <w:rPr>
                <w:rFonts w:eastAsia="Times New Roman"/>
                <w:sz w:val="24"/>
                <w:szCs w:val="24"/>
                <w:lang w:eastAsia="lv-LV"/>
              </w:rPr>
            </w:pPr>
            <w:r w:rsidRPr="00DE1A22">
              <w:rPr>
                <w:rFonts w:eastAsia="Times New Roman"/>
                <w:sz w:val="24"/>
                <w:szCs w:val="24"/>
                <w:lang w:eastAsia="lv-LV"/>
              </w:rPr>
              <w:t>30</w:t>
            </w:r>
            <w:r w:rsidR="005B04CB" w:rsidRPr="00DE1A22">
              <w:rPr>
                <w:rFonts w:eastAsia="Times New Roman"/>
                <w:sz w:val="24"/>
                <w:szCs w:val="24"/>
                <w:lang w:eastAsia="lv-LV"/>
              </w:rPr>
              <w:t>.</w:t>
            </w:r>
          </w:p>
        </w:tc>
        <w:tc>
          <w:tcPr>
            <w:tcW w:w="2977" w:type="dxa"/>
          </w:tcPr>
          <w:p w14:paraId="68BC176D" w14:textId="77777777" w:rsidR="005B04CB" w:rsidRPr="00DE1A22" w:rsidRDefault="005B04CB" w:rsidP="005B04CB">
            <w:pPr>
              <w:jc w:val="both"/>
              <w:rPr>
                <w:rFonts w:eastAsia="Times New Roman"/>
                <w:sz w:val="24"/>
                <w:szCs w:val="24"/>
                <w:lang w:eastAsia="lv-LV"/>
              </w:rPr>
            </w:pPr>
            <w:r w:rsidRPr="00DE1A22">
              <w:rPr>
                <w:rFonts w:eastAsia="Times New Roman"/>
                <w:sz w:val="24"/>
                <w:szCs w:val="24"/>
                <w:lang w:eastAsia="lv-LV"/>
              </w:rPr>
              <w:t>Projekts kopumā.</w:t>
            </w:r>
          </w:p>
        </w:tc>
        <w:tc>
          <w:tcPr>
            <w:tcW w:w="4394" w:type="dxa"/>
          </w:tcPr>
          <w:p w14:paraId="12DB98C0" w14:textId="77777777" w:rsidR="005B04CB" w:rsidRPr="00DE1A22" w:rsidRDefault="005B04CB" w:rsidP="005B04CB">
            <w:pPr>
              <w:contextualSpacing/>
              <w:jc w:val="both"/>
              <w:rPr>
                <w:rFonts w:eastAsia="Times New Roman"/>
                <w:sz w:val="24"/>
                <w:szCs w:val="24"/>
                <w:lang w:eastAsia="lv-LV"/>
              </w:rPr>
            </w:pPr>
            <w:r w:rsidRPr="00DE1A22">
              <w:rPr>
                <w:rFonts w:eastAsia="Times New Roman"/>
                <w:sz w:val="24"/>
                <w:szCs w:val="24"/>
                <w:lang w:eastAsia="lv-LV"/>
              </w:rPr>
              <w:t xml:space="preserve">Priekšlikums: </w:t>
            </w:r>
          </w:p>
          <w:p w14:paraId="0D7FC3A9" w14:textId="77777777" w:rsidR="005B04CB" w:rsidRPr="00DE1A22" w:rsidRDefault="005B04CB" w:rsidP="005B04CB">
            <w:pPr>
              <w:contextualSpacing/>
              <w:jc w:val="both"/>
              <w:rPr>
                <w:rFonts w:eastAsia="Times New Roman"/>
                <w:b/>
                <w:sz w:val="24"/>
                <w:szCs w:val="24"/>
              </w:rPr>
            </w:pPr>
            <w:r w:rsidRPr="00DE1A22">
              <w:rPr>
                <w:rFonts w:eastAsia="Times New Roman"/>
                <w:b/>
                <w:sz w:val="24"/>
                <w:szCs w:val="24"/>
              </w:rPr>
              <w:t>Tieslietu ministrija (25.01.2019. Nr.1-9.1/88).</w:t>
            </w:r>
          </w:p>
          <w:p w14:paraId="7981EFED" w14:textId="77777777" w:rsidR="005B04CB" w:rsidRPr="00DE1A22" w:rsidRDefault="005B04CB" w:rsidP="005B04CB">
            <w:pPr>
              <w:contextualSpacing/>
              <w:jc w:val="both"/>
              <w:rPr>
                <w:rFonts w:eastAsia="Times New Roman"/>
                <w:sz w:val="24"/>
                <w:szCs w:val="24"/>
                <w:lang w:eastAsia="lv-LV"/>
              </w:rPr>
            </w:pPr>
            <w:r w:rsidRPr="00DE1A22">
              <w:rPr>
                <w:rFonts w:eastAsia="Times New Roman"/>
                <w:sz w:val="24"/>
                <w:szCs w:val="24"/>
              </w:rPr>
              <w:t>Lūdzam projektā paredzēt atvieglotus nosacījumus probācijas klientiem, kuriem identificētas azartspēļu vai izložu atkarības, attiecībā uz Minesotas programmas un citu atkarību ārstniecības pakalpojumu un speciālistu pieejamību.</w:t>
            </w:r>
          </w:p>
        </w:tc>
        <w:tc>
          <w:tcPr>
            <w:tcW w:w="3118" w:type="dxa"/>
          </w:tcPr>
          <w:p w14:paraId="08DE4685" w14:textId="77777777" w:rsidR="005B04CB" w:rsidRPr="00DE1A22" w:rsidRDefault="005B04CB" w:rsidP="005B04CB">
            <w:pPr>
              <w:jc w:val="center"/>
              <w:rPr>
                <w:rFonts w:eastAsia="Times New Roman"/>
                <w:b/>
                <w:bCs/>
                <w:sz w:val="24"/>
                <w:szCs w:val="24"/>
                <w:lang w:eastAsia="lv-LV"/>
              </w:rPr>
            </w:pPr>
            <w:r w:rsidRPr="00DE1A22">
              <w:rPr>
                <w:rFonts w:eastAsia="Times New Roman"/>
                <w:b/>
                <w:bCs/>
                <w:sz w:val="24"/>
                <w:szCs w:val="24"/>
                <w:lang w:eastAsia="lv-LV"/>
              </w:rPr>
              <w:t>Ņemts vērā.</w:t>
            </w:r>
          </w:p>
          <w:p w14:paraId="524413B0" w14:textId="77777777" w:rsidR="005B04CB" w:rsidRPr="00DE1A22" w:rsidRDefault="005B04CB" w:rsidP="0047627D">
            <w:pPr>
              <w:jc w:val="both"/>
              <w:rPr>
                <w:rFonts w:eastAsia="Times New Roman"/>
                <w:b/>
                <w:bCs/>
                <w:sz w:val="24"/>
                <w:szCs w:val="24"/>
                <w:lang w:eastAsia="lv-LV"/>
              </w:rPr>
            </w:pPr>
          </w:p>
        </w:tc>
        <w:tc>
          <w:tcPr>
            <w:tcW w:w="3402" w:type="dxa"/>
          </w:tcPr>
          <w:p w14:paraId="18B429B2" w14:textId="77777777" w:rsidR="005B04CB" w:rsidRPr="00DE1A22" w:rsidRDefault="00173AED" w:rsidP="005B04CB">
            <w:pPr>
              <w:spacing w:before="100" w:beforeAutospacing="1" w:after="100" w:afterAutospacing="1"/>
              <w:jc w:val="both"/>
              <w:rPr>
                <w:rFonts w:eastAsia="Times New Roman"/>
                <w:sz w:val="24"/>
                <w:szCs w:val="24"/>
                <w:lang w:eastAsia="lv-LV"/>
              </w:rPr>
            </w:pPr>
            <w:r w:rsidRPr="00DE1A22">
              <w:rPr>
                <w:rFonts w:eastAsia="Times New Roman"/>
                <w:bCs/>
                <w:sz w:val="24"/>
                <w:szCs w:val="24"/>
                <w:lang w:eastAsia="lv-LV"/>
              </w:rPr>
              <w:t>Vēršam uzmanību, ka jau šobrīd psihologi ir apmācīti un strādā ar personām, kurām ir dažādu atkarību problēmas, t.sk., arī no pārmērīgas tieksmes spēlēt  azartspēlēs un izlozes. Līdz ar to projektā īpaši paredzēt apmācības kursu probācijas dienestā strādājošajam personālam, kas paredz identificēt un rast risinājumu no izlozēm un azartspēlēm atkarību, šobrīd nav paredzēts, un skatāms plašāk, izvērtējot probācijas dienesta funkcijas un iespējams nākotnē paplašinot dienesta personālu ar atbilstošas izglītības psihologiem.</w:t>
            </w:r>
          </w:p>
        </w:tc>
      </w:tr>
      <w:tr w:rsidR="005B04CB" w:rsidRPr="00DE1A22" w14:paraId="0EFFE03D" w14:textId="77777777" w:rsidTr="00BF4AE7">
        <w:tc>
          <w:tcPr>
            <w:tcW w:w="846" w:type="dxa"/>
            <w:gridSpan w:val="2"/>
          </w:tcPr>
          <w:p w14:paraId="51A96D1C" w14:textId="77777777" w:rsidR="005B04CB" w:rsidRPr="00DE1A22" w:rsidRDefault="00CB4782" w:rsidP="005B04CB">
            <w:pPr>
              <w:spacing w:before="100" w:beforeAutospacing="1" w:after="100" w:afterAutospacing="1"/>
              <w:jc w:val="center"/>
              <w:rPr>
                <w:rFonts w:eastAsia="Times New Roman"/>
                <w:sz w:val="24"/>
                <w:szCs w:val="24"/>
                <w:lang w:eastAsia="lv-LV"/>
              </w:rPr>
            </w:pPr>
            <w:r w:rsidRPr="00DE1A22">
              <w:rPr>
                <w:rFonts w:eastAsia="Times New Roman"/>
                <w:sz w:val="24"/>
                <w:szCs w:val="24"/>
                <w:lang w:eastAsia="lv-LV"/>
              </w:rPr>
              <w:t>31</w:t>
            </w:r>
            <w:r w:rsidR="005B04CB" w:rsidRPr="00DE1A22">
              <w:rPr>
                <w:rFonts w:eastAsia="Times New Roman"/>
                <w:sz w:val="24"/>
                <w:szCs w:val="24"/>
                <w:lang w:eastAsia="lv-LV"/>
              </w:rPr>
              <w:t>.</w:t>
            </w:r>
          </w:p>
        </w:tc>
        <w:tc>
          <w:tcPr>
            <w:tcW w:w="2977" w:type="dxa"/>
          </w:tcPr>
          <w:p w14:paraId="6BCB9F9D" w14:textId="77777777" w:rsidR="005B04CB" w:rsidRPr="00DE1A22" w:rsidRDefault="005B04CB" w:rsidP="005B04CB">
            <w:pPr>
              <w:jc w:val="both"/>
              <w:rPr>
                <w:rFonts w:eastAsia="Times New Roman"/>
                <w:sz w:val="24"/>
                <w:szCs w:val="24"/>
                <w:lang w:eastAsia="lv-LV"/>
              </w:rPr>
            </w:pPr>
            <w:r w:rsidRPr="00DE1A22">
              <w:rPr>
                <w:rFonts w:eastAsia="Times New Roman"/>
                <w:sz w:val="24"/>
                <w:szCs w:val="24"/>
                <w:lang w:eastAsia="lv-LV"/>
              </w:rPr>
              <w:t>Projekts kopumā.</w:t>
            </w:r>
          </w:p>
        </w:tc>
        <w:tc>
          <w:tcPr>
            <w:tcW w:w="4394" w:type="dxa"/>
          </w:tcPr>
          <w:p w14:paraId="7DB73F12" w14:textId="77777777" w:rsidR="005B04CB" w:rsidRPr="00DE1A22" w:rsidRDefault="005B04CB" w:rsidP="005B04CB">
            <w:pPr>
              <w:contextualSpacing/>
              <w:jc w:val="both"/>
              <w:rPr>
                <w:rFonts w:eastAsia="Times New Roman"/>
                <w:sz w:val="24"/>
                <w:szCs w:val="24"/>
                <w:lang w:eastAsia="lv-LV"/>
              </w:rPr>
            </w:pPr>
            <w:r w:rsidRPr="00DE1A22">
              <w:rPr>
                <w:rFonts w:eastAsia="Times New Roman"/>
                <w:sz w:val="24"/>
                <w:szCs w:val="24"/>
                <w:lang w:eastAsia="lv-LV"/>
              </w:rPr>
              <w:t xml:space="preserve">Priekšlikums: </w:t>
            </w:r>
          </w:p>
          <w:p w14:paraId="79FB8B40" w14:textId="77777777" w:rsidR="005B04CB" w:rsidRPr="00DE1A22" w:rsidRDefault="005B04CB" w:rsidP="005B04CB">
            <w:pPr>
              <w:contextualSpacing/>
              <w:jc w:val="both"/>
              <w:rPr>
                <w:rFonts w:eastAsia="Times New Roman"/>
                <w:b/>
                <w:sz w:val="24"/>
                <w:szCs w:val="24"/>
              </w:rPr>
            </w:pPr>
            <w:r w:rsidRPr="00DE1A22">
              <w:rPr>
                <w:rFonts w:eastAsia="Times New Roman"/>
                <w:b/>
                <w:sz w:val="24"/>
                <w:szCs w:val="24"/>
              </w:rPr>
              <w:t>Tieslietu ministrija (25.01.2019. Nr.1-9.1/88).</w:t>
            </w:r>
          </w:p>
          <w:p w14:paraId="4219FDE0" w14:textId="77777777" w:rsidR="005B04CB" w:rsidRPr="00DE1A22" w:rsidRDefault="005B04CB" w:rsidP="005B04CB">
            <w:pPr>
              <w:contextualSpacing/>
              <w:jc w:val="both"/>
              <w:rPr>
                <w:rFonts w:eastAsia="Times New Roman"/>
                <w:sz w:val="24"/>
                <w:szCs w:val="24"/>
              </w:rPr>
            </w:pPr>
            <w:r w:rsidRPr="00DE1A22">
              <w:rPr>
                <w:rFonts w:eastAsia="Times New Roman"/>
                <w:sz w:val="24"/>
                <w:szCs w:val="24"/>
              </w:rPr>
              <w:t xml:space="preserve">Vēršam uzmanību, ka Valsts probācijas dienests ikdienā strādā ar vairākiem tūkstošiem notiesāto personu un aptuveni 35% šo personu likumpārkāpumu izdarīšana ir tieši saistīta ar dažāda veida atkarībām, tai skaitā no azartspēlēm. Probācijas klientu aktīvas atkarību problēmas būtiski ierobežo probācijas speciālistu sekmīgumu individuālo terapeitisko un citu intervenču īstenošanā. Līdz ar šo pamatnostādņu ieviešanu praksē, tiks attīstīti jauni resursi, kuri Valsts probācijas dienestam būs pieejami darbam </w:t>
            </w:r>
            <w:r w:rsidRPr="00DE1A22">
              <w:rPr>
                <w:rFonts w:eastAsia="Times New Roman"/>
                <w:sz w:val="24"/>
                <w:szCs w:val="24"/>
              </w:rPr>
              <w:lastRenderedPageBreak/>
              <w:t>ar probācijas klientiem sabiedrībā, piemēram, ambulatorās terapijas aktivitātes, kā arī, pateicoties azartspēļu pieejamības ierobežošanai, tiks radīti labāki priekšnosacījumi likumpārkāpumus izdarījušo personu resocializācijai, viņu spējām strādāt un rūpēties ne tikai par sevi, bet arī savu ģimeni un citiem cilvēkiem.</w:t>
            </w:r>
          </w:p>
          <w:p w14:paraId="7A2D5C4E" w14:textId="77777777" w:rsidR="005B04CB" w:rsidRPr="00DE1A22" w:rsidRDefault="005B04CB" w:rsidP="005B04CB">
            <w:pPr>
              <w:contextualSpacing/>
              <w:jc w:val="both"/>
              <w:rPr>
                <w:rFonts w:eastAsia="Times New Roman"/>
                <w:b/>
                <w:sz w:val="24"/>
                <w:szCs w:val="24"/>
                <w:lang w:eastAsia="lv-LV"/>
              </w:rPr>
            </w:pPr>
            <w:r w:rsidRPr="00DE1A22">
              <w:rPr>
                <w:rFonts w:eastAsia="Times New Roman"/>
                <w:sz w:val="24"/>
                <w:szCs w:val="24"/>
              </w:rPr>
              <w:t>Ievērojot minēto, lūdzam projektā iekļaut mācības vismaz daļai probācijas speciālistu, lai pilnveidotu profesionālās zināšanas un iemaņas attiecībā uz palīdzības sniegšanu izložu un azartspēļu spēlētājiem, tai skaitā personām, kurām raksturīga patoloģiska tieksme uz azartspēļu spēlēšanu, līdzīgi kā klīniskajiem un veselības psihologiem, vai citas mācības par šo tematiku, kas būtu īpaši pielāgotas probācijas darba specifikai (piemēram, par azartspēļu atkarības veidošanās mehānismu, iespējamiem riskiem, sekām, valstī pieejamajiem resursiem un rīkiem šīs problēmas mazināšanai, procedūru, kā šos resursus un rīkus iespējams piesaistīt probācijas darbā ar procesu atkarīgām personām u.tml.).</w:t>
            </w:r>
          </w:p>
        </w:tc>
        <w:tc>
          <w:tcPr>
            <w:tcW w:w="3118" w:type="dxa"/>
          </w:tcPr>
          <w:p w14:paraId="393B05B0" w14:textId="77777777" w:rsidR="005B04CB" w:rsidRPr="00DE1A22" w:rsidRDefault="005B04CB" w:rsidP="005B04CB">
            <w:pPr>
              <w:jc w:val="center"/>
              <w:rPr>
                <w:rFonts w:eastAsia="Times New Roman"/>
                <w:b/>
                <w:bCs/>
                <w:sz w:val="24"/>
                <w:szCs w:val="24"/>
                <w:lang w:eastAsia="lv-LV"/>
              </w:rPr>
            </w:pPr>
            <w:r w:rsidRPr="00DE1A22">
              <w:rPr>
                <w:rFonts w:eastAsia="Times New Roman"/>
                <w:b/>
                <w:bCs/>
                <w:sz w:val="24"/>
                <w:szCs w:val="24"/>
                <w:lang w:eastAsia="lv-LV"/>
              </w:rPr>
              <w:lastRenderedPageBreak/>
              <w:t>Ņemts vērā.</w:t>
            </w:r>
          </w:p>
          <w:p w14:paraId="2855F367" w14:textId="77777777" w:rsidR="005B04CB" w:rsidRPr="00DE1A22" w:rsidRDefault="005B04CB" w:rsidP="00704EE2">
            <w:pPr>
              <w:jc w:val="both"/>
              <w:rPr>
                <w:rFonts w:eastAsia="Times New Roman"/>
                <w:b/>
                <w:bCs/>
                <w:sz w:val="24"/>
                <w:szCs w:val="24"/>
                <w:lang w:eastAsia="lv-LV"/>
              </w:rPr>
            </w:pPr>
          </w:p>
        </w:tc>
        <w:tc>
          <w:tcPr>
            <w:tcW w:w="3402" w:type="dxa"/>
          </w:tcPr>
          <w:p w14:paraId="04676E52" w14:textId="77777777" w:rsidR="005B04CB" w:rsidRPr="00DE1A22" w:rsidRDefault="00173AED" w:rsidP="005B04CB">
            <w:pPr>
              <w:spacing w:before="100" w:beforeAutospacing="1" w:after="100" w:afterAutospacing="1"/>
              <w:jc w:val="both"/>
              <w:rPr>
                <w:rFonts w:eastAsia="Times New Roman"/>
                <w:sz w:val="24"/>
                <w:szCs w:val="24"/>
                <w:lang w:eastAsia="lv-LV"/>
              </w:rPr>
            </w:pPr>
            <w:r w:rsidRPr="00DE1A22">
              <w:rPr>
                <w:rFonts w:eastAsia="Times New Roman"/>
                <w:bCs/>
                <w:sz w:val="24"/>
                <w:szCs w:val="24"/>
                <w:lang w:eastAsia="lv-LV"/>
              </w:rPr>
              <w:t xml:space="preserve">Vēršam uzmanību, ka jau šobrīd psihologi ir apmācīti un strādā ar personām, kurām ir dažādu atkarību problēmas, t.sk., arī no pārmērīgas tieksmes spēlēt azartspēles un izlozes . Līdz ar to projektā īpaši paredzēt apmācības kursu probācijas dienestā strādājošajam personālam, kas paredz identificēt un rast risinājumu no izlozēm un azartspēlēm atkarību, šobrīd nav paredzēts, un skatāms plašāk, izvērtējot probācijas dienesta funkcijas un iespējams nākotnē paplašinot dienesta </w:t>
            </w:r>
            <w:r w:rsidRPr="00DE1A22">
              <w:rPr>
                <w:rFonts w:eastAsia="Times New Roman"/>
                <w:bCs/>
                <w:sz w:val="24"/>
                <w:szCs w:val="24"/>
                <w:lang w:eastAsia="lv-LV"/>
              </w:rPr>
              <w:lastRenderedPageBreak/>
              <w:t>personālu ar atbilstošas izglītības psihologiem.</w:t>
            </w:r>
          </w:p>
        </w:tc>
      </w:tr>
      <w:tr w:rsidR="005B04CB" w:rsidRPr="00DE1A22" w14:paraId="32E16622" w14:textId="77777777" w:rsidTr="00BF4AE7">
        <w:tc>
          <w:tcPr>
            <w:tcW w:w="846" w:type="dxa"/>
            <w:gridSpan w:val="2"/>
          </w:tcPr>
          <w:p w14:paraId="094A2A3A" w14:textId="77777777" w:rsidR="005B04CB" w:rsidRPr="00DE1A22" w:rsidRDefault="00CB4782" w:rsidP="005B04CB">
            <w:pPr>
              <w:spacing w:before="100" w:beforeAutospacing="1" w:after="100" w:afterAutospacing="1"/>
              <w:jc w:val="center"/>
              <w:rPr>
                <w:rFonts w:eastAsia="Times New Roman"/>
                <w:sz w:val="24"/>
                <w:szCs w:val="24"/>
                <w:lang w:eastAsia="lv-LV"/>
              </w:rPr>
            </w:pPr>
            <w:r w:rsidRPr="00DE1A22">
              <w:rPr>
                <w:rFonts w:eastAsia="Times New Roman"/>
                <w:sz w:val="24"/>
                <w:szCs w:val="24"/>
                <w:lang w:eastAsia="lv-LV"/>
              </w:rPr>
              <w:lastRenderedPageBreak/>
              <w:t>32</w:t>
            </w:r>
            <w:r w:rsidR="005B04CB" w:rsidRPr="00DE1A22">
              <w:rPr>
                <w:rFonts w:eastAsia="Times New Roman"/>
                <w:sz w:val="24"/>
                <w:szCs w:val="24"/>
                <w:lang w:eastAsia="lv-LV"/>
              </w:rPr>
              <w:t>.</w:t>
            </w:r>
          </w:p>
        </w:tc>
        <w:tc>
          <w:tcPr>
            <w:tcW w:w="2977" w:type="dxa"/>
          </w:tcPr>
          <w:p w14:paraId="7D42B108" w14:textId="77777777" w:rsidR="005B04CB" w:rsidRPr="00DE1A22" w:rsidRDefault="005B04CB" w:rsidP="005B04CB">
            <w:pPr>
              <w:jc w:val="both"/>
              <w:rPr>
                <w:rFonts w:eastAsia="Times New Roman"/>
                <w:sz w:val="24"/>
                <w:szCs w:val="24"/>
                <w:lang w:eastAsia="lv-LV"/>
              </w:rPr>
            </w:pPr>
            <w:r w:rsidRPr="00DE1A22">
              <w:rPr>
                <w:rFonts w:eastAsia="Times New Roman"/>
                <w:sz w:val="24"/>
                <w:szCs w:val="24"/>
                <w:lang w:eastAsia="lv-LV"/>
              </w:rPr>
              <w:t>Projekts kopumā.</w:t>
            </w:r>
          </w:p>
        </w:tc>
        <w:tc>
          <w:tcPr>
            <w:tcW w:w="4394" w:type="dxa"/>
          </w:tcPr>
          <w:p w14:paraId="028E886E" w14:textId="77777777" w:rsidR="005B04CB" w:rsidRPr="00DE1A22" w:rsidRDefault="005B04CB" w:rsidP="005B04CB">
            <w:pPr>
              <w:contextualSpacing/>
              <w:jc w:val="both"/>
              <w:rPr>
                <w:rFonts w:eastAsia="Times New Roman"/>
                <w:b/>
                <w:sz w:val="24"/>
                <w:szCs w:val="24"/>
                <w:lang w:eastAsia="lv-LV"/>
              </w:rPr>
            </w:pPr>
            <w:r w:rsidRPr="00DE1A22">
              <w:rPr>
                <w:rFonts w:eastAsia="Times New Roman"/>
                <w:b/>
                <w:sz w:val="24"/>
                <w:szCs w:val="24"/>
                <w:lang w:eastAsia="lv-LV"/>
              </w:rPr>
              <w:t>Tieslietu ministrija (18.03.2019. Nr.1-9.1/295)</w:t>
            </w:r>
          </w:p>
          <w:p w14:paraId="311495A4" w14:textId="77777777" w:rsidR="005B04CB" w:rsidRPr="00DE1A22" w:rsidRDefault="005B04CB" w:rsidP="005B04CB">
            <w:pPr>
              <w:ind w:right="-2"/>
              <w:jc w:val="both"/>
              <w:rPr>
                <w:sz w:val="23"/>
                <w:szCs w:val="23"/>
              </w:rPr>
            </w:pPr>
            <w:r w:rsidRPr="00DE1A22">
              <w:rPr>
                <w:sz w:val="23"/>
                <w:szCs w:val="23"/>
              </w:rPr>
              <w:t xml:space="preserve">Ņemot vērā </w:t>
            </w:r>
            <w:r w:rsidRPr="00DE1A22">
              <w:rPr>
                <w:rFonts w:eastAsia="Times New Roman"/>
                <w:sz w:val="23"/>
                <w:szCs w:val="23"/>
                <w:lang w:eastAsia="lv-LV"/>
              </w:rPr>
              <w:t xml:space="preserve">Latvijas pilsoņu kolektīvajā iesniegumā pausto gribu azartspēļu zāļu pieejamības ierobežošanai Latvijā, Tieslietu ministrijas ieskatā ir būtiski turpmāko valsts politiku attīstīt tā, lai tā atbilstu sabiedrības interesēm un tās aizsargātu. </w:t>
            </w:r>
            <w:r w:rsidRPr="00DE1A22">
              <w:rPr>
                <w:sz w:val="23"/>
                <w:szCs w:val="23"/>
              </w:rPr>
              <w:t xml:space="preserve">Pamatnostādņu projekta 2. punktā noteikts azartspēļu un izložu politikas pamatnostādņu izstrādes mērķis, kas paredz </w:t>
            </w:r>
            <w:r w:rsidRPr="00DE1A22">
              <w:rPr>
                <w:i/>
                <w:sz w:val="23"/>
                <w:szCs w:val="23"/>
                <w:u w:val="single"/>
              </w:rPr>
              <w:t>veicināt</w:t>
            </w:r>
            <w:r w:rsidRPr="00DE1A22">
              <w:rPr>
                <w:i/>
                <w:sz w:val="23"/>
                <w:szCs w:val="23"/>
              </w:rPr>
              <w:t xml:space="preserve"> uz ilgtermiņa </w:t>
            </w:r>
            <w:r w:rsidRPr="00DE1A22">
              <w:rPr>
                <w:i/>
                <w:sz w:val="23"/>
                <w:szCs w:val="23"/>
              </w:rPr>
              <w:lastRenderedPageBreak/>
              <w:t xml:space="preserve">attīstību orientētu, caurskatāmu, godīgu, legālu </w:t>
            </w:r>
            <w:r w:rsidRPr="00DE1A22">
              <w:rPr>
                <w:i/>
                <w:sz w:val="23"/>
                <w:szCs w:val="23"/>
                <w:u w:val="single"/>
              </w:rPr>
              <w:t>azartspēļu organizēšanu Latvijā</w:t>
            </w:r>
            <w:r w:rsidRPr="00DE1A22">
              <w:rPr>
                <w:i/>
                <w:sz w:val="23"/>
                <w:szCs w:val="23"/>
              </w:rPr>
              <w:t>, vienlaikus nodrošinot sabiedrības interešu, sabiedrības veselības un personas/spēlētāja tiesību aizsardzību un labklājību, tādējādi nodrošinot kvalitatīvus izklaides pasākumus sociāli atbildīgā un atkarības riskus neradošā veidā un mazinot nozares izraisītās sekas</w:t>
            </w:r>
            <w:r w:rsidRPr="00DE1A22">
              <w:rPr>
                <w:sz w:val="23"/>
                <w:szCs w:val="23"/>
              </w:rPr>
              <w:t xml:space="preserve">. No tā izriet, ka pašlaik azartspēļu un izložu politikas mērķis ir vērsts uz azartspēļu organizēšanas, proti, uzņēmējdarbības attīstību, savukārt sabiedrības intereses ir tikai sekundārs mērķis. Lūdzam pārskatīt pamatnostādņu projektu un kā galveno politikas mērķi izvirzīt </w:t>
            </w:r>
            <w:r w:rsidRPr="00DE1A22">
              <w:rPr>
                <w:sz w:val="23"/>
                <w:szCs w:val="23"/>
                <w:u w:val="single"/>
              </w:rPr>
              <w:t>azartspēļu un izložu kaitīgās ietekmes uz sabiedrību mazināšanu</w:t>
            </w:r>
            <w:r w:rsidRPr="00DE1A22">
              <w:rPr>
                <w:sz w:val="23"/>
                <w:szCs w:val="23"/>
              </w:rPr>
              <w:t>.</w:t>
            </w:r>
          </w:p>
          <w:p w14:paraId="7DBD7876" w14:textId="77777777" w:rsidR="005B04CB" w:rsidRPr="00DE1A22" w:rsidRDefault="005B04CB" w:rsidP="005B04CB">
            <w:pPr>
              <w:jc w:val="both"/>
              <w:rPr>
                <w:rFonts w:eastAsia="Times New Roman"/>
                <w:sz w:val="23"/>
                <w:szCs w:val="23"/>
                <w:lang w:eastAsia="lv-LV"/>
              </w:rPr>
            </w:pPr>
            <w:r w:rsidRPr="00DE1A22">
              <w:rPr>
                <w:sz w:val="23"/>
                <w:szCs w:val="23"/>
              </w:rPr>
              <w:t>Lūdzam pārskatīt iespējamos rīcības virzienus un uzdevumus, balstoties uz mērķi mazināt izložu un azartspēļu kaitīgo ietekmi uz sabiedrību.</w:t>
            </w:r>
            <w:r w:rsidRPr="00DE1A22">
              <w:rPr>
                <w:rFonts w:eastAsia="Times New Roman"/>
                <w:sz w:val="23"/>
                <w:szCs w:val="23"/>
                <w:lang w:eastAsia="lv-LV"/>
              </w:rPr>
              <w:t xml:space="preserve"> Vēršam uzmanību, ka pamatnostādņu projektā par atbilstošāko atzīts 2. risinājuma variants, kas paredz divpakāpju sistēmas nostiprināšanu lēmumu pieņemšanā par azartspēļu vietu organizēšanu, proti, </w:t>
            </w:r>
            <w:r w:rsidRPr="00DE1A22">
              <w:rPr>
                <w:rFonts w:eastAsia="Times New Roman"/>
                <w:i/>
                <w:sz w:val="23"/>
                <w:szCs w:val="23"/>
                <w:lang w:eastAsia="lv-LV"/>
              </w:rPr>
              <w:t xml:space="preserve">risinājums paredz </w:t>
            </w:r>
            <w:r w:rsidRPr="00DE1A22">
              <w:rPr>
                <w:rFonts w:eastAsia="Times New Roman"/>
                <w:i/>
                <w:sz w:val="23"/>
                <w:szCs w:val="23"/>
                <w:u w:val="single"/>
                <w:lang w:eastAsia="lv-LV"/>
              </w:rPr>
              <w:t>likuma līmenī noteikt skaidrus kritērijus, pēc kuriem pašvaldībām ir jāvadās, pieņemot lēmumu par konkrētu azartspēļu organizēšanas vietu</w:t>
            </w:r>
            <w:r w:rsidRPr="00DE1A22">
              <w:rPr>
                <w:rFonts w:eastAsia="Times New Roman"/>
                <w:i/>
                <w:sz w:val="23"/>
                <w:szCs w:val="23"/>
                <w:lang w:eastAsia="lv-LV"/>
              </w:rPr>
              <w:t xml:space="preserve">. Pasākums ir īstenojams, nosakot likuma līmenī konkrētus kritērijus, atbilstoši kuriem pašvaldība teritoriālajā plānojumā nosaka teritorijas, kurās azartspēles ir atļautas, tai skaitā: 1) koncentrējot azartspēļu aktivitātes uzņēmējdarbību ekonomiski un sociāli visaktīvākajā pilsētas teritorijā (ieviešot principu </w:t>
            </w:r>
            <w:r w:rsidRPr="00DE1A22">
              <w:rPr>
                <w:rFonts w:eastAsia="Times New Roman"/>
                <w:i/>
                <w:sz w:val="23"/>
                <w:szCs w:val="23"/>
              </w:rPr>
              <w:t>"</w:t>
            </w:r>
            <w:r w:rsidRPr="00DE1A22">
              <w:rPr>
                <w:rFonts w:eastAsia="Times New Roman"/>
                <w:i/>
                <w:sz w:val="23"/>
                <w:szCs w:val="23"/>
                <w:lang w:eastAsia="lv-LV"/>
              </w:rPr>
              <w:t>azartspēle iet prom ar tūristu</w:t>
            </w:r>
            <w:r w:rsidRPr="00DE1A22">
              <w:rPr>
                <w:rFonts w:eastAsia="Times New Roman"/>
                <w:i/>
                <w:sz w:val="23"/>
                <w:szCs w:val="23"/>
              </w:rPr>
              <w:t>"</w:t>
            </w:r>
            <w:r w:rsidRPr="00DE1A22">
              <w:rPr>
                <w:rFonts w:eastAsia="Times New Roman"/>
                <w:i/>
                <w:sz w:val="23"/>
                <w:szCs w:val="23"/>
                <w:lang w:eastAsia="lv-LV"/>
              </w:rPr>
              <w:t xml:space="preserve">); 2) mazinot ietekmi uz kultūrvēsturisko </w:t>
            </w:r>
            <w:r w:rsidRPr="00DE1A22">
              <w:rPr>
                <w:rFonts w:eastAsia="Times New Roman"/>
                <w:i/>
                <w:sz w:val="23"/>
                <w:szCs w:val="23"/>
                <w:lang w:eastAsia="lv-LV"/>
              </w:rPr>
              <w:lastRenderedPageBreak/>
              <w:t>mantojumu (nosakot citas prasības azartspēļu organizēšanas vietu vizuālajam noformējumam); 3) atļaujot azartspēļu organizēšanu teritorijās, kuras ir efektīvi kontrolējamas no sabiedriskās kārtības nodrošināšanas viedokļa. Kā papildu elementu pašvaldībām, kurās azartspēles izmanto lielākoties pašvaldību iedzīvotāji un koncentrēšanās uz tūristiem nav izteikta, paredzēt tiesības azartspēļu vietu skaita noteikšanai proporcionāli iedzīvotāju skaitam noteiktajā pašvaldībā</w:t>
            </w:r>
            <w:r w:rsidRPr="00DE1A22">
              <w:rPr>
                <w:rFonts w:eastAsia="Times New Roman"/>
                <w:sz w:val="23"/>
                <w:szCs w:val="23"/>
                <w:lang w:eastAsia="lv-LV"/>
              </w:rPr>
              <w:t>. Piedāvātais risinājums ietver vairākus elementus, kas būtu detalizētāk jāizvērtē pamatnostādņu projektā, aplūkojot tos tieši no sabiedrības aizsardzības puses.</w:t>
            </w:r>
          </w:p>
          <w:p w14:paraId="68C34D70" w14:textId="77777777" w:rsidR="005B04CB" w:rsidRPr="00DE1A22" w:rsidRDefault="005B04CB" w:rsidP="005B04CB">
            <w:pPr>
              <w:jc w:val="both"/>
              <w:rPr>
                <w:rFonts w:eastAsia="Times New Roman"/>
                <w:sz w:val="23"/>
                <w:szCs w:val="23"/>
                <w:lang w:eastAsia="lv-LV"/>
              </w:rPr>
            </w:pPr>
            <w:r w:rsidRPr="00DE1A22">
              <w:rPr>
                <w:sz w:val="23"/>
                <w:szCs w:val="23"/>
              </w:rPr>
              <w:t xml:space="preserve">Vienlaikus lūdzam ne vien ierobežot turpmāku azartspēļu organizēšanas vietu izplatību, bet arī izvērtēt iespējas ierobežot esošo spēļu zāļu skaitu. Šobrīd azartspēļu organizēšanas vietas ir plaši izplatītas un viegli pieejamas ikvienam, kas rada draudus iesaistīt azartspēlēs ne vien personas, kurām jau ir problēmas ar azartspēļu atkarību, bet arī citas personas, tostarp jauniešus, kas neapzinās azartspēļu kaitīgo ietekmi. Lai arī nepilngadīgas personas netiek ielaistas azartspēļu organizēšanas vietās, brīvi pieejamās azartspēļu organizēšanas vietas var radīt maldīgu priekšstatu, ka azartspēļu organizēšanas vietas ir tikai populāras izklaides vietas, kas nerada nekādu kaitīgu ietekmi. </w:t>
            </w:r>
          </w:p>
          <w:p w14:paraId="277EA438" w14:textId="77777777" w:rsidR="005B04CB" w:rsidRPr="00DE1A22" w:rsidRDefault="005B04CB" w:rsidP="005B04CB">
            <w:pPr>
              <w:ind w:right="-2"/>
              <w:jc w:val="both"/>
              <w:rPr>
                <w:rFonts w:eastAsia="Times New Roman"/>
                <w:sz w:val="23"/>
                <w:szCs w:val="23"/>
                <w:lang w:eastAsia="lv-LV"/>
              </w:rPr>
            </w:pPr>
            <w:r w:rsidRPr="00DE1A22">
              <w:rPr>
                <w:sz w:val="23"/>
                <w:szCs w:val="23"/>
              </w:rPr>
              <w:t xml:space="preserve">Ierobežojot </w:t>
            </w:r>
            <w:r w:rsidRPr="00DE1A22">
              <w:rPr>
                <w:rFonts w:eastAsia="Times New Roman"/>
                <w:sz w:val="23"/>
                <w:szCs w:val="23"/>
                <w:lang w:eastAsia="lv-LV"/>
              </w:rPr>
              <w:t xml:space="preserve">“zemes” azartspēļu organizēšanas vietas, pastāv risks, ka azartspēļu organizētāji savu darbību pārorientēs uz interaktīvajām azartspēlēm, tomēr lūdzam nošķirti izvērtēt </w:t>
            </w:r>
            <w:r w:rsidRPr="00DE1A22">
              <w:rPr>
                <w:rFonts w:eastAsia="Times New Roman"/>
                <w:sz w:val="23"/>
                <w:szCs w:val="23"/>
                <w:lang w:eastAsia="lv-LV"/>
              </w:rPr>
              <w:lastRenderedPageBreak/>
              <w:t>“zemes” azartspēļu un interaktīvo azartspēļu kaitīgo ietekmi uz sabiedrību. Vēršam uzmanību, ka “zemes” azartspēļu organizēšanas vietās nereti tiek izveidoti tādi apstākļi, kas apgrūtina iespēju orientēties laikā, ko persona ir pavadījusi spēļu zālē, turklāt spēļu zālēs ir pieejami alkoholiskie dzērieni, kuru ietekmē persona azartspēlēs var iztērēt ievērojami vairāk naudas līdzekļu, nekā atrodoties savās mājās pie datora. Lai panāktu efektīvāko azartspēļu organizēšanas vietu ierobežošanas un privātpersonu tiesību aizsardzības risinājumu, ir jāizvērtē katra ierobežojuma tiesiskums un samērīgums.</w:t>
            </w:r>
          </w:p>
          <w:p w14:paraId="406ECCB7" w14:textId="77777777" w:rsidR="005B04CB" w:rsidRPr="00DE1A22" w:rsidRDefault="005B04CB" w:rsidP="000C2873">
            <w:pPr>
              <w:contextualSpacing/>
              <w:jc w:val="both"/>
              <w:rPr>
                <w:rFonts w:eastAsia="Times New Roman"/>
                <w:b/>
                <w:sz w:val="24"/>
                <w:szCs w:val="24"/>
                <w:lang w:eastAsia="lv-LV"/>
              </w:rPr>
            </w:pPr>
            <w:r w:rsidRPr="00DE1A22">
              <w:rPr>
                <w:rFonts w:eastAsia="Times New Roman"/>
                <w:sz w:val="23"/>
                <w:szCs w:val="23"/>
                <w:lang w:eastAsia="lv-LV"/>
              </w:rPr>
              <w:t xml:space="preserve">Papildus vēršam uzmanību, ka šobrīd Azartspēļu un izložu likuma 41. panta otrā daļa paredz, ka azartspēles nav atļauts organizēt likumā skaidri noteiktās vietās. Vienlaikus Azartspēļu un izložu likuma 42. panta trešā daļa nosaka, ja azartspēles paredzēts rīkot vietā, uz kuru nav attiecināmi šā likuma </w:t>
            </w:r>
            <w:hyperlink r:id="rId9" w:anchor="p41" w:history="1">
              <w:r w:rsidRPr="00DE1A22">
                <w:rPr>
                  <w:rFonts w:eastAsia="Times New Roman"/>
                  <w:sz w:val="23"/>
                  <w:szCs w:val="23"/>
                  <w:lang w:eastAsia="lv-LV"/>
                </w:rPr>
                <w:t>41.panta</w:t>
              </w:r>
            </w:hyperlink>
            <w:r w:rsidRPr="00DE1A22">
              <w:rPr>
                <w:rFonts w:eastAsia="Times New Roman"/>
                <w:sz w:val="23"/>
                <w:szCs w:val="23"/>
                <w:lang w:eastAsia="lv-LV"/>
              </w:rPr>
              <w:t xml:space="preserve"> otrajā daļā noteiktie ierobežojumi, par atļauju organizēt azartspēles katrā konkrētajā gadījumā lemj pašvaldības dome, izvērtējot to, vai azartspēļu organizēšana konkrētajā vietā nerada būtisku valsts un attiecīgās administratīvās teritorijas iedzīvotāju interešu aizskārumu. Tieslietu ministrija ieskatā valsts var noteikt ierobežojumus organizēt azartspēles konkrētās vietās, kā tas ir paredzēts arī šī brīža regulējumā, tomēr katrs ierobežojums ir jāizvērtē individuāli un tam jāizriet no konkrētiem kritērijiem.</w:t>
            </w:r>
          </w:p>
        </w:tc>
        <w:tc>
          <w:tcPr>
            <w:tcW w:w="3118" w:type="dxa"/>
          </w:tcPr>
          <w:p w14:paraId="75B0502F" w14:textId="77777777" w:rsidR="005B04CB" w:rsidRPr="00DE1A22" w:rsidRDefault="005B04CB" w:rsidP="005B04CB">
            <w:pPr>
              <w:jc w:val="center"/>
              <w:rPr>
                <w:rFonts w:eastAsia="Times New Roman"/>
                <w:b/>
                <w:bCs/>
                <w:sz w:val="24"/>
                <w:szCs w:val="24"/>
                <w:lang w:eastAsia="lv-LV"/>
              </w:rPr>
            </w:pPr>
            <w:r w:rsidRPr="00DE1A22">
              <w:rPr>
                <w:rFonts w:eastAsia="Times New Roman"/>
                <w:b/>
                <w:bCs/>
                <w:sz w:val="24"/>
                <w:szCs w:val="24"/>
                <w:lang w:eastAsia="lv-LV"/>
              </w:rPr>
              <w:lastRenderedPageBreak/>
              <w:t>Ņemts vērā.</w:t>
            </w:r>
          </w:p>
          <w:p w14:paraId="080114C3" w14:textId="77777777" w:rsidR="005B04CB" w:rsidRPr="00DE1A22" w:rsidRDefault="005B04CB" w:rsidP="005B04CB">
            <w:pPr>
              <w:jc w:val="both"/>
              <w:rPr>
                <w:rFonts w:eastAsia="Times New Roman"/>
                <w:b/>
                <w:bCs/>
                <w:sz w:val="24"/>
                <w:szCs w:val="24"/>
                <w:lang w:eastAsia="lv-LV"/>
              </w:rPr>
            </w:pPr>
          </w:p>
        </w:tc>
        <w:tc>
          <w:tcPr>
            <w:tcW w:w="3402" w:type="dxa"/>
          </w:tcPr>
          <w:p w14:paraId="2C862FB8" w14:textId="77777777" w:rsidR="005B04CB" w:rsidRPr="00DE1A22" w:rsidRDefault="00173AED" w:rsidP="005B04CB">
            <w:pPr>
              <w:contextualSpacing/>
              <w:jc w:val="both"/>
              <w:rPr>
                <w:rFonts w:eastAsia="Times New Roman"/>
                <w:sz w:val="24"/>
                <w:szCs w:val="24"/>
                <w:lang w:eastAsia="lv-LV"/>
              </w:rPr>
            </w:pPr>
            <w:r w:rsidRPr="00DE1A22">
              <w:rPr>
                <w:rFonts w:eastAsia="Times New Roman"/>
                <w:bCs/>
                <w:sz w:val="24"/>
                <w:szCs w:val="24"/>
                <w:lang w:eastAsia="lv-LV"/>
              </w:rPr>
              <w:t>Projekta 4.sadaļas “Azartspēļu un izložu pieejamība, darbības vietas un to regulēšana”, “Labās prakses piemēri Fiziskās piekļuves ierobežošanā azartspēļu zālēm” 1. un 2. risinājums.</w:t>
            </w:r>
          </w:p>
        </w:tc>
      </w:tr>
      <w:tr w:rsidR="005B04CB" w:rsidRPr="00DE1A22" w14:paraId="52B0A06C" w14:textId="77777777" w:rsidTr="00BF4AE7">
        <w:tc>
          <w:tcPr>
            <w:tcW w:w="846" w:type="dxa"/>
            <w:gridSpan w:val="2"/>
          </w:tcPr>
          <w:p w14:paraId="0C17FA5A" w14:textId="77777777" w:rsidR="005B04CB" w:rsidRPr="00DE1A22" w:rsidRDefault="00CB4782" w:rsidP="005B04CB">
            <w:pPr>
              <w:spacing w:before="100" w:beforeAutospacing="1" w:after="100" w:afterAutospacing="1"/>
              <w:jc w:val="center"/>
              <w:rPr>
                <w:rFonts w:eastAsia="Times New Roman"/>
                <w:sz w:val="24"/>
                <w:szCs w:val="24"/>
                <w:lang w:eastAsia="lv-LV"/>
              </w:rPr>
            </w:pPr>
            <w:r w:rsidRPr="00DE1A22">
              <w:rPr>
                <w:rFonts w:eastAsia="Times New Roman"/>
                <w:sz w:val="24"/>
                <w:szCs w:val="24"/>
                <w:lang w:eastAsia="lv-LV"/>
              </w:rPr>
              <w:lastRenderedPageBreak/>
              <w:t>33</w:t>
            </w:r>
            <w:r w:rsidR="005B04CB" w:rsidRPr="00DE1A22">
              <w:rPr>
                <w:rFonts w:eastAsia="Times New Roman"/>
                <w:sz w:val="24"/>
                <w:szCs w:val="24"/>
                <w:lang w:eastAsia="lv-LV"/>
              </w:rPr>
              <w:t>.</w:t>
            </w:r>
          </w:p>
        </w:tc>
        <w:tc>
          <w:tcPr>
            <w:tcW w:w="2977" w:type="dxa"/>
          </w:tcPr>
          <w:p w14:paraId="0EEBF390" w14:textId="77777777" w:rsidR="005B04CB" w:rsidRPr="00DE1A22" w:rsidRDefault="005B04CB" w:rsidP="005B04CB">
            <w:pPr>
              <w:jc w:val="both"/>
              <w:rPr>
                <w:rFonts w:eastAsia="Times New Roman"/>
                <w:sz w:val="24"/>
                <w:szCs w:val="24"/>
                <w:lang w:eastAsia="lv-LV"/>
              </w:rPr>
            </w:pPr>
            <w:r w:rsidRPr="00DE1A22">
              <w:rPr>
                <w:rFonts w:eastAsia="Times New Roman"/>
                <w:sz w:val="24"/>
                <w:szCs w:val="24"/>
                <w:lang w:eastAsia="lv-LV"/>
              </w:rPr>
              <w:t>Projekts kopumā.</w:t>
            </w:r>
          </w:p>
        </w:tc>
        <w:tc>
          <w:tcPr>
            <w:tcW w:w="4394" w:type="dxa"/>
          </w:tcPr>
          <w:p w14:paraId="0CEB9CE1" w14:textId="77777777" w:rsidR="005B04CB" w:rsidRPr="00DE1A22" w:rsidRDefault="005B04CB" w:rsidP="005B04CB">
            <w:pPr>
              <w:contextualSpacing/>
              <w:jc w:val="both"/>
              <w:rPr>
                <w:rFonts w:eastAsia="Times New Roman"/>
                <w:b/>
                <w:sz w:val="24"/>
                <w:szCs w:val="24"/>
                <w:lang w:eastAsia="lv-LV"/>
              </w:rPr>
            </w:pPr>
            <w:r w:rsidRPr="00DE1A22">
              <w:rPr>
                <w:rFonts w:eastAsia="Times New Roman"/>
                <w:b/>
                <w:sz w:val="24"/>
                <w:szCs w:val="24"/>
                <w:lang w:eastAsia="lv-LV"/>
              </w:rPr>
              <w:t>Biedrība “Latvijas Spēļu biznesa asociācija” (30.01.2019. Nr.2/19)</w:t>
            </w:r>
          </w:p>
          <w:p w14:paraId="45EE14BE" w14:textId="77777777" w:rsidR="005B04CB" w:rsidRPr="00DE1A22" w:rsidRDefault="005B04CB" w:rsidP="000C2873">
            <w:pPr>
              <w:contextualSpacing/>
              <w:jc w:val="both"/>
              <w:rPr>
                <w:rFonts w:eastAsia="Times New Roman"/>
                <w:b/>
                <w:sz w:val="24"/>
                <w:szCs w:val="24"/>
                <w:lang w:eastAsia="lv-LV"/>
              </w:rPr>
            </w:pPr>
            <w:r w:rsidRPr="00DE1A22">
              <w:rPr>
                <w:rFonts w:eastAsia="Times New Roman"/>
                <w:sz w:val="24"/>
                <w:szCs w:val="24"/>
                <w:lang w:eastAsia="lv-LV"/>
              </w:rPr>
              <w:lastRenderedPageBreak/>
              <w:t>LSBA izvērtējot piedāvātos politikas rezultātus un potenciālās darbības, norāda, ka jebkurām darbībām ir jābūt secīgām ar skaidru rezultātu, vienlaikus ievērojot pamatnostādņu mērķi – “Azartspēļu un izložu politikas pamatnostādņu izstrādes mērķis ir veicināt uz ilgtermiņa attīstību orientētu, caurskatāmu, godīgu, legālu azartspēļu un izložu organizēšanu Latvijā…” Uzliekot dažādus pienākumus nozares uzņēmumiem politikas veidotājam ir jāspēj nodrošināt balanss starp dažādiem nozares ierobežojumiem. LSBA ieskatā pamatnostādņu saturs un kopsavilkums neievieš skaidrību par viena vai otra risinājuma efektivitāti un samērību, līdz ar to LSBA aicina vienoties par skaidru grafiku un uzdevumiem, kuri būtu prioritāri vērtējami.</w:t>
            </w:r>
          </w:p>
        </w:tc>
        <w:tc>
          <w:tcPr>
            <w:tcW w:w="3118" w:type="dxa"/>
          </w:tcPr>
          <w:p w14:paraId="599E8EEB" w14:textId="77777777" w:rsidR="005B04CB" w:rsidRPr="00DE1A22" w:rsidRDefault="005B04CB" w:rsidP="005B04CB">
            <w:pPr>
              <w:jc w:val="center"/>
              <w:rPr>
                <w:rFonts w:eastAsia="Times New Roman"/>
                <w:b/>
                <w:bCs/>
                <w:sz w:val="24"/>
                <w:szCs w:val="24"/>
                <w:lang w:eastAsia="lv-LV"/>
              </w:rPr>
            </w:pPr>
            <w:r w:rsidRPr="00DE1A22">
              <w:rPr>
                <w:rFonts w:eastAsia="Times New Roman"/>
                <w:b/>
                <w:bCs/>
                <w:sz w:val="24"/>
                <w:szCs w:val="24"/>
                <w:lang w:eastAsia="lv-LV"/>
              </w:rPr>
              <w:lastRenderedPageBreak/>
              <w:t>Ņemts vērā.</w:t>
            </w:r>
          </w:p>
          <w:p w14:paraId="32DDBBAB" w14:textId="77777777" w:rsidR="005B04CB" w:rsidRPr="00DE1A22" w:rsidRDefault="005B04CB" w:rsidP="005B04CB">
            <w:pPr>
              <w:jc w:val="both"/>
              <w:rPr>
                <w:rFonts w:eastAsia="Times New Roman"/>
                <w:b/>
                <w:bCs/>
                <w:sz w:val="24"/>
                <w:szCs w:val="24"/>
                <w:lang w:eastAsia="lv-LV"/>
              </w:rPr>
            </w:pPr>
          </w:p>
        </w:tc>
        <w:tc>
          <w:tcPr>
            <w:tcW w:w="3402" w:type="dxa"/>
            <w:shd w:val="clear" w:color="auto" w:fill="auto"/>
          </w:tcPr>
          <w:p w14:paraId="7F7550FB" w14:textId="77777777" w:rsidR="005B04CB" w:rsidRPr="00DE1A22" w:rsidRDefault="00173AED" w:rsidP="005B04CB">
            <w:pPr>
              <w:contextualSpacing/>
              <w:jc w:val="both"/>
              <w:rPr>
                <w:rFonts w:eastAsia="Times New Roman"/>
                <w:sz w:val="24"/>
                <w:szCs w:val="24"/>
                <w:lang w:eastAsia="lv-LV"/>
              </w:rPr>
            </w:pPr>
            <w:r w:rsidRPr="00DE1A22">
              <w:rPr>
                <w:rFonts w:eastAsia="Times New Roman"/>
                <w:bCs/>
                <w:sz w:val="24"/>
                <w:szCs w:val="24"/>
                <w:lang w:eastAsia="lv-LV"/>
              </w:rPr>
              <w:t xml:space="preserve">Izstrādājot projektu, Finanšu ministrija sadarbībā ar citām ministrijā, nevalstiskajām </w:t>
            </w:r>
            <w:r w:rsidRPr="00DE1A22">
              <w:rPr>
                <w:rFonts w:eastAsia="Times New Roman"/>
                <w:bCs/>
                <w:sz w:val="24"/>
                <w:szCs w:val="24"/>
                <w:lang w:eastAsia="lv-LV"/>
              </w:rPr>
              <w:lastRenderedPageBreak/>
              <w:t>organizācijām un nozares pārstāvjiem izskata priekšlikumus, diskutē par piemērotāko risinājumu un pieņem abpusēji saskaņotu lēmumu, līdz ar to uzskatām, ka projekta izstrādes process un izvirzīto uzdevumu plāns un termiņi ir secīgi un ar skaidru rezultātu.</w:t>
            </w:r>
          </w:p>
        </w:tc>
      </w:tr>
      <w:tr w:rsidR="005B04CB" w:rsidRPr="00DE1A22" w14:paraId="6BD73DE0" w14:textId="77777777" w:rsidTr="00BF4AE7">
        <w:tc>
          <w:tcPr>
            <w:tcW w:w="846" w:type="dxa"/>
            <w:gridSpan w:val="2"/>
          </w:tcPr>
          <w:p w14:paraId="5D073729" w14:textId="77777777" w:rsidR="005B04CB" w:rsidRPr="00DE1A22" w:rsidRDefault="00CB4782" w:rsidP="005B04CB">
            <w:pPr>
              <w:spacing w:before="100" w:beforeAutospacing="1" w:after="100" w:afterAutospacing="1"/>
              <w:jc w:val="center"/>
              <w:rPr>
                <w:rFonts w:eastAsia="Times New Roman"/>
                <w:sz w:val="24"/>
                <w:szCs w:val="24"/>
                <w:lang w:eastAsia="lv-LV"/>
              </w:rPr>
            </w:pPr>
            <w:r w:rsidRPr="00DE1A22">
              <w:rPr>
                <w:rFonts w:eastAsia="Times New Roman"/>
                <w:sz w:val="24"/>
                <w:szCs w:val="24"/>
                <w:lang w:eastAsia="lv-LV"/>
              </w:rPr>
              <w:lastRenderedPageBreak/>
              <w:t>34.</w:t>
            </w:r>
          </w:p>
        </w:tc>
        <w:tc>
          <w:tcPr>
            <w:tcW w:w="2977" w:type="dxa"/>
          </w:tcPr>
          <w:p w14:paraId="78DBF742" w14:textId="77777777" w:rsidR="005B04CB" w:rsidRPr="00DE1A22" w:rsidRDefault="005B04CB" w:rsidP="005B04CB">
            <w:pPr>
              <w:jc w:val="both"/>
              <w:rPr>
                <w:rFonts w:eastAsia="Times New Roman"/>
                <w:sz w:val="24"/>
                <w:szCs w:val="24"/>
                <w:lang w:eastAsia="lv-LV"/>
              </w:rPr>
            </w:pPr>
            <w:r w:rsidRPr="00DE1A22">
              <w:rPr>
                <w:rFonts w:eastAsia="Times New Roman"/>
                <w:sz w:val="24"/>
                <w:szCs w:val="24"/>
                <w:lang w:eastAsia="lv-LV"/>
              </w:rPr>
              <w:t>Projekts kopumā.</w:t>
            </w:r>
          </w:p>
        </w:tc>
        <w:tc>
          <w:tcPr>
            <w:tcW w:w="4394" w:type="dxa"/>
          </w:tcPr>
          <w:p w14:paraId="29A9973D" w14:textId="77777777" w:rsidR="005B04CB" w:rsidRPr="00DE1A22" w:rsidRDefault="005B04CB" w:rsidP="005B04CB">
            <w:pPr>
              <w:contextualSpacing/>
              <w:jc w:val="both"/>
              <w:rPr>
                <w:rFonts w:eastAsia="Times New Roman"/>
                <w:b/>
                <w:sz w:val="24"/>
                <w:szCs w:val="24"/>
                <w:lang w:eastAsia="lv-LV"/>
              </w:rPr>
            </w:pPr>
            <w:r w:rsidRPr="00DE1A22">
              <w:rPr>
                <w:rFonts w:eastAsia="Times New Roman"/>
                <w:b/>
                <w:sz w:val="24"/>
                <w:szCs w:val="24"/>
                <w:lang w:eastAsia="lv-LV"/>
              </w:rPr>
              <w:t>Vides aizsardzības un reģionālās attīstības ministrija (15.03.2019. Nr.1-132/2379)</w:t>
            </w:r>
          </w:p>
          <w:p w14:paraId="6A1BC72A" w14:textId="77777777" w:rsidR="005B04CB" w:rsidRPr="00DE1A22" w:rsidRDefault="005B04CB" w:rsidP="005B04CB">
            <w:pPr>
              <w:contextualSpacing/>
              <w:jc w:val="both"/>
              <w:rPr>
                <w:rFonts w:eastAsia="Times New Roman"/>
                <w:b/>
                <w:sz w:val="24"/>
                <w:szCs w:val="24"/>
                <w:lang w:eastAsia="lv-LV"/>
              </w:rPr>
            </w:pPr>
            <w:r w:rsidRPr="00DE1A22">
              <w:rPr>
                <w:rFonts w:eastAsia="Times New Roman"/>
                <w:sz w:val="24"/>
                <w:szCs w:val="24"/>
                <w:lang w:eastAsia="lv-LV"/>
              </w:rPr>
              <w:t xml:space="preserve">Ministrija izsaka iebildumu un aicina apsvērt iespēju grozīt tiesisko regulējumu un izveidot tādu modeli, kur azartspēļu zāles atvēršanas iespējamību nosaka konkrēts iedzīvotāju skaits pašvaldībā (minimālais iedzīvotāju skaits uz vienu azartspēļu zāli) kā kritērijs, un lēmumu par zāles atvēršanu līdz ar to neatkarīgi un centralizēti pieņem Izložu un azartspēļu uzraudzības inspekcija, nevis pašvaldība. Konkrētais iedzīvotājus skaits, kas būtu nosakāms kā kritērijs, pie kura esamības būtu iespējams atvērt spēļu zāli, ir atsevišķi diskutējams jautājums. Šāda prakse </w:t>
            </w:r>
            <w:r w:rsidRPr="00DE1A22">
              <w:rPr>
                <w:rFonts w:eastAsia="Times New Roman"/>
                <w:sz w:val="24"/>
                <w:szCs w:val="24"/>
                <w:lang w:eastAsia="lv-LV"/>
              </w:rPr>
              <w:lastRenderedPageBreak/>
              <w:t>mazinātu korupcijas risku iespējamību, kā arī definētu skaidras vadlīnijas uzņēmējdarbībai.</w:t>
            </w:r>
          </w:p>
        </w:tc>
        <w:tc>
          <w:tcPr>
            <w:tcW w:w="3118" w:type="dxa"/>
          </w:tcPr>
          <w:p w14:paraId="46B48574" w14:textId="77777777" w:rsidR="005B04CB" w:rsidRPr="00DE1A22" w:rsidRDefault="005B04CB" w:rsidP="005B04CB">
            <w:pPr>
              <w:jc w:val="center"/>
              <w:rPr>
                <w:rFonts w:eastAsia="Times New Roman"/>
                <w:b/>
                <w:bCs/>
                <w:sz w:val="24"/>
                <w:szCs w:val="24"/>
                <w:lang w:eastAsia="lv-LV"/>
              </w:rPr>
            </w:pPr>
            <w:r w:rsidRPr="00DE1A22">
              <w:rPr>
                <w:rFonts w:eastAsia="Times New Roman"/>
                <w:b/>
                <w:bCs/>
                <w:sz w:val="24"/>
                <w:szCs w:val="24"/>
                <w:lang w:eastAsia="lv-LV"/>
              </w:rPr>
              <w:lastRenderedPageBreak/>
              <w:t>Ņemts vērā.</w:t>
            </w:r>
          </w:p>
          <w:p w14:paraId="16707BE6" w14:textId="77777777" w:rsidR="005B04CB" w:rsidRPr="00DE1A22" w:rsidRDefault="005B04CB" w:rsidP="005B04CB">
            <w:pPr>
              <w:jc w:val="both"/>
              <w:rPr>
                <w:rFonts w:eastAsia="Times New Roman"/>
                <w:b/>
                <w:bCs/>
                <w:sz w:val="24"/>
                <w:szCs w:val="24"/>
                <w:lang w:eastAsia="lv-LV"/>
              </w:rPr>
            </w:pPr>
          </w:p>
        </w:tc>
        <w:tc>
          <w:tcPr>
            <w:tcW w:w="3402" w:type="dxa"/>
            <w:shd w:val="clear" w:color="auto" w:fill="auto"/>
          </w:tcPr>
          <w:p w14:paraId="744DE857" w14:textId="77777777" w:rsidR="005B04CB" w:rsidRPr="00DE1A22" w:rsidRDefault="00173AED" w:rsidP="005B04CB">
            <w:pPr>
              <w:contextualSpacing/>
              <w:jc w:val="both"/>
              <w:rPr>
                <w:rFonts w:eastAsia="Times New Roman"/>
                <w:sz w:val="24"/>
                <w:szCs w:val="24"/>
                <w:lang w:eastAsia="lv-LV"/>
              </w:rPr>
            </w:pPr>
            <w:r w:rsidRPr="00DE1A22">
              <w:rPr>
                <w:rFonts w:eastAsia="Times New Roman"/>
                <w:bCs/>
                <w:sz w:val="24"/>
                <w:szCs w:val="24"/>
                <w:lang w:eastAsia="lv-LV"/>
              </w:rPr>
              <w:t>Projekts atbilstoši precizēts – 4. sadaļa “Rīcības virzieni un uzdevumi” 3. rīcības virziena “Azartspēļu un izložu pieejamības regulēšana” 1. uzdevums – “Veikt grozījumus Azartspēļu un izložu likuma 41.panta otrajā daļā, paplašinot to vietu uzskaitījumu, kur aizliegts organizēt azartspēles, kā arī izslēgt no Azartspēļu un izložu likuma 42.panta trešo daļu, paredzot lēmuma pieņemšanu par azartspēļu organizēšanu tikai valsts līmenī”.</w:t>
            </w:r>
          </w:p>
        </w:tc>
      </w:tr>
      <w:tr w:rsidR="005B04CB" w:rsidRPr="00DE1A22" w14:paraId="1B2F9D20" w14:textId="77777777" w:rsidTr="00BF4AE7">
        <w:tc>
          <w:tcPr>
            <w:tcW w:w="846" w:type="dxa"/>
            <w:gridSpan w:val="2"/>
            <w:shd w:val="clear" w:color="auto" w:fill="auto"/>
          </w:tcPr>
          <w:p w14:paraId="3B6DA659" w14:textId="77777777" w:rsidR="005B04CB" w:rsidRPr="00DE1A22" w:rsidRDefault="00CB4782" w:rsidP="005B04CB">
            <w:pPr>
              <w:spacing w:before="100" w:beforeAutospacing="1" w:after="100" w:afterAutospacing="1"/>
              <w:jc w:val="center"/>
              <w:rPr>
                <w:rFonts w:eastAsia="Times New Roman"/>
                <w:sz w:val="24"/>
                <w:szCs w:val="24"/>
                <w:lang w:eastAsia="lv-LV"/>
              </w:rPr>
            </w:pPr>
            <w:r w:rsidRPr="00DE1A22">
              <w:rPr>
                <w:rFonts w:eastAsia="Times New Roman"/>
                <w:sz w:val="24"/>
                <w:szCs w:val="24"/>
                <w:lang w:eastAsia="lv-LV"/>
              </w:rPr>
              <w:t>35.</w:t>
            </w:r>
          </w:p>
        </w:tc>
        <w:tc>
          <w:tcPr>
            <w:tcW w:w="2977" w:type="dxa"/>
            <w:shd w:val="clear" w:color="auto" w:fill="auto"/>
          </w:tcPr>
          <w:p w14:paraId="7893746D" w14:textId="77777777" w:rsidR="005B04CB" w:rsidRPr="00DE1A22" w:rsidRDefault="005B04CB" w:rsidP="005B04CB">
            <w:pPr>
              <w:jc w:val="both"/>
              <w:rPr>
                <w:rFonts w:eastAsia="Times New Roman"/>
                <w:sz w:val="24"/>
                <w:szCs w:val="24"/>
                <w:lang w:eastAsia="lv-LV"/>
              </w:rPr>
            </w:pPr>
            <w:r w:rsidRPr="00DE1A22">
              <w:rPr>
                <w:rFonts w:eastAsia="Times New Roman"/>
                <w:sz w:val="24"/>
                <w:szCs w:val="24"/>
                <w:lang w:eastAsia="lv-LV"/>
              </w:rPr>
              <w:t>Projekts kopumā.</w:t>
            </w:r>
          </w:p>
        </w:tc>
        <w:tc>
          <w:tcPr>
            <w:tcW w:w="4394" w:type="dxa"/>
            <w:shd w:val="clear" w:color="auto" w:fill="auto"/>
          </w:tcPr>
          <w:p w14:paraId="4BE68078" w14:textId="77777777" w:rsidR="005B04CB" w:rsidRPr="00DE1A22" w:rsidRDefault="005B04CB" w:rsidP="005B04CB">
            <w:pPr>
              <w:contextualSpacing/>
              <w:jc w:val="both"/>
              <w:rPr>
                <w:rFonts w:eastAsia="Times New Roman"/>
                <w:b/>
                <w:sz w:val="24"/>
                <w:szCs w:val="24"/>
                <w:lang w:eastAsia="lv-LV"/>
              </w:rPr>
            </w:pPr>
            <w:r w:rsidRPr="00DE1A22">
              <w:rPr>
                <w:rFonts w:eastAsia="Times New Roman"/>
                <w:b/>
                <w:sz w:val="24"/>
                <w:szCs w:val="24"/>
                <w:lang w:eastAsia="lv-LV"/>
              </w:rPr>
              <w:t>Pārresoru koordinācijas centrs (24.01.2019. Nr.1.2-7/7)</w:t>
            </w:r>
          </w:p>
          <w:p w14:paraId="64DB53A2" w14:textId="77777777" w:rsidR="005B04CB" w:rsidRPr="00DE1A22" w:rsidRDefault="005B04CB" w:rsidP="005B04CB">
            <w:pPr>
              <w:contextualSpacing/>
              <w:jc w:val="both"/>
              <w:rPr>
                <w:rFonts w:eastAsia="Times New Roman"/>
                <w:sz w:val="24"/>
                <w:szCs w:val="24"/>
                <w:lang w:eastAsia="lv-LV"/>
              </w:rPr>
            </w:pPr>
            <w:r w:rsidRPr="00DE1A22">
              <w:rPr>
                <w:rFonts w:eastAsia="Times New Roman"/>
                <w:sz w:val="24"/>
                <w:szCs w:val="24"/>
                <w:lang w:eastAsia="lv-LV"/>
              </w:rPr>
              <w:t>1)</w:t>
            </w:r>
            <w:r w:rsidRPr="00DE1A22">
              <w:rPr>
                <w:rFonts w:eastAsia="Times New Roman"/>
                <w:sz w:val="24"/>
                <w:szCs w:val="24"/>
                <w:lang w:eastAsia="lv-LV"/>
              </w:rPr>
              <w:tab/>
              <w:t>šobrīd azartspēļu un izložu nozares darbība tiek regulēta atbilstoši Azartspēļu un izložu likumam un citiem, t.sk., Eiropas Savienības, tiesību aktiem. Tādējādi valsts politiku šajā jomā nosaka Saeimā un Ministru kabinetā pieņemtais normatīvais regulējums un ir jābūt pietiekami argumentētam iemeslam un lietderībai papildus normatīvajiem aktiem izstrādāt vēl arī politikas plānošanas dokumentu. Saskaņā ar Ministru kabineta 2014.gada 2.decembra noteikumu Nr.737 “Attīstības plānošanas dokumentu izstrādes un ietekmes izvērtēšanas noteikumi” (turpmāk – Noteikumi Nr.737) 12.punktu pamatnostādnes izstrādā gadījumos, ja nepieciešams mainīt esošo politiku un noteikt jaunus vidēja termiņa politikas attīstības virzienus. Projekts neatbilst šim nosacījumam, jo paredz tikai un vienīgi dažādus operacionāla līmeņa pasākumus – grozījumi normatīvajos aktos, informēšanas/pieredzes apmaiņas pasākumi, apmācības utml.  Līdz ar to, ja Finanšu ministrijas ieskatā ir nepieciešams atsevišķs politikas plānošanas dokuments azartspēļu un izložu jomā, tad PKC uzskata, ka šis dokuments ir izstrādājams un virzāms kā plāns</w:t>
            </w:r>
            <w:r w:rsidR="00DA00D0" w:rsidRPr="00DE1A22">
              <w:rPr>
                <w:rFonts w:eastAsia="Times New Roman"/>
                <w:sz w:val="24"/>
                <w:szCs w:val="24"/>
                <w:lang w:eastAsia="lv-LV"/>
              </w:rPr>
              <w:t>.</w:t>
            </w:r>
          </w:p>
          <w:p w14:paraId="4D245819" w14:textId="77777777" w:rsidR="005B04CB" w:rsidRPr="00DE1A22" w:rsidRDefault="005B04CB" w:rsidP="005B04CB">
            <w:pPr>
              <w:jc w:val="both"/>
              <w:rPr>
                <w:rFonts w:eastAsia="Times New Roman"/>
                <w:b/>
                <w:sz w:val="24"/>
                <w:szCs w:val="24"/>
                <w:lang w:eastAsia="lv-LV"/>
              </w:rPr>
            </w:pPr>
          </w:p>
        </w:tc>
        <w:tc>
          <w:tcPr>
            <w:tcW w:w="3118" w:type="dxa"/>
            <w:shd w:val="clear" w:color="auto" w:fill="auto"/>
          </w:tcPr>
          <w:p w14:paraId="0654A6A7" w14:textId="77777777" w:rsidR="005B04CB" w:rsidRPr="00DE1A22" w:rsidRDefault="005B04CB" w:rsidP="005B04CB">
            <w:pPr>
              <w:jc w:val="center"/>
              <w:rPr>
                <w:rFonts w:eastAsia="Times New Roman"/>
                <w:b/>
                <w:bCs/>
                <w:sz w:val="24"/>
                <w:szCs w:val="24"/>
                <w:lang w:eastAsia="lv-LV"/>
              </w:rPr>
            </w:pPr>
            <w:r w:rsidRPr="00DE1A22">
              <w:rPr>
                <w:rFonts w:eastAsia="Times New Roman"/>
                <w:b/>
                <w:bCs/>
                <w:sz w:val="24"/>
                <w:szCs w:val="24"/>
                <w:lang w:eastAsia="lv-LV"/>
              </w:rPr>
              <w:t>Ņemts vērā.</w:t>
            </w:r>
          </w:p>
          <w:p w14:paraId="788A19E6" w14:textId="77777777" w:rsidR="005B04CB" w:rsidRPr="00DE1A22" w:rsidRDefault="005B04CB" w:rsidP="005B04CB">
            <w:pPr>
              <w:spacing w:before="100" w:beforeAutospacing="1" w:after="100" w:afterAutospacing="1"/>
              <w:jc w:val="both"/>
              <w:rPr>
                <w:rFonts w:eastAsia="Times New Roman"/>
                <w:b/>
                <w:sz w:val="24"/>
                <w:szCs w:val="24"/>
                <w:lang w:eastAsia="lv-LV"/>
              </w:rPr>
            </w:pPr>
          </w:p>
        </w:tc>
        <w:tc>
          <w:tcPr>
            <w:tcW w:w="3402" w:type="dxa"/>
            <w:shd w:val="clear" w:color="auto" w:fill="auto"/>
          </w:tcPr>
          <w:p w14:paraId="65108676" w14:textId="77777777" w:rsidR="00173AED" w:rsidRPr="00DE1A22" w:rsidRDefault="00173AED" w:rsidP="00173AED">
            <w:pPr>
              <w:jc w:val="both"/>
              <w:rPr>
                <w:sz w:val="24"/>
                <w:szCs w:val="24"/>
              </w:rPr>
            </w:pPr>
            <w:r w:rsidRPr="00DE1A22">
              <w:rPr>
                <w:sz w:val="24"/>
                <w:szCs w:val="24"/>
              </w:rPr>
              <w:t xml:space="preserve">Projektā iekļautie  rīcības virzieni ir saistīti ar būtiskām izmaiņām azartspēļu un izložu jomas politikas attīstības virzieniem, sasaistoties ar veselības politikas, sabiedrības izglītības politikas, reģionālās politikas, digitālās politikas e-vides drošības kontekstā un azartspēļu un izložu nozares mazo un vidējo uzņēmumu attīstības politikas virzieniem.  </w:t>
            </w:r>
          </w:p>
          <w:p w14:paraId="46034B16" w14:textId="77777777" w:rsidR="00173AED" w:rsidRPr="00DE1A22" w:rsidRDefault="00173AED" w:rsidP="00173AED">
            <w:pPr>
              <w:jc w:val="both"/>
              <w:rPr>
                <w:sz w:val="24"/>
                <w:szCs w:val="24"/>
              </w:rPr>
            </w:pPr>
            <w:r w:rsidRPr="00DE1A22">
              <w:rPr>
                <w:sz w:val="24"/>
                <w:szCs w:val="24"/>
              </w:rPr>
              <w:t xml:space="preserve">Projekts ir cieša sasaiste ar Nacionālā attīstības plāna 2014 – 2020.gadam rīcības virzienu “Vesels un darbspējīgs cilvēks”, kura mērķis, veicināt veselīgu dzīvesveidu, […] mazināt hronisku slimību un ārējo nāves cēloņu riska faktoru izplatību sabiedrībā, sekmējot iedzīvotāju veselības saglabāšanu un uzlabošanu, tiešā veidā sasaucas ar projektā iekļautajiem politikas rīcības virzieniem. Latvijas Nacionālā attīstības plāna projektā 2021. – 2027.gadam kā prioritāte ir izvirzīta “Stipras ģimenes, veseli un aktīvi cilvēki”, paredzot rīcības virziena “Psiholoģiskā un emocionālā labklājība” rīcības mērķi “Psiholoģiskās un </w:t>
            </w:r>
            <w:r w:rsidRPr="00DE1A22">
              <w:rPr>
                <w:sz w:val="24"/>
                <w:szCs w:val="24"/>
              </w:rPr>
              <w:lastRenderedPageBreak/>
              <w:t>emocionālās labklājības veicināšana cilvēku atbalstam krīzes situācijās, individuālā potenciāla attīstībai un deviantas uzvedības veidošanās risku mazināšanai, nostiprinot veselību kā vērtību” īstenot, izvirzot citā starpā kā uzdevumu – pierādījumos balstīti efektīvi un inovatīvi risinājumi atkarību izraisošo vielu un procesu izplatības ierobežošanai, […], uzlabojot sabiedrības kognitīvās spējas un psihisko veselību.</w:t>
            </w:r>
          </w:p>
          <w:p w14:paraId="07646C41" w14:textId="77777777" w:rsidR="00173AED" w:rsidRPr="00DE1A22" w:rsidRDefault="00173AED" w:rsidP="00173AED">
            <w:pPr>
              <w:jc w:val="both"/>
              <w:rPr>
                <w:sz w:val="24"/>
                <w:szCs w:val="24"/>
              </w:rPr>
            </w:pPr>
            <w:r w:rsidRPr="00DE1A22">
              <w:rPr>
                <w:sz w:val="24"/>
                <w:szCs w:val="24"/>
              </w:rPr>
              <w:t xml:space="preserve">Projektā, izvērtējot faktisko situāciju Latvijā, paredz ieviest sistēmiski jaunus virzienus atkarības profilaksei, izvirzot stingras prasības azartspēļu organizētājiem ievainojamības līmeņa mazināšanai un kontrolei, problemātisku spēlētāju atbalstam un sabiedrības izglītošanai. Ņemot vērā Veselības ministrijas pētījuma “Pētījums par procesu atkarību (azartspēļu, sociālo mediju, datorspēļu atkarība) izplatību Latvijas iedzīvotāju vidū un to ietekmējošiem riska faktoriem” (Veselības ministrija, Rīga, 2019.gads) secināto, problemātisko azartspēļu prevelence sabiedrībā ir 6,4%, t.i. Latvijā no azartspēlēm dažādā </w:t>
            </w:r>
            <w:r w:rsidRPr="00DE1A22">
              <w:rPr>
                <w:sz w:val="24"/>
                <w:szCs w:val="24"/>
              </w:rPr>
              <w:lastRenderedPageBreak/>
              <w:t xml:space="preserve">pakāpē varētu ciest 79 119 personas 15 – 64 gadu vecumā, no tām 16 162 personām problēmas varētu būt smagākajā pakāpē. </w:t>
            </w:r>
          </w:p>
          <w:p w14:paraId="3299A440" w14:textId="77777777" w:rsidR="00173AED" w:rsidRPr="00DE1A22" w:rsidRDefault="00173AED" w:rsidP="00173AED">
            <w:pPr>
              <w:jc w:val="both"/>
              <w:rPr>
                <w:sz w:val="24"/>
                <w:szCs w:val="24"/>
              </w:rPr>
            </w:pPr>
            <w:r w:rsidRPr="00DE1A22">
              <w:rPr>
                <w:sz w:val="24"/>
                <w:szCs w:val="24"/>
              </w:rPr>
              <w:t>Tas liecina, ka, lai veicinātu sabiedrības veselību, ir nepieciešamas visaptverošas izmaiņas arī azartspēļu un izložu nozares politikā visos aspektos, kas attiecas gan uz azartspēļu un izložu pieejamību, gan arī azartspēļu atkarības līmeņa profilakses ieviešanu un ievainojamības līmeņa kontroles nodrošināšanu.</w:t>
            </w:r>
          </w:p>
          <w:p w14:paraId="4B3EEC4A" w14:textId="77777777" w:rsidR="00173AED" w:rsidRPr="00DE1A22" w:rsidRDefault="00173AED" w:rsidP="00173AED">
            <w:pPr>
              <w:jc w:val="both"/>
              <w:rPr>
                <w:sz w:val="24"/>
                <w:szCs w:val="24"/>
              </w:rPr>
            </w:pPr>
            <w:r w:rsidRPr="00DE1A22">
              <w:rPr>
                <w:sz w:val="24"/>
                <w:szCs w:val="24"/>
              </w:rPr>
              <w:t xml:space="preserve">Projektā atbilstoši labākajai starptautiskajai praksei ir piedāvāts jauns modelis lēmumu pieņemšanas sistēmai par azartspēļu organizēšanas vietām, pārskatot valsts iestāžu kompetences, samazinot administratīvo slogu gan uzņēmēju pusē, gan optimizējot valsts pārvaldes darbību. </w:t>
            </w:r>
          </w:p>
          <w:p w14:paraId="47FB9FD6" w14:textId="77777777" w:rsidR="005B04CB" w:rsidRPr="00DE1A22" w:rsidRDefault="00173AED" w:rsidP="00173AED">
            <w:pPr>
              <w:contextualSpacing/>
              <w:jc w:val="both"/>
              <w:rPr>
                <w:rFonts w:eastAsia="Times New Roman"/>
                <w:sz w:val="24"/>
                <w:szCs w:val="24"/>
                <w:lang w:eastAsia="lv-LV"/>
              </w:rPr>
            </w:pPr>
            <w:r w:rsidRPr="00DE1A22">
              <w:rPr>
                <w:sz w:val="24"/>
                <w:szCs w:val="24"/>
              </w:rPr>
              <w:t xml:space="preserve">Projekts paredz veikt būtiskas izmaiņas azartspēļu un izložu nozares uzraudzības procesos un modelī, kas ietvers valsts institūciju funkciju pārdali, kā arī patstāvīgu un visaptverošu azartspēļu un izložu nozares attīstības tendenču monitoringu, lai nodrošinātu līdzsvaru starp </w:t>
            </w:r>
            <w:r w:rsidRPr="00DE1A22">
              <w:rPr>
                <w:sz w:val="24"/>
                <w:szCs w:val="24"/>
              </w:rPr>
              <w:lastRenderedPageBreak/>
              <w:t>sabiedrības interesēm un nozares attīstību.</w:t>
            </w:r>
          </w:p>
        </w:tc>
      </w:tr>
      <w:tr w:rsidR="006D6BFD" w:rsidRPr="00DE1A22" w14:paraId="592DC1B7" w14:textId="77777777" w:rsidTr="00BF4AE7">
        <w:tc>
          <w:tcPr>
            <w:tcW w:w="846" w:type="dxa"/>
            <w:gridSpan w:val="2"/>
            <w:shd w:val="clear" w:color="auto" w:fill="auto"/>
          </w:tcPr>
          <w:p w14:paraId="0CAB99F0" w14:textId="77777777" w:rsidR="005B04CB" w:rsidRPr="00DE1A22" w:rsidRDefault="00CB4782" w:rsidP="005B04CB">
            <w:pPr>
              <w:spacing w:before="100" w:beforeAutospacing="1" w:after="100" w:afterAutospacing="1"/>
              <w:jc w:val="center"/>
              <w:rPr>
                <w:rFonts w:eastAsia="Times New Roman"/>
                <w:sz w:val="24"/>
                <w:szCs w:val="24"/>
                <w:lang w:eastAsia="lv-LV"/>
              </w:rPr>
            </w:pPr>
            <w:r w:rsidRPr="00DE1A22">
              <w:rPr>
                <w:rFonts w:eastAsia="Times New Roman"/>
                <w:sz w:val="24"/>
                <w:szCs w:val="24"/>
                <w:lang w:eastAsia="lv-LV"/>
              </w:rPr>
              <w:lastRenderedPageBreak/>
              <w:t>36</w:t>
            </w:r>
            <w:r w:rsidR="005B04CB" w:rsidRPr="00DE1A22">
              <w:rPr>
                <w:rFonts w:eastAsia="Times New Roman"/>
                <w:sz w:val="24"/>
                <w:szCs w:val="24"/>
                <w:lang w:eastAsia="lv-LV"/>
              </w:rPr>
              <w:t>.</w:t>
            </w:r>
          </w:p>
        </w:tc>
        <w:tc>
          <w:tcPr>
            <w:tcW w:w="2977" w:type="dxa"/>
            <w:shd w:val="clear" w:color="auto" w:fill="auto"/>
          </w:tcPr>
          <w:p w14:paraId="2E3D4057" w14:textId="77777777" w:rsidR="005B04CB" w:rsidRPr="00DE1A22" w:rsidRDefault="005B04CB" w:rsidP="005B04CB">
            <w:pPr>
              <w:jc w:val="both"/>
              <w:rPr>
                <w:rFonts w:eastAsia="Times New Roman"/>
                <w:sz w:val="24"/>
                <w:szCs w:val="24"/>
                <w:lang w:eastAsia="lv-LV"/>
              </w:rPr>
            </w:pPr>
            <w:r w:rsidRPr="00DE1A22">
              <w:rPr>
                <w:rFonts w:eastAsia="Times New Roman"/>
                <w:sz w:val="24"/>
                <w:szCs w:val="24"/>
                <w:lang w:eastAsia="lv-LV"/>
              </w:rPr>
              <w:t>Projekts kopumā.</w:t>
            </w:r>
          </w:p>
        </w:tc>
        <w:tc>
          <w:tcPr>
            <w:tcW w:w="4394" w:type="dxa"/>
            <w:shd w:val="clear" w:color="auto" w:fill="auto"/>
          </w:tcPr>
          <w:p w14:paraId="7EDA0D43" w14:textId="77777777" w:rsidR="005B04CB" w:rsidRPr="00DE1A22" w:rsidRDefault="005B04CB" w:rsidP="005B04CB">
            <w:pPr>
              <w:jc w:val="both"/>
              <w:rPr>
                <w:rFonts w:eastAsia="Times New Roman"/>
                <w:b/>
                <w:sz w:val="24"/>
                <w:szCs w:val="24"/>
                <w:lang w:eastAsia="lv-LV"/>
              </w:rPr>
            </w:pPr>
            <w:r w:rsidRPr="00DE1A22">
              <w:rPr>
                <w:rFonts w:eastAsia="Times New Roman"/>
                <w:b/>
                <w:sz w:val="24"/>
                <w:szCs w:val="24"/>
                <w:lang w:eastAsia="lv-LV"/>
              </w:rPr>
              <w:t>Tieslietu ministrija (25.01.2019. Nr.1-9.1/88).</w:t>
            </w:r>
          </w:p>
          <w:p w14:paraId="0E3BC45F" w14:textId="77777777" w:rsidR="005B04CB" w:rsidRPr="00DE1A22" w:rsidRDefault="005B04CB" w:rsidP="005B04CB">
            <w:pPr>
              <w:jc w:val="both"/>
              <w:rPr>
                <w:rFonts w:eastAsia="Times New Roman"/>
                <w:sz w:val="24"/>
                <w:szCs w:val="24"/>
                <w:lang w:eastAsia="lv-LV"/>
              </w:rPr>
            </w:pPr>
            <w:r w:rsidRPr="00DE1A22">
              <w:rPr>
                <w:rFonts w:eastAsia="Times New Roman"/>
                <w:sz w:val="24"/>
                <w:szCs w:val="24"/>
                <w:lang w:eastAsia="lv-LV"/>
              </w:rPr>
              <w:t>Lūdzam precizēt projektā lietotos saīsinājumus. Pirmo reizi pieminot attiecīgo institūciju, lietot tās pilno nosaukumu ar norādi turpmāk lietotajam saīsinājumam. Projektā nav atrunāti tādi saīsinājumi, kā FM, VM, LM, IAUI, savukārt saīsinājumi SPKC un RPNC ir lietoti gan projektā, gan projekta pielikumā, bet skaidrojumi atrunāti projekta pielikumā.</w:t>
            </w:r>
          </w:p>
        </w:tc>
        <w:tc>
          <w:tcPr>
            <w:tcW w:w="3118" w:type="dxa"/>
            <w:shd w:val="clear" w:color="auto" w:fill="auto"/>
          </w:tcPr>
          <w:p w14:paraId="25E91BE6" w14:textId="77777777" w:rsidR="005B04CB" w:rsidRPr="00DE1A22" w:rsidRDefault="005B04CB" w:rsidP="006D6BFD">
            <w:pPr>
              <w:jc w:val="center"/>
              <w:rPr>
                <w:rFonts w:eastAsia="Times New Roman"/>
                <w:b/>
                <w:sz w:val="24"/>
                <w:szCs w:val="24"/>
                <w:lang w:eastAsia="lv-LV"/>
              </w:rPr>
            </w:pPr>
            <w:r w:rsidRPr="00DE1A22">
              <w:rPr>
                <w:rFonts w:eastAsia="Times New Roman"/>
                <w:b/>
                <w:sz w:val="24"/>
                <w:szCs w:val="24"/>
                <w:lang w:eastAsia="lv-LV"/>
              </w:rPr>
              <w:t>Ņemts vērā.</w:t>
            </w:r>
          </w:p>
          <w:p w14:paraId="7AE0008C" w14:textId="77777777" w:rsidR="006D6BFD" w:rsidRPr="00DE1A22" w:rsidRDefault="006D6BFD" w:rsidP="006D6BFD">
            <w:pPr>
              <w:jc w:val="both"/>
              <w:rPr>
                <w:rFonts w:eastAsia="Times New Roman"/>
                <w:b/>
                <w:sz w:val="24"/>
                <w:szCs w:val="24"/>
                <w:lang w:eastAsia="lv-LV"/>
              </w:rPr>
            </w:pPr>
          </w:p>
        </w:tc>
        <w:tc>
          <w:tcPr>
            <w:tcW w:w="3402" w:type="dxa"/>
            <w:shd w:val="clear" w:color="auto" w:fill="auto"/>
          </w:tcPr>
          <w:p w14:paraId="7E81EB53" w14:textId="77777777" w:rsidR="005B04CB" w:rsidRPr="00DE1A22" w:rsidRDefault="00173AED" w:rsidP="005B04CB">
            <w:pPr>
              <w:contextualSpacing/>
              <w:jc w:val="both"/>
              <w:rPr>
                <w:rFonts w:eastAsia="Times New Roman"/>
                <w:sz w:val="24"/>
                <w:szCs w:val="24"/>
                <w:lang w:eastAsia="lv-LV"/>
              </w:rPr>
            </w:pPr>
            <w:r w:rsidRPr="00DE1A22">
              <w:rPr>
                <w:rFonts w:eastAsia="Times New Roman"/>
                <w:sz w:val="24"/>
                <w:szCs w:val="24"/>
                <w:lang w:eastAsia="lv-LV"/>
              </w:rPr>
              <w:t>Projekts atbilstoši precizēts.</w:t>
            </w:r>
          </w:p>
        </w:tc>
      </w:tr>
      <w:tr w:rsidR="005B04CB" w:rsidRPr="00DE1A22" w14:paraId="36DD2362" w14:textId="77777777" w:rsidTr="00BF4AE7">
        <w:tc>
          <w:tcPr>
            <w:tcW w:w="846" w:type="dxa"/>
            <w:gridSpan w:val="2"/>
            <w:shd w:val="clear" w:color="auto" w:fill="auto"/>
          </w:tcPr>
          <w:p w14:paraId="4B6D7F58" w14:textId="77777777" w:rsidR="005B04CB" w:rsidRPr="00DE1A22" w:rsidRDefault="00CB4782" w:rsidP="005B04CB">
            <w:pPr>
              <w:spacing w:before="100" w:beforeAutospacing="1" w:after="100" w:afterAutospacing="1"/>
              <w:jc w:val="center"/>
              <w:rPr>
                <w:rFonts w:eastAsia="Times New Roman"/>
                <w:sz w:val="24"/>
                <w:szCs w:val="24"/>
                <w:lang w:eastAsia="lv-LV"/>
              </w:rPr>
            </w:pPr>
            <w:r w:rsidRPr="00DE1A22">
              <w:rPr>
                <w:rFonts w:eastAsia="Times New Roman"/>
                <w:sz w:val="24"/>
                <w:szCs w:val="24"/>
                <w:lang w:eastAsia="lv-LV"/>
              </w:rPr>
              <w:t>37</w:t>
            </w:r>
            <w:r w:rsidR="005B04CB" w:rsidRPr="00DE1A22">
              <w:rPr>
                <w:rFonts w:eastAsia="Times New Roman"/>
                <w:sz w:val="24"/>
                <w:szCs w:val="24"/>
                <w:lang w:eastAsia="lv-LV"/>
              </w:rPr>
              <w:t>.</w:t>
            </w:r>
          </w:p>
        </w:tc>
        <w:tc>
          <w:tcPr>
            <w:tcW w:w="2977" w:type="dxa"/>
            <w:shd w:val="clear" w:color="auto" w:fill="auto"/>
          </w:tcPr>
          <w:p w14:paraId="42BB2218" w14:textId="77777777" w:rsidR="005B04CB" w:rsidRPr="00DE1A22" w:rsidRDefault="005B04CB" w:rsidP="005B04CB">
            <w:pPr>
              <w:jc w:val="both"/>
              <w:rPr>
                <w:rFonts w:eastAsia="Times New Roman"/>
                <w:sz w:val="24"/>
                <w:szCs w:val="24"/>
                <w:lang w:eastAsia="lv-LV"/>
              </w:rPr>
            </w:pPr>
            <w:r w:rsidRPr="00DE1A22">
              <w:rPr>
                <w:rFonts w:eastAsia="Times New Roman"/>
                <w:sz w:val="24"/>
                <w:szCs w:val="24"/>
                <w:lang w:eastAsia="lv-LV"/>
              </w:rPr>
              <w:t>Projekts kopumā.</w:t>
            </w:r>
          </w:p>
        </w:tc>
        <w:tc>
          <w:tcPr>
            <w:tcW w:w="4394" w:type="dxa"/>
            <w:shd w:val="clear" w:color="auto" w:fill="auto"/>
          </w:tcPr>
          <w:p w14:paraId="2017C55E" w14:textId="77777777" w:rsidR="005B04CB" w:rsidRPr="00DE1A22" w:rsidRDefault="005B04CB" w:rsidP="005B04CB">
            <w:pPr>
              <w:contextualSpacing/>
              <w:jc w:val="both"/>
              <w:rPr>
                <w:rFonts w:eastAsia="Times New Roman"/>
                <w:sz w:val="24"/>
                <w:szCs w:val="24"/>
                <w:lang w:eastAsia="lv-LV"/>
              </w:rPr>
            </w:pPr>
            <w:r w:rsidRPr="00DE1A22">
              <w:rPr>
                <w:rFonts w:eastAsia="Times New Roman"/>
                <w:sz w:val="24"/>
                <w:szCs w:val="24"/>
                <w:lang w:eastAsia="lv-LV"/>
              </w:rPr>
              <w:t>Priekšlikums:</w:t>
            </w:r>
          </w:p>
          <w:p w14:paraId="4AFB6809" w14:textId="77777777" w:rsidR="005B04CB" w:rsidRPr="00DE1A22" w:rsidRDefault="005B04CB" w:rsidP="005B04CB">
            <w:pPr>
              <w:contextualSpacing/>
              <w:jc w:val="both"/>
              <w:rPr>
                <w:rFonts w:eastAsia="Times New Roman"/>
                <w:b/>
                <w:sz w:val="24"/>
                <w:szCs w:val="24"/>
                <w:lang w:eastAsia="lv-LV"/>
              </w:rPr>
            </w:pPr>
            <w:r w:rsidRPr="00DE1A22">
              <w:rPr>
                <w:rFonts w:eastAsia="Times New Roman"/>
                <w:b/>
                <w:sz w:val="24"/>
                <w:szCs w:val="24"/>
                <w:lang w:eastAsia="lv-LV"/>
              </w:rPr>
              <w:t>Vides aizsardzības un reģionālās attīstības ministrija (25.01.2019. Nr.1-22/693)</w:t>
            </w:r>
          </w:p>
          <w:p w14:paraId="29D306A6" w14:textId="77777777" w:rsidR="005B04CB" w:rsidRPr="00DE1A22" w:rsidRDefault="005B04CB" w:rsidP="005B04CB">
            <w:pPr>
              <w:jc w:val="both"/>
              <w:rPr>
                <w:rFonts w:eastAsia="Times New Roman"/>
                <w:sz w:val="24"/>
                <w:szCs w:val="24"/>
                <w:lang w:eastAsia="lv-LV"/>
              </w:rPr>
            </w:pPr>
            <w:r w:rsidRPr="00DE1A22">
              <w:rPr>
                <w:rFonts w:eastAsia="Times New Roman"/>
                <w:sz w:val="24"/>
                <w:szCs w:val="24"/>
                <w:lang w:eastAsia="lv-LV"/>
              </w:rPr>
              <w:t>Paskaidrot pamatnostādnēs lietoto saīsinājumu SPKC.</w:t>
            </w:r>
          </w:p>
        </w:tc>
        <w:tc>
          <w:tcPr>
            <w:tcW w:w="3118" w:type="dxa"/>
            <w:shd w:val="clear" w:color="auto" w:fill="auto"/>
          </w:tcPr>
          <w:p w14:paraId="1FB2DEEE" w14:textId="77777777" w:rsidR="006D6BFD" w:rsidRPr="00DE1A22" w:rsidRDefault="005B04CB" w:rsidP="006D6BFD">
            <w:pPr>
              <w:jc w:val="center"/>
              <w:rPr>
                <w:rFonts w:eastAsia="Times New Roman"/>
                <w:b/>
                <w:sz w:val="24"/>
                <w:szCs w:val="24"/>
                <w:lang w:eastAsia="lv-LV"/>
              </w:rPr>
            </w:pPr>
            <w:r w:rsidRPr="00DE1A22">
              <w:rPr>
                <w:rFonts w:eastAsia="Times New Roman"/>
                <w:b/>
                <w:sz w:val="24"/>
                <w:szCs w:val="24"/>
                <w:lang w:eastAsia="lv-LV"/>
              </w:rPr>
              <w:t>Ņemts vērā.</w:t>
            </w:r>
          </w:p>
          <w:p w14:paraId="2C1F1506" w14:textId="77777777" w:rsidR="006D6BFD" w:rsidRPr="00DE1A22" w:rsidRDefault="006D6BFD" w:rsidP="006D6BFD">
            <w:pPr>
              <w:jc w:val="both"/>
              <w:rPr>
                <w:rFonts w:eastAsia="Times New Roman"/>
                <w:sz w:val="24"/>
                <w:szCs w:val="24"/>
                <w:lang w:eastAsia="lv-LV"/>
              </w:rPr>
            </w:pPr>
          </w:p>
        </w:tc>
        <w:tc>
          <w:tcPr>
            <w:tcW w:w="3402" w:type="dxa"/>
            <w:shd w:val="clear" w:color="auto" w:fill="auto"/>
          </w:tcPr>
          <w:p w14:paraId="3F764260" w14:textId="77777777" w:rsidR="005B04CB" w:rsidRPr="00DE1A22" w:rsidRDefault="00173AED" w:rsidP="005B04CB">
            <w:pPr>
              <w:contextualSpacing/>
              <w:jc w:val="both"/>
              <w:rPr>
                <w:rFonts w:eastAsia="Times New Roman"/>
                <w:sz w:val="24"/>
                <w:szCs w:val="24"/>
                <w:lang w:eastAsia="lv-LV"/>
              </w:rPr>
            </w:pPr>
            <w:r w:rsidRPr="00DE1A22">
              <w:rPr>
                <w:rFonts w:eastAsia="Times New Roman"/>
                <w:sz w:val="24"/>
                <w:szCs w:val="24"/>
                <w:lang w:eastAsia="lv-LV"/>
              </w:rPr>
              <w:t>Projekts atbilstoši precizēts.</w:t>
            </w:r>
          </w:p>
        </w:tc>
      </w:tr>
      <w:tr w:rsidR="005B04CB" w:rsidRPr="00DE1A22" w14:paraId="18388E0D" w14:textId="77777777" w:rsidTr="00B8198F">
        <w:tc>
          <w:tcPr>
            <w:tcW w:w="14737" w:type="dxa"/>
            <w:gridSpan w:val="6"/>
            <w:shd w:val="clear" w:color="auto" w:fill="E2EFD9" w:themeFill="accent6" w:themeFillTint="33"/>
          </w:tcPr>
          <w:p w14:paraId="5CA33D84" w14:textId="77777777" w:rsidR="005B04CB" w:rsidRPr="00DE1A22" w:rsidRDefault="005B04CB" w:rsidP="005B04CB">
            <w:pPr>
              <w:contextualSpacing/>
              <w:jc w:val="both"/>
              <w:rPr>
                <w:rFonts w:eastAsia="Times New Roman"/>
                <w:sz w:val="24"/>
                <w:szCs w:val="24"/>
                <w:lang w:eastAsia="lv-LV"/>
              </w:rPr>
            </w:pPr>
          </w:p>
          <w:p w14:paraId="7D7BE5C3" w14:textId="77777777" w:rsidR="005B04CB" w:rsidRPr="00DE1A22" w:rsidRDefault="005B04CB" w:rsidP="005B04CB">
            <w:pPr>
              <w:contextualSpacing/>
              <w:jc w:val="center"/>
              <w:rPr>
                <w:rFonts w:eastAsia="Times New Roman"/>
                <w:b/>
                <w:sz w:val="24"/>
                <w:szCs w:val="24"/>
                <w:lang w:eastAsia="lv-LV"/>
              </w:rPr>
            </w:pPr>
            <w:r w:rsidRPr="00DE1A22">
              <w:rPr>
                <w:rFonts w:eastAsia="Times New Roman"/>
                <w:b/>
                <w:sz w:val="24"/>
                <w:szCs w:val="24"/>
                <w:lang w:eastAsia="lv-LV"/>
              </w:rPr>
              <w:t>Pamatnostādņu pielikums</w:t>
            </w:r>
          </w:p>
          <w:p w14:paraId="152A70DD" w14:textId="77777777" w:rsidR="005B04CB" w:rsidRPr="00DE1A22" w:rsidRDefault="005B04CB" w:rsidP="005B04CB">
            <w:pPr>
              <w:contextualSpacing/>
              <w:jc w:val="both"/>
              <w:rPr>
                <w:rFonts w:eastAsia="Times New Roman"/>
                <w:sz w:val="24"/>
                <w:szCs w:val="24"/>
                <w:lang w:eastAsia="lv-LV"/>
              </w:rPr>
            </w:pPr>
          </w:p>
        </w:tc>
      </w:tr>
      <w:tr w:rsidR="00F55516" w:rsidRPr="00DE1A22" w14:paraId="7CAC81B1" w14:textId="77777777" w:rsidTr="00BF4AE7">
        <w:tc>
          <w:tcPr>
            <w:tcW w:w="846" w:type="dxa"/>
            <w:gridSpan w:val="2"/>
            <w:shd w:val="clear" w:color="auto" w:fill="auto"/>
          </w:tcPr>
          <w:p w14:paraId="4CAE524D" w14:textId="77777777" w:rsidR="00F55516" w:rsidRPr="00DE1A22" w:rsidRDefault="00F55516" w:rsidP="00F55516">
            <w:pPr>
              <w:spacing w:before="100" w:beforeAutospacing="1" w:after="100" w:afterAutospacing="1"/>
              <w:jc w:val="center"/>
              <w:rPr>
                <w:rFonts w:eastAsia="Times New Roman"/>
                <w:sz w:val="24"/>
                <w:szCs w:val="24"/>
                <w:lang w:eastAsia="lv-LV"/>
              </w:rPr>
            </w:pPr>
            <w:r w:rsidRPr="00DE1A22">
              <w:rPr>
                <w:rFonts w:eastAsia="Times New Roman"/>
                <w:sz w:val="24"/>
                <w:szCs w:val="24"/>
                <w:lang w:eastAsia="lv-LV"/>
              </w:rPr>
              <w:t>38.</w:t>
            </w:r>
          </w:p>
        </w:tc>
        <w:tc>
          <w:tcPr>
            <w:tcW w:w="2977" w:type="dxa"/>
            <w:shd w:val="clear" w:color="auto" w:fill="auto"/>
          </w:tcPr>
          <w:p w14:paraId="56983C0C" w14:textId="77777777" w:rsidR="00F55516" w:rsidRPr="00DE1A22" w:rsidRDefault="003D2A2B" w:rsidP="00F55516">
            <w:pPr>
              <w:jc w:val="both"/>
              <w:rPr>
                <w:rFonts w:eastAsia="Times New Roman"/>
                <w:sz w:val="24"/>
                <w:szCs w:val="24"/>
                <w:lang w:eastAsia="lv-LV"/>
              </w:rPr>
            </w:pPr>
            <w:r w:rsidRPr="00DE1A22">
              <w:rPr>
                <w:rFonts w:eastAsia="Times New Roman"/>
                <w:sz w:val="24"/>
                <w:szCs w:val="24"/>
                <w:lang w:eastAsia="lv-LV"/>
              </w:rPr>
              <w:t>Projekts kopumā.</w:t>
            </w:r>
          </w:p>
        </w:tc>
        <w:tc>
          <w:tcPr>
            <w:tcW w:w="4394" w:type="dxa"/>
            <w:shd w:val="clear" w:color="auto" w:fill="auto"/>
          </w:tcPr>
          <w:p w14:paraId="29447DAA" w14:textId="77777777" w:rsidR="00F55516" w:rsidRPr="00DE1A22" w:rsidRDefault="00F55516" w:rsidP="00F55516">
            <w:pPr>
              <w:jc w:val="both"/>
              <w:rPr>
                <w:rFonts w:eastAsia="Times New Roman"/>
                <w:b/>
                <w:sz w:val="24"/>
                <w:szCs w:val="24"/>
              </w:rPr>
            </w:pPr>
            <w:r w:rsidRPr="00DE1A22">
              <w:rPr>
                <w:rFonts w:eastAsia="Times New Roman"/>
                <w:b/>
                <w:sz w:val="24"/>
                <w:szCs w:val="24"/>
              </w:rPr>
              <w:t>Latvijas interaktīvo azartspēļu biedrība (25.01.2019. Nr.20190125)</w:t>
            </w:r>
          </w:p>
          <w:p w14:paraId="4395AC6A" w14:textId="77777777" w:rsidR="004C5EE6" w:rsidRPr="00DE1A22" w:rsidRDefault="004C5EE6" w:rsidP="004C5EE6">
            <w:pPr>
              <w:jc w:val="both"/>
              <w:rPr>
                <w:sz w:val="24"/>
                <w:szCs w:val="24"/>
                <w:lang w:eastAsia="lv-LV"/>
              </w:rPr>
            </w:pPr>
            <w:r w:rsidRPr="00DE1A22">
              <w:rPr>
                <w:sz w:val="24"/>
                <w:szCs w:val="24"/>
                <w:u w:val="single"/>
              </w:rPr>
              <w:t>Pirmkārt,</w:t>
            </w:r>
            <w:r w:rsidRPr="00DE1A22">
              <w:rPr>
                <w:sz w:val="24"/>
                <w:szCs w:val="24"/>
              </w:rPr>
              <w:t xml:space="preserve"> </w:t>
            </w:r>
            <w:r w:rsidRPr="00DE1A22">
              <w:rPr>
                <w:sz w:val="24"/>
                <w:szCs w:val="24"/>
                <w:lang w:eastAsia="lv-LV"/>
              </w:rPr>
              <w:t>azartspēļu un izložu politikas pamatnostādņu pielikuma “Esošās situāci</w:t>
            </w:r>
            <w:r w:rsidR="0033183F" w:rsidRPr="00DE1A22">
              <w:rPr>
                <w:sz w:val="24"/>
                <w:szCs w:val="24"/>
                <w:lang w:eastAsia="lv-LV"/>
              </w:rPr>
              <w:t>jas vispārīgs raksturojums” 1. p</w:t>
            </w:r>
            <w:r w:rsidRPr="00DE1A22">
              <w:rPr>
                <w:sz w:val="24"/>
                <w:szCs w:val="24"/>
                <w:lang w:eastAsia="lv-LV"/>
              </w:rPr>
              <w:t>unkts, 4.lpp., kur norādīts:</w:t>
            </w:r>
          </w:p>
          <w:p w14:paraId="60042730" w14:textId="77777777" w:rsidR="004C5EE6" w:rsidRPr="00DE1A22" w:rsidRDefault="004C5EE6" w:rsidP="004C5EE6">
            <w:pPr>
              <w:jc w:val="both"/>
              <w:rPr>
                <w:sz w:val="24"/>
                <w:szCs w:val="24"/>
                <w:lang w:eastAsia="lv-LV"/>
              </w:rPr>
            </w:pPr>
          </w:p>
          <w:p w14:paraId="1A603D9F" w14:textId="77777777" w:rsidR="004C5EE6" w:rsidRPr="00DE1A22" w:rsidRDefault="004C5EE6" w:rsidP="004C5EE6">
            <w:pPr>
              <w:jc w:val="both"/>
              <w:rPr>
                <w:sz w:val="24"/>
                <w:szCs w:val="24"/>
              </w:rPr>
            </w:pPr>
            <w:r w:rsidRPr="00DE1A22">
              <w:rPr>
                <w:sz w:val="24"/>
                <w:szCs w:val="24"/>
              </w:rPr>
              <w:t xml:space="preserve">Ņemot vērā azartspēļu un izložu specifiku, minētās darbības nav tiešā veidā salīdzināmas. Azartspēle ir spēle, kurā laimests pilnīgi vai daļēji ir atkarīgs no veiksmes gadījuma un apstākļiem, kuri iepriekš nav zināmi (programma ģenerē </w:t>
            </w:r>
            <w:r w:rsidRPr="00DE1A22">
              <w:rPr>
                <w:sz w:val="24"/>
                <w:szCs w:val="24"/>
              </w:rPr>
              <w:lastRenderedPageBreak/>
              <w:t>laimestu). Savukārt izloze ir spēle, kurā laimestam pilnīgi vai daļēji ir gadījuma raksturs (laimesti ir jau fiksēti). Līdz ar to normatīvais regulējums AIL attiecībā uz šīm jomām ir atšķirīgs.</w:t>
            </w:r>
          </w:p>
          <w:p w14:paraId="7928C6CA" w14:textId="77777777" w:rsidR="004C5EE6" w:rsidRPr="00DE1A22" w:rsidRDefault="004C5EE6" w:rsidP="004C5EE6">
            <w:pPr>
              <w:jc w:val="both"/>
              <w:rPr>
                <w:rFonts w:eastAsia="Times New Roman"/>
                <w:sz w:val="24"/>
                <w:szCs w:val="24"/>
              </w:rPr>
            </w:pPr>
            <w:r w:rsidRPr="00DE1A22">
              <w:rPr>
                <w:sz w:val="24"/>
                <w:szCs w:val="24"/>
              </w:rPr>
              <w:t xml:space="preserve">LIAB pauž izbrīnu par šāda nošķīruma ietveršanu, jo azartspēļu un izložu pamatnostādņu kontekstā laimesta veidošanās algoritms, proti, vai laimests ir iepriekš fiksēts vai veidojas atkarībā no iepriekš nezināmiem apstākļiem, nav izšķiroši svarīgs. Gan izlozes, gan azartspēles pēc būtības atzīstamas par laimes līgumiem, kad laimesta iegūšanai pilnīgi vai daļēji ir gadījuma (veiksmes) raksturs. Neskatoties uz to, ka Eiropas Savienībā nav atsevišķa un vienota azartspēļu regulējuma, no Eiropas Savienības sekundārajiem tiesību aktiem izriet, </w:t>
            </w:r>
            <w:r w:rsidRPr="00DE1A22">
              <w:rPr>
                <w:sz w:val="24"/>
                <w:szCs w:val="24"/>
                <w:u w:val="single"/>
              </w:rPr>
              <w:t>ka par azartspēlēm ir uzskatāmas arī izlozes, loterijas un derības.</w:t>
            </w:r>
            <w:r w:rsidRPr="00DE1A22">
              <w:rPr>
                <w:rStyle w:val="FootnoteReference"/>
                <w:sz w:val="24"/>
                <w:szCs w:val="24"/>
              </w:rPr>
              <w:footnoteReference w:id="8"/>
            </w:r>
            <w:r w:rsidRPr="00DE1A22">
              <w:rPr>
                <w:sz w:val="24"/>
                <w:szCs w:val="24"/>
              </w:rPr>
              <w:t xml:space="preserve"> Tādējādi pamatnostādnēs veiktais nošķīrums ir atzīstams par nepamatotu, bet iepriekš citētā rindkopa labojama vai svītrojama.</w:t>
            </w:r>
          </w:p>
        </w:tc>
        <w:tc>
          <w:tcPr>
            <w:tcW w:w="3118" w:type="dxa"/>
            <w:shd w:val="clear" w:color="auto" w:fill="auto"/>
          </w:tcPr>
          <w:p w14:paraId="2C5F1EE8" w14:textId="77777777" w:rsidR="00F55516" w:rsidRPr="00DE1A22" w:rsidRDefault="00824F6A" w:rsidP="00F55516">
            <w:pPr>
              <w:tabs>
                <w:tab w:val="left" w:pos="0"/>
                <w:tab w:val="left" w:pos="709"/>
                <w:tab w:val="left" w:pos="993"/>
              </w:tabs>
              <w:suppressAutoHyphens/>
              <w:jc w:val="center"/>
              <w:outlineLvl w:val="3"/>
              <w:rPr>
                <w:rFonts w:eastAsia="Times New Roman"/>
                <w:b/>
                <w:bCs/>
                <w:sz w:val="24"/>
                <w:szCs w:val="24"/>
                <w:lang w:eastAsia="lv-LV"/>
              </w:rPr>
            </w:pPr>
            <w:r w:rsidRPr="00DE1A22">
              <w:rPr>
                <w:rFonts w:eastAsia="Times New Roman"/>
                <w:b/>
                <w:bCs/>
                <w:sz w:val="24"/>
                <w:szCs w:val="24"/>
                <w:lang w:eastAsia="lv-LV"/>
              </w:rPr>
              <w:lastRenderedPageBreak/>
              <w:t>Daļēji ņemts vērā.</w:t>
            </w:r>
          </w:p>
        </w:tc>
        <w:tc>
          <w:tcPr>
            <w:tcW w:w="3402" w:type="dxa"/>
            <w:shd w:val="clear" w:color="auto" w:fill="auto"/>
          </w:tcPr>
          <w:p w14:paraId="583176EF" w14:textId="77777777" w:rsidR="00F55516" w:rsidRPr="00DE1A22" w:rsidRDefault="00576E90" w:rsidP="00F55516">
            <w:pPr>
              <w:jc w:val="both"/>
              <w:rPr>
                <w:rFonts w:eastAsia="Times New Roman"/>
                <w:sz w:val="24"/>
                <w:szCs w:val="24"/>
              </w:rPr>
            </w:pPr>
            <w:r w:rsidRPr="00DE1A22">
              <w:rPr>
                <w:rFonts w:eastAsia="Times New Roman"/>
                <w:sz w:val="24"/>
                <w:szCs w:val="24"/>
              </w:rPr>
              <w:t>Ir būtiski pārskatīts jautājuma konteksts un saturs.</w:t>
            </w:r>
          </w:p>
        </w:tc>
      </w:tr>
      <w:tr w:rsidR="000A3B4B" w:rsidRPr="00DE1A22" w14:paraId="0FF4ED21" w14:textId="77777777" w:rsidTr="00BF4AE7">
        <w:tc>
          <w:tcPr>
            <w:tcW w:w="846" w:type="dxa"/>
            <w:gridSpan w:val="2"/>
            <w:shd w:val="clear" w:color="auto" w:fill="auto"/>
          </w:tcPr>
          <w:p w14:paraId="00F85F76" w14:textId="77777777" w:rsidR="000A3B4B" w:rsidRPr="00DE1A22" w:rsidRDefault="000A3B4B" w:rsidP="000A3B4B">
            <w:pPr>
              <w:spacing w:before="100" w:beforeAutospacing="1" w:after="100" w:afterAutospacing="1"/>
              <w:jc w:val="center"/>
              <w:rPr>
                <w:rFonts w:eastAsia="Times New Roman"/>
                <w:sz w:val="24"/>
                <w:szCs w:val="24"/>
                <w:lang w:eastAsia="lv-LV"/>
              </w:rPr>
            </w:pPr>
            <w:r w:rsidRPr="00DE1A22">
              <w:rPr>
                <w:rFonts w:eastAsia="Times New Roman"/>
                <w:sz w:val="24"/>
                <w:szCs w:val="24"/>
                <w:lang w:eastAsia="lv-LV"/>
              </w:rPr>
              <w:t>39.</w:t>
            </w:r>
          </w:p>
        </w:tc>
        <w:tc>
          <w:tcPr>
            <w:tcW w:w="2977" w:type="dxa"/>
            <w:shd w:val="clear" w:color="auto" w:fill="auto"/>
          </w:tcPr>
          <w:p w14:paraId="5372E498" w14:textId="77777777" w:rsidR="000A3B4B" w:rsidRPr="00DE1A22" w:rsidRDefault="000A3B4B" w:rsidP="000A3B4B">
            <w:pPr>
              <w:jc w:val="both"/>
              <w:rPr>
                <w:rFonts w:eastAsia="Times New Roman"/>
                <w:sz w:val="24"/>
                <w:szCs w:val="24"/>
                <w:lang w:eastAsia="lv-LV"/>
              </w:rPr>
            </w:pPr>
            <w:r w:rsidRPr="00DE1A22">
              <w:rPr>
                <w:rFonts w:eastAsia="Times New Roman"/>
                <w:sz w:val="24"/>
                <w:szCs w:val="24"/>
                <w:lang w:eastAsia="lv-LV"/>
              </w:rPr>
              <w:t>Projekts kopumā.</w:t>
            </w:r>
          </w:p>
        </w:tc>
        <w:tc>
          <w:tcPr>
            <w:tcW w:w="4394" w:type="dxa"/>
            <w:shd w:val="clear" w:color="auto" w:fill="auto"/>
          </w:tcPr>
          <w:p w14:paraId="79B873EF" w14:textId="77777777" w:rsidR="000A3B4B" w:rsidRPr="00DE1A22" w:rsidRDefault="000A3B4B" w:rsidP="000A3B4B">
            <w:pPr>
              <w:jc w:val="both"/>
              <w:rPr>
                <w:rFonts w:eastAsia="Times New Roman"/>
                <w:b/>
                <w:sz w:val="24"/>
                <w:szCs w:val="24"/>
              </w:rPr>
            </w:pPr>
            <w:r w:rsidRPr="00DE1A22">
              <w:rPr>
                <w:rFonts w:eastAsia="Times New Roman"/>
                <w:b/>
                <w:sz w:val="24"/>
                <w:szCs w:val="24"/>
              </w:rPr>
              <w:t>Latvijas interaktīvo azartspēļu biedrība (25.01.2019. Nr.20190125)</w:t>
            </w:r>
          </w:p>
          <w:p w14:paraId="34447F87" w14:textId="77777777" w:rsidR="000A3B4B" w:rsidRPr="00DE1A22" w:rsidRDefault="000A3B4B" w:rsidP="000A3B4B">
            <w:pPr>
              <w:ind w:right="42"/>
              <w:jc w:val="both"/>
              <w:rPr>
                <w:sz w:val="24"/>
                <w:szCs w:val="24"/>
              </w:rPr>
            </w:pPr>
            <w:r w:rsidRPr="00DE1A22">
              <w:rPr>
                <w:sz w:val="24"/>
                <w:szCs w:val="24"/>
                <w:lang w:eastAsia="lv-LV"/>
              </w:rPr>
              <w:t xml:space="preserve">Azartspēļu un izložu politikas pamatnostādņu pielikuma “Esošās situācijas vispārīgs raksturojums” 30. lpp. norādīts, ka </w:t>
            </w:r>
            <w:r w:rsidRPr="00DE1A22">
              <w:rPr>
                <w:sz w:val="24"/>
                <w:szCs w:val="24"/>
              </w:rPr>
              <w:t xml:space="preserve">atbilstoši EK ieteikumam </w:t>
            </w:r>
            <w:r w:rsidRPr="00DE1A22">
              <w:rPr>
                <w:sz w:val="24"/>
                <w:szCs w:val="24"/>
              </w:rPr>
              <w:lastRenderedPageBreak/>
              <w:t xml:space="preserve">azartspēļu reklamēšanā jāievēro šādi principi: </w:t>
            </w:r>
          </w:p>
          <w:p w14:paraId="42DD2081" w14:textId="77777777" w:rsidR="000A3B4B" w:rsidRPr="00DE1A22" w:rsidRDefault="000A3B4B" w:rsidP="000A3B4B">
            <w:pPr>
              <w:ind w:right="42"/>
              <w:jc w:val="both"/>
              <w:rPr>
                <w:sz w:val="24"/>
                <w:szCs w:val="24"/>
              </w:rPr>
            </w:pPr>
            <w:r w:rsidRPr="00DE1A22">
              <w:rPr>
                <w:sz w:val="24"/>
                <w:szCs w:val="24"/>
              </w:rPr>
              <w:t>- jānodrošina, ka tiešsaistes azartspēļu pakalpojumu komercpaziņojumi nekaitē nepilngadīgajām personām vai nemudina viņus uzlūkot azartspēles kā dabisku to brīvā laika aktivitāšu elementu;</w:t>
            </w:r>
          </w:p>
          <w:p w14:paraId="3834D320" w14:textId="77777777" w:rsidR="000A3B4B" w:rsidRPr="00DE1A22" w:rsidRDefault="000A3B4B" w:rsidP="000A3B4B">
            <w:pPr>
              <w:ind w:right="42"/>
              <w:jc w:val="both"/>
              <w:rPr>
                <w:sz w:val="24"/>
                <w:szCs w:val="24"/>
              </w:rPr>
            </w:pPr>
            <w:r w:rsidRPr="00DE1A22">
              <w:rPr>
                <w:sz w:val="24"/>
                <w:szCs w:val="24"/>
              </w:rPr>
              <w:t>- komercpaziņojumos jāietver skaidrs ziņojums “nepilngadīgajām personām azartspēles nav atļautas”, kurā norādīts vecums, līdz kuram nav atļauts spēlēt azartspēles;</w:t>
            </w:r>
          </w:p>
          <w:p w14:paraId="5D94396E" w14:textId="77777777" w:rsidR="000A3B4B" w:rsidRPr="00DE1A22" w:rsidRDefault="000A3B4B" w:rsidP="000A3B4B">
            <w:pPr>
              <w:jc w:val="both"/>
              <w:rPr>
                <w:sz w:val="24"/>
                <w:szCs w:val="24"/>
              </w:rPr>
            </w:pPr>
            <w:r w:rsidRPr="00DE1A22">
              <w:rPr>
                <w:sz w:val="24"/>
                <w:szCs w:val="24"/>
              </w:rPr>
              <w:t xml:space="preserve">LIAB uzskata, ka šie principi ir attiecināmi ne tikai uz interaktīvajām un “zemes” azartspēlēm, bet arī uz izlozēm. Ievērojot, ka Komisijas ieteikumu attiecībā uz reklāmu ir vērsti uz komercpaziņojumu satura ierobežošanu, ievērojot nepilngadīgu personu intereses, šādu principu attiecināšana uz izlozēm un, būtu vairāk kā atbalstāma, ņemot vērā, ka no Eiropas Savienības sekundārajiem tiesību aktiem izriet, </w:t>
            </w:r>
            <w:r w:rsidRPr="00DE1A22">
              <w:rPr>
                <w:sz w:val="24"/>
                <w:szCs w:val="24"/>
                <w:u w:val="single"/>
              </w:rPr>
              <w:t xml:space="preserve">ka par azartspēlēm ir uzskatāmas arī izlozes, loterijas un derības. </w:t>
            </w:r>
            <w:r w:rsidRPr="00DE1A22">
              <w:rPr>
                <w:sz w:val="24"/>
                <w:szCs w:val="24"/>
              </w:rPr>
              <w:t>Tā kā pamatnostādnes jau satur aicinājumu šos principus paplašināti attiecināt arī uz “zemes” azartspēlēm, LIAB atkārtoti aicina papildināt tekstu, paredzot, šos principus attiecināt arī uz izlozēm.</w:t>
            </w:r>
          </w:p>
          <w:p w14:paraId="1A6C23C1" w14:textId="77777777" w:rsidR="000A3B4B" w:rsidRPr="00DE1A22" w:rsidRDefault="000A3B4B" w:rsidP="000A3B4B">
            <w:pPr>
              <w:jc w:val="both"/>
              <w:rPr>
                <w:rFonts w:eastAsia="Times New Roman"/>
                <w:sz w:val="24"/>
                <w:szCs w:val="24"/>
              </w:rPr>
            </w:pPr>
            <w:r w:rsidRPr="00DE1A22">
              <w:rPr>
                <w:sz w:val="24"/>
                <w:szCs w:val="24"/>
              </w:rPr>
              <w:t>Pielikuma 40. lpp. norādīts uz ES Tiesas pamatnoteikumiem komercpaziņojumiem par azartspēļu pakalpojumiem, kurus sniedz monopola apstākļos. Šie principi atbilstoši pamatnostādnēs norādītajam neakcentē nepilngadīgu personu aizsardzību, kas LIAB ieskatā būtu īpaši jāakcentē.</w:t>
            </w:r>
          </w:p>
        </w:tc>
        <w:tc>
          <w:tcPr>
            <w:tcW w:w="3118" w:type="dxa"/>
            <w:shd w:val="clear" w:color="auto" w:fill="auto"/>
          </w:tcPr>
          <w:p w14:paraId="41A46114" w14:textId="77777777" w:rsidR="000A3B4B" w:rsidRPr="00DE1A22" w:rsidRDefault="000A3B4B" w:rsidP="000A3B4B">
            <w:pPr>
              <w:tabs>
                <w:tab w:val="left" w:pos="0"/>
                <w:tab w:val="left" w:pos="709"/>
                <w:tab w:val="left" w:pos="993"/>
              </w:tabs>
              <w:suppressAutoHyphens/>
              <w:jc w:val="center"/>
              <w:outlineLvl w:val="3"/>
              <w:rPr>
                <w:rFonts w:eastAsia="Times New Roman"/>
                <w:b/>
                <w:bCs/>
                <w:sz w:val="24"/>
                <w:szCs w:val="24"/>
                <w:lang w:eastAsia="lv-LV"/>
              </w:rPr>
            </w:pPr>
            <w:r w:rsidRPr="00DE1A22">
              <w:rPr>
                <w:rFonts w:eastAsia="Times New Roman"/>
                <w:b/>
                <w:bCs/>
                <w:sz w:val="24"/>
                <w:szCs w:val="24"/>
                <w:lang w:eastAsia="lv-LV"/>
              </w:rPr>
              <w:lastRenderedPageBreak/>
              <w:t>Daļēji ņemts vērā.</w:t>
            </w:r>
          </w:p>
        </w:tc>
        <w:tc>
          <w:tcPr>
            <w:tcW w:w="3402" w:type="dxa"/>
            <w:shd w:val="clear" w:color="auto" w:fill="auto"/>
          </w:tcPr>
          <w:p w14:paraId="5A2D1E6C" w14:textId="77777777" w:rsidR="000A3B4B" w:rsidRPr="00DE1A22" w:rsidRDefault="000A3B4B" w:rsidP="000A3B4B">
            <w:pPr>
              <w:jc w:val="both"/>
              <w:rPr>
                <w:rFonts w:eastAsia="Times New Roman"/>
                <w:sz w:val="24"/>
                <w:szCs w:val="24"/>
              </w:rPr>
            </w:pPr>
            <w:r w:rsidRPr="00DE1A22">
              <w:rPr>
                <w:rFonts w:eastAsia="Times New Roman"/>
                <w:sz w:val="24"/>
                <w:szCs w:val="24"/>
              </w:rPr>
              <w:t>Ir būtiski pārskatīts jautājuma konteksts un saturs.</w:t>
            </w:r>
          </w:p>
        </w:tc>
      </w:tr>
      <w:tr w:rsidR="00B90571" w:rsidRPr="00DE1A22" w14:paraId="33B7170A" w14:textId="77777777" w:rsidTr="00BF4AE7">
        <w:tc>
          <w:tcPr>
            <w:tcW w:w="846" w:type="dxa"/>
            <w:gridSpan w:val="2"/>
            <w:shd w:val="clear" w:color="auto" w:fill="auto"/>
          </w:tcPr>
          <w:p w14:paraId="4239C0F0" w14:textId="77777777" w:rsidR="00B90571" w:rsidRPr="00DE1A22" w:rsidRDefault="00B90571" w:rsidP="00B90571">
            <w:pPr>
              <w:spacing w:before="100" w:beforeAutospacing="1" w:after="100" w:afterAutospacing="1"/>
              <w:jc w:val="center"/>
              <w:rPr>
                <w:rFonts w:eastAsia="Times New Roman"/>
                <w:sz w:val="24"/>
                <w:szCs w:val="24"/>
                <w:lang w:eastAsia="lv-LV"/>
              </w:rPr>
            </w:pPr>
            <w:r w:rsidRPr="00DE1A22">
              <w:rPr>
                <w:rFonts w:eastAsia="Times New Roman"/>
                <w:sz w:val="24"/>
                <w:szCs w:val="24"/>
                <w:lang w:eastAsia="lv-LV"/>
              </w:rPr>
              <w:lastRenderedPageBreak/>
              <w:t>40.</w:t>
            </w:r>
          </w:p>
        </w:tc>
        <w:tc>
          <w:tcPr>
            <w:tcW w:w="2977" w:type="dxa"/>
            <w:shd w:val="clear" w:color="auto" w:fill="auto"/>
          </w:tcPr>
          <w:p w14:paraId="3CAB88A3" w14:textId="77777777" w:rsidR="00B90571" w:rsidRPr="00DE1A22" w:rsidRDefault="00B90571" w:rsidP="00B90571">
            <w:pPr>
              <w:jc w:val="both"/>
              <w:rPr>
                <w:rFonts w:eastAsia="Times New Roman"/>
                <w:sz w:val="24"/>
                <w:szCs w:val="24"/>
                <w:lang w:eastAsia="lv-LV"/>
              </w:rPr>
            </w:pPr>
            <w:r w:rsidRPr="00DE1A22">
              <w:rPr>
                <w:rFonts w:eastAsia="Times New Roman"/>
                <w:sz w:val="24"/>
                <w:szCs w:val="24"/>
                <w:lang w:eastAsia="lv-LV"/>
              </w:rPr>
              <w:t>Projekts kopumā.</w:t>
            </w:r>
          </w:p>
        </w:tc>
        <w:tc>
          <w:tcPr>
            <w:tcW w:w="4394" w:type="dxa"/>
            <w:shd w:val="clear" w:color="auto" w:fill="auto"/>
          </w:tcPr>
          <w:p w14:paraId="1BA599B4" w14:textId="77777777" w:rsidR="00B90571" w:rsidRPr="00DE1A22" w:rsidRDefault="00B90571" w:rsidP="00B90571">
            <w:pPr>
              <w:jc w:val="both"/>
              <w:rPr>
                <w:rFonts w:eastAsia="Times New Roman"/>
                <w:b/>
                <w:sz w:val="24"/>
                <w:szCs w:val="24"/>
              </w:rPr>
            </w:pPr>
            <w:r w:rsidRPr="00DE1A22">
              <w:rPr>
                <w:rFonts w:eastAsia="Times New Roman"/>
                <w:b/>
                <w:sz w:val="24"/>
                <w:szCs w:val="24"/>
              </w:rPr>
              <w:t>Latvijas interaktīvo azartspēļu biedrība (25.01.2019. Nr.20190125)</w:t>
            </w:r>
          </w:p>
          <w:p w14:paraId="3B06429E" w14:textId="77777777" w:rsidR="00B90571" w:rsidRPr="00DE1A22" w:rsidRDefault="00B90571" w:rsidP="00B90571">
            <w:pPr>
              <w:jc w:val="both"/>
              <w:rPr>
                <w:rFonts w:eastAsia="Times New Roman"/>
                <w:sz w:val="24"/>
                <w:szCs w:val="24"/>
              </w:rPr>
            </w:pPr>
            <w:r w:rsidRPr="00DE1A22">
              <w:rPr>
                <w:sz w:val="24"/>
                <w:szCs w:val="24"/>
              </w:rPr>
              <w:t xml:space="preserve">Nepieciešams papildināt, </w:t>
            </w:r>
            <w:r w:rsidRPr="00DE1A22">
              <w:rPr>
                <w:sz w:val="24"/>
                <w:szCs w:val="24"/>
                <w:lang w:eastAsia="lv-LV"/>
              </w:rPr>
              <w:t xml:space="preserve">azartspēļu un izložu politikas pamatnostādņu pielikuma “Esošās situācijas vispārīgs raksturojums” 3.1. Punktu, 31.lpp., kur norādīts: </w:t>
            </w:r>
            <w:r w:rsidRPr="00DE1A22">
              <w:rPr>
                <w:i/>
                <w:sz w:val="24"/>
                <w:szCs w:val="24"/>
                <w:lang w:eastAsia="lv-LV"/>
              </w:rPr>
              <w:t>“EK ieteikumā noteiktie principi būtu piemērojami ne tikai interaktīvajās azartspēlēs (uz kurām Eiropas Komisija fokusējās savā izvērtējumā), bet arī “zemes” azartspēļu jomā.”</w:t>
            </w:r>
          </w:p>
        </w:tc>
        <w:tc>
          <w:tcPr>
            <w:tcW w:w="3118" w:type="dxa"/>
            <w:shd w:val="clear" w:color="auto" w:fill="auto"/>
          </w:tcPr>
          <w:p w14:paraId="7A367206" w14:textId="77777777" w:rsidR="00B90571" w:rsidRPr="00DE1A22" w:rsidRDefault="00B90571" w:rsidP="00B90571">
            <w:pPr>
              <w:tabs>
                <w:tab w:val="left" w:pos="0"/>
                <w:tab w:val="left" w:pos="709"/>
                <w:tab w:val="left" w:pos="993"/>
              </w:tabs>
              <w:suppressAutoHyphens/>
              <w:jc w:val="center"/>
              <w:outlineLvl w:val="3"/>
              <w:rPr>
                <w:rFonts w:eastAsia="Times New Roman"/>
                <w:b/>
                <w:bCs/>
                <w:sz w:val="24"/>
                <w:szCs w:val="24"/>
                <w:lang w:eastAsia="lv-LV"/>
              </w:rPr>
            </w:pPr>
            <w:r w:rsidRPr="00DE1A22">
              <w:rPr>
                <w:rFonts w:eastAsia="Times New Roman"/>
                <w:b/>
                <w:bCs/>
                <w:sz w:val="24"/>
                <w:szCs w:val="24"/>
                <w:lang w:eastAsia="lv-LV"/>
              </w:rPr>
              <w:t>Daļēji ņemts vērā.</w:t>
            </w:r>
          </w:p>
        </w:tc>
        <w:tc>
          <w:tcPr>
            <w:tcW w:w="3402" w:type="dxa"/>
            <w:shd w:val="clear" w:color="auto" w:fill="auto"/>
          </w:tcPr>
          <w:p w14:paraId="15C14D17" w14:textId="77777777" w:rsidR="00B90571" w:rsidRPr="00DE1A22" w:rsidRDefault="00B90571" w:rsidP="00B90571">
            <w:pPr>
              <w:jc w:val="both"/>
              <w:rPr>
                <w:rFonts w:eastAsia="Times New Roman"/>
                <w:sz w:val="24"/>
                <w:szCs w:val="24"/>
              </w:rPr>
            </w:pPr>
            <w:r w:rsidRPr="00DE1A22">
              <w:rPr>
                <w:rFonts w:eastAsia="Times New Roman"/>
                <w:sz w:val="24"/>
                <w:szCs w:val="24"/>
              </w:rPr>
              <w:t>Ir būtiski pārskatīts jautājuma konteksts un saturs.</w:t>
            </w:r>
          </w:p>
        </w:tc>
      </w:tr>
      <w:tr w:rsidR="00685F29" w:rsidRPr="00DE1A22" w14:paraId="7E13A09A" w14:textId="77777777" w:rsidTr="00BF4AE7">
        <w:tc>
          <w:tcPr>
            <w:tcW w:w="846" w:type="dxa"/>
            <w:gridSpan w:val="2"/>
            <w:shd w:val="clear" w:color="auto" w:fill="auto"/>
          </w:tcPr>
          <w:p w14:paraId="11FBB081" w14:textId="77777777" w:rsidR="00685F29" w:rsidRPr="00DE1A22" w:rsidDel="00640A1C" w:rsidRDefault="00685F29" w:rsidP="00EB12CC">
            <w:pPr>
              <w:spacing w:before="100" w:beforeAutospacing="1" w:after="100" w:afterAutospacing="1"/>
              <w:jc w:val="center"/>
              <w:rPr>
                <w:rFonts w:eastAsia="Times New Roman"/>
                <w:sz w:val="24"/>
                <w:szCs w:val="24"/>
                <w:lang w:eastAsia="lv-LV"/>
              </w:rPr>
            </w:pPr>
            <w:r w:rsidRPr="00DE1A22">
              <w:rPr>
                <w:rFonts w:eastAsia="Times New Roman"/>
                <w:sz w:val="24"/>
                <w:szCs w:val="24"/>
                <w:lang w:eastAsia="lv-LV"/>
              </w:rPr>
              <w:t>41.</w:t>
            </w:r>
          </w:p>
        </w:tc>
        <w:tc>
          <w:tcPr>
            <w:tcW w:w="2977" w:type="dxa"/>
            <w:shd w:val="clear" w:color="auto" w:fill="auto"/>
          </w:tcPr>
          <w:p w14:paraId="7FAEFE7B" w14:textId="77777777" w:rsidR="00685F29" w:rsidRPr="00DE1A22" w:rsidRDefault="00685F29" w:rsidP="00EB12CC">
            <w:pPr>
              <w:jc w:val="both"/>
              <w:rPr>
                <w:rFonts w:eastAsia="Times New Roman"/>
                <w:sz w:val="24"/>
                <w:szCs w:val="24"/>
                <w:lang w:eastAsia="lv-LV"/>
              </w:rPr>
            </w:pPr>
            <w:r w:rsidRPr="00DE1A22">
              <w:rPr>
                <w:rFonts w:eastAsia="Times New Roman"/>
                <w:sz w:val="24"/>
                <w:szCs w:val="24"/>
                <w:lang w:eastAsia="lv-LV"/>
              </w:rPr>
              <w:t>Projekts kopumā.</w:t>
            </w:r>
          </w:p>
        </w:tc>
        <w:tc>
          <w:tcPr>
            <w:tcW w:w="4394" w:type="dxa"/>
            <w:shd w:val="clear" w:color="auto" w:fill="auto"/>
          </w:tcPr>
          <w:p w14:paraId="7765A8AB" w14:textId="77777777" w:rsidR="00CC79DF" w:rsidRPr="00DE1A22" w:rsidRDefault="00CC79DF" w:rsidP="00CC79DF">
            <w:pPr>
              <w:jc w:val="both"/>
              <w:rPr>
                <w:rFonts w:eastAsia="Times New Roman"/>
                <w:b/>
                <w:sz w:val="24"/>
                <w:szCs w:val="24"/>
              </w:rPr>
            </w:pPr>
            <w:r w:rsidRPr="00DE1A22">
              <w:rPr>
                <w:rFonts w:eastAsia="Times New Roman"/>
                <w:b/>
                <w:sz w:val="24"/>
                <w:szCs w:val="24"/>
              </w:rPr>
              <w:t>Latvijas interaktīvo azartspēļu biedrība (25.01.2019. Nr.20190125)</w:t>
            </w:r>
          </w:p>
          <w:p w14:paraId="1204AF38" w14:textId="77777777" w:rsidR="00685F29" w:rsidRPr="00DE1A22" w:rsidRDefault="00685F29" w:rsidP="00EB12CC">
            <w:pPr>
              <w:jc w:val="both"/>
              <w:rPr>
                <w:sz w:val="24"/>
                <w:szCs w:val="24"/>
                <w:lang w:eastAsia="lv-LV"/>
              </w:rPr>
            </w:pPr>
            <w:r w:rsidRPr="00DE1A22">
              <w:rPr>
                <w:sz w:val="24"/>
                <w:szCs w:val="24"/>
              </w:rPr>
              <w:t>“</w:t>
            </w:r>
            <w:r w:rsidRPr="00DE1A22">
              <w:rPr>
                <w:sz w:val="24"/>
                <w:szCs w:val="24"/>
                <w:lang w:eastAsia="lv-LV"/>
              </w:rPr>
              <w:t>Azartspēļu un izložu politikas pamatnostādnēs” 6.lpp. (uzdevums Nr. 5) un to pielikuma “Esošās situācijas vispārīgs raksturojums” 79. lpp. kā nepieciešamais pasākums norādīts:</w:t>
            </w:r>
          </w:p>
          <w:p w14:paraId="58C2BE00" w14:textId="77777777" w:rsidR="00685F29" w:rsidRPr="00DE1A22" w:rsidRDefault="00685F29" w:rsidP="00EB12CC">
            <w:pPr>
              <w:jc w:val="both"/>
              <w:rPr>
                <w:sz w:val="24"/>
                <w:szCs w:val="24"/>
              </w:rPr>
            </w:pPr>
            <w:r w:rsidRPr="00DE1A22">
              <w:rPr>
                <w:sz w:val="24"/>
                <w:szCs w:val="24"/>
              </w:rPr>
              <w:t>“-noteikt fiziskajām un juridiskajām personām soda naudu 100% apmērā par valsts neiegūtiem nodokļu ieņēmumiem no personas dalības Latvijā nelicencētās interaktīvo azartspēļu organizētāja azartspēlēs un/vai nelicencētās izložu organizatoru izlozēs, kā arī pienākumu minētos valsts neiegūtos nodokļu ieņēmumus ieskaitīt valsts budžetā. Pienākums veikt attiecīgās pārbaudes tiek noteikts VID;”</w:t>
            </w:r>
          </w:p>
          <w:p w14:paraId="41FFEADB" w14:textId="77777777" w:rsidR="00CE58BF" w:rsidRPr="00DE1A22" w:rsidRDefault="00CE58BF" w:rsidP="00EB12CC">
            <w:pPr>
              <w:jc w:val="both"/>
              <w:rPr>
                <w:rFonts w:eastAsia="Times New Roman"/>
                <w:sz w:val="24"/>
                <w:szCs w:val="24"/>
              </w:rPr>
            </w:pPr>
            <w:r w:rsidRPr="00DE1A22">
              <w:rPr>
                <w:sz w:val="24"/>
                <w:szCs w:val="24"/>
              </w:rPr>
              <w:t xml:space="preserve">Ievērojot, ka nepieciešamā pasākuma mērķis ir sodīt personas par dalību Latvijā nelicencēta interaktīvo azartspēļu organizētāja azartspēlēs, noteiktais sods ir nepietiekams. Ikvienam sodam jābūt samērīgam, bet šajā gadījumā soda nauda sasniedz 100%, kas nav atzīstams par </w:t>
            </w:r>
            <w:r w:rsidRPr="00DE1A22">
              <w:rPr>
                <w:sz w:val="24"/>
                <w:szCs w:val="24"/>
              </w:rPr>
              <w:lastRenderedPageBreak/>
              <w:t xml:space="preserve">samērīgu. Ja soda nauda </w:t>
            </w:r>
            <w:r w:rsidRPr="00DE1A22">
              <w:rPr>
                <w:sz w:val="24"/>
                <w:szCs w:val="24"/>
                <w:lang w:eastAsia="lv-LV"/>
              </w:rPr>
              <w:t xml:space="preserve">juridiskām personām ir paredzēta 100% par valsts neiegūtajiem nodokļiem, tas atbilst nodokļa apmēram, kuru maksā licencētie operatori (kas nodokļus maksā pilnā apmērā). Attiecīgi, pastāv risks, ka būs operatori, kas izvēlēsies maksāt šo sodu, gadījumā, ja to dalība </w:t>
            </w:r>
            <w:r w:rsidRPr="00DE1A22">
              <w:rPr>
                <w:sz w:val="24"/>
                <w:szCs w:val="24"/>
              </w:rPr>
              <w:t>Latvijā nelicencēta interaktīvo azartspēļu organizētāja azartspēlēs</w:t>
            </w:r>
            <w:r w:rsidRPr="00DE1A22">
              <w:rPr>
                <w:sz w:val="24"/>
                <w:szCs w:val="24"/>
                <w:lang w:eastAsia="lv-LV"/>
              </w:rPr>
              <w:t>, tiks konstatēta, bet nelicencēties Latvijā un nemaksāt licences maksu. Šī situācija nostāda licencētos operatorus nekonkurētspējīgā situācijā. Lūdzam pārskatīt šo priekšlikumu, nosakot soda naudu 300% apmērā.</w:t>
            </w:r>
          </w:p>
        </w:tc>
        <w:tc>
          <w:tcPr>
            <w:tcW w:w="3118" w:type="dxa"/>
            <w:shd w:val="clear" w:color="auto" w:fill="auto"/>
          </w:tcPr>
          <w:p w14:paraId="11E199C5" w14:textId="77777777" w:rsidR="00685F29" w:rsidRPr="00DE1A22" w:rsidRDefault="00FC5F16" w:rsidP="00EB12CC">
            <w:pPr>
              <w:tabs>
                <w:tab w:val="left" w:pos="0"/>
                <w:tab w:val="left" w:pos="709"/>
                <w:tab w:val="left" w:pos="993"/>
              </w:tabs>
              <w:suppressAutoHyphens/>
              <w:jc w:val="center"/>
              <w:outlineLvl w:val="3"/>
              <w:rPr>
                <w:rFonts w:eastAsia="Times New Roman"/>
                <w:b/>
                <w:bCs/>
                <w:sz w:val="24"/>
                <w:szCs w:val="24"/>
                <w:lang w:eastAsia="lv-LV"/>
              </w:rPr>
            </w:pPr>
            <w:r w:rsidRPr="00DE1A22">
              <w:rPr>
                <w:rFonts w:eastAsia="Times New Roman"/>
                <w:b/>
                <w:bCs/>
                <w:sz w:val="24"/>
                <w:szCs w:val="24"/>
                <w:lang w:eastAsia="lv-LV"/>
              </w:rPr>
              <w:lastRenderedPageBreak/>
              <w:t>Ņemt vērā.</w:t>
            </w:r>
          </w:p>
        </w:tc>
        <w:tc>
          <w:tcPr>
            <w:tcW w:w="3402" w:type="dxa"/>
            <w:shd w:val="clear" w:color="auto" w:fill="auto"/>
          </w:tcPr>
          <w:p w14:paraId="16D4D59D" w14:textId="77777777" w:rsidR="00685F29" w:rsidRPr="00DE1A22" w:rsidRDefault="00FC5F16" w:rsidP="00EB12CC">
            <w:pPr>
              <w:jc w:val="both"/>
              <w:rPr>
                <w:rFonts w:eastAsia="Times New Roman"/>
                <w:sz w:val="24"/>
                <w:szCs w:val="24"/>
              </w:rPr>
            </w:pPr>
            <w:r w:rsidRPr="00DE1A22">
              <w:rPr>
                <w:rFonts w:eastAsia="Times New Roman"/>
                <w:bCs/>
                <w:sz w:val="24"/>
                <w:szCs w:val="24"/>
                <w:lang w:eastAsia="lv-LV"/>
              </w:rPr>
              <w:t>Uzdevums izpildīts ar 2019.gada 3.aprīlī Saeimā pieņemto likumu Par valsts budžetu 2019.gadam un to pavadošajiem 14 likumprojektiem, tai skaitā iekļautajiem četriem likumprojektiem, kas paredz ierobežot Latvijā nelicencētu interaktīvo azartspēļu un izložu pieejamību.</w:t>
            </w:r>
          </w:p>
        </w:tc>
      </w:tr>
      <w:tr w:rsidR="00EB12CC" w:rsidRPr="00DE1A22" w14:paraId="7A69B5E3" w14:textId="77777777" w:rsidTr="00BF4AE7">
        <w:tc>
          <w:tcPr>
            <w:tcW w:w="846" w:type="dxa"/>
            <w:gridSpan w:val="2"/>
            <w:shd w:val="clear" w:color="auto" w:fill="auto"/>
          </w:tcPr>
          <w:p w14:paraId="52053977" w14:textId="77777777" w:rsidR="00EB12CC" w:rsidRPr="00DE1A22" w:rsidRDefault="00EB12CC" w:rsidP="00EB12CC">
            <w:pPr>
              <w:spacing w:before="100" w:beforeAutospacing="1" w:after="100" w:afterAutospacing="1"/>
              <w:jc w:val="center"/>
              <w:rPr>
                <w:rFonts w:eastAsia="Times New Roman"/>
                <w:sz w:val="24"/>
                <w:szCs w:val="24"/>
                <w:lang w:eastAsia="lv-LV"/>
              </w:rPr>
            </w:pPr>
            <w:r w:rsidRPr="00DE1A22">
              <w:rPr>
                <w:rFonts w:eastAsia="Times New Roman"/>
                <w:sz w:val="24"/>
                <w:szCs w:val="24"/>
                <w:lang w:eastAsia="lv-LV"/>
              </w:rPr>
              <w:t>4</w:t>
            </w:r>
            <w:r w:rsidR="00331383" w:rsidRPr="00DE1A22">
              <w:rPr>
                <w:rFonts w:eastAsia="Times New Roman"/>
                <w:sz w:val="24"/>
                <w:szCs w:val="24"/>
                <w:lang w:eastAsia="lv-LV"/>
              </w:rPr>
              <w:t>2</w:t>
            </w:r>
            <w:r w:rsidRPr="00DE1A22">
              <w:rPr>
                <w:rFonts w:eastAsia="Times New Roman"/>
                <w:sz w:val="24"/>
                <w:szCs w:val="24"/>
                <w:lang w:eastAsia="lv-LV"/>
              </w:rPr>
              <w:t>.</w:t>
            </w:r>
          </w:p>
        </w:tc>
        <w:tc>
          <w:tcPr>
            <w:tcW w:w="2977" w:type="dxa"/>
            <w:shd w:val="clear" w:color="auto" w:fill="auto"/>
          </w:tcPr>
          <w:p w14:paraId="2D7A7E72" w14:textId="77777777" w:rsidR="00EB12CC" w:rsidRPr="00DE1A22" w:rsidRDefault="00EB12CC" w:rsidP="00EB12CC">
            <w:pPr>
              <w:jc w:val="both"/>
              <w:rPr>
                <w:rFonts w:eastAsia="Times New Roman"/>
                <w:sz w:val="24"/>
                <w:szCs w:val="24"/>
                <w:lang w:eastAsia="lv-LV"/>
              </w:rPr>
            </w:pPr>
            <w:r w:rsidRPr="00DE1A22">
              <w:rPr>
                <w:rFonts w:eastAsia="Times New Roman"/>
                <w:sz w:val="24"/>
                <w:szCs w:val="24"/>
                <w:lang w:eastAsia="lv-LV"/>
              </w:rPr>
              <w:t>Projekta pielikuma “Esošās situācijas vispārīgs novērtējums” (74.lpp.) pie nepieciešamajiem pasākumiem, lai nodrošinātu efektīvu informācijas apmaiņu, tiek plānots pasākums “Nozares konsultatīvā sanāksme”, kas paredz nozares regulāro sanāksmju organizēšanu, kur ne retāk kā reizi pusgadā iesaistītās puses diskutētu par aktuālajiem jautājumiem nozarē un informētu par tendencēm.</w:t>
            </w:r>
          </w:p>
        </w:tc>
        <w:tc>
          <w:tcPr>
            <w:tcW w:w="4394" w:type="dxa"/>
            <w:shd w:val="clear" w:color="auto" w:fill="auto"/>
          </w:tcPr>
          <w:p w14:paraId="4F51AAB0" w14:textId="77777777" w:rsidR="00EB12CC" w:rsidRPr="00DE1A22" w:rsidRDefault="00EB12CC" w:rsidP="00EB12CC">
            <w:pPr>
              <w:jc w:val="both"/>
              <w:rPr>
                <w:rFonts w:eastAsia="Times New Roman"/>
                <w:sz w:val="24"/>
                <w:szCs w:val="24"/>
              </w:rPr>
            </w:pPr>
            <w:r w:rsidRPr="00DE1A22">
              <w:rPr>
                <w:rFonts w:eastAsia="Times New Roman"/>
                <w:sz w:val="24"/>
                <w:szCs w:val="24"/>
              </w:rPr>
              <w:t>Priekšlikums:</w:t>
            </w:r>
          </w:p>
          <w:p w14:paraId="0B0E0286" w14:textId="77777777" w:rsidR="00EB12CC" w:rsidRPr="00DE1A22" w:rsidRDefault="00EB12CC" w:rsidP="00EB12CC">
            <w:pPr>
              <w:jc w:val="both"/>
              <w:rPr>
                <w:rFonts w:eastAsia="Times New Roman"/>
                <w:b/>
                <w:sz w:val="24"/>
                <w:szCs w:val="24"/>
              </w:rPr>
            </w:pPr>
            <w:r w:rsidRPr="00DE1A22">
              <w:rPr>
                <w:rFonts w:eastAsia="Times New Roman"/>
                <w:b/>
                <w:sz w:val="24"/>
                <w:szCs w:val="24"/>
              </w:rPr>
              <w:t>Labklājības ministrija (25.01.2019. Nr.A-21-09/9)</w:t>
            </w:r>
          </w:p>
          <w:p w14:paraId="33838754" w14:textId="77777777" w:rsidR="00EB12CC" w:rsidRPr="00DE1A22" w:rsidRDefault="00EB12CC" w:rsidP="00EB12CC">
            <w:pPr>
              <w:jc w:val="both"/>
              <w:rPr>
                <w:rFonts w:eastAsia="Times New Roman"/>
                <w:sz w:val="24"/>
                <w:szCs w:val="24"/>
              </w:rPr>
            </w:pPr>
            <w:r w:rsidRPr="00DE1A22">
              <w:rPr>
                <w:rFonts w:eastAsia="Times New Roman"/>
                <w:sz w:val="24"/>
                <w:szCs w:val="24"/>
              </w:rPr>
              <w:t>Ņemot vērā, ka azartspēļu atkarība izraisa nelabvēlīgas sekas gan indivīda, gan ģimenes līmenī arī tādos aspektos, kas attiecas uz labklājības nozari (piem., attiecību un ģimenes disfunkcija, problēmas ar nodarbinātību, sociālās palīdzības nepieciešamība u.tml.), uzskatām, ka nozares konsultatīvajās sanāksmēs būtu lietderīga arī Labklājības ministrijas kā iesaistītās puses līdzdalība.</w:t>
            </w:r>
          </w:p>
        </w:tc>
        <w:tc>
          <w:tcPr>
            <w:tcW w:w="3118" w:type="dxa"/>
            <w:shd w:val="clear" w:color="auto" w:fill="auto"/>
          </w:tcPr>
          <w:p w14:paraId="57EB6147" w14:textId="77777777" w:rsidR="00EB12CC" w:rsidRPr="00DE1A22" w:rsidRDefault="00EB12CC" w:rsidP="00EB12CC">
            <w:pPr>
              <w:tabs>
                <w:tab w:val="left" w:pos="0"/>
                <w:tab w:val="left" w:pos="709"/>
                <w:tab w:val="left" w:pos="993"/>
              </w:tabs>
              <w:suppressAutoHyphens/>
              <w:jc w:val="center"/>
              <w:outlineLvl w:val="3"/>
              <w:rPr>
                <w:rFonts w:eastAsia="Times New Roman"/>
                <w:sz w:val="24"/>
                <w:szCs w:val="24"/>
              </w:rPr>
            </w:pPr>
            <w:r w:rsidRPr="00DE1A22">
              <w:rPr>
                <w:rFonts w:eastAsia="Times New Roman"/>
                <w:b/>
                <w:bCs/>
                <w:sz w:val="24"/>
                <w:szCs w:val="24"/>
                <w:lang w:eastAsia="lv-LV"/>
              </w:rPr>
              <w:t>Ņemts vērā.</w:t>
            </w:r>
            <w:r w:rsidRPr="00DE1A22">
              <w:rPr>
                <w:rFonts w:eastAsia="Times New Roman"/>
                <w:sz w:val="24"/>
                <w:szCs w:val="24"/>
              </w:rPr>
              <w:t xml:space="preserve"> </w:t>
            </w:r>
          </w:p>
          <w:p w14:paraId="7BFFD0BC" w14:textId="77777777" w:rsidR="00EB12CC" w:rsidRPr="00DE1A22" w:rsidRDefault="00EB12CC" w:rsidP="00EB12CC">
            <w:pPr>
              <w:tabs>
                <w:tab w:val="left" w:pos="0"/>
                <w:tab w:val="left" w:pos="709"/>
                <w:tab w:val="left" w:pos="993"/>
              </w:tabs>
              <w:suppressAutoHyphens/>
              <w:jc w:val="both"/>
              <w:outlineLvl w:val="3"/>
              <w:rPr>
                <w:rFonts w:eastAsia="Times New Roman"/>
                <w:b/>
                <w:bCs/>
                <w:sz w:val="24"/>
                <w:szCs w:val="24"/>
                <w:lang w:eastAsia="lv-LV"/>
              </w:rPr>
            </w:pPr>
          </w:p>
        </w:tc>
        <w:tc>
          <w:tcPr>
            <w:tcW w:w="3402" w:type="dxa"/>
            <w:shd w:val="clear" w:color="auto" w:fill="auto"/>
          </w:tcPr>
          <w:p w14:paraId="1FF7A460" w14:textId="77777777" w:rsidR="00EB12CC" w:rsidRPr="00DE1A22" w:rsidRDefault="00CC79DF" w:rsidP="00EB12CC">
            <w:pPr>
              <w:jc w:val="both"/>
              <w:rPr>
                <w:rFonts w:eastAsia="Times New Roman"/>
                <w:sz w:val="24"/>
                <w:szCs w:val="24"/>
              </w:rPr>
            </w:pPr>
            <w:r w:rsidRPr="00DE1A22">
              <w:rPr>
                <w:rFonts w:eastAsia="Times New Roman"/>
                <w:sz w:val="24"/>
                <w:szCs w:val="24"/>
              </w:rPr>
              <w:t xml:space="preserve">Projekta pielikuma 6. sadaļa “Azartspēļu un izložu nozares tendences”: “LSBA, LIAB, Finanšu ministrija, VAS “Latvijas Loto”, Izglītības un zinātnes ministrija, Veselības ministrija, Ekonomikas ministrija, Satiksmes ministrija </w:t>
            </w:r>
            <w:r w:rsidRPr="00DE1A22">
              <w:rPr>
                <w:rFonts w:eastAsia="Times New Roman"/>
                <w:b/>
                <w:sz w:val="24"/>
                <w:szCs w:val="24"/>
              </w:rPr>
              <w:t>un Labklājības ministrija</w:t>
            </w:r>
            <w:r w:rsidRPr="00DE1A22">
              <w:rPr>
                <w:rFonts w:eastAsia="Times New Roman"/>
                <w:sz w:val="24"/>
                <w:szCs w:val="24"/>
              </w:rPr>
              <w:t xml:space="preserve"> nozares konsultatīvajā sanāksmē sniedz priekšlikumus reģionālajā sadarbības formātā pārrunājamiem jautājumiem”.</w:t>
            </w:r>
          </w:p>
        </w:tc>
      </w:tr>
      <w:tr w:rsidR="00EB12CC" w:rsidRPr="00DE1A22" w14:paraId="724D72E5" w14:textId="77777777" w:rsidTr="00BF4AE7">
        <w:tc>
          <w:tcPr>
            <w:tcW w:w="846" w:type="dxa"/>
            <w:gridSpan w:val="2"/>
            <w:shd w:val="clear" w:color="auto" w:fill="auto"/>
          </w:tcPr>
          <w:p w14:paraId="4473BC73" w14:textId="77777777" w:rsidR="00EB12CC" w:rsidRPr="00DE1A22" w:rsidRDefault="003D73B0" w:rsidP="00EB12CC">
            <w:pPr>
              <w:jc w:val="center"/>
              <w:rPr>
                <w:rFonts w:eastAsia="Times New Roman"/>
                <w:sz w:val="24"/>
                <w:szCs w:val="24"/>
                <w:lang w:eastAsia="lv-LV"/>
              </w:rPr>
            </w:pPr>
            <w:r w:rsidRPr="00DE1A22">
              <w:rPr>
                <w:rFonts w:eastAsia="Times New Roman"/>
                <w:sz w:val="24"/>
                <w:szCs w:val="24"/>
                <w:lang w:eastAsia="lv-LV"/>
              </w:rPr>
              <w:t>43</w:t>
            </w:r>
            <w:r w:rsidR="00EB12CC" w:rsidRPr="00DE1A22">
              <w:rPr>
                <w:rFonts w:eastAsia="Times New Roman"/>
                <w:sz w:val="24"/>
                <w:szCs w:val="24"/>
                <w:lang w:eastAsia="lv-LV"/>
              </w:rPr>
              <w:t>.</w:t>
            </w:r>
          </w:p>
        </w:tc>
        <w:tc>
          <w:tcPr>
            <w:tcW w:w="2977" w:type="dxa"/>
            <w:shd w:val="clear" w:color="auto" w:fill="auto"/>
          </w:tcPr>
          <w:p w14:paraId="271172B4" w14:textId="77777777" w:rsidR="00EB12CC" w:rsidRPr="00DE1A22" w:rsidRDefault="00EB12CC" w:rsidP="00EB12CC">
            <w:pPr>
              <w:jc w:val="both"/>
              <w:rPr>
                <w:rFonts w:eastAsia="Times New Roman"/>
                <w:sz w:val="24"/>
                <w:szCs w:val="24"/>
                <w:lang w:eastAsia="lv-LV"/>
              </w:rPr>
            </w:pPr>
            <w:r w:rsidRPr="00DE1A22">
              <w:rPr>
                <w:rFonts w:eastAsia="Times New Roman"/>
                <w:sz w:val="24"/>
                <w:szCs w:val="24"/>
                <w:lang w:eastAsia="lv-LV"/>
              </w:rPr>
              <w:t>Projekta pielikums 2.2.1. apakšpunkts “Izglītība un informētība”.</w:t>
            </w:r>
          </w:p>
        </w:tc>
        <w:tc>
          <w:tcPr>
            <w:tcW w:w="4394" w:type="dxa"/>
            <w:shd w:val="clear" w:color="auto" w:fill="auto"/>
          </w:tcPr>
          <w:p w14:paraId="636A1E95" w14:textId="77777777" w:rsidR="00EB12CC" w:rsidRPr="00DE1A22" w:rsidRDefault="00EB12CC" w:rsidP="00EB12CC">
            <w:pPr>
              <w:contextualSpacing/>
              <w:jc w:val="both"/>
              <w:rPr>
                <w:rFonts w:eastAsia="Times New Roman"/>
                <w:b/>
                <w:sz w:val="24"/>
                <w:szCs w:val="24"/>
              </w:rPr>
            </w:pPr>
            <w:r w:rsidRPr="00DE1A22">
              <w:rPr>
                <w:rFonts w:eastAsia="Times New Roman"/>
                <w:b/>
                <w:sz w:val="24"/>
                <w:szCs w:val="24"/>
              </w:rPr>
              <w:t>Izglītības un zinātnes ministrija (23.01.2019. Nr.4-3.2e-PAD/19/10)</w:t>
            </w:r>
          </w:p>
          <w:p w14:paraId="792426FF" w14:textId="77777777" w:rsidR="00EB12CC" w:rsidRPr="00DE1A22" w:rsidRDefault="00EB12CC" w:rsidP="00EB12CC">
            <w:pPr>
              <w:contextualSpacing/>
              <w:jc w:val="both"/>
              <w:rPr>
                <w:rFonts w:eastAsia="Times New Roman"/>
                <w:sz w:val="24"/>
                <w:szCs w:val="24"/>
              </w:rPr>
            </w:pPr>
            <w:r w:rsidRPr="00DE1A22">
              <w:rPr>
                <w:rFonts w:eastAsia="Times New Roman"/>
                <w:sz w:val="24"/>
                <w:szCs w:val="24"/>
              </w:rPr>
              <w:t xml:space="preserve">Papildināt pamatnostādņu pielikuma 2.2.1.apakšpunktu “Izglītība un informētība” ar jaunu pēdējo rindkopu, ko </w:t>
            </w:r>
            <w:r w:rsidRPr="00DE1A22">
              <w:rPr>
                <w:rFonts w:eastAsia="Times New Roman"/>
                <w:sz w:val="24"/>
                <w:szCs w:val="24"/>
              </w:rPr>
              <w:lastRenderedPageBreak/>
              <w:t>izteikt šādā redakcijā – Jautājumi par atkarībām (t.sk. azartspēļu atkarību) ir iekļauti arī metodiskā līdzekļa “Klases stundu programmas paraugs 1. – 12.klasei” tēmā “Veselība un vide”, piemēram, klašu grupā 1. – 3.klasei: Datoratkarība un citi atkarību izraisošie procesi. To izraisošie faktori; klašu grupā 7. – 9.klasei: Azartspēļu atkarība; Datorspēļu atkarība; Interneta atkarība, kā arī metodisko ieteikumu “Ieteikumi Klases stundu programmas īstenošanai” saturā.</w:t>
            </w:r>
          </w:p>
          <w:p w14:paraId="7AF901EA" w14:textId="77777777" w:rsidR="00EB12CC" w:rsidRPr="00DE1A22" w:rsidRDefault="00EB12CC" w:rsidP="00EB12CC">
            <w:pPr>
              <w:contextualSpacing/>
              <w:jc w:val="both"/>
              <w:rPr>
                <w:rFonts w:eastAsia="Times New Roman"/>
                <w:sz w:val="24"/>
                <w:szCs w:val="24"/>
              </w:rPr>
            </w:pPr>
          </w:p>
          <w:p w14:paraId="3DCB62D2" w14:textId="77777777" w:rsidR="00EB12CC" w:rsidRPr="00DE1A22" w:rsidRDefault="00EB12CC" w:rsidP="00EB12CC">
            <w:pPr>
              <w:contextualSpacing/>
              <w:jc w:val="both"/>
              <w:rPr>
                <w:rFonts w:eastAsia="Times New Roman"/>
                <w:b/>
                <w:sz w:val="24"/>
                <w:szCs w:val="24"/>
              </w:rPr>
            </w:pPr>
            <w:r w:rsidRPr="00DE1A22">
              <w:rPr>
                <w:rFonts w:eastAsia="Times New Roman"/>
                <w:sz w:val="24"/>
                <w:szCs w:val="24"/>
              </w:rPr>
              <w:t xml:space="preserve">Minētie materiāli pieejami Valsts izglītības satura centra mājaslapas sadaļā – Audzināšana – Metodiskie materiāli: </w:t>
            </w:r>
            <w:hyperlink r:id="rId10" w:history="1">
              <w:r w:rsidRPr="00DE1A22">
                <w:rPr>
                  <w:rStyle w:val="Hyperlink"/>
                  <w:rFonts w:eastAsia="Times New Roman"/>
                  <w:color w:val="auto"/>
                  <w:sz w:val="24"/>
                  <w:szCs w:val="24"/>
                </w:rPr>
                <w:t>https://visc.gov.lv/audzinasana/dokumenti/metmat/klases_stundu_progr_%20paraugs.pdf</w:t>
              </w:r>
            </w:hyperlink>
            <w:r w:rsidRPr="00DE1A22">
              <w:rPr>
                <w:rFonts w:eastAsia="Times New Roman"/>
                <w:sz w:val="24"/>
                <w:szCs w:val="24"/>
              </w:rPr>
              <w:t xml:space="preserve">  un </w:t>
            </w:r>
            <w:hyperlink r:id="rId11" w:history="1">
              <w:r w:rsidRPr="00DE1A22">
                <w:rPr>
                  <w:rStyle w:val="Hyperlink"/>
                  <w:rFonts w:eastAsia="Times New Roman"/>
                  <w:color w:val="auto"/>
                  <w:sz w:val="24"/>
                  <w:szCs w:val="24"/>
                </w:rPr>
                <w:t>https://visc.gov.lv/audzinasana/dokumenti/metmat/ieteikumi_klases_st_progr_ist.pdf</w:t>
              </w:r>
            </w:hyperlink>
            <w:r w:rsidRPr="00DE1A22">
              <w:rPr>
                <w:rFonts w:eastAsia="Times New Roman"/>
                <w:sz w:val="24"/>
                <w:szCs w:val="24"/>
              </w:rPr>
              <w:t xml:space="preserve"> </w:t>
            </w:r>
          </w:p>
        </w:tc>
        <w:tc>
          <w:tcPr>
            <w:tcW w:w="3118" w:type="dxa"/>
            <w:shd w:val="clear" w:color="auto" w:fill="auto"/>
          </w:tcPr>
          <w:p w14:paraId="3E9AF306" w14:textId="77777777" w:rsidR="00EB12CC" w:rsidRPr="00DE1A22" w:rsidRDefault="00EB12CC" w:rsidP="00EB12CC">
            <w:pPr>
              <w:jc w:val="center"/>
              <w:rPr>
                <w:rFonts w:eastAsia="Times New Roman"/>
                <w:b/>
                <w:bCs/>
                <w:sz w:val="24"/>
                <w:szCs w:val="24"/>
                <w:lang w:eastAsia="lv-LV"/>
              </w:rPr>
            </w:pPr>
            <w:r w:rsidRPr="00DE1A22">
              <w:rPr>
                <w:rFonts w:eastAsia="Times New Roman"/>
                <w:b/>
                <w:bCs/>
                <w:sz w:val="24"/>
                <w:szCs w:val="24"/>
                <w:lang w:eastAsia="lv-LV"/>
              </w:rPr>
              <w:lastRenderedPageBreak/>
              <w:t>Ņemts vērā.</w:t>
            </w:r>
          </w:p>
          <w:p w14:paraId="5969F3C3" w14:textId="77777777" w:rsidR="00EB12CC" w:rsidRPr="00DE1A22" w:rsidRDefault="00EB12CC" w:rsidP="00EB12CC">
            <w:pPr>
              <w:jc w:val="both"/>
              <w:rPr>
                <w:rFonts w:eastAsia="Times New Roman"/>
                <w:bCs/>
                <w:sz w:val="24"/>
                <w:szCs w:val="24"/>
                <w:lang w:eastAsia="lv-LV"/>
              </w:rPr>
            </w:pPr>
          </w:p>
        </w:tc>
        <w:tc>
          <w:tcPr>
            <w:tcW w:w="3402" w:type="dxa"/>
            <w:shd w:val="clear" w:color="auto" w:fill="auto"/>
          </w:tcPr>
          <w:p w14:paraId="50B95DB9" w14:textId="77777777" w:rsidR="00EB12CC" w:rsidRPr="00DE1A22" w:rsidRDefault="00CC79DF" w:rsidP="00EB12CC">
            <w:pPr>
              <w:jc w:val="both"/>
              <w:rPr>
                <w:rFonts w:eastAsia="Times New Roman"/>
                <w:sz w:val="24"/>
                <w:szCs w:val="24"/>
              </w:rPr>
            </w:pPr>
            <w:r w:rsidRPr="00DE1A22">
              <w:rPr>
                <w:rFonts w:eastAsia="Times New Roman"/>
                <w:bCs/>
                <w:sz w:val="24"/>
                <w:szCs w:val="24"/>
                <w:lang w:eastAsia="lv-LV"/>
              </w:rPr>
              <w:t xml:space="preserve">Projekta pielikums papildināts – jaunajā versijā 2.3.1.: “Atkarību jautājumi (t.sk. azartspēļu atkarību) ir iekļauti dažādu vispārējās izglītības mācību </w:t>
            </w:r>
            <w:r w:rsidRPr="00DE1A22">
              <w:rPr>
                <w:rFonts w:eastAsia="Times New Roman"/>
                <w:bCs/>
                <w:sz w:val="24"/>
                <w:szCs w:val="24"/>
                <w:lang w:eastAsia="lv-LV"/>
              </w:rPr>
              <w:lastRenderedPageBreak/>
              <w:t>priekšmetu standartu, piemēram, Sociālās zinības, Bioloģija, Veselības mācība, kā arī mācību priekšmetu programmu paraugu saturā”.</w:t>
            </w:r>
          </w:p>
        </w:tc>
      </w:tr>
      <w:tr w:rsidR="00EB12CC" w:rsidRPr="00DE1A22" w14:paraId="16D6BB03" w14:textId="77777777" w:rsidTr="00BF4AE7">
        <w:trPr>
          <w:trHeight w:val="2543"/>
        </w:trPr>
        <w:tc>
          <w:tcPr>
            <w:tcW w:w="846" w:type="dxa"/>
            <w:gridSpan w:val="2"/>
            <w:shd w:val="clear" w:color="auto" w:fill="auto"/>
          </w:tcPr>
          <w:p w14:paraId="203DC297" w14:textId="77777777" w:rsidR="00EB12CC" w:rsidRPr="00DE1A22" w:rsidRDefault="00EB12CC" w:rsidP="00EB12CC">
            <w:pPr>
              <w:jc w:val="center"/>
              <w:rPr>
                <w:rFonts w:eastAsia="Times New Roman"/>
                <w:sz w:val="24"/>
                <w:szCs w:val="24"/>
                <w:lang w:eastAsia="lv-LV"/>
              </w:rPr>
            </w:pPr>
            <w:r w:rsidRPr="00DE1A22">
              <w:rPr>
                <w:rFonts w:eastAsia="Times New Roman"/>
                <w:sz w:val="24"/>
                <w:szCs w:val="24"/>
                <w:lang w:eastAsia="lv-LV"/>
              </w:rPr>
              <w:lastRenderedPageBreak/>
              <w:t>4</w:t>
            </w:r>
            <w:r w:rsidR="003D73B0" w:rsidRPr="00DE1A22">
              <w:rPr>
                <w:rFonts w:eastAsia="Times New Roman"/>
                <w:sz w:val="24"/>
                <w:szCs w:val="24"/>
                <w:lang w:eastAsia="lv-LV"/>
              </w:rPr>
              <w:t>4</w:t>
            </w:r>
            <w:r w:rsidRPr="00DE1A22">
              <w:rPr>
                <w:rFonts w:eastAsia="Times New Roman"/>
                <w:sz w:val="24"/>
                <w:szCs w:val="24"/>
                <w:lang w:eastAsia="lv-LV"/>
              </w:rPr>
              <w:t>.</w:t>
            </w:r>
          </w:p>
        </w:tc>
        <w:tc>
          <w:tcPr>
            <w:tcW w:w="2977" w:type="dxa"/>
            <w:shd w:val="clear" w:color="auto" w:fill="auto"/>
          </w:tcPr>
          <w:p w14:paraId="7C5ED705" w14:textId="77777777" w:rsidR="00EB12CC" w:rsidRPr="00DE1A22" w:rsidRDefault="00EB12CC" w:rsidP="00EB12CC">
            <w:pPr>
              <w:jc w:val="both"/>
              <w:rPr>
                <w:rFonts w:eastAsia="Times New Roman"/>
                <w:sz w:val="24"/>
                <w:szCs w:val="24"/>
                <w:lang w:eastAsia="lv-LV"/>
              </w:rPr>
            </w:pPr>
            <w:r w:rsidRPr="00DE1A22">
              <w:rPr>
                <w:rFonts w:eastAsia="Times New Roman"/>
                <w:sz w:val="24"/>
                <w:szCs w:val="24"/>
                <w:lang w:eastAsia="lv-LV"/>
              </w:rPr>
              <w:t>Projekta pielikuma 2.2.1. apakšpunkts “Izglītība un informētība”.</w:t>
            </w:r>
          </w:p>
        </w:tc>
        <w:tc>
          <w:tcPr>
            <w:tcW w:w="4394" w:type="dxa"/>
            <w:shd w:val="clear" w:color="auto" w:fill="auto"/>
          </w:tcPr>
          <w:p w14:paraId="5D6BD58C" w14:textId="77777777" w:rsidR="00EB12CC" w:rsidRPr="00DE1A22" w:rsidRDefault="00EB12CC" w:rsidP="00EB12CC">
            <w:pPr>
              <w:contextualSpacing/>
              <w:jc w:val="both"/>
              <w:rPr>
                <w:rFonts w:eastAsia="Times New Roman"/>
                <w:b/>
                <w:sz w:val="24"/>
                <w:szCs w:val="24"/>
                <w:lang w:eastAsia="lv-LV"/>
              </w:rPr>
            </w:pPr>
            <w:r w:rsidRPr="00DE1A22">
              <w:rPr>
                <w:rFonts w:eastAsia="Times New Roman"/>
                <w:b/>
                <w:sz w:val="24"/>
                <w:szCs w:val="24"/>
                <w:lang w:eastAsia="lv-LV"/>
              </w:rPr>
              <w:t>Izglītības un zinātnes ministrija (23.01.2019. Nr.4-3.2e-PAD/19/10)</w:t>
            </w:r>
          </w:p>
          <w:p w14:paraId="0CEC4A15" w14:textId="77777777" w:rsidR="00EB12CC" w:rsidRPr="00DE1A22" w:rsidRDefault="00EB12CC" w:rsidP="00EB12CC">
            <w:pPr>
              <w:contextualSpacing/>
              <w:jc w:val="both"/>
              <w:rPr>
                <w:rFonts w:eastAsia="Times New Roman"/>
                <w:sz w:val="24"/>
                <w:szCs w:val="24"/>
                <w:lang w:eastAsia="lv-LV"/>
              </w:rPr>
            </w:pPr>
            <w:r w:rsidRPr="00DE1A22">
              <w:rPr>
                <w:rFonts w:eastAsia="Times New Roman"/>
                <w:sz w:val="24"/>
                <w:szCs w:val="24"/>
                <w:lang w:eastAsia="lv-LV"/>
              </w:rPr>
              <w:t xml:space="preserve">Papildināt pamatnostādņu pielikuma 2.2.1.apakšpunktu „Izglītība un informētība” ar jaunu ceturto rindkopu, ko izteikt šādā redakcijā: Ministru kabineta 2018.gada 27.novembra noteikumi Nr. 747 „Noteikumi par valsts pamatizglītības standartu un pamatizglītības programmu paraugiem” nosaka, ka plānotie skolēnam sasniedzamie rezultāti ir kompleksi, tie atklāj gala rezultātu darbībā, ietver zināšanas, izpratni un pamatprasmes mācību jomās, caurviju prasmes, vērtības </w:t>
            </w:r>
            <w:r w:rsidRPr="00DE1A22">
              <w:rPr>
                <w:rFonts w:eastAsia="Times New Roman"/>
                <w:sz w:val="24"/>
                <w:szCs w:val="24"/>
                <w:lang w:eastAsia="lv-LV"/>
              </w:rPr>
              <w:lastRenderedPageBreak/>
              <w:t>un tikumus un ir izteikti kā pratības, piemēram, šādās mācību jomās:</w:t>
            </w:r>
          </w:p>
          <w:p w14:paraId="5FE2C285" w14:textId="77777777" w:rsidR="00EB12CC" w:rsidRPr="00DE1A22" w:rsidRDefault="00EB12CC" w:rsidP="00EB12CC">
            <w:pPr>
              <w:contextualSpacing/>
              <w:jc w:val="both"/>
              <w:rPr>
                <w:rFonts w:eastAsia="Times New Roman"/>
                <w:sz w:val="24"/>
                <w:szCs w:val="24"/>
                <w:lang w:eastAsia="lv-LV"/>
              </w:rPr>
            </w:pPr>
            <w:r w:rsidRPr="00DE1A22">
              <w:rPr>
                <w:rFonts w:eastAsia="Times New Roman"/>
                <w:sz w:val="24"/>
                <w:szCs w:val="24"/>
                <w:lang w:eastAsia="lv-LV"/>
              </w:rPr>
              <w:t>- dabaszinātņu mācību joma – skolēns atpazīst, piedāvā un izvērtē skaidrojumus noteiktām dabas parādībām un procesiem, izmanto pētnieciskās prasmes problēmu risināšanā, pētījumu veikšanā, izvērtējot riskus un ievērojot drošības nosacījumus, analizē un izvērtē datus, izsaka viedokli un argumentus dažādos veidos un secina no datiem, rīkojas personiski atbildīgi savas un citu veselības veicināšanā, vides kvalitātes saglabāšanā un dabas resursu ilgtspējīgā izmantošanā;</w:t>
            </w:r>
          </w:p>
          <w:p w14:paraId="194D5FAE" w14:textId="77777777" w:rsidR="00EB12CC" w:rsidRPr="00DE1A22" w:rsidRDefault="00EB12CC" w:rsidP="00EB12CC">
            <w:pPr>
              <w:contextualSpacing/>
              <w:jc w:val="both"/>
              <w:rPr>
                <w:rFonts w:eastAsia="Times New Roman"/>
                <w:sz w:val="24"/>
                <w:szCs w:val="24"/>
                <w:lang w:eastAsia="lv-LV"/>
              </w:rPr>
            </w:pPr>
            <w:r w:rsidRPr="00DE1A22">
              <w:rPr>
                <w:rFonts w:eastAsia="Times New Roman"/>
                <w:sz w:val="24"/>
                <w:szCs w:val="24"/>
                <w:lang w:eastAsia="lv-LV"/>
              </w:rPr>
              <w:t>- veselības un fiziskās aktivitātes mācību joma – skolēns izprot un praktizē veselīga dzīvesveida paradumus, atpazīst riskus dažādās, tai skaitā ekstremālās, situācijās un pieņem lēmumus drošai un aktīvai rīcībai, prasmīgi, atbildīgi un ieinteresēti iesaistās daudzveidīgās fiziskās aktivitātēs, kas veicina garīgās un fiziskās spējas, piedalās komandas veidošanā, plāno, sadala darba uzdevumus, palīdz un atbalsta citus.</w:t>
            </w:r>
          </w:p>
          <w:p w14:paraId="485C5740" w14:textId="77777777" w:rsidR="00EB12CC" w:rsidRPr="00DE1A22" w:rsidRDefault="00EB12CC" w:rsidP="00EB12CC">
            <w:pPr>
              <w:contextualSpacing/>
              <w:jc w:val="both"/>
              <w:rPr>
                <w:rFonts w:eastAsia="Times New Roman"/>
                <w:sz w:val="24"/>
                <w:szCs w:val="24"/>
                <w:lang w:eastAsia="lv-LV"/>
              </w:rPr>
            </w:pPr>
          </w:p>
          <w:p w14:paraId="198BFF34" w14:textId="77777777" w:rsidR="00EB12CC" w:rsidRPr="00DE1A22" w:rsidRDefault="00EB12CC" w:rsidP="00EB12CC">
            <w:pPr>
              <w:jc w:val="both"/>
              <w:rPr>
                <w:rFonts w:eastAsia="Times New Roman"/>
                <w:sz w:val="24"/>
                <w:szCs w:val="24"/>
              </w:rPr>
            </w:pPr>
            <w:r w:rsidRPr="00DE1A22">
              <w:rPr>
                <w:rFonts w:eastAsia="Times New Roman"/>
                <w:sz w:val="24"/>
                <w:szCs w:val="24"/>
                <w:lang w:eastAsia="lv-LV"/>
              </w:rPr>
              <w:t>Sasniedzamie rezultāti dabaszinātņu mācību jomā, beidzot 9.klasi, piemēram, nosaka, ka skolēns rīkojas atbildīgi pret savu un citu veselību, veidojot ieteikumus un secinot par dzīvesveida (uzturs, fiziskās aktivitātes, kaitīgie ieradumi), dienas režīma un vides apstākļu ietekmi uz organisma veselību, izmantojot daudzveidīgos informācijas avotos atspoguļoto informāciju un izvērtējot tās ticamību.</w:t>
            </w:r>
          </w:p>
        </w:tc>
        <w:tc>
          <w:tcPr>
            <w:tcW w:w="3118" w:type="dxa"/>
            <w:shd w:val="clear" w:color="auto" w:fill="auto"/>
          </w:tcPr>
          <w:p w14:paraId="2ACA3646" w14:textId="77777777" w:rsidR="00EB12CC" w:rsidRPr="00DE1A22" w:rsidRDefault="00EB12CC" w:rsidP="00EB12CC">
            <w:pPr>
              <w:jc w:val="center"/>
              <w:rPr>
                <w:rFonts w:eastAsia="Times New Roman"/>
                <w:b/>
                <w:bCs/>
                <w:sz w:val="24"/>
                <w:szCs w:val="24"/>
                <w:lang w:eastAsia="lv-LV"/>
              </w:rPr>
            </w:pPr>
            <w:r w:rsidRPr="00DE1A22">
              <w:rPr>
                <w:rFonts w:eastAsia="Times New Roman"/>
                <w:b/>
                <w:bCs/>
                <w:sz w:val="24"/>
                <w:szCs w:val="24"/>
                <w:lang w:eastAsia="lv-LV"/>
              </w:rPr>
              <w:lastRenderedPageBreak/>
              <w:t>Ņemts vērā.</w:t>
            </w:r>
          </w:p>
          <w:p w14:paraId="2A90E0BD" w14:textId="77777777" w:rsidR="00EB12CC" w:rsidRPr="00DE1A22" w:rsidRDefault="00EB12CC" w:rsidP="00EB12CC">
            <w:pPr>
              <w:tabs>
                <w:tab w:val="left" w:pos="0"/>
                <w:tab w:val="left" w:pos="709"/>
                <w:tab w:val="left" w:pos="993"/>
              </w:tabs>
              <w:suppressAutoHyphens/>
              <w:jc w:val="both"/>
              <w:outlineLvl w:val="3"/>
              <w:rPr>
                <w:rFonts w:eastAsia="Times New Roman"/>
                <w:b/>
                <w:bCs/>
                <w:sz w:val="24"/>
                <w:szCs w:val="24"/>
                <w:lang w:eastAsia="lv-LV"/>
              </w:rPr>
            </w:pPr>
          </w:p>
        </w:tc>
        <w:tc>
          <w:tcPr>
            <w:tcW w:w="3402" w:type="dxa"/>
            <w:shd w:val="clear" w:color="auto" w:fill="auto"/>
          </w:tcPr>
          <w:p w14:paraId="130A8D2D" w14:textId="77777777" w:rsidR="00EB12CC" w:rsidRPr="00DE1A22" w:rsidRDefault="00CC79DF" w:rsidP="00EB12CC">
            <w:pPr>
              <w:jc w:val="both"/>
              <w:rPr>
                <w:rFonts w:eastAsia="Times New Roman"/>
                <w:sz w:val="24"/>
                <w:szCs w:val="24"/>
              </w:rPr>
            </w:pPr>
            <w:r w:rsidRPr="00DE1A22">
              <w:rPr>
                <w:rFonts w:eastAsia="Times New Roman"/>
                <w:bCs/>
                <w:sz w:val="24"/>
                <w:szCs w:val="24"/>
                <w:lang w:eastAsia="lv-LV"/>
              </w:rPr>
              <w:t>Jaunā redakcija – 2.3.1. apakšpunkts.</w:t>
            </w:r>
          </w:p>
        </w:tc>
      </w:tr>
      <w:tr w:rsidR="00EB12CC" w:rsidRPr="00DE1A22" w14:paraId="6D3D2F65" w14:textId="77777777" w:rsidTr="00BF4AE7">
        <w:trPr>
          <w:trHeight w:val="1959"/>
        </w:trPr>
        <w:tc>
          <w:tcPr>
            <w:tcW w:w="846" w:type="dxa"/>
            <w:gridSpan w:val="2"/>
            <w:shd w:val="clear" w:color="auto" w:fill="auto"/>
          </w:tcPr>
          <w:p w14:paraId="46D11664" w14:textId="77777777" w:rsidR="00EB12CC" w:rsidRPr="00DE1A22" w:rsidRDefault="00EB12CC" w:rsidP="00EB12CC">
            <w:pPr>
              <w:jc w:val="center"/>
              <w:rPr>
                <w:rFonts w:eastAsia="Times New Roman"/>
                <w:sz w:val="24"/>
                <w:szCs w:val="24"/>
                <w:lang w:eastAsia="lv-LV"/>
              </w:rPr>
            </w:pPr>
            <w:r w:rsidRPr="00DE1A22">
              <w:rPr>
                <w:rFonts w:eastAsia="Times New Roman"/>
                <w:sz w:val="24"/>
                <w:szCs w:val="24"/>
                <w:lang w:eastAsia="lv-LV"/>
              </w:rPr>
              <w:lastRenderedPageBreak/>
              <w:t>4</w:t>
            </w:r>
            <w:r w:rsidR="003D73B0" w:rsidRPr="00DE1A22">
              <w:rPr>
                <w:rFonts w:eastAsia="Times New Roman"/>
                <w:sz w:val="24"/>
                <w:szCs w:val="24"/>
                <w:lang w:eastAsia="lv-LV"/>
              </w:rPr>
              <w:t>5</w:t>
            </w:r>
            <w:r w:rsidRPr="00DE1A22">
              <w:rPr>
                <w:rFonts w:eastAsia="Times New Roman"/>
                <w:sz w:val="24"/>
                <w:szCs w:val="24"/>
                <w:lang w:eastAsia="lv-LV"/>
              </w:rPr>
              <w:t>.</w:t>
            </w:r>
          </w:p>
        </w:tc>
        <w:tc>
          <w:tcPr>
            <w:tcW w:w="2977" w:type="dxa"/>
            <w:shd w:val="clear" w:color="auto" w:fill="auto"/>
          </w:tcPr>
          <w:p w14:paraId="5E54CBEC" w14:textId="77777777" w:rsidR="00EB12CC" w:rsidRPr="00DE1A22" w:rsidRDefault="00EB12CC" w:rsidP="00EB12CC">
            <w:pPr>
              <w:jc w:val="both"/>
              <w:rPr>
                <w:rFonts w:eastAsia="Times New Roman"/>
                <w:sz w:val="24"/>
                <w:szCs w:val="24"/>
                <w:lang w:eastAsia="lv-LV"/>
              </w:rPr>
            </w:pPr>
            <w:r w:rsidRPr="00DE1A22">
              <w:rPr>
                <w:rFonts w:eastAsia="Times New Roman"/>
                <w:sz w:val="24"/>
                <w:szCs w:val="24"/>
                <w:lang w:eastAsia="lv-LV"/>
              </w:rPr>
              <w:t>Projekta pielikuma 2.2.1. apakšpunkts “Izglītība un informētība”.</w:t>
            </w:r>
          </w:p>
        </w:tc>
        <w:tc>
          <w:tcPr>
            <w:tcW w:w="4394" w:type="dxa"/>
            <w:shd w:val="clear" w:color="auto" w:fill="auto"/>
          </w:tcPr>
          <w:p w14:paraId="76201584" w14:textId="77777777" w:rsidR="00EB12CC" w:rsidRPr="00DE1A22" w:rsidRDefault="00EB12CC" w:rsidP="00EB12CC">
            <w:pPr>
              <w:contextualSpacing/>
              <w:jc w:val="both"/>
              <w:rPr>
                <w:rFonts w:eastAsia="Times New Roman"/>
                <w:b/>
                <w:sz w:val="24"/>
                <w:szCs w:val="24"/>
                <w:lang w:eastAsia="lv-LV"/>
              </w:rPr>
            </w:pPr>
            <w:r w:rsidRPr="00DE1A22">
              <w:rPr>
                <w:rFonts w:eastAsia="Times New Roman"/>
                <w:b/>
                <w:sz w:val="24"/>
                <w:szCs w:val="24"/>
                <w:lang w:eastAsia="lv-LV"/>
              </w:rPr>
              <w:t>Izglītības un zinātnes ministrija (23.01.2019. Nr.4-3.2e-PAD/19/10)</w:t>
            </w:r>
          </w:p>
          <w:p w14:paraId="47E661AA" w14:textId="77777777" w:rsidR="00EB12CC" w:rsidRPr="00DE1A22" w:rsidRDefault="00EB12CC" w:rsidP="00EB12CC">
            <w:pPr>
              <w:jc w:val="both"/>
              <w:rPr>
                <w:rFonts w:eastAsia="Times New Roman"/>
                <w:sz w:val="24"/>
                <w:szCs w:val="24"/>
              </w:rPr>
            </w:pPr>
            <w:r w:rsidRPr="00DE1A22">
              <w:rPr>
                <w:rFonts w:eastAsia="Times New Roman"/>
                <w:sz w:val="24"/>
                <w:szCs w:val="24"/>
                <w:lang w:eastAsia="lv-LV"/>
              </w:rPr>
              <w:t>Svītrot no pamatnostādņu pielikuma 2.2.1.apakšpunkta ceturtās rindkopas pēdējos divus teikumus, kas sākas ar vārdiem – Jaunajā izglītības standartā... – tālāk kā tekstā.</w:t>
            </w:r>
          </w:p>
        </w:tc>
        <w:tc>
          <w:tcPr>
            <w:tcW w:w="3118" w:type="dxa"/>
            <w:shd w:val="clear" w:color="auto" w:fill="auto"/>
          </w:tcPr>
          <w:p w14:paraId="6C3D8235" w14:textId="77777777" w:rsidR="00EB12CC" w:rsidRPr="00DE1A22" w:rsidRDefault="00EB12CC" w:rsidP="00EB12CC">
            <w:pPr>
              <w:jc w:val="center"/>
              <w:rPr>
                <w:rFonts w:eastAsia="Times New Roman"/>
                <w:b/>
                <w:bCs/>
                <w:sz w:val="24"/>
                <w:szCs w:val="24"/>
                <w:lang w:eastAsia="lv-LV"/>
              </w:rPr>
            </w:pPr>
            <w:r w:rsidRPr="00DE1A22">
              <w:rPr>
                <w:rFonts w:eastAsia="Times New Roman"/>
                <w:b/>
                <w:bCs/>
                <w:sz w:val="24"/>
                <w:szCs w:val="24"/>
                <w:lang w:eastAsia="lv-LV"/>
              </w:rPr>
              <w:t>Ņemts vērā.</w:t>
            </w:r>
          </w:p>
          <w:p w14:paraId="0EB92816" w14:textId="77777777" w:rsidR="00EB12CC" w:rsidRPr="00DE1A22" w:rsidRDefault="00EB12CC" w:rsidP="00EB12CC">
            <w:pPr>
              <w:tabs>
                <w:tab w:val="left" w:pos="0"/>
                <w:tab w:val="left" w:pos="709"/>
                <w:tab w:val="left" w:pos="993"/>
              </w:tabs>
              <w:suppressAutoHyphens/>
              <w:jc w:val="both"/>
              <w:outlineLvl w:val="3"/>
              <w:rPr>
                <w:rFonts w:eastAsia="Times New Roman"/>
                <w:b/>
                <w:bCs/>
                <w:sz w:val="24"/>
                <w:szCs w:val="24"/>
                <w:lang w:eastAsia="lv-LV"/>
              </w:rPr>
            </w:pPr>
          </w:p>
        </w:tc>
        <w:tc>
          <w:tcPr>
            <w:tcW w:w="3402" w:type="dxa"/>
            <w:shd w:val="clear" w:color="auto" w:fill="auto"/>
          </w:tcPr>
          <w:p w14:paraId="70439F25" w14:textId="77777777" w:rsidR="00EB12CC" w:rsidRPr="00DE1A22" w:rsidRDefault="00CC79DF" w:rsidP="00EB12CC">
            <w:pPr>
              <w:jc w:val="both"/>
              <w:rPr>
                <w:rFonts w:eastAsia="Times New Roman"/>
                <w:sz w:val="24"/>
                <w:szCs w:val="24"/>
              </w:rPr>
            </w:pPr>
            <w:r w:rsidRPr="00DE1A22">
              <w:rPr>
                <w:rFonts w:eastAsia="Times New Roman"/>
                <w:bCs/>
                <w:sz w:val="24"/>
                <w:szCs w:val="24"/>
                <w:lang w:eastAsia="lv-LV"/>
              </w:rPr>
              <w:t>Jaunā redakcija – 2.3.1. apakšpunkts.</w:t>
            </w:r>
          </w:p>
        </w:tc>
      </w:tr>
      <w:tr w:rsidR="00EB12CC" w:rsidRPr="00DE1A22" w14:paraId="10361A60" w14:textId="77777777" w:rsidTr="00BF4AE7">
        <w:trPr>
          <w:trHeight w:val="1978"/>
        </w:trPr>
        <w:tc>
          <w:tcPr>
            <w:tcW w:w="846" w:type="dxa"/>
            <w:gridSpan w:val="2"/>
            <w:shd w:val="clear" w:color="auto" w:fill="auto"/>
          </w:tcPr>
          <w:p w14:paraId="5F5037B1" w14:textId="77777777" w:rsidR="00EB12CC" w:rsidRPr="00DE1A22" w:rsidRDefault="00EB12CC" w:rsidP="00EB12CC">
            <w:pPr>
              <w:jc w:val="center"/>
              <w:rPr>
                <w:rFonts w:eastAsia="Times New Roman"/>
                <w:sz w:val="24"/>
                <w:szCs w:val="24"/>
                <w:lang w:eastAsia="lv-LV"/>
              </w:rPr>
            </w:pPr>
            <w:r w:rsidRPr="00DE1A22">
              <w:rPr>
                <w:rFonts w:eastAsia="Times New Roman"/>
                <w:sz w:val="24"/>
                <w:szCs w:val="24"/>
                <w:lang w:eastAsia="lv-LV"/>
              </w:rPr>
              <w:t>4</w:t>
            </w:r>
            <w:r w:rsidR="003D73B0" w:rsidRPr="00DE1A22">
              <w:rPr>
                <w:rFonts w:eastAsia="Times New Roman"/>
                <w:sz w:val="24"/>
                <w:szCs w:val="24"/>
                <w:lang w:eastAsia="lv-LV"/>
              </w:rPr>
              <w:t>6</w:t>
            </w:r>
            <w:r w:rsidRPr="00DE1A22">
              <w:rPr>
                <w:rFonts w:eastAsia="Times New Roman"/>
                <w:sz w:val="24"/>
                <w:szCs w:val="24"/>
                <w:lang w:eastAsia="lv-LV"/>
              </w:rPr>
              <w:t>.</w:t>
            </w:r>
          </w:p>
        </w:tc>
        <w:tc>
          <w:tcPr>
            <w:tcW w:w="2977" w:type="dxa"/>
            <w:shd w:val="clear" w:color="auto" w:fill="auto"/>
          </w:tcPr>
          <w:p w14:paraId="237560D6" w14:textId="77777777" w:rsidR="00EB12CC" w:rsidRPr="00DE1A22" w:rsidRDefault="00EB12CC" w:rsidP="00EB12CC">
            <w:pPr>
              <w:jc w:val="both"/>
              <w:rPr>
                <w:rFonts w:eastAsia="Times New Roman"/>
                <w:sz w:val="24"/>
                <w:szCs w:val="24"/>
                <w:lang w:eastAsia="lv-LV"/>
              </w:rPr>
            </w:pPr>
            <w:r w:rsidRPr="00DE1A22">
              <w:rPr>
                <w:rFonts w:eastAsia="Times New Roman"/>
                <w:sz w:val="24"/>
                <w:szCs w:val="24"/>
                <w:lang w:eastAsia="lv-LV"/>
              </w:rPr>
              <w:t>Projekta pielikuma 2.2.1.apakšpunkts “Izglītība un informētība”.</w:t>
            </w:r>
          </w:p>
        </w:tc>
        <w:tc>
          <w:tcPr>
            <w:tcW w:w="4394" w:type="dxa"/>
            <w:shd w:val="clear" w:color="auto" w:fill="auto"/>
          </w:tcPr>
          <w:p w14:paraId="6910BBEB" w14:textId="77777777" w:rsidR="00EB12CC" w:rsidRPr="00DE1A22" w:rsidRDefault="00EB12CC" w:rsidP="00EB12CC">
            <w:pPr>
              <w:contextualSpacing/>
              <w:jc w:val="both"/>
              <w:rPr>
                <w:rFonts w:eastAsia="Times New Roman"/>
                <w:b/>
                <w:sz w:val="24"/>
                <w:szCs w:val="24"/>
                <w:lang w:eastAsia="lv-LV"/>
              </w:rPr>
            </w:pPr>
            <w:r w:rsidRPr="00DE1A22">
              <w:rPr>
                <w:rFonts w:eastAsia="Times New Roman"/>
                <w:b/>
                <w:sz w:val="24"/>
                <w:szCs w:val="24"/>
                <w:lang w:eastAsia="lv-LV"/>
              </w:rPr>
              <w:t>Izglītības un zinātnes ministrija (23.01.2019. Nr.4-3.2e-PAD/19/10)</w:t>
            </w:r>
          </w:p>
          <w:p w14:paraId="42061FD4" w14:textId="77777777" w:rsidR="00EB12CC" w:rsidRPr="00DE1A22" w:rsidRDefault="00EB12CC" w:rsidP="00EB12CC">
            <w:pPr>
              <w:jc w:val="both"/>
              <w:rPr>
                <w:rFonts w:eastAsia="Times New Roman"/>
                <w:sz w:val="24"/>
                <w:szCs w:val="24"/>
              </w:rPr>
            </w:pPr>
            <w:r w:rsidRPr="00DE1A22">
              <w:rPr>
                <w:rFonts w:eastAsia="Times New Roman"/>
                <w:sz w:val="24"/>
                <w:szCs w:val="24"/>
                <w:lang w:eastAsia="lv-LV"/>
              </w:rPr>
              <w:t>Svītrot no pamatnostādņu pielikuma 2.2.1.apakšpunkta pēdējo rindkopu, kas sākas ar vārdiem – 7.5.1. Rīkojas atbildīgi pret savu un citu veselību... – tālāk kā tekstā.</w:t>
            </w:r>
          </w:p>
        </w:tc>
        <w:tc>
          <w:tcPr>
            <w:tcW w:w="3118" w:type="dxa"/>
            <w:shd w:val="clear" w:color="auto" w:fill="auto"/>
          </w:tcPr>
          <w:p w14:paraId="7FFFF2B6" w14:textId="77777777" w:rsidR="00EB12CC" w:rsidRPr="00DE1A22" w:rsidRDefault="00EB12CC" w:rsidP="00EB12CC">
            <w:pPr>
              <w:jc w:val="center"/>
              <w:rPr>
                <w:rFonts w:eastAsia="Times New Roman"/>
                <w:b/>
                <w:bCs/>
                <w:sz w:val="24"/>
                <w:szCs w:val="24"/>
                <w:lang w:eastAsia="lv-LV"/>
              </w:rPr>
            </w:pPr>
            <w:r w:rsidRPr="00DE1A22">
              <w:rPr>
                <w:rFonts w:eastAsia="Times New Roman"/>
                <w:b/>
                <w:bCs/>
                <w:sz w:val="24"/>
                <w:szCs w:val="24"/>
                <w:lang w:eastAsia="lv-LV"/>
              </w:rPr>
              <w:t>Ņemts vērā.</w:t>
            </w:r>
          </w:p>
          <w:p w14:paraId="190F2323" w14:textId="77777777" w:rsidR="00EB12CC" w:rsidRPr="00DE1A22" w:rsidRDefault="00EB12CC" w:rsidP="00EB12CC">
            <w:pPr>
              <w:tabs>
                <w:tab w:val="left" w:pos="0"/>
                <w:tab w:val="left" w:pos="709"/>
                <w:tab w:val="left" w:pos="993"/>
              </w:tabs>
              <w:suppressAutoHyphens/>
              <w:jc w:val="both"/>
              <w:outlineLvl w:val="3"/>
              <w:rPr>
                <w:rFonts w:eastAsia="Times New Roman"/>
                <w:b/>
                <w:bCs/>
                <w:sz w:val="24"/>
                <w:szCs w:val="24"/>
                <w:lang w:eastAsia="lv-LV"/>
              </w:rPr>
            </w:pPr>
          </w:p>
        </w:tc>
        <w:tc>
          <w:tcPr>
            <w:tcW w:w="3402" w:type="dxa"/>
            <w:shd w:val="clear" w:color="auto" w:fill="auto"/>
          </w:tcPr>
          <w:p w14:paraId="74C3A24B" w14:textId="77777777" w:rsidR="00EB12CC" w:rsidRPr="00DE1A22" w:rsidRDefault="00CC79DF" w:rsidP="00EB12CC">
            <w:pPr>
              <w:jc w:val="both"/>
              <w:rPr>
                <w:rFonts w:eastAsia="Times New Roman"/>
                <w:sz w:val="24"/>
                <w:szCs w:val="24"/>
              </w:rPr>
            </w:pPr>
            <w:r w:rsidRPr="00DE1A22">
              <w:rPr>
                <w:rFonts w:eastAsia="Times New Roman"/>
                <w:bCs/>
                <w:sz w:val="24"/>
                <w:szCs w:val="24"/>
                <w:lang w:eastAsia="lv-LV"/>
              </w:rPr>
              <w:t>Jaunā redakcija – 2.3.1. apakšpunkts.</w:t>
            </w:r>
          </w:p>
        </w:tc>
      </w:tr>
      <w:tr w:rsidR="00EB12CC" w:rsidRPr="00DE1A22" w14:paraId="2419E7B6" w14:textId="77777777" w:rsidTr="00BF4AE7">
        <w:trPr>
          <w:trHeight w:val="2543"/>
        </w:trPr>
        <w:tc>
          <w:tcPr>
            <w:tcW w:w="846" w:type="dxa"/>
            <w:gridSpan w:val="2"/>
            <w:shd w:val="clear" w:color="auto" w:fill="auto"/>
          </w:tcPr>
          <w:p w14:paraId="069E838F" w14:textId="77777777" w:rsidR="00EB12CC" w:rsidRPr="00DE1A22" w:rsidRDefault="00EB12CC" w:rsidP="00EB12CC">
            <w:pPr>
              <w:jc w:val="center"/>
              <w:rPr>
                <w:rFonts w:eastAsia="Times New Roman"/>
                <w:sz w:val="24"/>
                <w:szCs w:val="24"/>
                <w:lang w:eastAsia="lv-LV"/>
              </w:rPr>
            </w:pPr>
            <w:r w:rsidRPr="00DE1A22">
              <w:rPr>
                <w:rFonts w:eastAsia="Times New Roman"/>
                <w:sz w:val="24"/>
                <w:szCs w:val="24"/>
                <w:lang w:eastAsia="lv-LV"/>
              </w:rPr>
              <w:t>4</w:t>
            </w:r>
            <w:r w:rsidR="003D73B0" w:rsidRPr="00DE1A22">
              <w:rPr>
                <w:rFonts w:eastAsia="Times New Roman"/>
                <w:sz w:val="24"/>
                <w:szCs w:val="24"/>
                <w:lang w:eastAsia="lv-LV"/>
              </w:rPr>
              <w:t>7</w:t>
            </w:r>
            <w:r w:rsidRPr="00DE1A22">
              <w:rPr>
                <w:rFonts w:eastAsia="Times New Roman"/>
                <w:sz w:val="24"/>
                <w:szCs w:val="24"/>
                <w:lang w:eastAsia="lv-LV"/>
              </w:rPr>
              <w:t>.</w:t>
            </w:r>
          </w:p>
        </w:tc>
        <w:tc>
          <w:tcPr>
            <w:tcW w:w="2977" w:type="dxa"/>
            <w:shd w:val="clear" w:color="auto" w:fill="auto"/>
          </w:tcPr>
          <w:p w14:paraId="0A29BEA6" w14:textId="77777777" w:rsidR="00EB12CC" w:rsidRPr="00DE1A22" w:rsidRDefault="00EB12CC" w:rsidP="00EB12CC">
            <w:pPr>
              <w:jc w:val="both"/>
              <w:rPr>
                <w:rFonts w:eastAsia="Times New Roman"/>
                <w:sz w:val="24"/>
                <w:szCs w:val="24"/>
                <w:lang w:eastAsia="lv-LV"/>
              </w:rPr>
            </w:pPr>
            <w:r w:rsidRPr="00DE1A22">
              <w:rPr>
                <w:rFonts w:eastAsia="Times New Roman"/>
                <w:sz w:val="24"/>
                <w:szCs w:val="24"/>
                <w:lang w:eastAsia="lv-LV"/>
              </w:rPr>
              <w:t>Projekta pielikuma 4. sadaļa “Azartspēļu un izložu pieejamība, darbības vietas un to regulēšana” (59.lpp.)</w:t>
            </w:r>
          </w:p>
        </w:tc>
        <w:tc>
          <w:tcPr>
            <w:tcW w:w="4394" w:type="dxa"/>
            <w:shd w:val="clear" w:color="auto" w:fill="auto"/>
          </w:tcPr>
          <w:p w14:paraId="7E839488" w14:textId="77777777" w:rsidR="00EB12CC" w:rsidRPr="00DE1A22" w:rsidRDefault="00EB12CC" w:rsidP="00EB12CC">
            <w:pPr>
              <w:contextualSpacing/>
              <w:jc w:val="both"/>
              <w:rPr>
                <w:rFonts w:eastAsia="Times New Roman"/>
                <w:b/>
                <w:sz w:val="24"/>
                <w:szCs w:val="24"/>
                <w:lang w:eastAsia="lv-LV"/>
              </w:rPr>
            </w:pPr>
            <w:r w:rsidRPr="00DE1A22">
              <w:rPr>
                <w:rFonts w:eastAsia="Times New Roman"/>
                <w:b/>
                <w:sz w:val="24"/>
                <w:szCs w:val="24"/>
                <w:lang w:eastAsia="lv-LV"/>
              </w:rPr>
              <w:t>Latvijas Lielo pilsētu asociācija (25.01.2019. Nr.5-1/16)</w:t>
            </w:r>
          </w:p>
          <w:p w14:paraId="18E62862" w14:textId="77777777" w:rsidR="00EB12CC" w:rsidRPr="00DE1A22" w:rsidRDefault="00EB12CC" w:rsidP="000C2873">
            <w:pPr>
              <w:jc w:val="both"/>
              <w:rPr>
                <w:rFonts w:eastAsia="Times New Roman"/>
                <w:sz w:val="24"/>
                <w:szCs w:val="24"/>
              </w:rPr>
            </w:pPr>
            <w:r w:rsidRPr="00DE1A22">
              <w:rPr>
                <w:rFonts w:eastAsia="Times New Roman"/>
                <w:sz w:val="24"/>
                <w:szCs w:val="24"/>
                <w:lang w:eastAsia="lv-LV"/>
              </w:rPr>
              <w:t>LLPA jau iepriekš ir sniegusi priekšlikumu par konkrētu teritoriju noteikšanu, tādēļ atbalstāms ir 4.variants, kur pašvaldībai izvērtējot konkrētos pilsētas attīstības modeļus tiesības noteikt teritorijas. Vienlaikus, papildinot ar 3.variantā noteikto par tiesībām paplašināt AIL minēto azartspēļu organizēšanas vietu ierobežojumu uzskaitījumu, papildus AIL šobrīd atrunātajam, azartspēles tiek aizliegts organizēt dzīvojamo rajonu teritorijās, kā arī 0,2 km attālumā no AIL 41. panta otrajā daļā minētajām vietām.</w:t>
            </w:r>
          </w:p>
        </w:tc>
        <w:tc>
          <w:tcPr>
            <w:tcW w:w="3118" w:type="dxa"/>
            <w:shd w:val="clear" w:color="auto" w:fill="auto"/>
          </w:tcPr>
          <w:p w14:paraId="50A7FE8F" w14:textId="77777777" w:rsidR="00EB12CC" w:rsidRPr="00DE1A22" w:rsidRDefault="00EB12CC" w:rsidP="00EB12CC">
            <w:pPr>
              <w:jc w:val="center"/>
              <w:rPr>
                <w:rFonts w:eastAsia="Times New Roman"/>
                <w:b/>
                <w:bCs/>
                <w:sz w:val="24"/>
                <w:szCs w:val="24"/>
                <w:lang w:eastAsia="lv-LV"/>
              </w:rPr>
            </w:pPr>
            <w:r w:rsidRPr="00DE1A22">
              <w:rPr>
                <w:rFonts w:eastAsia="Times New Roman"/>
                <w:b/>
                <w:bCs/>
                <w:sz w:val="24"/>
                <w:szCs w:val="24"/>
                <w:lang w:eastAsia="lv-LV"/>
              </w:rPr>
              <w:t>Ņemts vērā.</w:t>
            </w:r>
          </w:p>
          <w:p w14:paraId="57DD8E50" w14:textId="77777777" w:rsidR="00EB12CC" w:rsidRPr="00DE1A22" w:rsidRDefault="00EB12CC" w:rsidP="00EB12CC">
            <w:pPr>
              <w:tabs>
                <w:tab w:val="left" w:pos="0"/>
                <w:tab w:val="left" w:pos="709"/>
                <w:tab w:val="left" w:pos="993"/>
              </w:tabs>
              <w:suppressAutoHyphens/>
              <w:jc w:val="both"/>
              <w:outlineLvl w:val="3"/>
              <w:rPr>
                <w:rFonts w:eastAsia="Times New Roman"/>
                <w:b/>
                <w:bCs/>
                <w:sz w:val="24"/>
                <w:szCs w:val="24"/>
                <w:lang w:eastAsia="lv-LV"/>
              </w:rPr>
            </w:pPr>
          </w:p>
        </w:tc>
        <w:tc>
          <w:tcPr>
            <w:tcW w:w="3402" w:type="dxa"/>
            <w:shd w:val="clear" w:color="auto" w:fill="auto"/>
          </w:tcPr>
          <w:p w14:paraId="69A96F26" w14:textId="77777777" w:rsidR="00EB12CC" w:rsidRPr="00DE1A22" w:rsidRDefault="00CC79DF" w:rsidP="00EB12CC">
            <w:pPr>
              <w:jc w:val="both"/>
              <w:rPr>
                <w:rFonts w:eastAsia="Times New Roman"/>
                <w:sz w:val="24"/>
                <w:szCs w:val="24"/>
              </w:rPr>
            </w:pPr>
            <w:r w:rsidRPr="00DE1A22">
              <w:rPr>
                <w:rFonts w:eastAsia="Times New Roman"/>
                <w:bCs/>
                <w:sz w:val="24"/>
                <w:szCs w:val="24"/>
                <w:lang w:eastAsia="lv-LV"/>
              </w:rPr>
              <w:t>Projekts atbilstošu precizēts.</w:t>
            </w:r>
          </w:p>
        </w:tc>
      </w:tr>
      <w:tr w:rsidR="00EB12CC" w:rsidRPr="00DE1A22" w14:paraId="34C229B1" w14:textId="77777777" w:rsidTr="00BF4AE7">
        <w:trPr>
          <w:trHeight w:val="2543"/>
        </w:trPr>
        <w:tc>
          <w:tcPr>
            <w:tcW w:w="846" w:type="dxa"/>
            <w:gridSpan w:val="2"/>
            <w:shd w:val="clear" w:color="auto" w:fill="auto"/>
          </w:tcPr>
          <w:p w14:paraId="10DB01F8" w14:textId="77777777" w:rsidR="00EB12CC" w:rsidRPr="00DE1A22" w:rsidRDefault="00EB12CC" w:rsidP="00EB12CC">
            <w:pPr>
              <w:jc w:val="center"/>
              <w:rPr>
                <w:rFonts w:eastAsia="Times New Roman"/>
                <w:sz w:val="24"/>
                <w:szCs w:val="24"/>
                <w:lang w:eastAsia="lv-LV"/>
              </w:rPr>
            </w:pPr>
            <w:r w:rsidRPr="00DE1A22">
              <w:rPr>
                <w:rFonts w:eastAsia="Times New Roman"/>
                <w:sz w:val="24"/>
                <w:szCs w:val="24"/>
                <w:lang w:eastAsia="lv-LV"/>
              </w:rPr>
              <w:lastRenderedPageBreak/>
              <w:t>4</w:t>
            </w:r>
            <w:r w:rsidR="003D73B0" w:rsidRPr="00DE1A22">
              <w:rPr>
                <w:rFonts w:eastAsia="Times New Roman"/>
                <w:sz w:val="24"/>
                <w:szCs w:val="24"/>
                <w:lang w:eastAsia="lv-LV"/>
              </w:rPr>
              <w:t>8</w:t>
            </w:r>
            <w:r w:rsidRPr="00DE1A22">
              <w:rPr>
                <w:rFonts w:eastAsia="Times New Roman"/>
                <w:sz w:val="24"/>
                <w:szCs w:val="24"/>
                <w:lang w:eastAsia="lv-LV"/>
              </w:rPr>
              <w:t>.</w:t>
            </w:r>
          </w:p>
        </w:tc>
        <w:tc>
          <w:tcPr>
            <w:tcW w:w="2977" w:type="dxa"/>
            <w:shd w:val="clear" w:color="auto" w:fill="auto"/>
          </w:tcPr>
          <w:p w14:paraId="3CE73A32" w14:textId="77777777" w:rsidR="00EB12CC" w:rsidRPr="00DE1A22" w:rsidRDefault="00EB12CC" w:rsidP="00EB12CC">
            <w:pPr>
              <w:jc w:val="both"/>
              <w:rPr>
                <w:rFonts w:eastAsia="Times New Roman"/>
                <w:sz w:val="24"/>
                <w:szCs w:val="24"/>
                <w:lang w:eastAsia="lv-LV"/>
              </w:rPr>
            </w:pPr>
            <w:r w:rsidRPr="00DE1A22">
              <w:rPr>
                <w:rFonts w:eastAsia="Times New Roman"/>
                <w:sz w:val="24"/>
                <w:szCs w:val="24"/>
                <w:lang w:eastAsia="lv-LV"/>
              </w:rPr>
              <w:t>Projekta pielikuma 4. sadaļa “Azartspēļu un izložu pieejamība, darbības vietas un to regulēšana” 3. risinājums “Azartspēļu organizēšanas vietas ierobežošanas nosacījumu atrunāšana likumā”.</w:t>
            </w:r>
          </w:p>
        </w:tc>
        <w:tc>
          <w:tcPr>
            <w:tcW w:w="4394" w:type="dxa"/>
            <w:shd w:val="clear" w:color="auto" w:fill="auto"/>
          </w:tcPr>
          <w:p w14:paraId="0DB0655C" w14:textId="77777777" w:rsidR="00EB12CC" w:rsidRPr="00DE1A22" w:rsidRDefault="00EB12CC" w:rsidP="00EB12CC">
            <w:pPr>
              <w:contextualSpacing/>
              <w:jc w:val="both"/>
              <w:rPr>
                <w:rFonts w:eastAsia="Times New Roman"/>
                <w:b/>
                <w:sz w:val="24"/>
                <w:szCs w:val="24"/>
                <w:lang w:eastAsia="lv-LV"/>
              </w:rPr>
            </w:pPr>
            <w:r w:rsidRPr="00DE1A22">
              <w:rPr>
                <w:rFonts w:eastAsia="Times New Roman"/>
                <w:b/>
                <w:sz w:val="24"/>
                <w:szCs w:val="24"/>
                <w:lang w:eastAsia="lv-LV"/>
              </w:rPr>
              <w:t>Biedrība “Latvijas Spēļu biznesa asociācija” (30.01.2019. Nr.2/19)</w:t>
            </w:r>
          </w:p>
          <w:p w14:paraId="432D420E" w14:textId="77777777" w:rsidR="00EB12CC" w:rsidRPr="00DE1A22" w:rsidRDefault="00EB12CC" w:rsidP="00EB12CC">
            <w:pPr>
              <w:contextualSpacing/>
              <w:jc w:val="both"/>
              <w:rPr>
                <w:rFonts w:eastAsia="Times New Roman"/>
                <w:sz w:val="24"/>
                <w:szCs w:val="24"/>
                <w:lang w:eastAsia="lv-LV"/>
              </w:rPr>
            </w:pPr>
            <w:r w:rsidRPr="00DE1A22">
              <w:rPr>
                <w:rFonts w:eastAsia="Times New Roman"/>
                <w:sz w:val="24"/>
                <w:szCs w:val="24"/>
                <w:lang w:eastAsia="lv-LV"/>
              </w:rPr>
              <w:t xml:space="preserve">Ņemot vērā, ka jautājums jau ilgstoši ir radījis strīdus situācijas – pamatnostādnēs izvirzītos potenciālos priekšlikumus ir nepieciešams detalizēti diskutēt VARAM, pašvaldību, FM un nozares sarunu formātā - atbilstoši vienošanai, kāda tika panākta pamatnostādņu izstrādes darba grupā. </w:t>
            </w:r>
          </w:p>
          <w:p w14:paraId="3A4BDF70" w14:textId="77777777" w:rsidR="00EB12CC" w:rsidRPr="00DE1A22" w:rsidRDefault="00EB12CC" w:rsidP="00EB12CC">
            <w:pPr>
              <w:contextualSpacing/>
              <w:jc w:val="both"/>
              <w:rPr>
                <w:rFonts w:eastAsia="Times New Roman"/>
                <w:sz w:val="24"/>
                <w:szCs w:val="24"/>
                <w:lang w:eastAsia="lv-LV"/>
              </w:rPr>
            </w:pPr>
            <w:r w:rsidRPr="00DE1A22">
              <w:rPr>
                <w:rFonts w:eastAsia="Times New Roman"/>
                <w:sz w:val="24"/>
                <w:szCs w:val="24"/>
                <w:lang w:eastAsia="lv-LV"/>
              </w:rPr>
              <w:t>LSBA norāda, ka diskusiju pamats un tēze – nosakot ierobežojumus azartspēļu pieejamībai, būtu jāvērtē, vai konkrētajā gadījumā tieši aizliegums ir samērīgākais veids, kā sabalansēt nozares ilgtermiņa attīstību un atkarības mazināšanas aspektus, ņemot vēra spēlētāja neierobežotās iespējas pāriet uz interaktīvo vidi un nelicencētām azartspēlēm – ir precizējuma, skaidri norādot, ka risks ir tieši nelegālajām piedāvājumā gan interaktīvajā vidē, gan arī uz zemes.</w:t>
            </w:r>
          </w:p>
          <w:p w14:paraId="0BC7A90D" w14:textId="77777777" w:rsidR="00EB12CC" w:rsidRPr="00DE1A22" w:rsidRDefault="00EB12CC" w:rsidP="00EB12CC">
            <w:pPr>
              <w:contextualSpacing/>
              <w:jc w:val="both"/>
              <w:rPr>
                <w:rFonts w:eastAsia="Times New Roman"/>
                <w:sz w:val="24"/>
                <w:szCs w:val="24"/>
                <w:lang w:eastAsia="lv-LV"/>
              </w:rPr>
            </w:pPr>
            <w:r w:rsidRPr="00DE1A22">
              <w:rPr>
                <w:rFonts w:eastAsia="Times New Roman"/>
                <w:sz w:val="24"/>
                <w:szCs w:val="24"/>
                <w:lang w:eastAsia="lv-LV"/>
              </w:rPr>
              <w:t xml:space="preserve">LSBA vērtējumā būtu atbalstāms koncepts, ka ir nepieciešama kompleksa pieeja, lai neradītu, piemēram, iemeslus faktiski manipulēt ar lozungu par azartspēļu vietu aizvēršanu kā politisku instrumentu priekšvēlēšanu cīņās.  </w:t>
            </w:r>
          </w:p>
          <w:p w14:paraId="05AD17A4" w14:textId="77777777" w:rsidR="00EB12CC" w:rsidRPr="00DE1A22" w:rsidRDefault="00EB12CC" w:rsidP="00EB12CC">
            <w:pPr>
              <w:contextualSpacing/>
              <w:jc w:val="both"/>
              <w:rPr>
                <w:rFonts w:eastAsia="Times New Roman"/>
                <w:sz w:val="24"/>
                <w:szCs w:val="24"/>
                <w:lang w:eastAsia="lv-LV"/>
              </w:rPr>
            </w:pPr>
            <w:r w:rsidRPr="00DE1A22">
              <w:rPr>
                <w:rFonts w:eastAsia="Times New Roman"/>
                <w:sz w:val="24"/>
                <w:szCs w:val="24"/>
                <w:lang w:eastAsia="lv-LV"/>
              </w:rPr>
              <w:t>Ievērojot minēto, LSBA aicina pārskatīt Pamatnostādņu 1.pielikumā (60.lpp.) ietverto secinājumu:</w:t>
            </w:r>
          </w:p>
          <w:p w14:paraId="5C709FBB" w14:textId="77777777" w:rsidR="00EB12CC" w:rsidRPr="00DE1A22" w:rsidRDefault="00EB12CC" w:rsidP="000C2873">
            <w:pPr>
              <w:jc w:val="both"/>
              <w:rPr>
                <w:rFonts w:eastAsia="Times New Roman"/>
                <w:sz w:val="24"/>
                <w:szCs w:val="24"/>
              </w:rPr>
            </w:pPr>
            <w:r w:rsidRPr="00DE1A22">
              <w:rPr>
                <w:rFonts w:eastAsia="Times New Roman"/>
                <w:sz w:val="24"/>
                <w:szCs w:val="24"/>
                <w:lang w:eastAsia="lv-LV"/>
              </w:rPr>
              <w:t>“Izvērtējot piedāvāto risinājumu priekšrocības un trūkumus, par atbilstošāko tiek uzskatīts 2.risinājuma variants, ņemot vērā tā samērīgumu, kā arī sabiedrības un nozares interešu sabalansētību.”</w:t>
            </w:r>
          </w:p>
        </w:tc>
        <w:tc>
          <w:tcPr>
            <w:tcW w:w="3118" w:type="dxa"/>
            <w:shd w:val="clear" w:color="auto" w:fill="auto"/>
          </w:tcPr>
          <w:p w14:paraId="67ACA8C4" w14:textId="77777777" w:rsidR="00EB12CC" w:rsidRPr="00DE1A22" w:rsidRDefault="00EB12CC" w:rsidP="00EB12CC">
            <w:pPr>
              <w:jc w:val="center"/>
              <w:rPr>
                <w:rFonts w:eastAsia="Times New Roman"/>
                <w:b/>
                <w:bCs/>
                <w:sz w:val="24"/>
                <w:szCs w:val="24"/>
                <w:lang w:eastAsia="lv-LV"/>
              </w:rPr>
            </w:pPr>
            <w:r w:rsidRPr="00DE1A22">
              <w:rPr>
                <w:rFonts w:eastAsia="Times New Roman"/>
                <w:b/>
                <w:bCs/>
                <w:sz w:val="24"/>
                <w:szCs w:val="24"/>
                <w:lang w:eastAsia="lv-LV"/>
              </w:rPr>
              <w:t>Ņemts vērā.</w:t>
            </w:r>
          </w:p>
          <w:p w14:paraId="65D34D41" w14:textId="77777777" w:rsidR="00EB12CC" w:rsidRPr="00DE1A22" w:rsidRDefault="00EB12CC" w:rsidP="00EB12CC">
            <w:pPr>
              <w:tabs>
                <w:tab w:val="left" w:pos="0"/>
                <w:tab w:val="left" w:pos="709"/>
                <w:tab w:val="left" w:pos="993"/>
              </w:tabs>
              <w:suppressAutoHyphens/>
              <w:jc w:val="both"/>
              <w:outlineLvl w:val="3"/>
              <w:rPr>
                <w:rFonts w:eastAsia="Times New Roman"/>
                <w:b/>
                <w:bCs/>
                <w:sz w:val="24"/>
                <w:szCs w:val="24"/>
                <w:lang w:eastAsia="lv-LV"/>
              </w:rPr>
            </w:pPr>
          </w:p>
        </w:tc>
        <w:tc>
          <w:tcPr>
            <w:tcW w:w="3402" w:type="dxa"/>
            <w:shd w:val="clear" w:color="auto" w:fill="auto"/>
          </w:tcPr>
          <w:p w14:paraId="76479F96" w14:textId="77777777" w:rsidR="00EB12CC" w:rsidRPr="00DE1A22" w:rsidRDefault="00CC79DF" w:rsidP="00EB12CC">
            <w:pPr>
              <w:jc w:val="both"/>
              <w:rPr>
                <w:rFonts w:eastAsia="Times New Roman"/>
                <w:sz w:val="24"/>
                <w:szCs w:val="24"/>
              </w:rPr>
            </w:pPr>
            <w:r w:rsidRPr="00DE1A22">
              <w:rPr>
                <w:rFonts w:eastAsia="Times New Roman"/>
                <w:bCs/>
                <w:sz w:val="24"/>
                <w:szCs w:val="24"/>
                <w:lang w:eastAsia="lv-LV"/>
              </w:rPr>
              <w:t>Projekts atbilstošu precizēts.</w:t>
            </w:r>
          </w:p>
        </w:tc>
      </w:tr>
      <w:tr w:rsidR="00EB12CC" w:rsidRPr="00DE1A22" w14:paraId="6A35F31A" w14:textId="77777777" w:rsidTr="00BF4AE7">
        <w:trPr>
          <w:trHeight w:val="2543"/>
        </w:trPr>
        <w:tc>
          <w:tcPr>
            <w:tcW w:w="846" w:type="dxa"/>
            <w:gridSpan w:val="2"/>
          </w:tcPr>
          <w:p w14:paraId="17C629DE" w14:textId="77777777" w:rsidR="00EB12CC" w:rsidRPr="00DE1A22" w:rsidRDefault="00EB12CC" w:rsidP="00EB12CC">
            <w:pPr>
              <w:jc w:val="center"/>
              <w:rPr>
                <w:rFonts w:eastAsia="Times New Roman"/>
                <w:sz w:val="24"/>
                <w:szCs w:val="24"/>
                <w:lang w:eastAsia="lv-LV"/>
              </w:rPr>
            </w:pPr>
            <w:r w:rsidRPr="00DE1A22">
              <w:rPr>
                <w:rFonts w:eastAsia="Times New Roman"/>
                <w:sz w:val="24"/>
                <w:szCs w:val="24"/>
                <w:lang w:eastAsia="lv-LV"/>
              </w:rPr>
              <w:lastRenderedPageBreak/>
              <w:t>4</w:t>
            </w:r>
            <w:r w:rsidR="003D73B0" w:rsidRPr="00DE1A22">
              <w:rPr>
                <w:rFonts w:eastAsia="Times New Roman"/>
                <w:sz w:val="24"/>
                <w:szCs w:val="24"/>
                <w:lang w:eastAsia="lv-LV"/>
              </w:rPr>
              <w:t>9</w:t>
            </w:r>
            <w:r w:rsidRPr="00DE1A22">
              <w:rPr>
                <w:rFonts w:eastAsia="Times New Roman"/>
                <w:sz w:val="24"/>
                <w:szCs w:val="24"/>
                <w:lang w:eastAsia="lv-LV"/>
              </w:rPr>
              <w:t>.</w:t>
            </w:r>
          </w:p>
        </w:tc>
        <w:tc>
          <w:tcPr>
            <w:tcW w:w="2977" w:type="dxa"/>
          </w:tcPr>
          <w:p w14:paraId="2840F6D4" w14:textId="77777777" w:rsidR="00EB12CC" w:rsidRPr="00DE1A22" w:rsidRDefault="00EB12CC" w:rsidP="000C2873">
            <w:pPr>
              <w:jc w:val="both"/>
              <w:rPr>
                <w:rFonts w:eastAsia="Times New Roman"/>
                <w:sz w:val="24"/>
                <w:szCs w:val="24"/>
                <w:lang w:eastAsia="lv-LV"/>
              </w:rPr>
            </w:pPr>
            <w:r w:rsidRPr="00DE1A22">
              <w:rPr>
                <w:rFonts w:eastAsia="Times New Roman"/>
                <w:sz w:val="24"/>
                <w:szCs w:val="24"/>
                <w:lang w:eastAsia="lv-LV"/>
              </w:rPr>
              <w:t>Projekta pielikuma 7. sadaļa “Latvijā nelegālās un nelicencētas azartspēles un izlozes un to novēršana</w:t>
            </w:r>
            <w:r w:rsidR="009F4FBC" w:rsidRPr="00DE1A22">
              <w:rPr>
                <w:rFonts w:eastAsia="Times New Roman"/>
                <w:sz w:val="24"/>
                <w:szCs w:val="24"/>
                <w:lang w:eastAsia="lv-LV"/>
              </w:rPr>
              <w:t>.</w:t>
            </w:r>
            <w:r w:rsidRPr="00DE1A22">
              <w:rPr>
                <w:rFonts w:eastAsia="Times New Roman"/>
                <w:sz w:val="24"/>
                <w:szCs w:val="24"/>
                <w:lang w:eastAsia="lv-LV"/>
              </w:rPr>
              <w:t>”</w:t>
            </w:r>
          </w:p>
        </w:tc>
        <w:tc>
          <w:tcPr>
            <w:tcW w:w="4394" w:type="dxa"/>
          </w:tcPr>
          <w:p w14:paraId="5F49D9F0" w14:textId="77777777" w:rsidR="00EB12CC" w:rsidRPr="00DE1A22" w:rsidRDefault="00EB12CC" w:rsidP="00EB12CC">
            <w:pPr>
              <w:contextualSpacing/>
              <w:jc w:val="both"/>
              <w:rPr>
                <w:rFonts w:eastAsia="Times New Roman"/>
                <w:b/>
                <w:sz w:val="24"/>
                <w:szCs w:val="24"/>
                <w:lang w:eastAsia="lv-LV"/>
              </w:rPr>
            </w:pPr>
            <w:r w:rsidRPr="00DE1A22">
              <w:rPr>
                <w:rFonts w:eastAsia="Times New Roman"/>
                <w:b/>
                <w:sz w:val="24"/>
                <w:szCs w:val="24"/>
                <w:lang w:eastAsia="lv-LV"/>
              </w:rPr>
              <w:t>Satiksmes ministrija (28.01.2019. Nr.03-03/13)</w:t>
            </w:r>
          </w:p>
          <w:p w14:paraId="2F3AAB7F" w14:textId="77777777" w:rsidR="00EB12CC" w:rsidRPr="00DE1A22" w:rsidRDefault="00EB12CC" w:rsidP="00EB12CC">
            <w:pPr>
              <w:contextualSpacing/>
              <w:jc w:val="both"/>
              <w:rPr>
                <w:rFonts w:eastAsia="Times New Roman"/>
                <w:sz w:val="24"/>
                <w:szCs w:val="24"/>
                <w:lang w:eastAsia="lv-LV"/>
              </w:rPr>
            </w:pPr>
            <w:r w:rsidRPr="00DE1A22">
              <w:rPr>
                <w:rFonts w:eastAsia="Times New Roman"/>
                <w:sz w:val="24"/>
                <w:szCs w:val="24"/>
                <w:lang w:eastAsia="lv-LV"/>
              </w:rPr>
              <w:t>Norādām uz Pielikuma sadaļā “7. Latvijā nelegālās un nelicencētas azartspēles un izlozes un to novēršana” minēto pētījumu atsauču neatbilstībām un lūdzam tās precizēt:</w:t>
            </w:r>
          </w:p>
          <w:p w14:paraId="78D202C5" w14:textId="77777777" w:rsidR="00EB12CC" w:rsidRPr="00DE1A22" w:rsidRDefault="00EB12CC" w:rsidP="00EB12CC">
            <w:pPr>
              <w:contextualSpacing/>
              <w:jc w:val="both"/>
              <w:rPr>
                <w:rFonts w:eastAsia="Times New Roman"/>
                <w:sz w:val="24"/>
                <w:szCs w:val="24"/>
                <w:lang w:eastAsia="lv-LV"/>
              </w:rPr>
            </w:pPr>
            <w:r w:rsidRPr="00DE1A22">
              <w:rPr>
                <w:rFonts w:eastAsia="Times New Roman"/>
                <w:sz w:val="24"/>
                <w:szCs w:val="24"/>
                <w:lang w:eastAsia="lv-LV"/>
              </w:rPr>
              <w:t>-</w:t>
            </w:r>
            <w:r w:rsidRPr="00DE1A22">
              <w:rPr>
                <w:rFonts w:eastAsia="Times New Roman"/>
                <w:sz w:val="24"/>
                <w:szCs w:val="24"/>
                <w:lang w:eastAsia="lv-LV"/>
              </w:rPr>
              <w:tab/>
              <w:t>Pielikuma sadaļā “7. Latvijā nelegālās un nelicencētas azartspēles un izlozes un to novēršana” ir minēts H2 Gambling Capital 2018.gada pētījums. Turpat ir norādīta atsauce (hiperlinks) uz pētījumu, bet, izmantojot minēto atsauci, lai iepazītos ar pētījuma datiem, pētījums nav atrodams, līdz ar to nav iespējams izvērtēt Pielikumā iekļauto datu atbilstību pētījumam. Lūdzam ievietot darbojošos atsauci.</w:t>
            </w:r>
          </w:p>
          <w:p w14:paraId="2BC14564" w14:textId="77777777" w:rsidR="00EB12CC" w:rsidRPr="00DE1A22" w:rsidRDefault="00EB12CC" w:rsidP="00EB12CC">
            <w:pPr>
              <w:contextualSpacing/>
              <w:jc w:val="both"/>
              <w:rPr>
                <w:rFonts w:eastAsia="Times New Roman"/>
                <w:sz w:val="24"/>
                <w:szCs w:val="24"/>
                <w:lang w:eastAsia="lv-LV"/>
              </w:rPr>
            </w:pPr>
            <w:r w:rsidRPr="00DE1A22">
              <w:rPr>
                <w:rFonts w:eastAsia="Times New Roman"/>
                <w:sz w:val="24"/>
                <w:szCs w:val="24"/>
                <w:lang w:eastAsia="lv-LV"/>
              </w:rPr>
              <w:t>-</w:t>
            </w:r>
            <w:r w:rsidRPr="00DE1A22">
              <w:rPr>
                <w:rFonts w:eastAsia="Times New Roman"/>
                <w:sz w:val="24"/>
                <w:szCs w:val="24"/>
                <w:lang w:eastAsia="lv-LV"/>
              </w:rPr>
              <w:tab/>
              <w:t>Pielikuma sadaļā “7. Latvijā nelegālās un nelicencētas azartspēles un izlozes un to novēršana” ir minēts VAS “Latvijas Loto” organizēti Idea Havas Media pētījumi “Tiešsaistes spēlēšanas pieredzes un pakalpojumu sniedzēju atpazīstamības izvērtējums Latvijā”. Vēršam uzmanību, ka, izmantojot norādīto informāciju par pētījumu, ar pētījuma datiem nav iespējams iepazīties. Lūdzam precizēt atsauci uz pētījumu.</w:t>
            </w:r>
          </w:p>
          <w:p w14:paraId="308FD0B1" w14:textId="77777777" w:rsidR="00EB12CC" w:rsidRPr="00DE1A22" w:rsidRDefault="00EB12CC" w:rsidP="00EB12CC">
            <w:pPr>
              <w:contextualSpacing/>
              <w:jc w:val="both"/>
              <w:rPr>
                <w:rFonts w:eastAsia="Times New Roman"/>
                <w:b/>
                <w:sz w:val="24"/>
                <w:szCs w:val="24"/>
                <w:lang w:eastAsia="lv-LV"/>
              </w:rPr>
            </w:pPr>
            <w:r w:rsidRPr="00DE1A22">
              <w:rPr>
                <w:rFonts w:eastAsia="Times New Roman"/>
                <w:sz w:val="24"/>
                <w:szCs w:val="24"/>
                <w:lang w:eastAsia="lv-LV"/>
              </w:rPr>
              <w:t>-</w:t>
            </w:r>
            <w:r w:rsidRPr="00DE1A22">
              <w:rPr>
                <w:rFonts w:eastAsia="Times New Roman"/>
                <w:sz w:val="24"/>
                <w:szCs w:val="24"/>
                <w:lang w:eastAsia="lv-LV"/>
              </w:rPr>
              <w:tab/>
              <w:t>Pielikuma sadaļā “7. Latvijā nelegālās un nelicencētas azartspēles un izlozes un to novēršana” ir minēts Latvijas spēļu biznesa asociācijas (turpmāk</w:t>
            </w:r>
            <w:r w:rsidR="00C72E59" w:rsidRPr="00DE1A22">
              <w:rPr>
                <w:rFonts w:eastAsia="Times New Roman"/>
                <w:sz w:val="24"/>
                <w:szCs w:val="24"/>
                <w:lang w:eastAsia="lv-LV"/>
              </w:rPr>
              <w:t xml:space="preserve"> –</w:t>
            </w:r>
            <w:r w:rsidRPr="00DE1A22">
              <w:rPr>
                <w:rFonts w:eastAsia="Times New Roman"/>
                <w:sz w:val="24"/>
                <w:szCs w:val="24"/>
                <w:lang w:eastAsia="lv-LV"/>
              </w:rPr>
              <w:t xml:space="preserve"> LSBA) organizētais eksperiments, noskaidrojot, vai 10 vadošie Latvijas interneta pakalpojumu sniedzēji ir pilnībā </w:t>
            </w:r>
            <w:r w:rsidRPr="00DE1A22">
              <w:rPr>
                <w:rFonts w:eastAsia="Times New Roman"/>
                <w:sz w:val="24"/>
                <w:szCs w:val="24"/>
                <w:lang w:eastAsia="lv-LV"/>
              </w:rPr>
              <w:lastRenderedPageBreak/>
              <w:t>nobloķējuši piekļuvi nelicencētām interneta azartspēļu vietnēm, norādot arī statistikas datus. Pie teksta ir norādīta atsauce uz pētījumu, kuru izmantojot ir pieejama LSBA preses relīze, bet nav iespējams iepazīties ar pašu pētījumu. Ievērojot minēto, lūdzam nodrošināt iespēju iepazīties ar pētījumu, nevis preses relīzi.</w:t>
            </w:r>
          </w:p>
        </w:tc>
        <w:tc>
          <w:tcPr>
            <w:tcW w:w="3118" w:type="dxa"/>
          </w:tcPr>
          <w:p w14:paraId="1845D518" w14:textId="77777777" w:rsidR="00EB12CC" w:rsidRPr="00DE1A22" w:rsidRDefault="00EB12CC" w:rsidP="00EB12CC">
            <w:pPr>
              <w:jc w:val="center"/>
              <w:rPr>
                <w:rFonts w:eastAsia="Times New Roman"/>
                <w:b/>
                <w:bCs/>
                <w:sz w:val="24"/>
                <w:szCs w:val="24"/>
                <w:lang w:eastAsia="lv-LV"/>
              </w:rPr>
            </w:pPr>
            <w:r w:rsidRPr="00DE1A22">
              <w:rPr>
                <w:rFonts w:eastAsia="Times New Roman"/>
                <w:b/>
                <w:bCs/>
                <w:sz w:val="24"/>
                <w:szCs w:val="24"/>
                <w:lang w:eastAsia="lv-LV"/>
              </w:rPr>
              <w:lastRenderedPageBreak/>
              <w:t>Ņemts vērā.</w:t>
            </w:r>
          </w:p>
          <w:p w14:paraId="4A0CB570" w14:textId="77777777" w:rsidR="00EB12CC" w:rsidRPr="00DE1A22" w:rsidRDefault="00EB12CC" w:rsidP="00EB12CC">
            <w:pPr>
              <w:jc w:val="both"/>
              <w:rPr>
                <w:rFonts w:eastAsia="Times New Roman"/>
                <w:b/>
                <w:bCs/>
                <w:sz w:val="24"/>
                <w:szCs w:val="24"/>
                <w:lang w:eastAsia="lv-LV"/>
              </w:rPr>
            </w:pPr>
          </w:p>
        </w:tc>
        <w:tc>
          <w:tcPr>
            <w:tcW w:w="3402" w:type="dxa"/>
          </w:tcPr>
          <w:p w14:paraId="64995A9C" w14:textId="77777777" w:rsidR="00EB12CC" w:rsidRPr="00DE1A22" w:rsidRDefault="00CC79DF" w:rsidP="00CC79DF">
            <w:pPr>
              <w:jc w:val="both"/>
              <w:rPr>
                <w:rFonts w:eastAsia="Times New Roman"/>
                <w:sz w:val="24"/>
                <w:szCs w:val="24"/>
              </w:rPr>
            </w:pPr>
            <w:r w:rsidRPr="00DE1A22">
              <w:rPr>
                <w:rFonts w:eastAsia="Times New Roman"/>
                <w:bCs/>
                <w:sz w:val="24"/>
                <w:szCs w:val="24"/>
                <w:lang w:eastAsia="lv-LV"/>
              </w:rPr>
              <w:t>Projekts atbilstoši precizēts.</w:t>
            </w:r>
          </w:p>
        </w:tc>
      </w:tr>
      <w:tr w:rsidR="00EB12CC" w:rsidRPr="00DE1A22" w14:paraId="2FFD0905" w14:textId="77777777" w:rsidTr="00BF4AE7">
        <w:trPr>
          <w:trHeight w:val="2543"/>
        </w:trPr>
        <w:tc>
          <w:tcPr>
            <w:tcW w:w="846" w:type="dxa"/>
            <w:gridSpan w:val="2"/>
            <w:shd w:val="clear" w:color="auto" w:fill="auto"/>
          </w:tcPr>
          <w:p w14:paraId="32BC23E2" w14:textId="77777777" w:rsidR="00EB12CC" w:rsidRPr="00DE1A22" w:rsidRDefault="003D73B0" w:rsidP="00EB12CC">
            <w:pPr>
              <w:jc w:val="center"/>
              <w:rPr>
                <w:rFonts w:eastAsia="Times New Roman"/>
                <w:sz w:val="24"/>
                <w:szCs w:val="24"/>
                <w:lang w:eastAsia="lv-LV"/>
              </w:rPr>
            </w:pPr>
            <w:r w:rsidRPr="00DE1A22">
              <w:rPr>
                <w:rFonts w:eastAsia="Times New Roman"/>
                <w:sz w:val="24"/>
                <w:szCs w:val="24"/>
                <w:lang w:eastAsia="lv-LV"/>
              </w:rPr>
              <w:t>50</w:t>
            </w:r>
            <w:r w:rsidR="00EB12CC" w:rsidRPr="00DE1A22">
              <w:rPr>
                <w:rFonts w:eastAsia="Times New Roman"/>
                <w:sz w:val="24"/>
                <w:szCs w:val="24"/>
                <w:lang w:eastAsia="lv-LV"/>
              </w:rPr>
              <w:t>.</w:t>
            </w:r>
          </w:p>
        </w:tc>
        <w:tc>
          <w:tcPr>
            <w:tcW w:w="2977" w:type="dxa"/>
            <w:shd w:val="clear" w:color="auto" w:fill="auto"/>
          </w:tcPr>
          <w:p w14:paraId="76B95D1B" w14:textId="77777777" w:rsidR="00EB12CC" w:rsidRPr="00DE1A22" w:rsidRDefault="00EB12CC" w:rsidP="00EB12CC">
            <w:pPr>
              <w:jc w:val="both"/>
              <w:rPr>
                <w:rFonts w:eastAsia="Times New Roman"/>
                <w:sz w:val="24"/>
                <w:szCs w:val="24"/>
                <w:lang w:eastAsia="lv-LV"/>
              </w:rPr>
            </w:pPr>
            <w:r w:rsidRPr="00DE1A22">
              <w:rPr>
                <w:rFonts w:eastAsia="Times New Roman"/>
                <w:sz w:val="24"/>
                <w:szCs w:val="24"/>
                <w:lang w:eastAsia="lv-LV"/>
              </w:rPr>
              <w:t>Projekta pielikuma 7. sadaļa “Latvijā nelegālās un nelicencētas azartspēles un izlozes un to novēršana</w:t>
            </w:r>
            <w:r w:rsidR="00B03E27" w:rsidRPr="00DE1A22">
              <w:rPr>
                <w:rFonts w:eastAsia="Times New Roman"/>
                <w:sz w:val="24"/>
                <w:szCs w:val="24"/>
                <w:lang w:eastAsia="lv-LV"/>
              </w:rPr>
              <w:t>.</w:t>
            </w:r>
            <w:r w:rsidRPr="00DE1A22">
              <w:rPr>
                <w:rFonts w:eastAsia="Times New Roman"/>
                <w:sz w:val="24"/>
                <w:szCs w:val="24"/>
                <w:lang w:eastAsia="lv-LV"/>
              </w:rPr>
              <w:t>”</w:t>
            </w:r>
          </w:p>
        </w:tc>
        <w:tc>
          <w:tcPr>
            <w:tcW w:w="4394" w:type="dxa"/>
            <w:shd w:val="clear" w:color="auto" w:fill="auto"/>
          </w:tcPr>
          <w:p w14:paraId="4035C401" w14:textId="77777777" w:rsidR="00EB12CC" w:rsidRPr="00DE1A22" w:rsidRDefault="00EB12CC" w:rsidP="00EB12CC">
            <w:pPr>
              <w:contextualSpacing/>
              <w:jc w:val="both"/>
              <w:rPr>
                <w:rFonts w:eastAsia="Times New Roman"/>
                <w:b/>
                <w:sz w:val="24"/>
                <w:szCs w:val="24"/>
                <w:lang w:eastAsia="lv-LV"/>
              </w:rPr>
            </w:pPr>
            <w:r w:rsidRPr="00DE1A22">
              <w:rPr>
                <w:rFonts w:eastAsia="Times New Roman"/>
                <w:b/>
                <w:sz w:val="24"/>
                <w:szCs w:val="24"/>
                <w:lang w:eastAsia="lv-LV"/>
              </w:rPr>
              <w:t>Satiksmes ministrija (28.01.2019. Nr.03-03/13)</w:t>
            </w:r>
          </w:p>
          <w:p w14:paraId="69AD231E" w14:textId="77777777" w:rsidR="00EB12CC" w:rsidRPr="00DE1A22" w:rsidRDefault="00EB12CC" w:rsidP="00EB12CC">
            <w:pPr>
              <w:jc w:val="both"/>
              <w:rPr>
                <w:rFonts w:eastAsia="Times New Roman"/>
                <w:sz w:val="24"/>
                <w:szCs w:val="24"/>
              </w:rPr>
            </w:pPr>
            <w:r w:rsidRPr="00DE1A22">
              <w:rPr>
                <w:rFonts w:eastAsia="Times New Roman"/>
                <w:sz w:val="24"/>
                <w:szCs w:val="24"/>
                <w:lang w:eastAsia="lv-LV"/>
              </w:rPr>
              <w:t>Pielikuma sadaļā “7. Latvijā nelegālās un nelicencētas azartspēles un izlozes un to novēršana” ir norādīts “kā vienu no iemesliem Latvijas interneta pakalpojumu sniedzēji min tiesību aktos noteikto regulējumu, kas nav efektīvi izpildāms un būtu pielāgojams aktuālajam bloķēšanas tehniskajām iespējām”. Lūdzam papildināt Pielikumu ar minēto regulējumu, kas norādīts kā neefektīvs, kā arī konkretizēt plānotās izmaiņas tajā.</w:t>
            </w:r>
          </w:p>
        </w:tc>
        <w:tc>
          <w:tcPr>
            <w:tcW w:w="3118" w:type="dxa"/>
            <w:shd w:val="clear" w:color="auto" w:fill="auto"/>
          </w:tcPr>
          <w:p w14:paraId="32291E0D" w14:textId="77777777" w:rsidR="00EB12CC" w:rsidRPr="00DE1A22" w:rsidRDefault="00EB12CC" w:rsidP="00EB12CC">
            <w:pPr>
              <w:jc w:val="center"/>
              <w:rPr>
                <w:rFonts w:eastAsia="Times New Roman"/>
                <w:b/>
                <w:bCs/>
                <w:sz w:val="24"/>
                <w:szCs w:val="24"/>
                <w:lang w:eastAsia="lv-LV"/>
              </w:rPr>
            </w:pPr>
            <w:r w:rsidRPr="00DE1A22">
              <w:rPr>
                <w:rFonts w:eastAsia="Times New Roman"/>
                <w:b/>
                <w:bCs/>
                <w:sz w:val="24"/>
                <w:szCs w:val="24"/>
                <w:lang w:eastAsia="lv-LV"/>
              </w:rPr>
              <w:t>Ņemts vērā.</w:t>
            </w:r>
          </w:p>
          <w:p w14:paraId="6E729EA1" w14:textId="77777777" w:rsidR="00EB12CC" w:rsidRPr="00DE1A22" w:rsidRDefault="00EB12CC" w:rsidP="00EB12CC">
            <w:pPr>
              <w:tabs>
                <w:tab w:val="left" w:pos="0"/>
                <w:tab w:val="left" w:pos="709"/>
                <w:tab w:val="left" w:pos="993"/>
              </w:tabs>
              <w:suppressAutoHyphens/>
              <w:jc w:val="both"/>
              <w:outlineLvl w:val="3"/>
              <w:rPr>
                <w:rFonts w:eastAsia="Times New Roman"/>
                <w:b/>
                <w:bCs/>
                <w:sz w:val="24"/>
                <w:szCs w:val="24"/>
                <w:lang w:eastAsia="lv-LV"/>
              </w:rPr>
            </w:pPr>
          </w:p>
        </w:tc>
        <w:tc>
          <w:tcPr>
            <w:tcW w:w="3402" w:type="dxa"/>
            <w:shd w:val="clear" w:color="auto" w:fill="auto"/>
          </w:tcPr>
          <w:p w14:paraId="3E3C7263" w14:textId="77777777" w:rsidR="00EB12CC" w:rsidRPr="00DE1A22" w:rsidRDefault="00CC79DF" w:rsidP="00EB12CC">
            <w:pPr>
              <w:jc w:val="both"/>
              <w:rPr>
                <w:rFonts w:eastAsia="Times New Roman"/>
                <w:sz w:val="24"/>
                <w:szCs w:val="24"/>
              </w:rPr>
            </w:pPr>
            <w:r w:rsidRPr="00DE1A22">
              <w:rPr>
                <w:rFonts w:eastAsia="Times New Roman"/>
                <w:bCs/>
                <w:sz w:val="24"/>
                <w:szCs w:val="24"/>
                <w:lang w:eastAsia="lv-LV"/>
              </w:rPr>
              <w:t>Projekts atbilstoši precizēts.</w:t>
            </w:r>
          </w:p>
        </w:tc>
      </w:tr>
      <w:tr w:rsidR="00EB12CC" w:rsidRPr="00DE1A22" w14:paraId="580D53C5" w14:textId="77777777" w:rsidTr="00BF4AE7">
        <w:trPr>
          <w:trHeight w:val="2543"/>
        </w:trPr>
        <w:tc>
          <w:tcPr>
            <w:tcW w:w="846" w:type="dxa"/>
            <w:gridSpan w:val="2"/>
            <w:shd w:val="clear" w:color="auto" w:fill="auto"/>
          </w:tcPr>
          <w:p w14:paraId="194FE27B" w14:textId="77777777" w:rsidR="00EB12CC" w:rsidRPr="00DE1A22" w:rsidRDefault="003D73B0" w:rsidP="00F03234">
            <w:pPr>
              <w:jc w:val="center"/>
              <w:rPr>
                <w:rFonts w:eastAsia="Times New Roman"/>
                <w:sz w:val="24"/>
                <w:szCs w:val="24"/>
                <w:lang w:eastAsia="lv-LV"/>
              </w:rPr>
            </w:pPr>
            <w:r w:rsidRPr="00DE1A22">
              <w:rPr>
                <w:rFonts w:eastAsia="Times New Roman"/>
                <w:sz w:val="24"/>
                <w:szCs w:val="24"/>
                <w:lang w:eastAsia="lv-LV"/>
              </w:rPr>
              <w:t>5</w:t>
            </w:r>
            <w:r w:rsidR="00F03234" w:rsidRPr="00DE1A22">
              <w:rPr>
                <w:rFonts w:eastAsia="Times New Roman"/>
                <w:sz w:val="24"/>
                <w:szCs w:val="24"/>
                <w:lang w:eastAsia="lv-LV"/>
              </w:rPr>
              <w:t>1</w:t>
            </w:r>
            <w:r w:rsidR="00EB12CC" w:rsidRPr="00DE1A22">
              <w:rPr>
                <w:rFonts w:eastAsia="Times New Roman"/>
                <w:sz w:val="24"/>
                <w:szCs w:val="24"/>
                <w:lang w:eastAsia="lv-LV"/>
              </w:rPr>
              <w:t>.</w:t>
            </w:r>
          </w:p>
        </w:tc>
        <w:tc>
          <w:tcPr>
            <w:tcW w:w="2977" w:type="dxa"/>
            <w:shd w:val="clear" w:color="auto" w:fill="auto"/>
          </w:tcPr>
          <w:p w14:paraId="28B03E1C" w14:textId="77777777" w:rsidR="00EB12CC" w:rsidRPr="00DE1A22" w:rsidRDefault="00EB12CC" w:rsidP="00EB12CC">
            <w:pPr>
              <w:jc w:val="both"/>
              <w:rPr>
                <w:rFonts w:eastAsia="Times New Roman"/>
                <w:sz w:val="24"/>
                <w:szCs w:val="24"/>
                <w:lang w:eastAsia="lv-LV"/>
              </w:rPr>
            </w:pPr>
            <w:r w:rsidRPr="00DE1A22">
              <w:rPr>
                <w:rFonts w:eastAsia="Times New Roman"/>
                <w:sz w:val="24"/>
                <w:szCs w:val="24"/>
                <w:lang w:eastAsia="lv-LV"/>
              </w:rPr>
              <w:t>Projekta pielikums kopumā.</w:t>
            </w:r>
          </w:p>
        </w:tc>
        <w:tc>
          <w:tcPr>
            <w:tcW w:w="4394" w:type="dxa"/>
            <w:shd w:val="clear" w:color="auto" w:fill="auto"/>
          </w:tcPr>
          <w:p w14:paraId="0C4B7F35" w14:textId="77777777" w:rsidR="00EB12CC" w:rsidRPr="00DE1A22" w:rsidRDefault="00EB12CC" w:rsidP="00EB12CC">
            <w:pPr>
              <w:jc w:val="both"/>
              <w:rPr>
                <w:rFonts w:eastAsia="Times New Roman"/>
                <w:sz w:val="24"/>
                <w:szCs w:val="24"/>
              </w:rPr>
            </w:pPr>
            <w:r w:rsidRPr="00DE1A22">
              <w:rPr>
                <w:rFonts w:eastAsia="Times New Roman"/>
                <w:sz w:val="24"/>
                <w:szCs w:val="24"/>
              </w:rPr>
              <w:t>Priekšlikums:</w:t>
            </w:r>
          </w:p>
          <w:p w14:paraId="475BCF39" w14:textId="77777777" w:rsidR="00EB12CC" w:rsidRPr="00DE1A22" w:rsidRDefault="00EB12CC" w:rsidP="00EB12CC">
            <w:pPr>
              <w:jc w:val="both"/>
              <w:rPr>
                <w:rFonts w:eastAsia="Times New Roman"/>
                <w:b/>
                <w:sz w:val="24"/>
                <w:szCs w:val="24"/>
              </w:rPr>
            </w:pPr>
            <w:r w:rsidRPr="00DE1A22">
              <w:rPr>
                <w:rFonts w:eastAsia="Times New Roman"/>
                <w:b/>
                <w:sz w:val="24"/>
                <w:szCs w:val="24"/>
              </w:rPr>
              <w:t>Vides aizsardzības un reģionālās attīstības ministrija (1-22/693)</w:t>
            </w:r>
          </w:p>
          <w:p w14:paraId="282995AD" w14:textId="77777777" w:rsidR="00EB12CC" w:rsidRPr="00DE1A22" w:rsidRDefault="00EB12CC" w:rsidP="00EB12CC">
            <w:pPr>
              <w:jc w:val="both"/>
              <w:rPr>
                <w:rFonts w:eastAsia="Times New Roman"/>
                <w:sz w:val="24"/>
                <w:szCs w:val="24"/>
              </w:rPr>
            </w:pPr>
            <w:r w:rsidRPr="00DE1A22">
              <w:rPr>
                <w:rFonts w:eastAsia="Times New Roman"/>
                <w:sz w:val="24"/>
                <w:szCs w:val="24"/>
              </w:rPr>
              <w:t>Pamatnostādnēs lietoto terminu “teritoriālais plānojums” un “teritoriālā plānošana” precizēt atbilstoši Teritorijas attīstības plānošanas likuma lietotajai terminoloģijai – “teritorijas plānojums” un “teritorijas plānošana”.</w:t>
            </w:r>
          </w:p>
        </w:tc>
        <w:tc>
          <w:tcPr>
            <w:tcW w:w="3118" w:type="dxa"/>
            <w:shd w:val="clear" w:color="auto" w:fill="auto"/>
          </w:tcPr>
          <w:p w14:paraId="5E5FCAC3" w14:textId="77777777" w:rsidR="00EB12CC" w:rsidRPr="00DE1A22" w:rsidRDefault="00EB12CC" w:rsidP="00EB12CC">
            <w:pPr>
              <w:tabs>
                <w:tab w:val="left" w:pos="0"/>
                <w:tab w:val="left" w:pos="709"/>
                <w:tab w:val="left" w:pos="993"/>
              </w:tabs>
              <w:suppressAutoHyphens/>
              <w:jc w:val="center"/>
              <w:outlineLvl w:val="3"/>
              <w:rPr>
                <w:rFonts w:eastAsia="Times New Roman"/>
                <w:sz w:val="24"/>
                <w:szCs w:val="24"/>
              </w:rPr>
            </w:pPr>
            <w:r w:rsidRPr="00DE1A22">
              <w:rPr>
                <w:rFonts w:eastAsia="Times New Roman"/>
                <w:b/>
                <w:bCs/>
                <w:sz w:val="24"/>
                <w:szCs w:val="24"/>
                <w:lang w:eastAsia="lv-LV"/>
              </w:rPr>
              <w:t>Ņemts vērā.</w:t>
            </w:r>
          </w:p>
          <w:p w14:paraId="1BF28E88" w14:textId="77777777" w:rsidR="00EB12CC" w:rsidRPr="00DE1A22" w:rsidRDefault="00EB12CC" w:rsidP="00EB12CC">
            <w:pPr>
              <w:tabs>
                <w:tab w:val="left" w:pos="0"/>
                <w:tab w:val="left" w:pos="709"/>
                <w:tab w:val="left" w:pos="993"/>
              </w:tabs>
              <w:suppressAutoHyphens/>
              <w:jc w:val="both"/>
              <w:outlineLvl w:val="3"/>
              <w:rPr>
                <w:rFonts w:eastAsia="Times New Roman"/>
                <w:b/>
                <w:bCs/>
                <w:sz w:val="24"/>
                <w:szCs w:val="24"/>
                <w:lang w:eastAsia="lv-LV"/>
              </w:rPr>
            </w:pPr>
          </w:p>
        </w:tc>
        <w:tc>
          <w:tcPr>
            <w:tcW w:w="3402" w:type="dxa"/>
            <w:shd w:val="clear" w:color="auto" w:fill="auto"/>
          </w:tcPr>
          <w:p w14:paraId="4352BC44" w14:textId="77777777" w:rsidR="00EB12CC" w:rsidRPr="00DE1A22" w:rsidRDefault="00CC79DF" w:rsidP="00EB12CC">
            <w:pPr>
              <w:jc w:val="both"/>
              <w:rPr>
                <w:rFonts w:eastAsia="Times New Roman"/>
                <w:sz w:val="24"/>
                <w:szCs w:val="24"/>
              </w:rPr>
            </w:pPr>
            <w:r w:rsidRPr="00DE1A22">
              <w:rPr>
                <w:rFonts w:eastAsia="Times New Roman"/>
                <w:sz w:val="24"/>
                <w:szCs w:val="24"/>
              </w:rPr>
              <w:t>Projekta pielikums atbilstoši precizēts.</w:t>
            </w:r>
          </w:p>
        </w:tc>
      </w:tr>
      <w:tr w:rsidR="00F03234" w:rsidRPr="00DE1A22" w14:paraId="040ED5A7" w14:textId="77777777" w:rsidTr="00BF4AE7">
        <w:trPr>
          <w:trHeight w:val="2543"/>
        </w:trPr>
        <w:tc>
          <w:tcPr>
            <w:tcW w:w="846" w:type="dxa"/>
            <w:gridSpan w:val="2"/>
            <w:shd w:val="clear" w:color="auto" w:fill="auto"/>
          </w:tcPr>
          <w:p w14:paraId="125388F5" w14:textId="77777777" w:rsidR="00F03234" w:rsidRPr="00DE1A22" w:rsidRDefault="00F03234" w:rsidP="00F03234">
            <w:pPr>
              <w:jc w:val="center"/>
              <w:rPr>
                <w:rFonts w:eastAsia="Times New Roman"/>
                <w:sz w:val="24"/>
                <w:szCs w:val="24"/>
                <w:lang w:eastAsia="lv-LV"/>
              </w:rPr>
            </w:pPr>
            <w:r w:rsidRPr="00DE1A22">
              <w:rPr>
                <w:rFonts w:eastAsia="Times New Roman"/>
                <w:sz w:val="24"/>
                <w:szCs w:val="24"/>
                <w:lang w:eastAsia="lv-LV"/>
              </w:rPr>
              <w:lastRenderedPageBreak/>
              <w:t>52.</w:t>
            </w:r>
          </w:p>
        </w:tc>
        <w:tc>
          <w:tcPr>
            <w:tcW w:w="2977" w:type="dxa"/>
            <w:shd w:val="clear" w:color="auto" w:fill="auto"/>
          </w:tcPr>
          <w:p w14:paraId="29B9D10F" w14:textId="77777777" w:rsidR="00F03234" w:rsidRPr="00DE1A22" w:rsidRDefault="00F03234" w:rsidP="00F03234">
            <w:pPr>
              <w:jc w:val="both"/>
              <w:rPr>
                <w:rFonts w:eastAsia="Times New Roman"/>
                <w:sz w:val="24"/>
                <w:szCs w:val="24"/>
                <w:lang w:eastAsia="lv-LV"/>
              </w:rPr>
            </w:pPr>
            <w:r w:rsidRPr="00DE1A22">
              <w:rPr>
                <w:rFonts w:eastAsia="Times New Roman"/>
                <w:sz w:val="24"/>
                <w:szCs w:val="24"/>
                <w:lang w:eastAsia="lv-LV"/>
              </w:rPr>
              <w:t>Projekts un projekta pielikums.</w:t>
            </w:r>
          </w:p>
        </w:tc>
        <w:tc>
          <w:tcPr>
            <w:tcW w:w="4394" w:type="dxa"/>
            <w:shd w:val="clear" w:color="auto" w:fill="auto"/>
          </w:tcPr>
          <w:p w14:paraId="5895ECD0" w14:textId="77777777" w:rsidR="00F03234" w:rsidRPr="00DE1A22" w:rsidRDefault="00F03234" w:rsidP="00F03234">
            <w:pPr>
              <w:jc w:val="both"/>
              <w:rPr>
                <w:rFonts w:eastAsia="Times New Roman"/>
                <w:b/>
                <w:sz w:val="24"/>
                <w:szCs w:val="24"/>
              </w:rPr>
            </w:pPr>
            <w:r w:rsidRPr="00DE1A22">
              <w:rPr>
                <w:rFonts w:eastAsia="Times New Roman"/>
                <w:b/>
                <w:sz w:val="24"/>
                <w:szCs w:val="24"/>
              </w:rPr>
              <w:t>Latvijas Reklāmas asociācija, Latvijas Raidorganizāciju asociācija (24.01.2019. Nr.2019/4)</w:t>
            </w:r>
          </w:p>
          <w:p w14:paraId="0AAAC287" w14:textId="77777777" w:rsidR="00F03234" w:rsidRPr="00DE1A22" w:rsidRDefault="00F03234" w:rsidP="00F03234">
            <w:pPr>
              <w:jc w:val="both"/>
              <w:rPr>
                <w:rFonts w:eastAsia="Times New Roman"/>
                <w:sz w:val="24"/>
                <w:szCs w:val="24"/>
              </w:rPr>
            </w:pPr>
            <w:r w:rsidRPr="00DE1A22">
              <w:rPr>
                <w:rFonts w:eastAsia="Times New Roman"/>
                <w:sz w:val="24"/>
                <w:szCs w:val="24"/>
              </w:rPr>
              <w:t xml:space="preserve">Pamatnostādnes ietver rīcības plānu izložu un azartspēļu jomā no 2019. līdz 2026.gadam un tas tiek balstīts uz Pamatnostādnēm pievienoto “Esošās situācijas vispārīgo raksturojumu”, turpmāk tekstā – Situācijas raksturojums. Lai gan Situācijas raksturojums attiecībā uz reklāmas jautājumiem ir korekts un tajā pat ir iekļauts Latvijas Raidorganizāciju asociācijas un Latvijas Reklāmas asociācijas kopīgais viedoklis par izlozēm un loterijām, esam neizpratnē par Pamatnostādņu izstrādes procesu un saturu. </w:t>
            </w:r>
          </w:p>
          <w:p w14:paraId="53F57C26" w14:textId="77777777" w:rsidR="00F03234" w:rsidRPr="00DE1A22" w:rsidRDefault="00F03234" w:rsidP="00F03234">
            <w:pPr>
              <w:jc w:val="both"/>
              <w:rPr>
                <w:rFonts w:eastAsia="Times New Roman"/>
                <w:sz w:val="24"/>
                <w:szCs w:val="24"/>
              </w:rPr>
            </w:pPr>
            <w:r w:rsidRPr="00DE1A22">
              <w:rPr>
                <w:rFonts w:eastAsia="Times New Roman"/>
                <w:sz w:val="24"/>
                <w:szCs w:val="24"/>
              </w:rPr>
              <w:tab/>
              <w:t>Pirmkārt, Pamatnostādņu izstrādes procesā netika iesaistītas ne tikai ar mediju un reklāmas vidi saistītās nevalstiskās organizācijas, bet pat par mediju nozari atbildīgās Kultūras ministrija un Nacionālo elektronisko plašsaziņas līdzekļu padome. Situācijas raksturojumā ir iekļauts tikai mūsu  viedoklis par izlozēm un loterijām, kuru uz savu iniciatīvu, nezinot par Pamatnostādņu izstrādes procesu, bet pamatojoties uz mūsu rīcībā pieejamo informāciju par iespējamajiem (apspriežamajiem) ierobežojumiem izlozēm un loterijām, nosūtījām Finanšu ministrijai. Nedz atbildi uz šo vēstuli no Finanšu ministrijas, nedz uzaicinājumu dalībai darba grupā, nedz kādu citu informāciju par Pamatnostādņu izstrādi, saņēmuši neesam.</w:t>
            </w:r>
          </w:p>
          <w:p w14:paraId="0BA8A61C" w14:textId="77777777" w:rsidR="00F03234" w:rsidRPr="00DE1A22" w:rsidRDefault="00F03234" w:rsidP="00F03234">
            <w:pPr>
              <w:jc w:val="both"/>
              <w:rPr>
                <w:rFonts w:eastAsia="Times New Roman"/>
                <w:sz w:val="24"/>
                <w:szCs w:val="24"/>
              </w:rPr>
            </w:pPr>
            <w:r w:rsidRPr="00DE1A22">
              <w:rPr>
                <w:rFonts w:eastAsia="Times New Roman"/>
                <w:sz w:val="24"/>
                <w:szCs w:val="24"/>
              </w:rPr>
              <w:lastRenderedPageBreak/>
              <w:t>Otrkārt, izvērtējot Pamatnostādnes, esam konstatējuši, ka Pamatnostādnes ne tikai nerisina Situācijas raksturojumā minētās problēmas, bet arī nesatur tajā iekļautos priekšlikumus. Šāda prakse, kad politikas plānošanas dokuments ir pretrunā situācijas analīzei, kas pamato politikas plānošanas dokumentu, neatbilsts labas pārvaldības principam un attiecīgi nenodrošina konstatēto problēmu risināšanu.</w:t>
            </w:r>
          </w:p>
          <w:p w14:paraId="5FF92DA7" w14:textId="77777777" w:rsidR="00F03234" w:rsidRPr="00DE1A22" w:rsidRDefault="00F03234" w:rsidP="00F03234">
            <w:pPr>
              <w:jc w:val="both"/>
              <w:rPr>
                <w:rFonts w:eastAsia="Times New Roman"/>
                <w:sz w:val="24"/>
                <w:szCs w:val="24"/>
              </w:rPr>
            </w:pPr>
            <w:r w:rsidRPr="00DE1A22">
              <w:rPr>
                <w:rFonts w:eastAsia="Times New Roman"/>
                <w:sz w:val="24"/>
                <w:szCs w:val="24"/>
              </w:rPr>
              <w:t>Lai novērstu minētās negatīvās sekas, ir jārealizē Situācijas aprakstā minētā Eiropas valstu pieredze un Eiropas Komisijas rekomendācijas (Situācijas apraksta rekomendācijas), kas nosaka, ka azartspēlēm nav jānosaka strikti reklāmas izplatīšanas ierobežojumi, bet reklāmas izvietošana ir jāregulē nosakot, kur tās var tikt izplatītas, kā arī strikti regulējot to saturu. Pamatojoties uz minēto, lūdzam papildināt Pamatnostādņu 3. rīcības virzienu – Azartspēļu un izložu reklāmas ierobežošana ar sekojošu punktu:</w:t>
            </w:r>
          </w:p>
          <w:p w14:paraId="75594352" w14:textId="77777777" w:rsidR="00F03234" w:rsidRPr="00DE1A22" w:rsidRDefault="00F03234" w:rsidP="00F03234">
            <w:pPr>
              <w:jc w:val="both"/>
              <w:rPr>
                <w:rFonts w:eastAsia="Times New Roman"/>
                <w:sz w:val="24"/>
                <w:szCs w:val="24"/>
              </w:rPr>
            </w:pPr>
            <w:r w:rsidRPr="00DE1A22">
              <w:rPr>
                <w:rFonts w:eastAsia="Times New Roman"/>
                <w:sz w:val="24"/>
                <w:szCs w:val="24"/>
              </w:rPr>
              <w:t>“Respektējot citu valstu pieredzi un Eiropas Komisijas rekomendācijas, pārskatīt azartspēļu reklāmas aizliegumu.”</w:t>
            </w:r>
          </w:p>
        </w:tc>
        <w:tc>
          <w:tcPr>
            <w:tcW w:w="3118" w:type="dxa"/>
            <w:shd w:val="clear" w:color="auto" w:fill="auto"/>
          </w:tcPr>
          <w:p w14:paraId="7C7890F4" w14:textId="77777777" w:rsidR="00F03234" w:rsidRPr="00DE1A22" w:rsidRDefault="00F03234" w:rsidP="00F03234">
            <w:pPr>
              <w:tabs>
                <w:tab w:val="left" w:pos="0"/>
                <w:tab w:val="left" w:pos="709"/>
                <w:tab w:val="left" w:pos="993"/>
              </w:tabs>
              <w:suppressAutoHyphens/>
              <w:jc w:val="center"/>
              <w:outlineLvl w:val="3"/>
              <w:rPr>
                <w:rFonts w:eastAsia="Times New Roman"/>
                <w:b/>
                <w:bCs/>
                <w:sz w:val="24"/>
                <w:szCs w:val="24"/>
                <w:lang w:eastAsia="lv-LV"/>
              </w:rPr>
            </w:pPr>
            <w:r w:rsidRPr="00DE1A22">
              <w:rPr>
                <w:rFonts w:eastAsia="Times New Roman"/>
                <w:b/>
                <w:bCs/>
                <w:sz w:val="24"/>
                <w:szCs w:val="24"/>
                <w:lang w:eastAsia="lv-LV"/>
              </w:rPr>
              <w:lastRenderedPageBreak/>
              <w:t>Ņemts vērā.</w:t>
            </w:r>
          </w:p>
        </w:tc>
        <w:tc>
          <w:tcPr>
            <w:tcW w:w="3402" w:type="dxa"/>
            <w:shd w:val="clear" w:color="auto" w:fill="auto"/>
          </w:tcPr>
          <w:p w14:paraId="385DDDB2" w14:textId="77777777" w:rsidR="00F03234" w:rsidRPr="00DE1A22" w:rsidRDefault="00F03234" w:rsidP="00F03234">
            <w:pPr>
              <w:jc w:val="both"/>
              <w:rPr>
                <w:rFonts w:eastAsia="Times New Roman"/>
                <w:sz w:val="24"/>
                <w:szCs w:val="24"/>
              </w:rPr>
            </w:pPr>
            <w:r w:rsidRPr="00DE1A22">
              <w:rPr>
                <w:rFonts w:eastAsia="Times New Roman"/>
                <w:sz w:val="24"/>
                <w:szCs w:val="24"/>
              </w:rPr>
              <w:t>Projekts un projekta pielikums atbilstoši precizēts.</w:t>
            </w:r>
          </w:p>
        </w:tc>
      </w:tr>
      <w:tr w:rsidR="00C311AB" w:rsidRPr="00DE1A22" w14:paraId="37BCCE65" w14:textId="77777777" w:rsidTr="00BF4AE7">
        <w:trPr>
          <w:trHeight w:val="2543"/>
        </w:trPr>
        <w:tc>
          <w:tcPr>
            <w:tcW w:w="846" w:type="dxa"/>
            <w:gridSpan w:val="2"/>
            <w:shd w:val="clear" w:color="auto" w:fill="auto"/>
          </w:tcPr>
          <w:p w14:paraId="48270EEE" w14:textId="77777777" w:rsidR="00C311AB" w:rsidRPr="00DE1A22" w:rsidRDefault="00C311AB" w:rsidP="00F03234">
            <w:pPr>
              <w:jc w:val="center"/>
              <w:rPr>
                <w:rFonts w:eastAsia="Times New Roman"/>
                <w:sz w:val="24"/>
                <w:szCs w:val="24"/>
                <w:lang w:eastAsia="lv-LV"/>
              </w:rPr>
            </w:pPr>
            <w:r w:rsidRPr="00DE1A22">
              <w:rPr>
                <w:rFonts w:eastAsia="Times New Roman"/>
                <w:sz w:val="24"/>
                <w:szCs w:val="24"/>
                <w:lang w:eastAsia="lv-LV"/>
              </w:rPr>
              <w:t>53.</w:t>
            </w:r>
          </w:p>
        </w:tc>
        <w:tc>
          <w:tcPr>
            <w:tcW w:w="2977" w:type="dxa"/>
            <w:shd w:val="clear" w:color="auto" w:fill="auto"/>
          </w:tcPr>
          <w:p w14:paraId="1D74A132" w14:textId="77777777" w:rsidR="00C311AB" w:rsidRPr="00DE1A22" w:rsidRDefault="00C311AB" w:rsidP="00F03234">
            <w:pPr>
              <w:jc w:val="both"/>
              <w:rPr>
                <w:rFonts w:eastAsia="Times New Roman"/>
                <w:sz w:val="24"/>
                <w:szCs w:val="24"/>
                <w:lang w:eastAsia="lv-LV"/>
              </w:rPr>
            </w:pPr>
            <w:r w:rsidRPr="00DE1A22">
              <w:rPr>
                <w:rFonts w:eastAsia="Times New Roman"/>
                <w:sz w:val="24"/>
                <w:szCs w:val="24"/>
                <w:lang w:eastAsia="lv-LV"/>
              </w:rPr>
              <w:t>Projekts un projekta pielikums.</w:t>
            </w:r>
          </w:p>
        </w:tc>
        <w:tc>
          <w:tcPr>
            <w:tcW w:w="4394" w:type="dxa"/>
            <w:shd w:val="clear" w:color="auto" w:fill="auto"/>
          </w:tcPr>
          <w:p w14:paraId="1E58C1C0" w14:textId="77777777" w:rsidR="00C311AB" w:rsidRPr="00DE1A22" w:rsidRDefault="00C311AB" w:rsidP="00F03234">
            <w:pPr>
              <w:jc w:val="both"/>
              <w:rPr>
                <w:rFonts w:eastAsia="Times New Roman"/>
                <w:b/>
                <w:sz w:val="24"/>
                <w:szCs w:val="24"/>
              </w:rPr>
            </w:pPr>
            <w:r w:rsidRPr="00DE1A22">
              <w:rPr>
                <w:rFonts w:eastAsia="Times New Roman"/>
                <w:b/>
                <w:sz w:val="24"/>
                <w:szCs w:val="24"/>
              </w:rPr>
              <w:t>Nacionālā elektronisko plašsaziņas līdzekļu padome (04.02.2019. Nr.4-3/119)</w:t>
            </w:r>
          </w:p>
          <w:p w14:paraId="4E0D9A45" w14:textId="77777777" w:rsidR="008A55AA" w:rsidRPr="00DE1A22" w:rsidRDefault="008A55AA" w:rsidP="008A55AA">
            <w:pPr>
              <w:jc w:val="both"/>
              <w:rPr>
                <w:rFonts w:eastAsia="Times New Roman"/>
                <w:sz w:val="24"/>
                <w:szCs w:val="24"/>
              </w:rPr>
            </w:pPr>
            <w:r w:rsidRPr="00DE1A22">
              <w:rPr>
                <w:rFonts w:eastAsia="Times New Roman"/>
                <w:sz w:val="24"/>
                <w:szCs w:val="24"/>
              </w:rPr>
              <w:t xml:space="preserve">Izanalizējot pamatnostādņu pielikumu “Esošās situācijas raksturojums”, konstatējams, ka pamatnostādnes nepilnīgi aptver situācijas raksturojumā ietvertās problēmas kā arī tajā iekļautos priekšlikumus, proti, netiek noteikta azartspēļu reklāmas aizlieguma pārskatīšana, respektējot citu valstu </w:t>
            </w:r>
            <w:r w:rsidRPr="00DE1A22">
              <w:rPr>
                <w:rFonts w:eastAsia="Times New Roman"/>
                <w:sz w:val="24"/>
                <w:szCs w:val="24"/>
              </w:rPr>
              <w:lastRenderedPageBreak/>
              <w:t>pieredzi un Eiropas Komisijas rekomendācijas.</w:t>
            </w:r>
          </w:p>
          <w:p w14:paraId="7AE439C1" w14:textId="77777777" w:rsidR="008A55AA" w:rsidRPr="00DE1A22" w:rsidRDefault="008A55AA" w:rsidP="008A55AA">
            <w:pPr>
              <w:jc w:val="both"/>
              <w:rPr>
                <w:rFonts w:eastAsia="Times New Roman"/>
                <w:sz w:val="24"/>
                <w:szCs w:val="24"/>
              </w:rPr>
            </w:pPr>
            <w:r w:rsidRPr="00DE1A22">
              <w:rPr>
                <w:rFonts w:eastAsia="Times New Roman"/>
                <w:sz w:val="24"/>
                <w:szCs w:val="24"/>
              </w:rPr>
              <w:t>Padome norāda, ka spēkā esošie ierobežojumi azartspēļu un izložu reklāmas jomā Latvijas jurisdikcijā esošajos elektroniskajos plašsaziņas līdzekļos ir diskriminējoši un neefektīvi, pamatojot savu viedokli ar šādiem apsvērumiem:</w:t>
            </w:r>
          </w:p>
          <w:p w14:paraId="2088A883" w14:textId="77777777" w:rsidR="008A55AA" w:rsidRPr="00DE1A22" w:rsidRDefault="008A55AA" w:rsidP="008A55AA">
            <w:pPr>
              <w:jc w:val="both"/>
              <w:rPr>
                <w:rFonts w:eastAsia="Times New Roman"/>
                <w:sz w:val="24"/>
                <w:szCs w:val="24"/>
              </w:rPr>
            </w:pPr>
            <w:r w:rsidRPr="00DE1A22">
              <w:rPr>
                <w:rFonts w:eastAsia="Times New Roman"/>
                <w:sz w:val="24"/>
                <w:szCs w:val="24"/>
              </w:rPr>
              <w:t>1) tie neattiecas un nevar atteikties uz citiem ES valstīs reģistrētiem elektroniskiem plašsaziņas līdzekļiem, kā arī trešajās valstīs reģistrētiem elektroniskajiem plašsaziņas līdzekļiem. Šis nosacījums izriet no starptautiskajām saistībām, kuras Latvija ir uzņēmusies, pievienojoties ES tiesību un saistību kopumam, kā arī ratificējot Eiropas Padomes konvenciju par pārrobežu televīziju, kas nosaka brīvu pakalpojumu kustību vienotajā ES tirgū un paredz retranslācijas brīvību (4.pants). Latvijā šobrīd tiek translētas vairāk nekā 300 dažādu valstu televīzijas programmas, kurās tiek izvietota reklāma;</w:t>
            </w:r>
          </w:p>
          <w:p w14:paraId="35B565C2" w14:textId="77777777" w:rsidR="008A55AA" w:rsidRPr="00DE1A22" w:rsidRDefault="008A55AA" w:rsidP="008A55AA">
            <w:pPr>
              <w:jc w:val="both"/>
              <w:rPr>
                <w:rFonts w:eastAsia="Times New Roman"/>
                <w:sz w:val="24"/>
                <w:szCs w:val="24"/>
              </w:rPr>
            </w:pPr>
            <w:r w:rsidRPr="00DE1A22">
              <w:rPr>
                <w:rFonts w:eastAsia="Times New Roman"/>
                <w:sz w:val="24"/>
                <w:szCs w:val="24"/>
              </w:rPr>
              <w:t>2) ierobežojumi neattiecas uz intemeta vietnēm, un tos principā nebūtu iespējams attiecināt uz citās valstīs reģistrētajām intemeta vietnēm. Proti, šīm vietnēm nav piemērojams nacionālais regulējums, jo tās neatrodas Latvijas jurisdikcijā;</w:t>
            </w:r>
          </w:p>
          <w:p w14:paraId="0B0D97D9" w14:textId="77777777" w:rsidR="008A55AA" w:rsidRPr="00DE1A22" w:rsidRDefault="008A55AA" w:rsidP="008A55AA">
            <w:pPr>
              <w:jc w:val="both"/>
              <w:rPr>
                <w:rFonts w:eastAsia="Times New Roman"/>
                <w:sz w:val="24"/>
                <w:szCs w:val="24"/>
              </w:rPr>
            </w:pPr>
            <w:r w:rsidRPr="00DE1A22">
              <w:rPr>
                <w:rFonts w:eastAsia="Times New Roman"/>
                <w:sz w:val="24"/>
                <w:szCs w:val="24"/>
              </w:rPr>
              <w:t>3) finanšu resursi, kurus reklāmdevēji iegulda Latvijā reģistrētajos elektroniskajos</w:t>
            </w:r>
          </w:p>
          <w:p w14:paraId="2387278A" w14:textId="77777777" w:rsidR="008A55AA" w:rsidRPr="00DE1A22" w:rsidRDefault="008A55AA" w:rsidP="008A55AA">
            <w:pPr>
              <w:jc w:val="both"/>
              <w:rPr>
                <w:rFonts w:eastAsia="Times New Roman"/>
                <w:sz w:val="24"/>
                <w:szCs w:val="24"/>
              </w:rPr>
            </w:pPr>
            <w:r w:rsidRPr="00DE1A22">
              <w:rPr>
                <w:rFonts w:eastAsia="Times New Roman"/>
                <w:sz w:val="24"/>
                <w:szCs w:val="24"/>
              </w:rPr>
              <w:t xml:space="preserve">plašsaziņas līdzekļos, nonāks pārrobežu medijos, kropļojot tirgu, mazinot nacionālās informatīvās vides konkurētspēju un nacionālā mediju satura veidošanas kapacitāti. Tas negatīvi </w:t>
            </w:r>
            <w:r w:rsidRPr="00DE1A22">
              <w:rPr>
                <w:rFonts w:eastAsia="Times New Roman"/>
                <w:sz w:val="24"/>
                <w:szCs w:val="24"/>
              </w:rPr>
              <w:lastRenderedPageBreak/>
              <w:t>ietekmēs sabiedrības intereses, samazinot satura apjomu un daudzveidību, tādējādi samazinot nacionālo kultūras telpu.</w:t>
            </w:r>
          </w:p>
          <w:p w14:paraId="1304AC75" w14:textId="77777777" w:rsidR="008A55AA" w:rsidRPr="00DE1A22" w:rsidRDefault="008A55AA" w:rsidP="008A55AA">
            <w:pPr>
              <w:jc w:val="both"/>
              <w:rPr>
                <w:rFonts w:eastAsia="Times New Roman"/>
                <w:sz w:val="24"/>
                <w:szCs w:val="24"/>
              </w:rPr>
            </w:pPr>
            <w:r w:rsidRPr="00DE1A22">
              <w:rPr>
                <w:rFonts w:eastAsia="Times New Roman"/>
                <w:sz w:val="24"/>
                <w:szCs w:val="24"/>
              </w:rPr>
              <w:t>Lai novērstu minētās negatīvās sekas, ir jārealizē pamatnostādņu pielikumā esošās</w:t>
            </w:r>
          </w:p>
          <w:p w14:paraId="3558B762" w14:textId="77777777" w:rsidR="00C311AB" w:rsidRPr="00DE1A22" w:rsidRDefault="008A55AA" w:rsidP="008A55AA">
            <w:pPr>
              <w:jc w:val="both"/>
              <w:rPr>
                <w:rFonts w:eastAsia="Times New Roman"/>
                <w:sz w:val="24"/>
                <w:szCs w:val="24"/>
              </w:rPr>
            </w:pPr>
            <w:r w:rsidRPr="00DE1A22">
              <w:rPr>
                <w:rFonts w:eastAsia="Times New Roman"/>
                <w:sz w:val="24"/>
                <w:szCs w:val="24"/>
              </w:rPr>
              <w:t>situācijas aprakstā minētā Eiropas valstu pieredze un Eiropas Komisijas rekomendācijas, kas nosaka, ka azartspēlēm nav jānosaka strikti reklāmas izplatīšanas ierobežojumi, bet reklāmas izvietošana ir jāregulē nosakot, kur tās var tikt izplatītas, kā arī strikti regulējot to saturu. Ārvalstu pieredze, ierobežojot azartspēļu reklāmas, ir dažāda, paredzot rūpīgu kontroli, skaidri nosakot reklāmas saturu, reklamēšanas vietu un laiku, gan brīvu azartspēļu reklamēšanu dažādās informācijas platformās.</w:t>
            </w:r>
          </w:p>
          <w:p w14:paraId="277FEAE4" w14:textId="77777777" w:rsidR="008A55AA" w:rsidRPr="00DE1A22" w:rsidRDefault="008A55AA" w:rsidP="008A55AA">
            <w:pPr>
              <w:jc w:val="both"/>
              <w:rPr>
                <w:rFonts w:eastAsia="Times New Roman"/>
                <w:sz w:val="24"/>
                <w:szCs w:val="24"/>
              </w:rPr>
            </w:pPr>
            <w:r w:rsidRPr="00DE1A22">
              <w:rPr>
                <w:rFonts w:eastAsia="Times New Roman"/>
                <w:sz w:val="24"/>
                <w:szCs w:val="24"/>
              </w:rPr>
              <w:t>Mediju vides pēdējie pētījumi skaidri norāda, ka, ierobežojot azartspēļu un izložu</w:t>
            </w:r>
          </w:p>
          <w:p w14:paraId="716300D2" w14:textId="77777777" w:rsidR="008A55AA" w:rsidRPr="00DE1A22" w:rsidRDefault="008A55AA" w:rsidP="008A55AA">
            <w:pPr>
              <w:jc w:val="both"/>
              <w:rPr>
                <w:rFonts w:eastAsia="Times New Roman"/>
                <w:sz w:val="24"/>
                <w:szCs w:val="24"/>
              </w:rPr>
            </w:pPr>
            <w:r w:rsidRPr="00DE1A22">
              <w:rPr>
                <w:rFonts w:eastAsia="Times New Roman"/>
                <w:sz w:val="24"/>
                <w:szCs w:val="24"/>
              </w:rPr>
              <w:t>reklāmas ietekmi uz sabiedrību, pieaugs pārrobežu mediju patēriņš, kas jau šobrīd būtiski dominē gados jauno iedzīvotāju vidū. Savukārt nacionālie mediji šajā auditorijas daļā kļūst mazāk ietekmīgi, jo zaudē pārrobežu medijiem satura daudzveidības un kvalitātes ziņā. Samazinot no reklāmas gūto ieņēmumu apjomu un nosakot jaunus ierobežojumus nacionālajiem medijiem, šī tendence pastiprināsies.</w:t>
            </w:r>
          </w:p>
          <w:p w14:paraId="7E2369E0" w14:textId="77777777" w:rsidR="008A55AA" w:rsidRPr="00DE1A22" w:rsidRDefault="008A55AA" w:rsidP="008A55AA">
            <w:pPr>
              <w:jc w:val="both"/>
              <w:rPr>
                <w:rFonts w:eastAsia="Times New Roman"/>
                <w:sz w:val="24"/>
                <w:szCs w:val="24"/>
              </w:rPr>
            </w:pPr>
            <w:r w:rsidRPr="00DE1A22">
              <w:rPr>
                <w:rFonts w:eastAsia="Times New Roman"/>
                <w:sz w:val="24"/>
                <w:szCs w:val="24"/>
              </w:rPr>
              <w:t xml:space="preserve">Ņemot vērā iepriekš minētos argumentus, aicinām Finanšu ministriju izvērtēt iespēju papildināt "Azartspēļu un izložu politikas pamatnostādņu 2019.-2026.gadam" 3. rīcības virzienu - Azartspēļu un izložu </w:t>
            </w:r>
            <w:r w:rsidRPr="00DE1A22">
              <w:rPr>
                <w:rFonts w:eastAsia="Times New Roman"/>
                <w:sz w:val="24"/>
                <w:szCs w:val="24"/>
              </w:rPr>
              <w:lastRenderedPageBreak/>
              <w:t>reklāmas ierobežošana ar sekojošu punktu: “Respektējot citu valstu pieredzi un Eiropas Komisijas rekomendācijas, pārskatīt reklāmas aizliegumu.”</w:t>
            </w:r>
          </w:p>
        </w:tc>
        <w:tc>
          <w:tcPr>
            <w:tcW w:w="3118" w:type="dxa"/>
            <w:shd w:val="clear" w:color="auto" w:fill="auto"/>
          </w:tcPr>
          <w:p w14:paraId="2FA1C4AA" w14:textId="77777777" w:rsidR="00C311AB" w:rsidRPr="00DE1A22" w:rsidRDefault="00C311AB" w:rsidP="00F03234">
            <w:pPr>
              <w:tabs>
                <w:tab w:val="left" w:pos="0"/>
                <w:tab w:val="left" w:pos="709"/>
                <w:tab w:val="left" w:pos="993"/>
              </w:tabs>
              <w:suppressAutoHyphens/>
              <w:jc w:val="center"/>
              <w:outlineLvl w:val="3"/>
              <w:rPr>
                <w:rFonts w:eastAsia="Times New Roman"/>
                <w:b/>
                <w:bCs/>
                <w:sz w:val="24"/>
                <w:szCs w:val="24"/>
                <w:lang w:eastAsia="lv-LV"/>
              </w:rPr>
            </w:pPr>
            <w:r w:rsidRPr="00DE1A22">
              <w:rPr>
                <w:rFonts w:eastAsia="Times New Roman"/>
                <w:b/>
                <w:bCs/>
                <w:sz w:val="24"/>
                <w:szCs w:val="24"/>
                <w:lang w:eastAsia="lv-LV"/>
              </w:rPr>
              <w:lastRenderedPageBreak/>
              <w:t>Ņemts vērā.</w:t>
            </w:r>
          </w:p>
        </w:tc>
        <w:tc>
          <w:tcPr>
            <w:tcW w:w="3402" w:type="dxa"/>
            <w:shd w:val="clear" w:color="auto" w:fill="auto"/>
          </w:tcPr>
          <w:p w14:paraId="6C028532" w14:textId="77777777" w:rsidR="00C311AB" w:rsidRPr="00DE1A22" w:rsidRDefault="00C311AB" w:rsidP="00F03234">
            <w:pPr>
              <w:jc w:val="both"/>
              <w:rPr>
                <w:rFonts w:eastAsia="Times New Roman"/>
                <w:sz w:val="24"/>
                <w:szCs w:val="24"/>
              </w:rPr>
            </w:pPr>
            <w:r w:rsidRPr="00DE1A22">
              <w:rPr>
                <w:rFonts w:eastAsia="Times New Roman"/>
                <w:sz w:val="24"/>
                <w:szCs w:val="24"/>
              </w:rPr>
              <w:t>Projekts un projekta pielikums atbilstoši precizēts.</w:t>
            </w:r>
          </w:p>
        </w:tc>
      </w:tr>
    </w:tbl>
    <w:tbl>
      <w:tblPr>
        <w:tblW w:w="5000" w:type="pct"/>
        <w:tblLook w:val="00A0" w:firstRow="1" w:lastRow="0" w:firstColumn="1" w:lastColumn="0" w:noHBand="0" w:noVBand="0"/>
      </w:tblPr>
      <w:tblGrid>
        <w:gridCol w:w="117"/>
        <w:gridCol w:w="3651"/>
        <w:gridCol w:w="5222"/>
        <w:gridCol w:w="6033"/>
      </w:tblGrid>
      <w:tr w:rsidR="00CF69B7" w:rsidRPr="00DE1A22" w14:paraId="689DB5FD" w14:textId="77777777" w:rsidTr="00F64F1D">
        <w:tc>
          <w:tcPr>
            <w:tcW w:w="1254" w:type="pct"/>
            <w:gridSpan w:val="2"/>
          </w:tcPr>
          <w:p w14:paraId="6146BCA6" w14:textId="77777777" w:rsidR="00CF69B7" w:rsidRPr="00DE1A22" w:rsidRDefault="00CF69B7" w:rsidP="009A546B">
            <w:pPr>
              <w:pStyle w:val="naiskr"/>
              <w:spacing w:before="0" w:after="0"/>
              <w:ind w:firstLine="720"/>
            </w:pPr>
          </w:p>
          <w:p w14:paraId="71C022D7" w14:textId="77777777" w:rsidR="00990D6F" w:rsidRPr="00DE1A22" w:rsidRDefault="00990D6F" w:rsidP="009A546B">
            <w:pPr>
              <w:pStyle w:val="naiskr"/>
              <w:spacing w:before="0" w:after="0"/>
              <w:ind w:firstLine="720"/>
            </w:pPr>
          </w:p>
        </w:tc>
        <w:tc>
          <w:tcPr>
            <w:tcW w:w="3746" w:type="pct"/>
            <w:gridSpan w:val="2"/>
            <w:tcBorders>
              <w:top w:val="single" w:sz="6" w:space="0" w:color="000000"/>
              <w:bottom w:val="single" w:sz="6" w:space="0" w:color="000000"/>
            </w:tcBorders>
          </w:tcPr>
          <w:p w14:paraId="73057994" w14:textId="77777777" w:rsidR="00CF69B7" w:rsidRPr="00DE1A22" w:rsidRDefault="00CF69B7" w:rsidP="009A546B">
            <w:pPr>
              <w:rPr>
                <w:sz w:val="24"/>
                <w:szCs w:val="24"/>
              </w:rPr>
            </w:pPr>
            <w:r w:rsidRPr="00DE1A22">
              <w:rPr>
                <w:sz w:val="24"/>
                <w:szCs w:val="24"/>
              </w:rPr>
              <w:t xml:space="preserve">(paraksts)* </w:t>
            </w:r>
          </w:p>
          <w:p w14:paraId="34161D20" w14:textId="77777777" w:rsidR="00CF69B7" w:rsidRPr="00DE1A22" w:rsidRDefault="00CF69B7" w:rsidP="009A546B">
            <w:pPr>
              <w:ind w:left="-108"/>
              <w:jc w:val="both"/>
              <w:rPr>
                <w:sz w:val="24"/>
                <w:szCs w:val="24"/>
              </w:rPr>
            </w:pPr>
            <w:r w:rsidRPr="00DE1A22">
              <w:rPr>
                <w:sz w:val="24"/>
                <w:szCs w:val="24"/>
              </w:rPr>
              <w:t>Piezīme. *Dokumenta rekvizītu "paraksts" neaizpilda, ja elektroniskais dokuments ir sagatavots atbilstoši normatīvajiem aktiem par elektronisko dokumentu noformēšanu.</w:t>
            </w:r>
          </w:p>
          <w:p w14:paraId="4F681FED" w14:textId="77777777" w:rsidR="00CF69B7" w:rsidRPr="00DE1A22" w:rsidRDefault="00CF69B7" w:rsidP="009A546B">
            <w:pPr>
              <w:jc w:val="both"/>
              <w:rPr>
                <w:sz w:val="24"/>
                <w:szCs w:val="24"/>
              </w:rPr>
            </w:pPr>
          </w:p>
        </w:tc>
      </w:tr>
      <w:tr w:rsidR="00CF69B7" w:rsidRPr="00DE1A22" w14:paraId="0B90E945" w14:textId="77777777" w:rsidTr="00F64F1D">
        <w:tc>
          <w:tcPr>
            <w:tcW w:w="1254" w:type="pct"/>
            <w:gridSpan w:val="2"/>
          </w:tcPr>
          <w:p w14:paraId="055BA486" w14:textId="77777777" w:rsidR="00CF69B7" w:rsidRPr="00DE1A22" w:rsidRDefault="00CF69B7" w:rsidP="009A546B">
            <w:pPr>
              <w:pStyle w:val="naiskr"/>
              <w:spacing w:before="0" w:after="0"/>
              <w:ind w:firstLine="720"/>
            </w:pPr>
          </w:p>
        </w:tc>
        <w:tc>
          <w:tcPr>
            <w:tcW w:w="3746" w:type="pct"/>
            <w:gridSpan w:val="2"/>
            <w:tcBorders>
              <w:top w:val="single" w:sz="6" w:space="0" w:color="000000"/>
            </w:tcBorders>
          </w:tcPr>
          <w:p w14:paraId="27C35497" w14:textId="77777777" w:rsidR="00CF69B7" w:rsidRPr="00DE1A22" w:rsidRDefault="00CF69B7" w:rsidP="009A546B">
            <w:pPr>
              <w:rPr>
                <w:sz w:val="24"/>
                <w:szCs w:val="24"/>
              </w:rPr>
            </w:pPr>
          </w:p>
        </w:tc>
      </w:tr>
      <w:tr w:rsidR="00CF69B7" w:rsidRPr="00DE1A22" w14:paraId="44D9A3E7" w14:textId="77777777" w:rsidTr="00F64F1D">
        <w:trPr>
          <w:gridBefore w:val="1"/>
          <w:gridAfter w:val="1"/>
          <w:wBefore w:w="39" w:type="pct"/>
          <w:wAfter w:w="2009" w:type="pct"/>
        </w:trPr>
        <w:tc>
          <w:tcPr>
            <w:tcW w:w="2953" w:type="pct"/>
            <w:gridSpan w:val="2"/>
            <w:tcBorders>
              <w:top w:val="single" w:sz="4" w:space="0" w:color="000000"/>
            </w:tcBorders>
          </w:tcPr>
          <w:p w14:paraId="5151A953" w14:textId="77777777" w:rsidR="00CF69B7" w:rsidRPr="00DE1A22" w:rsidRDefault="00CF69B7" w:rsidP="009A546B">
            <w:pPr>
              <w:jc w:val="center"/>
              <w:rPr>
                <w:sz w:val="24"/>
                <w:szCs w:val="24"/>
              </w:rPr>
            </w:pPr>
            <w:r w:rsidRPr="00DE1A22">
              <w:rPr>
                <w:sz w:val="24"/>
                <w:szCs w:val="24"/>
              </w:rPr>
              <w:t xml:space="preserve"> (par projektu atbildīgās amatpersonas vārds un uzvārds)</w:t>
            </w:r>
          </w:p>
        </w:tc>
      </w:tr>
      <w:tr w:rsidR="00CF69B7" w:rsidRPr="00DE1A22" w14:paraId="5FBD407C" w14:textId="77777777" w:rsidTr="00F64F1D">
        <w:trPr>
          <w:gridBefore w:val="1"/>
          <w:gridAfter w:val="1"/>
          <w:wBefore w:w="39" w:type="pct"/>
          <w:wAfter w:w="2009" w:type="pct"/>
        </w:trPr>
        <w:tc>
          <w:tcPr>
            <w:tcW w:w="2953" w:type="pct"/>
            <w:gridSpan w:val="2"/>
            <w:tcBorders>
              <w:bottom w:val="single" w:sz="4" w:space="0" w:color="000000"/>
            </w:tcBorders>
          </w:tcPr>
          <w:p w14:paraId="6C71AB15" w14:textId="77777777" w:rsidR="00CF69B7" w:rsidRPr="00DE1A22" w:rsidRDefault="00CF69B7" w:rsidP="009A546B">
            <w:pPr>
              <w:tabs>
                <w:tab w:val="left" w:pos="6990"/>
              </w:tabs>
              <w:ind w:firstLine="720"/>
              <w:jc w:val="center"/>
              <w:rPr>
                <w:sz w:val="24"/>
                <w:szCs w:val="24"/>
              </w:rPr>
            </w:pPr>
          </w:p>
        </w:tc>
      </w:tr>
      <w:tr w:rsidR="00CF69B7" w:rsidRPr="00DE1A22" w14:paraId="453ABB53" w14:textId="77777777" w:rsidTr="00F64F1D">
        <w:trPr>
          <w:gridBefore w:val="1"/>
          <w:gridAfter w:val="1"/>
          <w:wBefore w:w="39" w:type="pct"/>
          <w:wAfter w:w="2009" w:type="pct"/>
        </w:trPr>
        <w:tc>
          <w:tcPr>
            <w:tcW w:w="2953" w:type="pct"/>
            <w:gridSpan w:val="2"/>
            <w:tcBorders>
              <w:top w:val="single" w:sz="4" w:space="0" w:color="000000"/>
            </w:tcBorders>
          </w:tcPr>
          <w:p w14:paraId="7A5FB8A0" w14:textId="77777777" w:rsidR="00CF69B7" w:rsidRPr="00DE1A22" w:rsidRDefault="00CF69B7" w:rsidP="009A546B">
            <w:pPr>
              <w:jc w:val="center"/>
              <w:rPr>
                <w:sz w:val="24"/>
                <w:szCs w:val="24"/>
              </w:rPr>
            </w:pPr>
            <w:r w:rsidRPr="00DE1A22">
              <w:rPr>
                <w:sz w:val="24"/>
                <w:szCs w:val="24"/>
              </w:rPr>
              <w:t>(amats)</w:t>
            </w:r>
          </w:p>
        </w:tc>
      </w:tr>
      <w:tr w:rsidR="00CF69B7" w:rsidRPr="00DE1A22" w14:paraId="7086B864" w14:textId="77777777" w:rsidTr="00F64F1D">
        <w:trPr>
          <w:gridBefore w:val="1"/>
          <w:gridAfter w:val="1"/>
          <w:wBefore w:w="39" w:type="pct"/>
          <w:wAfter w:w="2009" w:type="pct"/>
        </w:trPr>
        <w:tc>
          <w:tcPr>
            <w:tcW w:w="2953" w:type="pct"/>
            <w:gridSpan w:val="2"/>
            <w:tcBorders>
              <w:bottom w:val="single" w:sz="4" w:space="0" w:color="000000"/>
            </w:tcBorders>
          </w:tcPr>
          <w:p w14:paraId="793139E3" w14:textId="77777777" w:rsidR="00CF69B7" w:rsidRPr="00DE1A22" w:rsidRDefault="00CF69B7" w:rsidP="009A546B">
            <w:pPr>
              <w:jc w:val="center"/>
              <w:rPr>
                <w:sz w:val="24"/>
                <w:szCs w:val="24"/>
              </w:rPr>
            </w:pPr>
          </w:p>
        </w:tc>
      </w:tr>
      <w:tr w:rsidR="00CF69B7" w:rsidRPr="00DE1A22" w14:paraId="319D4AD0" w14:textId="77777777" w:rsidTr="00F64F1D">
        <w:trPr>
          <w:gridBefore w:val="1"/>
          <w:gridAfter w:val="1"/>
          <w:wBefore w:w="39" w:type="pct"/>
          <w:wAfter w:w="2009" w:type="pct"/>
        </w:trPr>
        <w:tc>
          <w:tcPr>
            <w:tcW w:w="2953" w:type="pct"/>
            <w:gridSpan w:val="2"/>
            <w:tcBorders>
              <w:top w:val="single" w:sz="4" w:space="0" w:color="000000"/>
            </w:tcBorders>
          </w:tcPr>
          <w:p w14:paraId="7B5CC923" w14:textId="77777777" w:rsidR="00CF69B7" w:rsidRPr="00DE1A22" w:rsidRDefault="00CF69B7" w:rsidP="009A546B">
            <w:pPr>
              <w:jc w:val="center"/>
              <w:rPr>
                <w:sz w:val="24"/>
                <w:szCs w:val="24"/>
              </w:rPr>
            </w:pPr>
            <w:r w:rsidRPr="00DE1A22">
              <w:rPr>
                <w:sz w:val="24"/>
                <w:szCs w:val="24"/>
              </w:rPr>
              <w:t>(tālruņa un faksa numurs)</w:t>
            </w:r>
          </w:p>
        </w:tc>
      </w:tr>
      <w:tr w:rsidR="00CF69B7" w:rsidRPr="00DE1A22" w14:paraId="4A194D32" w14:textId="77777777" w:rsidTr="00F64F1D">
        <w:trPr>
          <w:gridBefore w:val="1"/>
          <w:gridAfter w:val="1"/>
          <w:wBefore w:w="39" w:type="pct"/>
          <w:wAfter w:w="2009" w:type="pct"/>
        </w:trPr>
        <w:tc>
          <w:tcPr>
            <w:tcW w:w="2953" w:type="pct"/>
            <w:gridSpan w:val="2"/>
            <w:tcBorders>
              <w:bottom w:val="single" w:sz="4" w:space="0" w:color="000000"/>
            </w:tcBorders>
          </w:tcPr>
          <w:p w14:paraId="7A4BD437" w14:textId="77777777" w:rsidR="00CF69B7" w:rsidRPr="00DE1A22" w:rsidRDefault="00CF69B7" w:rsidP="009A546B">
            <w:pPr>
              <w:jc w:val="center"/>
              <w:rPr>
                <w:sz w:val="24"/>
                <w:szCs w:val="24"/>
              </w:rPr>
            </w:pPr>
          </w:p>
        </w:tc>
      </w:tr>
      <w:tr w:rsidR="00CF69B7" w:rsidRPr="00DE1A22" w14:paraId="480BC472" w14:textId="77777777" w:rsidTr="00F64F1D">
        <w:trPr>
          <w:gridBefore w:val="1"/>
          <w:gridAfter w:val="1"/>
          <w:wBefore w:w="39" w:type="pct"/>
          <w:wAfter w:w="2009" w:type="pct"/>
        </w:trPr>
        <w:tc>
          <w:tcPr>
            <w:tcW w:w="2953" w:type="pct"/>
            <w:gridSpan w:val="2"/>
            <w:tcBorders>
              <w:top w:val="single" w:sz="4" w:space="0" w:color="000000"/>
            </w:tcBorders>
          </w:tcPr>
          <w:p w14:paraId="47B363E3" w14:textId="77777777" w:rsidR="00CF69B7" w:rsidRPr="00DE1A22" w:rsidRDefault="00CF69B7" w:rsidP="009A546B">
            <w:pPr>
              <w:jc w:val="center"/>
              <w:rPr>
                <w:sz w:val="24"/>
                <w:szCs w:val="24"/>
              </w:rPr>
            </w:pPr>
            <w:r w:rsidRPr="00DE1A22">
              <w:rPr>
                <w:sz w:val="24"/>
                <w:szCs w:val="24"/>
              </w:rPr>
              <w:t>(e-pasta adrese)</w:t>
            </w:r>
          </w:p>
        </w:tc>
      </w:tr>
    </w:tbl>
    <w:p w14:paraId="067C201C" w14:textId="77777777" w:rsidR="00CF69B7" w:rsidRPr="00DE1A22" w:rsidRDefault="00CF69B7" w:rsidP="00CF69B7">
      <w:pPr>
        <w:pStyle w:val="BodyText0"/>
        <w:tabs>
          <w:tab w:val="left" w:pos="12150"/>
        </w:tabs>
        <w:jc w:val="both"/>
        <w:rPr>
          <w:i/>
          <w:lang w:val="fr-FR"/>
        </w:rPr>
      </w:pPr>
    </w:p>
    <w:p w14:paraId="62E88BB7" w14:textId="77777777" w:rsidR="00983AB0" w:rsidRPr="00DE1A22" w:rsidRDefault="005735EB" w:rsidP="0027190D">
      <w:pPr>
        <w:jc w:val="both"/>
        <w:rPr>
          <w:sz w:val="23"/>
          <w:szCs w:val="23"/>
        </w:rPr>
      </w:pPr>
      <w:r w:rsidRPr="00DE1A22">
        <w:rPr>
          <w:sz w:val="23"/>
          <w:szCs w:val="23"/>
        </w:rPr>
        <w:t>E.Šidlovskis</w:t>
      </w:r>
      <w:r w:rsidR="00C502C8" w:rsidRPr="00DE1A22">
        <w:rPr>
          <w:sz w:val="23"/>
          <w:szCs w:val="23"/>
        </w:rPr>
        <w:t xml:space="preserve">, </w:t>
      </w:r>
      <w:r w:rsidRPr="00DE1A22">
        <w:rPr>
          <w:sz w:val="23"/>
          <w:szCs w:val="23"/>
        </w:rPr>
        <w:t>67083894</w:t>
      </w:r>
    </w:p>
    <w:p w14:paraId="0E44D881" w14:textId="77777777" w:rsidR="005959CA" w:rsidRPr="00DE1A22" w:rsidRDefault="00D44588" w:rsidP="004879F3">
      <w:pPr>
        <w:tabs>
          <w:tab w:val="left" w:pos="6181"/>
        </w:tabs>
        <w:jc w:val="both"/>
        <w:rPr>
          <w:sz w:val="23"/>
          <w:szCs w:val="23"/>
        </w:rPr>
      </w:pPr>
      <w:hyperlink r:id="rId12" w:history="1">
        <w:r w:rsidR="005735EB" w:rsidRPr="00DE1A22">
          <w:rPr>
            <w:rStyle w:val="Hyperlink"/>
            <w:color w:val="auto"/>
            <w:sz w:val="23"/>
            <w:szCs w:val="23"/>
          </w:rPr>
          <w:t>Edgars.Sidlovskis@fm.gov.lv</w:t>
        </w:r>
      </w:hyperlink>
      <w:r w:rsidR="00EF3F03" w:rsidRPr="00DE1A22">
        <w:rPr>
          <w:sz w:val="23"/>
          <w:szCs w:val="23"/>
        </w:rPr>
        <w:t xml:space="preserve"> </w:t>
      </w:r>
      <w:r w:rsidR="004879F3" w:rsidRPr="00DE1A22">
        <w:rPr>
          <w:sz w:val="23"/>
          <w:szCs w:val="23"/>
        </w:rPr>
        <w:tab/>
      </w:r>
    </w:p>
    <w:p w14:paraId="02328B5C" w14:textId="77777777" w:rsidR="008B0F35" w:rsidRPr="00DE1A22" w:rsidRDefault="008B0F35" w:rsidP="005959CA">
      <w:pPr>
        <w:tabs>
          <w:tab w:val="left" w:pos="4424"/>
        </w:tabs>
        <w:rPr>
          <w:sz w:val="23"/>
          <w:szCs w:val="23"/>
        </w:rPr>
      </w:pPr>
    </w:p>
    <w:sectPr w:rsidR="008B0F35" w:rsidRPr="00DE1A22" w:rsidSect="00103790">
      <w:headerReference w:type="default" r:id="rId13"/>
      <w:footerReference w:type="default" r:id="rId14"/>
      <w:footerReference w:type="first" r:id="rId15"/>
      <w:pgSz w:w="16838" w:h="11906" w:orient="landscape"/>
      <w:pgMar w:top="709" w:right="851" w:bottom="426" w:left="96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DFB459" w14:textId="77777777" w:rsidR="00D44588" w:rsidRDefault="00D44588" w:rsidP="00B70481">
      <w:r>
        <w:separator/>
      </w:r>
    </w:p>
  </w:endnote>
  <w:endnote w:type="continuationSeparator" w:id="0">
    <w:p w14:paraId="5DB4B155" w14:textId="77777777" w:rsidR="00D44588" w:rsidRDefault="00D44588" w:rsidP="00B70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BA"/>
    <w:family w:val="swiss"/>
    <w:pitch w:val="variable"/>
    <w:sig w:usb0="E0002EFF" w:usb1="C000785B" w:usb2="00000009" w:usb3="00000000" w:csb0="000001FF" w:csb1="00000000"/>
  </w:font>
  <w:font w:name="Franklin Gothic Book">
    <w:charset w:val="BA"/>
    <w:family w:val="swiss"/>
    <w:pitch w:val="variable"/>
    <w:sig w:usb0="00000287" w:usb1="00000000" w:usb2="00000000" w:usb3="00000000" w:csb0="0000009F" w:csb1="00000000"/>
  </w:font>
  <w:font w:name="SabonLT-Roman">
    <w:altName w:val="MS Gothic"/>
    <w:panose1 w:val="00000000000000000000"/>
    <w:charset w:val="80"/>
    <w:family w:val="roman"/>
    <w:notTrueType/>
    <w:pitch w:val="default"/>
    <w:sig w:usb0="00000000" w:usb1="08070000" w:usb2="00000010" w:usb3="00000000" w:csb0="00020000"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F4913" w14:textId="305F3288" w:rsidR="00E5596D" w:rsidRPr="007F20EE" w:rsidRDefault="00CB4A03" w:rsidP="007F20EE">
    <w:pPr>
      <w:pStyle w:val="Footer"/>
    </w:pPr>
    <w:r>
      <w:rPr>
        <w:sz w:val="20"/>
        <w:szCs w:val="20"/>
      </w:rPr>
      <w:t>FMi</w:t>
    </w:r>
    <w:r w:rsidR="00E5596D" w:rsidRPr="007F20EE">
      <w:rPr>
        <w:sz w:val="20"/>
        <w:szCs w:val="20"/>
      </w:rPr>
      <w:t>zz_</w:t>
    </w:r>
    <w:r w:rsidR="00065CF8">
      <w:rPr>
        <w:sz w:val="20"/>
        <w:szCs w:val="20"/>
      </w:rPr>
      <w:t>04</w:t>
    </w:r>
    <w:r w:rsidR="009970C3">
      <w:rPr>
        <w:sz w:val="20"/>
        <w:szCs w:val="20"/>
      </w:rPr>
      <w:t>03</w:t>
    </w:r>
    <w:r w:rsidR="00576E57">
      <w:rPr>
        <w:sz w:val="20"/>
        <w:szCs w:val="20"/>
      </w:rPr>
      <w:t>21</w:t>
    </w:r>
    <w:r w:rsidR="00D42255">
      <w:rPr>
        <w:sz w:val="20"/>
        <w:szCs w:val="20"/>
      </w:rPr>
      <w:t>_IA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7BEDC" w14:textId="6FFFB017" w:rsidR="00E5596D" w:rsidRPr="007F20EE" w:rsidRDefault="00CB4A03" w:rsidP="007F20EE">
    <w:pPr>
      <w:pStyle w:val="Footer"/>
    </w:pPr>
    <w:r>
      <w:rPr>
        <w:sz w:val="20"/>
        <w:szCs w:val="20"/>
      </w:rPr>
      <w:t>FMi</w:t>
    </w:r>
    <w:r w:rsidR="00E5596D" w:rsidRPr="007F20EE">
      <w:rPr>
        <w:sz w:val="20"/>
        <w:szCs w:val="20"/>
      </w:rPr>
      <w:t>zz_</w:t>
    </w:r>
    <w:r w:rsidR="00065CF8">
      <w:rPr>
        <w:sz w:val="20"/>
        <w:szCs w:val="20"/>
      </w:rPr>
      <w:t>04</w:t>
    </w:r>
    <w:r w:rsidR="009970C3">
      <w:rPr>
        <w:sz w:val="20"/>
        <w:szCs w:val="20"/>
      </w:rPr>
      <w:t>03</w:t>
    </w:r>
    <w:r w:rsidR="00576E57">
      <w:rPr>
        <w:sz w:val="20"/>
        <w:szCs w:val="20"/>
      </w:rPr>
      <w:t>21</w:t>
    </w:r>
    <w:r w:rsidR="00E5596D" w:rsidRPr="007F20EE">
      <w:rPr>
        <w:sz w:val="20"/>
        <w:szCs w:val="20"/>
      </w:rPr>
      <w:t>_IA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9698D7" w14:textId="77777777" w:rsidR="00D44588" w:rsidRDefault="00D44588" w:rsidP="00B70481">
      <w:r>
        <w:separator/>
      </w:r>
    </w:p>
  </w:footnote>
  <w:footnote w:type="continuationSeparator" w:id="0">
    <w:p w14:paraId="6463DEED" w14:textId="77777777" w:rsidR="00D44588" w:rsidRDefault="00D44588" w:rsidP="00B70481">
      <w:r>
        <w:continuationSeparator/>
      </w:r>
    </w:p>
  </w:footnote>
  <w:footnote w:id="1">
    <w:p w14:paraId="6F80124F" w14:textId="77777777" w:rsidR="0022639B" w:rsidRPr="003D694C" w:rsidRDefault="0022639B" w:rsidP="00D313A4">
      <w:pPr>
        <w:pStyle w:val="FootnoteText"/>
        <w:jc w:val="both"/>
        <w:rPr>
          <w:rFonts w:ascii="Times New Roman" w:hAnsi="Times New Roman"/>
          <w:lang w:val="lv-LV"/>
        </w:rPr>
      </w:pPr>
      <w:r w:rsidRPr="003D694C">
        <w:rPr>
          <w:rStyle w:val="FootnoteReference"/>
          <w:rFonts w:ascii="Times New Roman" w:hAnsi="Times New Roman"/>
        </w:rPr>
        <w:footnoteRef/>
      </w:r>
      <w:r w:rsidRPr="003D694C">
        <w:rPr>
          <w:rFonts w:ascii="Times New Roman" w:hAnsi="Times New Roman"/>
        </w:rPr>
        <w:t xml:space="preserve"> Remote Gambling Research </w:t>
      </w:r>
      <w:r w:rsidRPr="003D694C">
        <w:rPr>
          <w:rFonts w:ascii="Times New Roman" w:hAnsi="Times New Roman"/>
          <w:lang w:val="lv-LV"/>
        </w:rPr>
        <w:t>42. lpp.</w:t>
      </w:r>
    </w:p>
  </w:footnote>
  <w:footnote w:id="2">
    <w:p w14:paraId="1F4B524B" w14:textId="77777777" w:rsidR="0022639B" w:rsidRPr="003D694C" w:rsidRDefault="0022639B" w:rsidP="00A92DCB">
      <w:pPr>
        <w:pStyle w:val="FootnoteText"/>
        <w:jc w:val="both"/>
        <w:rPr>
          <w:rFonts w:ascii="Times New Roman" w:hAnsi="Times New Roman"/>
          <w:lang w:val="lv-LV"/>
        </w:rPr>
      </w:pPr>
      <w:r w:rsidRPr="003D694C">
        <w:rPr>
          <w:rStyle w:val="FootnoteReference"/>
          <w:rFonts w:ascii="Times New Roman" w:hAnsi="Times New Roman"/>
        </w:rPr>
        <w:footnoteRef/>
      </w:r>
      <w:r w:rsidRPr="003D694C">
        <w:rPr>
          <w:rFonts w:ascii="Times New Roman" w:hAnsi="Times New Roman"/>
        </w:rPr>
        <w:t xml:space="preserve"> Remote Gambling Research </w:t>
      </w:r>
      <w:r w:rsidRPr="003D694C">
        <w:rPr>
          <w:rFonts w:ascii="Times New Roman" w:hAnsi="Times New Roman"/>
          <w:lang w:val="lv-LV"/>
        </w:rPr>
        <w:t>42. lpp.</w:t>
      </w:r>
    </w:p>
  </w:footnote>
  <w:footnote w:id="3">
    <w:p w14:paraId="27A0C8CF" w14:textId="77777777" w:rsidR="0022639B" w:rsidRPr="003D694C" w:rsidRDefault="0022639B" w:rsidP="00C10A28">
      <w:pPr>
        <w:pStyle w:val="FootnoteText"/>
        <w:jc w:val="both"/>
        <w:rPr>
          <w:rFonts w:ascii="Times New Roman" w:hAnsi="Times New Roman"/>
          <w:lang w:val="lv-LV"/>
        </w:rPr>
      </w:pPr>
      <w:r w:rsidRPr="003D694C">
        <w:rPr>
          <w:rStyle w:val="FootnoteReference"/>
          <w:rFonts w:ascii="Times New Roman" w:hAnsi="Times New Roman"/>
        </w:rPr>
        <w:footnoteRef/>
      </w:r>
      <w:r w:rsidRPr="009647E5">
        <w:rPr>
          <w:rFonts w:ascii="Times New Roman" w:hAnsi="Times New Roman"/>
          <w:lang w:val="lv-LV"/>
        </w:rPr>
        <w:t xml:space="preserve"> Remote Gambling Research </w:t>
      </w:r>
      <w:r w:rsidRPr="003D694C">
        <w:rPr>
          <w:rFonts w:ascii="Times New Roman" w:hAnsi="Times New Roman"/>
          <w:lang w:val="lv-LV"/>
        </w:rPr>
        <w:t>42. lpp.</w:t>
      </w:r>
    </w:p>
  </w:footnote>
  <w:footnote w:id="4">
    <w:p w14:paraId="6EAF1ACF" w14:textId="77777777" w:rsidR="00BE2F9B" w:rsidRPr="00D359F3" w:rsidRDefault="00BE2F9B" w:rsidP="00782D76">
      <w:pPr>
        <w:pStyle w:val="FootnoteText"/>
        <w:jc w:val="both"/>
        <w:rPr>
          <w:rFonts w:ascii="Times New Roman" w:hAnsi="Times New Roman" w:cs="Times New Roman"/>
          <w:lang w:val="lv-LV"/>
        </w:rPr>
      </w:pPr>
      <w:r>
        <w:rPr>
          <w:rStyle w:val="FootnoteReference"/>
        </w:rPr>
        <w:footnoteRef/>
      </w:r>
      <w:r w:rsidRPr="00BF4AE7">
        <w:rPr>
          <w:lang w:val="lv-LV"/>
        </w:rPr>
        <w:t xml:space="preserve"> </w:t>
      </w:r>
      <w:r>
        <w:rPr>
          <w:rFonts w:ascii="Times New Roman" w:hAnsi="Times New Roman" w:cs="Times New Roman"/>
          <w:lang w:val="lv-LV"/>
        </w:rPr>
        <w:t xml:space="preserve">Atbilstoši Izložu un azartspēļu uzraudzības inspekcijas sniegtajai informācijai par On-line klientu skaitu no 2016.-2019.gadam. </w:t>
      </w:r>
      <w:r w:rsidRPr="00D359F3">
        <w:rPr>
          <w:rFonts w:ascii="Times New Roman" w:hAnsi="Times New Roman" w:cs="Times New Roman"/>
          <w:lang w:val="lv-LV"/>
        </w:rPr>
        <w:t>Reģistrēto klientu skaits nav unikālo spēlētāju skaits, jo nepastāv vienots reģistrs, bet katrs spēlētājs (klients) var būt reģistrēts 9 reizes.</w:t>
      </w:r>
    </w:p>
  </w:footnote>
  <w:footnote w:id="5">
    <w:p w14:paraId="7E726046" w14:textId="77777777" w:rsidR="00E5596D" w:rsidRPr="0030022C" w:rsidRDefault="00E5596D" w:rsidP="00EB79A6">
      <w:pPr>
        <w:pStyle w:val="FootnoteText"/>
        <w:jc w:val="both"/>
        <w:rPr>
          <w:rFonts w:ascii="Times New Roman" w:hAnsi="Times New Roman"/>
        </w:rPr>
      </w:pPr>
      <w:r w:rsidRPr="0030022C">
        <w:rPr>
          <w:rStyle w:val="FootnoteReference"/>
          <w:rFonts w:ascii="Times New Roman" w:eastAsiaTheme="majorEastAsia" w:hAnsi="Times New Roman"/>
        </w:rPr>
        <w:footnoteRef/>
      </w:r>
      <w:r w:rsidRPr="0030022C">
        <w:rPr>
          <w:rFonts w:ascii="Times New Roman" w:hAnsi="Times New Roman"/>
        </w:rPr>
        <w:t xml:space="preserve"> Per Binde, Gambling motivation and involvement,  Swedish National Institute of Public health, p.15 </w:t>
      </w:r>
    </w:p>
  </w:footnote>
  <w:footnote w:id="6">
    <w:p w14:paraId="04E45266" w14:textId="77777777" w:rsidR="00E5596D" w:rsidRPr="0030022C" w:rsidRDefault="00E5596D" w:rsidP="00EB79A6">
      <w:pPr>
        <w:pStyle w:val="FootnoteText"/>
        <w:jc w:val="both"/>
        <w:rPr>
          <w:rFonts w:ascii="Times New Roman" w:hAnsi="Times New Roman"/>
        </w:rPr>
      </w:pPr>
      <w:r w:rsidRPr="0030022C">
        <w:rPr>
          <w:rStyle w:val="FootnoteReference"/>
          <w:rFonts w:ascii="Times New Roman" w:eastAsiaTheme="majorEastAsia" w:hAnsi="Times New Roman"/>
        </w:rPr>
        <w:footnoteRef/>
      </w:r>
      <w:r w:rsidRPr="0030022C">
        <w:rPr>
          <w:rFonts w:ascii="Times New Roman" w:hAnsi="Times New Roman"/>
        </w:rPr>
        <w:t xml:space="preserve"> Per Binde, Gambling motivation and involvement,  Swedish National Institute of Public health, p.6 </w:t>
      </w:r>
    </w:p>
  </w:footnote>
  <w:footnote w:id="7">
    <w:p w14:paraId="4639B4FF" w14:textId="77777777" w:rsidR="00E5596D" w:rsidRPr="000F1653" w:rsidRDefault="00E5596D" w:rsidP="00EB79A6">
      <w:pPr>
        <w:pStyle w:val="FootnoteText"/>
        <w:jc w:val="both"/>
        <w:rPr>
          <w:rFonts w:ascii="Times New Roman" w:hAnsi="Times New Roman"/>
        </w:rPr>
      </w:pPr>
      <w:r w:rsidRPr="0030022C">
        <w:rPr>
          <w:rStyle w:val="FootnoteReference"/>
          <w:rFonts w:ascii="Times New Roman" w:eastAsiaTheme="majorEastAsia" w:hAnsi="Times New Roman"/>
        </w:rPr>
        <w:footnoteRef/>
      </w:r>
      <w:r w:rsidRPr="0030022C">
        <w:rPr>
          <w:rFonts w:ascii="Times New Roman" w:hAnsi="Times New Roman"/>
        </w:rPr>
        <w:t xml:space="preserve"> Per Binde, Gambling motivation and involvement,  Swedish National Institute of Public health, p.18</w:t>
      </w:r>
    </w:p>
  </w:footnote>
  <w:footnote w:id="8">
    <w:p w14:paraId="2EE17F57" w14:textId="77777777" w:rsidR="00E5596D" w:rsidRPr="00840A47" w:rsidRDefault="00E5596D" w:rsidP="004C5EE6">
      <w:pPr>
        <w:pStyle w:val="FootnoteText"/>
        <w:spacing w:after="120"/>
        <w:jc w:val="both"/>
        <w:rPr>
          <w:rFonts w:ascii="Verdana" w:hAnsi="Verdana" w:cs="Times New Roman"/>
          <w:sz w:val="16"/>
          <w:szCs w:val="16"/>
        </w:rPr>
      </w:pPr>
      <w:r w:rsidRPr="00840A47">
        <w:rPr>
          <w:rStyle w:val="FootnoteReference"/>
          <w:rFonts w:ascii="Verdana" w:hAnsi="Verdana" w:cs="Times New Roman"/>
          <w:sz w:val="16"/>
          <w:szCs w:val="16"/>
        </w:rPr>
        <w:footnoteRef/>
      </w:r>
      <w:r w:rsidRPr="00840A47">
        <w:rPr>
          <w:rFonts w:ascii="Verdana" w:hAnsi="Verdana" w:cs="Times New Roman"/>
          <w:sz w:val="16"/>
          <w:szCs w:val="16"/>
        </w:rPr>
        <w:t xml:space="preserve"> Eiropas Parlamenta un Padomes direktīvas 2010/13/ES par to, lai koordinētu dažus dalībvalstu normatīvajos un administratīvajos aktos paredzētus noteikumus par audiovizuālo mediju pakalpojumu sniegšanu (Audiovizuālo mediju pakalpojumu direktīva), Eiropas Savienības Oficiālais Vēstnesis L95/1 (2010.gada 10.marta redakcija), 22.apsvērums; Eiropas Parlamenta un Padomes Direktīvas 2000/31/EK par dažiem informācijas sabiedrības pakalpojumu tiesiskiem aspektiem, jo īpaši elektronisko tirdzniecību, iekšējā tirgū (Direktīva par elektronisko tirdzniecību), Eiropas Savienības Oficiālais Vēstnesis L 178 (2000.gada 8.jūnija redakcija) 16.apsvērums; sk.arī: Eiropas Savienības Komisijas Zaļā grāmata par tiešsaistes azartspēlēm iekšējā tirgū. COM(2011) 128 galīgā redakcija. Pieejams: </w:t>
      </w:r>
      <w:hyperlink r:id="rId1" w:history="1">
        <w:r w:rsidRPr="00840A47">
          <w:rPr>
            <w:rStyle w:val="Hyperlink"/>
            <w:rFonts w:ascii="Verdana" w:hAnsi="Verdana" w:cs="Times New Roman"/>
            <w:sz w:val="16"/>
            <w:szCs w:val="16"/>
          </w:rPr>
          <w:t>https://eur-lex.europa.eu/legal-content/LV/TXT/?uri=CELEX:52011DC0128</w:t>
        </w:r>
      </w:hyperlink>
      <w:r w:rsidRPr="00840A47">
        <w:rPr>
          <w:rFonts w:ascii="Verdana" w:hAnsi="Verdana" w:cs="Times New Roman"/>
          <w:sz w:val="16"/>
          <w:szCs w:val="16"/>
        </w:rPr>
        <w:t xml:space="preserve"> [skatīts 03.07.2018.], 13.lpp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4608D" w14:textId="2B61D494" w:rsidR="00E5596D" w:rsidRDefault="00E5596D" w:rsidP="0094708D">
    <w:pPr>
      <w:pStyle w:val="Header"/>
      <w:jc w:val="center"/>
    </w:pPr>
    <w:r w:rsidRPr="00B70481">
      <w:rPr>
        <w:sz w:val="24"/>
        <w:szCs w:val="24"/>
      </w:rPr>
      <w:fldChar w:fldCharType="begin"/>
    </w:r>
    <w:r w:rsidRPr="00B70481">
      <w:rPr>
        <w:sz w:val="24"/>
        <w:szCs w:val="24"/>
      </w:rPr>
      <w:instrText xml:space="preserve"> PAGE   \* MERGEFORMAT </w:instrText>
    </w:r>
    <w:r w:rsidRPr="00B70481">
      <w:rPr>
        <w:sz w:val="24"/>
        <w:szCs w:val="24"/>
      </w:rPr>
      <w:fldChar w:fldCharType="separate"/>
    </w:r>
    <w:r w:rsidR="00C54939">
      <w:rPr>
        <w:noProof/>
        <w:sz w:val="24"/>
        <w:szCs w:val="24"/>
      </w:rPr>
      <w:t>29</w:t>
    </w:r>
    <w:r w:rsidRPr="00B70481">
      <w:rPr>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4252A19"/>
    <w:multiLevelType w:val="hybridMultilevel"/>
    <w:tmpl w:val="9E302462"/>
    <w:lvl w:ilvl="0" w:tplc="BBD42A1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5CA5351"/>
    <w:multiLevelType w:val="hybridMultilevel"/>
    <w:tmpl w:val="6368F41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8163D33"/>
    <w:multiLevelType w:val="hybridMultilevel"/>
    <w:tmpl w:val="7FCACE2C"/>
    <w:lvl w:ilvl="0" w:tplc="3F761C0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3306900"/>
    <w:multiLevelType w:val="multilevel"/>
    <w:tmpl w:val="2ED0531E"/>
    <w:lvl w:ilvl="0">
      <w:start w:val="1"/>
      <w:numFmt w:val="decimal"/>
      <w:lvlText w:val="%1."/>
      <w:lvlJc w:val="left"/>
      <w:pPr>
        <w:ind w:left="660" w:hanging="360"/>
      </w:pPr>
      <w:rPr>
        <w:rFonts w:hint="default"/>
      </w:rPr>
    </w:lvl>
    <w:lvl w:ilvl="1">
      <w:start w:val="1"/>
      <w:numFmt w:val="decimal"/>
      <w:isLgl/>
      <w:lvlText w:val="%1.%2."/>
      <w:lvlJc w:val="left"/>
      <w:pPr>
        <w:ind w:left="4548" w:hanging="720"/>
      </w:pPr>
      <w:rPr>
        <w:rFonts w:hint="default"/>
        <w:color w:val="auto"/>
      </w:rPr>
    </w:lvl>
    <w:lvl w:ilvl="2">
      <w:start w:val="1"/>
      <w:numFmt w:val="decimal"/>
      <w:isLgl/>
      <w:lvlText w:val="%1.%2.%3."/>
      <w:lvlJc w:val="left"/>
      <w:pPr>
        <w:ind w:left="1020" w:hanging="720"/>
      </w:pPr>
      <w:rPr>
        <w:rFonts w:hint="default"/>
      </w:rPr>
    </w:lvl>
    <w:lvl w:ilvl="3">
      <w:start w:val="1"/>
      <w:numFmt w:val="decimal"/>
      <w:isLgl/>
      <w:lvlText w:val="%1.%2.%3.%4."/>
      <w:lvlJc w:val="left"/>
      <w:pPr>
        <w:ind w:left="1380" w:hanging="108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740" w:hanging="1440"/>
      </w:pPr>
      <w:rPr>
        <w:rFonts w:hint="default"/>
      </w:rPr>
    </w:lvl>
    <w:lvl w:ilvl="6">
      <w:start w:val="1"/>
      <w:numFmt w:val="decimal"/>
      <w:isLgl/>
      <w:lvlText w:val="%1.%2.%3.%4.%5.%6.%7."/>
      <w:lvlJc w:val="left"/>
      <w:pPr>
        <w:ind w:left="2100" w:hanging="1800"/>
      </w:pPr>
      <w:rPr>
        <w:rFonts w:hint="default"/>
      </w:rPr>
    </w:lvl>
    <w:lvl w:ilvl="7">
      <w:start w:val="1"/>
      <w:numFmt w:val="decimal"/>
      <w:isLgl/>
      <w:lvlText w:val="%1.%2.%3.%4.%5.%6.%7.%8."/>
      <w:lvlJc w:val="left"/>
      <w:pPr>
        <w:ind w:left="2100" w:hanging="1800"/>
      </w:pPr>
      <w:rPr>
        <w:rFonts w:hint="default"/>
      </w:rPr>
    </w:lvl>
    <w:lvl w:ilvl="8">
      <w:start w:val="1"/>
      <w:numFmt w:val="decimal"/>
      <w:isLgl/>
      <w:lvlText w:val="%1.%2.%3.%4.%5.%6.%7.%8.%9."/>
      <w:lvlJc w:val="left"/>
      <w:pPr>
        <w:ind w:left="2460" w:hanging="2160"/>
      </w:pPr>
      <w:rPr>
        <w:rFonts w:hint="default"/>
      </w:rPr>
    </w:lvl>
  </w:abstractNum>
  <w:abstractNum w:abstractNumId="6" w15:restartNumberingAfterBreak="0">
    <w:nsid w:val="3CF71D62"/>
    <w:multiLevelType w:val="hybridMultilevel"/>
    <w:tmpl w:val="6A36F9BE"/>
    <w:lvl w:ilvl="0" w:tplc="0A6C443E">
      <w:start w:val="1"/>
      <w:numFmt w:val="decimal"/>
      <w:lvlText w:val="%1)"/>
      <w:lvlJc w:val="left"/>
      <w:pPr>
        <w:ind w:left="879" w:hanging="360"/>
      </w:pPr>
      <w:rPr>
        <w:rFonts w:hint="default"/>
      </w:rPr>
    </w:lvl>
    <w:lvl w:ilvl="1" w:tplc="04260019" w:tentative="1">
      <w:start w:val="1"/>
      <w:numFmt w:val="lowerLetter"/>
      <w:lvlText w:val="%2."/>
      <w:lvlJc w:val="left"/>
      <w:pPr>
        <w:ind w:left="1599" w:hanging="360"/>
      </w:pPr>
    </w:lvl>
    <w:lvl w:ilvl="2" w:tplc="0426001B" w:tentative="1">
      <w:start w:val="1"/>
      <w:numFmt w:val="lowerRoman"/>
      <w:lvlText w:val="%3."/>
      <w:lvlJc w:val="right"/>
      <w:pPr>
        <w:ind w:left="2319" w:hanging="180"/>
      </w:pPr>
    </w:lvl>
    <w:lvl w:ilvl="3" w:tplc="0426000F" w:tentative="1">
      <w:start w:val="1"/>
      <w:numFmt w:val="decimal"/>
      <w:lvlText w:val="%4."/>
      <w:lvlJc w:val="left"/>
      <w:pPr>
        <w:ind w:left="3039" w:hanging="360"/>
      </w:pPr>
    </w:lvl>
    <w:lvl w:ilvl="4" w:tplc="04260019" w:tentative="1">
      <w:start w:val="1"/>
      <w:numFmt w:val="lowerLetter"/>
      <w:lvlText w:val="%5."/>
      <w:lvlJc w:val="left"/>
      <w:pPr>
        <w:ind w:left="3759" w:hanging="360"/>
      </w:pPr>
    </w:lvl>
    <w:lvl w:ilvl="5" w:tplc="0426001B" w:tentative="1">
      <w:start w:val="1"/>
      <w:numFmt w:val="lowerRoman"/>
      <w:lvlText w:val="%6."/>
      <w:lvlJc w:val="right"/>
      <w:pPr>
        <w:ind w:left="4479" w:hanging="180"/>
      </w:pPr>
    </w:lvl>
    <w:lvl w:ilvl="6" w:tplc="0426000F" w:tentative="1">
      <w:start w:val="1"/>
      <w:numFmt w:val="decimal"/>
      <w:lvlText w:val="%7."/>
      <w:lvlJc w:val="left"/>
      <w:pPr>
        <w:ind w:left="5199" w:hanging="360"/>
      </w:pPr>
    </w:lvl>
    <w:lvl w:ilvl="7" w:tplc="04260019" w:tentative="1">
      <w:start w:val="1"/>
      <w:numFmt w:val="lowerLetter"/>
      <w:lvlText w:val="%8."/>
      <w:lvlJc w:val="left"/>
      <w:pPr>
        <w:ind w:left="5919" w:hanging="360"/>
      </w:pPr>
    </w:lvl>
    <w:lvl w:ilvl="8" w:tplc="0426001B" w:tentative="1">
      <w:start w:val="1"/>
      <w:numFmt w:val="lowerRoman"/>
      <w:lvlText w:val="%9."/>
      <w:lvlJc w:val="right"/>
      <w:pPr>
        <w:ind w:left="6639" w:hanging="180"/>
      </w:pPr>
    </w:lvl>
  </w:abstractNum>
  <w:abstractNum w:abstractNumId="7" w15:restartNumberingAfterBreak="0">
    <w:nsid w:val="4897026D"/>
    <w:multiLevelType w:val="hybridMultilevel"/>
    <w:tmpl w:val="8ED8588C"/>
    <w:lvl w:ilvl="0" w:tplc="0426000F">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8" w15:restartNumberingAfterBreak="0">
    <w:nsid w:val="4FB512E5"/>
    <w:multiLevelType w:val="hybridMultilevel"/>
    <w:tmpl w:val="ED76731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1774D4E"/>
    <w:multiLevelType w:val="hybridMultilevel"/>
    <w:tmpl w:val="460A6250"/>
    <w:lvl w:ilvl="0" w:tplc="4DFE7FEE">
      <w:start w:val="1"/>
      <w:numFmt w:val="decimal"/>
      <w:lvlText w:val="%1)"/>
      <w:lvlJc w:val="left"/>
      <w:pPr>
        <w:ind w:left="720" w:hanging="360"/>
      </w:pPr>
      <w:rPr>
        <w:rFonts w:hint="default"/>
        <w:color w:val="18181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31A2FEA"/>
    <w:multiLevelType w:val="multilevel"/>
    <w:tmpl w:val="ED86CC36"/>
    <w:styleLink w:val="Style1"/>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1" w15:restartNumberingAfterBreak="0">
    <w:nsid w:val="63F9147D"/>
    <w:multiLevelType w:val="multilevel"/>
    <w:tmpl w:val="A740D244"/>
    <w:lvl w:ilvl="0">
      <w:start w:val="1"/>
      <w:numFmt w:val="decimal"/>
      <w:lvlText w:val="%1."/>
      <w:lvlJc w:val="left"/>
      <w:pPr>
        <w:ind w:left="792" w:hanging="360"/>
      </w:pPr>
      <w:rPr>
        <w:rFonts w:hint="default"/>
      </w:rPr>
    </w:lvl>
    <w:lvl w:ilvl="1">
      <w:start w:val="1"/>
      <w:numFmt w:val="decimal"/>
      <w:isLgl/>
      <w:lvlText w:val="%1.%2."/>
      <w:lvlJc w:val="left"/>
      <w:pPr>
        <w:ind w:left="1296" w:hanging="720"/>
      </w:pPr>
      <w:rPr>
        <w:rFonts w:ascii="Times New Roman" w:hAnsi="Times New Roman" w:cs="Times New Roman" w:hint="default"/>
        <w:color w:val="auto"/>
      </w:rPr>
    </w:lvl>
    <w:lvl w:ilvl="2">
      <w:start w:val="1"/>
      <w:numFmt w:val="decimal"/>
      <w:isLgl/>
      <w:lvlText w:val="%1.%2.%3."/>
      <w:lvlJc w:val="left"/>
      <w:pPr>
        <w:ind w:left="1440" w:hanging="720"/>
      </w:pPr>
      <w:rPr>
        <w:rFonts w:ascii="Times New Roman" w:hAnsi="Times New Roman" w:cs="Times New Roman" w:hint="default"/>
        <w:i w:val="0"/>
      </w:rPr>
    </w:lvl>
    <w:lvl w:ilvl="3">
      <w:start w:val="1"/>
      <w:numFmt w:val="decimal"/>
      <w:isLgl/>
      <w:lvlText w:val="%1.%2.%3.%4."/>
      <w:lvlJc w:val="left"/>
      <w:pPr>
        <w:ind w:left="1944" w:hanging="1080"/>
      </w:pPr>
      <w:rPr>
        <w:rFonts w:hint="default"/>
      </w:rPr>
    </w:lvl>
    <w:lvl w:ilvl="4">
      <w:start w:val="1"/>
      <w:numFmt w:val="decimal"/>
      <w:isLgl/>
      <w:lvlText w:val="%1.%2.%3.%4.%5."/>
      <w:lvlJc w:val="left"/>
      <w:pPr>
        <w:ind w:left="2088" w:hanging="1080"/>
      </w:pPr>
      <w:rPr>
        <w:rFonts w:hint="default"/>
      </w:rPr>
    </w:lvl>
    <w:lvl w:ilvl="5">
      <w:start w:val="1"/>
      <w:numFmt w:val="decimal"/>
      <w:isLgl/>
      <w:lvlText w:val="%1.%2.%3.%4.%5.%6."/>
      <w:lvlJc w:val="left"/>
      <w:pPr>
        <w:ind w:left="2592" w:hanging="1440"/>
      </w:pPr>
      <w:rPr>
        <w:rFonts w:hint="default"/>
      </w:rPr>
    </w:lvl>
    <w:lvl w:ilvl="6">
      <w:start w:val="1"/>
      <w:numFmt w:val="decimal"/>
      <w:isLgl/>
      <w:lvlText w:val="%1.%2.%3.%4.%5.%6.%7."/>
      <w:lvlJc w:val="left"/>
      <w:pPr>
        <w:ind w:left="2736"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384" w:hanging="1800"/>
      </w:pPr>
      <w:rPr>
        <w:rFonts w:hint="default"/>
      </w:rPr>
    </w:lvl>
  </w:abstractNum>
  <w:abstractNum w:abstractNumId="12" w15:restartNumberingAfterBreak="0">
    <w:nsid w:val="69227851"/>
    <w:multiLevelType w:val="hybridMultilevel"/>
    <w:tmpl w:val="3E5CD050"/>
    <w:lvl w:ilvl="0" w:tplc="B4944180">
      <w:start w:val="1"/>
      <w:numFmt w:val="decimal"/>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13" w15:restartNumberingAfterBreak="0">
    <w:nsid w:val="6C316769"/>
    <w:multiLevelType w:val="hybridMultilevel"/>
    <w:tmpl w:val="5686B8D0"/>
    <w:lvl w:ilvl="0" w:tplc="B53A1E3C">
      <w:start w:val="1"/>
      <w:numFmt w:val="decimal"/>
      <w:lvlText w:val="%1)"/>
      <w:lvlJc w:val="left"/>
      <w:pPr>
        <w:ind w:left="1070" w:hanging="360"/>
      </w:pPr>
      <w:rPr>
        <w:rFonts w:hint="default"/>
        <w:strike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10"/>
  </w:num>
  <w:num w:numId="2">
    <w:abstractNumId w:val="2"/>
  </w:num>
  <w:num w:numId="3">
    <w:abstractNumId w:val="5"/>
  </w:num>
  <w:num w:numId="4">
    <w:abstractNumId w:val="7"/>
  </w:num>
  <w:num w:numId="5">
    <w:abstractNumId w:val="6"/>
  </w:num>
  <w:num w:numId="6">
    <w:abstractNumId w:val="11"/>
  </w:num>
  <w:num w:numId="7">
    <w:abstractNumId w:val="8"/>
  </w:num>
  <w:num w:numId="8">
    <w:abstractNumId w:val="9"/>
  </w:num>
  <w:num w:numId="9">
    <w:abstractNumId w:val="13"/>
  </w:num>
  <w:num w:numId="10">
    <w:abstractNumId w:val="4"/>
  </w:num>
  <w:num w:numId="11">
    <w:abstractNumId w:val="3"/>
  </w:num>
  <w:num w:numId="12">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2D8"/>
    <w:rsid w:val="0000129E"/>
    <w:rsid w:val="00001895"/>
    <w:rsid w:val="000029EF"/>
    <w:rsid w:val="00002B33"/>
    <w:rsid w:val="00003888"/>
    <w:rsid w:val="0000426A"/>
    <w:rsid w:val="000058A7"/>
    <w:rsid w:val="000058F9"/>
    <w:rsid w:val="00005B21"/>
    <w:rsid w:val="00005E69"/>
    <w:rsid w:val="00006FC3"/>
    <w:rsid w:val="000074EA"/>
    <w:rsid w:val="000102DD"/>
    <w:rsid w:val="0001079F"/>
    <w:rsid w:val="000109A3"/>
    <w:rsid w:val="00011966"/>
    <w:rsid w:val="00011DA1"/>
    <w:rsid w:val="00012121"/>
    <w:rsid w:val="00012215"/>
    <w:rsid w:val="000134F8"/>
    <w:rsid w:val="00014CFF"/>
    <w:rsid w:val="000153EB"/>
    <w:rsid w:val="000155C5"/>
    <w:rsid w:val="00015BA4"/>
    <w:rsid w:val="00016FF6"/>
    <w:rsid w:val="00017262"/>
    <w:rsid w:val="0002029E"/>
    <w:rsid w:val="00020DCF"/>
    <w:rsid w:val="0002105A"/>
    <w:rsid w:val="000210B8"/>
    <w:rsid w:val="000212A7"/>
    <w:rsid w:val="00021686"/>
    <w:rsid w:val="00022508"/>
    <w:rsid w:val="00022806"/>
    <w:rsid w:val="00022975"/>
    <w:rsid w:val="0002420E"/>
    <w:rsid w:val="00024365"/>
    <w:rsid w:val="000247FE"/>
    <w:rsid w:val="00024C71"/>
    <w:rsid w:val="000257CC"/>
    <w:rsid w:val="00025A94"/>
    <w:rsid w:val="00026226"/>
    <w:rsid w:val="000263DA"/>
    <w:rsid w:val="00026872"/>
    <w:rsid w:val="000269E7"/>
    <w:rsid w:val="0002766A"/>
    <w:rsid w:val="00027705"/>
    <w:rsid w:val="0002776E"/>
    <w:rsid w:val="00027C74"/>
    <w:rsid w:val="0003147F"/>
    <w:rsid w:val="00031774"/>
    <w:rsid w:val="000321FA"/>
    <w:rsid w:val="00032D08"/>
    <w:rsid w:val="000332DD"/>
    <w:rsid w:val="00033637"/>
    <w:rsid w:val="00033F8F"/>
    <w:rsid w:val="00035131"/>
    <w:rsid w:val="000356D2"/>
    <w:rsid w:val="00035A08"/>
    <w:rsid w:val="00035FF6"/>
    <w:rsid w:val="00036354"/>
    <w:rsid w:val="00036752"/>
    <w:rsid w:val="00036ED0"/>
    <w:rsid w:val="000377FC"/>
    <w:rsid w:val="00037F97"/>
    <w:rsid w:val="00037FDE"/>
    <w:rsid w:val="0004083D"/>
    <w:rsid w:val="00041379"/>
    <w:rsid w:val="000414D7"/>
    <w:rsid w:val="00041650"/>
    <w:rsid w:val="000416D6"/>
    <w:rsid w:val="00041964"/>
    <w:rsid w:val="00041C24"/>
    <w:rsid w:val="00041FDD"/>
    <w:rsid w:val="000425F2"/>
    <w:rsid w:val="00043078"/>
    <w:rsid w:val="000437EB"/>
    <w:rsid w:val="000438AD"/>
    <w:rsid w:val="000445CA"/>
    <w:rsid w:val="00044E5B"/>
    <w:rsid w:val="00045EB5"/>
    <w:rsid w:val="0004631E"/>
    <w:rsid w:val="00047867"/>
    <w:rsid w:val="00047F4C"/>
    <w:rsid w:val="00050815"/>
    <w:rsid w:val="00050F01"/>
    <w:rsid w:val="00050F71"/>
    <w:rsid w:val="0005101A"/>
    <w:rsid w:val="0005114D"/>
    <w:rsid w:val="0005135E"/>
    <w:rsid w:val="0005180B"/>
    <w:rsid w:val="000523AB"/>
    <w:rsid w:val="00053BDD"/>
    <w:rsid w:val="00053D18"/>
    <w:rsid w:val="00054229"/>
    <w:rsid w:val="00055033"/>
    <w:rsid w:val="000559FC"/>
    <w:rsid w:val="00055A4F"/>
    <w:rsid w:val="000561DE"/>
    <w:rsid w:val="00056655"/>
    <w:rsid w:val="00056685"/>
    <w:rsid w:val="0005690B"/>
    <w:rsid w:val="00056B66"/>
    <w:rsid w:val="00056DD8"/>
    <w:rsid w:val="000575E9"/>
    <w:rsid w:val="00057875"/>
    <w:rsid w:val="0006065C"/>
    <w:rsid w:val="00060E2E"/>
    <w:rsid w:val="00061002"/>
    <w:rsid w:val="00061A67"/>
    <w:rsid w:val="00061C02"/>
    <w:rsid w:val="00062637"/>
    <w:rsid w:val="0006263A"/>
    <w:rsid w:val="00063264"/>
    <w:rsid w:val="00063524"/>
    <w:rsid w:val="00064115"/>
    <w:rsid w:val="00065057"/>
    <w:rsid w:val="00065AA6"/>
    <w:rsid w:val="00065C1E"/>
    <w:rsid w:val="00065CE4"/>
    <w:rsid w:val="00065CF8"/>
    <w:rsid w:val="00066219"/>
    <w:rsid w:val="0006622A"/>
    <w:rsid w:val="000664C6"/>
    <w:rsid w:val="00066717"/>
    <w:rsid w:val="00066839"/>
    <w:rsid w:val="000672DE"/>
    <w:rsid w:val="0006733F"/>
    <w:rsid w:val="00067B92"/>
    <w:rsid w:val="0007069B"/>
    <w:rsid w:val="000710F2"/>
    <w:rsid w:val="00071975"/>
    <w:rsid w:val="00071AFB"/>
    <w:rsid w:val="00071CA6"/>
    <w:rsid w:val="000734CB"/>
    <w:rsid w:val="00073C57"/>
    <w:rsid w:val="000743CF"/>
    <w:rsid w:val="00074598"/>
    <w:rsid w:val="00074AA4"/>
    <w:rsid w:val="00075C80"/>
    <w:rsid w:val="0007627D"/>
    <w:rsid w:val="00077124"/>
    <w:rsid w:val="0007712C"/>
    <w:rsid w:val="00077267"/>
    <w:rsid w:val="0008127E"/>
    <w:rsid w:val="00083191"/>
    <w:rsid w:val="00083273"/>
    <w:rsid w:val="00083439"/>
    <w:rsid w:val="000835B9"/>
    <w:rsid w:val="00083657"/>
    <w:rsid w:val="00083B88"/>
    <w:rsid w:val="0008406C"/>
    <w:rsid w:val="0008407A"/>
    <w:rsid w:val="0008445A"/>
    <w:rsid w:val="00084D13"/>
    <w:rsid w:val="0008592A"/>
    <w:rsid w:val="00085DAE"/>
    <w:rsid w:val="00086AB8"/>
    <w:rsid w:val="00086E08"/>
    <w:rsid w:val="000873D3"/>
    <w:rsid w:val="000915EC"/>
    <w:rsid w:val="0009233E"/>
    <w:rsid w:val="00092802"/>
    <w:rsid w:val="0009349F"/>
    <w:rsid w:val="000935E9"/>
    <w:rsid w:val="0009384E"/>
    <w:rsid w:val="00093FE6"/>
    <w:rsid w:val="0009429D"/>
    <w:rsid w:val="00094408"/>
    <w:rsid w:val="00094762"/>
    <w:rsid w:val="00094DE4"/>
    <w:rsid w:val="00095824"/>
    <w:rsid w:val="00095D23"/>
    <w:rsid w:val="00096CD2"/>
    <w:rsid w:val="000A02DE"/>
    <w:rsid w:val="000A13E3"/>
    <w:rsid w:val="000A1A75"/>
    <w:rsid w:val="000A2162"/>
    <w:rsid w:val="000A2700"/>
    <w:rsid w:val="000A27C1"/>
    <w:rsid w:val="000A28AE"/>
    <w:rsid w:val="000A2F33"/>
    <w:rsid w:val="000A36C7"/>
    <w:rsid w:val="000A3B4B"/>
    <w:rsid w:val="000A4EB0"/>
    <w:rsid w:val="000A537C"/>
    <w:rsid w:val="000A563F"/>
    <w:rsid w:val="000A572C"/>
    <w:rsid w:val="000A63D6"/>
    <w:rsid w:val="000A67B6"/>
    <w:rsid w:val="000A67F9"/>
    <w:rsid w:val="000A6F27"/>
    <w:rsid w:val="000A7113"/>
    <w:rsid w:val="000A78CF"/>
    <w:rsid w:val="000A798E"/>
    <w:rsid w:val="000A7C44"/>
    <w:rsid w:val="000B126B"/>
    <w:rsid w:val="000B2793"/>
    <w:rsid w:val="000B2C1B"/>
    <w:rsid w:val="000B3AE7"/>
    <w:rsid w:val="000B3D1A"/>
    <w:rsid w:val="000B5351"/>
    <w:rsid w:val="000B556D"/>
    <w:rsid w:val="000B5DF4"/>
    <w:rsid w:val="000B604A"/>
    <w:rsid w:val="000B70BD"/>
    <w:rsid w:val="000B7419"/>
    <w:rsid w:val="000B74FA"/>
    <w:rsid w:val="000B7CF7"/>
    <w:rsid w:val="000C02EE"/>
    <w:rsid w:val="000C044B"/>
    <w:rsid w:val="000C057E"/>
    <w:rsid w:val="000C096E"/>
    <w:rsid w:val="000C099E"/>
    <w:rsid w:val="000C0C7B"/>
    <w:rsid w:val="000C0CF4"/>
    <w:rsid w:val="000C141F"/>
    <w:rsid w:val="000C176F"/>
    <w:rsid w:val="000C19FA"/>
    <w:rsid w:val="000C2129"/>
    <w:rsid w:val="000C26A4"/>
    <w:rsid w:val="000C2873"/>
    <w:rsid w:val="000C48C8"/>
    <w:rsid w:val="000C4D61"/>
    <w:rsid w:val="000C55D9"/>
    <w:rsid w:val="000C5B44"/>
    <w:rsid w:val="000C5EC5"/>
    <w:rsid w:val="000C5ED3"/>
    <w:rsid w:val="000C67AF"/>
    <w:rsid w:val="000C681C"/>
    <w:rsid w:val="000C682A"/>
    <w:rsid w:val="000C7477"/>
    <w:rsid w:val="000C7685"/>
    <w:rsid w:val="000D00A0"/>
    <w:rsid w:val="000D01D7"/>
    <w:rsid w:val="000D01EB"/>
    <w:rsid w:val="000D0408"/>
    <w:rsid w:val="000D0548"/>
    <w:rsid w:val="000D0C2D"/>
    <w:rsid w:val="000D0F99"/>
    <w:rsid w:val="000D13C6"/>
    <w:rsid w:val="000D1412"/>
    <w:rsid w:val="000D1624"/>
    <w:rsid w:val="000D17F2"/>
    <w:rsid w:val="000D20E2"/>
    <w:rsid w:val="000D232D"/>
    <w:rsid w:val="000D31EE"/>
    <w:rsid w:val="000D36A7"/>
    <w:rsid w:val="000D3848"/>
    <w:rsid w:val="000D3B54"/>
    <w:rsid w:val="000D4E51"/>
    <w:rsid w:val="000D60F7"/>
    <w:rsid w:val="000D6924"/>
    <w:rsid w:val="000D6EAE"/>
    <w:rsid w:val="000D7334"/>
    <w:rsid w:val="000D761D"/>
    <w:rsid w:val="000E0EF6"/>
    <w:rsid w:val="000E1720"/>
    <w:rsid w:val="000E226B"/>
    <w:rsid w:val="000E3105"/>
    <w:rsid w:val="000E5A1A"/>
    <w:rsid w:val="000E5FC4"/>
    <w:rsid w:val="000E6035"/>
    <w:rsid w:val="000E62D3"/>
    <w:rsid w:val="000E6ABC"/>
    <w:rsid w:val="000E6DF6"/>
    <w:rsid w:val="000E6FB4"/>
    <w:rsid w:val="000E6FC1"/>
    <w:rsid w:val="000F00CD"/>
    <w:rsid w:val="000F0902"/>
    <w:rsid w:val="000F0E88"/>
    <w:rsid w:val="000F15CB"/>
    <w:rsid w:val="000F1946"/>
    <w:rsid w:val="000F1A88"/>
    <w:rsid w:val="000F1AB4"/>
    <w:rsid w:val="000F1E08"/>
    <w:rsid w:val="000F1E42"/>
    <w:rsid w:val="000F26CF"/>
    <w:rsid w:val="000F270F"/>
    <w:rsid w:val="000F34C3"/>
    <w:rsid w:val="000F4F54"/>
    <w:rsid w:val="000F558A"/>
    <w:rsid w:val="000F59D3"/>
    <w:rsid w:val="000F5F23"/>
    <w:rsid w:val="000F606C"/>
    <w:rsid w:val="000F6585"/>
    <w:rsid w:val="000F6A9E"/>
    <w:rsid w:val="000F73AD"/>
    <w:rsid w:val="000F7690"/>
    <w:rsid w:val="000F77C7"/>
    <w:rsid w:val="000F7DA3"/>
    <w:rsid w:val="000F7EEB"/>
    <w:rsid w:val="001005A7"/>
    <w:rsid w:val="00100865"/>
    <w:rsid w:val="00100BCE"/>
    <w:rsid w:val="00101F15"/>
    <w:rsid w:val="00102174"/>
    <w:rsid w:val="00102394"/>
    <w:rsid w:val="00102C90"/>
    <w:rsid w:val="00102DC4"/>
    <w:rsid w:val="00103790"/>
    <w:rsid w:val="00103E7C"/>
    <w:rsid w:val="00103F33"/>
    <w:rsid w:val="00105256"/>
    <w:rsid w:val="001053F2"/>
    <w:rsid w:val="001059D5"/>
    <w:rsid w:val="00105D64"/>
    <w:rsid w:val="00106627"/>
    <w:rsid w:val="00106B5D"/>
    <w:rsid w:val="00106C90"/>
    <w:rsid w:val="00107664"/>
    <w:rsid w:val="00107864"/>
    <w:rsid w:val="00107FED"/>
    <w:rsid w:val="001102E8"/>
    <w:rsid w:val="00110780"/>
    <w:rsid w:val="0011168A"/>
    <w:rsid w:val="00113969"/>
    <w:rsid w:val="00114AB8"/>
    <w:rsid w:val="00114ECF"/>
    <w:rsid w:val="00115126"/>
    <w:rsid w:val="00115146"/>
    <w:rsid w:val="001155F9"/>
    <w:rsid w:val="00115CDE"/>
    <w:rsid w:val="00117093"/>
    <w:rsid w:val="0011743D"/>
    <w:rsid w:val="00120B85"/>
    <w:rsid w:val="00121803"/>
    <w:rsid w:val="00121F8C"/>
    <w:rsid w:val="001223EF"/>
    <w:rsid w:val="001235A6"/>
    <w:rsid w:val="00123681"/>
    <w:rsid w:val="00123E13"/>
    <w:rsid w:val="001246D9"/>
    <w:rsid w:val="00125449"/>
    <w:rsid w:val="00125983"/>
    <w:rsid w:val="001259F1"/>
    <w:rsid w:val="00125A2E"/>
    <w:rsid w:val="00125BD3"/>
    <w:rsid w:val="00125C1A"/>
    <w:rsid w:val="001261D2"/>
    <w:rsid w:val="00126B47"/>
    <w:rsid w:val="00126F88"/>
    <w:rsid w:val="001270F7"/>
    <w:rsid w:val="0012724D"/>
    <w:rsid w:val="001275CB"/>
    <w:rsid w:val="00127976"/>
    <w:rsid w:val="001279DB"/>
    <w:rsid w:val="00130AEB"/>
    <w:rsid w:val="00131211"/>
    <w:rsid w:val="00132573"/>
    <w:rsid w:val="001325B6"/>
    <w:rsid w:val="001330D5"/>
    <w:rsid w:val="001330DB"/>
    <w:rsid w:val="001338DD"/>
    <w:rsid w:val="00133B3B"/>
    <w:rsid w:val="00133FF7"/>
    <w:rsid w:val="00134798"/>
    <w:rsid w:val="001348B2"/>
    <w:rsid w:val="00134DE0"/>
    <w:rsid w:val="0013565F"/>
    <w:rsid w:val="00135974"/>
    <w:rsid w:val="00137882"/>
    <w:rsid w:val="00137DD1"/>
    <w:rsid w:val="00140551"/>
    <w:rsid w:val="0014065A"/>
    <w:rsid w:val="001407CE"/>
    <w:rsid w:val="00140E8A"/>
    <w:rsid w:val="00141044"/>
    <w:rsid w:val="00141046"/>
    <w:rsid w:val="001416D1"/>
    <w:rsid w:val="001418E7"/>
    <w:rsid w:val="00141C0A"/>
    <w:rsid w:val="00143EC5"/>
    <w:rsid w:val="001457BC"/>
    <w:rsid w:val="00145D44"/>
    <w:rsid w:val="00146757"/>
    <w:rsid w:val="001469B5"/>
    <w:rsid w:val="00146C12"/>
    <w:rsid w:val="00146DBE"/>
    <w:rsid w:val="00147419"/>
    <w:rsid w:val="00150C7C"/>
    <w:rsid w:val="00150C7E"/>
    <w:rsid w:val="00151352"/>
    <w:rsid w:val="00151C22"/>
    <w:rsid w:val="001523E7"/>
    <w:rsid w:val="00152C23"/>
    <w:rsid w:val="00152E4F"/>
    <w:rsid w:val="001533C8"/>
    <w:rsid w:val="00155453"/>
    <w:rsid w:val="00155E96"/>
    <w:rsid w:val="00156BC2"/>
    <w:rsid w:val="00156C9D"/>
    <w:rsid w:val="00160BAE"/>
    <w:rsid w:val="00160DDD"/>
    <w:rsid w:val="0016101F"/>
    <w:rsid w:val="001610DD"/>
    <w:rsid w:val="00162210"/>
    <w:rsid w:val="001627CF"/>
    <w:rsid w:val="001631F6"/>
    <w:rsid w:val="0016322F"/>
    <w:rsid w:val="00163783"/>
    <w:rsid w:val="001646AF"/>
    <w:rsid w:val="00165786"/>
    <w:rsid w:val="00165D2B"/>
    <w:rsid w:val="00166871"/>
    <w:rsid w:val="00166F12"/>
    <w:rsid w:val="001675A7"/>
    <w:rsid w:val="001676BD"/>
    <w:rsid w:val="00170306"/>
    <w:rsid w:val="0017135D"/>
    <w:rsid w:val="001718CB"/>
    <w:rsid w:val="00172781"/>
    <w:rsid w:val="0017321D"/>
    <w:rsid w:val="0017347E"/>
    <w:rsid w:val="00173566"/>
    <w:rsid w:val="00173871"/>
    <w:rsid w:val="00173AED"/>
    <w:rsid w:val="00173F4C"/>
    <w:rsid w:val="00174504"/>
    <w:rsid w:val="0017575D"/>
    <w:rsid w:val="00175B51"/>
    <w:rsid w:val="00176CF3"/>
    <w:rsid w:val="00176E5C"/>
    <w:rsid w:val="00176F94"/>
    <w:rsid w:val="001773BE"/>
    <w:rsid w:val="00177A20"/>
    <w:rsid w:val="0018038E"/>
    <w:rsid w:val="001805FF"/>
    <w:rsid w:val="00180702"/>
    <w:rsid w:val="00180841"/>
    <w:rsid w:val="00180D3C"/>
    <w:rsid w:val="00181857"/>
    <w:rsid w:val="00181F40"/>
    <w:rsid w:val="0018215C"/>
    <w:rsid w:val="00182868"/>
    <w:rsid w:val="00182F8E"/>
    <w:rsid w:val="0018383B"/>
    <w:rsid w:val="001847FC"/>
    <w:rsid w:val="001850BC"/>
    <w:rsid w:val="001859AD"/>
    <w:rsid w:val="0018612E"/>
    <w:rsid w:val="00186164"/>
    <w:rsid w:val="00186B44"/>
    <w:rsid w:val="00186EA7"/>
    <w:rsid w:val="0018712B"/>
    <w:rsid w:val="001871C6"/>
    <w:rsid w:val="001874CB"/>
    <w:rsid w:val="001876C4"/>
    <w:rsid w:val="0018770B"/>
    <w:rsid w:val="00187815"/>
    <w:rsid w:val="00187A24"/>
    <w:rsid w:val="0019086B"/>
    <w:rsid w:val="00190A00"/>
    <w:rsid w:val="00191157"/>
    <w:rsid w:val="0019237D"/>
    <w:rsid w:val="001928E1"/>
    <w:rsid w:val="00193DE6"/>
    <w:rsid w:val="00193FB4"/>
    <w:rsid w:val="00195A6E"/>
    <w:rsid w:val="001963AB"/>
    <w:rsid w:val="00197291"/>
    <w:rsid w:val="00197AA3"/>
    <w:rsid w:val="00197E03"/>
    <w:rsid w:val="001A0002"/>
    <w:rsid w:val="001A0807"/>
    <w:rsid w:val="001A0C14"/>
    <w:rsid w:val="001A0E60"/>
    <w:rsid w:val="001A16D5"/>
    <w:rsid w:val="001A1F34"/>
    <w:rsid w:val="001A22FC"/>
    <w:rsid w:val="001A29D2"/>
    <w:rsid w:val="001A300D"/>
    <w:rsid w:val="001A32A3"/>
    <w:rsid w:val="001A32BF"/>
    <w:rsid w:val="001A391E"/>
    <w:rsid w:val="001A3F44"/>
    <w:rsid w:val="001A42EE"/>
    <w:rsid w:val="001A4360"/>
    <w:rsid w:val="001A449E"/>
    <w:rsid w:val="001A45D1"/>
    <w:rsid w:val="001A470C"/>
    <w:rsid w:val="001A52F9"/>
    <w:rsid w:val="001A5313"/>
    <w:rsid w:val="001A5D5C"/>
    <w:rsid w:val="001A6CA8"/>
    <w:rsid w:val="001A6D81"/>
    <w:rsid w:val="001A6F37"/>
    <w:rsid w:val="001A6FCD"/>
    <w:rsid w:val="001B1234"/>
    <w:rsid w:val="001B1490"/>
    <w:rsid w:val="001B16BD"/>
    <w:rsid w:val="001B1F13"/>
    <w:rsid w:val="001B1F28"/>
    <w:rsid w:val="001B3B68"/>
    <w:rsid w:val="001B46D6"/>
    <w:rsid w:val="001B59E4"/>
    <w:rsid w:val="001B5B42"/>
    <w:rsid w:val="001B62BE"/>
    <w:rsid w:val="001B69A9"/>
    <w:rsid w:val="001B70D8"/>
    <w:rsid w:val="001B764D"/>
    <w:rsid w:val="001B7AB5"/>
    <w:rsid w:val="001B7EA2"/>
    <w:rsid w:val="001C06E3"/>
    <w:rsid w:val="001C1CE1"/>
    <w:rsid w:val="001C24A5"/>
    <w:rsid w:val="001C2730"/>
    <w:rsid w:val="001C2C3A"/>
    <w:rsid w:val="001C2E38"/>
    <w:rsid w:val="001C31D5"/>
    <w:rsid w:val="001C386D"/>
    <w:rsid w:val="001C3B74"/>
    <w:rsid w:val="001C3D4F"/>
    <w:rsid w:val="001C41E8"/>
    <w:rsid w:val="001C454E"/>
    <w:rsid w:val="001C4B56"/>
    <w:rsid w:val="001C4DF0"/>
    <w:rsid w:val="001C522C"/>
    <w:rsid w:val="001C594F"/>
    <w:rsid w:val="001C5979"/>
    <w:rsid w:val="001C59E7"/>
    <w:rsid w:val="001C62A8"/>
    <w:rsid w:val="001C70C5"/>
    <w:rsid w:val="001C70F4"/>
    <w:rsid w:val="001C79DB"/>
    <w:rsid w:val="001D0C5A"/>
    <w:rsid w:val="001D0F7D"/>
    <w:rsid w:val="001D1090"/>
    <w:rsid w:val="001D1EB4"/>
    <w:rsid w:val="001D1FA5"/>
    <w:rsid w:val="001D2309"/>
    <w:rsid w:val="001D3DE1"/>
    <w:rsid w:val="001D408F"/>
    <w:rsid w:val="001D47C6"/>
    <w:rsid w:val="001D4B88"/>
    <w:rsid w:val="001D4E6E"/>
    <w:rsid w:val="001D51FA"/>
    <w:rsid w:val="001D5332"/>
    <w:rsid w:val="001D5345"/>
    <w:rsid w:val="001D59A6"/>
    <w:rsid w:val="001D5B32"/>
    <w:rsid w:val="001D6994"/>
    <w:rsid w:val="001D6B87"/>
    <w:rsid w:val="001D702B"/>
    <w:rsid w:val="001D7444"/>
    <w:rsid w:val="001D7665"/>
    <w:rsid w:val="001D7C0B"/>
    <w:rsid w:val="001E02BB"/>
    <w:rsid w:val="001E0573"/>
    <w:rsid w:val="001E0ECE"/>
    <w:rsid w:val="001E0F8B"/>
    <w:rsid w:val="001E1E2A"/>
    <w:rsid w:val="001E2643"/>
    <w:rsid w:val="001E2DF1"/>
    <w:rsid w:val="001E3B77"/>
    <w:rsid w:val="001E429C"/>
    <w:rsid w:val="001E515E"/>
    <w:rsid w:val="001E6517"/>
    <w:rsid w:val="001E65D5"/>
    <w:rsid w:val="001E75CC"/>
    <w:rsid w:val="001E77D3"/>
    <w:rsid w:val="001E79DA"/>
    <w:rsid w:val="001F061C"/>
    <w:rsid w:val="001F1973"/>
    <w:rsid w:val="001F1AE5"/>
    <w:rsid w:val="001F25EC"/>
    <w:rsid w:val="001F3E03"/>
    <w:rsid w:val="001F4617"/>
    <w:rsid w:val="001F4BFC"/>
    <w:rsid w:val="001F582E"/>
    <w:rsid w:val="001F5F1D"/>
    <w:rsid w:val="001F5FBA"/>
    <w:rsid w:val="001F692C"/>
    <w:rsid w:val="001F7F5B"/>
    <w:rsid w:val="00200961"/>
    <w:rsid w:val="00200DD5"/>
    <w:rsid w:val="00200E28"/>
    <w:rsid w:val="0020219F"/>
    <w:rsid w:val="002023E2"/>
    <w:rsid w:val="00202D8C"/>
    <w:rsid w:val="00202F85"/>
    <w:rsid w:val="00203BBC"/>
    <w:rsid w:val="00203E0D"/>
    <w:rsid w:val="0020420B"/>
    <w:rsid w:val="00204985"/>
    <w:rsid w:val="0020526B"/>
    <w:rsid w:val="002053E1"/>
    <w:rsid w:val="002056BC"/>
    <w:rsid w:val="00205827"/>
    <w:rsid w:val="00205FFF"/>
    <w:rsid w:val="002068B7"/>
    <w:rsid w:val="002071DA"/>
    <w:rsid w:val="002078C5"/>
    <w:rsid w:val="00207E4B"/>
    <w:rsid w:val="00207ED6"/>
    <w:rsid w:val="002103CF"/>
    <w:rsid w:val="00210B31"/>
    <w:rsid w:val="00210C31"/>
    <w:rsid w:val="00210F23"/>
    <w:rsid w:val="002119C4"/>
    <w:rsid w:val="00211AF0"/>
    <w:rsid w:val="00211C6C"/>
    <w:rsid w:val="00212864"/>
    <w:rsid w:val="002129F1"/>
    <w:rsid w:val="00212F8D"/>
    <w:rsid w:val="002137E5"/>
    <w:rsid w:val="002137F9"/>
    <w:rsid w:val="00213A5C"/>
    <w:rsid w:val="00213C3A"/>
    <w:rsid w:val="00213E56"/>
    <w:rsid w:val="002147F0"/>
    <w:rsid w:val="00214E33"/>
    <w:rsid w:val="0021538D"/>
    <w:rsid w:val="0021542D"/>
    <w:rsid w:val="00216B8B"/>
    <w:rsid w:val="00217A4B"/>
    <w:rsid w:val="00221002"/>
    <w:rsid w:val="002216CB"/>
    <w:rsid w:val="00222D75"/>
    <w:rsid w:val="00222DC5"/>
    <w:rsid w:val="00223B35"/>
    <w:rsid w:val="00223EE1"/>
    <w:rsid w:val="00224A52"/>
    <w:rsid w:val="00224A8C"/>
    <w:rsid w:val="00224FCA"/>
    <w:rsid w:val="00225AE8"/>
    <w:rsid w:val="00225EEE"/>
    <w:rsid w:val="0022603E"/>
    <w:rsid w:val="0022639B"/>
    <w:rsid w:val="0022639F"/>
    <w:rsid w:val="00226B6A"/>
    <w:rsid w:val="002301D5"/>
    <w:rsid w:val="00230882"/>
    <w:rsid w:val="002308B9"/>
    <w:rsid w:val="00231381"/>
    <w:rsid w:val="00231659"/>
    <w:rsid w:val="0023174F"/>
    <w:rsid w:val="00231757"/>
    <w:rsid w:val="002322C8"/>
    <w:rsid w:val="0023237B"/>
    <w:rsid w:val="00232D96"/>
    <w:rsid w:val="00232F07"/>
    <w:rsid w:val="0023311D"/>
    <w:rsid w:val="00233936"/>
    <w:rsid w:val="00233968"/>
    <w:rsid w:val="002343B6"/>
    <w:rsid w:val="0023545F"/>
    <w:rsid w:val="00235480"/>
    <w:rsid w:val="002358CB"/>
    <w:rsid w:val="00236528"/>
    <w:rsid w:val="00236DE0"/>
    <w:rsid w:val="00237C51"/>
    <w:rsid w:val="00237FFA"/>
    <w:rsid w:val="002404A7"/>
    <w:rsid w:val="00241C97"/>
    <w:rsid w:val="00241D75"/>
    <w:rsid w:val="00242790"/>
    <w:rsid w:val="00242CB1"/>
    <w:rsid w:val="00242DC2"/>
    <w:rsid w:val="00242EB2"/>
    <w:rsid w:val="00242F39"/>
    <w:rsid w:val="00243E45"/>
    <w:rsid w:val="0024493B"/>
    <w:rsid w:val="00244A5D"/>
    <w:rsid w:val="00244D66"/>
    <w:rsid w:val="00246FD8"/>
    <w:rsid w:val="0024770C"/>
    <w:rsid w:val="00247A69"/>
    <w:rsid w:val="0025005A"/>
    <w:rsid w:val="002501CF"/>
    <w:rsid w:val="0025021F"/>
    <w:rsid w:val="00251C61"/>
    <w:rsid w:val="002526F9"/>
    <w:rsid w:val="002542CB"/>
    <w:rsid w:val="002543ED"/>
    <w:rsid w:val="0025470B"/>
    <w:rsid w:val="00255126"/>
    <w:rsid w:val="002558B1"/>
    <w:rsid w:val="00255FB0"/>
    <w:rsid w:val="00256024"/>
    <w:rsid w:val="00256E83"/>
    <w:rsid w:val="00256F32"/>
    <w:rsid w:val="00257B9A"/>
    <w:rsid w:val="00260D17"/>
    <w:rsid w:val="00261375"/>
    <w:rsid w:val="0026256C"/>
    <w:rsid w:val="00262A26"/>
    <w:rsid w:val="002635C9"/>
    <w:rsid w:val="00263E86"/>
    <w:rsid w:val="00264BFD"/>
    <w:rsid w:val="002650A4"/>
    <w:rsid w:val="00265216"/>
    <w:rsid w:val="00265DB7"/>
    <w:rsid w:val="002668A9"/>
    <w:rsid w:val="00266980"/>
    <w:rsid w:val="00270AF9"/>
    <w:rsid w:val="00270C35"/>
    <w:rsid w:val="002712AE"/>
    <w:rsid w:val="0027148E"/>
    <w:rsid w:val="00271858"/>
    <w:rsid w:val="0027190D"/>
    <w:rsid w:val="00271944"/>
    <w:rsid w:val="00272204"/>
    <w:rsid w:val="0027249E"/>
    <w:rsid w:val="00272B61"/>
    <w:rsid w:val="00272DE5"/>
    <w:rsid w:val="00273060"/>
    <w:rsid w:val="002739D6"/>
    <w:rsid w:val="002745F6"/>
    <w:rsid w:val="00274B06"/>
    <w:rsid w:val="00275014"/>
    <w:rsid w:val="0027556D"/>
    <w:rsid w:val="002756C1"/>
    <w:rsid w:val="00275A24"/>
    <w:rsid w:val="00276178"/>
    <w:rsid w:val="00276466"/>
    <w:rsid w:val="00276E0E"/>
    <w:rsid w:val="00276ECF"/>
    <w:rsid w:val="00277766"/>
    <w:rsid w:val="00280AB2"/>
    <w:rsid w:val="00280BA6"/>
    <w:rsid w:val="00280C14"/>
    <w:rsid w:val="00280D3E"/>
    <w:rsid w:val="00280E4D"/>
    <w:rsid w:val="00280F7C"/>
    <w:rsid w:val="0028141B"/>
    <w:rsid w:val="00281531"/>
    <w:rsid w:val="002816D6"/>
    <w:rsid w:val="00281710"/>
    <w:rsid w:val="002819B5"/>
    <w:rsid w:val="0028247C"/>
    <w:rsid w:val="00283219"/>
    <w:rsid w:val="00285C21"/>
    <w:rsid w:val="00285D2F"/>
    <w:rsid w:val="0028671F"/>
    <w:rsid w:val="00286B15"/>
    <w:rsid w:val="002874B1"/>
    <w:rsid w:val="00287D9C"/>
    <w:rsid w:val="00287F0D"/>
    <w:rsid w:val="00290403"/>
    <w:rsid w:val="002906F3"/>
    <w:rsid w:val="00290C5C"/>
    <w:rsid w:val="00291503"/>
    <w:rsid w:val="0029163C"/>
    <w:rsid w:val="00291792"/>
    <w:rsid w:val="002918A4"/>
    <w:rsid w:val="00292FD2"/>
    <w:rsid w:val="00293C8E"/>
    <w:rsid w:val="00294110"/>
    <w:rsid w:val="0029471A"/>
    <w:rsid w:val="002947C3"/>
    <w:rsid w:val="00294E63"/>
    <w:rsid w:val="002951DC"/>
    <w:rsid w:val="00295D9C"/>
    <w:rsid w:val="00296899"/>
    <w:rsid w:val="00297076"/>
    <w:rsid w:val="00297F09"/>
    <w:rsid w:val="00297FE2"/>
    <w:rsid w:val="002A0F16"/>
    <w:rsid w:val="002A1019"/>
    <w:rsid w:val="002A14A5"/>
    <w:rsid w:val="002A207A"/>
    <w:rsid w:val="002A2E85"/>
    <w:rsid w:val="002A310A"/>
    <w:rsid w:val="002A31F3"/>
    <w:rsid w:val="002A470D"/>
    <w:rsid w:val="002A4BDB"/>
    <w:rsid w:val="002A513E"/>
    <w:rsid w:val="002A6E36"/>
    <w:rsid w:val="002A6F92"/>
    <w:rsid w:val="002A7FB8"/>
    <w:rsid w:val="002A7FD4"/>
    <w:rsid w:val="002B0278"/>
    <w:rsid w:val="002B1404"/>
    <w:rsid w:val="002B1674"/>
    <w:rsid w:val="002B2FD9"/>
    <w:rsid w:val="002B37CF"/>
    <w:rsid w:val="002B3822"/>
    <w:rsid w:val="002B4097"/>
    <w:rsid w:val="002B40A9"/>
    <w:rsid w:val="002B4CA5"/>
    <w:rsid w:val="002B50A9"/>
    <w:rsid w:val="002B5C90"/>
    <w:rsid w:val="002B5CF4"/>
    <w:rsid w:val="002B602D"/>
    <w:rsid w:val="002B68E2"/>
    <w:rsid w:val="002B6954"/>
    <w:rsid w:val="002B6A56"/>
    <w:rsid w:val="002B6B5A"/>
    <w:rsid w:val="002B6D0D"/>
    <w:rsid w:val="002B7361"/>
    <w:rsid w:val="002B77A2"/>
    <w:rsid w:val="002B77FD"/>
    <w:rsid w:val="002B787F"/>
    <w:rsid w:val="002C015F"/>
    <w:rsid w:val="002C05E6"/>
    <w:rsid w:val="002C0870"/>
    <w:rsid w:val="002C09F1"/>
    <w:rsid w:val="002C253A"/>
    <w:rsid w:val="002C2804"/>
    <w:rsid w:val="002C29BA"/>
    <w:rsid w:val="002C412F"/>
    <w:rsid w:val="002C4235"/>
    <w:rsid w:val="002C42FF"/>
    <w:rsid w:val="002C5A28"/>
    <w:rsid w:val="002C674E"/>
    <w:rsid w:val="002C7165"/>
    <w:rsid w:val="002C7B97"/>
    <w:rsid w:val="002D01B9"/>
    <w:rsid w:val="002D08CB"/>
    <w:rsid w:val="002D1F99"/>
    <w:rsid w:val="002D23E1"/>
    <w:rsid w:val="002D2EA6"/>
    <w:rsid w:val="002D2F1A"/>
    <w:rsid w:val="002D3438"/>
    <w:rsid w:val="002D3661"/>
    <w:rsid w:val="002D4659"/>
    <w:rsid w:val="002D4CC1"/>
    <w:rsid w:val="002D4EDB"/>
    <w:rsid w:val="002D4FDB"/>
    <w:rsid w:val="002D5111"/>
    <w:rsid w:val="002D53DE"/>
    <w:rsid w:val="002D6069"/>
    <w:rsid w:val="002D6166"/>
    <w:rsid w:val="002D7180"/>
    <w:rsid w:val="002D7CDA"/>
    <w:rsid w:val="002E1421"/>
    <w:rsid w:val="002E1E32"/>
    <w:rsid w:val="002E20AE"/>
    <w:rsid w:val="002E2E70"/>
    <w:rsid w:val="002E3213"/>
    <w:rsid w:val="002E33C4"/>
    <w:rsid w:val="002E453C"/>
    <w:rsid w:val="002E590B"/>
    <w:rsid w:val="002E59CC"/>
    <w:rsid w:val="002E5F29"/>
    <w:rsid w:val="002E66EB"/>
    <w:rsid w:val="002E6DB0"/>
    <w:rsid w:val="002E7665"/>
    <w:rsid w:val="002E797F"/>
    <w:rsid w:val="002E7B50"/>
    <w:rsid w:val="002E7FEC"/>
    <w:rsid w:val="002F069D"/>
    <w:rsid w:val="002F1270"/>
    <w:rsid w:val="002F14F1"/>
    <w:rsid w:val="002F1B5C"/>
    <w:rsid w:val="002F2557"/>
    <w:rsid w:val="002F267F"/>
    <w:rsid w:val="002F36AD"/>
    <w:rsid w:val="002F3C13"/>
    <w:rsid w:val="002F4040"/>
    <w:rsid w:val="002F426F"/>
    <w:rsid w:val="002F46CF"/>
    <w:rsid w:val="002F4CD0"/>
    <w:rsid w:val="002F5445"/>
    <w:rsid w:val="002F57B7"/>
    <w:rsid w:val="002F5CAB"/>
    <w:rsid w:val="002F5DC9"/>
    <w:rsid w:val="002F6816"/>
    <w:rsid w:val="002F6E20"/>
    <w:rsid w:val="002F70DE"/>
    <w:rsid w:val="00300713"/>
    <w:rsid w:val="00300EBE"/>
    <w:rsid w:val="003023B3"/>
    <w:rsid w:val="00302F9C"/>
    <w:rsid w:val="003034FB"/>
    <w:rsid w:val="0030407D"/>
    <w:rsid w:val="0030429C"/>
    <w:rsid w:val="00304565"/>
    <w:rsid w:val="00304740"/>
    <w:rsid w:val="00304F83"/>
    <w:rsid w:val="00305AE9"/>
    <w:rsid w:val="00306209"/>
    <w:rsid w:val="00306EF4"/>
    <w:rsid w:val="0030749D"/>
    <w:rsid w:val="003075E9"/>
    <w:rsid w:val="0030783D"/>
    <w:rsid w:val="00307B4C"/>
    <w:rsid w:val="00307F4B"/>
    <w:rsid w:val="00310232"/>
    <w:rsid w:val="003109A0"/>
    <w:rsid w:val="00310CC0"/>
    <w:rsid w:val="00311274"/>
    <w:rsid w:val="003119FB"/>
    <w:rsid w:val="00312406"/>
    <w:rsid w:val="003129DF"/>
    <w:rsid w:val="00313D43"/>
    <w:rsid w:val="00314400"/>
    <w:rsid w:val="00314D6A"/>
    <w:rsid w:val="003151E0"/>
    <w:rsid w:val="00315E31"/>
    <w:rsid w:val="00315FE1"/>
    <w:rsid w:val="0031650D"/>
    <w:rsid w:val="0031654B"/>
    <w:rsid w:val="00316D2E"/>
    <w:rsid w:val="00316E79"/>
    <w:rsid w:val="003201B2"/>
    <w:rsid w:val="003231BF"/>
    <w:rsid w:val="00324C5F"/>
    <w:rsid w:val="00324D72"/>
    <w:rsid w:val="00325DCF"/>
    <w:rsid w:val="00326A34"/>
    <w:rsid w:val="00326A4F"/>
    <w:rsid w:val="003278E9"/>
    <w:rsid w:val="00327A18"/>
    <w:rsid w:val="00327E2A"/>
    <w:rsid w:val="003302F5"/>
    <w:rsid w:val="003304EC"/>
    <w:rsid w:val="00330D67"/>
    <w:rsid w:val="00331154"/>
    <w:rsid w:val="00331383"/>
    <w:rsid w:val="003315A3"/>
    <w:rsid w:val="0033183F"/>
    <w:rsid w:val="00331840"/>
    <w:rsid w:val="00331ECD"/>
    <w:rsid w:val="00333AD7"/>
    <w:rsid w:val="003347F3"/>
    <w:rsid w:val="0033531C"/>
    <w:rsid w:val="00335902"/>
    <w:rsid w:val="00335AD5"/>
    <w:rsid w:val="00335F81"/>
    <w:rsid w:val="003361A7"/>
    <w:rsid w:val="003362AA"/>
    <w:rsid w:val="0033645A"/>
    <w:rsid w:val="00336510"/>
    <w:rsid w:val="0033654B"/>
    <w:rsid w:val="0033688B"/>
    <w:rsid w:val="00336E6A"/>
    <w:rsid w:val="00336E6E"/>
    <w:rsid w:val="00337007"/>
    <w:rsid w:val="003377A3"/>
    <w:rsid w:val="00340DA0"/>
    <w:rsid w:val="00341572"/>
    <w:rsid w:val="0034157E"/>
    <w:rsid w:val="0034184F"/>
    <w:rsid w:val="0034241C"/>
    <w:rsid w:val="003425F6"/>
    <w:rsid w:val="0034262F"/>
    <w:rsid w:val="0034265B"/>
    <w:rsid w:val="00343222"/>
    <w:rsid w:val="003435F7"/>
    <w:rsid w:val="00343965"/>
    <w:rsid w:val="00344A19"/>
    <w:rsid w:val="0034598A"/>
    <w:rsid w:val="00346457"/>
    <w:rsid w:val="0034778D"/>
    <w:rsid w:val="003504A4"/>
    <w:rsid w:val="00350DC9"/>
    <w:rsid w:val="00351848"/>
    <w:rsid w:val="00352348"/>
    <w:rsid w:val="0035270C"/>
    <w:rsid w:val="00352BDB"/>
    <w:rsid w:val="003536BF"/>
    <w:rsid w:val="00354BCD"/>
    <w:rsid w:val="003551AC"/>
    <w:rsid w:val="00355651"/>
    <w:rsid w:val="00355D94"/>
    <w:rsid w:val="00356091"/>
    <w:rsid w:val="00356483"/>
    <w:rsid w:val="00356664"/>
    <w:rsid w:val="0035715B"/>
    <w:rsid w:val="00357DD6"/>
    <w:rsid w:val="003608AB"/>
    <w:rsid w:val="00360A21"/>
    <w:rsid w:val="003613AE"/>
    <w:rsid w:val="00361C01"/>
    <w:rsid w:val="00362341"/>
    <w:rsid w:val="0036266A"/>
    <w:rsid w:val="003626C5"/>
    <w:rsid w:val="003629BF"/>
    <w:rsid w:val="00362EEF"/>
    <w:rsid w:val="00363FCD"/>
    <w:rsid w:val="003646FA"/>
    <w:rsid w:val="00365B48"/>
    <w:rsid w:val="00365C59"/>
    <w:rsid w:val="00366239"/>
    <w:rsid w:val="003676A6"/>
    <w:rsid w:val="00367A14"/>
    <w:rsid w:val="00367A18"/>
    <w:rsid w:val="00367E35"/>
    <w:rsid w:val="00367FEA"/>
    <w:rsid w:val="003700BB"/>
    <w:rsid w:val="00370318"/>
    <w:rsid w:val="00370C09"/>
    <w:rsid w:val="00370E10"/>
    <w:rsid w:val="00371476"/>
    <w:rsid w:val="00371E43"/>
    <w:rsid w:val="00372065"/>
    <w:rsid w:val="00372518"/>
    <w:rsid w:val="00372847"/>
    <w:rsid w:val="003731E2"/>
    <w:rsid w:val="00373360"/>
    <w:rsid w:val="00373427"/>
    <w:rsid w:val="003739B9"/>
    <w:rsid w:val="00373A7A"/>
    <w:rsid w:val="00373B61"/>
    <w:rsid w:val="00374110"/>
    <w:rsid w:val="0037440F"/>
    <w:rsid w:val="0037502E"/>
    <w:rsid w:val="00375619"/>
    <w:rsid w:val="00375FC2"/>
    <w:rsid w:val="00376099"/>
    <w:rsid w:val="00376950"/>
    <w:rsid w:val="00376FFE"/>
    <w:rsid w:val="003777E5"/>
    <w:rsid w:val="00377C45"/>
    <w:rsid w:val="00380F13"/>
    <w:rsid w:val="00381CC1"/>
    <w:rsid w:val="00381D6B"/>
    <w:rsid w:val="00382148"/>
    <w:rsid w:val="003821EC"/>
    <w:rsid w:val="00382959"/>
    <w:rsid w:val="00382ADF"/>
    <w:rsid w:val="00382CD8"/>
    <w:rsid w:val="00382CF8"/>
    <w:rsid w:val="0038346E"/>
    <w:rsid w:val="00383C63"/>
    <w:rsid w:val="003840BE"/>
    <w:rsid w:val="00384258"/>
    <w:rsid w:val="003845D4"/>
    <w:rsid w:val="00385360"/>
    <w:rsid w:val="00385863"/>
    <w:rsid w:val="00385B18"/>
    <w:rsid w:val="003863B7"/>
    <w:rsid w:val="003869EE"/>
    <w:rsid w:val="00386A64"/>
    <w:rsid w:val="00386C5A"/>
    <w:rsid w:val="00390138"/>
    <w:rsid w:val="00390A63"/>
    <w:rsid w:val="003915D4"/>
    <w:rsid w:val="003922F0"/>
    <w:rsid w:val="003923A9"/>
    <w:rsid w:val="003924CF"/>
    <w:rsid w:val="00392545"/>
    <w:rsid w:val="003928F7"/>
    <w:rsid w:val="00392ACE"/>
    <w:rsid w:val="00392B02"/>
    <w:rsid w:val="0039305D"/>
    <w:rsid w:val="0039316C"/>
    <w:rsid w:val="0039330E"/>
    <w:rsid w:val="00393B2A"/>
    <w:rsid w:val="00394A66"/>
    <w:rsid w:val="00395335"/>
    <w:rsid w:val="0039625E"/>
    <w:rsid w:val="00396430"/>
    <w:rsid w:val="00396BE8"/>
    <w:rsid w:val="0039709A"/>
    <w:rsid w:val="00397296"/>
    <w:rsid w:val="00397387"/>
    <w:rsid w:val="00397B22"/>
    <w:rsid w:val="003A16FB"/>
    <w:rsid w:val="003A1EF8"/>
    <w:rsid w:val="003A1F48"/>
    <w:rsid w:val="003A2927"/>
    <w:rsid w:val="003A2F88"/>
    <w:rsid w:val="003A31DB"/>
    <w:rsid w:val="003A36E0"/>
    <w:rsid w:val="003A3AD7"/>
    <w:rsid w:val="003A42BD"/>
    <w:rsid w:val="003A449E"/>
    <w:rsid w:val="003A4557"/>
    <w:rsid w:val="003A4669"/>
    <w:rsid w:val="003A4A92"/>
    <w:rsid w:val="003A5CE3"/>
    <w:rsid w:val="003A5CE6"/>
    <w:rsid w:val="003A6007"/>
    <w:rsid w:val="003A640D"/>
    <w:rsid w:val="003A6543"/>
    <w:rsid w:val="003A6E58"/>
    <w:rsid w:val="003B0385"/>
    <w:rsid w:val="003B0616"/>
    <w:rsid w:val="003B08AF"/>
    <w:rsid w:val="003B08E5"/>
    <w:rsid w:val="003B09AB"/>
    <w:rsid w:val="003B0A1F"/>
    <w:rsid w:val="003B0EB3"/>
    <w:rsid w:val="003B11B2"/>
    <w:rsid w:val="003B20C6"/>
    <w:rsid w:val="003B24D5"/>
    <w:rsid w:val="003B2BC4"/>
    <w:rsid w:val="003B2D52"/>
    <w:rsid w:val="003B3524"/>
    <w:rsid w:val="003B3E6C"/>
    <w:rsid w:val="003B4643"/>
    <w:rsid w:val="003B4662"/>
    <w:rsid w:val="003B4A35"/>
    <w:rsid w:val="003B4AC2"/>
    <w:rsid w:val="003B50DF"/>
    <w:rsid w:val="003B592E"/>
    <w:rsid w:val="003B6384"/>
    <w:rsid w:val="003B685B"/>
    <w:rsid w:val="003B79CE"/>
    <w:rsid w:val="003B79DB"/>
    <w:rsid w:val="003B7C01"/>
    <w:rsid w:val="003B7D7D"/>
    <w:rsid w:val="003C004C"/>
    <w:rsid w:val="003C04DA"/>
    <w:rsid w:val="003C1A45"/>
    <w:rsid w:val="003C2414"/>
    <w:rsid w:val="003C2AE4"/>
    <w:rsid w:val="003C2C1D"/>
    <w:rsid w:val="003C3025"/>
    <w:rsid w:val="003C3892"/>
    <w:rsid w:val="003C42DC"/>
    <w:rsid w:val="003C43FC"/>
    <w:rsid w:val="003C4B5A"/>
    <w:rsid w:val="003C4F80"/>
    <w:rsid w:val="003C6903"/>
    <w:rsid w:val="003C6AD2"/>
    <w:rsid w:val="003C6C90"/>
    <w:rsid w:val="003C73FD"/>
    <w:rsid w:val="003C7A51"/>
    <w:rsid w:val="003C7E0D"/>
    <w:rsid w:val="003D004E"/>
    <w:rsid w:val="003D04A0"/>
    <w:rsid w:val="003D0551"/>
    <w:rsid w:val="003D0B0B"/>
    <w:rsid w:val="003D0B1F"/>
    <w:rsid w:val="003D1FC2"/>
    <w:rsid w:val="003D2A2B"/>
    <w:rsid w:val="003D37D7"/>
    <w:rsid w:val="003D4AA3"/>
    <w:rsid w:val="003D55AD"/>
    <w:rsid w:val="003D5CF8"/>
    <w:rsid w:val="003D6167"/>
    <w:rsid w:val="003D6526"/>
    <w:rsid w:val="003D68C4"/>
    <w:rsid w:val="003D707E"/>
    <w:rsid w:val="003D73B0"/>
    <w:rsid w:val="003E0478"/>
    <w:rsid w:val="003E0AE9"/>
    <w:rsid w:val="003E1A91"/>
    <w:rsid w:val="003E1C36"/>
    <w:rsid w:val="003E21AC"/>
    <w:rsid w:val="003E2D27"/>
    <w:rsid w:val="003E3FDB"/>
    <w:rsid w:val="003E40CA"/>
    <w:rsid w:val="003E4788"/>
    <w:rsid w:val="003E57D5"/>
    <w:rsid w:val="003E5894"/>
    <w:rsid w:val="003E59A2"/>
    <w:rsid w:val="003E5B75"/>
    <w:rsid w:val="003E62F8"/>
    <w:rsid w:val="003E7485"/>
    <w:rsid w:val="003E7749"/>
    <w:rsid w:val="003E7915"/>
    <w:rsid w:val="003F0601"/>
    <w:rsid w:val="003F19EF"/>
    <w:rsid w:val="003F1BD8"/>
    <w:rsid w:val="003F2288"/>
    <w:rsid w:val="003F2F40"/>
    <w:rsid w:val="003F2F57"/>
    <w:rsid w:val="003F301D"/>
    <w:rsid w:val="003F31BC"/>
    <w:rsid w:val="003F3D93"/>
    <w:rsid w:val="003F5C0D"/>
    <w:rsid w:val="003F69CD"/>
    <w:rsid w:val="003F6B67"/>
    <w:rsid w:val="003F79E0"/>
    <w:rsid w:val="004001F8"/>
    <w:rsid w:val="00400905"/>
    <w:rsid w:val="00400A0D"/>
    <w:rsid w:val="00401FC7"/>
    <w:rsid w:val="004024E3"/>
    <w:rsid w:val="004026E5"/>
    <w:rsid w:val="00402EF1"/>
    <w:rsid w:val="00403D3C"/>
    <w:rsid w:val="00403E91"/>
    <w:rsid w:val="00404025"/>
    <w:rsid w:val="00404541"/>
    <w:rsid w:val="004047DC"/>
    <w:rsid w:val="00404D88"/>
    <w:rsid w:val="00405170"/>
    <w:rsid w:val="00406102"/>
    <w:rsid w:val="004061B5"/>
    <w:rsid w:val="00406837"/>
    <w:rsid w:val="00407524"/>
    <w:rsid w:val="00410723"/>
    <w:rsid w:val="00411990"/>
    <w:rsid w:val="00411C94"/>
    <w:rsid w:val="004120DC"/>
    <w:rsid w:val="0041246C"/>
    <w:rsid w:val="00413C7A"/>
    <w:rsid w:val="00414A86"/>
    <w:rsid w:val="00414CB1"/>
    <w:rsid w:val="0041644D"/>
    <w:rsid w:val="00416B02"/>
    <w:rsid w:val="00417D52"/>
    <w:rsid w:val="00421BE7"/>
    <w:rsid w:val="00421C99"/>
    <w:rsid w:val="0042224C"/>
    <w:rsid w:val="00422366"/>
    <w:rsid w:val="00422A71"/>
    <w:rsid w:val="00422F96"/>
    <w:rsid w:val="004243AC"/>
    <w:rsid w:val="004245D5"/>
    <w:rsid w:val="00424676"/>
    <w:rsid w:val="0042496D"/>
    <w:rsid w:val="00424B5C"/>
    <w:rsid w:val="0042585B"/>
    <w:rsid w:val="00426671"/>
    <w:rsid w:val="00426FAD"/>
    <w:rsid w:val="0042746B"/>
    <w:rsid w:val="00427EB7"/>
    <w:rsid w:val="0043015D"/>
    <w:rsid w:val="00430889"/>
    <w:rsid w:val="00430CB6"/>
    <w:rsid w:val="00430D7C"/>
    <w:rsid w:val="00430E05"/>
    <w:rsid w:val="004313EF"/>
    <w:rsid w:val="00431C83"/>
    <w:rsid w:val="00431E2B"/>
    <w:rsid w:val="00432002"/>
    <w:rsid w:val="00432CD4"/>
    <w:rsid w:val="00433274"/>
    <w:rsid w:val="00434EA4"/>
    <w:rsid w:val="00435C09"/>
    <w:rsid w:val="0043627A"/>
    <w:rsid w:val="00436E0F"/>
    <w:rsid w:val="004374B9"/>
    <w:rsid w:val="00437582"/>
    <w:rsid w:val="00437E92"/>
    <w:rsid w:val="00440A47"/>
    <w:rsid w:val="00440D4A"/>
    <w:rsid w:val="004417A4"/>
    <w:rsid w:val="00441B88"/>
    <w:rsid w:val="00441DC3"/>
    <w:rsid w:val="00441E58"/>
    <w:rsid w:val="00442307"/>
    <w:rsid w:val="00442FCE"/>
    <w:rsid w:val="0044338B"/>
    <w:rsid w:val="004437CF"/>
    <w:rsid w:val="00443BE6"/>
    <w:rsid w:val="00444188"/>
    <w:rsid w:val="0044444D"/>
    <w:rsid w:val="00444787"/>
    <w:rsid w:val="004448A0"/>
    <w:rsid w:val="00444A31"/>
    <w:rsid w:val="00444DA0"/>
    <w:rsid w:val="00445511"/>
    <w:rsid w:val="004457E4"/>
    <w:rsid w:val="00445B98"/>
    <w:rsid w:val="00445E51"/>
    <w:rsid w:val="00446EE6"/>
    <w:rsid w:val="00447059"/>
    <w:rsid w:val="00447D17"/>
    <w:rsid w:val="0045114E"/>
    <w:rsid w:val="00451CA6"/>
    <w:rsid w:val="00452847"/>
    <w:rsid w:val="00452F62"/>
    <w:rsid w:val="004538EC"/>
    <w:rsid w:val="00453EF0"/>
    <w:rsid w:val="004547EC"/>
    <w:rsid w:val="00455494"/>
    <w:rsid w:val="00455A34"/>
    <w:rsid w:val="00455C62"/>
    <w:rsid w:val="0045672E"/>
    <w:rsid w:val="004567BD"/>
    <w:rsid w:val="0046034E"/>
    <w:rsid w:val="00461376"/>
    <w:rsid w:val="0046177F"/>
    <w:rsid w:val="004621CF"/>
    <w:rsid w:val="00462D97"/>
    <w:rsid w:val="00464840"/>
    <w:rsid w:val="00465150"/>
    <w:rsid w:val="0046574C"/>
    <w:rsid w:val="0046577B"/>
    <w:rsid w:val="00465D27"/>
    <w:rsid w:val="00466346"/>
    <w:rsid w:val="00466CAB"/>
    <w:rsid w:val="00467AE1"/>
    <w:rsid w:val="0047040E"/>
    <w:rsid w:val="0047113A"/>
    <w:rsid w:val="0047231D"/>
    <w:rsid w:val="00472E12"/>
    <w:rsid w:val="0047381A"/>
    <w:rsid w:val="004744DA"/>
    <w:rsid w:val="00474909"/>
    <w:rsid w:val="0047522A"/>
    <w:rsid w:val="004756B5"/>
    <w:rsid w:val="00475897"/>
    <w:rsid w:val="0047591A"/>
    <w:rsid w:val="00475F2A"/>
    <w:rsid w:val="0047627D"/>
    <w:rsid w:val="00476E9C"/>
    <w:rsid w:val="004770A4"/>
    <w:rsid w:val="00477261"/>
    <w:rsid w:val="0047733B"/>
    <w:rsid w:val="00480F00"/>
    <w:rsid w:val="00481A37"/>
    <w:rsid w:val="0048202E"/>
    <w:rsid w:val="004822C5"/>
    <w:rsid w:val="0048238E"/>
    <w:rsid w:val="00482400"/>
    <w:rsid w:val="00482EC7"/>
    <w:rsid w:val="004839CD"/>
    <w:rsid w:val="00483A63"/>
    <w:rsid w:val="004840E5"/>
    <w:rsid w:val="00484367"/>
    <w:rsid w:val="0048525A"/>
    <w:rsid w:val="00485A48"/>
    <w:rsid w:val="00485F4C"/>
    <w:rsid w:val="0048667B"/>
    <w:rsid w:val="004879F3"/>
    <w:rsid w:val="00487DAC"/>
    <w:rsid w:val="00490B35"/>
    <w:rsid w:val="0049152C"/>
    <w:rsid w:val="0049242D"/>
    <w:rsid w:val="004925CB"/>
    <w:rsid w:val="00492CCF"/>
    <w:rsid w:val="00493281"/>
    <w:rsid w:val="00493753"/>
    <w:rsid w:val="0049515E"/>
    <w:rsid w:val="00496010"/>
    <w:rsid w:val="00496EAE"/>
    <w:rsid w:val="00497C04"/>
    <w:rsid w:val="004A0430"/>
    <w:rsid w:val="004A0805"/>
    <w:rsid w:val="004A084E"/>
    <w:rsid w:val="004A0AB5"/>
    <w:rsid w:val="004A0B79"/>
    <w:rsid w:val="004A16A8"/>
    <w:rsid w:val="004A1EEB"/>
    <w:rsid w:val="004A2076"/>
    <w:rsid w:val="004A29FC"/>
    <w:rsid w:val="004A3377"/>
    <w:rsid w:val="004A34B2"/>
    <w:rsid w:val="004A386A"/>
    <w:rsid w:val="004A389E"/>
    <w:rsid w:val="004A3E51"/>
    <w:rsid w:val="004A419E"/>
    <w:rsid w:val="004A4462"/>
    <w:rsid w:val="004A456B"/>
    <w:rsid w:val="004A46BE"/>
    <w:rsid w:val="004A4740"/>
    <w:rsid w:val="004A4ECE"/>
    <w:rsid w:val="004A68BD"/>
    <w:rsid w:val="004A6C41"/>
    <w:rsid w:val="004A7333"/>
    <w:rsid w:val="004A73F3"/>
    <w:rsid w:val="004A77D0"/>
    <w:rsid w:val="004B20A1"/>
    <w:rsid w:val="004B2708"/>
    <w:rsid w:val="004B2831"/>
    <w:rsid w:val="004B2CC1"/>
    <w:rsid w:val="004B43A4"/>
    <w:rsid w:val="004B4A82"/>
    <w:rsid w:val="004B4B72"/>
    <w:rsid w:val="004B53E2"/>
    <w:rsid w:val="004B5C6D"/>
    <w:rsid w:val="004B6F29"/>
    <w:rsid w:val="004B709A"/>
    <w:rsid w:val="004B7464"/>
    <w:rsid w:val="004B7D20"/>
    <w:rsid w:val="004C0305"/>
    <w:rsid w:val="004C0466"/>
    <w:rsid w:val="004C05FB"/>
    <w:rsid w:val="004C0FF4"/>
    <w:rsid w:val="004C1562"/>
    <w:rsid w:val="004C23CA"/>
    <w:rsid w:val="004C41AD"/>
    <w:rsid w:val="004C47BF"/>
    <w:rsid w:val="004C47CA"/>
    <w:rsid w:val="004C4E07"/>
    <w:rsid w:val="004C5315"/>
    <w:rsid w:val="004C584E"/>
    <w:rsid w:val="004C5D2E"/>
    <w:rsid w:val="004C5EE6"/>
    <w:rsid w:val="004C6A3D"/>
    <w:rsid w:val="004C7D32"/>
    <w:rsid w:val="004D0173"/>
    <w:rsid w:val="004D02E9"/>
    <w:rsid w:val="004D0463"/>
    <w:rsid w:val="004D0A75"/>
    <w:rsid w:val="004D0DAE"/>
    <w:rsid w:val="004D0FC3"/>
    <w:rsid w:val="004D178B"/>
    <w:rsid w:val="004D1912"/>
    <w:rsid w:val="004D2157"/>
    <w:rsid w:val="004D33BF"/>
    <w:rsid w:val="004D395E"/>
    <w:rsid w:val="004D3DD8"/>
    <w:rsid w:val="004D3F06"/>
    <w:rsid w:val="004D495E"/>
    <w:rsid w:val="004D4A7E"/>
    <w:rsid w:val="004D4BD3"/>
    <w:rsid w:val="004D5F54"/>
    <w:rsid w:val="004D6588"/>
    <w:rsid w:val="004D70F6"/>
    <w:rsid w:val="004D7991"/>
    <w:rsid w:val="004E08BA"/>
    <w:rsid w:val="004E13CF"/>
    <w:rsid w:val="004E16F5"/>
    <w:rsid w:val="004E2062"/>
    <w:rsid w:val="004E21F2"/>
    <w:rsid w:val="004E2267"/>
    <w:rsid w:val="004E22DF"/>
    <w:rsid w:val="004E3192"/>
    <w:rsid w:val="004E3F0B"/>
    <w:rsid w:val="004E427D"/>
    <w:rsid w:val="004E5879"/>
    <w:rsid w:val="004E5C70"/>
    <w:rsid w:val="004E6076"/>
    <w:rsid w:val="004E7747"/>
    <w:rsid w:val="004E780C"/>
    <w:rsid w:val="004E7943"/>
    <w:rsid w:val="004E7983"/>
    <w:rsid w:val="004E7D2A"/>
    <w:rsid w:val="004F124F"/>
    <w:rsid w:val="004F17B8"/>
    <w:rsid w:val="004F2347"/>
    <w:rsid w:val="004F23F7"/>
    <w:rsid w:val="004F24A1"/>
    <w:rsid w:val="004F24DC"/>
    <w:rsid w:val="004F25F5"/>
    <w:rsid w:val="004F2996"/>
    <w:rsid w:val="004F2B5E"/>
    <w:rsid w:val="004F2FC7"/>
    <w:rsid w:val="004F32DC"/>
    <w:rsid w:val="004F3B59"/>
    <w:rsid w:val="004F3CA8"/>
    <w:rsid w:val="004F43EA"/>
    <w:rsid w:val="004F4AAD"/>
    <w:rsid w:val="004F56A4"/>
    <w:rsid w:val="004F586A"/>
    <w:rsid w:val="004F5C62"/>
    <w:rsid w:val="004F6432"/>
    <w:rsid w:val="004F7142"/>
    <w:rsid w:val="004F71F4"/>
    <w:rsid w:val="004F7542"/>
    <w:rsid w:val="005000EB"/>
    <w:rsid w:val="00501313"/>
    <w:rsid w:val="00501472"/>
    <w:rsid w:val="0050179E"/>
    <w:rsid w:val="00502D74"/>
    <w:rsid w:val="005033DF"/>
    <w:rsid w:val="005035FC"/>
    <w:rsid w:val="00503632"/>
    <w:rsid w:val="00503AFD"/>
    <w:rsid w:val="0050428E"/>
    <w:rsid w:val="005042B0"/>
    <w:rsid w:val="00504AEA"/>
    <w:rsid w:val="005053BD"/>
    <w:rsid w:val="005055B0"/>
    <w:rsid w:val="00505761"/>
    <w:rsid w:val="0050602E"/>
    <w:rsid w:val="0050690C"/>
    <w:rsid w:val="00507856"/>
    <w:rsid w:val="00507F83"/>
    <w:rsid w:val="005104D4"/>
    <w:rsid w:val="00511367"/>
    <w:rsid w:val="005115AD"/>
    <w:rsid w:val="00511760"/>
    <w:rsid w:val="00511C3A"/>
    <w:rsid w:val="00511ED3"/>
    <w:rsid w:val="005122E9"/>
    <w:rsid w:val="00512A27"/>
    <w:rsid w:val="00513522"/>
    <w:rsid w:val="005136F3"/>
    <w:rsid w:val="00514289"/>
    <w:rsid w:val="005165B5"/>
    <w:rsid w:val="00516B83"/>
    <w:rsid w:val="005179A5"/>
    <w:rsid w:val="00517B0D"/>
    <w:rsid w:val="00520473"/>
    <w:rsid w:val="00520945"/>
    <w:rsid w:val="00520BEC"/>
    <w:rsid w:val="005215F8"/>
    <w:rsid w:val="00522EE9"/>
    <w:rsid w:val="00523582"/>
    <w:rsid w:val="005235F8"/>
    <w:rsid w:val="0052413A"/>
    <w:rsid w:val="0052449E"/>
    <w:rsid w:val="005257FA"/>
    <w:rsid w:val="0052620F"/>
    <w:rsid w:val="00526C35"/>
    <w:rsid w:val="005270F3"/>
    <w:rsid w:val="005273EB"/>
    <w:rsid w:val="00530116"/>
    <w:rsid w:val="005319F9"/>
    <w:rsid w:val="00531B7A"/>
    <w:rsid w:val="00531F24"/>
    <w:rsid w:val="0053215B"/>
    <w:rsid w:val="0053264F"/>
    <w:rsid w:val="00532C01"/>
    <w:rsid w:val="00533CC2"/>
    <w:rsid w:val="00534DB3"/>
    <w:rsid w:val="005351EC"/>
    <w:rsid w:val="005353C9"/>
    <w:rsid w:val="00535881"/>
    <w:rsid w:val="00535EBD"/>
    <w:rsid w:val="005365C3"/>
    <w:rsid w:val="00537078"/>
    <w:rsid w:val="00537D8D"/>
    <w:rsid w:val="00540AF3"/>
    <w:rsid w:val="00540CE5"/>
    <w:rsid w:val="00540D81"/>
    <w:rsid w:val="005414F3"/>
    <w:rsid w:val="00541EF5"/>
    <w:rsid w:val="00541F9F"/>
    <w:rsid w:val="00542146"/>
    <w:rsid w:val="0054223D"/>
    <w:rsid w:val="00542A94"/>
    <w:rsid w:val="00543343"/>
    <w:rsid w:val="0054370B"/>
    <w:rsid w:val="00543B13"/>
    <w:rsid w:val="00544683"/>
    <w:rsid w:val="00544741"/>
    <w:rsid w:val="0054500E"/>
    <w:rsid w:val="0054535E"/>
    <w:rsid w:val="005453F9"/>
    <w:rsid w:val="0054564F"/>
    <w:rsid w:val="005463B7"/>
    <w:rsid w:val="00547090"/>
    <w:rsid w:val="00547698"/>
    <w:rsid w:val="00547C20"/>
    <w:rsid w:val="005507C1"/>
    <w:rsid w:val="00550942"/>
    <w:rsid w:val="0055095C"/>
    <w:rsid w:val="00550C75"/>
    <w:rsid w:val="005513E6"/>
    <w:rsid w:val="00551EAB"/>
    <w:rsid w:val="0055244A"/>
    <w:rsid w:val="00552813"/>
    <w:rsid w:val="005535F5"/>
    <w:rsid w:val="00553A94"/>
    <w:rsid w:val="00553C31"/>
    <w:rsid w:val="005545CE"/>
    <w:rsid w:val="005545D3"/>
    <w:rsid w:val="0055497D"/>
    <w:rsid w:val="005549CC"/>
    <w:rsid w:val="00555AC5"/>
    <w:rsid w:val="00555DE6"/>
    <w:rsid w:val="00555E41"/>
    <w:rsid w:val="00556D6B"/>
    <w:rsid w:val="00560B7F"/>
    <w:rsid w:val="0056159D"/>
    <w:rsid w:val="00561613"/>
    <w:rsid w:val="00561CDB"/>
    <w:rsid w:val="0056232A"/>
    <w:rsid w:val="00562E9E"/>
    <w:rsid w:val="00563F67"/>
    <w:rsid w:val="00564266"/>
    <w:rsid w:val="00564D27"/>
    <w:rsid w:val="00565135"/>
    <w:rsid w:val="00565194"/>
    <w:rsid w:val="00565300"/>
    <w:rsid w:val="00565420"/>
    <w:rsid w:val="00565509"/>
    <w:rsid w:val="0056590A"/>
    <w:rsid w:val="00565E81"/>
    <w:rsid w:val="00566DC1"/>
    <w:rsid w:val="00567982"/>
    <w:rsid w:val="00567C1C"/>
    <w:rsid w:val="00567E2D"/>
    <w:rsid w:val="0057012E"/>
    <w:rsid w:val="00570303"/>
    <w:rsid w:val="005707AE"/>
    <w:rsid w:val="00570FC0"/>
    <w:rsid w:val="0057136E"/>
    <w:rsid w:val="005713D1"/>
    <w:rsid w:val="00571489"/>
    <w:rsid w:val="00571AA9"/>
    <w:rsid w:val="00572180"/>
    <w:rsid w:val="00573201"/>
    <w:rsid w:val="005735EB"/>
    <w:rsid w:val="00573D8A"/>
    <w:rsid w:val="0057426B"/>
    <w:rsid w:val="00574C71"/>
    <w:rsid w:val="00574F0D"/>
    <w:rsid w:val="005753E9"/>
    <w:rsid w:val="005758AF"/>
    <w:rsid w:val="00576087"/>
    <w:rsid w:val="00576519"/>
    <w:rsid w:val="005767CC"/>
    <w:rsid w:val="00576DF9"/>
    <w:rsid w:val="00576E57"/>
    <w:rsid w:val="00576E90"/>
    <w:rsid w:val="00577C4D"/>
    <w:rsid w:val="00580A0E"/>
    <w:rsid w:val="00580C8B"/>
    <w:rsid w:val="00581422"/>
    <w:rsid w:val="005815D5"/>
    <w:rsid w:val="0058192A"/>
    <w:rsid w:val="00581AE7"/>
    <w:rsid w:val="0058234F"/>
    <w:rsid w:val="00582A3D"/>
    <w:rsid w:val="00582FA2"/>
    <w:rsid w:val="005831DA"/>
    <w:rsid w:val="005846B3"/>
    <w:rsid w:val="00584726"/>
    <w:rsid w:val="00584EA6"/>
    <w:rsid w:val="00585F7D"/>
    <w:rsid w:val="00586C2A"/>
    <w:rsid w:val="0058780F"/>
    <w:rsid w:val="00587CAB"/>
    <w:rsid w:val="00590ADF"/>
    <w:rsid w:val="00590B6E"/>
    <w:rsid w:val="00590BC1"/>
    <w:rsid w:val="00591551"/>
    <w:rsid w:val="00591E5B"/>
    <w:rsid w:val="00592909"/>
    <w:rsid w:val="005933FC"/>
    <w:rsid w:val="00594231"/>
    <w:rsid w:val="00594313"/>
    <w:rsid w:val="005959CA"/>
    <w:rsid w:val="00596244"/>
    <w:rsid w:val="005977A3"/>
    <w:rsid w:val="00597CE3"/>
    <w:rsid w:val="005A0018"/>
    <w:rsid w:val="005A0710"/>
    <w:rsid w:val="005A0821"/>
    <w:rsid w:val="005A0C0E"/>
    <w:rsid w:val="005A0DF1"/>
    <w:rsid w:val="005A26CD"/>
    <w:rsid w:val="005A298A"/>
    <w:rsid w:val="005A2B96"/>
    <w:rsid w:val="005A306B"/>
    <w:rsid w:val="005A3DCA"/>
    <w:rsid w:val="005A4D48"/>
    <w:rsid w:val="005A5553"/>
    <w:rsid w:val="005A5601"/>
    <w:rsid w:val="005A6925"/>
    <w:rsid w:val="005A6F11"/>
    <w:rsid w:val="005B0340"/>
    <w:rsid w:val="005B036F"/>
    <w:rsid w:val="005B04CB"/>
    <w:rsid w:val="005B06BF"/>
    <w:rsid w:val="005B0E23"/>
    <w:rsid w:val="005B1106"/>
    <w:rsid w:val="005B1968"/>
    <w:rsid w:val="005B1C27"/>
    <w:rsid w:val="005B1D50"/>
    <w:rsid w:val="005B22FB"/>
    <w:rsid w:val="005B289F"/>
    <w:rsid w:val="005B381C"/>
    <w:rsid w:val="005B3E22"/>
    <w:rsid w:val="005B4631"/>
    <w:rsid w:val="005B49B1"/>
    <w:rsid w:val="005B51C6"/>
    <w:rsid w:val="005B5971"/>
    <w:rsid w:val="005B5B1D"/>
    <w:rsid w:val="005B6631"/>
    <w:rsid w:val="005B6A9A"/>
    <w:rsid w:val="005B6B44"/>
    <w:rsid w:val="005B7226"/>
    <w:rsid w:val="005C041A"/>
    <w:rsid w:val="005C17A4"/>
    <w:rsid w:val="005C1BB5"/>
    <w:rsid w:val="005C1C80"/>
    <w:rsid w:val="005C2822"/>
    <w:rsid w:val="005C291E"/>
    <w:rsid w:val="005C2DF9"/>
    <w:rsid w:val="005C31A8"/>
    <w:rsid w:val="005C3C15"/>
    <w:rsid w:val="005C3CBF"/>
    <w:rsid w:val="005C4008"/>
    <w:rsid w:val="005C4214"/>
    <w:rsid w:val="005C5169"/>
    <w:rsid w:val="005C5FC3"/>
    <w:rsid w:val="005C6087"/>
    <w:rsid w:val="005C64FD"/>
    <w:rsid w:val="005C6569"/>
    <w:rsid w:val="005C694F"/>
    <w:rsid w:val="005C6EC9"/>
    <w:rsid w:val="005C6EED"/>
    <w:rsid w:val="005C726F"/>
    <w:rsid w:val="005C72ED"/>
    <w:rsid w:val="005C788B"/>
    <w:rsid w:val="005D023C"/>
    <w:rsid w:val="005D0823"/>
    <w:rsid w:val="005D1176"/>
    <w:rsid w:val="005D14B7"/>
    <w:rsid w:val="005D151C"/>
    <w:rsid w:val="005D170F"/>
    <w:rsid w:val="005D1AFB"/>
    <w:rsid w:val="005D1FB8"/>
    <w:rsid w:val="005D21A6"/>
    <w:rsid w:val="005D2624"/>
    <w:rsid w:val="005D2E7C"/>
    <w:rsid w:val="005D3AB8"/>
    <w:rsid w:val="005D3D0E"/>
    <w:rsid w:val="005D3DF4"/>
    <w:rsid w:val="005D3E14"/>
    <w:rsid w:val="005D4163"/>
    <w:rsid w:val="005D46A1"/>
    <w:rsid w:val="005D4F1A"/>
    <w:rsid w:val="005D5FFF"/>
    <w:rsid w:val="005D6416"/>
    <w:rsid w:val="005D66B8"/>
    <w:rsid w:val="005D6738"/>
    <w:rsid w:val="005D6DB8"/>
    <w:rsid w:val="005D70C0"/>
    <w:rsid w:val="005E0344"/>
    <w:rsid w:val="005E0855"/>
    <w:rsid w:val="005E08F2"/>
    <w:rsid w:val="005E0A5B"/>
    <w:rsid w:val="005E10B0"/>
    <w:rsid w:val="005E1254"/>
    <w:rsid w:val="005E153D"/>
    <w:rsid w:val="005E1DEB"/>
    <w:rsid w:val="005E3812"/>
    <w:rsid w:val="005E39EC"/>
    <w:rsid w:val="005E3A43"/>
    <w:rsid w:val="005E41DC"/>
    <w:rsid w:val="005E491B"/>
    <w:rsid w:val="005E4EE8"/>
    <w:rsid w:val="005E4EFE"/>
    <w:rsid w:val="005E62EC"/>
    <w:rsid w:val="005E64F5"/>
    <w:rsid w:val="005E65D4"/>
    <w:rsid w:val="005E7924"/>
    <w:rsid w:val="005E7EFB"/>
    <w:rsid w:val="005F078D"/>
    <w:rsid w:val="005F0908"/>
    <w:rsid w:val="005F1362"/>
    <w:rsid w:val="005F15AC"/>
    <w:rsid w:val="005F15DD"/>
    <w:rsid w:val="005F17D8"/>
    <w:rsid w:val="005F1C3A"/>
    <w:rsid w:val="005F23DB"/>
    <w:rsid w:val="005F24FF"/>
    <w:rsid w:val="005F34B8"/>
    <w:rsid w:val="005F497D"/>
    <w:rsid w:val="005F4D60"/>
    <w:rsid w:val="005F5C25"/>
    <w:rsid w:val="005F6159"/>
    <w:rsid w:val="005F6A9E"/>
    <w:rsid w:val="005F6C2B"/>
    <w:rsid w:val="005F7388"/>
    <w:rsid w:val="006000A9"/>
    <w:rsid w:val="006015F2"/>
    <w:rsid w:val="00601743"/>
    <w:rsid w:val="00601AE4"/>
    <w:rsid w:val="00601DD8"/>
    <w:rsid w:val="006020AF"/>
    <w:rsid w:val="006020EC"/>
    <w:rsid w:val="00602278"/>
    <w:rsid w:val="0060236D"/>
    <w:rsid w:val="0060275B"/>
    <w:rsid w:val="00602C8A"/>
    <w:rsid w:val="00602E15"/>
    <w:rsid w:val="00603091"/>
    <w:rsid w:val="0060324C"/>
    <w:rsid w:val="00603398"/>
    <w:rsid w:val="006064FE"/>
    <w:rsid w:val="00606C4F"/>
    <w:rsid w:val="00607E60"/>
    <w:rsid w:val="00607F15"/>
    <w:rsid w:val="00610C5F"/>
    <w:rsid w:val="00610CAD"/>
    <w:rsid w:val="00611054"/>
    <w:rsid w:val="00611A80"/>
    <w:rsid w:val="00611F66"/>
    <w:rsid w:val="00613140"/>
    <w:rsid w:val="00613C72"/>
    <w:rsid w:val="00613D79"/>
    <w:rsid w:val="00613E9A"/>
    <w:rsid w:val="0061427B"/>
    <w:rsid w:val="0061505B"/>
    <w:rsid w:val="0061515B"/>
    <w:rsid w:val="00615364"/>
    <w:rsid w:val="00615BED"/>
    <w:rsid w:val="00615DC4"/>
    <w:rsid w:val="00616880"/>
    <w:rsid w:val="00616F1D"/>
    <w:rsid w:val="00616F9B"/>
    <w:rsid w:val="006172D9"/>
    <w:rsid w:val="00617653"/>
    <w:rsid w:val="006178A3"/>
    <w:rsid w:val="00620BE4"/>
    <w:rsid w:val="00621349"/>
    <w:rsid w:val="0062211F"/>
    <w:rsid w:val="0062277E"/>
    <w:rsid w:val="00622835"/>
    <w:rsid w:val="00622C35"/>
    <w:rsid w:val="00622CD7"/>
    <w:rsid w:val="0062375B"/>
    <w:rsid w:val="00623FEA"/>
    <w:rsid w:val="006306CC"/>
    <w:rsid w:val="006308E0"/>
    <w:rsid w:val="00630CF6"/>
    <w:rsid w:val="00630E3A"/>
    <w:rsid w:val="00631C7F"/>
    <w:rsid w:val="00633392"/>
    <w:rsid w:val="00633983"/>
    <w:rsid w:val="006353C8"/>
    <w:rsid w:val="00635746"/>
    <w:rsid w:val="00635A2D"/>
    <w:rsid w:val="00635E95"/>
    <w:rsid w:val="006367F5"/>
    <w:rsid w:val="00636AFB"/>
    <w:rsid w:val="00636EA4"/>
    <w:rsid w:val="00637267"/>
    <w:rsid w:val="0063733D"/>
    <w:rsid w:val="006377E9"/>
    <w:rsid w:val="00640136"/>
    <w:rsid w:val="006404D4"/>
    <w:rsid w:val="006405A6"/>
    <w:rsid w:val="00640991"/>
    <w:rsid w:val="00640A1C"/>
    <w:rsid w:val="0064119F"/>
    <w:rsid w:val="006411E1"/>
    <w:rsid w:val="006413D0"/>
    <w:rsid w:val="00641414"/>
    <w:rsid w:val="00641B2F"/>
    <w:rsid w:val="00642C8B"/>
    <w:rsid w:val="006434D0"/>
    <w:rsid w:val="00643770"/>
    <w:rsid w:val="006449BF"/>
    <w:rsid w:val="00645A23"/>
    <w:rsid w:val="00645D87"/>
    <w:rsid w:val="00646213"/>
    <w:rsid w:val="00647DAE"/>
    <w:rsid w:val="0065062B"/>
    <w:rsid w:val="00650B52"/>
    <w:rsid w:val="00651045"/>
    <w:rsid w:val="00651564"/>
    <w:rsid w:val="006516FF"/>
    <w:rsid w:val="00651FBB"/>
    <w:rsid w:val="00651FC9"/>
    <w:rsid w:val="00652202"/>
    <w:rsid w:val="00653E9D"/>
    <w:rsid w:val="0065507F"/>
    <w:rsid w:val="0065520B"/>
    <w:rsid w:val="006553A8"/>
    <w:rsid w:val="00655A78"/>
    <w:rsid w:val="00657D31"/>
    <w:rsid w:val="006607E6"/>
    <w:rsid w:val="00660DCE"/>
    <w:rsid w:val="00661546"/>
    <w:rsid w:val="006616DD"/>
    <w:rsid w:val="00661831"/>
    <w:rsid w:val="00661931"/>
    <w:rsid w:val="00661D6C"/>
    <w:rsid w:val="00661F06"/>
    <w:rsid w:val="0066204C"/>
    <w:rsid w:val="0066225B"/>
    <w:rsid w:val="00662488"/>
    <w:rsid w:val="0066272D"/>
    <w:rsid w:val="00662899"/>
    <w:rsid w:val="00663785"/>
    <w:rsid w:val="0066499C"/>
    <w:rsid w:val="00664B0F"/>
    <w:rsid w:val="00664EFF"/>
    <w:rsid w:val="00665156"/>
    <w:rsid w:val="00665982"/>
    <w:rsid w:val="00665AEF"/>
    <w:rsid w:val="00665B3F"/>
    <w:rsid w:val="00665E20"/>
    <w:rsid w:val="00666520"/>
    <w:rsid w:val="006674AB"/>
    <w:rsid w:val="006676F9"/>
    <w:rsid w:val="00670064"/>
    <w:rsid w:val="006704F3"/>
    <w:rsid w:val="00670651"/>
    <w:rsid w:val="00671CEE"/>
    <w:rsid w:val="006723C9"/>
    <w:rsid w:val="006730C6"/>
    <w:rsid w:val="00673B75"/>
    <w:rsid w:val="00673FBF"/>
    <w:rsid w:val="0067400D"/>
    <w:rsid w:val="00675059"/>
    <w:rsid w:val="006759E4"/>
    <w:rsid w:val="00675F10"/>
    <w:rsid w:val="006764BF"/>
    <w:rsid w:val="006766DE"/>
    <w:rsid w:val="00676A91"/>
    <w:rsid w:val="00676DA5"/>
    <w:rsid w:val="00677C1F"/>
    <w:rsid w:val="00680D3A"/>
    <w:rsid w:val="006812CB"/>
    <w:rsid w:val="00681600"/>
    <w:rsid w:val="00681895"/>
    <w:rsid w:val="00681F9E"/>
    <w:rsid w:val="00681FEF"/>
    <w:rsid w:val="0068227E"/>
    <w:rsid w:val="006829F5"/>
    <w:rsid w:val="00682D6F"/>
    <w:rsid w:val="00683260"/>
    <w:rsid w:val="006836D0"/>
    <w:rsid w:val="00683A24"/>
    <w:rsid w:val="00683DFD"/>
    <w:rsid w:val="0068431C"/>
    <w:rsid w:val="00684740"/>
    <w:rsid w:val="00685F29"/>
    <w:rsid w:val="006860CE"/>
    <w:rsid w:val="00686343"/>
    <w:rsid w:val="00686BEE"/>
    <w:rsid w:val="00687655"/>
    <w:rsid w:val="00687D13"/>
    <w:rsid w:val="00687FAF"/>
    <w:rsid w:val="0069008D"/>
    <w:rsid w:val="00690A14"/>
    <w:rsid w:val="00690B7E"/>
    <w:rsid w:val="00690DBA"/>
    <w:rsid w:val="00690EEA"/>
    <w:rsid w:val="006919F5"/>
    <w:rsid w:val="00691DD2"/>
    <w:rsid w:val="0069347B"/>
    <w:rsid w:val="00693567"/>
    <w:rsid w:val="0069366B"/>
    <w:rsid w:val="00693934"/>
    <w:rsid w:val="00693FCF"/>
    <w:rsid w:val="0069475B"/>
    <w:rsid w:val="00694908"/>
    <w:rsid w:val="00695309"/>
    <w:rsid w:val="00695AFF"/>
    <w:rsid w:val="00695E93"/>
    <w:rsid w:val="0069625B"/>
    <w:rsid w:val="006969E9"/>
    <w:rsid w:val="00696AAA"/>
    <w:rsid w:val="00696B5B"/>
    <w:rsid w:val="00696C75"/>
    <w:rsid w:val="00696D08"/>
    <w:rsid w:val="00697298"/>
    <w:rsid w:val="00697383"/>
    <w:rsid w:val="00697E50"/>
    <w:rsid w:val="00697F5B"/>
    <w:rsid w:val="006A02B7"/>
    <w:rsid w:val="006A02F2"/>
    <w:rsid w:val="006A06A3"/>
    <w:rsid w:val="006A0CA4"/>
    <w:rsid w:val="006A0FDE"/>
    <w:rsid w:val="006A10D9"/>
    <w:rsid w:val="006A1829"/>
    <w:rsid w:val="006A215C"/>
    <w:rsid w:val="006A2214"/>
    <w:rsid w:val="006A2C08"/>
    <w:rsid w:val="006A2DFE"/>
    <w:rsid w:val="006A307E"/>
    <w:rsid w:val="006A3850"/>
    <w:rsid w:val="006A3DE3"/>
    <w:rsid w:val="006A499A"/>
    <w:rsid w:val="006A4FBE"/>
    <w:rsid w:val="006A5961"/>
    <w:rsid w:val="006A702A"/>
    <w:rsid w:val="006B039F"/>
    <w:rsid w:val="006B068D"/>
    <w:rsid w:val="006B0753"/>
    <w:rsid w:val="006B0D35"/>
    <w:rsid w:val="006B0D43"/>
    <w:rsid w:val="006B0E3D"/>
    <w:rsid w:val="006B14B1"/>
    <w:rsid w:val="006B22EB"/>
    <w:rsid w:val="006B3696"/>
    <w:rsid w:val="006B50C8"/>
    <w:rsid w:val="006B56A7"/>
    <w:rsid w:val="006B5917"/>
    <w:rsid w:val="006B59AF"/>
    <w:rsid w:val="006B67AB"/>
    <w:rsid w:val="006B6FC7"/>
    <w:rsid w:val="006B7035"/>
    <w:rsid w:val="006B7200"/>
    <w:rsid w:val="006B7C5A"/>
    <w:rsid w:val="006B7D80"/>
    <w:rsid w:val="006C0373"/>
    <w:rsid w:val="006C037E"/>
    <w:rsid w:val="006C08D0"/>
    <w:rsid w:val="006C1540"/>
    <w:rsid w:val="006C1A2D"/>
    <w:rsid w:val="006C1E64"/>
    <w:rsid w:val="006C1F44"/>
    <w:rsid w:val="006C2656"/>
    <w:rsid w:val="006C284F"/>
    <w:rsid w:val="006C3237"/>
    <w:rsid w:val="006C409F"/>
    <w:rsid w:val="006C42AD"/>
    <w:rsid w:val="006C4EF0"/>
    <w:rsid w:val="006C6A0A"/>
    <w:rsid w:val="006C6DF6"/>
    <w:rsid w:val="006C6EDA"/>
    <w:rsid w:val="006C7FE3"/>
    <w:rsid w:val="006D0129"/>
    <w:rsid w:val="006D10A3"/>
    <w:rsid w:val="006D45A9"/>
    <w:rsid w:val="006D5F89"/>
    <w:rsid w:val="006D640C"/>
    <w:rsid w:val="006D6BFD"/>
    <w:rsid w:val="006D76DA"/>
    <w:rsid w:val="006E0712"/>
    <w:rsid w:val="006E0E36"/>
    <w:rsid w:val="006E257C"/>
    <w:rsid w:val="006E2584"/>
    <w:rsid w:val="006E28D4"/>
    <w:rsid w:val="006E298B"/>
    <w:rsid w:val="006E54C2"/>
    <w:rsid w:val="006E5673"/>
    <w:rsid w:val="006E5EEE"/>
    <w:rsid w:val="006E613D"/>
    <w:rsid w:val="006E6494"/>
    <w:rsid w:val="006E6876"/>
    <w:rsid w:val="006E692A"/>
    <w:rsid w:val="006E796D"/>
    <w:rsid w:val="006E7D79"/>
    <w:rsid w:val="006F044B"/>
    <w:rsid w:val="006F0451"/>
    <w:rsid w:val="006F0A30"/>
    <w:rsid w:val="006F0C2D"/>
    <w:rsid w:val="006F0EAD"/>
    <w:rsid w:val="006F10D5"/>
    <w:rsid w:val="006F18D1"/>
    <w:rsid w:val="006F261F"/>
    <w:rsid w:val="006F2779"/>
    <w:rsid w:val="006F2863"/>
    <w:rsid w:val="006F289E"/>
    <w:rsid w:val="006F2AF3"/>
    <w:rsid w:val="006F2D9C"/>
    <w:rsid w:val="006F2F1A"/>
    <w:rsid w:val="006F30A3"/>
    <w:rsid w:val="006F330B"/>
    <w:rsid w:val="006F3647"/>
    <w:rsid w:val="006F37B9"/>
    <w:rsid w:val="006F3E5C"/>
    <w:rsid w:val="006F4E8A"/>
    <w:rsid w:val="006F507C"/>
    <w:rsid w:val="006F52A1"/>
    <w:rsid w:val="006F70C9"/>
    <w:rsid w:val="006F721B"/>
    <w:rsid w:val="006F79C6"/>
    <w:rsid w:val="006F7B29"/>
    <w:rsid w:val="006F7C38"/>
    <w:rsid w:val="007005F7"/>
    <w:rsid w:val="00700643"/>
    <w:rsid w:val="007006AD"/>
    <w:rsid w:val="007009A2"/>
    <w:rsid w:val="007028AD"/>
    <w:rsid w:val="007034F8"/>
    <w:rsid w:val="00703E8C"/>
    <w:rsid w:val="00704111"/>
    <w:rsid w:val="007042FC"/>
    <w:rsid w:val="00704EE2"/>
    <w:rsid w:val="0070573C"/>
    <w:rsid w:val="00706DC6"/>
    <w:rsid w:val="0070702C"/>
    <w:rsid w:val="007070AA"/>
    <w:rsid w:val="007072BB"/>
    <w:rsid w:val="0070770B"/>
    <w:rsid w:val="0071033C"/>
    <w:rsid w:val="007104E6"/>
    <w:rsid w:val="007107C8"/>
    <w:rsid w:val="00710971"/>
    <w:rsid w:val="00710DE6"/>
    <w:rsid w:val="00710E6E"/>
    <w:rsid w:val="00711879"/>
    <w:rsid w:val="00711B42"/>
    <w:rsid w:val="00711DFB"/>
    <w:rsid w:val="00711E1F"/>
    <w:rsid w:val="007122F1"/>
    <w:rsid w:val="00712B22"/>
    <w:rsid w:val="00714015"/>
    <w:rsid w:val="007146C9"/>
    <w:rsid w:val="00714869"/>
    <w:rsid w:val="007154D1"/>
    <w:rsid w:val="00715745"/>
    <w:rsid w:val="007166D0"/>
    <w:rsid w:val="00716A78"/>
    <w:rsid w:val="00716AD1"/>
    <w:rsid w:val="00717234"/>
    <w:rsid w:val="007175F5"/>
    <w:rsid w:val="007209B4"/>
    <w:rsid w:val="0072101A"/>
    <w:rsid w:val="007218B5"/>
    <w:rsid w:val="00721D42"/>
    <w:rsid w:val="007225C9"/>
    <w:rsid w:val="0072265F"/>
    <w:rsid w:val="007229B8"/>
    <w:rsid w:val="00722A1A"/>
    <w:rsid w:val="007241A8"/>
    <w:rsid w:val="00724C61"/>
    <w:rsid w:val="00725766"/>
    <w:rsid w:val="00725AFB"/>
    <w:rsid w:val="00726676"/>
    <w:rsid w:val="007267A7"/>
    <w:rsid w:val="00726EC7"/>
    <w:rsid w:val="007272BA"/>
    <w:rsid w:val="00727525"/>
    <w:rsid w:val="0072772B"/>
    <w:rsid w:val="00727D4D"/>
    <w:rsid w:val="00727DDD"/>
    <w:rsid w:val="0073016E"/>
    <w:rsid w:val="0073058C"/>
    <w:rsid w:val="0073067B"/>
    <w:rsid w:val="0073202A"/>
    <w:rsid w:val="0073204C"/>
    <w:rsid w:val="00732321"/>
    <w:rsid w:val="0073251C"/>
    <w:rsid w:val="007348E1"/>
    <w:rsid w:val="00735581"/>
    <w:rsid w:val="00735E92"/>
    <w:rsid w:val="007361B4"/>
    <w:rsid w:val="0073683D"/>
    <w:rsid w:val="00736A10"/>
    <w:rsid w:val="00736D28"/>
    <w:rsid w:val="007371DC"/>
    <w:rsid w:val="007376CC"/>
    <w:rsid w:val="00737724"/>
    <w:rsid w:val="00737E7E"/>
    <w:rsid w:val="007409C3"/>
    <w:rsid w:val="00740AC2"/>
    <w:rsid w:val="00741AEA"/>
    <w:rsid w:val="00741E93"/>
    <w:rsid w:val="0074289E"/>
    <w:rsid w:val="00742D19"/>
    <w:rsid w:val="00742EDD"/>
    <w:rsid w:val="00743E29"/>
    <w:rsid w:val="0074485C"/>
    <w:rsid w:val="00744E65"/>
    <w:rsid w:val="00744F58"/>
    <w:rsid w:val="00745A44"/>
    <w:rsid w:val="00745ADE"/>
    <w:rsid w:val="00747260"/>
    <w:rsid w:val="00747469"/>
    <w:rsid w:val="007474C1"/>
    <w:rsid w:val="007479F5"/>
    <w:rsid w:val="00747DBA"/>
    <w:rsid w:val="0075036B"/>
    <w:rsid w:val="0075099B"/>
    <w:rsid w:val="00751986"/>
    <w:rsid w:val="00751E21"/>
    <w:rsid w:val="007521B4"/>
    <w:rsid w:val="007524B5"/>
    <w:rsid w:val="007525AE"/>
    <w:rsid w:val="007539AE"/>
    <w:rsid w:val="00753D98"/>
    <w:rsid w:val="00753E78"/>
    <w:rsid w:val="00754188"/>
    <w:rsid w:val="0075490C"/>
    <w:rsid w:val="00754AF1"/>
    <w:rsid w:val="007550B1"/>
    <w:rsid w:val="00755CF0"/>
    <w:rsid w:val="007564D3"/>
    <w:rsid w:val="007568A8"/>
    <w:rsid w:val="00756D61"/>
    <w:rsid w:val="0075756C"/>
    <w:rsid w:val="0075767F"/>
    <w:rsid w:val="007607A9"/>
    <w:rsid w:val="00760850"/>
    <w:rsid w:val="00761521"/>
    <w:rsid w:val="00761A2B"/>
    <w:rsid w:val="00761E3B"/>
    <w:rsid w:val="007621C4"/>
    <w:rsid w:val="00762391"/>
    <w:rsid w:val="00762899"/>
    <w:rsid w:val="00762F70"/>
    <w:rsid w:val="00763970"/>
    <w:rsid w:val="00765078"/>
    <w:rsid w:val="007651C2"/>
    <w:rsid w:val="00765211"/>
    <w:rsid w:val="00766288"/>
    <w:rsid w:val="00766374"/>
    <w:rsid w:val="00766966"/>
    <w:rsid w:val="00766F83"/>
    <w:rsid w:val="0076763B"/>
    <w:rsid w:val="00767880"/>
    <w:rsid w:val="00770FE6"/>
    <w:rsid w:val="0077250E"/>
    <w:rsid w:val="00772E6E"/>
    <w:rsid w:val="00773284"/>
    <w:rsid w:val="00773756"/>
    <w:rsid w:val="00773934"/>
    <w:rsid w:val="00773B54"/>
    <w:rsid w:val="00773CBB"/>
    <w:rsid w:val="00774E8E"/>
    <w:rsid w:val="007752B2"/>
    <w:rsid w:val="00775BA6"/>
    <w:rsid w:val="00776E3E"/>
    <w:rsid w:val="0077722F"/>
    <w:rsid w:val="00777605"/>
    <w:rsid w:val="0077788F"/>
    <w:rsid w:val="00777AB6"/>
    <w:rsid w:val="00777F5B"/>
    <w:rsid w:val="0078040B"/>
    <w:rsid w:val="0078040F"/>
    <w:rsid w:val="00780A3F"/>
    <w:rsid w:val="00781385"/>
    <w:rsid w:val="007819B3"/>
    <w:rsid w:val="007823FE"/>
    <w:rsid w:val="007827CD"/>
    <w:rsid w:val="00782CB1"/>
    <w:rsid w:val="00782D76"/>
    <w:rsid w:val="00783323"/>
    <w:rsid w:val="00783849"/>
    <w:rsid w:val="00783A7F"/>
    <w:rsid w:val="00785287"/>
    <w:rsid w:val="00785649"/>
    <w:rsid w:val="00785A13"/>
    <w:rsid w:val="00785E97"/>
    <w:rsid w:val="00786155"/>
    <w:rsid w:val="00786970"/>
    <w:rsid w:val="00786B09"/>
    <w:rsid w:val="007871F9"/>
    <w:rsid w:val="007906EE"/>
    <w:rsid w:val="0079071B"/>
    <w:rsid w:val="0079078F"/>
    <w:rsid w:val="00790AA5"/>
    <w:rsid w:val="007912B4"/>
    <w:rsid w:val="007920D4"/>
    <w:rsid w:val="007921CB"/>
    <w:rsid w:val="007925CF"/>
    <w:rsid w:val="00793A03"/>
    <w:rsid w:val="00793EB2"/>
    <w:rsid w:val="007944D4"/>
    <w:rsid w:val="007944E1"/>
    <w:rsid w:val="00795D94"/>
    <w:rsid w:val="00797073"/>
    <w:rsid w:val="0079719D"/>
    <w:rsid w:val="00797876"/>
    <w:rsid w:val="007978EC"/>
    <w:rsid w:val="007979F2"/>
    <w:rsid w:val="00797EB5"/>
    <w:rsid w:val="007A07D5"/>
    <w:rsid w:val="007A09FD"/>
    <w:rsid w:val="007A0FEE"/>
    <w:rsid w:val="007A1AC9"/>
    <w:rsid w:val="007A1B96"/>
    <w:rsid w:val="007A20FB"/>
    <w:rsid w:val="007A2363"/>
    <w:rsid w:val="007A2E50"/>
    <w:rsid w:val="007A336E"/>
    <w:rsid w:val="007A36D5"/>
    <w:rsid w:val="007A3D52"/>
    <w:rsid w:val="007A4D13"/>
    <w:rsid w:val="007A55FB"/>
    <w:rsid w:val="007A578B"/>
    <w:rsid w:val="007A5918"/>
    <w:rsid w:val="007A5A56"/>
    <w:rsid w:val="007A5E26"/>
    <w:rsid w:val="007A6330"/>
    <w:rsid w:val="007A661E"/>
    <w:rsid w:val="007A6B64"/>
    <w:rsid w:val="007A6BCD"/>
    <w:rsid w:val="007A7255"/>
    <w:rsid w:val="007A7B42"/>
    <w:rsid w:val="007A7DA4"/>
    <w:rsid w:val="007B00F3"/>
    <w:rsid w:val="007B0875"/>
    <w:rsid w:val="007B0B13"/>
    <w:rsid w:val="007B1524"/>
    <w:rsid w:val="007B204B"/>
    <w:rsid w:val="007B22C4"/>
    <w:rsid w:val="007B23E6"/>
    <w:rsid w:val="007B2D1A"/>
    <w:rsid w:val="007B2F58"/>
    <w:rsid w:val="007B357B"/>
    <w:rsid w:val="007B3F42"/>
    <w:rsid w:val="007B4592"/>
    <w:rsid w:val="007B4C2F"/>
    <w:rsid w:val="007B52E5"/>
    <w:rsid w:val="007B5465"/>
    <w:rsid w:val="007B555E"/>
    <w:rsid w:val="007B5B0D"/>
    <w:rsid w:val="007B5CA1"/>
    <w:rsid w:val="007B7319"/>
    <w:rsid w:val="007C01D4"/>
    <w:rsid w:val="007C01DE"/>
    <w:rsid w:val="007C043C"/>
    <w:rsid w:val="007C084C"/>
    <w:rsid w:val="007C0E75"/>
    <w:rsid w:val="007C1896"/>
    <w:rsid w:val="007C2036"/>
    <w:rsid w:val="007C2296"/>
    <w:rsid w:val="007C232B"/>
    <w:rsid w:val="007C2F85"/>
    <w:rsid w:val="007C3209"/>
    <w:rsid w:val="007C326F"/>
    <w:rsid w:val="007C40DB"/>
    <w:rsid w:val="007C44DD"/>
    <w:rsid w:val="007C44F4"/>
    <w:rsid w:val="007C4545"/>
    <w:rsid w:val="007C49DB"/>
    <w:rsid w:val="007C4A4E"/>
    <w:rsid w:val="007C5149"/>
    <w:rsid w:val="007C5E89"/>
    <w:rsid w:val="007C6B36"/>
    <w:rsid w:val="007C6B7D"/>
    <w:rsid w:val="007C7C5B"/>
    <w:rsid w:val="007D03D2"/>
    <w:rsid w:val="007D0EEC"/>
    <w:rsid w:val="007D1BA5"/>
    <w:rsid w:val="007D2A4D"/>
    <w:rsid w:val="007D3965"/>
    <w:rsid w:val="007D3F5C"/>
    <w:rsid w:val="007D4A92"/>
    <w:rsid w:val="007D4F92"/>
    <w:rsid w:val="007D5CBF"/>
    <w:rsid w:val="007D6CA9"/>
    <w:rsid w:val="007D702C"/>
    <w:rsid w:val="007E0518"/>
    <w:rsid w:val="007E10DC"/>
    <w:rsid w:val="007E14E0"/>
    <w:rsid w:val="007E277A"/>
    <w:rsid w:val="007E3998"/>
    <w:rsid w:val="007E3F41"/>
    <w:rsid w:val="007E4736"/>
    <w:rsid w:val="007E531C"/>
    <w:rsid w:val="007E53E7"/>
    <w:rsid w:val="007E566F"/>
    <w:rsid w:val="007E5F4F"/>
    <w:rsid w:val="007E63A5"/>
    <w:rsid w:val="007E7625"/>
    <w:rsid w:val="007E7E15"/>
    <w:rsid w:val="007F010A"/>
    <w:rsid w:val="007F07AC"/>
    <w:rsid w:val="007F1023"/>
    <w:rsid w:val="007F17E6"/>
    <w:rsid w:val="007F1903"/>
    <w:rsid w:val="007F20EE"/>
    <w:rsid w:val="007F2394"/>
    <w:rsid w:val="007F24D7"/>
    <w:rsid w:val="007F3275"/>
    <w:rsid w:val="007F3956"/>
    <w:rsid w:val="007F4CEE"/>
    <w:rsid w:val="007F5B63"/>
    <w:rsid w:val="007F5BC7"/>
    <w:rsid w:val="007F61D6"/>
    <w:rsid w:val="007F65EC"/>
    <w:rsid w:val="007F7121"/>
    <w:rsid w:val="007F7DAB"/>
    <w:rsid w:val="007F7FAB"/>
    <w:rsid w:val="0080174A"/>
    <w:rsid w:val="00802A5D"/>
    <w:rsid w:val="00802E3C"/>
    <w:rsid w:val="008034BE"/>
    <w:rsid w:val="0080354B"/>
    <w:rsid w:val="00804348"/>
    <w:rsid w:val="008053E1"/>
    <w:rsid w:val="008054C2"/>
    <w:rsid w:val="00805A42"/>
    <w:rsid w:val="00806183"/>
    <w:rsid w:val="008061DD"/>
    <w:rsid w:val="008061E8"/>
    <w:rsid w:val="0080680C"/>
    <w:rsid w:val="008071F8"/>
    <w:rsid w:val="00807623"/>
    <w:rsid w:val="0080766D"/>
    <w:rsid w:val="00807B2B"/>
    <w:rsid w:val="008108A1"/>
    <w:rsid w:val="00810B25"/>
    <w:rsid w:val="00811380"/>
    <w:rsid w:val="008129B1"/>
    <w:rsid w:val="008129CA"/>
    <w:rsid w:val="00812AE3"/>
    <w:rsid w:val="008137AC"/>
    <w:rsid w:val="008138E0"/>
    <w:rsid w:val="008149ED"/>
    <w:rsid w:val="00814EF1"/>
    <w:rsid w:val="00815621"/>
    <w:rsid w:val="008159EF"/>
    <w:rsid w:val="00816532"/>
    <w:rsid w:val="00816563"/>
    <w:rsid w:val="0081665F"/>
    <w:rsid w:val="00817867"/>
    <w:rsid w:val="008206C8"/>
    <w:rsid w:val="008212DA"/>
    <w:rsid w:val="00821A65"/>
    <w:rsid w:val="00822A2A"/>
    <w:rsid w:val="00822F0D"/>
    <w:rsid w:val="00824F6A"/>
    <w:rsid w:val="008252E9"/>
    <w:rsid w:val="008256EE"/>
    <w:rsid w:val="008258D6"/>
    <w:rsid w:val="00826291"/>
    <w:rsid w:val="00826488"/>
    <w:rsid w:val="0083003B"/>
    <w:rsid w:val="00830FA8"/>
    <w:rsid w:val="00831182"/>
    <w:rsid w:val="00831618"/>
    <w:rsid w:val="00831779"/>
    <w:rsid w:val="00831CA6"/>
    <w:rsid w:val="00832392"/>
    <w:rsid w:val="00832C72"/>
    <w:rsid w:val="00834533"/>
    <w:rsid w:val="00835043"/>
    <w:rsid w:val="008351CF"/>
    <w:rsid w:val="008351D3"/>
    <w:rsid w:val="00836006"/>
    <w:rsid w:val="0083745D"/>
    <w:rsid w:val="00837A94"/>
    <w:rsid w:val="00840ACD"/>
    <w:rsid w:val="00840C14"/>
    <w:rsid w:val="00840F71"/>
    <w:rsid w:val="008421CC"/>
    <w:rsid w:val="008424B1"/>
    <w:rsid w:val="00842CFD"/>
    <w:rsid w:val="00844254"/>
    <w:rsid w:val="008443BA"/>
    <w:rsid w:val="008460C8"/>
    <w:rsid w:val="0084613C"/>
    <w:rsid w:val="00846BEF"/>
    <w:rsid w:val="00847728"/>
    <w:rsid w:val="00847ABB"/>
    <w:rsid w:val="008502AC"/>
    <w:rsid w:val="00850B1A"/>
    <w:rsid w:val="00850BA4"/>
    <w:rsid w:val="008510A1"/>
    <w:rsid w:val="0085118B"/>
    <w:rsid w:val="008513C3"/>
    <w:rsid w:val="008516D3"/>
    <w:rsid w:val="0085206B"/>
    <w:rsid w:val="0085235E"/>
    <w:rsid w:val="00852B38"/>
    <w:rsid w:val="00853437"/>
    <w:rsid w:val="00853BD4"/>
    <w:rsid w:val="00853F9F"/>
    <w:rsid w:val="008540AE"/>
    <w:rsid w:val="008542E1"/>
    <w:rsid w:val="008548DE"/>
    <w:rsid w:val="008549CF"/>
    <w:rsid w:val="00854F4E"/>
    <w:rsid w:val="00855352"/>
    <w:rsid w:val="008556EE"/>
    <w:rsid w:val="00856578"/>
    <w:rsid w:val="00857586"/>
    <w:rsid w:val="008577D3"/>
    <w:rsid w:val="008605AD"/>
    <w:rsid w:val="00860CB9"/>
    <w:rsid w:val="00861C43"/>
    <w:rsid w:val="008629D4"/>
    <w:rsid w:val="00862A0A"/>
    <w:rsid w:val="00862F9D"/>
    <w:rsid w:val="008635C2"/>
    <w:rsid w:val="00863A67"/>
    <w:rsid w:val="00863E06"/>
    <w:rsid w:val="00864B8F"/>
    <w:rsid w:val="0086524E"/>
    <w:rsid w:val="00865CA4"/>
    <w:rsid w:val="008666F1"/>
    <w:rsid w:val="008668B6"/>
    <w:rsid w:val="00866941"/>
    <w:rsid w:val="0086704F"/>
    <w:rsid w:val="008671ED"/>
    <w:rsid w:val="0086730C"/>
    <w:rsid w:val="00867727"/>
    <w:rsid w:val="00867733"/>
    <w:rsid w:val="00867C79"/>
    <w:rsid w:val="00870357"/>
    <w:rsid w:val="008705DE"/>
    <w:rsid w:val="008707EB"/>
    <w:rsid w:val="00870949"/>
    <w:rsid w:val="00870D3E"/>
    <w:rsid w:val="0087133B"/>
    <w:rsid w:val="00871B80"/>
    <w:rsid w:val="00872192"/>
    <w:rsid w:val="00872286"/>
    <w:rsid w:val="00873A2B"/>
    <w:rsid w:val="0087456E"/>
    <w:rsid w:val="00875433"/>
    <w:rsid w:val="0087558D"/>
    <w:rsid w:val="00876AEC"/>
    <w:rsid w:val="00876EAD"/>
    <w:rsid w:val="008773C4"/>
    <w:rsid w:val="00877916"/>
    <w:rsid w:val="00877A41"/>
    <w:rsid w:val="00880B0B"/>
    <w:rsid w:val="00880B4D"/>
    <w:rsid w:val="00880E74"/>
    <w:rsid w:val="00880F41"/>
    <w:rsid w:val="008814C5"/>
    <w:rsid w:val="008816C0"/>
    <w:rsid w:val="008821A3"/>
    <w:rsid w:val="00882D51"/>
    <w:rsid w:val="008830C4"/>
    <w:rsid w:val="00883F7F"/>
    <w:rsid w:val="008840F0"/>
    <w:rsid w:val="00885197"/>
    <w:rsid w:val="00885902"/>
    <w:rsid w:val="00886971"/>
    <w:rsid w:val="00892110"/>
    <w:rsid w:val="00892148"/>
    <w:rsid w:val="00892214"/>
    <w:rsid w:val="00892BC6"/>
    <w:rsid w:val="00893B73"/>
    <w:rsid w:val="008940A7"/>
    <w:rsid w:val="00894D55"/>
    <w:rsid w:val="0089566F"/>
    <w:rsid w:val="00895D05"/>
    <w:rsid w:val="00895D58"/>
    <w:rsid w:val="00896597"/>
    <w:rsid w:val="008966D5"/>
    <w:rsid w:val="008967AF"/>
    <w:rsid w:val="00896AC8"/>
    <w:rsid w:val="00897097"/>
    <w:rsid w:val="0089757F"/>
    <w:rsid w:val="00897B4F"/>
    <w:rsid w:val="00897D8D"/>
    <w:rsid w:val="008A025D"/>
    <w:rsid w:val="008A055A"/>
    <w:rsid w:val="008A0740"/>
    <w:rsid w:val="008A1288"/>
    <w:rsid w:val="008A2225"/>
    <w:rsid w:val="008A2709"/>
    <w:rsid w:val="008A293E"/>
    <w:rsid w:val="008A2944"/>
    <w:rsid w:val="008A2F97"/>
    <w:rsid w:val="008A3086"/>
    <w:rsid w:val="008A389E"/>
    <w:rsid w:val="008A3E05"/>
    <w:rsid w:val="008A4799"/>
    <w:rsid w:val="008A55AA"/>
    <w:rsid w:val="008A672A"/>
    <w:rsid w:val="008A6810"/>
    <w:rsid w:val="008A6DD0"/>
    <w:rsid w:val="008A75F7"/>
    <w:rsid w:val="008A7AA5"/>
    <w:rsid w:val="008A7BDE"/>
    <w:rsid w:val="008A7C1F"/>
    <w:rsid w:val="008B05C8"/>
    <w:rsid w:val="008B08E0"/>
    <w:rsid w:val="008B0F35"/>
    <w:rsid w:val="008B19D9"/>
    <w:rsid w:val="008B1C36"/>
    <w:rsid w:val="008B2A39"/>
    <w:rsid w:val="008B2A8B"/>
    <w:rsid w:val="008B307A"/>
    <w:rsid w:val="008B5203"/>
    <w:rsid w:val="008B5E7B"/>
    <w:rsid w:val="008B69D3"/>
    <w:rsid w:val="008B6B7F"/>
    <w:rsid w:val="008B7FBD"/>
    <w:rsid w:val="008C0462"/>
    <w:rsid w:val="008C06F2"/>
    <w:rsid w:val="008C0800"/>
    <w:rsid w:val="008C0801"/>
    <w:rsid w:val="008C2166"/>
    <w:rsid w:val="008C25FD"/>
    <w:rsid w:val="008C260F"/>
    <w:rsid w:val="008C2E6D"/>
    <w:rsid w:val="008C3152"/>
    <w:rsid w:val="008C37AF"/>
    <w:rsid w:val="008C3ABB"/>
    <w:rsid w:val="008C4151"/>
    <w:rsid w:val="008C5716"/>
    <w:rsid w:val="008C5CF1"/>
    <w:rsid w:val="008C68CF"/>
    <w:rsid w:val="008C7327"/>
    <w:rsid w:val="008C74AF"/>
    <w:rsid w:val="008C7800"/>
    <w:rsid w:val="008C797F"/>
    <w:rsid w:val="008D07D2"/>
    <w:rsid w:val="008D0D29"/>
    <w:rsid w:val="008D1560"/>
    <w:rsid w:val="008D16C5"/>
    <w:rsid w:val="008D2412"/>
    <w:rsid w:val="008D309A"/>
    <w:rsid w:val="008D35D1"/>
    <w:rsid w:val="008D3999"/>
    <w:rsid w:val="008D40B8"/>
    <w:rsid w:val="008D4887"/>
    <w:rsid w:val="008D5336"/>
    <w:rsid w:val="008D6756"/>
    <w:rsid w:val="008D6812"/>
    <w:rsid w:val="008D6915"/>
    <w:rsid w:val="008D7C0E"/>
    <w:rsid w:val="008E2003"/>
    <w:rsid w:val="008E2283"/>
    <w:rsid w:val="008E248D"/>
    <w:rsid w:val="008E2DEB"/>
    <w:rsid w:val="008E2F5F"/>
    <w:rsid w:val="008E3044"/>
    <w:rsid w:val="008E36D4"/>
    <w:rsid w:val="008E399D"/>
    <w:rsid w:val="008E3A8C"/>
    <w:rsid w:val="008E3CC1"/>
    <w:rsid w:val="008E4255"/>
    <w:rsid w:val="008E5536"/>
    <w:rsid w:val="008E5B48"/>
    <w:rsid w:val="008E798C"/>
    <w:rsid w:val="008E7DE4"/>
    <w:rsid w:val="008E7F0F"/>
    <w:rsid w:val="008F06C4"/>
    <w:rsid w:val="008F1A72"/>
    <w:rsid w:val="008F28B1"/>
    <w:rsid w:val="008F3B1D"/>
    <w:rsid w:val="008F4BE2"/>
    <w:rsid w:val="008F4BF0"/>
    <w:rsid w:val="008F4C25"/>
    <w:rsid w:val="008F4E5C"/>
    <w:rsid w:val="008F5023"/>
    <w:rsid w:val="008F5A00"/>
    <w:rsid w:val="008F5FD2"/>
    <w:rsid w:val="008F6482"/>
    <w:rsid w:val="008F673F"/>
    <w:rsid w:val="008F7487"/>
    <w:rsid w:val="00900588"/>
    <w:rsid w:val="0090063A"/>
    <w:rsid w:val="009007C1"/>
    <w:rsid w:val="009008CF"/>
    <w:rsid w:val="00900F4A"/>
    <w:rsid w:val="00901A69"/>
    <w:rsid w:val="00901FE7"/>
    <w:rsid w:val="00902A82"/>
    <w:rsid w:val="00903BE1"/>
    <w:rsid w:val="009056CE"/>
    <w:rsid w:val="00906801"/>
    <w:rsid w:val="00906DC9"/>
    <w:rsid w:val="00907560"/>
    <w:rsid w:val="00907665"/>
    <w:rsid w:val="0091095F"/>
    <w:rsid w:val="00911AE6"/>
    <w:rsid w:val="009120F3"/>
    <w:rsid w:val="00913419"/>
    <w:rsid w:val="009136D3"/>
    <w:rsid w:val="0091440D"/>
    <w:rsid w:val="00914FED"/>
    <w:rsid w:val="00915159"/>
    <w:rsid w:val="00915586"/>
    <w:rsid w:val="0091591C"/>
    <w:rsid w:val="009159AB"/>
    <w:rsid w:val="00915FBB"/>
    <w:rsid w:val="0091642D"/>
    <w:rsid w:val="009164A4"/>
    <w:rsid w:val="0091689C"/>
    <w:rsid w:val="00916BF7"/>
    <w:rsid w:val="00917326"/>
    <w:rsid w:val="00917DB2"/>
    <w:rsid w:val="009200AD"/>
    <w:rsid w:val="00920371"/>
    <w:rsid w:val="0092086B"/>
    <w:rsid w:val="0092091B"/>
    <w:rsid w:val="0092094F"/>
    <w:rsid w:val="00920E9A"/>
    <w:rsid w:val="0092108E"/>
    <w:rsid w:val="009216E1"/>
    <w:rsid w:val="0092194B"/>
    <w:rsid w:val="00921BD9"/>
    <w:rsid w:val="00922266"/>
    <w:rsid w:val="009222F7"/>
    <w:rsid w:val="009232E9"/>
    <w:rsid w:val="00923E06"/>
    <w:rsid w:val="00923EC5"/>
    <w:rsid w:val="00923FDB"/>
    <w:rsid w:val="009242B6"/>
    <w:rsid w:val="00924A67"/>
    <w:rsid w:val="00925060"/>
    <w:rsid w:val="009259F1"/>
    <w:rsid w:val="00925E9B"/>
    <w:rsid w:val="0092757B"/>
    <w:rsid w:val="009275D4"/>
    <w:rsid w:val="00927794"/>
    <w:rsid w:val="00927E12"/>
    <w:rsid w:val="009307CE"/>
    <w:rsid w:val="009312AF"/>
    <w:rsid w:val="009318E9"/>
    <w:rsid w:val="00931E55"/>
    <w:rsid w:val="00932171"/>
    <w:rsid w:val="00932B52"/>
    <w:rsid w:val="00932BB5"/>
    <w:rsid w:val="0093398E"/>
    <w:rsid w:val="00933AA9"/>
    <w:rsid w:val="00933EFD"/>
    <w:rsid w:val="0093422E"/>
    <w:rsid w:val="00935262"/>
    <w:rsid w:val="00937387"/>
    <w:rsid w:val="00937C21"/>
    <w:rsid w:val="009403CD"/>
    <w:rsid w:val="00940BA7"/>
    <w:rsid w:val="00940D88"/>
    <w:rsid w:val="0094121F"/>
    <w:rsid w:val="00941BBF"/>
    <w:rsid w:val="00941C2D"/>
    <w:rsid w:val="00941C59"/>
    <w:rsid w:val="00941E96"/>
    <w:rsid w:val="00942443"/>
    <w:rsid w:val="00942711"/>
    <w:rsid w:val="00942989"/>
    <w:rsid w:val="0094317B"/>
    <w:rsid w:val="009442BC"/>
    <w:rsid w:val="00944A49"/>
    <w:rsid w:val="00944E28"/>
    <w:rsid w:val="00944FDC"/>
    <w:rsid w:val="00945861"/>
    <w:rsid w:val="00945A7B"/>
    <w:rsid w:val="00945D98"/>
    <w:rsid w:val="0094708D"/>
    <w:rsid w:val="00947127"/>
    <w:rsid w:val="009477A4"/>
    <w:rsid w:val="009479A4"/>
    <w:rsid w:val="00951CF8"/>
    <w:rsid w:val="009521EA"/>
    <w:rsid w:val="00953533"/>
    <w:rsid w:val="00953BF5"/>
    <w:rsid w:val="00954E34"/>
    <w:rsid w:val="00954EDB"/>
    <w:rsid w:val="00954FC4"/>
    <w:rsid w:val="00955CD2"/>
    <w:rsid w:val="0095600E"/>
    <w:rsid w:val="00956ACD"/>
    <w:rsid w:val="00957020"/>
    <w:rsid w:val="009571C0"/>
    <w:rsid w:val="009573B3"/>
    <w:rsid w:val="00957B32"/>
    <w:rsid w:val="00957F9E"/>
    <w:rsid w:val="009619BC"/>
    <w:rsid w:val="00962793"/>
    <w:rsid w:val="00963B99"/>
    <w:rsid w:val="00964389"/>
    <w:rsid w:val="0096455F"/>
    <w:rsid w:val="009647E5"/>
    <w:rsid w:val="00965531"/>
    <w:rsid w:val="0096579A"/>
    <w:rsid w:val="00965AF5"/>
    <w:rsid w:val="00966058"/>
    <w:rsid w:val="00966072"/>
    <w:rsid w:val="009665E1"/>
    <w:rsid w:val="00966981"/>
    <w:rsid w:val="00966F11"/>
    <w:rsid w:val="00966F9C"/>
    <w:rsid w:val="00967045"/>
    <w:rsid w:val="009671BE"/>
    <w:rsid w:val="00967232"/>
    <w:rsid w:val="00967BE9"/>
    <w:rsid w:val="009703BA"/>
    <w:rsid w:val="009707E0"/>
    <w:rsid w:val="00970F3D"/>
    <w:rsid w:val="00971979"/>
    <w:rsid w:val="009719F0"/>
    <w:rsid w:val="00971F7A"/>
    <w:rsid w:val="00973E35"/>
    <w:rsid w:val="00973FAC"/>
    <w:rsid w:val="00974300"/>
    <w:rsid w:val="00975AC4"/>
    <w:rsid w:val="0097600C"/>
    <w:rsid w:val="00976A10"/>
    <w:rsid w:val="00976A61"/>
    <w:rsid w:val="00977716"/>
    <w:rsid w:val="009801CE"/>
    <w:rsid w:val="0098082C"/>
    <w:rsid w:val="009810F7"/>
    <w:rsid w:val="0098196F"/>
    <w:rsid w:val="00981B80"/>
    <w:rsid w:val="00982099"/>
    <w:rsid w:val="00982598"/>
    <w:rsid w:val="00982610"/>
    <w:rsid w:val="009831CF"/>
    <w:rsid w:val="009834C9"/>
    <w:rsid w:val="009836C2"/>
    <w:rsid w:val="009836EA"/>
    <w:rsid w:val="00983AB0"/>
    <w:rsid w:val="00984132"/>
    <w:rsid w:val="009841A4"/>
    <w:rsid w:val="00984308"/>
    <w:rsid w:val="00984A90"/>
    <w:rsid w:val="0098503F"/>
    <w:rsid w:val="00985446"/>
    <w:rsid w:val="0098575B"/>
    <w:rsid w:val="009858EE"/>
    <w:rsid w:val="00985C1E"/>
    <w:rsid w:val="009863BC"/>
    <w:rsid w:val="00986AC6"/>
    <w:rsid w:val="00986D34"/>
    <w:rsid w:val="00986E1B"/>
    <w:rsid w:val="00987BAC"/>
    <w:rsid w:val="00987EE0"/>
    <w:rsid w:val="0099009E"/>
    <w:rsid w:val="009909EC"/>
    <w:rsid w:val="00990D6F"/>
    <w:rsid w:val="00990E91"/>
    <w:rsid w:val="00990F53"/>
    <w:rsid w:val="00991B21"/>
    <w:rsid w:val="00991CA1"/>
    <w:rsid w:val="00991F31"/>
    <w:rsid w:val="009925A7"/>
    <w:rsid w:val="00992B21"/>
    <w:rsid w:val="009940CA"/>
    <w:rsid w:val="00994244"/>
    <w:rsid w:val="00994450"/>
    <w:rsid w:val="00994C0A"/>
    <w:rsid w:val="009951C8"/>
    <w:rsid w:val="00995BD3"/>
    <w:rsid w:val="00996770"/>
    <w:rsid w:val="009970C3"/>
    <w:rsid w:val="00997861"/>
    <w:rsid w:val="00997976"/>
    <w:rsid w:val="00997F0C"/>
    <w:rsid w:val="009A0384"/>
    <w:rsid w:val="009A0E20"/>
    <w:rsid w:val="009A133D"/>
    <w:rsid w:val="009A14BF"/>
    <w:rsid w:val="009A1A4D"/>
    <w:rsid w:val="009A1D31"/>
    <w:rsid w:val="009A279B"/>
    <w:rsid w:val="009A3108"/>
    <w:rsid w:val="009A389B"/>
    <w:rsid w:val="009A4166"/>
    <w:rsid w:val="009A466A"/>
    <w:rsid w:val="009A47C6"/>
    <w:rsid w:val="009A48BF"/>
    <w:rsid w:val="009A52D9"/>
    <w:rsid w:val="009A546B"/>
    <w:rsid w:val="009A6E00"/>
    <w:rsid w:val="009B019F"/>
    <w:rsid w:val="009B15D8"/>
    <w:rsid w:val="009B16F2"/>
    <w:rsid w:val="009B1869"/>
    <w:rsid w:val="009B1872"/>
    <w:rsid w:val="009B203A"/>
    <w:rsid w:val="009B294C"/>
    <w:rsid w:val="009B2AB0"/>
    <w:rsid w:val="009B2C16"/>
    <w:rsid w:val="009B2D68"/>
    <w:rsid w:val="009B3294"/>
    <w:rsid w:val="009B346C"/>
    <w:rsid w:val="009B3C61"/>
    <w:rsid w:val="009B4AA0"/>
    <w:rsid w:val="009B6555"/>
    <w:rsid w:val="009B6F8D"/>
    <w:rsid w:val="009B7496"/>
    <w:rsid w:val="009B749C"/>
    <w:rsid w:val="009C06C2"/>
    <w:rsid w:val="009C0FA0"/>
    <w:rsid w:val="009C14E5"/>
    <w:rsid w:val="009C17A5"/>
    <w:rsid w:val="009C1B91"/>
    <w:rsid w:val="009C1BC7"/>
    <w:rsid w:val="009C1E3B"/>
    <w:rsid w:val="009C2269"/>
    <w:rsid w:val="009C2478"/>
    <w:rsid w:val="009C3612"/>
    <w:rsid w:val="009C38F6"/>
    <w:rsid w:val="009C4080"/>
    <w:rsid w:val="009C4AFC"/>
    <w:rsid w:val="009C4C31"/>
    <w:rsid w:val="009C4D00"/>
    <w:rsid w:val="009C4E2B"/>
    <w:rsid w:val="009C5553"/>
    <w:rsid w:val="009C5568"/>
    <w:rsid w:val="009C57D1"/>
    <w:rsid w:val="009C66F2"/>
    <w:rsid w:val="009C693B"/>
    <w:rsid w:val="009C73F1"/>
    <w:rsid w:val="009C7596"/>
    <w:rsid w:val="009C7927"/>
    <w:rsid w:val="009C7DF3"/>
    <w:rsid w:val="009D0046"/>
    <w:rsid w:val="009D08B0"/>
    <w:rsid w:val="009D12C4"/>
    <w:rsid w:val="009D135A"/>
    <w:rsid w:val="009D1D9B"/>
    <w:rsid w:val="009D23F1"/>
    <w:rsid w:val="009D2423"/>
    <w:rsid w:val="009D28B8"/>
    <w:rsid w:val="009D3355"/>
    <w:rsid w:val="009D3503"/>
    <w:rsid w:val="009D3BC4"/>
    <w:rsid w:val="009D3EBF"/>
    <w:rsid w:val="009D40CC"/>
    <w:rsid w:val="009D4758"/>
    <w:rsid w:val="009D48D9"/>
    <w:rsid w:val="009D4CA6"/>
    <w:rsid w:val="009D4D54"/>
    <w:rsid w:val="009D4E6D"/>
    <w:rsid w:val="009D529D"/>
    <w:rsid w:val="009D5440"/>
    <w:rsid w:val="009D5582"/>
    <w:rsid w:val="009D56D5"/>
    <w:rsid w:val="009D5EA0"/>
    <w:rsid w:val="009D5EB7"/>
    <w:rsid w:val="009D627F"/>
    <w:rsid w:val="009D6301"/>
    <w:rsid w:val="009D6E59"/>
    <w:rsid w:val="009D70B0"/>
    <w:rsid w:val="009D751D"/>
    <w:rsid w:val="009E037A"/>
    <w:rsid w:val="009E10D7"/>
    <w:rsid w:val="009E1ED8"/>
    <w:rsid w:val="009E256F"/>
    <w:rsid w:val="009E2741"/>
    <w:rsid w:val="009E2B12"/>
    <w:rsid w:val="009E2F6F"/>
    <w:rsid w:val="009E2FA2"/>
    <w:rsid w:val="009E3089"/>
    <w:rsid w:val="009E3901"/>
    <w:rsid w:val="009E4183"/>
    <w:rsid w:val="009E4A35"/>
    <w:rsid w:val="009E4BB8"/>
    <w:rsid w:val="009E4D46"/>
    <w:rsid w:val="009E6027"/>
    <w:rsid w:val="009E6647"/>
    <w:rsid w:val="009E6C5B"/>
    <w:rsid w:val="009E6CE1"/>
    <w:rsid w:val="009E6DA5"/>
    <w:rsid w:val="009E6F39"/>
    <w:rsid w:val="009E737A"/>
    <w:rsid w:val="009E78F3"/>
    <w:rsid w:val="009E7AA1"/>
    <w:rsid w:val="009F0418"/>
    <w:rsid w:val="009F08F3"/>
    <w:rsid w:val="009F0B05"/>
    <w:rsid w:val="009F0DFB"/>
    <w:rsid w:val="009F0E03"/>
    <w:rsid w:val="009F0F49"/>
    <w:rsid w:val="009F12BC"/>
    <w:rsid w:val="009F1D29"/>
    <w:rsid w:val="009F3184"/>
    <w:rsid w:val="009F353A"/>
    <w:rsid w:val="009F3E01"/>
    <w:rsid w:val="009F404A"/>
    <w:rsid w:val="009F449A"/>
    <w:rsid w:val="009F4FBC"/>
    <w:rsid w:val="009F53AD"/>
    <w:rsid w:val="009F5FA0"/>
    <w:rsid w:val="009F7410"/>
    <w:rsid w:val="009F7584"/>
    <w:rsid w:val="00A0011D"/>
    <w:rsid w:val="00A0049A"/>
    <w:rsid w:val="00A00D03"/>
    <w:rsid w:val="00A0178B"/>
    <w:rsid w:val="00A01DDD"/>
    <w:rsid w:val="00A01F99"/>
    <w:rsid w:val="00A02C5D"/>
    <w:rsid w:val="00A030A1"/>
    <w:rsid w:val="00A031C7"/>
    <w:rsid w:val="00A03A25"/>
    <w:rsid w:val="00A054FE"/>
    <w:rsid w:val="00A05C2E"/>
    <w:rsid w:val="00A1026A"/>
    <w:rsid w:val="00A10B04"/>
    <w:rsid w:val="00A10EDB"/>
    <w:rsid w:val="00A12382"/>
    <w:rsid w:val="00A12773"/>
    <w:rsid w:val="00A12B84"/>
    <w:rsid w:val="00A12BAB"/>
    <w:rsid w:val="00A134B3"/>
    <w:rsid w:val="00A13C31"/>
    <w:rsid w:val="00A13CA3"/>
    <w:rsid w:val="00A13E88"/>
    <w:rsid w:val="00A13F79"/>
    <w:rsid w:val="00A1559A"/>
    <w:rsid w:val="00A15D8D"/>
    <w:rsid w:val="00A164E5"/>
    <w:rsid w:val="00A16567"/>
    <w:rsid w:val="00A16854"/>
    <w:rsid w:val="00A16EEF"/>
    <w:rsid w:val="00A17469"/>
    <w:rsid w:val="00A17841"/>
    <w:rsid w:val="00A17878"/>
    <w:rsid w:val="00A1790F"/>
    <w:rsid w:val="00A179A4"/>
    <w:rsid w:val="00A17AB9"/>
    <w:rsid w:val="00A17E2F"/>
    <w:rsid w:val="00A17F39"/>
    <w:rsid w:val="00A20515"/>
    <w:rsid w:val="00A20CC4"/>
    <w:rsid w:val="00A21020"/>
    <w:rsid w:val="00A2176C"/>
    <w:rsid w:val="00A2198B"/>
    <w:rsid w:val="00A2278E"/>
    <w:rsid w:val="00A228FF"/>
    <w:rsid w:val="00A22F72"/>
    <w:rsid w:val="00A23BE5"/>
    <w:rsid w:val="00A2449F"/>
    <w:rsid w:val="00A2482A"/>
    <w:rsid w:val="00A24C5D"/>
    <w:rsid w:val="00A25034"/>
    <w:rsid w:val="00A26003"/>
    <w:rsid w:val="00A2637A"/>
    <w:rsid w:val="00A26489"/>
    <w:rsid w:val="00A277D4"/>
    <w:rsid w:val="00A27B94"/>
    <w:rsid w:val="00A27D49"/>
    <w:rsid w:val="00A30E39"/>
    <w:rsid w:val="00A30F6E"/>
    <w:rsid w:val="00A3134E"/>
    <w:rsid w:val="00A31A52"/>
    <w:rsid w:val="00A32C80"/>
    <w:rsid w:val="00A3323F"/>
    <w:rsid w:val="00A33290"/>
    <w:rsid w:val="00A333A4"/>
    <w:rsid w:val="00A3425A"/>
    <w:rsid w:val="00A349F5"/>
    <w:rsid w:val="00A34B18"/>
    <w:rsid w:val="00A35DB2"/>
    <w:rsid w:val="00A35F54"/>
    <w:rsid w:val="00A36439"/>
    <w:rsid w:val="00A3692C"/>
    <w:rsid w:val="00A369EE"/>
    <w:rsid w:val="00A36BFE"/>
    <w:rsid w:val="00A36EBD"/>
    <w:rsid w:val="00A375A5"/>
    <w:rsid w:val="00A376E6"/>
    <w:rsid w:val="00A37FAB"/>
    <w:rsid w:val="00A40312"/>
    <w:rsid w:val="00A40D92"/>
    <w:rsid w:val="00A40F1F"/>
    <w:rsid w:val="00A4134D"/>
    <w:rsid w:val="00A4184D"/>
    <w:rsid w:val="00A41B3D"/>
    <w:rsid w:val="00A420A7"/>
    <w:rsid w:val="00A42593"/>
    <w:rsid w:val="00A426BE"/>
    <w:rsid w:val="00A426D7"/>
    <w:rsid w:val="00A4366A"/>
    <w:rsid w:val="00A446D9"/>
    <w:rsid w:val="00A44732"/>
    <w:rsid w:val="00A452F8"/>
    <w:rsid w:val="00A45333"/>
    <w:rsid w:val="00A45659"/>
    <w:rsid w:val="00A459DC"/>
    <w:rsid w:val="00A47E6A"/>
    <w:rsid w:val="00A508C0"/>
    <w:rsid w:val="00A51A2F"/>
    <w:rsid w:val="00A52828"/>
    <w:rsid w:val="00A52850"/>
    <w:rsid w:val="00A52C4F"/>
    <w:rsid w:val="00A52C74"/>
    <w:rsid w:val="00A5341A"/>
    <w:rsid w:val="00A54256"/>
    <w:rsid w:val="00A556C4"/>
    <w:rsid w:val="00A55B0B"/>
    <w:rsid w:val="00A55BF0"/>
    <w:rsid w:val="00A56F97"/>
    <w:rsid w:val="00A5727F"/>
    <w:rsid w:val="00A57E8D"/>
    <w:rsid w:val="00A601FD"/>
    <w:rsid w:val="00A60E74"/>
    <w:rsid w:val="00A60F6E"/>
    <w:rsid w:val="00A6127B"/>
    <w:rsid w:val="00A61887"/>
    <w:rsid w:val="00A61A56"/>
    <w:rsid w:val="00A6269B"/>
    <w:rsid w:val="00A637B8"/>
    <w:rsid w:val="00A639C0"/>
    <w:rsid w:val="00A6431B"/>
    <w:rsid w:val="00A64406"/>
    <w:rsid w:val="00A648FC"/>
    <w:rsid w:val="00A64E82"/>
    <w:rsid w:val="00A650E9"/>
    <w:rsid w:val="00A6577B"/>
    <w:rsid w:val="00A65B79"/>
    <w:rsid w:val="00A65C2F"/>
    <w:rsid w:val="00A666DE"/>
    <w:rsid w:val="00A66D52"/>
    <w:rsid w:val="00A66F90"/>
    <w:rsid w:val="00A671C4"/>
    <w:rsid w:val="00A677C4"/>
    <w:rsid w:val="00A70C21"/>
    <w:rsid w:val="00A70C56"/>
    <w:rsid w:val="00A715EF"/>
    <w:rsid w:val="00A71A8D"/>
    <w:rsid w:val="00A71B66"/>
    <w:rsid w:val="00A7314D"/>
    <w:rsid w:val="00A73220"/>
    <w:rsid w:val="00A73316"/>
    <w:rsid w:val="00A73770"/>
    <w:rsid w:val="00A73D5A"/>
    <w:rsid w:val="00A741E0"/>
    <w:rsid w:val="00A742A6"/>
    <w:rsid w:val="00A74706"/>
    <w:rsid w:val="00A74903"/>
    <w:rsid w:val="00A74954"/>
    <w:rsid w:val="00A74AA9"/>
    <w:rsid w:val="00A74AB7"/>
    <w:rsid w:val="00A74B1E"/>
    <w:rsid w:val="00A7523E"/>
    <w:rsid w:val="00A754AA"/>
    <w:rsid w:val="00A75562"/>
    <w:rsid w:val="00A756C0"/>
    <w:rsid w:val="00A759F9"/>
    <w:rsid w:val="00A76995"/>
    <w:rsid w:val="00A769BB"/>
    <w:rsid w:val="00A76BF4"/>
    <w:rsid w:val="00A76F56"/>
    <w:rsid w:val="00A77738"/>
    <w:rsid w:val="00A77A38"/>
    <w:rsid w:val="00A77A6E"/>
    <w:rsid w:val="00A77FAA"/>
    <w:rsid w:val="00A80407"/>
    <w:rsid w:val="00A80631"/>
    <w:rsid w:val="00A80703"/>
    <w:rsid w:val="00A810FC"/>
    <w:rsid w:val="00A812E3"/>
    <w:rsid w:val="00A822BC"/>
    <w:rsid w:val="00A833EA"/>
    <w:rsid w:val="00A83530"/>
    <w:rsid w:val="00A83AEF"/>
    <w:rsid w:val="00A8404C"/>
    <w:rsid w:val="00A84120"/>
    <w:rsid w:val="00A848FF"/>
    <w:rsid w:val="00A84E6E"/>
    <w:rsid w:val="00A854A8"/>
    <w:rsid w:val="00A855D7"/>
    <w:rsid w:val="00A85C20"/>
    <w:rsid w:val="00A86057"/>
    <w:rsid w:val="00A86311"/>
    <w:rsid w:val="00A8789A"/>
    <w:rsid w:val="00A879F2"/>
    <w:rsid w:val="00A87A8D"/>
    <w:rsid w:val="00A87CC3"/>
    <w:rsid w:val="00A87F93"/>
    <w:rsid w:val="00A90B73"/>
    <w:rsid w:val="00A90E40"/>
    <w:rsid w:val="00A925CC"/>
    <w:rsid w:val="00A92852"/>
    <w:rsid w:val="00A92CF6"/>
    <w:rsid w:val="00A92DCB"/>
    <w:rsid w:val="00A93DB2"/>
    <w:rsid w:val="00A959DE"/>
    <w:rsid w:val="00A96ECB"/>
    <w:rsid w:val="00A974B8"/>
    <w:rsid w:val="00A97783"/>
    <w:rsid w:val="00AA00F8"/>
    <w:rsid w:val="00AA1070"/>
    <w:rsid w:val="00AA1B5C"/>
    <w:rsid w:val="00AA4E80"/>
    <w:rsid w:val="00AA5486"/>
    <w:rsid w:val="00AA5CED"/>
    <w:rsid w:val="00AA5DB0"/>
    <w:rsid w:val="00AA5EC9"/>
    <w:rsid w:val="00AA6032"/>
    <w:rsid w:val="00AA712A"/>
    <w:rsid w:val="00AA7AB1"/>
    <w:rsid w:val="00AB027A"/>
    <w:rsid w:val="00AB0667"/>
    <w:rsid w:val="00AB066D"/>
    <w:rsid w:val="00AB1215"/>
    <w:rsid w:val="00AB17A4"/>
    <w:rsid w:val="00AB1BC4"/>
    <w:rsid w:val="00AB20B2"/>
    <w:rsid w:val="00AB2DA2"/>
    <w:rsid w:val="00AB314B"/>
    <w:rsid w:val="00AB3882"/>
    <w:rsid w:val="00AB4155"/>
    <w:rsid w:val="00AB49CF"/>
    <w:rsid w:val="00AB4EC7"/>
    <w:rsid w:val="00AB5625"/>
    <w:rsid w:val="00AB577F"/>
    <w:rsid w:val="00AB5B0D"/>
    <w:rsid w:val="00AB6F22"/>
    <w:rsid w:val="00AB6FB1"/>
    <w:rsid w:val="00AB74B7"/>
    <w:rsid w:val="00AB75CA"/>
    <w:rsid w:val="00AC0306"/>
    <w:rsid w:val="00AC07E6"/>
    <w:rsid w:val="00AC1BFA"/>
    <w:rsid w:val="00AC1E29"/>
    <w:rsid w:val="00AC1FEC"/>
    <w:rsid w:val="00AC274C"/>
    <w:rsid w:val="00AC2D00"/>
    <w:rsid w:val="00AC42A0"/>
    <w:rsid w:val="00AC43B8"/>
    <w:rsid w:val="00AC4C89"/>
    <w:rsid w:val="00AC5549"/>
    <w:rsid w:val="00AC5D82"/>
    <w:rsid w:val="00AC651F"/>
    <w:rsid w:val="00AC6588"/>
    <w:rsid w:val="00AC6FE7"/>
    <w:rsid w:val="00AC761E"/>
    <w:rsid w:val="00AC7B3B"/>
    <w:rsid w:val="00AC7D1E"/>
    <w:rsid w:val="00AD0309"/>
    <w:rsid w:val="00AD06CF"/>
    <w:rsid w:val="00AD0FBE"/>
    <w:rsid w:val="00AD13BA"/>
    <w:rsid w:val="00AD1F1A"/>
    <w:rsid w:val="00AD2210"/>
    <w:rsid w:val="00AD241D"/>
    <w:rsid w:val="00AD27BD"/>
    <w:rsid w:val="00AD363D"/>
    <w:rsid w:val="00AD3FF1"/>
    <w:rsid w:val="00AD43A9"/>
    <w:rsid w:val="00AD4B70"/>
    <w:rsid w:val="00AD4BF1"/>
    <w:rsid w:val="00AD4DBA"/>
    <w:rsid w:val="00AD5335"/>
    <w:rsid w:val="00AD5408"/>
    <w:rsid w:val="00AD5411"/>
    <w:rsid w:val="00AD55F9"/>
    <w:rsid w:val="00AD5631"/>
    <w:rsid w:val="00AD58B4"/>
    <w:rsid w:val="00AD63B6"/>
    <w:rsid w:val="00AD6403"/>
    <w:rsid w:val="00AD6A6E"/>
    <w:rsid w:val="00AD6BE7"/>
    <w:rsid w:val="00AD70B4"/>
    <w:rsid w:val="00AD74ED"/>
    <w:rsid w:val="00AD7823"/>
    <w:rsid w:val="00AD7BAD"/>
    <w:rsid w:val="00AE0C33"/>
    <w:rsid w:val="00AE0E53"/>
    <w:rsid w:val="00AE0F84"/>
    <w:rsid w:val="00AE1BA6"/>
    <w:rsid w:val="00AE2487"/>
    <w:rsid w:val="00AE293E"/>
    <w:rsid w:val="00AE2D0A"/>
    <w:rsid w:val="00AE2F10"/>
    <w:rsid w:val="00AE4B51"/>
    <w:rsid w:val="00AE52D8"/>
    <w:rsid w:val="00AE54AF"/>
    <w:rsid w:val="00AE5709"/>
    <w:rsid w:val="00AE575F"/>
    <w:rsid w:val="00AE5C77"/>
    <w:rsid w:val="00AE6AE0"/>
    <w:rsid w:val="00AE6BE9"/>
    <w:rsid w:val="00AE6CD2"/>
    <w:rsid w:val="00AE6E64"/>
    <w:rsid w:val="00AE7D6E"/>
    <w:rsid w:val="00AF07DF"/>
    <w:rsid w:val="00AF0F8B"/>
    <w:rsid w:val="00AF11E1"/>
    <w:rsid w:val="00AF148C"/>
    <w:rsid w:val="00AF2C21"/>
    <w:rsid w:val="00AF30CB"/>
    <w:rsid w:val="00AF30CE"/>
    <w:rsid w:val="00AF335D"/>
    <w:rsid w:val="00AF341D"/>
    <w:rsid w:val="00AF3515"/>
    <w:rsid w:val="00AF36B0"/>
    <w:rsid w:val="00AF417F"/>
    <w:rsid w:val="00AF4A40"/>
    <w:rsid w:val="00AF4F0C"/>
    <w:rsid w:val="00AF5756"/>
    <w:rsid w:val="00AF5A9D"/>
    <w:rsid w:val="00AF5DB9"/>
    <w:rsid w:val="00AF68D0"/>
    <w:rsid w:val="00AF7380"/>
    <w:rsid w:val="00B00FCE"/>
    <w:rsid w:val="00B01144"/>
    <w:rsid w:val="00B0226B"/>
    <w:rsid w:val="00B022C0"/>
    <w:rsid w:val="00B02953"/>
    <w:rsid w:val="00B02A92"/>
    <w:rsid w:val="00B02CA2"/>
    <w:rsid w:val="00B032BD"/>
    <w:rsid w:val="00B03E27"/>
    <w:rsid w:val="00B04137"/>
    <w:rsid w:val="00B041D6"/>
    <w:rsid w:val="00B0421F"/>
    <w:rsid w:val="00B047FB"/>
    <w:rsid w:val="00B04F1A"/>
    <w:rsid w:val="00B0550F"/>
    <w:rsid w:val="00B05A32"/>
    <w:rsid w:val="00B05E61"/>
    <w:rsid w:val="00B06635"/>
    <w:rsid w:val="00B06A0F"/>
    <w:rsid w:val="00B07E01"/>
    <w:rsid w:val="00B104DB"/>
    <w:rsid w:val="00B10FBD"/>
    <w:rsid w:val="00B110ED"/>
    <w:rsid w:val="00B1139D"/>
    <w:rsid w:val="00B119B2"/>
    <w:rsid w:val="00B11D4A"/>
    <w:rsid w:val="00B12A27"/>
    <w:rsid w:val="00B1323D"/>
    <w:rsid w:val="00B16ACE"/>
    <w:rsid w:val="00B17528"/>
    <w:rsid w:val="00B207C4"/>
    <w:rsid w:val="00B20922"/>
    <w:rsid w:val="00B20D23"/>
    <w:rsid w:val="00B216AE"/>
    <w:rsid w:val="00B21E9B"/>
    <w:rsid w:val="00B224C3"/>
    <w:rsid w:val="00B23F50"/>
    <w:rsid w:val="00B24A47"/>
    <w:rsid w:val="00B24C4A"/>
    <w:rsid w:val="00B24C71"/>
    <w:rsid w:val="00B24E8B"/>
    <w:rsid w:val="00B25D1B"/>
    <w:rsid w:val="00B25E4D"/>
    <w:rsid w:val="00B2617F"/>
    <w:rsid w:val="00B2627D"/>
    <w:rsid w:val="00B269B0"/>
    <w:rsid w:val="00B31DC7"/>
    <w:rsid w:val="00B3236B"/>
    <w:rsid w:val="00B3298F"/>
    <w:rsid w:val="00B32B12"/>
    <w:rsid w:val="00B32FE3"/>
    <w:rsid w:val="00B33545"/>
    <w:rsid w:val="00B3368B"/>
    <w:rsid w:val="00B342F0"/>
    <w:rsid w:val="00B34792"/>
    <w:rsid w:val="00B34D00"/>
    <w:rsid w:val="00B34DA2"/>
    <w:rsid w:val="00B34F48"/>
    <w:rsid w:val="00B35353"/>
    <w:rsid w:val="00B35C90"/>
    <w:rsid w:val="00B35E48"/>
    <w:rsid w:val="00B36700"/>
    <w:rsid w:val="00B370E0"/>
    <w:rsid w:val="00B3714F"/>
    <w:rsid w:val="00B37D60"/>
    <w:rsid w:val="00B40311"/>
    <w:rsid w:val="00B40D5F"/>
    <w:rsid w:val="00B418D9"/>
    <w:rsid w:val="00B42BA5"/>
    <w:rsid w:val="00B43005"/>
    <w:rsid w:val="00B43571"/>
    <w:rsid w:val="00B438A6"/>
    <w:rsid w:val="00B439DC"/>
    <w:rsid w:val="00B43F35"/>
    <w:rsid w:val="00B441F0"/>
    <w:rsid w:val="00B44344"/>
    <w:rsid w:val="00B44DC3"/>
    <w:rsid w:val="00B45161"/>
    <w:rsid w:val="00B46168"/>
    <w:rsid w:val="00B465C6"/>
    <w:rsid w:val="00B46806"/>
    <w:rsid w:val="00B47095"/>
    <w:rsid w:val="00B471FD"/>
    <w:rsid w:val="00B479D8"/>
    <w:rsid w:val="00B47CDB"/>
    <w:rsid w:val="00B47FEB"/>
    <w:rsid w:val="00B500C1"/>
    <w:rsid w:val="00B5062E"/>
    <w:rsid w:val="00B50FD4"/>
    <w:rsid w:val="00B51218"/>
    <w:rsid w:val="00B51773"/>
    <w:rsid w:val="00B520CA"/>
    <w:rsid w:val="00B5234A"/>
    <w:rsid w:val="00B5465A"/>
    <w:rsid w:val="00B548EA"/>
    <w:rsid w:val="00B54B41"/>
    <w:rsid w:val="00B57256"/>
    <w:rsid w:val="00B572A2"/>
    <w:rsid w:val="00B574C7"/>
    <w:rsid w:val="00B57871"/>
    <w:rsid w:val="00B60224"/>
    <w:rsid w:val="00B6115F"/>
    <w:rsid w:val="00B614B4"/>
    <w:rsid w:val="00B61AD0"/>
    <w:rsid w:val="00B62C29"/>
    <w:rsid w:val="00B62D9A"/>
    <w:rsid w:val="00B63B55"/>
    <w:rsid w:val="00B644E4"/>
    <w:rsid w:val="00B645E0"/>
    <w:rsid w:val="00B647C8"/>
    <w:rsid w:val="00B64DB1"/>
    <w:rsid w:val="00B650AA"/>
    <w:rsid w:val="00B6518C"/>
    <w:rsid w:val="00B65919"/>
    <w:rsid w:val="00B660C2"/>
    <w:rsid w:val="00B66725"/>
    <w:rsid w:val="00B66814"/>
    <w:rsid w:val="00B66BF5"/>
    <w:rsid w:val="00B674EF"/>
    <w:rsid w:val="00B6758B"/>
    <w:rsid w:val="00B677A6"/>
    <w:rsid w:val="00B67FAC"/>
    <w:rsid w:val="00B70481"/>
    <w:rsid w:val="00B708AD"/>
    <w:rsid w:val="00B715D7"/>
    <w:rsid w:val="00B717D8"/>
    <w:rsid w:val="00B71D71"/>
    <w:rsid w:val="00B72179"/>
    <w:rsid w:val="00B7219C"/>
    <w:rsid w:val="00B72BE4"/>
    <w:rsid w:val="00B73881"/>
    <w:rsid w:val="00B738B6"/>
    <w:rsid w:val="00B73DE9"/>
    <w:rsid w:val="00B741C4"/>
    <w:rsid w:val="00B7453F"/>
    <w:rsid w:val="00B7457B"/>
    <w:rsid w:val="00B75B86"/>
    <w:rsid w:val="00B75DF2"/>
    <w:rsid w:val="00B75E61"/>
    <w:rsid w:val="00B760A8"/>
    <w:rsid w:val="00B761BB"/>
    <w:rsid w:val="00B76227"/>
    <w:rsid w:val="00B762B5"/>
    <w:rsid w:val="00B76396"/>
    <w:rsid w:val="00B7674C"/>
    <w:rsid w:val="00B777A9"/>
    <w:rsid w:val="00B77856"/>
    <w:rsid w:val="00B807FD"/>
    <w:rsid w:val="00B80E1B"/>
    <w:rsid w:val="00B810BE"/>
    <w:rsid w:val="00B8198F"/>
    <w:rsid w:val="00B81CC6"/>
    <w:rsid w:val="00B82F02"/>
    <w:rsid w:val="00B83FD4"/>
    <w:rsid w:val="00B84AEF"/>
    <w:rsid w:val="00B85330"/>
    <w:rsid w:val="00B85657"/>
    <w:rsid w:val="00B86A46"/>
    <w:rsid w:val="00B86D8A"/>
    <w:rsid w:val="00B87AF6"/>
    <w:rsid w:val="00B90571"/>
    <w:rsid w:val="00B90F62"/>
    <w:rsid w:val="00B913B6"/>
    <w:rsid w:val="00B91A93"/>
    <w:rsid w:val="00B91C3F"/>
    <w:rsid w:val="00B920A1"/>
    <w:rsid w:val="00B92418"/>
    <w:rsid w:val="00B925E6"/>
    <w:rsid w:val="00B92EBE"/>
    <w:rsid w:val="00B9345C"/>
    <w:rsid w:val="00B93645"/>
    <w:rsid w:val="00B93687"/>
    <w:rsid w:val="00B9468F"/>
    <w:rsid w:val="00B94838"/>
    <w:rsid w:val="00B94916"/>
    <w:rsid w:val="00B95A2D"/>
    <w:rsid w:val="00B96028"/>
    <w:rsid w:val="00B9679C"/>
    <w:rsid w:val="00B970A5"/>
    <w:rsid w:val="00B97E62"/>
    <w:rsid w:val="00BA0795"/>
    <w:rsid w:val="00BA07CE"/>
    <w:rsid w:val="00BA0E10"/>
    <w:rsid w:val="00BA1189"/>
    <w:rsid w:val="00BA149E"/>
    <w:rsid w:val="00BA2427"/>
    <w:rsid w:val="00BA38C5"/>
    <w:rsid w:val="00BA4CC8"/>
    <w:rsid w:val="00BA50E6"/>
    <w:rsid w:val="00BA5719"/>
    <w:rsid w:val="00BA5EE8"/>
    <w:rsid w:val="00BA613C"/>
    <w:rsid w:val="00BA65D3"/>
    <w:rsid w:val="00BA7575"/>
    <w:rsid w:val="00BA7713"/>
    <w:rsid w:val="00BA7C75"/>
    <w:rsid w:val="00BB03C0"/>
    <w:rsid w:val="00BB10E7"/>
    <w:rsid w:val="00BB1182"/>
    <w:rsid w:val="00BB1438"/>
    <w:rsid w:val="00BB1B2B"/>
    <w:rsid w:val="00BB2195"/>
    <w:rsid w:val="00BB2308"/>
    <w:rsid w:val="00BB23EB"/>
    <w:rsid w:val="00BB2911"/>
    <w:rsid w:val="00BB2928"/>
    <w:rsid w:val="00BB2C50"/>
    <w:rsid w:val="00BB3843"/>
    <w:rsid w:val="00BB3DBA"/>
    <w:rsid w:val="00BB3EF0"/>
    <w:rsid w:val="00BB4503"/>
    <w:rsid w:val="00BB4859"/>
    <w:rsid w:val="00BB5818"/>
    <w:rsid w:val="00BB5ABE"/>
    <w:rsid w:val="00BB5C4B"/>
    <w:rsid w:val="00BB6E95"/>
    <w:rsid w:val="00BC04D7"/>
    <w:rsid w:val="00BC0669"/>
    <w:rsid w:val="00BC0B47"/>
    <w:rsid w:val="00BC10BB"/>
    <w:rsid w:val="00BC11E1"/>
    <w:rsid w:val="00BC16B4"/>
    <w:rsid w:val="00BC245C"/>
    <w:rsid w:val="00BC2496"/>
    <w:rsid w:val="00BC2621"/>
    <w:rsid w:val="00BC2759"/>
    <w:rsid w:val="00BC2B48"/>
    <w:rsid w:val="00BC2B96"/>
    <w:rsid w:val="00BC30D4"/>
    <w:rsid w:val="00BC315E"/>
    <w:rsid w:val="00BC461F"/>
    <w:rsid w:val="00BC462C"/>
    <w:rsid w:val="00BC4AC2"/>
    <w:rsid w:val="00BC5796"/>
    <w:rsid w:val="00BC5827"/>
    <w:rsid w:val="00BC696D"/>
    <w:rsid w:val="00BC7604"/>
    <w:rsid w:val="00BC7B08"/>
    <w:rsid w:val="00BD0580"/>
    <w:rsid w:val="00BD07AA"/>
    <w:rsid w:val="00BD0A2A"/>
    <w:rsid w:val="00BD0A79"/>
    <w:rsid w:val="00BD0D4A"/>
    <w:rsid w:val="00BD1781"/>
    <w:rsid w:val="00BD2713"/>
    <w:rsid w:val="00BD2735"/>
    <w:rsid w:val="00BD2AC1"/>
    <w:rsid w:val="00BD2F8C"/>
    <w:rsid w:val="00BD2FC6"/>
    <w:rsid w:val="00BD33F7"/>
    <w:rsid w:val="00BD4E27"/>
    <w:rsid w:val="00BD52D8"/>
    <w:rsid w:val="00BD6CF0"/>
    <w:rsid w:val="00BD79B6"/>
    <w:rsid w:val="00BD7D8A"/>
    <w:rsid w:val="00BE021A"/>
    <w:rsid w:val="00BE0685"/>
    <w:rsid w:val="00BE0764"/>
    <w:rsid w:val="00BE1A63"/>
    <w:rsid w:val="00BE1C07"/>
    <w:rsid w:val="00BE1DFB"/>
    <w:rsid w:val="00BE1E7A"/>
    <w:rsid w:val="00BE2D7B"/>
    <w:rsid w:val="00BE2F9B"/>
    <w:rsid w:val="00BE3099"/>
    <w:rsid w:val="00BE36EA"/>
    <w:rsid w:val="00BE40B8"/>
    <w:rsid w:val="00BE422A"/>
    <w:rsid w:val="00BE529E"/>
    <w:rsid w:val="00BE5E10"/>
    <w:rsid w:val="00BE6D5A"/>
    <w:rsid w:val="00BE7D7D"/>
    <w:rsid w:val="00BF0352"/>
    <w:rsid w:val="00BF044D"/>
    <w:rsid w:val="00BF0660"/>
    <w:rsid w:val="00BF07F6"/>
    <w:rsid w:val="00BF0D76"/>
    <w:rsid w:val="00BF1647"/>
    <w:rsid w:val="00BF18AE"/>
    <w:rsid w:val="00BF199F"/>
    <w:rsid w:val="00BF1A30"/>
    <w:rsid w:val="00BF1C30"/>
    <w:rsid w:val="00BF2BE5"/>
    <w:rsid w:val="00BF3C3F"/>
    <w:rsid w:val="00BF3DB6"/>
    <w:rsid w:val="00BF40B2"/>
    <w:rsid w:val="00BF4AE7"/>
    <w:rsid w:val="00BF547D"/>
    <w:rsid w:val="00BF6CE6"/>
    <w:rsid w:val="00BF6CF2"/>
    <w:rsid w:val="00BF79ED"/>
    <w:rsid w:val="00BF7D36"/>
    <w:rsid w:val="00C00BA3"/>
    <w:rsid w:val="00C00F52"/>
    <w:rsid w:val="00C01122"/>
    <w:rsid w:val="00C029C1"/>
    <w:rsid w:val="00C03684"/>
    <w:rsid w:val="00C04E77"/>
    <w:rsid w:val="00C05436"/>
    <w:rsid w:val="00C06155"/>
    <w:rsid w:val="00C063B8"/>
    <w:rsid w:val="00C06B23"/>
    <w:rsid w:val="00C06E22"/>
    <w:rsid w:val="00C07B50"/>
    <w:rsid w:val="00C07DCA"/>
    <w:rsid w:val="00C104EB"/>
    <w:rsid w:val="00C1053E"/>
    <w:rsid w:val="00C106A1"/>
    <w:rsid w:val="00C10A28"/>
    <w:rsid w:val="00C10C52"/>
    <w:rsid w:val="00C114B0"/>
    <w:rsid w:val="00C11A18"/>
    <w:rsid w:val="00C11C88"/>
    <w:rsid w:val="00C11E33"/>
    <w:rsid w:val="00C12662"/>
    <w:rsid w:val="00C12A70"/>
    <w:rsid w:val="00C12D4E"/>
    <w:rsid w:val="00C14633"/>
    <w:rsid w:val="00C15202"/>
    <w:rsid w:val="00C16168"/>
    <w:rsid w:val="00C1650C"/>
    <w:rsid w:val="00C16BBA"/>
    <w:rsid w:val="00C17C43"/>
    <w:rsid w:val="00C21686"/>
    <w:rsid w:val="00C2174E"/>
    <w:rsid w:val="00C21A44"/>
    <w:rsid w:val="00C21B71"/>
    <w:rsid w:val="00C24622"/>
    <w:rsid w:val="00C25B2B"/>
    <w:rsid w:val="00C267D4"/>
    <w:rsid w:val="00C26AB8"/>
    <w:rsid w:val="00C26BDC"/>
    <w:rsid w:val="00C27A2A"/>
    <w:rsid w:val="00C27C5E"/>
    <w:rsid w:val="00C27E66"/>
    <w:rsid w:val="00C27EEF"/>
    <w:rsid w:val="00C309BB"/>
    <w:rsid w:val="00C310E1"/>
    <w:rsid w:val="00C311AB"/>
    <w:rsid w:val="00C319A2"/>
    <w:rsid w:val="00C31A6E"/>
    <w:rsid w:val="00C32689"/>
    <w:rsid w:val="00C32AD1"/>
    <w:rsid w:val="00C32CDE"/>
    <w:rsid w:val="00C33596"/>
    <w:rsid w:val="00C33C47"/>
    <w:rsid w:val="00C33E70"/>
    <w:rsid w:val="00C34AAC"/>
    <w:rsid w:val="00C34BC7"/>
    <w:rsid w:val="00C35328"/>
    <w:rsid w:val="00C35837"/>
    <w:rsid w:val="00C358F5"/>
    <w:rsid w:val="00C35A11"/>
    <w:rsid w:val="00C35AE4"/>
    <w:rsid w:val="00C36345"/>
    <w:rsid w:val="00C364B7"/>
    <w:rsid w:val="00C36699"/>
    <w:rsid w:val="00C36A5F"/>
    <w:rsid w:val="00C3708D"/>
    <w:rsid w:val="00C374F3"/>
    <w:rsid w:val="00C37758"/>
    <w:rsid w:val="00C3778D"/>
    <w:rsid w:val="00C3783C"/>
    <w:rsid w:val="00C401BD"/>
    <w:rsid w:val="00C407ED"/>
    <w:rsid w:val="00C409E3"/>
    <w:rsid w:val="00C40E10"/>
    <w:rsid w:val="00C41278"/>
    <w:rsid w:val="00C4146E"/>
    <w:rsid w:val="00C417B6"/>
    <w:rsid w:val="00C41B1E"/>
    <w:rsid w:val="00C41F33"/>
    <w:rsid w:val="00C422D3"/>
    <w:rsid w:val="00C42442"/>
    <w:rsid w:val="00C42530"/>
    <w:rsid w:val="00C43B53"/>
    <w:rsid w:val="00C43B68"/>
    <w:rsid w:val="00C443BD"/>
    <w:rsid w:val="00C4480A"/>
    <w:rsid w:val="00C44AC5"/>
    <w:rsid w:val="00C44C10"/>
    <w:rsid w:val="00C4587D"/>
    <w:rsid w:val="00C45BDD"/>
    <w:rsid w:val="00C4605A"/>
    <w:rsid w:val="00C46E6D"/>
    <w:rsid w:val="00C502C8"/>
    <w:rsid w:val="00C5148E"/>
    <w:rsid w:val="00C519D2"/>
    <w:rsid w:val="00C51E13"/>
    <w:rsid w:val="00C528BE"/>
    <w:rsid w:val="00C5312B"/>
    <w:rsid w:val="00C537D1"/>
    <w:rsid w:val="00C53B1E"/>
    <w:rsid w:val="00C53E63"/>
    <w:rsid w:val="00C54939"/>
    <w:rsid w:val="00C5505A"/>
    <w:rsid w:val="00C55B5F"/>
    <w:rsid w:val="00C5637A"/>
    <w:rsid w:val="00C566AA"/>
    <w:rsid w:val="00C5772D"/>
    <w:rsid w:val="00C61A69"/>
    <w:rsid w:val="00C623F1"/>
    <w:rsid w:val="00C62640"/>
    <w:rsid w:val="00C64AA3"/>
    <w:rsid w:val="00C65224"/>
    <w:rsid w:val="00C6544B"/>
    <w:rsid w:val="00C65A7B"/>
    <w:rsid w:val="00C65E5B"/>
    <w:rsid w:val="00C66F58"/>
    <w:rsid w:val="00C70031"/>
    <w:rsid w:val="00C703CF"/>
    <w:rsid w:val="00C7084C"/>
    <w:rsid w:val="00C712C1"/>
    <w:rsid w:val="00C7256B"/>
    <w:rsid w:val="00C7265C"/>
    <w:rsid w:val="00C72E59"/>
    <w:rsid w:val="00C7302A"/>
    <w:rsid w:val="00C73319"/>
    <w:rsid w:val="00C73466"/>
    <w:rsid w:val="00C73948"/>
    <w:rsid w:val="00C7528C"/>
    <w:rsid w:val="00C757F3"/>
    <w:rsid w:val="00C75AB8"/>
    <w:rsid w:val="00C76117"/>
    <w:rsid w:val="00C76A73"/>
    <w:rsid w:val="00C772F1"/>
    <w:rsid w:val="00C80FBB"/>
    <w:rsid w:val="00C81132"/>
    <w:rsid w:val="00C81621"/>
    <w:rsid w:val="00C818D7"/>
    <w:rsid w:val="00C83C56"/>
    <w:rsid w:val="00C83EBF"/>
    <w:rsid w:val="00C845AE"/>
    <w:rsid w:val="00C8506D"/>
    <w:rsid w:val="00C857F7"/>
    <w:rsid w:val="00C86A5A"/>
    <w:rsid w:val="00C871F4"/>
    <w:rsid w:val="00C87783"/>
    <w:rsid w:val="00C901A9"/>
    <w:rsid w:val="00C9057C"/>
    <w:rsid w:val="00C90BCC"/>
    <w:rsid w:val="00C90CD3"/>
    <w:rsid w:val="00C9103C"/>
    <w:rsid w:val="00C916D5"/>
    <w:rsid w:val="00C922ED"/>
    <w:rsid w:val="00C937F0"/>
    <w:rsid w:val="00C93CC4"/>
    <w:rsid w:val="00C93F36"/>
    <w:rsid w:val="00C94E65"/>
    <w:rsid w:val="00C962A3"/>
    <w:rsid w:val="00C96A2F"/>
    <w:rsid w:val="00C96FE2"/>
    <w:rsid w:val="00C972D6"/>
    <w:rsid w:val="00C97A58"/>
    <w:rsid w:val="00C97A70"/>
    <w:rsid w:val="00C97FA1"/>
    <w:rsid w:val="00CA053F"/>
    <w:rsid w:val="00CA0601"/>
    <w:rsid w:val="00CA0DCB"/>
    <w:rsid w:val="00CA2A50"/>
    <w:rsid w:val="00CA2C3F"/>
    <w:rsid w:val="00CA3102"/>
    <w:rsid w:val="00CA3501"/>
    <w:rsid w:val="00CA3697"/>
    <w:rsid w:val="00CA36C0"/>
    <w:rsid w:val="00CA399A"/>
    <w:rsid w:val="00CA44A7"/>
    <w:rsid w:val="00CA477F"/>
    <w:rsid w:val="00CA4A3C"/>
    <w:rsid w:val="00CA538F"/>
    <w:rsid w:val="00CA53BA"/>
    <w:rsid w:val="00CA557F"/>
    <w:rsid w:val="00CA55CB"/>
    <w:rsid w:val="00CA5691"/>
    <w:rsid w:val="00CA656F"/>
    <w:rsid w:val="00CA6F76"/>
    <w:rsid w:val="00CB0CB0"/>
    <w:rsid w:val="00CB0F5E"/>
    <w:rsid w:val="00CB2657"/>
    <w:rsid w:val="00CB2F27"/>
    <w:rsid w:val="00CB371E"/>
    <w:rsid w:val="00CB3945"/>
    <w:rsid w:val="00CB3F35"/>
    <w:rsid w:val="00CB3F5D"/>
    <w:rsid w:val="00CB3FA6"/>
    <w:rsid w:val="00CB43AA"/>
    <w:rsid w:val="00CB4782"/>
    <w:rsid w:val="00CB4A03"/>
    <w:rsid w:val="00CB6700"/>
    <w:rsid w:val="00CB6FF7"/>
    <w:rsid w:val="00CC03EA"/>
    <w:rsid w:val="00CC0B83"/>
    <w:rsid w:val="00CC0C9D"/>
    <w:rsid w:val="00CC0E28"/>
    <w:rsid w:val="00CC14D7"/>
    <w:rsid w:val="00CC1A0F"/>
    <w:rsid w:val="00CC1DCD"/>
    <w:rsid w:val="00CC2382"/>
    <w:rsid w:val="00CC271B"/>
    <w:rsid w:val="00CC27CA"/>
    <w:rsid w:val="00CC2B98"/>
    <w:rsid w:val="00CC2F6B"/>
    <w:rsid w:val="00CC420A"/>
    <w:rsid w:val="00CC44FB"/>
    <w:rsid w:val="00CC5C6C"/>
    <w:rsid w:val="00CC60E6"/>
    <w:rsid w:val="00CC65BA"/>
    <w:rsid w:val="00CC69DA"/>
    <w:rsid w:val="00CC6C7D"/>
    <w:rsid w:val="00CC6D79"/>
    <w:rsid w:val="00CC6DEE"/>
    <w:rsid w:val="00CC7559"/>
    <w:rsid w:val="00CC79DF"/>
    <w:rsid w:val="00CC7BD7"/>
    <w:rsid w:val="00CD08AE"/>
    <w:rsid w:val="00CD0C57"/>
    <w:rsid w:val="00CD136E"/>
    <w:rsid w:val="00CD1373"/>
    <w:rsid w:val="00CD156A"/>
    <w:rsid w:val="00CD2022"/>
    <w:rsid w:val="00CD265F"/>
    <w:rsid w:val="00CD2B35"/>
    <w:rsid w:val="00CD2ED7"/>
    <w:rsid w:val="00CD377B"/>
    <w:rsid w:val="00CD4095"/>
    <w:rsid w:val="00CD4308"/>
    <w:rsid w:val="00CD47BA"/>
    <w:rsid w:val="00CD4C9C"/>
    <w:rsid w:val="00CD4CDC"/>
    <w:rsid w:val="00CD61A6"/>
    <w:rsid w:val="00CD71A5"/>
    <w:rsid w:val="00CD7735"/>
    <w:rsid w:val="00CE026B"/>
    <w:rsid w:val="00CE0A73"/>
    <w:rsid w:val="00CE138C"/>
    <w:rsid w:val="00CE1B51"/>
    <w:rsid w:val="00CE1EBB"/>
    <w:rsid w:val="00CE2719"/>
    <w:rsid w:val="00CE2DB3"/>
    <w:rsid w:val="00CE317B"/>
    <w:rsid w:val="00CE3469"/>
    <w:rsid w:val="00CE4137"/>
    <w:rsid w:val="00CE4459"/>
    <w:rsid w:val="00CE4EF8"/>
    <w:rsid w:val="00CE4FD4"/>
    <w:rsid w:val="00CE52E2"/>
    <w:rsid w:val="00CE58BF"/>
    <w:rsid w:val="00CE597E"/>
    <w:rsid w:val="00CE5BB7"/>
    <w:rsid w:val="00CE6213"/>
    <w:rsid w:val="00CE6236"/>
    <w:rsid w:val="00CE665D"/>
    <w:rsid w:val="00CE6E2A"/>
    <w:rsid w:val="00CE78D7"/>
    <w:rsid w:val="00CF04E8"/>
    <w:rsid w:val="00CF0BAC"/>
    <w:rsid w:val="00CF1403"/>
    <w:rsid w:val="00CF1906"/>
    <w:rsid w:val="00CF26F9"/>
    <w:rsid w:val="00CF2E3C"/>
    <w:rsid w:val="00CF3ADB"/>
    <w:rsid w:val="00CF3CBC"/>
    <w:rsid w:val="00CF4325"/>
    <w:rsid w:val="00CF4BFE"/>
    <w:rsid w:val="00CF4C27"/>
    <w:rsid w:val="00CF5A31"/>
    <w:rsid w:val="00CF6428"/>
    <w:rsid w:val="00CF69B7"/>
    <w:rsid w:val="00CF7D01"/>
    <w:rsid w:val="00D00274"/>
    <w:rsid w:val="00D003A1"/>
    <w:rsid w:val="00D00695"/>
    <w:rsid w:val="00D013C4"/>
    <w:rsid w:val="00D017D1"/>
    <w:rsid w:val="00D01F14"/>
    <w:rsid w:val="00D02676"/>
    <w:rsid w:val="00D026DD"/>
    <w:rsid w:val="00D0291E"/>
    <w:rsid w:val="00D033E6"/>
    <w:rsid w:val="00D03AC7"/>
    <w:rsid w:val="00D03DFA"/>
    <w:rsid w:val="00D04216"/>
    <w:rsid w:val="00D0434C"/>
    <w:rsid w:val="00D04CE0"/>
    <w:rsid w:val="00D05EF2"/>
    <w:rsid w:val="00D061F9"/>
    <w:rsid w:val="00D06BAA"/>
    <w:rsid w:val="00D06FB9"/>
    <w:rsid w:val="00D07077"/>
    <w:rsid w:val="00D0730E"/>
    <w:rsid w:val="00D07740"/>
    <w:rsid w:val="00D079F5"/>
    <w:rsid w:val="00D1024D"/>
    <w:rsid w:val="00D10389"/>
    <w:rsid w:val="00D108C6"/>
    <w:rsid w:val="00D112F8"/>
    <w:rsid w:val="00D115DF"/>
    <w:rsid w:val="00D11B25"/>
    <w:rsid w:val="00D11BFC"/>
    <w:rsid w:val="00D11DAE"/>
    <w:rsid w:val="00D1207A"/>
    <w:rsid w:val="00D12AB6"/>
    <w:rsid w:val="00D12EB0"/>
    <w:rsid w:val="00D13494"/>
    <w:rsid w:val="00D134C5"/>
    <w:rsid w:val="00D13A32"/>
    <w:rsid w:val="00D13BA2"/>
    <w:rsid w:val="00D13D1D"/>
    <w:rsid w:val="00D14C05"/>
    <w:rsid w:val="00D15B6D"/>
    <w:rsid w:val="00D15E10"/>
    <w:rsid w:val="00D15F0A"/>
    <w:rsid w:val="00D167F7"/>
    <w:rsid w:val="00D1684B"/>
    <w:rsid w:val="00D1725B"/>
    <w:rsid w:val="00D179AA"/>
    <w:rsid w:val="00D179AE"/>
    <w:rsid w:val="00D17C27"/>
    <w:rsid w:val="00D17DB0"/>
    <w:rsid w:val="00D20058"/>
    <w:rsid w:val="00D20DA1"/>
    <w:rsid w:val="00D212DB"/>
    <w:rsid w:val="00D21C7E"/>
    <w:rsid w:val="00D22108"/>
    <w:rsid w:val="00D24DB3"/>
    <w:rsid w:val="00D24F46"/>
    <w:rsid w:val="00D25650"/>
    <w:rsid w:val="00D256A7"/>
    <w:rsid w:val="00D25A48"/>
    <w:rsid w:val="00D25C5E"/>
    <w:rsid w:val="00D25DD6"/>
    <w:rsid w:val="00D25F54"/>
    <w:rsid w:val="00D2719B"/>
    <w:rsid w:val="00D2740C"/>
    <w:rsid w:val="00D31081"/>
    <w:rsid w:val="00D313A4"/>
    <w:rsid w:val="00D34F6A"/>
    <w:rsid w:val="00D34FAF"/>
    <w:rsid w:val="00D351B1"/>
    <w:rsid w:val="00D35609"/>
    <w:rsid w:val="00D3593B"/>
    <w:rsid w:val="00D359F3"/>
    <w:rsid w:val="00D3621C"/>
    <w:rsid w:val="00D364C9"/>
    <w:rsid w:val="00D36551"/>
    <w:rsid w:val="00D371AF"/>
    <w:rsid w:val="00D372B0"/>
    <w:rsid w:val="00D3785A"/>
    <w:rsid w:val="00D4068A"/>
    <w:rsid w:val="00D40750"/>
    <w:rsid w:val="00D40F1A"/>
    <w:rsid w:val="00D41FC1"/>
    <w:rsid w:val="00D42255"/>
    <w:rsid w:val="00D4275E"/>
    <w:rsid w:val="00D42DD4"/>
    <w:rsid w:val="00D43945"/>
    <w:rsid w:val="00D43EEC"/>
    <w:rsid w:val="00D441C2"/>
    <w:rsid w:val="00D443D4"/>
    <w:rsid w:val="00D44588"/>
    <w:rsid w:val="00D44749"/>
    <w:rsid w:val="00D449EC"/>
    <w:rsid w:val="00D450AA"/>
    <w:rsid w:val="00D45203"/>
    <w:rsid w:val="00D45587"/>
    <w:rsid w:val="00D45919"/>
    <w:rsid w:val="00D470A8"/>
    <w:rsid w:val="00D5004A"/>
    <w:rsid w:val="00D50071"/>
    <w:rsid w:val="00D50A3B"/>
    <w:rsid w:val="00D50CFF"/>
    <w:rsid w:val="00D5105C"/>
    <w:rsid w:val="00D510B2"/>
    <w:rsid w:val="00D51C11"/>
    <w:rsid w:val="00D5287B"/>
    <w:rsid w:val="00D53313"/>
    <w:rsid w:val="00D53603"/>
    <w:rsid w:val="00D53D8C"/>
    <w:rsid w:val="00D541C1"/>
    <w:rsid w:val="00D542C6"/>
    <w:rsid w:val="00D544DA"/>
    <w:rsid w:val="00D5472B"/>
    <w:rsid w:val="00D552A4"/>
    <w:rsid w:val="00D5577A"/>
    <w:rsid w:val="00D56D5A"/>
    <w:rsid w:val="00D56EA3"/>
    <w:rsid w:val="00D57D5A"/>
    <w:rsid w:val="00D60527"/>
    <w:rsid w:val="00D60CFD"/>
    <w:rsid w:val="00D614B7"/>
    <w:rsid w:val="00D614FF"/>
    <w:rsid w:val="00D619BC"/>
    <w:rsid w:val="00D6209E"/>
    <w:rsid w:val="00D622BF"/>
    <w:rsid w:val="00D62B59"/>
    <w:rsid w:val="00D62ED1"/>
    <w:rsid w:val="00D632BA"/>
    <w:rsid w:val="00D64597"/>
    <w:rsid w:val="00D6463C"/>
    <w:rsid w:val="00D652AF"/>
    <w:rsid w:val="00D656F0"/>
    <w:rsid w:val="00D65913"/>
    <w:rsid w:val="00D66B1E"/>
    <w:rsid w:val="00D66EE7"/>
    <w:rsid w:val="00D67219"/>
    <w:rsid w:val="00D67C16"/>
    <w:rsid w:val="00D70580"/>
    <w:rsid w:val="00D70810"/>
    <w:rsid w:val="00D708C6"/>
    <w:rsid w:val="00D7104B"/>
    <w:rsid w:val="00D7170A"/>
    <w:rsid w:val="00D71A02"/>
    <w:rsid w:val="00D71D22"/>
    <w:rsid w:val="00D71FF6"/>
    <w:rsid w:val="00D72A82"/>
    <w:rsid w:val="00D72D4B"/>
    <w:rsid w:val="00D7316E"/>
    <w:rsid w:val="00D74127"/>
    <w:rsid w:val="00D74AF1"/>
    <w:rsid w:val="00D753DF"/>
    <w:rsid w:val="00D754DC"/>
    <w:rsid w:val="00D75C44"/>
    <w:rsid w:val="00D75D57"/>
    <w:rsid w:val="00D76623"/>
    <w:rsid w:val="00D76C20"/>
    <w:rsid w:val="00D772C6"/>
    <w:rsid w:val="00D80656"/>
    <w:rsid w:val="00D8074D"/>
    <w:rsid w:val="00D8151F"/>
    <w:rsid w:val="00D817F3"/>
    <w:rsid w:val="00D81C63"/>
    <w:rsid w:val="00D81DC5"/>
    <w:rsid w:val="00D8224C"/>
    <w:rsid w:val="00D822C8"/>
    <w:rsid w:val="00D82805"/>
    <w:rsid w:val="00D82BC7"/>
    <w:rsid w:val="00D83017"/>
    <w:rsid w:val="00D83505"/>
    <w:rsid w:val="00D8370B"/>
    <w:rsid w:val="00D84298"/>
    <w:rsid w:val="00D84816"/>
    <w:rsid w:val="00D852F2"/>
    <w:rsid w:val="00D85666"/>
    <w:rsid w:val="00D86996"/>
    <w:rsid w:val="00D86A96"/>
    <w:rsid w:val="00D86E21"/>
    <w:rsid w:val="00D8713D"/>
    <w:rsid w:val="00D87DD4"/>
    <w:rsid w:val="00D90AE5"/>
    <w:rsid w:val="00D912A8"/>
    <w:rsid w:val="00D923E7"/>
    <w:rsid w:val="00D92E1F"/>
    <w:rsid w:val="00D92FC5"/>
    <w:rsid w:val="00D95DA2"/>
    <w:rsid w:val="00D95FC6"/>
    <w:rsid w:val="00D9604D"/>
    <w:rsid w:val="00D96E4F"/>
    <w:rsid w:val="00D97938"/>
    <w:rsid w:val="00D97F16"/>
    <w:rsid w:val="00DA007C"/>
    <w:rsid w:val="00DA00D0"/>
    <w:rsid w:val="00DA0A71"/>
    <w:rsid w:val="00DA10BC"/>
    <w:rsid w:val="00DA14F3"/>
    <w:rsid w:val="00DA1AEA"/>
    <w:rsid w:val="00DA1F4F"/>
    <w:rsid w:val="00DA1FD7"/>
    <w:rsid w:val="00DA24AB"/>
    <w:rsid w:val="00DA2AFB"/>
    <w:rsid w:val="00DA332E"/>
    <w:rsid w:val="00DA3774"/>
    <w:rsid w:val="00DA39E6"/>
    <w:rsid w:val="00DA4A7F"/>
    <w:rsid w:val="00DA55E9"/>
    <w:rsid w:val="00DA5BA0"/>
    <w:rsid w:val="00DA5C6C"/>
    <w:rsid w:val="00DA61AC"/>
    <w:rsid w:val="00DA66B7"/>
    <w:rsid w:val="00DA7B87"/>
    <w:rsid w:val="00DB0049"/>
    <w:rsid w:val="00DB0A23"/>
    <w:rsid w:val="00DB1435"/>
    <w:rsid w:val="00DB153A"/>
    <w:rsid w:val="00DB176B"/>
    <w:rsid w:val="00DB1B12"/>
    <w:rsid w:val="00DB1DF4"/>
    <w:rsid w:val="00DB37F6"/>
    <w:rsid w:val="00DB3F7F"/>
    <w:rsid w:val="00DB45C0"/>
    <w:rsid w:val="00DB4A92"/>
    <w:rsid w:val="00DB5344"/>
    <w:rsid w:val="00DB607B"/>
    <w:rsid w:val="00DB641D"/>
    <w:rsid w:val="00DB6495"/>
    <w:rsid w:val="00DB650A"/>
    <w:rsid w:val="00DB6A4E"/>
    <w:rsid w:val="00DB7230"/>
    <w:rsid w:val="00DB7664"/>
    <w:rsid w:val="00DB771C"/>
    <w:rsid w:val="00DB7CB3"/>
    <w:rsid w:val="00DB7EDC"/>
    <w:rsid w:val="00DC05D7"/>
    <w:rsid w:val="00DC0D78"/>
    <w:rsid w:val="00DC1715"/>
    <w:rsid w:val="00DC1E98"/>
    <w:rsid w:val="00DC2CE1"/>
    <w:rsid w:val="00DC35D7"/>
    <w:rsid w:val="00DC381B"/>
    <w:rsid w:val="00DC3E97"/>
    <w:rsid w:val="00DC5367"/>
    <w:rsid w:val="00DC6983"/>
    <w:rsid w:val="00DC6BF9"/>
    <w:rsid w:val="00DC6D54"/>
    <w:rsid w:val="00DC748B"/>
    <w:rsid w:val="00DD26FD"/>
    <w:rsid w:val="00DD2CC2"/>
    <w:rsid w:val="00DD30C8"/>
    <w:rsid w:val="00DD4C0B"/>
    <w:rsid w:val="00DD672C"/>
    <w:rsid w:val="00DD7765"/>
    <w:rsid w:val="00DD7CA1"/>
    <w:rsid w:val="00DE06A5"/>
    <w:rsid w:val="00DE0A07"/>
    <w:rsid w:val="00DE1A22"/>
    <w:rsid w:val="00DE1B95"/>
    <w:rsid w:val="00DE1D22"/>
    <w:rsid w:val="00DE1EB5"/>
    <w:rsid w:val="00DE2DED"/>
    <w:rsid w:val="00DE2E84"/>
    <w:rsid w:val="00DE34DA"/>
    <w:rsid w:val="00DE43D8"/>
    <w:rsid w:val="00DE4742"/>
    <w:rsid w:val="00DE4B6E"/>
    <w:rsid w:val="00DE50E1"/>
    <w:rsid w:val="00DE522B"/>
    <w:rsid w:val="00DE5517"/>
    <w:rsid w:val="00DE5669"/>
    <w:rsid w:val="00DE57CE"/>
    <w:rsid w:val="00DE57E5"/>
    <w:rsid w:val="00DE59A3"/>
    <w:rsid w:val="00DE5CE7"/>
    <w:rsid w:val="00DE6258"/>
    <w:rsid w:val="00DE6417"/>
    <w:rsid w:val="00DE6C5E"/>
    <w:rsid w:val="00DE7B82"/>
    <w:rsid w:val="00DF0297"/>
    <w:rsid w:val="00DF02E2"/>
    <w:rsid w:val="00DF0CBA"/>
    <w:rsid w:val="00DF0CD5"/>
    <w:rsid w:val="00DF107D"/>
    <w:rsid w:val="00DF1423"/>
    <w:rsid w:val="00DF21C0"/>
    <w:rsid w:val="00DF25D6"/>
    <w:rsid w:val="00DF3386"/>
    <w:rsid w:val="00DF3CC2"/>
    <w:rsid w:val="00DF4161"/>
    <w:rsid w:val="00DF50DC"/>
    <w:rsid w:val="00DF650D"/>
    <w:rsid w:val="00DF65DC"/>
    <w:rsid w:val="00DF6B52"/>
    <w:rsid w:val="00DF7990"/>
    <w:rsid w:val="00DF7B2B"/>
    <w:rsid w:val="00E00261"/>
    <w:rsid w:val="00E00E99"/>
    <w:rsid w:val="00E01090"/>
    <w:rsid w:val="00E019B5"/>
    <w:rsid w:val="00E0212F"/>
    <w:rsid w:val="00E02187"/>
    <w:rsid w:val="00E02D46"/>
    <w:rsid w:val="00E0326E"/>
    <w:rsid w:val="00E03687"/>
    <w:rsid w:val="00E03AA4"/>
    <w:rsid w:val="00E03E04"/>
    <w:rsid w:val="00E03E7C"/>
    <w:rsid w:val="00E03F75"/>
    <w:rsid w:val="00E04413"/>
    <w:rsid w:val="00E04BDD"/>
    <w:rsid w:val="00E056BC"/>
    <w:rsid w:val="00E0570B"/>
    <w:rsid w:val="00E0594D"/>
    <w:rsid w:val="00E0732F"/>
    <w:rsid w:val="00E07413"/>
    <w:rsid w:val="00E07510"/>
    <w:rsid w:val="00E07520"/>
    <w:rsid w:val="00E10029"/>
    <w:rsid w:val="00E101D6"/>
    <w:rsid w:val="00E11F73"/>
    <w:rsid w:val="00E12BD2"/>
    <w:rsid w:val="00E136B7"/>
    <w:rsid w:val="00E1374F"/>
    <w:rsid w:val="00E13E82"/>
    <w:rsid w:val="00E14682"/>
    <w:rsid w:val="00E14ADB"/>
    <w:rsid w:val="00E15D75"/>
    <w:rsid w:val="00E16167"/>
    <w:rsid w:val="00E17CF8"/>
    <w:rsid w:val="00E2048F"/>
    <w:rsid w:val="00E20494"/>
    <w:rsid w:val="00E20693"/>
    <w:rsid w:val="00E212EC"/>
    <w:rsid w:val="00E21460"/>
    <w:rsid w:val="00E21761"/>
    <w:rsid w:val="00E22008"/>
    <w:rsid w:val="00E22449"/>
    <w:rsid w:val="00E224D6"/>
    <w:rsid w:val="00E22A07"/>
    <w:rsid w:val="00E22F45"/>
    <w:rsid w:val="00E231EE"/>
    <w:rsid w:val="00E24939"/>
    <w:rsid w:val="00E24B44"/>
    <w:rsid w:val="00E2505A"/>
    <w:rsid w:val="00E27AA3"/>
    <w:rsid w:val="00E27D5A"/>
    <w:rsid w:val="00E3046F"/>
    <w:rsid w:val="00E307DA"/>
    <w:rsid w:val="00E30A73"/>
    <w:rsid w:val="00E30C83"/>
    <w:rsid w:val="00E311CF"/>
    <w:rsid w:val="00E317CC"/>
    <w:rsid w:val="00E3188C"/>
    <w:rsid w:val="00E31B86"/>
    <w:rsid w:val="00E31ED7"/>
    <w:rsid w:val="00E33234"/>
    <w:rsid w:val="00E34E00"/>
    <w:rsid w:val="00E34FF5"/>
    <w:rsid w:val="00E351FE"/>
    <w:rsid w:val="00E35BB3"/>
    <w:rsid w:val="00E35C5A"/>
    <w:rsid w:val="00E35E31"/>
    <w:rsid w:val="00E36025"/>
    <w:rsid w:val="00E36494"/>
    <w:rsid w:val="00E36A44"/>
    <w:rsid w:val="00E36D9F"/>
    <w:rsid w:val="00E3723B"/>
    <w:rsid w:val="00E375FC"/>
    <w:rsid w:val="00E37CBF"/>
    <w:rsid w:val="00E40527"/>
    <w:rsid w:val="00E40BD9"/>
    <w:rsid w:val="00E4173A"/>
    <w:rsid w:val="00E41A38"/>
    <w:rsid w:val="00E41C82"/>
    <w:rsid w:val="00E421BD"/>
    <w:rsid w:val="00E42211"/>
    <w:rsid w:val="00E42487"/>
    <w:rsid w:val="00E427CB"/>
    <w:rsid w:val="00E4292A"/>
    <w:rsid w:val="00E431C9"/>
    <w:rsid w:val="00E432E6"/>
    <w:rsid w:val="00E433BE"/>
    <w:rsid w:val="00E434B7"/>
    <w:rsid w:val="00E43523"/>
    <w:rsid w:val="00E439FA"/>
    <w:rsid w:val="00E44732"/>
    <w:rsid w:val="00E44788"/>
    <w:rsid w:val="00E4487E"/>
    <w:rsid w:val="00E44D20"/>
    <w:rsid w:val="00E450CC"/>
    <w:rsid w:val="00E456C2"/>
    <w:rsid w:val="00E45A01"/>
    <w:rsid w:val="00E45B40"/>
    <w:rsid w:val="00E45C88"/>
    <w:rsid w:val="00E467E2"/>
    <w:rsid w:val="00E469C2"/>
    <w:rsid w:val="00E46BE0"/>
    <w:rsid w:val="00E46FDA"/>
    <w:rsid w:val="00E5001E"/>
    <w:rsid w:val="00E50D08"/>
    <w:rsid w:val="00E50F0E"/>
    <w:rsid w:val="00E5210D"/>
    <w:rsid w:val="00E52195"/>
    <w:rsid w:val="00E53357"/>
    <w:rsid w:val="00E53636"/>
    <w:rsid w:val="00E53FB7"/>
    <w:rsid w:val="00E53FC3"/>
    <w:rsid w:val="00E542FE"/>
    <w:rsid w:val="00E548C7"/>
    <w:rsid w:val="00E5596D"/>
    <w:rsid w:val="00E5796D"/>
    <w:rsid w:val="00E57A46"/>
    <w:rsid w:val="00E6002B"/>
    <w:rsid w:val="00E60252"/>
    <w:rsid w:val="00E60C53"/>
    <w:rsid w:val="00E613DF"/>
    <w:rsid w:val="00E6164F"/>
    <w:rsid w:val="00E6203E"/>
    <w:rsid w:val="00E62E48"/>
    <w:rsid w:val="00E648FB"/>
    <w:rsid w:val="00E64A54"/>
    <w:rsid w:val="00E64B19"/>
    <w:rsid w:val="00E64BB8"/>
    <w:rsid w:val="00E64EFD"/>
    <w:rsid w:val="00E66431"/>
    <w:rsid w:val="00E6647D"/>
    <w:rsid w:val="00E66563"/>
    <w:rsid w:val="00E66869"/>
    <w:rsid w:val="00E675C6"/>
    <w:rsid w:val="00E67E07"/>
    <w:rsid w:val="00E7043D"/>
    <w:rsid w:val="00E70D64"/>
    <w:rsid w:val="00E729DA"/>
    <w:rsid w:val="00E72DC2"/>
    <w:rsid w:val="00E73AD8"/>
    <w:rsid w:val="00E73BF4"/>
    <w:rsid w:val="00E742D1"/>
    <w:rsid w:val="00E748DF"/>
    <w:rsid w:val="00E749FB"/>
    <w:rsid w:val="00E74CBD"/>
    <w:rsid w:val="00E7559D"/>
    <w:rsid w:val="00E75704"/>
    <w:rsid w:val="00E75E3E"/>
    <w:rsid w:val="00E75E55"/>
    <w:rsid w:val="00E76022"/>
    <w:rsid w:val="00E77215"/>
    <w:rsid w:val="00E779D3"/>
    <w:rsid w:val="00E77EA1"/>
    <w:rsid w:val="00E77F9B"/>
    <w:rsid w:val="00E80B49"/>
    <w:rsid w:val="00E80F04"/>
    <w:rsid w:val="00E8161F"/>
    <w:rsid w:val="00E8167D"/>
    <w:rsid w:val="00E81D0E"/>
    <w:rsid w:val="00E81E53"/>
    <w:rsid w:val="00E8261B"/>
    <w:rsid w:val="00E82D5A"/>
    <w:rsid w:val="00E83078"/>
    <w:rsid w:val="00E83AAB"/>
    <w:rsid w:val="00E84B3B"/>
    <w:rsid w:val="00E84C57"/>
    <w:rsid w:val="00E84C74"/>
    <w:rsid w:val="00E84CEB"/>
    <w:rsid w:val="00E84D69"/>
    <w:rsid w:val="00E84E79"/>
    <w:rsid w:val="00E850CE"/>
    <w:rsid w:val="00E8611C"/>
    <w:rsid w:val="00E8684F"/>
    <w:rsid w:val="00E869D9"/>
    <w:rsid w:val="00E86D8B"/>
    <w:rsid w:val="00E87C8D"/>
    <w:rsid w:val="00E908E9"/>
    <w:rsid w:val="00E91702"/>
    <w:rsid w:val="00E9183A"/>
    <w:rsid w:val="00E932E1"/>
    <w:rsid w:val="00E9339C"/>
    <w:rsid w:val="00E93E9D"/>
    <w:rsid w:val="00E9440B"/>
    <w:rsid w:val="00E947AC"/>
    <w:rsid w:val="00E94B9E"/>
    <w:rsid w:val="00E9567A"/>
    <w:rsid w:val="00E96247"/>
    <w:rsid w:val="00E965E9"/>
    <w:rsid w:val="00E96E1F"/>
    <w:rsid w:val="00E97D94"/>
    <w:rsid w:val="00EA0197"/>
    <w:rsid w:val="00EA0428"/>
    <w:rsid w:val="00EA0E5F"/>
    <w:rsid w:val="00EA190D"/>
    <w:rsid w:val="00EA1EFA"/>
    <w:rsid w:val="00EA2505"/>
    <w:rsid w:val="00EA3925"/>
    <w:rsid w:val="00EA3B3D"/>
    <w:rsid w:val="00EA50ED"/>
    <w:rsid w:val="00EA6298"/>
    <w:rsid w:val="00EA6D59"/>
    <w:rsid w:val="00EA6FC1"/>
    <w:rsid w:val="00EA7592"/>
    <w:rsid w:val="00EA7FE5"/>
    <w:rsid w:val="00EB00A0"/>
    <w:rsid w:val="00EB0189"/>
    <w:rsid w:val="00EB0492"/>
    <w:rsid w:val="00EB0894"/>
    <w:rsid w:val="00EB0E49"/>
    <w:rsid w:val="00EB12CC"/>
    <w:rsid w:val="00EB18DA"/>
    <w:rsid w:val="00EB3083"/>
    <w:rsid w:val="00EB3253"/>
    <w:rsid w:val="00EB3815"/>
    <w:rsid w:val="00EB40B1"/>
    <w:rsid w:val="00EB57F5"/>
    <w:rsid w:val="00EB59E9"/>
    <w:rsid w:val="00EB69BF"/>
    <w:rsid w:val="00EB6B43"/>
    <w:rsid w:val="00EB7524"/>
    <w:rsid w:val="00EB79A6"/>
    <w:rsid w:val="00EB7A9F"/>
    <w:rsid w:val="00EC2339"/>
    <w:rsid w:val="00EC2BAE"/>
    <w:rsid w:val="00EC2C3C"/>
    <w:rsid w:val="00EC30E0"/>
    <w:rsid w:val="00EC4029"/>
    <w:rsid w:val="00EC40A5"/>
    <w:rsid w:val="00EC5BF3"/>
    <w:rsid w:val="00EC5DE5"/>
    <w:rsid w:val="00EC6FB2"/>
    <w:rsid w:val="00EC7166"/>
    <w:rsid w:val="00EC723E"/>
    <w:rsid w:val="00EC7270"/>
    <w:rsid w:val="00EC7662"/>
    <w:rsid w:val="00EC7AEC"/>
    <w:rsid w:val="00EC7E0A"/>
    <w:rsid w:val="00ED03CA"/>
    <w:rsid w:val="00ED0B9B"/>
    <w:rsid w:val="00ED12EE"/>
    <w:rsid w:val="00ED139C"/>
    <w:rsid w:val="00ED1424"/>
    <w:rsid w:val="00ED219A"/>
    <w:rsid w:val="00ED272E"/>
    <w:rsid w:val="00ED279A"/>
    <w:rsid w:val="00ED3A55"/>
    <w:rsid w:val="00ED41DE"/>
    <w:rsid w:val="00ED4382"/>
    <w:rsid w:val="00ED50EE"/>
    <w:rsid w:val="00ED642A"/>
    <w:rsid w:val="00ED7349"/>
    <w:rsid w:val="00ED73ED"/>
    <w:rsid w:val="00EE02D8"/>
    <w:rsid w:val="00EE09D2"/>
    <w:rsid w:val="00EE112E"/>
    <w:rsid w:val="00EE1962"/>
    <w:rsid w:val="00EE1A99"/>
    <w:rsid w:val="00EE20DA"/>
    <w:rsid w:val="00EE33B7"/>
    <w:rsid w:val="00EE4F07"/>
    <w:rsid w:val="00EE60AF"/>
    <w:rsid w:val="00EE6414"/>
    <w:rsid w:val="00EE6B29"/>
    <w:rsid w:val="00EE7AA4"/>
    <w:rsid w:val="00EF0139"/>
    <w:rsid w:val="00EF02D7"/>
    <w:rsid w:val="00EF0BD7"/>
    <w:rsid w:val="00EF10AA"/>
    <w:rsid w:val="00EF1980"/>
    <w:rsid w:val="00EF1A19"/>
    <w:rsid w:val="00EF1AAA"/>
    <w:rsid w:val="00EF1E5A"/>
    <w:rsid w:val="00EF20D8"/>
    <w:rsid w:val="00EF2298"/>
    <w:rsid w:val="00EF291E"/>
    <w:rsid w:val="00EF2EE3"/>
    <w:rsid w:val="00EF3196"/>
    <w:rsid w:val="00EF39D9"/>
    <w:rsid w:val="00EF3B1E"/>
    <w:rsid w:val="00EF3F03"/>
    <w:rsid w:val="00EF489F"/>
    <w:rsid w:val="00EF49A1"/>
    <w:rsid w:val="00EF4CAF"/>
    <w:rsid w:val="00EF64D2"/>
    <w:rsid w:val="00EF6C87"/>
    <w:rsid w:val="00EF796C"/>
    <w:rsid w:val="00F00D77"/>
    <w:rsid w:val="00F01665"/>
    <w:rsid w:val="00F019DF"/>
    <w:rsid w:val="00F02A26"/>
    <w:rsid w:val="00F031E6"/>
    <w:rsid w:val="00F03234"/>
    <w:rsid w:val="00F03C64"/>
    <w:rsid w:val="00F04412"/>
    <w:rsid w:val="00F05275"/>
    <w:rsid w:val="00F055F6"/>
    <w:rsid w:val="00F05684"/>
    <w:rsid w:val="00F056A6"/>
    <w:rsid w:val="00F06473"/>
    <w:rsid w:val="00F11289"/>
    <w:rsid w:val="00F11371"/>
    <w:rsid w:val="00F113A9"/>
    <w:rsid w:val="00F11996"/>
    <w:rsid w:val="00F12CC4"/>
    <w:rsid w:val="00F13095"/>
    <w:rsid w:val="00F13DD4"/>
    <w:rsid w:val="00F147F1"/>
    <w:rsid w:val="00F14DBA"/>
    <w:rsid w:val="00F1572D"/>
    <w:rsid w:val="00F15F0F"/>
    <w:rsid w:val="00F171CF"/>
    <w:rsid w:val="00F17732"/>
    <w:rsid w:val="00F17F5E"/>
    <w:rsid w:val="00F208EF"/>
    <w:rsid w:val="00F20A37"/>
    <w:rsid w:val="00F2241A"/>
    <w:rsid w:val="00F224FB"/>
    <w:rsid w:val="00F22998"/>
    <w:rsid w:val="00F22D7B"/>
    <w:rsid w:val="00F22ED7"/>
    <w:rsid w:val="00F23362"/>
    <w:rsid w:val="00F234C8"/>
    <w:rsid w:val="00F234F5"/>
    <w:rsid w:val="00F23D33"/>
    <w:rsid w:val="00F2506B"/>
    <w:rsid w:val="00F25A37"/>
    <w:rsid w:val="00F25CB4"/>
    <w:rsid w:val="00F25CDE"/>
    <w:rsid w:val="00F26E49"/>
    <w:rsid w:val="00F26F13"/>
    <w:rsid w:val="00F314EB"/>
    <w:rsid w:val="00F31DA3"/>
    <w:rsid w:val="00F31EDC"/>
    <w:rsid w:val="00F31F58"/>
    <w:rsid w:val="00F32022"/>
    <w:rsid w:val="00F32559"/>
    <w:rsid w:val="00F327E6"/>
    <w:rsid w:val="00F32A26"/>
    <w:rsid w:val="00F32D22"/>
    <w:rsid w:val="00F335D7"/>
    <w:rsid w:val="00F33A69"/>
    <w:rsid w:val="00F34463"/>
    <w:rsid w:val="00F353B2"/>
    <w:rsid w:val="00F356F4"/>
    <w:rsid w:val="00F35857"/>
    <w:rsid w:val="00F35B65"/>
    <w:rsid w:val="00F36088"/>
    <w:rsid w:val="00F36725"/>
    <w:rsid w:val="00F36BF4"/>
    <w:rsid w:val="00F37051"/>
    <w:rsid w:val="00F401A6"/>
    <w:rsid w:val="00F4037E"/>
    <w:rsid w:val="00F42320"/>
    <w:rsid w:val="00F4262C"/>
    <w:rsid w:val="00F428B9"/>
    <w:rsid w:val="00F42938"/>
    <w:rsid w:val="00F42ECA"/>
    <w:rsid w:val="00F42F72"/>
    <w:rsid w:val="00F4322F"/>
    <w:rsid w:val="00F43CFC"/>
    <w:rsid w:val="00F4417D"/>
    <w:rsid w:val="00F44A50"/>
    <w:rsid w:val="00F45273"/>
    <w:rsid w:val="00F452D0"/>
    <w:rsid w:val="00F45828"/>
    <w:rsid w:val="00F458A9"/>
    <w:rsid w:val="00F458D7"/>
    <w:rsid w:val="00F45CB0"/>
    <w:rsid w:val="00F45E83"/>
    <w:rsid w:val="00F46332"/>
    <w:rsid w:val="00F46B1E"/>
    <w:rsid w:val="00F47034"/>
    <w:rsid w:val="00F4711F"/>
    <w:rsid w:val="00F4715F"/>
    <w:rsid w:val="00F5033A"/>
    <w:rsid w:val="00F50539"/>
    <w:rsid w:val="00F50C4F"/>
    <w:rsid w:val="00F5182D"/>
    <w:rsid w:val="00F518A3"/>
    <w:rsid w:val="00F51FF9"/>
    <w:rsid w:val="00F539C6"/>
    <w:rsid w:val="00F53A02"/>
    <w:rsid w:val="00F53AD9"/>
    <w:rsid w:val="00F53B9E"/>
    <w:rsid w:val="00F53E0E"/>
    <w:rsid w:val="00F546D1"/>
    <w:rsid w:val="00F546EE"/>
    <w:rsid w:val="00F54FC0"/>
    <w:rsid w:val="00F55516"/>
    <w:rsid w:val="00F55796"/>
    <w:rsid w:val="00F5771F"/>
    <w:rsid w:val="00F579D6"/>
    <w:rsid w:val="00F57A0B"/>
    <w:rsid w:val="00F57A42"/>
    <w:rsid w:val="00F57DDB"/>
    <w:rsid w:val="00F60A13"/>
    <w:rsid w:val="00F612C9"/>
    <w:rsid w:val="00F61DB0"/>
    <w:rsid w:val="00F62627"/>
    <w:rsid w:val="00F6282F"/>
    <w:rsid w:val="00F62D8C"/>
    <w:rsid w:val="00F63085"/>
    <w:rsid w:val="00F631DB"/>
    <w:rsid w:val="00F636C0"/>
    <w:rsid w:val="00F638C8"/>
    <w:rsid w:val="00F63D7A"/>
    <w:rsid w:val="00F64111"/>
    <w:rsid w:val="00F644B2"/>
    <w:rsid w:val="00F645C9"/>
    <w:rsid w:val="00F64D2D"/>
    <w:rsid w:val="00F64F1D"/>
    <w:rsid w:val="00F651A3"/>
    <w:rsid w:val="00F65A0F"/>
    <w:rsid w:val="00F65EB2"/>
    <w:rsid w:val="00F660DB"/>
    <w:rsid w:val="00F66126"/>
    <w:rsid w:val="00F664D5"/>
    <w:rsid w:val="00F676B3"/>
    <w:rsid w:val="00F67854"/>
    <w:rsid w:val="00F67F86"/>
    <w:rsid w:val="00F67FAC"/>
    <w:rsid w:val="00F7067D"/>
    <w:rsid w:val="00F708D5"/>
    <w:rsid w:val="00F70F43"/>
    <w:rsid w:val="00F71247"/>
    <w:rsid w:val="00F71D9D"/>
    <w:rsid w:val="00F72243"/>
    <w:rsid w:val="00F72974"/>
    <w:rsid w:val="00F743AE"/>
    <w:rsid w:val="00F74EA5"/>
    <w:rsid w:val="00F74FE1"/>
    <w:rsid w:val="00F75225"/>
    <w:rsid w:val="00F75330"/>
    <w:rsid w:val="00F75EF4"/>
    <w:rsid w:val="00F76412"/>
    <w:rsid w:val="00F76864"/>
    <w:rsid w:val="00F76946"/>
    <w:rsid w:val="00F76DB8"/>
    <w:rsid w:val="00F80ED6"/>
    <w:rsid w:val="00F81000"/>
    <w:rsid w:val="00F8168F"/>
    <w:rsid w:val="00F8187B"/>
    <w:rsid w:val="00F81C59"/>
    <w:rsid w:val="00F823BE"/>
    <w:rsid w:val="00F82429"/>
    <w:rsid w:val="00F8303C"/>
    <w:rsid w:val="00F8380F"/>
    <w:rsid w:val="00F8492A"/>
    <w:rsid w:val="00F849A9"/>
    <w:rsid w:val="00F84C87"/>
    <w:rsid w:val="00F85568"/>
    <w:rsid w:val="00F87A7F"/>
    <w:rsid w:val="00F87B7C"/>
    <w:rsid w:val="00F90647"/>
    <w:rsid w:val="00F908C0"/>
    <w:rsid w:val="00F908F4"/>
    <w:rsid w:val="00F91CE8"/>
    <w:rsid w:val="00F929D5"/>
    <w:rsid w:val="00F933A3"/>
    <w:rsid w:val="00F9344D"/>
    <w:rsid w:val="00F93DC5"/>
    <w:rsid w:val="00F941DE"/>
    <w:rsid w:val="00F94308"/>
    <w:rsid w:val="00F94CC9"/>
    <w:rsid w:val="00F950AE"/>
    <w:rsid w:val="00F957AB"/>
    <w:rsid w:val="00F95EA2"/>
    <w:rsid w:val="00F96084"/>
    <w:rsid w:val="00F965E0"/>
    <w:rsid w:val="00F9713A"/>
    <w:rsid w:val="00F972D8"/>
    <w:rsid w:val="00F977EF"/>
    <w:rsid w:val="00FA13E3"/>
    <w:rsid w:val="00FA272F"/>
    <w:rsid w:val="00FA2FA8"/>
    <w:rsid w:val="00FA42CE"/>
    <w:rsid w:val="00FA4E81"/>
    <w:rsid w:val="00FA596B"/>
    <w:rsid w:val="00FB14B5"/>
    <w:rsid w:val="00FB14C3"/>
    <w:rsid w:val="00FB1818"/>
    <w:rsid w:val="00FB181B"/>
    <w:rsid w:val="00FB19F1"/>
    <w:rsid w:val="00FB2903"/>
    <w:rsid w:val="00FB2C73"/>
    <w:rsid w:val="00FB2C8E"/>
    <w:rsid w:val="00FB2CFB"/>
    <w:rsid w:val="00FB3782"/>
    <w:rsid w:val="00FB37D0"/>
    <w:rsid w:val="00FB3EB8"/>
    <w:rsid w:val="00FB3EC5"/>
    <w:rsid w:val="00FB3F78"/>
    <w:rsid w:val="00FB47F6"/>
    <w:rsid w:val="00FB4FCF"/>
    <w:rsid w:val="00FB5AFD"/>
    <w:rsid w:val="00FB6C30"/>
    <w:rsid w:val="00FB7F93"/>
    <w:rsid w:val="00FC0292"/>
    <w:rsid w:val="00FC056C"/>
    <w:rsid w:val="00FC096D"/>
    <w:rsid w:val="00FC0C91"/>
    <w:rsid w:val="00FC16A1"/>
    <w:rsid w:val="00FC295F"/>
    <w:rsid w:val="00FC3442"/>
    <w:rsid w:val="00FC3D20"/>
    <w:rsid w:val="00FC5F16"/>
    <w:rsid w:val="00FC6C56"/>
    <w:rsid w:val="00FC6E44"/>
    <w:rsid w:val="00FD0990"/>
    <w:rsid w:val="00FD40A8"/>
    <w:rsid w:val="00FD432B"/>
    <w:rsid w:val="00FD484C"/>
    <w:rsid w:val="00FD4A66"/>
    <w:rsid w:val="00FD4CFB"/>
    <w:rsid w:val="00FD509D"/>
    <w:rsid w:val="00FD5718"/>
    <w:rsid w:val="00FD5C47"/>
    <w:rsid w:val="00FD5C88"/>
    <w:rsid w:val="00FD628F"/>
    <w:rsid w:val="00FD6C2A"/>
    <w:rsid w:val="00FD7A62"/>
    <w:rsid w:val="00FE0847"/>
    <w:rsid w:val="00FE0B57"/>
    <w:rsid w:val="00FE0CA0"/>
    <w:rsid w:val="00FE10A0"/>
    <w:rsid w:val="00FE13F2"/>
    <w:rsid w:val="00FE1E0E"/>
    <w:rsid w:val="00FE2516"/>
    <w:rsid w:val="00FE2BC9"/>
    <w:rsid w:val="00FE2BF9"/>
    <w:rsid w:val="00FE399C"/>
    <w:rsid w:val="00FE40B4"/>
    <w:rsid w:val="00FE40F2"/>
    <w:rsid w:val="00FE477D"/>
    <w:rsid w:val="00FE4DA2"/>
    <w:rsid w:val="00FE50A1"/>
    <w:rsid w:val="00FE5388"/>
    <w:rsid w:val="00FE6840"/>
    <w:rsid w:val="00FE6F34"/>
    <w:rsid w:val="00FE6F51"/>
    <w:rsid w:val="00FE7061"/>
    <w:rsid w:val="00FE79A8"/>
    <w:rsid w:val="00FE7CAD"/>
    <w:rsid w:val="00FF0EB2"/>
    <w:rsid w:val="00FF108A"/>
    <w:rsid w:val="00FF1944"/>
    <w:rsid w:val="00FF1E33"/>
    <w:rsid w:val="00FF1E34"/>
    <w:rsid w:val="00FF21AE"/>
    <w:rsid w:val="00FF23B4"/>
    <w:rsid w:val="00FF2789"/>
    <w:rsid w:val="00FF28E9"/>
    <w:rsid w:val="00FF362D"/>
    <w:rsid w:val="00FF377E"/>
    <w:rsid w:val="00FF4201"/>
    <w:rsid w:val="00FF426B"/>
    <w:rsid w:val="00FF4784"/>
    <w:rsid w:val="00FF48D2"/>
    <w:rsid w:val="00FF5474"/>
    <w:rsid w:val="00FF5657"/>
    <w:rsid w:val="00FF5B00"/>
    <w:rsid w:val="00FF62BE"/>
    <w:rsid w:val="00FF663A"/>
    <w:rsid w:val="00FF6D61"/>
    <w:rsid w:val="00FF70AB"/>
    <w:rsid w:val="00FF71A6"/>
    <w:rsid w:val="00FF72B2"/>
    <w:rsid w:val="00FF743B"/>
    <w:rsid w:val="00FF7720"/>
    <w:rsid w:val="00FF7B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7839C6"/>
  <w15:chartTrackingRefBased/>
  <w15:docId w15:val="{BE637136-5FC6-4980-B7C2-FD5EB4219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FF1"/>
    <w:rPr>
      <w:sz w:val="28"/>
      <w:szCs w:val="22"/>
      <w:lang w:eastAsia="en-US"/>
    </w:rPr>
  </w:style>
  <w:style w:type="paragraph" w:styleId="Heading1">
    <w:name w:val="heading 1"/>
    <w:basedOn w:val="Normal"/>
    <w:next w:val="Normal"/>
    <w:link w:val="Heading1Char"/>
    <w:uiPriority w:val="9"/>
    <w:qFormat/>
    <w:rsid w:val="006F045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F045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BD52D8"/>
    <w:pPr>
      <w:keepNext/>
      <w:jc w:val="center"/>
      <w:outlineLvl w:val="2"/>
    </w:pPr>
    <w:rPr>
      <w:rFonts w:eastAsia="Times New Roman"/>
      <w:i/>
      <w:sz w:val="32"/>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D52D8"/>
    <w:rPr>
      <w:color w:val="0000FF"/>
      <w:u w:val="single"/>
    </w:rPr>
  </w:style>
  <w:style w:type="paragraph" w:customStyle="1" w:styleId="naisnod">
    <w:name w:val="naisnod"/>
    <w:basedOn w:val="Normal"/>
    <w:rsid w:val="00BD52D8"/>
    <w:pPr>
      <w:spacing w:before="100" w:beforeAutospacing="1" w:after="100" w:afterAutospacing="1"/>
    </w:pPr>
    <w:rPr>
      <w:rFonts w:eastAsia="Times New Roman"/>
      <w:sz w:val="24"/>
      <w:szCs w:val="24"/>
      <w:lang w:eastAsia="lv-LV"/>
    </w:rPr>
  </w:style>
  <w:style w:type="paragraph" w:customStyle="1" w:styleId="naisf">
    <w:name w:val="naisf"/>
    <w:basedOn w:val="Normal"/>
    <w:rsid w:val="00BD52D8"/>
    <w:pPr>
      <w:spacing w:before="100" w:beforeAutospacing="1" w:after="100" w:afterAutospacing="1"/>
    </w:pPr>
    <w:rPr>
      <w:rFonts w:eastAsia="Times New Roman"/>
      <w:sz w:val="24"/>
      <w:szCs w:val="24"/>
      <w:lang w:eastAsia="lv-LV"/>
    </w:rPr>
  </w:style>
  <w:style w:type="paragraph" w:customStyle="1" w:styleId="naisc">
    <w:name w:val="naisc"/>
    <w:basedOn w:val="Normal"/>
    <w:rsid w:val="00BD52D8"/>
    <w:pPr>
      <w:spacing w:before="100" w:beforeAutospacing="1" w:after="100" w:afterAutospacing="1"/>
    </w:pPr>
    <w:rPr>
      <w:rFonts w:eastAsia="Times New Roman"/>
      <w:sz w:val="24"/>
      <w:szCs w:val="24"/>
      <w:lang w:eastAsia="lv-LV"/>
    </w:rPr>
  </w:style>
  <w:style w:type="paragraph" w:customStyle="1" w:styleId="naiskr">
    <w:name w:val="naiskr"/>
    <w:basedOn w:val="Normal"/>
    <w:rsid w:val="00BD52D8"/>
    <w:pPr>
      <w:spacing w:before="100" w:beforeAutospacing="1" w:after="100" w:afterAutospacing="1"/>
    </w:pPr>
    <w:rPr>
      <w:rFonts w:eastAsia="Times New Roman"/>
      <w:sz w:val="24"/>
      <w:szCs w:val="24"/>
      <w:lang w:eastAsia="lv-LV"/>
    </w:rPr>
  </w:style>
  <w:style w:type="paragraph" w:customStyle="1" w:styleId="naislab">
    <w:name w:val="naislab"/>
    <w:basedOn w:val="Normal"/>
    <w:rsid w:val="00BD52D8"/>
    <w:pPr>
      <w:spacing w:before="100" w:beforeAutospacing="1" w:after="100" w:afterAutospacing="1"/>
    </w:pPr>
    <w:rPr>
      <w:rFonts w:eastAsia="Times New Roman"/>
      <w:sz w:val="24"/>
      <w:szCs w:val="24"/>
      <w:lang w:eastAsia="lv-LV"/>
    </w:rPr>
  </w:style>
  <w:style w:type="character" w:customStyle="1" w:styleId="Heading3Char">
    <w:name w:val="Heading 3 Char"/>
    <w:link w:val="Heading3"/>
    <w:rsid w:val="00BD52D8"/>
    <w:rPr>
      <w:rFonts w:eastAsia="Times New Roman" w:cs="Times New Roman"/>
      <w:i/>
      <w:sz w:val="32"/>
      <w:szCs w:val="20"/>
    </w:rPr>
  </w:style>
  <w:style w:type="table" w:styleId="TableGrid">
    <w:name w:val="Table Grid"/>
    <w:basedOn w:val="TableNormal"/>
    <w:uiPriority w:val="59"/>
    <w:rsid w:val="004840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lockText">
    <w:name w:val="Block Text"/>
    <w:basedOn w:val="Normal"/>
    <w:unhideWhenUsed/>
    <w:rsid w:val="004840E5"/>
    <w:pPr>
      <w:spacing w:after="120"/>
      <w:ind w:left="1440" w:right="1440"/>
    </w:pPr>
    <w:rPr>
      <w:rFonts w:eastAsia="Times New Roman"/>
      <w:szCs w:val="20"/>
    </w:rPr>
  </w:style>
  <w:style w:type="paragraph" w:customStyle="1" w:styleId="mans">
    <w:name w:val="mans"/>
    <w:basedOn w:val="Normal"/>
    <w:qFormat/>
    <w:rsid w:val="004840E5"/>
    <w:pPr>
      <w:spacing w:before="240" w:after="240"/>
      <w:ind w:firstLine="567"/>
      <w:jc w:val="both"/>
    </w:pPr>
    <w:rPr>
      <w:rFonts w:eastAsia="Times New Roman"/>
      <w:szCs w:val="24"/>
      <w:lang w:val="en-GB"/>
    </w:rPr>
  </w:style>
  <w:style w:type="paragraph" w:styleId="Header">
    <w:name w:val="header"/>
    <w:basedOn w:val="Normal"/>
    <w:link w:val="HeaderChar"/>
    <w:unhideWhenUsed/>
    <w:rsid w:val="00B70481"/>
    <w:pPr>
      <w:tabs>
        <w:tab w:val="center" w:pos="4153"/>
        <w:tab w:val="right" w:pos="8306"/>
      </w:tabs>
    </w:pPr>
  </w:style>
  <w:style w:type="character" w:customStyle="1" w:styleId="HeaderChar">
    <w:name w:val="Header Char"/>
    <w:basedOn w:val="DefaultParagraphFont"/>
    <w:link w:val="Header"/>
    <w:uiPriority w:val="99"/>
    <w:rsid w:val="00B70481"/>
  </w:style>
  <w:style w:type="paragraph" w:styleId="Footer">
    <w:name w:val="footer"/>
    <w:basedOn w:val="Normal"/>
    <w:link w:val="FooterChar"/>
    <w:uiPriority w:val="99"/>
    <w:unhideWhenUsed/>
    <w:rsid w:val="00B70481"/>
    <w:pPr>
      <w:tabs>
        <w:tab w:val="center" w:pos="4153"/>
        <w:tab w:val="right" w:pos="8306"/>
      </w:tabs>
    </w:pPr>
  </w:style>
  <w:style w:type="character" w:customStyle="1" w:styleId="FooterChar">
    <w:name w:val="Footer Char"/>
    <w:basedOn w:val="DefaultParagraphFont"/>
    <w:link w:val="Footer"/>
    <w:uiPriority w:val="99"/>
    <w:rsid w:val="00B70481"/>
  </w:style>
  <w:style w:type="paragraph" w:styleId="BalloonText">
    <w:name w:val="Balloon Text"/>
    <w:basedOn w:val="Normal"/>
    <w:link w:val="BalloonTextChar"/>
    <w:uiPriority w:val="99"/>
    <w:semiHidden/>
    <w:unhideWhenUsed/>
    <w:rsid w:val="00F67854"/>
    <w:rPr>
      <w:rFonts w:ascii="Tahoma" w:hAnsi="Tahoma"/>
      <w:sz w:val="16"/>
      <w:szCs w:val="16"/>
      <w:lang w:val="x-none"/>
    </w:rPr>
  </w:style>
  <w:style w:type="character" w:customStyle="1" w:styleId="BalloonTextChar">
    <w:name w:val="Balloon Text Char"/>
    <w:link w:val="BalloonText"/>
    <w:uiPriority w:val="99"/>
    <w:semiHidden/>
    <w:rsid w:val="00F67854"/>
    <w:rPr>
      <w:rFonts w:ascii="Tahoma" w:hAnsi="Tahoma" w:cs="Tahoma"/>
      <w:sz w:val="16"/>
      <w:szCs w:val="16"/>
      <w:lang w:eastAsia="en-US"/>
    </w:rPr>
  </w:style>
  <w:style w:type="paragraph" w:styleId="NoSpacing">
    <w:name w:val="No Spacing"/>
    <w:uiPriority w:val="1"/>
    <w:qFormat/>
    <w:rsid w:val="00D364C9"/>
    <w:rPr>
      <w:rFonts w:eastAsia="Times New Roman"/>
      <w:sz w:val="24"/>
      <w:szCs w:val="24"/>
      <w:lang w:val="en-GB" w:eastAsia="en-US"/>
    </w:rPr>
  </w:style>
  <w:style w:type="paragraph" w:styleId="BodyTextIndent">
    <w:name w:val="Body Text Indent"/>
    <w:basedOn w:val="Normal"/>
    <w:link w:val="BodyTextIndentChar"/>
    <w:uiPriority w:val="99"/>
    <w:semiHidden/>
    <w:unhideWhenUsed/>
    <w:rsid w:val="000E3105"/>
    <w:pPr>
      <w:spacing w:after="120"/>
      <w:ind w:left="283"/>
    </w:pPr>
    <w:rPr>
      <w:lang w:val="x-none"/>
    </w:rPr>
  </w:style>
  <w:style w:type="character" w:customStyle="1" w:styleId="BodyTextIndentChar">
    <w:name w:val="Body Text Indent Char"/>
    <w:link w:val="BodyTextIndent"/>
    <w:uiPriority w:val="99"/>
    <w:semiHidden/>
    <w:rsid w:val="000E3105"/>
    <w:rPr>
      <w:sz w:val="28"/>
      <w:szCs w:val="22"/>
      <w:lang w:eastAsia="en-US"/>
    </w:rPr>
  </w:style>
  <w:style w:type="numbering" w:customStyle="1" w:styleId="Style1">
    <w:name w:val="Style1"/>
    <w:uiPriority w:val="99"/>
    <w:rsid w:val="000E3105"/>
    <w:pPr>
      <w:numPr>
        <w:numId w:val="1"/>
      </w:numPr>
    </w:pPr>
  </w:style>
  <w:style w:type="paragraph" w:styleId="ListParagraph">
    <w:name w:val="List Paragraph"/>
    <w:aliases w:val="2,Akapit z listą BS,H&amp;P List Paragraph,Strip,Saraksta rindkopa1,Numbered Para 1,Dot pt,No Spacing1,List Paragraph Char Char Char,Indicator Text,List Paragraph1,Bullet 1,Bullet Points,MAIN CONTENT,IFCL - List Paragraph,List Paragraph12"/>
    <w:basedOn w:val="Normal"/>
    <w:link w:val="ListParagraphChar"/>
    <w:uiPriority w:val="34"/>
    <w:qFormat/>
    <w:rsid w:val="00556D6B"/>
    <w:pPr>
      <w:spacing w:after="200" w:line="276" w:lineRule="auto"/>
      <w:ind w:left="720"/>
      <w:contextualSpacing/>
    </w:pPr>
    <w:rPr>
      <w:rFonts w:ascii="Calibri" w:hAnsi="Calibri"/>
      <w:sz w:val="22"/>
    </w:rPr>
  </w:style>
  <w:style w:type="paragraph" w:styleId="BodyText2">
    <w:name w:val="Body Text 2"/>
    <w:basedOn w:val="Normal"/>
    <w:link w:val="BodyText2Char"/>
    <w:uiPriority w:val="99"/>
    <w:unhideWhenUsed/>
    <w:rsid w:val="007F61D6"/>
    <w:pPr>
      <w:spacing w:after="120" w:line="480" w:lineRule="auto"/>
    </w:pPr>
    <w:rPr>
      <w:lang w:val="x-none"/>
    </w:rPr>
  </w:style>
  <w:style w:type="character" w:customStyle="1" w:styleId="BodyText2Char">
    <w:name w:val="Body Text 2 Char"/>
    <w:link w:val="BodyText2"/>
    <w:uiPriority w:val="99"/>
    <w:rsid w:val="007F61D6"/>
    <w:rPr>
      <w:sz w:val="28"/>
      <w:szCs w:val="22"/>
      <w:lang w:eastAsia="en-US"/>
    </w:rPr>
  </w:style>
  <w:style w:type="character" w:styleId="Strong">
    <w:name w:val="Strong"/>
    <w:uiPriority w:val="22"/>
    <w:qFormat/>
    <w:rsid w:val="00382CF8"/>
    <w:rPr>
      <w:rFonts w:ascii="Garamond" w:hAnsi="Garamond"/>
      <w:b/>
      <w:bCs/>
      <w:noProof w:val="0"/>
      <w:lang w:val="lv-LV"/>
    </w:rPr>
  </w:style>
  <w:style w:type="paragraph" w:customStyle="1" w:styleId="naispant">
    <w:name w:val="naispant"/>
    <w:basedOn w:val="Normal"/>
    <w:rsid w:val="00507856"/>
    <w:pPr>
      <w:spacing w:before="225" w:after="75"/>
      <w:ind w:left="375" w:firstLine="375"/>
      <w:jc w:val="both"/>
    </w:pPr>
    <w:rPr>
      <w:rFonts w:eastAsia="Times New Roman"/>
      <w:b/>
      <w:bCs/>
      <w:sz w:val="24"/>
      <w:szCs w:val="24"/>
      <w:lang w:eastAsia="lv-LV"/>
    </w:rPr>
  </w:style>
  <w:style w:type="paragraph" w:customStyle="1" w:styleId="Normal1">
    <w:name w:val="Normal1"/>
    <w:basedOn w:val="Normal"/>
    <w:rsid w:val="00422F96"/>
    <w:pPr>
      <w:spacing w:before="100" w:beforeAutospacing="1" w:after="100" w:afterAutospacing="1"/>
    </w:pPr>
    <w:rPr>
      <w:rFonts w:eastAsia="Times New Roman"/>
      <w:sz w:val="24"/>
      <w:szCs w:val="24"/>
      <w:lang w:eastAsia="lv-LV"/>
    </w:rPr>
  </w:style>
  <w:style w:type="character" w:styleId="CommentReference">
    <w:name w:val="annotation reference"/>
    <w:uiPriority w:val="99"/>
    <w:unhideWhenUsed/>
    <w:rsid w:val="00221002"/>
    <w:rPr>
      <w:sz w:val="16"/>
      <w:szCs w:val="16"/>
    </w:rPr>
  </w:style>
  <w:style w:type="paragraph" w:styleId="CommentText">
    <w:name w:val="annotation text"/>
    <w:basedOn w:val="Normal"/>
    <w:link w:val="CommentTextChar"/>
    <w:uiPriority w:val="99"/>
    <w:unhideWhenUsed/>
    <w:rsid w:val="00221002"/>
    <w:rPr>
      <w:sz w:val="20"/>
      <w:szCs w:val="20"/>
      <w:lang w:val="x-none"/>
    </w:rPr>
  </w:style>
  <w:style w:type="character" w:customStyle="1" w:styleId="CommentTextChar">
    <w:name w:val="Comment Text Char"/>
    <w:link w:val="CommentText"/>
    <w:uiPriority w:val="99"/>
    <w:rsid w:val="00221002"/>
    <w:rPr>
      <w:lang w:eastAsia="en-US"/>
    </w:rPr>
  </w:style>
  <w:style w:type="paragraph" w:styleId="CommentSubject">
    <w:name w:val="annotation subject"/>
    <w:basedOn w:val="CommentText"/>
    <w:next w:val="CommentText"/>
    <w:link w:val="CommentSubjectChar"/>
    <w:uiPriority w:val="99"/>
    <w:semiHidden/>
    <w:unhideWhenUsed/>
    <w:rsid w:val="00221002"/>
    <w:rPr>
      <w:b/>
      <w:bCs/>
    </w:rPr>
  </w:style>
  <w:style w:type="character" w:customStyle="1" w:styleId="CommentSubjectChar">
    <w:name w:val="Comment Subject Char"/>
    <w:link w:val="CommentSubject"/>
    <w:uiPriority w:val="99"/>
    <w:semiHidden/>
    <w:rsid w:val="00221002"/>
    <w:rPr>
      <w:b/>
      <w:bCs/>
      <w:lang w:eastAsia="en-US"/>
    </w:rPr>
  </w:style>
  <w:style w:type="paragraph" w:customStyle="1" w:styleId="naisvisr">
    <w:name w:val="naisvisr"/>
    <w:basedOn w:val="Normal"/>
    <w:rsid w:val="007C44DD"/>
    <w:pPr>
      <w:spacing w:before="150" w:after="150"/>
      <w:jc w:val="center"/>
    </w:pPr>
    <w:rPr>
      <w:rFonts w:eastAsia="Times New Roman"/>
      <w:b/>
      <w:bCs/>
      <w:szCs w:val="28"/>
      <w:lang w:eastAsia="lv-LV"/>
    </w:rPr>
  </w:style>
  <w:style w:type="paragraph" w:customStyle="1" w:styleId="Bezatstarpm1">
    <w:name w:val="Bez atstarpēm1"/>
    <w:qFormat/>
    <w:rsid w:val="00A228FF"/>
    <w:rPr>
      <w:rFonts w:eastAsia="Times New Roman"/>
      <w:lang w:eastAsia="en-US"/>
    </w:rPr>
  </w:style>
  <w:style w:type="paragraph" w:styleId="HTMLPreformatted">
    <w:name w:val="HTML Preformatted"/>
    <w:basedOn w:val="Normal"/>
    <w:link w:val="HTMLPreformattedChar"/>
    <w:uiPriority w:val="99"/>
    <w:unhideWhenUsed/>
    <w:rsid w:val="00F02A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x-none" w:eastAsia="ja-JP"/>
    </w:rPr>
  </w:style>
  <w:style w:type="character" w:customStyle="1" w:styleId="HTMLPreformattedChar">
    <w:name w:val="HTML Preformatted Char"/>
    <w:link w:val="HTMLPreformatted"/>
    <w:uiPriority w:val="99"/>
    <w:rsid w:val="00F02A26"/>
    <w:rPr>
      <w:rFonts w:ascii="Courier New" w:eastAsia="Times New Roman" w:hAnsi="Courier New" w:cs="Courier New"/>
      <w:lang w:eastAsia="ja-JP"/>
    </w:rPr>
  </w:style>
  <w:style w:type="paragraph" w:customStyle="1" w:styleId="Saturardtjs">
    <w:name w:val="Satura rādītājs"/>
    <w:basedOn w:val="Normal"/>
    <w:rsid w:val="002308B9"/>
    <w:pPr>
      <w:widowControl w:val="0"/>
      <w:suppressLineNumbers/>
      <w:suppressAutoHyphens/>
    </w:pPr>
    <w:rPr>
      <w:rFonts w:eastAsia="SimSun" w:cs="Mangal"/>
      <w:kern w:val="1"/>
      <w:sz w:val="24"/>
      <w:szCs w:val="24"/>
      <w:lang w:eastAsia="hi-IN" w:bidi="hi-IN"/>
    </w:rPr>
  </w:style>
  <w:style w:type="paragraph" w:customStyle="1" w:styleId="tv213">
    <w:name w:val="tv213"/>
    <w:basedOn w:val="Normal"/>
    <w:rsid w:val="00D112F8"/>
    <w:pPr>
      <w:spacing w:before="100" w:beforeAutospacing="1" w:after="100" w:afterAutospacing="1"/>
    </w:pPr>
    <w:rPr>
      <w:rFonts w:eastAsia="Times New Roman"/>
      <w:sz w:val="24"/>
      <w:szCs w:val="24"/>
      <w:lang w:val="en-US"/>
    </w:rPr>
  </w:style>
  <w:style w:type="paragraph" w:styleId="NormalWeb">
    <w:name w:val="Normal (Web)"/>
    <w:basedOn w:val="Normal"/>
    <w:uiPriority w:val="99"/>
    <w:unhideWhenUsed/>
    <w:rsid w:val="00E86D8B"/>
    <w:pPr>
      <w:spacing w:before="100" w:beforeAutospacing="1" w:after="100" w:afterAutospacing="1"/>
    </w:pPr>
    <w:rPr>
      <w:sz w:val="24"/>
      <w:szCs w:val="24"/>
      <w:lang w:eastAsia="lv-LV"/>
    </w:rPr>
  </w:style>
  <w:style w:type="character" w:styleId="Emphasis">
    <w:name w:val="Emphasis"/>
    <w:uiPriority w:val="20"/>
    <w:qFormat/>
    <w:rsid w:val="00E86D8B"/>
    <w:rPr>
      <w:i/>
      <w:iCs/>
    </w:rPr>
  </w:style>
  <w:style w:type="paragraph" w:styleId="BodyTextIndent3">
    <w:name w:val="Body Text Indent 3"/>
    <w:basedOn w:val="Normal"/>
    <w:link w:val="BodyTextIndent3Char"/>
    <w:uiPriority w:val="99"/>
    <w:semiHidden/>
    <w:unhideWhenUsed/>
    <w:rsid w:val="00E6002B"/>
    <w:pPr>
      <w:spacing w:after="120"/>
      <w:ind w:left="283"/>
    </w:pPr>
    <w:rPr>
      <w:sz w:val="16"/>
      <w:szCs w:val="16"/>
    </w:rPr>
  </w:style>
  <w:style w:type="character" w:customStyle="1" w:styleId="BodyTextIndent3Char">
    <w:name w:val="Body Text Indent 3 Char"/>
    <w:link w:val="BodyTextIndent3"/>
    <w:uiPriority w:val="99"/>
    <w:semiHidden/>
    <w:rsid w:val="00E6002B"/>
    <w:rPr>
      <w:sz w:val="16"/>
      <w:szCs w:val="16"/>
      <w:lang w:eastAsia="en-US"/>
    </w:rPr>
  </w:style>
  <w:style w:type="character" w:customStyle="1" w:styleId="apple-converted-space">
    <w:name w:val="apple-converted-space"/>
    <w:basedOn w:val="DefaultParagraphFont"/>
    <w:rsid w:val="005B51C6"/>
  </w:style>
  <w:style w:type="paragraph" w:customStyle="1" w:styleId="tv2133">
    <w:name w:val="tv2133"/>
    <w:basedOn w:val="Normal"/>
    <w:rsid w:val="00A65B79"/>
    <w:pPr>
      <w:spacing w:line="360" w:lineRule="auto"/>
      <w:ind w:firstLine="300"/>
    </w:pPr>
    <w:rPr>
      <w:rFonts w:eastAsia="Times New Roman"/>
      <w:color w:val="414142"/>
      <w:sz w:val="20"/>
      <w:szCs w:val="20"/>
      <w:lang w:eastAsia="lv-LV"/>
    </w:rPr>
  </w:style>
  <w:style w:type="character" w:customStyle="1" w:styleId="ListParagraphChar">
    <w:name w:val="List Paragraph Char"/>
    <w:aliases w:val="2 Char,Akapit z listą BS Char,H&amp;P List Paragraph Char,Strip Char,Saraksta rindkopa1 Char,Numbered Para 1 Char,Dot pt Char,No Spacing1 Char,List Paragraph Char Char Char Char,Indicator Text Char,List Paragraph1 Char,Bullet 1 Char"/>
    <w:link w:val="ListParagraph"/>
    <w:uiPriority w:val="34"/>
    <w:qFormat/>
    <w:rsid w:val="00F81000"/>
    <w:rPr>
      <w:rFonts w:ascii="Calibri" w:hAnsi="Calibri"/>
      <w:sz w:val="22"/>
      <w:szCs w:val="22"/>
      <w:lang w:eastAsia="en-US"/>
    </w:rPr>
  </w:style>
  <w:style w:type="character" w:customStyle="1" w:styleId="Bodytext">
    <w:name w:val="Body text_"/>
    <w:basedOn w:val="DefaultParagraphFont"/>
    <w:link w:val="BodyText20"/>
    <w:rsid w:val="00A16854"/>
    <w:rPr>
      <w:rFonts w:ascii="Calibri" w:hAnsi="Calibri" w:cs="Calibri"/>
      <w:sz w:val="19"/>
      <w:szCs w:val="19"/>
      <w:shd w:val="clear" w:color="auto" w:fill="FFFFFF"/>
    </w:rPr>
  </w:style>
  <w:style w:type="character" w:customStyle="1" w:styleId="Bodytext4">
    <w:name w:val="Body text (4)_"/>
    <w:basedOn w:val="DefaultParagraphFont"/>
    <w:link w:val="Bodytext40"/>
    <w:rsid w:val="00A16854"/>
    <w:rPr>
      <w:rFonts w:ascii="Calibri" w:hAnsi="Calibri" w:cs="Calibri"/>
      <w:b/>
      <w:bCs/>
      <w:sz w:val="19"/>
      <w:szCs w:val="19"/>
      <w:shd w:val="clear" w:color="auto" w:fill="FFFFFF"/>
    </w:rPr>
  </w:style>
  <w:style w:type="character" w:customStyle="1" w:styleId="BodytextBold">
    <w:name w:val="Body text + Bold"/>
    <w:basedOn w:val="Bodytext"/>
    <w:rsid w:val="00A16854"/>
    <w:rPr>
      <w:rFonts w:ascii="Calibri" w:hAnsi="Calibri" w:cs="Calibri"/>
      <w:b/>
      <w:bCs/>
      <w:color w:val="000000"/>
      <w:spacing w:val="0"/>
      <w:w w:val="100"/>
      <w:position w:val="0"/>
      <w:sz w:val="19"/>
      <w:szCs w:val="19"/>
      <w:shd w:val="clear" w:color="auto" w:fill="FFFFFF"/>
      <w:lang w:val="lv-LV" w:eastAsia="lv-LV" w:bidi="lv-LV"/>
    </w:rPr>
  </w:style>
  <w:style w:type="paragraph" w:customStyle="1" w:styleId="BodyText20">
    <w:name w:val="Body Text2"/>
    <w:basedOn w:val="Normal"/>
    <w:link w:val="Bodytext"/>
    <w:rsid w:val="00A16854"/>
    <w:pPr>
      <w:widowControl w:val="0"/>
      <w:shd w:val="clear" w:color="auto" w:fill="FFFFFF"/>
      <w:spacing w:before="1320" w:line="0" w:lineRule="atLeast"/>
    </w:pPr>
    <w:rPr>
      <w:rFonts w:ascii="Calibri" w:hAnsi="Calibri" w:cs="Calibri"/>
      <w:sz w:val="19"/>
      <w:szCs w:val="19"/>
      <w:lang w:eastAsia="lv-LV"/>
    </w:rPr>
  </w:style>
  <w:style w:type="paragraph" w:customStyle="1" w:styleId="Bodytext40">
    <w:name w:val="Body text (4)"/>
    <w:basedOn w:val="Normal"/>
    <w:link w:val="Bodytext4"/>
    <w:rsid w:val="00A16854"/>
    <w:pPr>
      <w:widowControl w:val="0"/>
      <w:shd w:val="clear" w:color="auto" w:fill="FFFFFF"/>
      <w:spacing w:after="480" w:line="264" w:lineRule="exact"/>
      <w:jc w:val="right"/>
    </w:pPr>
    <w:rPr>
      <w:rFonts w:ascii="Calibri" w:hAnsi="Calibri" w:cs="Calibri"/>
      <w:b/>
      <w:bCs/>
      <w:sz w:val="19"/>
      <w:szCs w:val="19"/>
      <w:lang w:eastAsia="lv-LV"/>
    </w:rPr>
  </w:style>
  <w:style w:type="paragraph" w:customStyle="1" w:styleId="tv2132">
    <w:name w:val="tv2132"/>
    <w:basedOn w:val="Normal"/>
    <w:rsid w:val="00781385"/>
    <w:pPr>
      <w:spacing w:line="360" w:lineRule="auto"/>
      <w:ind w:firstLine="300"/>
    </w:pPr>
    <w:rPr>
      <w:rFonts w:eastAsia="Times New Roman"/>
      <w:color w:val="414142"/>
      <w:sz w:val="20"/>
      <w:szCs w:val="20"/>
      <w:lang w:eastAsia="lv-LV"/>
    </w:rPr>
  </w:style>
  <w:style w:type="character" w:customStyle="1" w:styleId="Heading1Char">
    <w:name w:val="Heading 1 Char"/>
    <w:basedOn w:val="DefaultParagraphFont"/>
    <w:link w:val="Heading1"/>
    <w:uiPriority w:val="9"/>
    <w:rsid w:val="006F0451"/>
    <w:rPr>
      <w:rFonts w:asciiTheme="majorHAnsi" w:eastAsiaTheme="majorEastAsia" w:hAnsiTheme="majorHAnsi" w:cstheme="majorBidi"/>
      <w:color w:val="2E74B5" w:themeColor="accent1" w:themeShade="BF"/>
      <w:sz w:val="32"/>
      <w:szCs w:val="32"/>
      <w:lang w:eastAsia="en-US"/>
    </w:rPr>
  </w:style>
  <w:style w:type="character" w:customStyle="1" w:styleId="Heading2Char">
    <w:name w:val="Heading 2 Char"/>
    <w:basedOn w:val="DefaultParagraphFont"/>
    <w:link w:val="Heading2"/>
    <w:uiPriority w:val="9"/>
    <w:semiHidden/>
    <w:rsid w:val="006F0451"/>
    <w:rPr>
      <w:rFonts w:asciiTheme="majorHAnsi" w:eastAsiaTheme="majorEastAsia" w:hAnsiTheme="majorHAnsi" w:cstheme="majorBidi"/>
      <w:color w:val="2E74B5" w:themeColor="accent1" w:themeShade="BF"/>
      <w:sz w:val="26"/>
      <w:szCs w:val="26"/>
      <w:lang w:eastAsia="en-US"/>
    </w:rPr>
  </w:style>
  <w:style w:type="character" w:styleId="FollowedHyperlink">
    <w:name w:val="FollowedHyperlink"/>
    <w:basedOn w:val="DefaultParagraphFont"/>
    <w:uiPriority w:val="99"/>
    <w:semiHidden/>
    <w:unhideWhenUsed/>
    <w:rsid w:val="00A17E2F"/>
    <w:rPr>
      <w:color w:val="954F72" w:themeColor="followedHyperlink"/>
      <w:u w:val="single"/>
    </w:rPr>
  </w:style>
  <w:style w:type="paragraph" w:styleId="Revision">
    <w:name w:val="Revision"/>
    <w:hidden/>
    <w:uiPriority w:val="99"/>
    <w:semiHidden/>
    <w:rsid w:val="00F64D2D"/>
    <w:rPr>
      <w:sz w:val="28"/>
      <w:szCs w:val="22"/>
      <w:lang w:eastAsia="en-US"/>
    </w:rPr>
  </w:style>
  <w:style w:type="paragraph" w:styleId="BodyText0">
    <w:name w:val="Body Text"/>
    <w:basedOn w:val="Normal"/>
    <w:link w:val="BodyTextChar"/>
    <w:uiPriority w:val="99"/>
    <w:semiHidden/>
    <w:unhideWhenUsed/>
    <w:rsid w:val="00CF69B7"/>
    <w:pPr>
      <w:spacing w:after="120"/>
    </w:pPr>
    <w:rPr>
      <w:rFonts w:eastAsia="Times New Roman"/>
      <w:sz w:val="24"/>
      <w:szCs w:val="24"/>
      <w:lang w:eastAsia="lv-LV"/>
    </w:rPr>
  </w:style>
  <w:style w:type="character" w:customStyle="1" w:styleId="BodyTextChar">
    <w:name w:val="Body Text Char"/>
    <w:basedOn w:val="DefaultParagraphFont"/>
    <w:link w:val="BodyText0"/>
    <w:uiPriority w:val="99"/>
    <w:semiHidden/>
    <w:rsid w:val="00CF69B7"/>
    <w:rPr>
      <w:rFonts w:eastAsia="Times New Roman"/>
      <w:sz w:val="24"/>
      <w:szCs w:val="24"/>
    </w:rPr>
  </w:style>
  <w:style w:type="paragraph" w:styleId="FootnoteText">
    <w:name w:val="footnote text"/>
    <w:aliases w:val="Footnote Text1,Char Char Char1,Char1,Char Char Char Char Char1,Char Char Char Char Char Char Char,Char Char Char Char Char Char Char Char Char,Char Char Char Char Char Char Char C Char,Footnote Text Char2 Char,Footnote,Footnote Char,Znak"/>
    <w:basedOn w:val="Normal"/>
    <w:link w:val="FootnoteTextChar"/>
    <w:uiPriority w:val="99"/>
    <w:unhideWhenUsed/>
    <w:qFormat/>
    <w:rsid w:val="004C5EE6"/>
    <w:rPr>
      <w:rFonts w:asciiTheme="minorHAnsi" w:eastAsiaTheme="minorHAnsi" w:hAnsiTheme="minorHAnsi" w:cstheme="minorBidi"/>
      <w:sz w:val="20"/>
      <w:szCs w:val="20"/>
      <w:lang w:val="en-GB"/>
    </w:rPr>
  </w:style>
  <w:style w:type="character" w:customStyle="1" w:styleId="FootnoteTextChar">
    <w:name w:val="Footnote Text Char"/>
    <w:aliases w:val="Footnote Text1 Char,Char Char Char1 Char,Char1 Char,Char Char Char Char Char1 Char,Char Char Char Char Char Char Char Char,Char Char Char Char Char Char Char Char Char Char,Char Char Char Char Char Char Char C Char Char,Footnote Char1"/>
    <w:basedOn w:val="DefaultParagraphFont"/>
    <w:link w:val="FootnoteText"/>
    <w:uiPriority w:val="99"/>
    <w:rsid w:val="004C5EE6"/>
    <w:rPr>
      <w:rFonts w:asciiTheme="minorHAnsi" w:eastAsiaTheme="minorHAnsi" w:hAnsiTheme="minorHAnsi" w:cstheme="minorBidi"/>
      <w:lang w:val="en-GB" w:eastAsia="en-US"/>
    </w:rPr>
  </w:style>
  <w:style w:type="character" w:styleId="FootnoteReference">
    <w:name w:val="footnote reference"/>
    <w:aliases w:val="Footnote Reference Number,Footnote symbol,Footnote Refernece,Footnote Reference Superscript,fr,ESPON Footnote No,ftref,Odwołanie przypisu,BVI fnr,Footnotes refss,SUPERS,Ref,de nota al pie,-E Fußnotenzeichen,Footnote reference number,E"/>
    <w:basedOn w:val="DefaultParagraphFont"/>
    <w:link w:val="CharCharCharChar"/>
    <w:uiPriority w:val="99"/>
    <w:unhideWhenUsed/>
    <w:qFormat/>
    <w:rsid w:val="004C5EE6"/>
    <w:rPr>
      <w:vertAlign w:val="superscript"/>
    </w:rPr>
  </w:style>
  <w:style w:type="paragraph" w:styleId="Quote">
    <w:name w:val="Quote"/>
    <w:basedOn w:val="Normal"/>
    <w:next w:val="Normal"/>
    <w:link w:val="QuoteChar"/>
    <w:uiPriority w:val="29"/>
    <w:qFormat/>
    <w:rsid w:val="004C5EE6"/>
    <w:pPr>
      <w:spacing w:before="200" w:after="160"/>
      <w:ind w:left="864" w:right="864"/>
      <w:jc w:val="center"/>
    </w:pPr>
    <w:rPr>
      <w:rFonts w:asciiTheme="minorHAnsi" w:eastAsiaTheme="minorHAnsi" w:hAnsiTheme="minorHAnsi" w:cstheme="minorBidi"/>
      <w:i/>
      <w:iCs/>
      <w:color w:val="404040" w:themeColor="text1" w:themeTint="BF"/>
      <w:sz w:val="24"/>
      <w:szCs w:val="24"/>
      <w:lang w:val="en-GB"/>
    </w:rPr>
  </w:style>
  <w:style w:type="character" w:customStyle="1" w:styleId="QuoteChar">
    <w:name w:val="Quote Char"/>
    <w:basedOn w:val="DefaultParagraphFont"/>
    <w:link w:val="Quote"/>
    <w:uiPriority w:val="29"/>
    <w:rsid w:val="004C5EE6"/>
    <w:rPr>
      <w:rFonts w:asciiTheme="minorHAnsi" w:eastAsiaTheme="minorHAnsi" w:hAnsiTheme="minorHAnsi" w:cstheme="minorBidi"/>
      <w:i/>
      <w:iCs/>
      <w:color w:val="404040" w:themeColor="text1" w:themeTint="BF"/>
      <w:sz w:val="24"/>
      <w:szCs w:val="24"/>
      <w:lang w:val="en-GB" w:eastAsia="en-US"/>
    </w:rPr>
  </w:style>
  <w:style w:type="paragraph" w:customStyle="1" w:styleId="CharCharCharChar">
    <w:name w:val="Char Char Char Char"/>
    <w:aliases w:val="Char2"/>
    <w:basedOn w:val="Normal"/>
    <w:next w:val="Normal"/>
    <w:link w:val="FootnoteReference"/>
    <w:uiPriority w:val="99"/>
    <w:rsid w:val="00C029C1"/>
    <w:pPr>
      <w:keepNext/>
      <w:keepLines/>
      <w:spacing w:before="120" w:after="160" w:line="240" w:lineRule="exact"/>
      <w:jc w:val="both"/>
      <w:outlineLvl w:val="0"/>
    </w:pPr>
    <w:rPr>
      <w:sz w:val="20"/>
      <w:szCs w:val="20"/>
      <w:vertAlign w:val="superscript"/>
      <w:lang w:eastAsia="lv-LV"/>
    </w:rPr>
  </w:style>
  <w:style w:type="paragraph" w:styleId="EndnoteText">
    <w:name w:val="endnote text"/>
    <w:basedOn w:val="Normal"/>
    <w:link w:val="EndnoteTextChar1"/>
    <w:uiPriority w:val="99"/>
    <w:unhideWhenUsed/>
    <w:rsid w:val="00C029C1"/>
    <w:rPr>
      <w:rFonts w:eastAsiaTheme="minorHAnsi"/>
      <w:sz w:val="20"/>
      <w:szCs w:val="20"/>
      <w:lang w:val="en-US"/>
    </w:rPr>
  </w:style>
  <w:style w:type="character" w:customStyle="1" w:styleId="EndnoteTextChar">
    <w:name w:val="Endnote Text Char"/>
    <w:basedOn w:val="DefaultParagraphFont"/>
    <w:uiPriority w:val="99"/>
    <w:semiHidden/>
    <w:rsid w:val="00C029C1"/>
    <w:rPr>
      <w:lang w:eastAsia="en-US"/>
    </w:rPr>
  </w:style>
  <w:style w:type="character" w:customStyle="1" w:styleId="EndnoteTextChar1">
    <w:name w:val="Endnote Text Char1"/>
    <w:basedOn w:val="DefaultParagraphFont"/>
    <w:link w:val="EndnoteText"/>
    <w:uiPriority w:val="99"/>
    <w:rsid w:val="00C029C1"/>
    <w:rPr>
      <w:rFonts w:eastAsiaTheme="minorHAnsi"/>
      <w:lang w:val="en-US" w:eastAsia="en-US"/>
    </w:rPr>
  </w:style>
  <w:style w:type="paragraph" w:customStyle="1" w:styleId="Default">
    <w:name w:val="Default"/>
    <w:rsid w:val="000416D6"/>
    <w:pPr>
      <w:autoSpaceDE w:val="0"/>
      <w:autoSpaceDN w:val="0"/>
      <w:adjustRightInd w:val="0"/>
    </w:pPr>
    <w:rPr>
      <w:rFonts w:ascii="Calibri" w:hAnsi="Calibri" w:cs="Calibri"/>
      <w:color w:val="000000"/>
      <w:sz w:val="24"/>
      <w:szCs w:val="24"/>
    </w:rPr>
  </w:style>
  <w:style w:type="character" w:styleId="EndnoteReference">
    <w:name w:val="endnote reference"/>
    <w:basedOn w:val="DefaultParagraphFont"/>
    <w:uiPriority w:val="99"/>
    <w:semiHidden/>
    <w:unhideWhenUsed/>
    <w:rsid w:val="003365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1053">
      <w:bodyDiv w:val="1"/>
      <w:marLeft w:val="0"/>
      <w:marRight w:val="0"/>
      <w:marTop w:val="0"/>
      <w:marBottom w:val="0"/>
      <w:divBdr>
        <w:top w:val="none" w:sz="0" w:space="0" w:color="auto"/>
        <w:left w:val="none" w:sz="0" w:space="0" w:color="auto"/>
        <w:bottom w:val="none" w:sz="0" w:space="0" w:color="auto"/>
        <w:right w:val="none" w:sz="0" w:space="0" w:color="auto"/>
      </w:divBdr>
    </w:div>
    <w:div w:id="3557354">
      <w:bodyDiv w:val="1"/>
      <w:marLeft w:val="0"/>
      <w:marRight w:val="0"/>
      <w:marTop w:val="0"/>
      <w:marBottom w:val="0"/>
      <w:divBdr>
        <w:top w:val="none" w:sz="0" w:space="0" w:color="auto"/>
        <w:left w:val="none" w:sz="0" w:space="0" w:color="auto"/>
        <w:bottom w:val="none" w:sz="0" w:space="0" w:color="auto"/>
        <w:right w:val="none" w:sz="0" w:space="0" w:color="auto"/>
      </w:divBdr>
    </w:div>
    <w:div w:id="30814027">
      <w:bodyDiv w:val="1"/>
      <w:marLeft w:val="0"/>
      <w:marRight w:val="0"/>
      <w:marTop w:val="0"/>
      <w:marBottom w:val="0"/>
      <w:divBdr>
        <w:top w:val="none" w:sz="0" w:space="0" w:color="auto"/>
        <w:left w:val="none" w:sz="0" w:space="0" w:color="auto"/>
        <w:bottom w:val="none" w:sz="0" w:space="0" w:color="auto"/>
        <w:right w:val="none" w:sz="0" w:space="0" w:color="auto"/>
      </w:divBdr>
    </w:div>
    <w:div w:id="46342794">
      <w:bodyDiv w:val="1"/>
      <w:marLeft w:val="0"/>
      <w:marRight w:val="0"/>
      <w:marTop w:val="0"/>
      <w:marBottom w:val="0"/>
      <w:divBdr>
        <w:top w:val="none" w:sz="0" w:space="0" w:color="auto"/>
        <w:left w:val="none" w:sz="0" w:space="0" w:color="auto"/>
        <w:bottom w:val="none" w:sz="0" w:space="0" w:color="auto"/>
        <w:right w:val="none" w:sz="0" w:space="0" w:color="auto"/>
      </w:divBdr>
    </w:div>
    <w:div w:id="113713423">
      <w:bodyDiv w:val="1"/>
      <w:marLeft w:val="0"/>
      <w:marRight w:val="0"/>
      <w:marTop w:val="0"/>
      <w:marBottom w:val="0"/>
      <w:divBdr>
        <w:top w:val="none" w:sz="0" w:space="0" w:color="auto"/>
        <w:left w:val="none" w:sz="0" w:space="0" w:color="auto"/>
        <w:bottom w:val="none" w:sz="0" w:space="0" w:color="auto"/>
        <w:right w:val="none" w:sz="0" w:space="0" w:color="auto"/>
      </w:divBdr>
    </w:div>
    <w:div w:id="146829618">
      <w:bodyDiv w:val="1"/>
      <w:marLeft w:val="0"/>
      <w:marRight w:val="0"/>
      <w:marTop w:val="0"/>
      <w:marBottom w:val="0"/>
      <w:divBdr>
        <w:top w:val="none" w:sz="0" w:space="0" w:color="auto"/>
        <w:left w:val="none" w:sz="0" w:space="0" w:color="auto"/>
        <w:bottom w:val="none" w:sz="0" w:space="0" w:color="auto"/>
        <w:right w:val="none" w:sz="0" w:space="0" w:color="auto"/>
      </w:divBdr>
    </w:div>
    <w:div w:id="218328755">
      <w:bodyDiv w:val="1"/>
      <w:marLeft w:val="0"/>
      <w:marRight w:val="0"/>
      <w:marTop w:val="0"/>
      <w:marBottom w:val="0"/>
      <w:divBdr>
        <w:top w:val="none" w:sz="0" w:space="0" w:color="auto"/>
        <w:left w:val="none" w:sz="0" w:space="0" w:color="auto"/>
        <w:bottom w:val="none" w:sz="0" w:space="0" w:color="auto"/>
        <w:right w:val="none" w:sz="0" w:space="0" w:color="auto"/>
      </w:divBdr>
    </w:div>
    <w:div w:id="295062480">
      <w:bodyDiv w:val="1"/>
      <w:marLeft w:val="0"/>
      <w:marRight w:val="0"/>
      <w:marTop w:val="0"/>
      <w:marBottom w:val="0"/>
      <w:divBdr>
        <w:top w:val="none" w:sz="0" w:space="0" w:color="auto"/>
        <w:left w:val="none" w:sz="0" w:space="0" w:color="auto"/>
        <w:bottom w:val="none" w:sz="0" w:space="0" w:color="auto"/>
        <w:right w:val="none" w:sz="0" w:space="0" w:color="auto"/>
      </w:divBdr>
    </w:div>
    <w:div w:id="311328613">
      <w:bodyDiv w:val="1"/>
      <w:marLeft w:val="0"/>
      <w:marRight w:val="0"/>
      <w:marTop w:val="0"/>
      <w:marBottom w:val="0"/>
      <w:divBdr>
        <w:top w:val="none" w:sz="0" w:space="0" w:color="auto"/>
        <w:left w:val="none" w:sz="0" w:space="0" w:color="auto"/>
        <w:bottom w:val="none" w:sz="0" w:space="0" w:color="auto"/>
        <w:right w:val="none" w:sz="0" w:space="0" w:color="auto"/>
      </w:divBdr>
    </w:div>
    <w:div w:id="339047557">
      <w:bodyDiv w:val="1"/>
      <w:marLeft w:val="0"/>
      <w:marRight w:val="0"/>
      <w:marTop w:val="0"/>
      <w:marBottom w:val="0"/>
      <w:divBdr>
        <w:top w:val="none" w:sz="0" w:space="0" w:color="auto"/>
        <w:left w:val="none" w:sz="0" w:space="0" w:color="auto"/>
        <w:bottom w:val="none" w:sz="0" w:space="0" w:color="auto"/>
        <w:right w:val="none" w:sz="0" w:space="0" w:color="auto"/>
      </w:divBdr>
    </w:div>
    <w:div w:id="400258050">
      <w:bodyDiv w:val="1"/>
      <w:marLeft w:val="0"/>
      <w:marRight w:val="0"/>
      <w:marTop w:val="0"/>
      <w:marBottom w:val="0"/>
      <w:divBdr>
        <w:top w:val="none" w:sz="0" w:space="0" w:color="auto"/>
        <w:left w:val="none" w:sz="0" w:space="0" w:color="auto"/>
        <w:bottom w:val="none" w:sz="0" w:space="0" w:color="auto"/>
        <w:right w:val="none" w:sz="0" w:space="0" w:color="auto"/>
      </w:divBdr>
    </w:div>
    <w:div w:id="416246880">
      <w:bodyDiv w:val="1"/>
      <w:marLeft w:val="0"/>
      <w:marRight w:val="0"/>
      <w:marTop w:val="0"/>
      <w:marBottom w:val="0"/>
      <w:divBdr>
        <w:top w:val="none" w:sz="0" w:space="0" w:color="auto"/>
        <w:left w:val="none" w:sz="0" w:space="0" w:color="auto"/>
        <w:bottom w:val="none" w:sz="0" w:space="0" w:color="auto"/>
        <w:right w:val="none" w:sz="0" w:space="0" w:color="auto"/>
      </w:divBdr>
    </w:div>
    <w:div w:id="464545041">
      <w:bodyDiv w:val="1"/>
      <w:marLeft w:val="0"/>
      <w:marRight w:val="0"/>
      <w:marTop w:val="0"/>
      <w:marBottom w:val="0"/>
      <w:divBdr>
        <w:top w:val="none" w:sz="0" w:space="0" w:color="auto"/>
        <w:left w:val="none" w:sz="0" w:space="0" w:color="auto"/>
        <w:bottom w:val="none" w:sz="0" w:space="0" w:color="auto"/>
        <w:right w:val="none" w:sz="0" w:space="0" w:color="auto"/>
      </w:divBdr>
    </w:div>
    <w:div w:id="474883511">
      <w:bodyDiv w:val="1"/>
      <w:marLeft w:val="0"/>
      <w:marRight w:val="0"/>
      <w:marTop w:val="0"/>
      <w:marBottom w:val="0"/>
      <w:divBdr>
        <w:top w:val="none" w:sz="0" w:space="0" w:color="auto"/>
        <w:left w:val="none" w:sz="0" w:space="0" w:color="auto"/>
        <w:bottom w:val="none" w:sz="0" w:space="0" w:color="auto"/>
        <w:right w:val="none" w:sz="0" w:space="0" w:color="auto"/>
      </w:divBdr>
    </w:div>
    <w:div w:id="480076487">
      <w:bodyDiv w:val="1"/>
      <w:marLeft w:val="0"/>
      <w:marRight w:val="0"/>
      <w:marTop w:val="0"/>
      <w:marBottom w:val="0"/>
      <w:divBdr>
        <w:top w:val="none" w:sz="0" w:space="0" w:color="auto"/>
        <w:left w:val="none" w:sz="0" w:space="0" w:color="auto"/>
        <w:bottom w:val="none" w:sz="0" w:space="0" w:color="auto"/>
        <w:right w:val="none" w:sz="0" w:space="0" w:color="auto"/>
      </w:divBdr>
    </w:div>
    <w:div w:id="500777109">
      <w:bodyDiv w:val="1"/>
      <w:marLeft w:val="0"/>
      <w:marRight w:val="0"/>
      <w:marTop w:val="0"/>
      <w:marBottom w:val="0"/>
      <w:divBdr>
        <w:top w:val="none" w:sz="0" w:space="0" w:color="auto"/>
        <w:left w:val="none" w:sz="0" w:space="0" w:color="auto"/>
        <w:bottom w:val="none" w:sz="0" w:space="0" w:color="auto"/>
        <w:right w:val="none" w:sz="0" w:space="0" w:color="auto"/>
      </w:divBdr>
    </w:div>
    <w:div w:id="517350905">
      <w:bodyDiv w:val="1"/>
      <w:marLeft w:val="0"/>
      <w:marRight w:val="0"/>
      <w:marTop w:val="0"/>
      <w:marBottom w:val="0"/>
      <w:divBdr>
        <w:top w:val="none" w:sz="0" w:space="0" w:color="auto"/>
        <w:left w:val="none" w:sz="0" w:space="0" w:color="auto"/>
        <w:bottom w:val="none" w:sz="0" w:space="0" w:color="auto"/>
        <w:right w:val="none" w:sz="0" w:space="0" w:color="auto"/>
      </w:divBdr>
    </w:div>
    <w:div w:id="525870246">
      <w:bodyDiv w:val="1"/>
      <w:marLeft w:val="0"/>
      <w:marRight w:val="0"/>
      <w:marTop w:val="0"/>
      <w:marBottom w:val="0"/>
      <w:divBdr>
        <w:top w:val="none" w:sz="0" w:space="0" w:color="auto"/>
        <w:left w:val="none" w:sz="0" w:space="0" w:color="auto"/>
        <w:bottom w:val="none" w:sz="0" w:space="0" w:color="auto"/>
        <w:right w:val="none" w:sz="0" w:space="0" w:color="auto"/>
      </w:divBdr>
    </w:div>
    <w:div w:id="610626515">
      <w:bodyDiv w:val="1"/>
      <w:marLeft w:val="0"/>
      <w:marRight w:val="0"/>
      <w:marTop w:val="0"/>
      <w:marBottom w:val="0"/>
      <w:divBdr>
        <w:top w:val="none" w:sz="0" w:space="0" w:color="auto"/>
        <w:left w:val="none" w:sz="0" w:space="0" w:color="auto"/>
        <w:bottom w:val="none" w:sz="0" w:space="0" w:color="auto"/>
        <w:right w:val="none" w:sz="0" w:space="0" w:color="auto"/>
      </w:divBdr>
    </w:div>
    <w:div w:id="619997303">
      <w:bodyDiv w:val="1"/>
      <w:marLeft w:val="0"/>
      <w:marRight w:val="0"/>
      <w:marTop w:val="0"/>
      <w:marBottom w:val="0"/>
      <w:divBdr>
        <w:top w:val="none" w:sz="0" w:space="0" w:color="auto"/>
        <w:left w:val="none" w:sz="0" w:space="0" w:color="auto"/>
        <w:bottom w:val="none" w:sz="0" w:space="0" w:color="auto"/>
        <w:right w:val="none" w:sz="0" w:space="0" w:color="auto"/>
      </w:divBdr>
    </w:div>
    <w:div w:id="621152818">
      <w:bodyDiv w:val="1"/>
      <w:marLeft w:val="0"/>
      <w:marRight w:val="0"/>
      <w:marTop w:val="0"/>
      <w:marBottom w:val="0"/>
      <w:divBdr>
        <w:top w:val="none" w:sz="0" w:space="0" w:color="auto"/>
        <w:left w:val="none" w:sz="0" w:space="0" w:color="auto"/>
        <w:bottom w:val="none" w:sz="0" w:space="0" w:color="auto"/>
        <w:right w:val="none" w:sz="0" w:space="0" w:color="auto"/>
      </w:divBdr>
    </w:div>
    <w:div w:id="742875006">
      <w:bodyDiv w:val="1"/>
      <w:marLeft w:val="0"/>
      <w:marRight w:val="0"/>
      <w:marTop w:val="0"/>
      <w:marBottom w:val="0"/>
      <w:divBdr>
        <w:top w:val="none" w:sz="0" w:space="0" w:color="auto"/>
        <w:left w:val="none" w:sz="0" w:space="0" w:color="auto"/>
        <w:bottom w:val="none" w:sz="0" w:space="0" w:color="auto"/>
        <w:right w:val="none" w:sz="0" w:space="0" w:color="auto"/>
      </w:divBdr>
    </w:div>
    <w:div w:id="828447689">
      <w:bodyDiv w:val="1"/>
      <w:marLeft w:val="0"/>
      <w:marRight w:val="0"/>
      <w:marTop w:val="0"/>
      <w:marBottom w:val="0"/>
      <w:divBdr>
        <w:top w:val="none" w:sz="0" w:space="0" w:color="auto"/>
        <w:left w:val="none" w:sz="0" w:space="0" w:color="auto"/>
        <w:bottom w:val="none" w:sz="0" w:space="0" w:color="auto"/>
        <w:right w:val="none" w:sz="0" w:space="0" w:color="auto"/>
      </w:divBdr>
    </w:div>
    <w:div w:id="852305892">
      <w:bodyDiv w:val="1"/>
      <w:marLeft w:val="0"/>
      <w:marRight w:val="0"/>
      <w:marTop w:val="0"/>
      <w:marBottom w:val="0"/>
      <w:divBdr>
        <w:top w:val="none" w:sz="0" w:space="0" w:color="auto"/>
        <w:left w:val="none" w:sz="0" w:space="0" w:color="auto"/>
        <w:bottom w:val="none" w:sz="0" w:space="0" w:color="auto"/>
        <w:right w:val="none" w:sz="0" w:space="0" w:color="auto"/>
      </w:divBdr>
    </w:div>
    <w:div w:id="876160649">
      <w:bodyDiv w:val="1"/>
      <w:marLeft w:val="0"/>
      <w:marRight w:val="0"/>
      <w:marTop w:val="0"/>
      <w:marBottom w:val="0"/>
      <w:divBdr>
        <w:top w:val="none" w:sz="0" w:space="0" w:color="auto"/>
        <w:left w:val="none" w:sz="0" w:space="0" w:color="auto"/>
        <w:bottom w:val="none" w:sz="0" w:space="0" w:color="auto"/>
        <w:right w:val="none" w:sz="0" w:space="0" w:color="auto"/>
      </w:divBdr>
    </w:div>
    <w:div w:id="958880181">
      <w:bodyDiv w:val="1"/>
      <w:marLeft w:val="0"/>
      <w:marRight w:val="0"/>
      <w:marTop w:val="0"/>
      <w:marBottom w:val="0"/>
      <w:divBdr>
        <w:top w:val="none" w:sz="0" w:space="0" w:color="auto"/>
        <w:left w:val="none" w:sz="0" w:space="0" w:color="auto"/>
        <w:bottom w:val="none" w:sz="0" w:space="0" w:color="auto"/>
        <w:right w:val="none" w:sz="0" w:space="0" w:color="auto"/>
      </w:divBdr>
    </w:div>
    <w:div w:id="1017122059">
      <w:bodyDiv w:val="1"/>
      <w:marLeft w:val="0"/>
      <w:marRight w:val="0"/>
      <w:marTop w:val="0"/>
      <w:marBottom w:val="0"/>
      <w:divBdr>
        <w:top w:val="none" w:sz="0" w:space="0" w:color="auto"/>
        <w:left w:val="none" w:sz="0" w:space="0" w:color="auto"/>
        <w:bottom w:val="none" w:sz="0" w:space="0" w:color="auto"/>
        <w:right w:val="none" w:sz="0" w:space="0" w:color="auto"/>
      </w:divBdr>
      <w:divsChild>
        <w:div w:id="1885168934">
          <w:marLeft w:val="0"/>
          <w:marRight w:val="0"/>
          <w:marTop w:val="0"/>
          <w:marBottom w:val="0"/>
          <w:divBdr>
            <w:top w:val="none" w:sz="0" w:space="0" w:color="auto"/>
            <w:left w:val="none" w:sz="0" w:space="0" w:color="auto"/>
            <w:bottom w:val="none" w:sz="0" w:space="0" w:color="auto"/>
            <w:right w:val="none" w:sz="0" w:space="0" w:color="auto"/>
          </w:divBdr>
        </w:div>
      </w:divsChild>
    </w:div>
    <w:div w:id="1034772317">
      <w:bodyDiv w:val="1"/>
      <w:marLeft w:val="0"/>
      <w:marRight w:val="0"/>
      <w:marTop w:val="0"/>
      <w:marBottom w:val="0"/>
      <w:divBdr>
        <w:top w:val="none" w:sz="0" w:space="0" w:color="auto"/>
        <w:left w:val="none" w:sz="0" w:space="0" w:color="auto"/>
        <w:bottom w:val="none" w:sz="0" w:space="0" w:color="auto"/>
        <w:right w:val="none" w:sz="0" w:space="0" w:color="auto"/>
      </w:divBdr>
    </w:div>
    <w:div w:id="1051461218">
      <w:bodyDiv w:val="1"/>
      <w:marLeft w:val="0"/>
      <w:marRight w:val="0"/>
      <w:marTop w:val="0"/>
      <w:marBottom w:val="0"/>
      <w:divBdr>
        <w:top w:val="none" w:sz="0" w:space="0" w:color="auto"/>
        <w:left w:val="none" w:sz="0" w:space="0" w:color="auto"/>
        <w:bottom w:val="none" w:sz="0" w:space="0" w:color="auto"/>
        <w:right w:val="none" w:sz="0" w:space="0" w:color="auto"/>
      </w:divBdr>
    </w:div>
    <w:div w:id="1160081125">
      <w:bodyDiv w:val="1"/>
      <w:marLeft w:val="0"/>
      <w:marRight w:val="0"/>
      <w:marTop w:val="0"/>
      <w:marBottom w:val="0"/>
      <w:divBdr>
        <w:top w:val="none" w:sz="0" w:space="0" w:color="auto"/>
        <w:left w:val="none" w:sz="0" w:space="0" w:color="auto"/>
        <w:bottom w:val="none" w:sz="0" w:space="0" w:color="auto"/>
        <w:right w:val="none" w:sz="0" w:space="0" w:color="auto"/>
      </w:divBdr>
    </w:div>
    <w:div w:id="1192065769">
      <w:bodyDiv w:val="1"/>
      <w:marLeft w:val="0"/>
      <w:marRight w:val="0"/>
      <w:marTop w:val="0"/>
      <w:marBottom w:val="0"/>
      <w:divBdr>
        <w:top w:val="none" w:sz="0" w:space="0" w:color="auto"/>
        <w:left w:val="none" w:sz="0" w:space="0" w:color="auto"/>
        <w:bottom w:val="none" w:sz="0" w:space="0" w:color="auto"/>
        <w:right w:val="none" w:sz="0" w:space="0" w:color="auto"/>
      </w:divBdr>
    </w:div>
    <w:div w:id="1218131757">
      <w:bodyDiv w:val="1"/>
      <w:marLeft w:val="0"/>
      <w:marRight w:val="0"/>
      <w:marTop w:val="0"/>
      <w:marBottom w:val="0"/>
      <w:divBdr>
        <w:top w:val="none" w:sz="0" w:space="0" w:color="auto"/>
        <w:left w:val="none" w:sz="0" w:space="0" w:color="auto"/>
        <w:bottom w:val="none" w:sz="0" w:space="0" w:color="auto"/>
        <w:right w:val="none" w:sz="0" w:space="0" w:color="auto"/>
      </w:divBdr>
    </w:div>
    <w:div w:id="1224675890">
      <w:bodyDiv w:val="1"/>
      <w:marLeft w:val="0"/>
      <w:marRight w:val="0"/>
      <w:marTop w:val="0"/>
      <w:marBottom w:val="0"/>
      <w:divBdr>
        <w:top w:val="none" w:sz="0" w:space="0" w:color="auto"/>
        <w:left w:val="none" w:sz="0" w:space="0" w:color="auto"/>
        <w:bottom w:val="none" w:sz="0" w:space="0" w:color="auto"/>
        <w:right w:val="none" w:sz="0" w:space="0" w:color="auto"/>
      </w:divBdr>
    </w:div>
    <w:div w:id="1229345700">
      <w:bodyDiv w:val="1"/>
      <w:marLeft w:val="0"/>
      <w:marRight w:val="0"/>
      <w:marTop w:val="0"/>
      <w:marBottom w:val="0"/>
      <w:divBdr>
        <w:top w:val="none" w:sz="0" w:space="0" w:color="auto"/>
        <w:left w:val="none" w:sz="0" w:space="0" w:color="auto"/>
        <w:bottom w:val="none" w:sz="0" w:space="0" w:color="auto"/>
        <w:right w:val="none" w:sz="0" w:space="0" w:color="auto"/>
      </w:divBdr>
    </w:div>
    <w:div w:id="1250577886">
      <w:bodyDiv w:val="1"/>
      <w:marLeft w:val="0"/>
      <w:marRight w:val="0"/>
      <w:marTop w:val="0"/>
      <w:marBottom w:val="0"/>
      <w:divBdr>
        <w:top w:val="none" w:sz="0" w:space="0" w:color="auto"/>
        <w:left w:val="none" w:sz="0" w:space="0" w:color="auto"/>
        <w:bottom w:val="none" w:sz="0" w:space="0" w:color="auto"/>
        <w:right w:val="none" w:sz="0" w:space="0" w:color="auto"/>
      </w:divBdr>
    </w:div>
    <w:div w:id="1263950596">
      <w:bodyDiv w:val="1"/>
      <w:marLeft w:val="0"/>
      <w:marRight w:val="0"/>
      <w:marTop w:val="0"/>
      <w:marBottom w:val="0"/>
      <w:divBdr>
        <w:top w:val="none" w:sz="0" w:space="0" w:color="auto"/>
        <w:left w:val="none" w:sz="0" w:space="0" w:color="auto"/>
        <w:bottom w:val="none" w:sz="0" w:space="0" w:color="auto"/>
        <w:right w:val="none" w:sz="0" w:space="0" w:color="auto"/>
      </w:divBdr>
    </w:div>
    <w:div w:id="1264609475">
      <w:bodyDiv w:val="1"/>
      <w:marLeft w:val="0"/>
      <w:marRight w:val="0"/>
      <w:marTop w:val="0"/>
      <w:marBottom w:val="0"/>
      <w:divBdr>
        <w:top w:val="none" w:sz="0" w:space="0" w:color="auto"/>
        <w:left w:val="none" w:sz="0" w:space="0" w:color="auto"/>
        <w:bottom w:val="none" w:sz="0" w:space="0" w:color="auto"/>
        <w:right w:val="none" w:sz="0" w:space="0" w:color="auto"/>
      </w:divBdr>
    </w:div>
    <w:div w:id="1273975846">
      <w:bodyDiv w:val="1"/>
      <w:marLeft w:val="0"/>
      <w:marRight w:val="0"/>
      <w:marTop w:val="0"/>
      <w:marBottom w:val="0"/>
      <w:divBdr>
        <w:top w:val="none" w:sz="0" w:space="0" w:color="auto"/>
        <w:left w:val="none" w:sz="0" w:space="0" w:color="auto"/>
        <w:bottom w:val="none" w:sz="0" w:space="0" w:color="auto"/>
        <w:right w:val="none" w:sz="0" w:space="0" w:color="auto"/>
      </w:divBdr>
    </w:div>
    <w:div w:id="1310792788">
      <w:bodyDiv w:val="1"/>
      <w:marLeft w:val="0"/>
      <w:marRight w:val="0"/>
      <w:marTop w:val="0"/>
      <w:marBottom w:val="0"/>
      <w:divBdr>
        <w:top w:val="none" w:sz="0" w:space="0" w:color="auto"/>
        <w:left w:val="none" w:sz="0" w:space="0" w:color="auto"/>
        <w:bottom w:val="none" w:sz="0" w:space="0" w:color="auto"/>
        <w:right w:val="none" w:sz="0" w:space="0" w:color="auto"/>
      </w:divBdr>
    </w:div>
    <w:div w:id="1331182025">
      <w:bodyDiv w:val="1"/>
      <w:marLeft w:val="0"/>
      <w:marRight w:val="0"/>
      <w:marTop w:val="0"/>
      <w:marBottom w:val="0"/>
      <w:divBdr>
        <w:top w:val="none" w:sz="0" w:space="0" w:color="auto"/>
        <w:left w:val="none" w:sz="0" w:space="0" w:color="auto"/>
        <w:bottom w:val="none" w:sz="0" w:space="0" w:color="auto"/>
        <w:right w:val="none" w:sz="0" w:space="0" w:color="auto"/>
      </w:divBdr>
    </w:div>
    <w:div w:id="1371564911">
      <w:bodyDiv w:val="1"/>
      <w:marLeft w:val="0"/>
      <w:marRight w:val="0"/>
      <w:marTop w:val="0"/>
      <w:marBottom w:val="0"/>
      <w:divBdr>
        <w:top w:val="none" w:sz="0" w:space="0" w:color="auto"/>
        <w:left w:val="none" w:sz="0" w:space="0" w:color="auto"/>
        <w:bottom w:val="none" w:sz="0" w:space="0" w:color="auto"/>
        <w:right w:val="none" w:sz="0" w:space="0" w:color="auto"/>
      </w:divBdr>
    </w:div>
    <w:div w:id="1405105994">
      <w:bodyDiv w:val="1"/>
      <w:marLeft w:val="0"/>
      <w:marRight w:val="0"/>
      <w:marTop w:val="0"/>
      <w:marBottom w:val="0"/>
      <w:divBdr>
        <w:top w:val="none" w:sz="0" w:space="0" w:color="auto"/>
        <w:left w:val="none" w:sz="0" w:space="0" w:color="auto"/>
        <w:bottom w:val="none" w:sz="0" w:space="0" w:color="auto"/>
        <w:right w:val="none" w:sz="0" w:space="0" w:color="auto"/>
      </w:divBdr>
    </w:div>
    <w:div w:id="1499883011">
      <w:bodyDiv w:val="1"/>
      <w:marLeft w:val="0"/>
      <w:marRight w:val="0"/>
      <w:marTop w:val="0"/>
      <w:marBottom w:val="0"/>
      <w:divBdr>
        <w:top w:val="none" w:sz="0" w:space="0" w:color="auto"/>
        <w:left w:val="none" w:sz="0" w:space="0" w:color="auto"/>
        <w:bottom w:val="none" w:sz="0" w:space="0" w:color="auto"/>
        <w:right w:val="none" w:sz="0" w:space="0" w:color="auto"/>
      </w:divBdr>
    </w:div>
    <w:div w:id="1567103188">
      <w:bodyDiv w:val="1"/>
      <w:marLeft w:val="0"/>
      <w:marRight w:val="0"/>
      <w:marTop w:val="0"/>
      <w:marBottom w:val="0"/>
      <w:divBdr>
        <w:top w:val="none" w:sz="0" w:space="0" w:color="auto"/>
        <w:left w:val="none" w:sz="0" w:space="0" w:color="auto"/>
        <w:bottom w:val="none" w:sz="0" w:space="0" w:color="auto"/>
        <w:right w:val="none" w:sz="0" w:space="0" w:color="auto"/>
      </w:divBdr>
    </w:div>
    <w:div w:id="1624460419">
      <w:bodyDiv w:val="1"/>
      <w:marLeft w:val="0"/>
      <w:marRight w:val="0"/>
      <w:marTop w:val="0"/>
      <w:marBottom w:val="0"/>
      <w:divBdr>
        <w:top w:val="none" w:sz="0" w:space="0" w:color="auto"/>
        <w:left w:val="none" w:sz="0" w:space="0" w:color="auto"/>
        <w:bottom w:val="none" w:sz="0" w:space="0" w:color="auto"/>
        <w:right w:val="none" w:sz="0" w:space="0" w:color="auto"/>
      </w:divBdr>
    </w:div>
    <w:div w:id="1660695174">
      <w:bodyDiv w:val="1"/>
      <w:marLeft w:val="0"/>
      <w:marRight w:val="0"/>
      <w:marTop w:val="0"/>
      <w:marBottom w:val="0"/>
      <w:divBdr>
        <w:top w:val="none" w:sz="0" w:space="0" w:color="auto"/>
        <w:left w:val="none" w:sz="0" w:space="0" w:color="auto"/>
        <w:bottom w:val="none" w:sz="0" w:space="0" w:color="auto"/>
        <w:right w:val="none" w:sz="0" w:space="0" w:color="auto"/>
      </w:divBdr>
    </w:div>
    <w:div w:id="1677145234">
      <w:bodyDiv w:val="1"/>
      <w:marLeft w:val="0"/>
      <w:marRight w:val="0"/>
      <w:marTop w:val="0"/>
      <w:marBottom w:val="0"/>
      <w:divBdr>
        <w:top w:val="none" w:sz="0" w:space="0" w:color="auto"/>
        <w:left w:val="none" w:sz="0" w:space="0" w:color="auto"/>
        <w:bottom w:val="none" w:sz="0" w:space="0" w:color="auto"/>
        <w:right w:val="none" w:sz="0" w:space="0" w:color="auto"/>
      </w:divBdr>
    </w:div>
    <w:div w:id="1693611574">
      <w:bodyDiv w:val="1"/>
      <w:marLeft w:val="0"/>
      <w:marRight w:val="0"/>
      <w:marTop w:val="0"/>
      <w:marBottom w:val="0"/>
      <w:divBdr>
        <w:top w:val="none" w:sz="0" w:space="0" w:color="auto"/>
        <w:left w:val="none" w:sz="0" w:space="0" w:color="auto"/>
        <w:bottom w:val="none" w:sz="0" w:space="0" w:color="auto"/>
        <w:right w:val="none" w:sz="0" w:space="0" w:color="auto"/>
      </w:divBdr>
    </w:div>
    <w:div w:id="1737319693">
      <w:bodyDiv w:val="1"/>
      <w:marLeft w:val="0"/>
      <w:marRight w:val="0"/>
      <w:marTop w:val="0"/>
      <w:marBottom w:val="0"/>
      <w:divBdr>
        <w:top w:val="none" w:sz="0" w:space="0" w:color="auto"/>
        <w:left w:val="none" w:sz="0" w:space="0" w:color="auto"/>
        <w:bottom w:val="none" w:sz="0" w:space="0" w:color="auto"/>
        <w:right w:val="none" w:sz="0" w:space="0" w:color="auto"/>
      </w:divBdr>
    </w:div>
    <w:div w:id="1805931413">
      <w:bodyDiv w:val="1"/>
      <w:marLeft w:val="0"/>
      <w:marRight w:val="0"/>
      <w:marTop w:val="0"/>
      <w:marBottom w:val="0"/>
      <w:divBdr>
        <w:top w:val="none" w:sz="0" w:space="0" w:color="auto"/>
        <w:left w:val="none" w:sz="0" w:space="0" w:color="auto"/>
        <w:bottom w:val="none" w:sz="0" w:space="0" w:color="auto"/>
        <w:right w:val="none" w:sz="0" w:space="0" w:color="auto"/>
      </w:divBdr>
    </w:div>
    <w:div w:id="1888301927">
      <w:bodyDiv w:val="1"/>
      <w:marLeft w:val="0"/>
      <w:marRight w:val="0"/>
      <w:marTop w:val="0"/>
      <w:marBottom w:val="0"/>
      <w:divBdr>
        <w:top w:val="none" w:sz="0" w:space="0" w:color="auto"/>
        <w:left w:val="none" w:sz="0" w:space="0" w:color="auto"/>
        <w:bottom w:val="none" w:sz="0" w:space="0" w:color="auto"/>
        <w:right w:val="none" w:sz="0" w:space="0" w:color="auto"/>
      </w:divBdr>
    </w:div>
    <w:div w:id="2016225263">
      <w:bodyDiv w:val="1"/>
      <w:marLeft w:val="0"/>
      <w:marRight w:val="0"/>
      <w:marTop w:val="0"/>
      <w:marBottom w:val="0"/>
      <w:divBdr>
        <w:top w:val="none" w:sz="0" w:space="0" w:color="auto"/>
        <w:left w:val="none" w:sz="0" w:space="0" w:color="auto"/>
        <w:bottom w:val="none" w:sz="0" w:space="0" w:color="auto"/>
        <w:right w:val="none" w:sz="0" w:space="0" w:color="auto"/>
      </w:divBdr>
    </w:div>
    <w:div w:id="2047023001">
      <w:bodyDiv w:val="1"/>
      <w:marLeft w:val="0"/>
      <w:marRight w:val="0"/>
      <w:marTop w:val="0"/>
      <w:marBottom w:val="0"/>
      <w:divBdr>
        <w:top w:val="none" w:sz="0" w:space="0" w:color="auto"/>
        <w:left w:val="none" w:sz="0" w:space="0" w:color="auto"/>
        <w:bottom w:val="none" w:sz="0" w:space="0" w:color="auto"/>
        <w:right w:val="none" w:sz="0" w:space="0" w:color="auto"/>
      </w:divBdr>
    </w:div>
    <w:div w:id="2053918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vija.l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dgars.Sidlovskis@fm.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sc.gov.lv/audzinasana/dokumenti/metmat/ieteikumi_klases_st_progr_ist.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visc.gov.lv/audzinasana/dokumenti/metmat/klases_stundu_progr_%20paraugs.pdf" TargetMode="External"/><Relationship Id="rId4" Type="http://schemas.openxmlformats.org/officeDocument/2006/relationships/settings" Target="settings.xml"/><Relationship Id="rId9" Type="http://schemas.openxmlformats.org/officeDocument/2006/relationships/hyperlink" Target="https://likumi.lv/ta/id/122941"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LV/TXT/?uri=CELEX:52011DC01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99EC9-E8A3-46FB-BB96-E697C2126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141</Pages>
  <Words>152494</Words>
  <Characters>86923</Characters>
  <Application>Microsoft Office Word</Application>
  <DocSecurity>0</DocSecurity>
  <Lines>724</Lines>
  <Paragraphs>477</Paragraphs>
  <ScaleCrop>false</ScaleCrop>
  <HeadingPairs>
    <vt:vector size="2" baseType="variant">
      <vt:variant>
        <vt:lpstr>Title</vt:lpstr>
      </vt:variant>
      <vt:variant>
        <vt:i4>1</vt:i4>
      </vt:variant>
    </vt:vector>
  </HeadingPairs>
  <TitlesOfParts>
    <vt:vector size="1" baseType="lpstr">
      <vt:lpstr>AZARTSPĒĻU UN IZLOŽU POLITIKAS PAMATNOSTĀDNES 2019.-2026.GADAM</vt:lpstr>
    </vt:vector>
  </TitlesOfParts>
  <Company>Finanšu ministrija</Company>
  <LinksUpToDate>false</LinksUpToDate>
  <CharactersWithSpaces>238940</CharactersWithSpaces>
  <SharedDoc>false</SharedDoc>
  <HLinks>
    <vt:vector size="18" baseType="variant">
      <vt:variant>
        <vt:i4>3080201</vt:i4>
      </vt:variant>
      <vt:variant>
        <vt:i4>6</vt:i4>
      </vt:variant>
      <vt:variant>
        <vt:i4>0</vt:i4>
      </vt:variant>
      <vt:variant>
        <vt:i4>5</vt:i4>
      </vt:variant>
      <vt:variant>
        <vt:lpwstr>mailto:Astra.Kalane@fm.gov.lv</vt:lpwstr>
      </vt:variant>
      <vt:variant>
        <vt:lpwstr/>
      </vt:variant>
      <vt:variant>
        <vt:i4>3276860</vt:i4>
      </vt:variant>
      <vt:variant>
        <vt:i4>3</vt:i4>
      </vt:variant>
      <vt:variant>
        <vt:i4>0</vt:i4>
      </vt:variant>
      <vt:variant>
        <vt:i4>5</vt:i4>
      </vt:variant>
      <vt:variant>
        <vt:lpwstr>http://tpi.mk.gov.lv/Terms.html</vt:lpwstr>
      </vt:variant>
      <vt:variant>
        <vt:lpwstr/>
      </vt:variant>
      <vt:variant>
        <vt:i4>2359408</vt:i4>
      </vt:variant>
      <vt:variant>
        <vt:i4>0</vt:i4>
      </vt:variant>
      <vt:variant>
        <vt:i4>0</vt:i4>
      </vt:variant>
      <vt:variant>
        <vt:i4>5</vt:i4>
      </vt:variant>
      <vt:variant>
        <vt:lpwstr>http://www.legaltext.ee/et/andmebaas/tekst.asp?loc=text&amp;dok=XXX0044K4&amp;keel=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AZARTSPĒĻU UN IZLOŽU POLITIKAS PAMATNOSTĀDNES 2019.-2026.GADAM</dc:title>
  <dc:subject>Izziņa par atzinumos sniegtajiem iebildumiem</dc:subject>
  <dc:creator>E.Šidlovskis</dc:creator>
  <cp:keywords/>
  <dc:description>edgars.sidlovskis@fm.gov.lv, 67083894</dc:description>
  <cp:lastModifiedBy>Edgars Šidlovskis</cp:lastModifiedBy>
  <cp:revision>4</cp:revision>
  <cp:lastPrinted>2020-07-08T13:13:00Z</cp:lastPrinted>
  <dcterms:created xsi:type="dcterms:W3CDTF">2021-03-11T10:58:00Z</dcterms:created>
  <dcterms:modified xsi:type="dcterms:W3CDTF">2021-03-11T15:00:00Z</dcterms:modified>
</cp:coreProperties>
</file>