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F95269" w:rsidRPr="00B17A79" w:rsidRDefault="00F95269" w:rsidP="007B2C33">
            <w:pPr>
              <w:jc w:val="center"/>
              <w:rPr>
                <w:sz w:val="26"/>
                <w:szCs w:val="26"/>
              </w:rPr>
            </w:pPr>
            <w:r w:rsidRPr="00B17A79">
              <w:rPr>
                <w:sz w:val="26"/>
                <w:szCs w:val="26"/>
              </w:rPr>
              <w:t>Grozījumi Ministru kabineta 2013.gada 15.janvāra noteikumos Nr.40</w:t>
            </w:r>
          </w:p>
          <w:p w:rsidR="007116C7" w:rsidRPr="00712B66" w:rsidRDefault="00F95269" w:rsidP="007B2C33">
            <w:pPr>
              <w:ind w:firstLine="720"/>
              <w:jc w:val="center"/>
            </w:pPr>
            <w:r w:rsidRPr="00B17A79">
              <w:rPr>
                <w:sz w:val="26"/>
                <w:szCs w:val="26"/>
              </w:rPr>
              <w:t>“Noteikumi par pievienotās vērtības nodokļa deklarācij</w:t>
            </w:r>
            <w:r w:rsidR="0010098E">
              <w:rPr>
                <w:sz w:val="26"/>
                <w:szCs w:val="26"/>
              </w:rPr>
              <w:t>ām</w:t>
            </w:r>
            <w:r w:rsidRPr="00B17A79">
              <w:rPr>
                <w:sz w:val="26"/>
                <w:szCs w:val="26"/>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r w:rsidR="008A36C9" w:rsidRPr="00712B66">
        <w:tc>
          <w:tcPr>
            <w:tcW w:w="70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4E7775" w:rsidP="0036160E">
            <w:pPr>
              <w:pStyle w:val="NormalWeb"/>
              <w:spacing w:before="0" w:beforeAutospacing="0" w:after="0" w:afterAutospacing="0"/>
              <w:ind w:firstLine="720"/>
            </w:pPr>
            <w:r>
              <w:t>20</w:t>
            </w:r>
            <w:r w:rsidR="0071634B">
              <w:t>20</w:t>
            </w:r>
            <w:r>
              <w:t xml:space="preserve">.gada </w:t>
            </w:r>
            <w:r w:rsidR="006B5B66">
              <w:t>7</w:t>
            </w:r>
            <w:r w:rsidR="0071634B">
              <w:t>.decembrī</w:t>
            </w: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4E7775" w:rsidP="004E7775">
            <w:pPr>
              <w:pStyle w:val="NormalWeb"/>
              <w:spacing w:before="0" w:beforeAutospacing="0" w:after="0" w:afterAutospacing="0"/>
              <w:ind w:firstLine="34"/>
            </w:pPr>
            <w:r>
              <w:t>Tieslietu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A00536" w:rsidP="0036160E">
            <w:pPr>
              <w:pStyle w:val="naiskr"/>
              <w:spacing w:before="0" w:after="0"/>
              <w:ind w:firstLine="12"/>
            </w:pPr>
            <w:r>
              <w:t>Tieslietu ministrijas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278"/>
        <w:gridCol w:w="1215"/>
        <w:gridCol w:w="2329"/>
        <w:gridCol w:w="3376"/>
      </w:tblGrid>
      <w:tr w:rsidR="00134188" w:rsidRPr="00712B66" w:rsidTr="009E7065">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376"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9E7065">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27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376"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386C45" w:rsidRPr="00586F17" w:rsidTr="009E7065">
        <w:tc>
          <w:tcPr>
            <w:tcW w:w="708" w:type="dxa"/>
            <w:tcBorders>
              <w:left w:val="single" w:sz="6" w:space="0" w:color="000000"/>
              <w:bottom w:val="single" w:sz="4" w:space="0" w:color="auto"/>
              <w:right w:val="single" w:sz="6" w:space="0" w:color="000000"/>
            </w:tcBorders>
          </w:tcPr>
          <w:p w:rsidR="00386C45" w:rsidRPr="00DE61C8" w:rsidRDefault="00386C45" w:rsidP="00386C45">
            <w:pPr>
              <w:pStyle w:val="naisc"/>
              <w:spacing w:before="0" w:after="0"/>
              <w:ind w:firstLine="720"/>
            </w:pPr>
          </w:p>
          <w:p w:rsidR="00386C45" w:rsidRPr="00DE61C8" w:rsidRDefault="00386C45" w:rsidP="00386C45">
            <w:r w:rsidRPr="00DE61C8">
              <w:t>1.</w:t>
            </w:r>
          </w:p>
        </w:tc>
        <w:tc>
          <w:tcPr>
            <w:tcW w:w="3086" w:type="dxa"/>
            <w:gridSpan w:val="2"/>
            <w:tcBorders>
              <w:left w:val="single" w:sz="6" w:space="0" w:color="000000"/>
              <w:bottom w:val="single" w:sz="4" w:space="0" w:color="auto"/>
              <w:right w:val="single" w:sz="6" w:space="0" w:color="000000"/>
            </w:tcBorders>
          </w:tcPr>
          <w:p w:rsidR="00386C45" w:rsidRDefault="00386C45" w:rsidP="00386C45">
            <w:pPr>
              <w:jc w:val="both"/>
            </w:pPr>
            <w:bookmarkStart w:id="0" w:name="_Hlk51587272"/>
            <w:r>
              <w:t>Noteikumu projekta 1.16.apakšpunkts.</w:t>
            </w:r>
          </w:p>
          <w:p w:rsidR="00386C45" w:rsidRDefault="00386C45" w:rsidP="00386C45">
            <w:pPr>
              <w:jc w:val="both"/>
            </w:pPr>
            <w:r w:rsidRPr="00DE61C8">
              <w:t>65.</w:t>
            </w:r>
            <w:r w:rsidRPr="00DE61C8">
              <w:rPr>
                <w:vertAlign w:val="superscript"/>
              </w:rPr>
              <w:t>13</w:t>
            </w:r>
            <w:r w:rsidRPr="00DE61C8">
              <w:t xml:space="preserve"> Deklarāciju par taksācijas periodā veiktajiem darījumiem, uz kuriem attiecas ārpussavienības režīms, savienības režīms vai importa režīms, aizpilda saskaņā ar Komisijas 2020. gada 12. februāra Īstenošanas regulas (ES) Nr. 2020/194, ar ko paredz sīki izstrādātus noteikumus Padomes Regulas (ES) Nr. </w:t>
            </w:r>
            <w:hyperlink r:id="rId7" w:tgtFrame="_blank" w:history="1">
              <w:r w:rsidRPr="00DE61C8">
                <w:rPr>
                  <w:rStyle w:val="Hyperlink"/>
                  <w:color w:val="auto"/>
                </w:rPr>
                <w:t>904/2010</w:t>
              </w:r>
            </w:hyperlink>
            <w:r w:rsidRPr="00DE61C8">
              <w:t xml:space="preserve"> piemērošanai attiecībā uz </w:t>
            </w:r>
            <w:r w:rsidRPr="00DE61C8">
              <w:lastRenderedPageBreak/>
              <w:t>īpašajiem režīmiem nodokļa maksātājiem, kas sniedz pakalpojumus personām, kuras nav nodokļa maksātājas, un kas veic preču tālpārdošanu un konkrētas preču piegādes iekšzemē (turpmāk – Komisijas Īstenošanas regula Nr. 2020/194), 4. panta un III pielikuma nosacījumiem.</w:t>
            </w:r>
          </w:p>
          <w:p w:rsidR="00386C45" w:rsidRDefault="00386C45" w:rsidP="00386C45">
            <w:pPr>
              <w:jc w:val="both"/>
            </w:pPr>
          </w:p>
          <w:p w:rsidR="00386C45" w:rsidRDefault="00386C45" w:rsidP="00386C45">
            <w:pPr>
              <w:jc w:val="both"/>
            </w:pPr>
            <w:r w:rsidRPr="00A54277">
              <w:t>Noteikumu projekta 1.17.apakšpunkts.</w:t>
            </w:r>
          </w:p>
          <w:p w:rsidR="00386C45" w:rsidRPr="00DE61C8" w:rsidRDefault="00386C45" w:rsidP="00B5736E">
            <w:pPr>
              <w:jc w:val="both"/>
            </w:pPr>
            <w:r w:rsidRPr="00A54277">
              <w:t xml:space="preserve">79. Ja iekšzemes reģistrēts nodokļa maksātājs par sniegtajiem pakalpojumiem, kuriem līdz 2021. gada 30. jūnijam nepiemēroja savienības režīmu, un preču piegādēm, kurām līdz 2021. gada 30. jūnijam nepiemēroja savienības vai importa režīmu, personām, kuras nav nodokļa maksātājas, ir daļēji saņēmis atlīdzību līdz 2021. gada 30. jūnijam, tad saņemto atlīdzības daļu norāda deklarācijā, kuru iesniedz saskaņā ar likuma 116.pantu. Savukārt, ja iekšzemes reģistrēts nodokļa maksātājs, sākot ar 2021. gada 1. jūliju, </w:t>
            </w:r>
            <w:r w:rsidRPr="00A54277">
              <w:lastRenderedPageBreak/>
              <w:t>izmanto savienības režīmu vai importa režīmu un 2021. gada 1. jūlijā vai vēlāk saņem atlikušo atlīdzības daļu par sniegto pakalpojumu personai, kura nav nodokļa maksātājs, vai preču piegādi, personai, kura nav nodokļa maksātājs, tad sniegtā pakalpojuma vērtību vai piegādāto preču vērtību, kas samazināta par līdz 2021. gada 30. jūnijam saņemto atlīdzību, un no tās aprēķināto nodokli, norāda deklarācijā, kuru aizpilda un iesniedz saskaņā ar Komisijas Īstenošanas regulas Nr. 2020/194 4. panta un III pielikuma nosacījumiem.</w:t>
            </w:r>
            <w:bookmarkEnd w:id="0"/>
          </w:p>
        </w:tc>
        <w:tc>
          <w:tcPr>
            <w:tcW w:w="4278" w:type="dxa"/>
            <w:tcBorders>
              <w:left w:val="single" w:sz="6" w:space="0" w:color="000000"/>
              <w:bottom w:val="single" w:sz="4" w:space="0" w:color="auto"/>
              <w:right w:val="single" w:sz="6" w:space="0" w:color="000000"/>
            </w:tcBorders>
          </w:tcPr>
          <w:p w:rsidR="00386C45" w:rsidRDefault="00386C45" w:rsidP="00386C45">
            <w:pPr>
              <w:ind w:right="-2" w:firstLine="339"/>
              <w:jc w:val="both"/>
              <w:rPr>
                <w:b/>
                <w:color w:val="000000"/>
              </w:rPr>
            </w:pPr>
            <w:r>
              <w:rPr>
                <w:b/>
                <w:color w:val="000000"/>
              </w:rPr>
              <w:lastRenderedPageBreak/>
              <w:t>Tieslietu ministrijas iebildumi</w:t>
            </w:r>
          </w:p>
          <w:p w:rsidR="00386C45" w:rsidRDefault="00386C45" w:rsidP="00386C45">
            <w:pPr>
              <w:ind w:right="-2" w:hanging="86"/>
              <w:jc w:val="both"/>
              <w:rPr>
                <w:b/>
              </w:rPr>
            </w:pPr>
            <w:r w:rsidRPr="00DE61C8">
              <w:rPr>
                <w:b/>
              </w:rPr>
              <w:t>(2020.gada 3.decembra atzinums Nr.1-9.1/1294</w:t>
            </w:r>
            <w:r>
              <w:rPr>
                <w:b/>
              </w:rPr>
              <w:t>)</w:t>
            </w:r>
          </w:p>
          <w:p w:rsidR="00386C45" w:rsidRPr="0058510A" w:rsidRDefault="00386C45" w:rsidP="00386C45">
            <w:pPr>
              <w:ind w:right="-2" w:hanging="86"/>
              <w:jc w:val="both"/>
            </w:pPr>
            <w:r w:rsidRPr="0058510A">
              <w:t xml:space="preserve">Projekta 1.16. un 1.17. apakšpunktā ietverta atsauce uz </w:t>
            </w:r>
            <w:r w:rsidRPr="0019718D">
              <w:t>Komisijas 2020.</w:t>
            </w:r>
            <w:r>
              <w:t> </w:t>
            </w:r>
            <w:r w:rsidRPr="0019718D">
              <w:t>gada 12.</w:t>
            </w:r>
            <w:r>
              <w:t> </w:t>
            </w:r>
            <w:r w:rsidRPr="0019718D">
              <w:t>februāra Īstenošanas regulas (ES) Nr. 2020/194, ar ko paredz sīki izstrādātus noteikumus Padomes Regulas (ES) Nr. </w:t>
            </w:r>
            <w:hyperlink r:id="rId8" w:tgtFrame="_blank" w:history="1">
              <w:r w:rsidRPr="0019718D">
                <w:t>904/2010</w:t>
              </w:r>
            </w:hyperlink>
            <w:r w:rsidRPr="0019718D">
              <w:t xml:space="preserve"> piemērošanai attiecībā uz īpašajiem režīmiem nodokļa maksātājiem, kas sniedz pakalpojumus personām, kuras nav nodokļa maksātājas, un kas veic preču tālpārdošanu un konkrētas preču piegādes iekšzemē </w:t>
            </w:r>
            <w:r w:rsidRPr="0058510A">
              <w:t xml:space="preserve">4. panta un III pielikuma nosacījumiem, kuros ir ietvertas norādes </w:t>
            </w:r>
            <w:r w:rsidRPr="0058510A">
              <w:lastRenderedPageBreak/>
              <w:t xml:space="preserve">uz </w:t>
            </w:r>
            <w:r w:rsidR="00A02D92">
              <w:t xml:space="preserve"> </w:t>
            </w:r>
            <w:r w:rsidRPr="0058510A">
              <w:t xml:space="preserve">Direktīvas 2006/112/EK 365., 369.g vai 369.t pantu. Nepieciešams skaidrot, vai minētās direktīvas normas ir pārņemtas Latvijas tiesībās, un izvērtēt nepieciešamību projektā iekļaut atsauci uz šādām Latvijas normām. </w:t>
            </w:r>
          </w:p>
          <w:p w:rsidR="00386C45" w:rsidRPr="00DE61C8" w:rsidRDefault="00386C45" w:rsidP="00386C45">
            <w:pPr>
              <w:ind w:right="-2" w:hanging="86"/>
              <w:jc w:val="both"/>
              <w:rPr>
                <w:b/>
              </w:rPr>
            </w:pPr>
          </w:p>
        </w:tc>
        <w:tc>
          <w:tcPr>
            <w:tcW w:w="3544" w:type="dxa"/>
            <w:gridSpan w:val="2"/>
            <w:tcBorders>
              <w:left w:val="single" w:sz="6" w:space="0" w:color="000000"/>
              <w:bottom w:val="single" w:sz="4" w:space="0" w:color="auto"/>
              <w:right w:val="single" w:sz="6" w:space="0" w:color="000000"/>
            </w:tcBorders>
          </w:tcPr>
          <w:p w:rsidR="00386C45" w:rsidRPr="00010742" w:rsidRDefault="00386C45" w:rsidP="00010742">
            <w:pPr>
              <w:pStyle w:val="naisc"/>
              <w:spacing w:before="0" w:after="0"/>
              <w:jc w:val="left"/>
              <w:rPr>
                <w:b/>
              </w:rPr>
            </w:pPr>
            <w:r w:rsidRPr="002A5829">
              <w:rPr>
                <w:b/>
              </w:rPr>
              <w:lastRenderedPageBreak/>
              <w:t>Panākta vienošanās</w:t>
            </w:r>
            <w:r w:rsidR="002A5829">
              <w:t xml:space="preserve"> </w:t>
            </w:r>
          </w:p>
          <w:p w:rsidR="00386C45" w:rsidRPr="00586F17" w:rsidRDefault="00E873A7" w:rsidP="00B0217F">
            <w:pPr>
              <w:ind w:right="-2" w:hanging="86"/>
              <w:jc w:val="both"/>
            </w:pPr>
            <w:r>
              <w:t>Izvērtējot iebildumu</w:t>
            </w:r>
            <w:r w:rsidR="003A1458">
              <w:t>,</w:t>
            </w:r>
            <w:r>
              <w:t xml:space="preserve"> </w:t>
            </w:r>
            <w:r w:rsidR="00010742">
              <w:t>panākta vienošanās, ka n</w:t>
            </w:r>
            <w:r w:rsidR="00C84785">
              <w:t xml:space="preserve">av nepieciešams skaidrot, </w:t>
            </w:r>
            <w:r w:rsidR="00C84785" w:rsidRPr="0058510A">
              <w:t xml:space="preserve">vai </w:t>
            </w:r>
            <w:r w:rsidR="00B62229" w:rsidRPr="00B62229">
              <w:t>Padomes 2006.gada 28.novembra direktīvas 2006/112/EK par kopējo pievienotās vērtības nodokļa sistēmu (turpmāk – Direktīva 2006/112/EK)</w:t>
            </w:r>
            <w:r w:rsidR="00B62229" w:rsidRPr="00DC438E">
              <w:rPr>
                <w:sz w:val="26"/>
                <w:szCs w:val="26"/>
              </w:rPr>
              <w:t xml:space="preserve"> </w:t>
            </w:r>
            <w:r w:rsidR="00431CD4" w:rsidRPr="0058510A">
              <w:t>365., 369.g vai 369.t pant</w:t>
            </w:r>
            <w:r w:rsidR="00431CD4">
              <w:t xml:space="preserve">a </w:t>
            </w:r>
            <w:r w:rsidR="00C84785" w:rsidRPr="0058510A">
              <w:t>normas ir pārņemtas Latvijas tiesībās, un izvērtēt nepieciešamību projektā iekļaut atsauci uz šādām Latvijas normām</w:t>
            </w:r>
            <w:r w:rsidR="00431CD4">
              <w:t xml:space="preserve">, jo </w:t>
            </w:r>
            <w:r w:rsidR="00985D07">
              <w:t xml:space="preserve">Pievienotās vērtības nodokļa likuma </w:t>
            </w:r>
            <w:r w:rsidR="00985D07" w:rsidRPr="004F6576">
              <w:rPr>
                <w:color w:val="000000" w:themeColor="text1"/>
              </w:rPr>
              <w:t>140.</w:t>
            </w:r>
            <w:r w:rsidR="00985D07" w:rsidRPr="003560CA">
              <w:rPr>
                <w:color w:val="000000" w:themeColor="text1"/>
                <w:vertAlign w:val="superscript"/>
              </w:rPr>
              <w:t>2</w:t>
            </w:r>
            <w:r w:rsidR="00985D07">
              <w:rPr>
                <w:color w:val="000000" w:themeColor="text1"/>
              </w:rPr>
              <w:t xml:space="preserve">panta trīspadsmitajā </w:t>
            </w:r>
            <w:r w:rsidR="00985D07">
              <w:rPr>
                <w:color w:val="000000" w:themeColor="text1"/>
              </w:rPr>
              <w:lastRenderedPageBreak/>
              <w:t>daļā,</w:t>
            </w:r>
            <w:r w:rsidR="00985D07" w:rsidRPr="003560CA">
              <w:rPr>
                <w:color w:val="000000" w:themeColor="text1"/>
              </w:rPr>
              <w:t xml:space="preserve"> 140.</w:t>
            </w:r>
            <w:r w:rsidR="00985D07" w:rsidRPr="003560CA">
              <w:rPr>
                <w:color w:val="000000" w:themeColor="text1"/>
                <w:vertAlign w:val="superscript"/>
              </w:rPr>
              <w:t>3</w:t>
            </w:r>
            <w:r w:rsidR="00985D07">
              <w:rPr>
                <w:color w:val="000000" w:themeColor="text1"/>
              </w:rPr>
              <w:t xml:space="preserve">panta trīspadsmitajā daļā </w:t>
            </w:r>
            <w:r w:rsidR="00985D07" w:rsidRPr="003560CA">
              <w:rPr>
                <w:color w:val="000000" w:themeColor="text1"/>
              </w:rPr>
              <w:t>un 140.</w:t>
            </w:r>
            <w:r w:rsidR="00985D07" w:rsidRPr="003560CA">
              <w:rPr>
                <w:color w:val="000000" w:themeColor="text1"/>
                <w:vertAlign w:val="superscript"/>
              </w:rPr>
              <w:t>4</w:t>
            </w:r>
            <w:r w:rsidR="00985D07" w:rsidRPr="003560CA">
              <w:rPr>
                <w:color w:val="000000" w:themeColor="text1"/>
              </w:rPr>
              <w:t>pant</w:t>
            </w:r>
            <w:r w:rsidR="00985D07">
              <w:rPr>
                <w:color w:val="000000" w:themeColor="text1"/>
              </w:rPr>
              <w:t>a deviņpadsmitajā daļā (redakcijā, kas stāsies spēkā 2021.gada 1.jūlijā)</w:t>
            </w:r>
            <w:r w:rsidR="00985D07">
              <w:t xml:space="preserve"> ir noteikts deleģējums </w:t>
            </w:r>
            <w:r w:rsidR="00431CD4" w:rsidRPr="00085BE6">
              <w:t>Ministru kabinetam</w:t>
            </w:r>
            <w:r w:rsidR="00B0217F">
              <w:t xml:space="preserve"> </w:t>
            </w:r>
            <w:r w:rsidR="00792B4D">
              <w:t xml:space="preserve">noteikt </w:t>
            </w:r>
            <w:r w:rsidR="00792B4D" w:rsidRPr="00792B4D">
              <w:t>kārtību</w:t>
            </w:r>
            <w:r w:rsidR="00792B4D" w:rsidRPr="00792B4D">
              <w:rPr>
                <w:bCs/>
              </w:rPr>
              <w:t xml:space="preserve">, kādā sagatavo un aizpilda </w:t>
            </w:r>
            <w:r w:rsidR="00D04019">
              <w:rPr>
                <w:bCs/>
              </w:rPr>
              <w:t>nodokļa</w:t>
            </w:r>
            <w:r w:rsidR="005B31FB">
              <w:rPr>
                <w:bCs/>
              </w:rPr>
              <w:t xml:space="preserve"> </w:t>
            </w:r>
            <w:r w:rsidR="00792B4D" w:rsidRPr="00792B4D">
              <w:rPr>
                <w:bCs/>
              </w:rPr>
              <w:t xml:space="preserve">deklarāciju par taksācijas periodā veiktajiem darījumiem, </w:t>
            </w:r>
            <w:r w:rsidR="00792B4D" w:rsidRPr="00792B4D">
              <w:t>uz kuriem attiecas ārpussavienības režīms, savienības režīms vai importa režīms, un veic tajā labojumus</w:t>
            </w:r>
            <w:r w:rsidR="00792B4D" w:rsidRPr="00792B4D">
              <w:rPr>
                <w:bCs/>
              </w:rPr>
              <w:t>, kā arī nosaka deklarācijā norādāmo informāciju, tas ir</w:t>
            </w:r>
            <w:r w:rsidR="00B0217F" w:rsidRPr="00792B4D">
              <w:t xml:space="preserve">, </w:t>
            </w:r>
            <w:r w:rsidR="00B0217F" w:rsidRPr="0058510A">
              <w:t xml:space="preserve">Direktīvas 2006/112/EK 365., 369.g </w:t>
            </w:r>
            <w:r w:rsidR="00B0217F">
              <w:t>un</w:t>
            </w:r>
            <w:r w:rsidR="00B0217F" w:rsidRPr="0058510A">
              <w:t xml:space="preserve"> 369.t pant</w:t>
            </w:r>
            <w:r w:rsidR="00B0217F">
              <w:t xml:space="preserve">a </w:t>
            </w:r>
            <w:r w:rsidR="00B0217F" w:rsidRPr="0058510A">
              <w:t>normas</w:t>
            </w:r>
            <w:r w:rsidR="00B0217F">
              <w:t xml:space="preserve"> pārņemt Ministru kabineta 2013.gada 15.janvāra noteikumos Nr.40 “Noteikumi par pievienotās vērtības nodokļa deklarācijām”.</w:t>
            </w:r>
          </w:p>
        </w:tc>
        <w:tc>
          <w:tcPr>
            <w:tcW w:w="3376" w:type="dxa"/>
            <w:tcBorders>
              <w:top w:val="single" w:sz="4" w:space="0" w:color="auto"/>
              <w:left w:val="single" w:sz="4" w:space="0" w:color="auto"/>
              <w:bottom w:val="single" w:sz="4" w:space="0" w:color="auto"/>
            </w:tcBorders>
          </w:tcPr>
          <w:p w:rsidR="00386C45" w:rsidRDefault="00386C45" w:rsidP="00386C45">
            <w:pPr>
              <w:jc w:val="both"/>
            </w:pPr>
            <w:r>
              <w:lastRenderedPageBreak/>
              <w:t>Noteikumu projekta 1.16.apakšpunkts.</w:t>
            </w:r>
          </w:p>
          <w:p w:rsidR="00386C45" w:rsidRDefault="00386C45" w:rsidP="00386C45">
            <w:pPr>
              <w:jc w:val="both"/>
            </w:pPr>
            <w:r w:rsidRPr="00DE61C8">
              <w:t>65.</w:t>
            </w:r>
            <w:r w:rsidRPr="00DE61C8">
              <w:rPr>
                <w:vertAlign w:val="superscript"/>
              </w:rPr>
              <w:t>13</w:t>
            </w:r>
            <w:r w:rsidRPr="00DE61C8">
              <w:t xml:space="preserve"> Deklarāciju par taksācijas periodā veiktajiem darījumiem, uz kuriem attiecas ārpussavienības režīms, savienības režīms vai importa režīms, aizpilda saskaņā ar Komisijas 2020. gada 12. februāra Īstenošanas regulas (ES) Nr. 2020/194, ar ko paredz sīki izstrādātus noteikumus Padomes Regulas (ES) Nr. </w:t>
            </w:r>
            <w:hyperlink r:id="rId9" w:tgtFrame="_blank" w:history="1">
              <w:r w:rsidRPr="00DE61C8">
                <w:rPr>
                  <w:rStyle w:val="Hyperlink"/>
                  <w:color w:val="auto"/>
                </w:rPr>
                <w:t>904/2010</w:t>
              </w:r>
            </w:hyperlink>
            <w:r w:rsidRPr="00DE61C8">
              <w:t xml:space="preserve"> piemērošanai attiecībā uz īpašajiem režīmiem </w:t>
            </w:r>
            <w:r w:rsidRPr="00DE61C8">
              <w:lastRenderedPageBreak/>
              <w:t>nodokļa maksātājiem, kas sniedz pakalpojumus personām, kuras nav nodokļa maksātājas, un kas veic preču tālpārdošanu un konkrētas preču piegādes iekšzemē (turpmāk – Komisijas Īstenošanas regula Nr. 2020/194), 4. panta un III pielikuma nosacījumiem.</w:t>
            </w:r>
          </w:p>
          <w:p w:rsidR="00386C45" w:rsidRDefault="00386C45" w:rsidP="00386C45">
            <w:pPr>
              <w:jc w:val="both"/>
            </w:pPr>
          </w:p>
          <w:p w:rsidR="00386C45" w:rsidRDefault="00386C45" w:rsidP="00386C45">
            <w:pPr>
              <w:jc w:val="both"/>
            </w:pPr>
            <w:r w:rsidRPr="00A54277">
              <w:t>Noteikumu projekta 1.17.apakšpunkts.</w:t>
            </w:r>
          </w:p>
          <w:p w:rsidR="00386C45" w:rsidRPr="00A54277" w:rsidRDefault="00386C45" w:rsidP="00386C45">
            <w:pPr>
              <w:jc w:val="both"/>
            </w:pPr>
            <w:r w:rsidRPr="00A54277">
              <w:t xml:space="preserve">79. Ja iekšzemes reģistrēts nodokļa maksātājs par sniegtajiem pakalpojumiem, kuriem līdz 2021. gada 30. jūnijam nepiemēroja savienības režīmu, un preču piegādēm, kurām līdz 2021. gada 30. jūnijam nepiemēroja savienības vai importa režīmu, personām, kuras nav nodokļa maksātājas, ir daļēji saņēmis atlīdzību līdz 2021. gada 30. jūnijam, tad saņemto atlīdzības daļu norāda deklarācijā, kuru iesniedz saskaņā ar likuma 116.pantu. Savukārt, ja iekšzemes reģistrēts nodokļa maksātājs, sākot ar 2021. gada 1. jūliju, izmanto savienības režīmu vai importa režīmu un 2021. gada 1. jūlijā vai vēlāk saņem atlikušo atlīdzības </w:t>
            </w:r>
            <w:r w:rsidRPr="00A54277">
              <w:lastRenderedPageBreak/>
              <w:t>daļu par sniegto pakalpojumu personai, kura nav nodokļa maksātājs, vai preču piegādi, personai, kura nav nodokļa maksātājs, tad sniegtā pakalpojuma vērtību vai piegādāto preču vērtību, kas samazināta par līdz 2021. gada 30. jūnijam saņemto atlīdzību, un no tās aprēķināto nodokli, norāda deklarācijā, kuru aizpilda un iesniedz saskaņā ar Komisijas Īstenošanas regulas Nr. 2020/194 4. panta un III pielikuma nosacījumiem.</w:t>
            </w:r>
          </w:p>
          <w:p w:rsidR="00386C45" w:rsidRPr="00DE61C8" w:rsidRDefault="00386C45" w:rsidP="00386C45">
            <w:pPr>
              <w:jc w:val="both"/>
            </w:pPr>
          </w:p>
          <w:p w:rsidR="00386C45" w:rsidRPr="00DE61C8" w:rsidRDefault="00386C45" w:rsidP="00386C45">
            <w:pPr>
              <w:ind w:firstLine="720"/>
              <w:jc w:val="both"/>
            </w:pPr>
          </w:p>
        </w:tc>
      </w:tr>
      <w:tr w:rsidR="00386C45" w:rsidRPr="00586F17" w:rsidTr="009E7065">
        <w:tc>
          <w:tcPr>
            <w:tcW w:w="708" w:type="dxa"/>
            <w:tcBorders>
              <w:left w:val="single" w:sz="6" w:space="0" w:color="000000"/>
              <w:bottom w:val="single" w:sz="4" w:space="0" w:color="auto"/>
              <w:right w:val="single" w:sz="6" w:space="0" w:color="000000"/>
            </w:tcBorders>
          </w:tcPr>
          <w:p w:rsidR="00386C45" w:rsidRDefault="00386C45" w:rsidP="00386C45">
            <w:pPr>
              <w:pStyle w:val="naisc"/>
              <w:spacing w:before="0" w:after="0"/>
              <w:ind w:firstLine="720"/>
            </w:pPr>
            <w:r>
              <w:lastRenderedPageBreak/>
              <w:t>2</w:t>
            </w:r>
          </w:p>
          <w:p w:rsidR="00386C45" w:rsidRPr="00A54277" w:rsidRDefault="00386C45" w:rsidP="00386C45">
            <w:r>
              <w:t>2.</w:t>
            </w:r>
          </w:p>
        </w:tc>
        <w:tc>
          <w:tcPr>
            <w:tcW w:w="3086" w:type="dxa"/>
            <w:gridSpan w:val="2"/>
            <w:tcBorders>
              <w:left w:val="single" w:sz="6" w:space="0" w:color="000000"/>
              <w:bottom w:val="single" w:sz="4" w:space="0" w:color="auto"/>
              <w:right w:val="single" w:sz="6" w:space="0" w:color="000000"/>
            </w:tcBorders>
          </w:tcPr>
          <w:p w:rsidR="004C2BE9" w:rsidRDefault="004C2BE9" w:rsidP="004C2BE9">
            <w:pPr>
              <w:pStyle w:val="NormalWeb"/>
              <w:spacing w:before="0" w:beforeAutospacing="0" w:after="0" w:afterAutospacing="0"/>
              <w:jc w:val="both"/>
            </w:pPr>
            <w:r>
              <w:t>Noteikumu projekta 1.16.apakšpunkts</w:t>
            </w:r>
          </w:p>
          <w:p w:rsidR="00386C45" w:rsidRPr="00A54277" w:rsidRDefault="00386C45" w:rsidP="004C2BE9">
            <w:pPr>
              <w:pStyle w:val="NormalWeb"/>
              <w:spacing w:before="0" w:beforeAutospacing="0" w:after="0" w:afterAutospacing="0"/>
              <w:jc w:val="both"/>
            </w:pPr>
            <w:r w:rsidRPr="00A54277">
              <w:t>65.</w:t>
            </w:r>
            <w:r w:rsidRPr="00A54277">
              <w:rPr>
                <w:vertAlign w:val="superscript"/>
              </w:rPr>
              <w:t>16</w:t>
            </w:r>
            <w:r w:rsidRPr="00A54277">
              <w:t xml:space="preserve"> Ja nodokļa maksātājs ārpussavienības režīmu vai savienības režīmu piemēro no dienas, kad darījumi tika veikti pirmo reizi, nodokļa maksātājs iesniedz atsevišķu deklarāciju par to kalendāra ceturksni, kurā darījumi tika veikti pirmo reizi, saskaņā ar Padomes 2011. gada 15. marta Īstenošanas regulas </w:t>
            </w:r>
            <w:r w:rsidRPr="00A54277">
              <w:lastRenderedPageBreak/>
              <w:t xml:space="preserve">(ES) Nr. </w:t>
            </w:r>
            <w:hyperlink r:id="rId10" w:tgtFrame="_blank" w:history="1">
              <w:r w:rsidRPr="00A54277">
                <w:t>282/2011</w:t>
              </w:r>
            </w:hyperlink>
            <w:r w:rsidRPr="00A54277">
              <w:t xml:space="preserve">, ar ko nosaka īstenošanas pasākumus direktīvai </w:t>
            </w:r>
            <w:hyperlink r:id="rId11" w:tgtFrame="_blank" w:history="1">
              <w:r w:rsidRPr="00A54277">
                <w:t>2006/112/EK</w:t>
              </w:r>
            </w:hyperlink>
            <w:r w:rsidRPr="00A54277">
              <w:t xml:space="preserve"> par kopējo pievienotās vērtības nodokļa sistēmu 59. panta 2. punktu (Padomes 2019. gada 21. novembra Īstenošanas regulas (ES) Nr. </w:t>
            </w:r>
            <w:hyperlink r:id="rId12" w:tgtFrame="_blank" w:history="1">
              <w:r w:rsidRPr="00A54277">
                <w:t>2019/2026</w:t>
              </w:r>
            </w:hyperlink>
            <w:r w:rsidRPr="00A54277">
              <w:t xml:space="preserve">, ar ko groza Īstenošanas regulu (ES) Nr. </w:t>
            </w:r>
            <w:hyperlink r:id="rId13" w:tgtFrame="_blank" w:history="1">
              <w:r w:rsidRPr="00A54277">
                <w:t>282/2011</w:t>
              </w:r>
            </w:hyperlink>
            <w:r w:rsidRPr="00A54277">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redakcijā). </w:t>
            </w:r>
          </w:p>
          <w:p w:rsidR="00386C45" w:rsidRPr="00A54277" w:rsidRDefault="00386C45" w:rsidP="00386C45">
            <w:pPr>
              <w:jc w:val="both"/>
            </w:pPr>
          </w:p>
          <w:p w:rsidR="00386C45" w:rsidRPr="00A54277" w:rsidRDefault="00386C45" w:rsidP="00386C45">
            <w:pPr>
              <w:jc w:val="both"/>
            </w:pPr>
          </w:p>
        </w:tc>
        <w:tc>
          <w:tcPr>
            <w:tcW w:w="4278" w:type="dxa"/>
            <w:tcBorders>
              <w:left w:val="single" w:sz="6" w:space="0" w:color="000000"/>
              <w:bottom w:val="single" w:sz="4" w:space="0" w:color="auto"/>
              <w:right w:val="single" w:sz="6" w:space="0" w:color="000000"/>
            </w:tcBorders>
          </w:tcPr>
          <w:p w:rsidR="00386C45" w:rsidRPr="0058510A" w:rsidRDefault="00386C45" w:rsidP="00386C45">
            <w:pPr>
              <w:pStyle w:val="NormalWeb"/>
              <w:spacing w:before="0" w:after="0"/>
              <w:ind w:right="13"/>
              <w:jc w:val="both"/>
            </w:pPr>
            <w:r w:rsidRPr="0058510A">
              <w:lastRenderedPageBreak/>
              <w:t xml:space="preserve">Lūdzam atkārtoti izvērtēt projekta 1.16. apakšpunktā izteikto </w:t>
            </w:r>
            <w:r w:rsidRPr="00EA3BD9">
              <w:t>Ministru kabineta 2013.</w:t>
            </w:r>
            <w:r>
              <w:t> </w:t>
            </w:r>
            <w:r w:rsidRPr="00EA3BD9">
              <w:t>gada 15.</w:t>
            </w:r>
            <w:r>
              <w:t> </w:t>
            </w:r>
            <w:r w:rsidRPr="00EA3BD9">
              <w:t>janvāra noteikum</w:t>
            </w:r>
            <w:r>
              <w:t>u</w:t>
            </w:r>
            <w:r w:rsidRPr="00EA3BD9">
              <w:t xml:space="preserve"> Nr.</w:t>
            </w:r>
            <w:r>
              <w:t> </w:t>
            </w:r>
            <w:r w:rsidRPr="00EA3BD9">
              <w:t>40 "Noteikumi par pievienotās vērtības nodokļa deklarācijām</w:t>
            </w:r>
            <w:r>
              <w:t xml:space="preserve">"" (turpmāk – noteikumi Nr. 40) </w:t>
            </w:r>
            <w:r w:rsidRPr="0058510A">
              <w:t>65.</w:t>
            </w:r>
            <w:r w:rsidRPr="0058510A">
              <w:rPr>
                <w:vertAlign w:val="superscript"/>
              </w:rPr>
              <w:t>16</w:t>
            </w:r>
            <w:r w:rsidRPr="0058510A">
              <w:t xml:space="preserve"> punktu un tā uztveramību attiecībā uz nodokļu maksātāju, izvērtējot nepieciešamību </w:t>
            </w:r>
            <w:r>
              <w:t>atsaukties</w:t>
            </w:r>
            <w:r w:rsidRPr="0058510A">
              <w:t xml:space="preserve"> uz Padomes 2011.</w:t>
            </w:r>
            <w:r>
              <w:t> </w:t>
            </w:r>
            <w:r w:rsidRPr="0058510A">
              <w:t>gada 15.</w:t>
            </w:r>
            <w:r>
              <w:t> </w:t>
            </w:r>
            <w:r w:rsidRPr="0058510A">
              <w:t xml:space="preserve">marta Īstenošanas regulas (ES) Nr. 282/2011, ar ko nosaka īstenošanas pasākumus direktīvai 2006/112/EK par </w:t>
            </w:r>
            <w:r w:rsidRPr="0058510A">
              <w:lastRenderedPageBreak/>
              <w:t>kopējo pievienotās vērtības nodokļa sistēmu, 57.d panta otro daļu.</w:t>
            </w:r>
          </w:p>
          <w:p w:rsidR="00386C45" w:rsidRDefault="00386C45" w:rsidP="00386C45">
            <w:pPr>
              <w:ind w:right="-2" w:firstLine="339"/>
              <w:jc w:val="both"/>
              <w:rPr>
                <w:b/>
                <w:color w:val="000000"/>
              </w:rPr>
            </w:pPr>
          </w:p>
        </w:tc>
        <w:tc>
          <w:tcPr>
            <w:tcW w:w="3544" w:type="dxa"/>
            <w:gridSpan w:val="2"/>
            <w:tcBorders>
              <w:left w:val="single" w:sz="6" w:space="0" w:color="000000"/>
              <w:bottom w:val="single" w:sz="4" w:space="0" w:color="auto"/>
              <w:right w:val="single" w:sz="6" w:space="0" w:color="000000"/>
            </w:tcBorders>
          </w:tcPr>
          <w:p w:rsidR="006B2737" w:rsidRPr="006B2737" w:rsidRDefault="006B2737" w:rsidP="00386C45">
            <w:pPr>
              <w:pStyle w:val="naisc"/>
              <w:spacing w:before="0" w:after="0"/>
              <w:jc w:val="both"/>
              <w:rPr>
                <w:b/>
              </w:rPr>
            </w:pPr>
            <w:r w:rsidRPr="006B2737">
              <w:rPr>
                <w:b/>
              </w:rPr>
              <w:lastRenderedPageBreak/>
              <w:t>Iebildums ņemts vērā un panākta vienošanās.</w:t>
            </w:r>
          </w:p>
          <w:p w:rsidR="00386C45" w:rsidRPr="00586F17" w:rsidRDefault="006B5B66" w:rsidP="00386C45">
            <w:pPr>
              <w:pStyle w:val="naisc"/>
              <w:spacing w:before="0" w:after="0"/>
              <w:jc w:val="both"/>
            </w:pPr>
            <w:r>
              <w:t>Ministru kabineta noteikumu projekta "Grozījumi Ministru kabineta 2</w:t>
            </w:r>
            <w:bookmarkStart w:id="1" w:name="_GoBack"/>
            <w:bookmarkEnd w:id="1"/>
            <w:r>
              <w:t>013.gada 15.janvāra noteikumos Nr. 40 "Noteikumi par pievienotās vērtības nodokļa deklarācijām"" 65.</w:t>
            </w:r>
            <w:r w:rsidRPr="006B5B66">
              <w:rPr>
                <w:vertAlign w:val="superscript"/>
              </w:rPr>
              <w:t>16</w:t>
            </w:r>
            <w:r>
              <w:t xml:space="preserve">apakšpunkta redakcija netiek mainīta, bet ar skaidrojumu tiek papildināts noteikumu projekta sākotnējās ietekmes novērtējuma ziņojuma (anotācijas) </w:t>
            </w:r>
            <w:r>
              <w:rPr>
                <w:b/>
              </w:rPr>
              <w:t xml:space="preserve"> </w:t>
            </w:r>
            <w:r>
              <w:t xml:space="preserve">sadaļas “I. Tiesību </w:t>
            </w:r>
            <w:r>
              <w:lastRenderedPageBreak/>
              <w:t xml:space="preserve">akta projekta izstrādes nepieciešamība.” </w:t>
            </w:r>
            <w:hyperlink r:id="rId14" w:anchor="p2" w:history="1">
              <w:r w:rsidRPr="006B5B66">
                <w:rPr>
                  <w:rStyle w:val="Hyperlink"/>
                  <w:color w:val="auto"/>
                  <w:u w:val="none"/>
                </w:rPr>
                <w:t>2.punkt</w:t>
              </w:r>
            </w:hyperlink>
            <w:r>
              <w:t>a "Pašreizējā situācija un problēmas, kuru risināšanai tiesību akta projekts izstrādāts, tiesiskā regulējuma mērķis un būtība" 2.apakšpunkta teksts.</w:t>
            </w:r>
          </w:p>
        </w:tc>
        <w:tc>
          <w:tcPr>
            <w:tcW w:w="3376" w:type="dxa"/>
            <w:tcBorders>
              <w:top w:val="single" w:sz="4" w:space="0" w:color="auto"/>
              <w:left w:val="single" w:sz="4" w:space="0" w:color="auto"/>
              <w:bottom w:val="single" w:sz="4" w:space="0" w:color="auto"/>
            </w:tcBorders>
          </w:tcPr>
          <w:p w:rsidR="006B5B66" w:rsidRDefault="006B5B66" w:rsidP="006B5B66">
            <w:pPr>
              <w:jc w:val="both"/>
            </w:pPr>
            <w:r>
              <w:lastRenderedPageBreak/>
              <w:t xml:space="preserve">Papildinātais Ministru kabineta noteikumu projekta "Grozījumi Ministru kabineta 2013.gada 15.janvāra noteikumos Nr. 40 "Noteikumi par pievienotās vērtības nodokļa deklarācijām"" sadaļas “I. Tiesību akta projekta izstrādes nepieciešamība.” </w:t>
            </w:r>
            <w:hyperlink r:id="rId15" w:anchor="p2" w:history="1">
              <w:r w:rsidRPr="006B5B66">
                <w:rPr>
                  <w:rStyle w:val="Hyperlink"/>
                  <w:color w:val="auto"/>
                  <w:u w:val="none"/>
                </w:rPr>
                <w:t>2.punkt</w:t>
              </w:r>
            </w:hyperlink>
            <w:r>
              <w:t>a "Pašreizējā situācija un problēmas, kuru risināšanai tiesību akta projekts izstrādāts, tiesiskā regulējuma mērķis un būtība" 2.apakšpunkta teksts:</w:t>
            </w:r>
          </w:p>
          <w:p w:rsidR="006B5B66" w:rsidRPr="00F62BD5" w:rsidRDefault="006B5B66" w:rsidP="006B5B66">
            <w:pPr>
              <w:jc w:val="both"/>
            </w:pPr>
            <w:r>
              <w:lastRenderedPageBreak/>
              <w:t>“</w:t>
            </w:r>
            <w:r w:rsidRPr="003506ED">
              <w:t>PVN maksātājs, kas plāno izmantot ārpussavienības režīmu vai savienības režīmu, minēto īpašo režīmu piemēro no nākamā kalendārā ceturkšņa pirmās dienas</w:t>
            </w:r>
            <w:r>
              <w:t xml:space="preserve"> saskaņā ar </w:t>
            </w:r>
            <w:r w:rsidRPr="003506ED">
              <w:t xml:space="preserve">Padomes Īstenošanas regulas Nr.2019/2026 </w:t>
            </w:r>
            <w:r>
              <w:t xml:space="preserve">57.d panta 1.punkta pirmo daļu </w:t>
            </w:r>
            <w:r w:rsidRPr="003506ED">
              <w:t xml:space="preserve"> un par šo kalendārā gada ceturksni tam būs jāsniedz PVN deklarācija</w:t>
            </w:r>
            <w:r>
              <w:t xml:space="preserve"> saskaņā ar </w:t>
            </w:r>
            <w:r w:rsidRPr="003506ED">
              <w:t>Padomes Īstenošanas regulas Nr.2019/2026 59.panta</w:t>
            </w:r>
            <w:r>
              <w:t xml:space="preserve"> 1.punktu</w:t>
            </w:r>
            <w:r w:rsidRPr="003506ED">
              <w:t>. Tomēr</w:t>
            </w:r>
            <w:r>
              <w:t xml:space="preserve">, </w:t>
            </w:r>
            <w:r w:rsidRPr="003506ED">
              <w:t xml:space="preserve">ja PVN maksātājs ārpussavienības režīmu vai savienības režīmu </w:t>
            </w:r>
            <w:r>
              <w:t xml:space="preserve">darījumiem </w:t>
            </w:r>
            <w:r w:rsidRPr="003506ED">
              <w:t>piemēro</w:t>
            </w:r>
            <w:r>
              <w:t>s pirms minētā datuma</w:t>
            </w:r>
            <w:r w:rsidR="00B5736E">
              <w:t>,</w:t>
            </w:r>
            <w:r>
              <w:t xml:space="preserve"> tad </w:t>
            </w:r>
            <w:r w:rsidRPr="003506ED">
              <w:t xml:space="preserve">no dienas, kad darījumi tika veikti pirmo reizi, </w:t>
            </w:r>
            <w:r>
              <w:t>PVN</w:t>
            </w:r>
            <w:r w:rsidRPr="003506ED">
              <w:t xml:space="preserve"> maksātāj</w:t>
            </w:r>
            <w:r>
              <w:t>am</w:t>
            </w:r>
            <w:r w:rsidRPr="003506ED">
              <w:t xml:space="preserve"> </w:t>
            </w:r>
            <w:r>
              <w:t>būs jā</w:t>
            </w:r>
            <w:r w:rsidRPr="003506ED">
              <w:t>iesniedz atsevišķ</w:t>
            </w:r>
            <w:r>
              <w:t>a</w:t>
            </w:r>
            <w:r w:rsidRPr="003506ED">
              <w:t xml:space="preserve"> </w:t>
            </w:r>
            <w:r>
              <w:t xml:space="preserve">PVN </w:t>
            </w:r>
            <w:r w:rsidRPr="003506ED">
              <w:t>deklarācij</w:t>
            </w:r>
            <w:r>
              <w:t>a</w:t>
            </w:r>
            <w:r w:rsidRPr="003506ED">
              <w:t xml:space="preserve"> par to kalendāra ceturksni, kurā darījumi tika veikti pirmo reizi saskaņā ar Padomes Īstenošanas regulas Nr.2019/2026 59.panta 2.punktu</w:t>
            </w:r>
            <w:r>
              <w:t xml:space="preserve">. </w:t>
            </w:r>
            <w:r w:rsidRPr="009F5704">
              <w:t xml:space="preserve">Tādējādi </w:t>
            </w:r>
            <w:r w:rsidRPr="00F62BD5">
              <w:t>PVN deklarācijā tiek pieļauts norādīt tādus darījumus, kuri veikti pirms PVN maksātājs paziņo par vēlmi reģistrēties ārpussavienības vai savienības režīmam.</w:t>
            </w:r>
          </w:p>
          <w:p w:rsidR="006B5B66" w:rsidRPr="00F62BD5" w:rsidRDefault="006B5B66" w:rsidP="006B5B66">
            <w:pPr>
              <w:jc w:val="both"/>
            </w:pPr>
            <w:r w:rsidRPr="00560E22">
              <w:lastRenderedPageBreak/>
              <w:t xml:space="preserve">Ja PVN  maksātājs vai starpnieks, kurš rīkojas tā interesēs, plāno izmantot importa režīmu, tad importa režīmu piemēro no dienas, kas minēta Īstenošanas regulas (ES) Nr. 2019/2026 </w:t>
            </w:r>
            <w:r w:rsidRPr="00B7520B">
              <w:t xml:space="preserve">57.d panta 2. punktā, tas ir, kad </w:t>
            </w:r>
            <w:r w:rsidRPr="00560E22">
              <w:t xml:space="preserve">PVN maksātājam vai starpniekam ir piešķirts individuālais PVN identifikācijas numurs attiecībā uz importa režīmu. Tādējādi PVN deklarācija par darījumiem uz kuriem attiecas importa režīms </w:t>
            </w:r>
            <w:r>
              <w:t>būs</w:t>
            </w:r>
            <w:r w:rsidRPr="00C63F0A">
              <w:t xml:space="preserve"> </w:t>
            </w:r>
            <w:r>
              <w:t>jā</w:t>
            </w:r>
            <w:r w:rsidRPr="00C63F0A">
              <w:t>iesniedz par to taksācijas periodu, kurā darījums veikts pirmo reizi</w:t>
            </w:r>
            <w:r>
              <w:t xml:space="preserve">. Līdz ar to </w:t>
            </w:r>
            <w:r w:rsidRPr="00560E22">
              <w:t>PVN  maksātāj</w:t>
            </w:r>
            <w:r>
              <w:t>am</w:t>
            </w:r>
            <w:r w:rsidRPr="00560E22">
              <w:t xml:space="preserve"> vai starpniek</w:t>
            </w:r>
            <w:r>
              <w:t>am,</w:t>
            </w:r>
            <w:r w:rsidRPr="00560E22">
              <w:rPr>
                <w:color w:val="1F497D"/>
              </w:rPr>
              <w:t xml:space="preserve"> </w:t>
            </w:r>
            <w:r w:rsidRPr="00F62BD5">
              <w:t xml:space="preserve">pirms reģistrācijas  importa režīma izmantošanai, darījumus deklarēt </w:t>
            </w:r>
            <w:r w:rsidR="000E5CB8">
              <w:t xml:space="preserve">importa režīmā </w:t>
            </w:r>
            <w:r w:rsidRPr="00F62BD5">
              <w:t>nav iespējams.</w:t>
            </w:r>
            <w:r w:rsidR="00F62BD5">
              <w:t>”</w:t>
            </w:r>
            <w:r w:rsidRPr="00F62BD5">
              <w:t xml:space="preserve"> </w:t>
            </w:r>
          </w:p>
          <w:p w:rsidR="00386C45" w:rsidRPr="00586F17" w:rsidRDefault="00386C45" w:rsidP="00386C45"/>
        </w:tc>
      </w:tr>
      <w:tr w:rsidR="00386C45"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386C45" w:rsidRPr="00712B66" w:rsidRDefault="00386C45" w:rsidP="00386C45">
            <w:pPr>
              <w:pStyle w:val="naiskr"/>
              <w:spacing w:before="0" w:after="0"/>
            </w:pPr>
          </w:p>
          <w:p w:rsidR="00386C45" w:rsidRPr="00712B66" w:rsidRDefault="00386C45" w:rsidP="00386C45">
            <w:pPr>
              <w:pStyle w:val="naiskr"/>
              <w:spacing w:before="0" w:after="0"/>
            </w:pPr>
            <w:r w:rsidRPr="00712B66">
              <w:t>Atbildīgā amatpersona</w:t>
            </w:r>
          </w:p>
        </w:tc>
        <w:tc>
          <w:tcPr>
            <w:tcW w:w="6179" w:type="dxa"/>
            <w:gridSpan w:val="3"/>
          </w:tcPr>
          <w:p w:rsidR="00386C45" w:rsidRPr="00712B66" w:rsidRDefault="00386C45" w:rsidP="00386C45">
            <w:pPr>
              <w:pStyle w:val="naiskr"/>
              <w:spacing w:before="0" w:after="0"/>
              <w:ind w:firstLine="720"/>
            </w:pPr>
            <w:r w:rsidRPr="00712B66">
              <w:t>  </w:t>
            </w:r>
          </w:p>
        </w:tc>
      </w:tr>
      <w:tr w:rsidR="00386C45" w:rsidRPr="00712B66">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386C45" w:rsidRPr="00712B66" w:rsidRDefault="00386C45" w:rsidP="00386C45">
            <w:pPr>
              <w:pStyle w:val="naiskr"/>
              <w:spacing w:before="0" w:after="0"/>
              <w:ind w:firstLine="720"/>
            </w:pPr>
          </w:p>
        </w:tc>
        <w:tc>
          <w:tcPr>
            <w:tcW w:w="6179" w:type="dxa"/>
            <w:gridSpan w:val="3"/>
            <w:tcBorders>
              <w:top w:val="single" w:sz="6" w:space="0" w:color="000000"/>
            </w:tcBorders>
          </w:tcPr>
          <w:p w:rsidR="00386C45" w:rsidRPr="00712B66" w:rsidRDefault="00386C45" w:rsidP="00386C45">
            <w:pPr>
              <w:pStyle w:val="naisc"/>
              <w:spacing w:before="0" w:after="0"/>
              <w:ind w:firstLine="72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F21939"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F21939" w:rsidRDefault="00F21939" w:rsidP="00DB7395">
      <w:pPr>
        <w:pStyle w:val="naisf"/>
        <w:spacing w:before="0" w:after="0"/>
        <w:ind w:firstLine="720"/>
      </w:pPr>
    </w:p>
    <w:p w:rsidR="00F21939" w:rsidRDefault="00F21939" w:rsidP="00DB7395">
      <w:pPr>
        <w:pStyle w:val="naisf"/>
        <w:spacing w:before="0" w:after="0"/>
        <w:ind w:firstLine="720"/>
      </w:pPr>
    </w:p>
    <w:p w:rsidR="00F21939" w:rsidRDefault="00F21939" w:rsidP="00DB7395">
      <w:pPr>
        <w:pStyle w:val="naisf"/>
        <w:spacing w:before="0" w:after="0"/>
        <w:ind w:firstLine="720"/>
      </w:pPr>
    </w:p>
    <w:p w:rsidR="004373E1" w:rsidRPr="00712B66" w:rsidRDefault="00F21939" w:rsidP="00DB7395">
      <w:pPr>
        <w:pStyle w:val="naisf"/>
        <w:spacing w:before="0" w:after="0"/>
        <w:ind w:firstLine="720"/>
      </w:pPr>
      <w:r>
        <w:lastRenderedPageBreak/>
        <w:t>Gunta Šķetre</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BD64F4" w:rsidRDefault="00BD64F4" w:rsidP="0036160E"/>
          <w:p w:rsidR="008655A2" w:rsidRPr="00712B66" w:rsidRDefault="00253C7A" w:rsidP="0036160E">
            <w:r>
              <w:t xml:space="preserve">Valsts ieņēmumu dienesta Nodokļu pārvaldes Pievienotās vērtības nodokļa daļas </w:t>
            </w:r>
            <w:r w:rsidR="00723010">
              <w:t xml:space="preserve">Pirmās metodikas nodaļas </w:t>
            </w:r>
            <w:r>
              <w:t>galvenā nodokļu inspektore</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253C7A" w:rsidP="0036160E">
            <w:r>
              <w:t>Tālrunis 671220</w:t>
            </w:r>
            <w:r w:rsidR="00BD64F4">
              <w:t>13</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BD64F4" w:rsidP="0036160E">
            <w:r>
              <w:t>Gunta.Sketre</w:t>
            </w:r>
            <w:r w:rsidR="00253C7A">
              <w:t>@vid.gov.lv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364BB6">
      <w:headerReference w:type="even" r:id="rId16"/>
      <w:headerReference w:type="default" r:id="rId17"/>
      <w:footerReference w:type="default" r:id="rId18"/>
      <w:footerReference w:type="first" r:id="rId1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59" w:rsidRDefault="00B52859">
      <w:r>
        <w:separator/>
      </w:r>
    </w:p>
  </w:endnote>
  <w:endnote w:type="continuationSeparator" w:id="0">
    <w:p w:rsidR="00B52859" w:rsidRDefault="00B5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756" w:rsidRPr="00015C84" w:rsidRDefault="00FB1756" w:rsidP="00FB1756">
    <w:pPr>
      <w:pStyle w:val="Footer"/>
      <w:rPr>
        <w:sz w:val="20"/>
        <w:szCs w:val="20"/>
      </w:rPr>
    </w:pPr>
    <w:r w:rsidRPr="00015C84">
      <w:rPr>
        <w:sz w:val="20"/>
        <w:szCs w:val="20"/>
      </w:rPr>
      <w:t>MK</w:t>
    </w:r>
    <w:r w:rsidR="00972D18">
      <w:rPr>
        <w:sz w:val="20"/>
        <w:szCs w:val="20"/>
      </w:rPr>
      <w:t>I</w:t>
    </w:r>
    <w:r w:rsidRPr="00015C84">
      <w:rPr>
        <w:sz w:val="20"/>
        <w:szCs w:val="20"/>
      </w:rPr>
      <w:t>zz_</w:t>
    </w:r>
    <w:r w:rsidR="00546929">
      <w:rPr>
        <w:sz w:val="20"/>
        <w:szCs w:val="20"/>
      </w:rPr>
      <w:t>081220</w:t>
    </w:r>
    <w:r w:rsidR="0071634B">
      <w:rPr>
        <w:sz w:val="20"/>
        <w:szCs w:val="20"/>
      </w:rPr>
      <w:t>20</w:t>
    </w:r>
    <w:r w:rsidRPr="00015C84">
      <w:rPr>
        <w:sz w:val="20"/>
        <w:szCs w:val="20"/>
      </w:rPr>
      <w:t>_</w:t>
    </w:r>
    <w:r>
      <w:rPr>
        <w:sz w:val="20"/>
        <w:szCs w:val="20"/>
      </w:rPr>
      <w:t>MK40groz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015C84" w:rsidRDefault="00015C84" w:rsidP="00364BB6">
    <w:pPr>
      <w:pStyle w:val="Footer"/>
      <w:rPr>
        <w:sz w:val="20"/>
        <w:szCs w:val="20"/>
      </w:rPr>
    </w:pPr>
    <w:r w:rsidRPr="00015C84">
      <w:rPr>
        <w:sz w:val="20"/>
        <w:szCs w:val="20"/>
      </w:rPr>
      <w:t>MK</w:t>
    </w:r>
    <w:r w:rsidR="00972D18">
      <w:rPr>
        <w:sz w:val="20"/>
        <w:szCs w:val="20"/>
      </w:rPr>
      <w:t>I</w:t>
    </w:r>
    <w:r w:rsidRPr="00015C84">
      <w:rPr>
        <w:sz w:val="20"/>
        <w:szCs w:val="20"/>
      </w:rPr>
      <w:t>zz_</w:t>
    </w:r>
    <w:r w:rsidR="0071634B">
      <w:rPr>
        <w:sz w:val="20"/>
        <w:szCs w:val="20"/>
      </w:rPr>
      <w:t>0</w:t>
    </w:r>
    <w:r w:rsidR="00546929">
      <w:rPr>
        <w:sz w:val="20"/>
        <w:szCs w:val="20"/>
      </w:rPr>
      <w:t>8</w:t>
    </w:r>
    <w:r w:rsidR="0071634B">
      <w:rPr>
        <w:sz w:val="20"/>
        <w:szCs w:val="20"/>
      </w:rPr>
      <w:t>1</w:t>
    </w:r>
    <w:r w:rsidR="00546929">
      <w:rPr>
        <w:sz w:val="20"/>
        <w:szCs w:val="20"/>
      </w:rPr>
      <w:t>2</w:t>
    </w:r>
    <w:r w:rsidR="0071634B">
      <w:rPr>
        <w:sz w:val="20"/>
        <w:szCs w:val="20"/>
      </w:rPr>
      <w:t>2</w:t>
    </w:r>
    <w:r w:rsidR="00546929">
      <w:rPr>
        <w:sz w:val="20"/>
        <w:szCs w:val="20"/>
      </w:rPr>
      <w:t>0</w:t>
    </w:r>
    <w:r w:rsidR="0071634B">
      <w:rPr>
        <w:sz w:val="20"/>
        <w:szCs w:val="20"/>
      </w:rPr>
      <w:t>20</w:t>
    </w:r>
    <w:r w:rsidRPr="00015C84">
      <w:rPr>
        <w:sz w:val="20"/>
        <w:szCs w:val="20"/>
      </w:rPr>
      <w:t>_</w:t>
    </w:r>
    <w:r w:rsidR="00CF77FD">
      <w:rPr>
        <w:sz w:val="20"/>
        <w:szCs w:val="20"/>
      </w:rPr>
      <w:t>MK</w:t>
    </w:r>
    <w:r w:rsidR="0084333C">
      <w:rPr>
        <w:sz w:val="20"/>
        <w:szCs w:val="20"/>
      </w:rPr>
      <w:t>40groz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59" w:rsidRDefault="00B52859">
      <w:r>
        <w:separator/>
      </w:r>
    </w:p>
  </w:footnote>
  <w:footnote w:type="continuationSeparator" w:id="0">
    <w:p w:rsidR="00B52859" w:rsidRDefault="00B52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00C8"/>
    <w:rsid w:val="00010742"/>
    <w:rsid w:val="0001118D"/>
    <w:rsid w:val="0001131F"/>
    <w:rsid w:val="00011663"/>
    <w:rsid w:val="0001249F"/>
    <w:rsid w:val="000125C0"/>
    <w:rsid w:val="0001270C"/>
    <w:rsid w:val="000136AA"/>
    <w:rsid w:val="00013B4C"/>
    <w:rsid w:val="00013BF6"/>
    <w:rsid w:val="0001554C"/>
    <w:rsid w:val="00015B94"/>
    <w:rsid w:val="00015C84"/>
    <w:rsid w:val="00015DE5"/>
    <w:rsid w:val="00016CED"/>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C1E"/>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B8"/>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98E"/>
    <w:rsid w:val="001012E3"/>
    <w:rsid w:val="00101EEB"/>
    <w:rsid w:val="0010375A"/>
    <w:rsid w:val="001038ED"/>
    <w:rsid w:val="001042B0"/>
    <w:rsid w:val="00106F4F"/>
    <w:rsid w:val="001071D3"/>
    <w:rsid w:val="001075A8"/>
    <w:rsid w:val="00110259"/>
    <w:rsid w:val="00110AA9"/>
    <w:rsid w:val="0011254D"/>
    <w:rsid w:val="001128C9"/>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FB0"/>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BAE"/>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3C7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15BC"/>
    <w:rsid w:val="00291E83"/>
    <w:rsid w:val="002927D3"/>
    <w:rsid w:val="00294BDE"/>
    <w:rsid w:val="00295DB6"/>
    <w:rsid w:val="0029788B"/>
    <w:rsid w:val="00297D1B"/>
    <w:rsid w:val="00297F4D"/>
    <w:rsid w:val="002A0226"/>
    <w:rsid w:val="002A0661"/>
    <w:rsid w:val="002A1CF2"/>
    <w:rsid w:val="002A2ED0"/>
    <w:rsid w:val="002A3A84"/>
    <w:rsid w:val="002A4C3E"/>
    <w:rsid w:val="002A56BC"/>
    <w:rsid w:val="002A5829"/>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3A52"/>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2F"/>
    <w:rsid w:val="002E7562"/>
    <w:rsid w:val="002F071F"/>
    <w:rsid w:val="002F16D5"/>
    <w:rsid w:val="002F1A90"/>
    <w:rsid w:val="002F1C2F"/>
    <w:rsid w:val="002F3D1C"/>
    <w:rsid w:val="002F4EA1"/>
    <w:rsid w:val="002F52DE"/>
    <w:rsid w:val="002F55C1"/>
    <w:rsid w:val="002F797A"/>
    <w:rsid w:val="00300483"/>
    <w:rsid w:val="00300A59"/>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CE9"/>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C45"/>
    <w:rsid w:val="00390360"/>
    <w:rsid w:val="003A145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95A"/>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1C7"/>
    <w:rsid w:val="003F1200"/>
    <w:rsid w:val="003F1421"/>
    <w:rsid w:val="003F1844"/>
    <w:rsid w:val="003F241E"/>
    <w:rsid w:val="003F28C0"/>
    <w:rsid w:val="003F52B2"/>
    <w:rsid w:val="003F567A"/>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52D7"/>
    <w:rsid w:val="0042651C"/>
    <w:rsid w:val="00426E9B"/>
    <w:rsid w:val="00427D55"/>
    <w:rsid w:val="00431CD4"/>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1A4E"/>
    <w:rsid w:val="004C2107"/>
    <w:rsid w:val="004C2BE9"/>
    <w:rsid w:val="004C58D4"/>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775"/>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6929"/>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03BC"/>
    <w:rsid w:val="0058121A"/>
    <w:rsid w:val="00581863"/>
    <w:rsid w:val="00581EA3"/>
    <w:rsid w:val="0058205A"/>
    <w:rsid w:val="0058260B"/>
    <w:rsid w:val="00584D1E"/>
    <w:rsid w:val="00586795"/>
    <w:rsid w:val="00586B82"/>
    <w:rsid w:val="00586F17"/>
    <w:rsid w:val="00587E13"/>
    <w:rsid w:val="005933AA"/>
    <w:rsid w:val="005940AA"/>
    <w:rsid w:val="00594614"/>
    <w:rsid w:val="00594E10"/>
    <w:rsid w:val="00596306"/>
    <w:rsid w:val="00596487"/>
    <w:rsid w:val="005A0809"/>
    <w:rsid w:val="005A0B91"/>
    <w:rsid w:val="005A1494"/>
    <w:rsid w:val="005A3590"/>
    <w:rsid w:val="005A3BE7"/>
    <w:rsid w:val="005A4A1C"/>
    <w:rsid w:val="005A5BD8"/>
    <w:rsid w:val="005A692A"/>
    <w:rsid w:val="005A6AB8"/>
    <w:rsid w:val="005B11C2"/>
    <w:rsid w:val="005B180A"/>
    <w:rsid w:val="005B31FB"/>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337"/>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4BD"/>
    <w:rsid w:val="00635E4D"/>
    <w:rsid w:val="0063620C"/>
    <w:rsid w:val="00637E18"/>
    <w:rsid w:val="0064030B"/>
    <w:rsid w:val="0064032E"/>
    <w:rsid w:val="0064038D"/>
    <w:rsid w:val="00640468"/>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8C5"/>
    <w:rsid w:val="006A0052"/>
    <w:rsid w:val="006A0A9E"/>
    <w:rsid w:val="006A1F1C"/>
    <w:rsid w:val="006A3836"/>
    <w:rsid w:val="006A3DD3"/>
    <w:rsid w:val="006A4625"/>
    <w:rsid w:val="006A47AE"/>
    <w:rsid w:val="006A5B5E"/>
    <w:rsid w:val="006A67CB"/>
    <w:rsid w:val="006A7855"/>
    <w:rsid w:val="006B0368"/>
    <w:rsid w:val="006B0F6E"/>
    <w:rsid w:val="006B1D7B"/>
    <w:rsid w:val="006B2737"/>
    <w:rsid w:val="006B27D4"/>
    <w:rsid w:val="006B2C9C"/>
    <w:rsid w:val="006B48EB"/>
    <w:rsid w:val="006B4C00"/>
    <w:rsid w:val="006B56FC"/>
    <w:rsid w:val="006B5B66"/>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8C"/>
    <w:rsid w:val="006E0A65"/>
    <w:rsid w:val="006E1B01"/>
    <w:rsid w:val="006E3636"/>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BAD"/>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34B"/>
    <w:rsid w:val="00716B3C"/>
    <w:rsid w:val="007170C2"/>
    <w:rsid w:val="00717EE4"/>
    <w:rsid w:val="00717F2D"/>
    <w:rsid w:val="00720453"/>
    <w:rsid w:val="00720853"/>
    <w:rsid w:val="00722129"/>
    <w:rsid w:val="00723010"/>
    <w:rsid w:val="00724173"/>
    <w:rsid w:val="00726730"/>
    <w:rsid w:val="00730598"/>
    <w:rsid w:val="00731C24"/>
    <w:rsid w:val="0073257E"/>
    <w:rsid w:val="00732A32"/>
    <w:rsid w:val="00733066"/>
    <w:rsid w:val="00733469"/>
    <w:rsid w:val="00733539"/>
    <w:rsid w:val="00735557"/>
    <w:rsid w:val="00737108"/>
    <w:rsid w:val="007379CE"/>
    <w:rsid w:val="00741247"/>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2B4D"/>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2C33"/>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07602"/>
    <w:rsid w:val="008109E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33C"/>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0F6"/>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0"/>
    <w:rsid w:val="008B5059"/>
    <w:rsid w:val="008B5BF2"/>
    <w:rsid w:val="008B6934"/>
    <w:rsid w:val="008B6CF8"/>
    <w:rsid w:val="008B7016"/>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77F"/>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39"/>
    <w:rsid w:val="00963AE4"/>
    <w:rsid w:val="00963C14"/>
    <w:rsid w:val="009645CD"/>
    <w:rsid w:val="00965940"/>
    <w:rsid w:val="00965A4E"/>
    <w:rsid w:val="00966BE5"/>
    <w:rsid w:val="00966EB0"/>
    <w:rsid w:val="00971116"/>
    <w:rsid w:val="00972D18"/>
    <w:rsid w:val="00972E28"/>
    <w:rsid w:val="00973030"/>
    <w:rsid w:val="009733F3"/>
    <w:rsid w:val="009748E4"/>
    <w:rsid w:val="00975EC7"/>
    <w:rsid w:val="00976D65"/>
    <w:rsid w:val="00977CE6"/>
    <w:rsid w:val="009807AC"/>
    <w:rsid w:val="00980C18"/>
    <w:rsid w:val="009810E9"/>
    <w:rsid w:val="0098141C"/>
    <w:rsid w:val="00981AA9"/>
    <w:rsid w:val="00981C91"/>
    <w:rsid w:val="00982811"/>
    <w:rsid w:val="00983132"/>
    <w:rsid w:val="00983314"/>
    <w:rsid w:val="00983DF2"/>
    <w:rsid w:val="0098433A"/>
    <w:rsid w:val="00985675"/>
    <w:rsid w:val="00985939"/>
    <w:rsid w:val="00985D07"/>
    <w:rsid w:val="0098637F"/>
    <w:rsid w:val="00986A9B"/>
    <w:rsid w:val="00986B9C"/>
    <w:rsid w:val="00987BAB"/>
    <w:rsid w:val="009906BF"/>
    <w:rsid w:val="009913F3"/>
    <w:rsid w:val="00991DA1"/>
    <w:rsid w:val="009927F1"/>
    <w:rsid w:val="009936C4"/>
    <w:rsid w:val="009948ED"/>
    <w:rsid w:val="00995ADA"/>
    <w:rsid w:val="00995FA0"/>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065"/>
    <w:rsid w:val="009E72E5"/>
    <w:rsid w:val="009F46C8"/>
    <w:rsid w:val="009F4F2A"/>
    <w:rsid w:val="009F660B"/>
    <w:rsid w:val="009F671E"/>
    <w:rsid w:val="009F7ED1"/>
    <w:rsid w:val="00A00536"/>
    <w:rsid w:val="00A0149B"/>
    <w:rsid w:val="00A01607"/>
    <w:rsid w:val="00A018D4"/>
    <w:rsid w:val="00A02D92"/>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277"/>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C5D"/>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57B"/>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217F"/>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3EB"/>
    <w:rsid w:val="00B46957"/>
    <w:rsid w:val="00B47B54"/>
    <w:rsid w:val="00B50E99"/>
    <w:rsid w:val="00B51926"/>
    <w:rsid w:val="00B51F9A"/>
    <w:rsid w:val="00B52859"/>
    <w:rsid w:val="00B54DA7"/>
    <w:rsid w:val="00B5736E"/>
    <w:rsid w:val="00B600C6"/>
    <w:rsid w:val="00B60167"/>
    <w:rsid w:val="00B60FC0"/>
    <w:rsid w:val="00B61665"/>
    <w:rsid w:val="00B62229"/>
    <w:rsid w:val="00B63528"/>
    <w:rsid w:val="00B63DAF"/>
    <w:rsid w:val="00B63E98"/>
    <w:rsid w:val="00B65754"/>
    <w:rsid w:val="00B661AA"/>
    <w:rsid w:val="00B66242"/>
    <w:rsid w:val="00B670D3"/>
    <w:rsid w:val="00B67958"/>
    <w:rsid w:val="00B701D1"/>
    <w:rsid w:val="00B716BB"/>
    <w:rsid w:val="00B716FD"/>
    <w:rsid w:val="00B734C2"/>
    <w:rsid w:val="00B7377D"/>
    <w:rsid w:val="00B73BDA"/>
    <w:rsid w:val="00B74053"/>
    <w:rsid w:val="00B765A0"/>
    <w:rsid w:val="00B76C02"/>
    <w:rsid w:val="00B77BD2"/>
    <w:rsid w:val="00B814CB"/>
    <w:rsid w:val="00B81B6A"/>
    <w:rsid w:val="00B820F4"/>
    <w:rsid w:val="00B835E0"/>
    <w:rsid w:val="00B8396D"/>
    <w:rsid w:val="00B85FD4"/>
    <w:rsid w:val="00B90331"/>
    <w:rsid w:val="00B903ED"/>
    <w:rsid w:val="00B90B2D"/>
    <w:rsid w:val="00B935A1"/>
    <w:rsid w:val="00B95DAD"/>
    <w:rsid w:val="00B96C0C"/>
    <w:rsid w:val="00B9734D"/>
    <w:rsid w:val="00B97732"/>
    <w:rsid w:val="00BA27F4"/>
    <w:rsid w:val="00BA2E40"/>
    <w:rsid w:val="00BA3CB7"/>
    <w:rsid w:val="00BA41DE"/>
    <w:rsid w:val="00BA5187"/>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4F4"/>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1F6"/>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975"/>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785"/>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7FD"/>
    <w:rsid w:val="00CF7853"/>
    <w:rsid w:val="00D004ED"/>
    <w:rsid w:val="00D0260F"/>
    <w:rsid w:val="00D03708"/>
    <w:rsid w:val="00D04019"/>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AB2"/>
    <w:rsid w:val="00DC7BFE"/>
    <w:rsid w:val="00DD08C7"/>
    <w:rsid w:val="00DD1A10"/>
    <w:rsid w:val="00DD200D"/>
    <w:rsid w:val="00DD2990"/>
    <w:rsid w:val="00DD2FE9"/>
    <w:rsid w:val="00DD3A7E"/>
    <w:rsid w:val="00DD434E"/>
    <w:rsid w:val="00DD4402"/>
    <w:rsid w:val="00DD60AD"/>
    <w:rsid w:val="00DD60D0"/>
    <w:rsid w:val="00DD6200"/>
    <w:rsid w:val="00DD686C"/>
    <w:rsid w:val="00DD6E86"/>
    <w:rsid w:val="00DE0E5D"/>
    <w:rsid w:val="00DE447F"/>
    <w:rsid w:val="00DE48F0"/>
    <w:rsid w:val="00DE4A77"/>
    <w:rsid w:val="00DE61C8"/>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3A7"/>
    <w:rsid w:val="00E87D05"/>
    <w:rsid w:val="00E91F96"/>
    <w:rsid w:val="00E92E99"/>
    <w:rsid w:val="00E968FD"/>
    <w:rsid w:val="00E96D55"/>
    <w:rsid w:val="00E97993"/>
    <w:rsid w:val="00EA0D5D"/>
    <w:rsid w:val="00EA1192"/>
    <w:rsid w:val="00EA153F"/>
    <w:rsid w:val="00EA2788"/>
    <w:rsid w:val="00EA2C6E"/>
    <w:rsid w:val="00EA4964"/>
    <w:rsid w:val="00EA4F1A"/>
    <w:rsid w:val="00EA620F"/>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939"/>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4D4"/>
    <w:rsid w:val="00F57909"/>
    <w:rsid w:val="00F612D6"/>
    <w:rsid w:val="00F62BD5"/>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5269"/>
    <w:rsid w:val="00F96389"/>
    <w:rsid w:val="00F9650E"/>
    <w:rsid w:val="00F96B73"/>
    <w:rsid w:val="00F977C7"/>
    <w:rsid w:val="00FA0890"/>
    <w:rsid w:val="00FA164A"/>
    <w:rsid w:val="00FA3F3E"/>
    <w:rsid w:val="00FA4272"/>
    <w:rsid w:val="00FA4855"/>
    <w:rsid w:val="00FA4ACD"/>
    <w:rsid w:val="00FA6428"/>
    <w:rsid w:val="00FA7144"/>
    <w:rsid w:val="00FA7184"/>
    <w:rsid w:val="00FB1756"/>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A52"/>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A14A4"/>
  <w15:chartTrackingRefBased/>
  <w15:docId w15:val="{0D0C7B31-C212-4BE9-8B42-2283255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rasts1">
    <w:name w:val="Parasts1"/>
    <w:qFormat/>
    <w:rsid w:val="000100C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558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0/904/oj/?locale=LV" TargetMode="External"/><Relationship Id="rId13" Type="http://schemas.openxmlformats.org/officeDocument/2006/relationships/hyperlink" Target="http://eur-lex.europa.eu/eli/reg_impl/2011/282/oj/?locale=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eli/reg/2010/904/oj/?locale=LV" TargetMode="External"/><Relationship Id="rId12" Type="http://schemas.openxmlformats.org/officeDocument/2006/relationships/hyperlink" Target="http://eur-lex.europa.eu/eli/reg_impl/2019/2026/oj/?locale=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dir/2006/112/oj/?locale=LV" TargetMode="External"/><Relationship Id="rId5" Type="http://schemas.openxmlformats.org/officeDocument/2006/relationships/footnotes" Target="footnotes.xml"/><Relationship Id="rId15" Type="http://schemas.openxmlformats.org/officeDocument/2006/relationships/hyperlink" Target="https://likumi.lv/ta/id/203061" TargetMode="External"/><Relationship Id="rId10" Type="http://schemas.openxmlformats.org/officeDocument/2006/relationships/hyperlink" Target="http://eur-lex.europa.eu/eli/reg_impl/2011/282/oj/?locale=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eli/reg/2010/904/oj/?locale=LV" TargetMode="External"/><Relationship Id="rId14" Type="http://schemas.openxmlformats.org/officeDocument/2006/relationships/hyperlink" Target="https://likumi.lv/ta/id/20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Valsts ieņēmumu dienests</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Gunta Šķetre</dc:creator>
  <cp:keywords/>
  <dc:description>67122013, gunta.sketre@vid.gov.lv</dc:description>
  <cp:lastModifiedBy>Edgars Bisenieks</cp:lastModifiedBy>
  <cp:revision>4</cp:revision>
  <cp:lastPrinted>2009-04-08T08:39:00Z</cp:lastPrinted>
  <dcterms:created xsi:type="dcterms:W3CDTF">2020-12-08T07:42:00Z</dcterms:created>
  <dcterms:modified xsi:type="dcterms:W3CDTF">2020-12-08T10:27:00Z</dcterms:modified>
</cp:coreProperties>
</file>