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1C7F4" w14:textId="77777777" w:rsidR="0017374B" w:rsidRPr="00750DC0" w:rsidRDefault="009B11D4" w:rsidP="00F35480">
      <w:pPr>
        <w:spacing w:after="120" w:line="360" w:lineRule="auto"/>
        <w:jc w:val="center"/>
        <w:rPr>
          <w:b/>
          <w:sz w:val="26"/>
          <w:szCs w:val="26"/>
        </w:rPr>
      </w:pPr>
      <w:r w:rsidRPr="00750DC0">
        <w:rPr>
          <w:b/>
          <w:sz w:val="26"/>
          <w:szCs w:val="26"/>
        </w:rPr>
        <w:t>Informatīvais ziņojums</w:t>
      </w:r>
    </w:p>
    <w:p w14:paraId="67FE0272" w14:textId="121623E1" w:rsidR="009B11D4" w:rsidRPr="00750DC0" w:rsidRDefault="0069266B" w:rsidP="00F35480">
      <w:pPr>
        <w:pStyle w:val="Default"/>
        <w:spacing w:after="120" w:line="360" w:lineRule="auto"/>
        <w:jc w:val="center"/>
        <w:rPr>
          <w:b/>
          <w:sz w:val="26"/>
          <w:szCs w:val="26"/>
        </w:rPr>
      </w:pPr>
      <w:bookmarkStart w:id="0" w:name="_Hlk58319117"/>
      <w:r w:rsidRPr="00750DC0">
        <w:rPr>
          <w:b/>
          <w:sz w:val="26"/>
          <w:szCs w:val="26"/>
        </w:rPr>
        <w:t>p</w:t>
      </w:r>
      <w:r w:rsidR="009B11D4" w:rsidRPr="00750DC0">
        <w:rPr>
          <w:b/>
          <w:sz w:val="26"/>
          <w:szCs w:val="26"/>
        </w:rPr>
        <w:t>ar Eiropas Komisijas</w:t>
      </w:r>
      <w:r w:rsidR="00807444">
        <w:rPr>
          <w:b/>
          <w:sz w:val="26"/>
          <w:szCs w:val="26"/>
        </w:rPr>
        <w:t xml:space="preserve"> </w:t>
      </w:r>
      <w:r w:rsidR="00807444" w:rsidRPr="00297459">
        <w:rPr>
          <w:b/>
          <w:sz w:val="26"/>
          <w:szCs w:val="26"/>
        </w:rPr>
        <w:t>2020. gada 14. jūlija Ieteikumu C(2020) 4885</w:t>
      </w:r>
      <w:r w:rsidR="009B11D4" w:rsidRPr="00750DC0">
        <w:rPr>
          <w:b/>
          <w:sz w:val="26"/>
          <w:szCs w:val="26"/>
        </w:rPr>
        <w:t xml:space="preserve"> </w:t>
      </w:r>
      <w:bookmarkEnd w:id="0"/>
      <w:r w:rsidR="009B11D4" w:rsidRPr="00A62DA8">
        <w:rPr>
          <w:b/>
          <w:sz w:val="26"/>
          <w:szCs w:val="26"/>
        </w:rPr>
        <w:t xml:space="preserve">“Par valsts finansiālā atbalsta piešķiršanu uzņēmumiem </w:t>
      </w:r>
      <w:r w:rsidR="009B11D4" w:rsidRPr="00750DC0">
        <w:rPr>
          <w:b/>
          <w:sz w:val="26"/>
          <w:szCs w:val="26"/>
        </w:rPr>
        <w:t>Savienībā atkarībā no tā, vai nepastāv saiknes ar jurisdikcijām, kas nesadarbojas”</w:t>
      </w:r>
      <w:r w:rsidR="001C56E9" w:rsidRPr="00750DC0">
        <w:rPr>
          <w:b/>
          <w:sz w:val="26"/>
          <w:szCs w:val="26"/>
        </w:rPr>
        <w:t xml:space="preserve"> </w:t>
      </w:r>
    </w:p>
    <w:p w14:paraId="16B0B552" w14:textId="77777777" w:rsidR="00C578EE" w:rsidRPr="00F35480" w:rsidRDefault="00C578EE" w:rsidP="00750DC0">
      <w:pPr>
        <w:pStyle w:val="Default"/>
        <w:spacing w:after="120"/>
        <w:rPr>
          <w:sz w:val="26"/>
          <w:szCs w:val="26"/>
        </w:rPr>
      </w:pPr>
    </w:p>
    <w:p w14:paraId="62DDAF31" w14:textId="206B99DC" w:rsidR="004321D8" w:rsidRPr="00F35480" w:rsidRDefault="000B7115" w:rsidP="00A62DA8">
      <w:pPr>
        <w:pStyle w:val="Default"/>
        <w:numPr>
          <w:ilvl w:val="0"/>
          <w:numId w:val="3"/>
        </w:numPr>
        <w:spacing w:after="120"/>
        <w:jc w:val="both"/>
        <w:rPr>
          <w:b/>
          <w:bCs/>
          <w:sz w:val="26"/>
          <w:szCs w:val="26"/>
        </w:rPr>
      </w:pPr>
      <w:r>
        <w:rPr>
          <w:b/>
          <w:bCs/>
          <w:sz w:val="26"/>
          <w:szCs w:val="26"/>
        </w:rPr>
        <w:t xml:space="preserve">Ieteikuma </w:t>
      </w:r>
      <w:r w:rsidR="004321D8" w:rsidRPr="00F35480">
        <w:rPr>
          <w:b/>
          <w:bCs/>
          <w:sz w:val="26"/>
          <w:szCs w:val="26"/>
        </w:rPr>
        <w:t>būtība</w:t>
      </w:r>
    </w:p>
    <w:p w14:paraId="1A0F496A" w14:textId="7DBEECBB" w:rsidR="00580373" w:rsidRPr="00987E24" w:rsidRDefault="002100CB" w:rsidP="000E3D55">
      <w:pPr>
        <w:spacing w:after="0" w:line="360" w:lineRule="auto"/>
        <w:ind w:firstLine="851"/>
        <w:jc w:val="both"/>
      </w:pPr>
      <w:r w:rsidRPr="00B861DA">
        <w:rPr>
          <w:color w:val="000000"/>
        </w:rPr>
        <w:t>Eiropas Komisija</w:t>
      </w:r>
      <w:r w:rsidR="00B861DA" w:rsidRPr="00B861DA">
        <w:rPr>
          <w:color w:val="000000"/>
        </w:rPr>
        <w:t xml:space="preserve"> (turpmāk – EK) </w:t>
      </w:r>
      <w:r w:rsidR="006B4039">
        <w:t xml:space="preserve">2020.gada </w:t>
      </w:r>
      <w:r w:rsidRPr="008672C1">
        <w:t>1</w:t>
      </w:r>
      <w:r w:rsidR="003F3726">
        <w:t>4</w:t>
      </w:r>
      <w:r w:rsidRPr="008672C1">
        <w:t xml:space="preserve">.jūlijā ir pieņēmusi </w:t>
      </w:r>
      <w:r w:rsidR="003F3726">
        <w:t xml:space="preserve">ieteikumu </w:t>
      </w:r>
      <w:r w:rsidR="003F3726" w:rsidRPr="003F3726">
        <w:rPr>
          <w:sz w:val="26"/>
          <w:szCs w:val="26"/>
        </w:rPr>
        <w:t>C(2020) 4885</w:t>
      </w:r>
      <w:r w:rsidR="003F3726" w:rsidRPr="00750DC0">
        <w:rPr>
          <w:b/>
          <w:sz w:val="26"/>
          <w:szCs w:val="26"/>
        </w:rPr>
        <w:t xml:space="preserve"> </w:t>
      </w:r>
      <w:r w:rsidRPr="008672C1">
        <w:t>“Par valsts finansiālā atbalsta piešķiršanu uzņēmumiem Savienībā atkarībā no tā, vai nepastāv saiknes ar jurisdikcijām, kas nesadarbojas”</w:t>
      </w:r>
      <w:r w:rsidRPr="008672C1">
        <w:rPr>
          <w:vertAlign w:val="superscript"/>
        </w:rPr>
        <w:footnoteReference w:id="1"/>
      </w:r>
      <w:r w:rsidR="00702658" w:rsidRPr="008672C1">
        <w:t xml:space="preserve"> (turpmāk</w:t>
      </w:r>
      <w:r w:rsidR="003F3726">
        <w:t>-Ieteikums</w:t>
      </w:r>
      <w:r w:rsidR="00702658" w:rsidRPr="008672C1">
        <w:t>)</w:t>
      </w:r>
      <w:r w:rsidRPr="008672C1">
        <w:t xml:space="preserve">. </w:t>
      </w:r>
      <w:r w:rsidR="00B72B50">
        <w:t xml:space="preserve">Ieteikumā </w:t>
      </w:r>
      <w:r w:rsidRPr="008672C1">
        <w:t>ir izklāstīta koordinēta pieeja, saskaņā ar kuru dalībvalstis piešķir finansiālo atbalstu atkarībā no tā, vai nepastāv saiknes starp saņēmēja uzņēmumu un jurisdikcijām, kas iekļautas Eiropas Savienības (turpmāk</w:t>
      </w:r>
      <w:r w:rsidR="006F1860" w:rsidRPr="008672C1">
        <w:t xml:space="preserve"> </w:t>
      </w:r>
      <w:r w:rsidRPr="008672C1">
        <w:t>–</w:t>
      </w:r>
      <w:r w:rsidR="006F1860" w:rsidRPr="008672C1">
        <w:t xml:space="preserve"> </w:t>
      </w:r>
      <w:r w:rsidR="00750DC0">
        <w:t xml:space="preserve"> </w:t>
      </w:r>
      <w:r w:rsidR="007B2E9F" w:rsidRPr="008672C1">
        <w:t>ES</w:t>
      </w:r>
      <w:r w:rsidRPr="008672C1">
        <w:t xml:space="preserve">)  </w:t>
      </w:r>
      <w:r w:rsidR="007B2E9F" w:rsidRPr="008672C1">
        <w:t>nesadarbojošos</w:t>
      </w:r>
      <w:r w:rsidRPr="008672C1">
        <w:t xml:space="preserve"> jurisdikcij</w:t>
      </w:r>
      <w:r w:rsidR="007B2E9F" w:rsidRPr="008672C1">
        <w:t>u sarakstā nodokļu vajadzībām (turpmāk – ES saraksts)</w:t>
      </w:r>
      <w:r w:rsidR="007B2E9F" w:rsidRPr="008672C1">
        <w:rPr>
          <w:rStyle w:val="FootnoteReference"/>
        </w:rPr>
        <w:footnoteReference w:id="2"/>
      </w:r>
      <w:r w:rsidR="007B2E9F" w:rsidRPr="008672C1">
        <w:t>.</w:t>
      </w:r>
      <w:r w:rsidR="00580373">
        <w:t xml:space="preserve"> </w:t>
      </w:r>
      <w:r w:rsidR="00B72B50">
        <w:t xml:space="preserve">Ieteikumiem </w:t>
      </w:r>
      <w:r w:rsidR="00580373" w:rsidRPr="00987E24">
        <w:t>nav juridiski saistošs raksturs.</w:t>
      </w:r>
    </w:p>
    <w:p w14:paraId="6C49A0AF" w14:textId="3E5F66DE" w:rsidR="009E776C" w:rsidRPr="008672C1" w:rsidRDefault="00C578EE" w:rsidP="004A2527">
      <w:pPr>
        <w:pStyle w:val="Default"/>
        <w:spacing w:after="120" w:line="360" w:lineRule="auto"/>
        <w:ind w:firstLine="851"/>
        <w:jc w:val="both"/>
      </w:pPr>
      <w:r w:rsidRPr="008672C1">
        <w:t xml:space="preserve">Covid-19 uzliesmojuma rezultātā </w:t>
      </w:r>
      <w:r w:rsidR="004321D8" w:rsidRPr="008672C1">
        <w:t>dalīb</w:t>
      </w:r>
      <w:r w:rsidRPr="008672C1">
        <w:t xml:space="preserve">valstu un </w:t>
      </w:r>
      <w:r w:rsidR="009129EE" w:rsidRPr="008672C1">
        <w:t>ES</w:t>
      </w:r>
      <w:r w:rsidRPr="008672C1">
        <w:t xml:space="preserve"> līmenī ir veikti vēl nepieredzēti pasākumi, lai atbalstītu dalībvalstu ekonomikas un veicinātu to atveseļošanu. </w:t>
      </w:r>
      <w:r w:rsidR="009541AC">
        <w:t>Ievērojama daļa m</w:t>
      </w:r>
      <w:r w:rsidR="009541AC" w:rsidRPr="008672C1">
        <w:t>inēt</w:t>
      </w:r>
      <w:r w:rsidR="009541AC">
        <w:t>o</w:t>
      </w:r>
      <w:r w:rsidR="009541AC" w:rsidRPr="008672C1">
        <w:t xml:space="preserve"> </w:t>
      </w:r>
      <w:r w:rsidRPr="008672C1">
        <w:t>pasākum</w:t>
      </w:r>
      <w:r w:rsidR="009541AC">
        <w:t>u</w:t>
      </w:r>
      <w:r w:rsidRPr="008672C1">
        <w:t xml:space="preserve"> ietver valsts </w:t>
      </w:r>
      <w:r w:rsidR="004321D8" w:rsidRPr="008672C1">
        <w:t>atbalstu nolūkā</w:t>
      </w:r>
      <w:r w:rsidRPr="008672C1">
        <w:t xml:space="preserve"> nodrošināt uzņēmumu likviditāti un piekļuvi finansējumam.</w:t>
      </w:r>
      <w:r w:rsidR="00B57611" w:rsidRPr="00B57611">
        <w:t xml:space="preserve"> </w:t>
      </w:r>
      <w:r w:rsidR="00B57611">
        <w:t xml:space="preserve">Papildus jāņem vērā, ka </w:t>
      </w:r>
      <w:r w:rsidR="00337B6E">
        <w:t xml:space="preserve">Ieteikuma </w:t>
      </w:r>
      <w:r w:rsidR="00B57611">
        <w:t>ieviešana</w:t>
      </w:r>
      <w:r w:rsidR="00B57611" w:rsidRPr="006A79A4">
        <w:t xml:space="preserve"> neattiecas tikai uz likviditātes</w:t>
      </w:r>
      <w:r w:rsidR="00B57611">
        <w:t xml:space="preserve"> vai </w:t>
      </w:r>
      <w:proofErr w:type="spellStart"/>
      <w:r w:rsidR="00B57611">
        <w:t>rekapitalizācijas</w:t>
      </w:r>
      <w:proofErr w:type="spellEnd"/>
      <w:r w:rsidR="00B57611">
        <w:t xml:space="preserve"> atbalsta</w:t>
      </w:r>
      <w:r w:rsidR="00B57611" w:rsidRPr="006A79A4">
        <w:t xml:space="preserve"> pasākumiem,</w:t>
      </w:r>
      <w:r w:rsidR="00B57611">
        <w:t xml:space="preserve"> kas kvalificējas kā valsts (komercdarbības) atbalsta pasākumi,</w:t>
      </w:r>
      <w:r w:rsidR="00B57611" w:rsidRPr="006A79A4">
        <w:t xml:space="preserve"> bet </w:t>
      </w:r>
      <w:r w:rsidR="00B57611">
        <w:t xml:space="preserve">ir attiecināma </w:t>
      </w:r>
      <w:r w:rsidR="00B57611" w:rsidRPr="006A79A4">
        <w:t xml:space="preserve">uz </w:t>
      </w:r>
      <w:r w:rsidR="00B57611">
        <w:t>ikvienu publiskā finansējuma piešķiršanu</w:t>
      </w:r>
      <w:r w:rsidR="00B57611" w:rsidRPr="006A79A4">
        <w:t xml:space="preserve"> (</w:t>
      </w:r>
      <w:r w:rsidR="00B57611">
        <w:t xml:space="preserve">pat </w:t>
      </w:r>
      <w:r w:rsidR="00B57611" w:rsidRPr="006A79A4">
        <w:t>ar mazām summām)</w:t>
      </w:r>
      <w:r w:rsidR="00B57611">
        <w:t>, tostarp, iepirkuma ietvaros</w:t>
      </w:r>
      <w:r w:rsidR="00B57611" w:rsidRPr="008672C1">
        <w:t>.</w:t>
      </w:r>
      <w:r w:rsidR="00B57611">
        <w:t xml:space="preserve"> Vienlaikus </w:t>
      </w:r>
      <w:r w:rsidR="00337B6E">
        <w:t xml:space="preserve">Ieteikums </w:t>
      </w:r>
      <w:r w:rsidR="00B57611">
        <w:t xml:space="preserve">nav daļa no valsts atbalsta kontroles regulējuma nosacījumiem un neietekmē valsts atbalsta pasākuma saderības </w:t>
      </w:r>
      <w:proofErr w:type="spellStart"/>
      <w:r w:rsidR="00B57611">
        <w:t>izvērtējumu</w:t>
      </w:r>
      <w:proofErr w:type="spellEnd"/>
      <w:r w:rsidR="00B57611">
        <w:t xml:space="preserve"> atbilstoši Līguma par Eiropas Savienības darbību 107.pantam.</w:t>
      </w:r>
    </w:p>
    <w:p w14:paraId="466F163F" w14:textId="7E5F7F02" w:rsidR="008F2C53" w:rsidRPr="008672C1" w:rsidRDefault="009129EE" w:rsidP="004A2527">
      <w:pPr>
        <w:pStyle w:val="Default"/>
        <w:spacing w:after="120" w:line="360" w:lineRule="auto"/>
        <w:ind w:firstLine="851"/>
        <w:jc w:val="both"/>
      </w:pPr>
      <w:r w:rsidRPr="008672C1">
        <w:t xml:space="preserve">EK </w:t>
      </w:r>
      <w:r w:rsidR="00B04A44" w:rsidRPr="008672C1">
        <w:t>uzskata, ka</w:t>
      </w:r>
      <w:r w:rsidR="003D4100" w:rsidRPr="008672C1">
        <w:t xml:space="preserve"> f</w:t>
      </w:r>
      <w:r w:rsidR="00B456B8" w:rsidRPr="008672C1">
        <w:t xml:space="preserve">inansiālā atbalsta – it īpaši likviditātes atbalsta – apjoms, kas pašreizējos Covid-19 izraisītajos apstākļos tiek piešķirts uzņēmumiem, liek nekavējoties un saskaņoti rīkoties, lai nepieļautu </w:t>
      </w:r>
      <w:r w:rsidR="00B456B8" w:rsidRPr="00750DC0">
        <w:t>publiskā finansējuma ļaunprātīgu izmantošanu</w:t>
      </w:r>
      <w:r w:rsidR="00B456B8" w:rsidRPr="008672C1">
        <w:t xml:space="preserve">. Līdz šim šāda rīcība lielākoties ir veikta </w:t>
      </w:r>
      <w:r w:rsidRPr="008672C1">
        <w:t xml:space="preserve">ES </w:t>
      </w:r>
      <w:r w:rsidR="00B456B8" w:rsidRPr="008672C1">
        <w:t xml:space="preserve">valsts atbalsta noteikumu kontekstā. Papildus tam un neatkarīgi no apstākļiem, kas saistīti ar Covid-19, </w:t>
      </w:r>
      <w:r w:rsidR="00B456B8" w:rsidRPr="00750DC0">
        <w:t xml:space="preserve">ar </w:t>
      </w:r>
      <w:r w:rsidR="00B456B8" w:rsidRPr="00750DC0">
        <w:lastRenderedPageBreak/>
        <w:t>finansiālā atbalsta piešķiršanu būtu jāpievēršas vajadzībai apkarot nodokļu apiešanu un krāpšanu</w:t>
      </w:r>
      <w:r w:rsidR="00B456B8" w:rsidRPr="008672C1">
        <w:t xml:space="preserve">, kā arī nepieļaut </w:t>
      </w:r>
      <w:r w:rsidR="004321D8" w:rsidRPr="008672C1">
        <w:t>dalīb</w:t>
      </w:r>
      <w:r w:rsidR="00B456B8" w:rsidRPr="00866271">
        <w:t xml:space="preserve">valstu un </w:t>
      </w:r>
      <w:r w:rsidRPr="000C534A">
        <w:t>ES</w:t>
      </w:r>
      <w:r w:rsidR="00B456B8" w:rsidRPr="008672C1">
        <w:t xml:space="preserve"> budžeta ļaunprātīgu izmantošanu uz nodokļu maksātāju un sociālā nodrošinājuma sistēmu rēķina.</w:t>
      </w:r>
      <w:r w:rsidRPr="008672C1">
        <w:t xml:space="preserve"> Tād</w:t>
      </w:r>
      <w:r w:rsidRPr="00866271">
        <w:t>ē</w:t>
      </w:r>
      <w:r w:rsidRPr="000C534A">
        <w:t>ļ EK rekomend</w:t>
      </w:r>
      <w:r w:rsidRPr="008672C1">
        <w:t xml:space="preserve">ē </w:t>
      </w:r>
      <w:r w:rsidR="008F2C53" w:rsidRPr="008672C1">
        <w:t xml:space="preserve">dalībvalstīm, ka tās savu </w:t>
      </w:r>
      <w:r w:rsidR="008F2C53" w:rsidRPr="00750DC0">
        <w:t>finansiālo atbalstu uzņēmumiem</w:t>
      </w:r>
      <w:r w:rsidRPr="00750DC0">
        <w:t xml:space="preserve"> ES</w:t>
      </w:r>
      <w:r w:rsidR="008F2C53" w:rsidRPr="008672C1">
        <w:t xml:space="preserve"> </w:t>
      </w:r>
      <w:r w:rsidR="008F2C53" w:rsidRPr="00750DC0">
        <w:t>padara atkarīgu no tā</w:t>
      </w:r>
      <w:r w:rsidR="008F2C53" w:rsidRPr="008672C1">
        <w:t xml:space="preserve">, </w:t>
      </w:r>
      <w:r w:rsidR="008F2C53" w:rsidRPr="00750DC0">
        <w:t xml:space="preserve">vai nepastāv saiknes starp šiem uzņēmumiem un </w:t>
      </w:r>
      <w:r w:rsidRPr="00750DC0">
        <w:t xml:space="preserve">ES </w:t>
      </w:r>
      <w:r w:rsidR="008F2C53" w:rsidRPr="00750DC0">
        <w:t>sarakstā iekļautajām jurisdikcijām.</w:t>
      </w:r>
      <w:r w:rsidR="004A3BF6" w:rsidRPr="00750DC0">
        <w:t xml:space="preserve"> </w:t>
      </w:r>
      <w:r w:rsidR="004A3BF6" w:rsidRPr="008672C1">
        <w:t xml:space="preserve">Turklāt </w:t>
      </w:r>
      <w:r w:rsidRPr="008672C1">
        <w:t xml:space="preserve">EK </w:t>
      </w:r>
      <w:r w:rsidR="004A3BF6" w:rsidRPr="008672C1">
        <w:t xml:space="preserve">norāda, ka saistībā ar valsts atbalsta piešķiršanu </w:t>
      </w:r>
      <w:proofErr w:type="spellStart"/>
      <w:r w:rsidR="004A3BF6" w:rsidRPr="008672C1">
        <w:t>rekapitalizācijas</w:t>
      </w:r>
      <w:proofErr w:type="spellEnd"/>
      <w:r w:rsidR="004A3BF6" w:rsidRPr="008672C1">
        <w:t xml:space="preserve"> veidā vairākas dalībvalstis ir paudušas nodomu izveidot ciešu saikni starp finansiālo atbalstu un nodokļiem, kurus atbalsta saņēmējs samaksājis taisnīgā apmērā.</w:t>
      </w:r>
    </w:p>
    <w:p w14:paraId="4BFB0286" w14:textId="77777777" w:rsidR="00750DC0" w:rsidRDefault="003B0D61" w:rsidP="004A2527">
      <w:pPr>
        <w:pStyle w:val="Default"/>
        <w:spacing w:after="120" w:line="360" w:lineRule="auto"/>
        <w:ind w:firstLine="851"/>
        <w:jc w:val="both"/>
      </w:pPr>
      <w:r w:rsidRPr="008672C1">
        <w:t xml:space="preserve">Tāpat </w:t>
      </w:r>
      <w:r w:rsidR="009129EE" w:rsidRPr="008672C1">
        <w:t xml:space="preserve">EK </w:t>
      </w:r>
      <w:r w:rsidRPr="008672C1">
        <w:t>uzskata, ka l</w:t>
      </w:r>
      <w:r w:rsidR="00A66024" w:rsidRPr="008672C1">
        <w:t xml:space="preserve">ai nodrošinātu, ka finansiālo atbalstu var saņemt </w:t>
      </w:r>
      <w:proofErr w:type="spellStart"/>
      <w:r w:rsidR="00A66024" w:rsidRPr="008672C1">
        <w:t>atbalsttiesīgie</w:t>
      </w:r>
      <w:proofErr w:type="spellEnd"/>
      <w:r w:rsidR="00A66024" w:rsidRPr="008672C1">
        <w:t xml:space="preserve"> uzņēmumi, dalībvalstīm būtu </w:t>
      </w:r>
      <w:r w:rsidR="00A66024" w:rsidRPr="00750DC0">
        <w:t>jānosaka saprātīgas prasības, kuru nolūks ir pierādīt to, ka nepastāv saikne ar jurisdikcij</w:t>
      </w:r>
      <w:r w:rsidR="009E776C">
        <w:t>ām</w:t>
      </w:r>
      <w:r w:rsidR="00A66024" w:rsidRPr="00750DC0">
        <w:t>, k</w:t>
      </w:r>
      <w:r w:rsidR="009E776C">
        <w:t>uras</w:t>
      </w:r>
      <w:r w:rsidR="00A66024" w:rsidRPr="00750DC0">
        <w:t xml:space="preserve"> iekļauta</w:t>
      </w:r>
      <w:r w:rsidR="009E776C">
        <w:t>s</w:t>
      </w:r>
      <w:r w:rsidR="00A66024" w:rsidRPr="00750DC0">
        <w:t xml:space="preserve"> ES sarakstā</w:t>
      </w:r>
      <w:r w:rsidR="00A66024" w:rsidRPr="008672C1">
        <w:t>.</w:t>
      </w:r>
      <w:r w:rsidR="009E776C">
        <w:t xml:space="preserve"> </w:t>
      </w:r>
    </w:p>
    <w:p w14:paraId="7DB38238" w14:textId="16BE5295" w:rsidR="00923D6A" w:rsidRPr="008672C1" w:rsidRDefault="00913C4D" w:rsidP="004A2527">
      <w:pPr>
        <w:pStyle w:val="Default"/>
        <w:spacing w:after="120" w:line="360" w:lineRule="auto"/>
        <w:ind w:firstLine="851"/>
        <w:jc w:val="both"/>
      </w:pPr>
      <w:r w:rsidRPr="008672C1">
        <w:t>D</w:t>
      </w:r>
      <w:r w:rsidR="00923D6A" w:rsidRPr="008672C1">
        <w:t>alībvalstīm</w:t>
      </w:r>
      <w:r w:rsidR="009129EE" w:rsidRPr="00866271">
        <w:t>,</w:t>
      </w:r>
      <w:r w:rsidR="00923D6A" w:rsidRPr="000C534A">
        <w:t xml:space="preserve"> papildu</w:t>
      </w:r>
      <w:r w:rsidR="00923D6A" w:rsidRPr="008672C1">
        <w:t xml:space="preserve"> nosacījumam, ka nepastāv saikne ar </w:t>
      </w:r>
      <w:r w:rsidR="009129EE" w:rsidRPr="008672C1">
        <w:t xml:space="preserve">ES </w:t>
      </w:r>
      <w:r w:rsidR="00923D6A" w:rsidRPr="008672C1">
        <w:t>sarakstā iekļautajām jurisdikcijām, būtu jāpaplašina nosacījumi valsts finansiālā atbalsta piešķiršanai uzņēmumiem, lai tādējādi aptvertu arī gadījumus, kuros konstatēts, ka uzņēmums vai tā īpašnieki ir notiesāti par smagu noziedzīgu nodarījumu vai nav pildījuši pienākumus attiecībā uz nodokļu vai sociālā nodrošinājuma iemaksu maksāšanu.</w:t>
      </w:r>
    </w:p>
    <w:p w14:paraId="6A979973" w14:textId="35C39764" w:rsidR="00E30143" w:rsidRPr="007007CD" w:rsidRDefault="00E30143" w:rsidP="004A2527">
      <w:pPr>
        <w:pStyle w:val="Default"/>
        <w:spacing w:after="120" w:line="360" w:lineRule="auto"/>
        <w:ind w:firstLine="851"/>
        <w:jc w:val="both"/>
        <w:rPr>
          <w:b/>
        </w:rPr>
      </w:pPr>
      <w:r w:rsidRPr="008672C1">
        <w:t xml:space="preserve">Ja dalībvalstis pieņem pasākumus, ar kuriem to jurisdikcijā esošiem </w:t>
      </w:r>
      <w:proofErr w:type="spellStart"/>
      <w:r w:rsidRPr="008672C1">
        <w:t>atbalsttiesīgiem</w:t>
      </w:r>
      <w:proofErr w:type="spellEnd"/>
      <w:r w:rsidRPr="008672C1">
        <w:t xml:space="preserve"> uzņēmumiem piešķir finansiālu atbalstu, tām būtu jānosaka, ka tiesības saņemt šādu finansiālo atbalstu ir atkarīgas no vairākiem nosacījumiem. Tādēļ</w:t>
      </w:r>
      <w:r w:rsidR="009E776C">
        <w:t xml:space="preserve">, EK uzskata, ka </w:t>
      </w:r>
      <w:r w:rsidRPr="008672C1">
        <w:t xml:space="preserve">uzņēmumiem, kas saņem finansiālo atbalstu, </w:t>
      </w:r>
      <w:r w:rsidRPr="007007CD">
        <w:rPr>
          <w:b/>
        </w:rPr>
        <w:t>nevajadzētu:</w:t>
      </w:r>
    </w:p>
    <w:p w14:paraId="3AE105D5" w14:textId="3FCE0012" w:rsidR="002A1C70" w:rsidRPr="008672C1" w:rsidRDefault="00E30143" w:rsidP="004A2527">
      <w:pPr>
        <w:pStyle w:val="Default"/>
        <w:numPr>
          <w:ilvl w:val="0"/>
          <w:numId w:val="4"/>
        </w:numPr>
        <w:spacing w:after="120" w:line="360" w:lineRule="auto"/>
        <w:jc w:val="both"/>
      </w:pPr>
      <w:r w:rsidRPr="008672C1">
        <w:t xml:space="preserve">būt </w:t>
      </w:r>
      <w:r w:rsidR="002A1C70" w:rsidRPr="008672C1">
        <w:t xml:space="preserve">nodokļu </w:t>
      </w:r>
      <w:r w:rsidRPr="008672C1">
        <w:t xml:space="preserve">rezidentiem </w:t>
      </w:r>
      <w:r w:rsidR="002A1C70" w:rsidRPr="008672C1">
        <w:t xml:space="preserve">vai reģistrētiem </w:t>
      </w:r>
      <w:r w:rsidRPr="008672C1">
        <w:t>jurisdikcijās, kas iekļautas ES sarakstā</w:t>
      </w:r>
      <w:r w:rsidR="002A1C70" w:rsidRPr="008672C1">
        <w:t>;</w:t>
      </w:r>
      <w:r w:rsidRPr="008672C1">
        <w:t xml:space="preserve"> </w:t>
      </w:r>
    </w:p>
    <w:p w14:paraId="0F4C161F" w14:textId="306DA7F5" w:rsidR="002A1C70" w:rsidRPr="008672C1" w:rsidRDefault="00E30143" w:rsidP="004A2527">
      <w:pPr>
        <w:pStyle w:val="Default"/>
        <w:numPr>
          <w:ilvl w:val="0"/>
          <w:numId w:val="4"/>
        </w:numPr>
        <w:spacing w:after="120" w:line="360" w:lineRule="auto"/>
        <w:jc w:val="both"/>
      </w:pPr>
      <w:r w:rsidRPr="008672C1">
        <w:t xml:space="preserve">atrasties tiešā vai netiešā </w:t>
      </w:r>
      <w:r w:rsidR="002A1C70" w:rsidRPr="008672C1">
        <w:t>ES saraksta jurisdikcij</w:t>
      </w:r>
      <w:r w:rsidR="00576FF7">
        <w:t>ā</w:t>
      </w:r>
      <w:r w:rsidR="009E776C">
        <w:t>s</w:t>
      </w:r>
      <w:r w:rsidR="00576FF7">
        <w:t xml:space="preserve"> esošu</w:t>
      </w:r>
      <w:r w:rsidR="002A1C70" w:rsidRPr="00576FF7">
        <w:t xml:space="preserve"> </w:t>
      </w:r>
      <w:r w:rsidRPr="00576FF7">
        <w:t>akcionāru</w:t>
      </w:r>
      <w:r w:rsidR="00D16A35">
        <w:t xml:space="preserve"> </w:t>
      </w:r>
      <w:r w:rsidRPr="008672C1">
        <w:t>(līdz pat faktiskā īpašnieka līmenim</w:t>
      </w:r>
      <w:r w:rsidR="007C4BF3" w:rsidRPr="00F72D33">
        <w:rPr>
          <w:rStyle w:val="FootnoteReference"/>
          <w:sz w:val="20"/>
          <w:szCs w:val="20"/>
        </w:rPr>
        <w:footnoteReference w:id="3"/>
      </w:r>
      <w:r w:rsidR="00D16A35">
        <w:t>)</w:t>
      </w:r>
      <w:r w:rsidRPr="008672C1">
        <w:t xml:space="preserve"> kontrolē</w:t>
      </w:r>
      <w:r w:rsidR="002A1C70" w:rsidRPr="008672C1">
        <w:t xml:space="preserve">; </w:t>
      </w:r>
      <w:r w:rsidRPr="008672C1">
        <w:t xml:space="preserve"> </w:t>
      </w:r>
    </w:p>
    <w:p w14:paraId="2A65D070" w14:textId="0EAA8D6D" w:rsidR="00E30143" w:rsidRPr="008672C1" w:rsidRDefault="00E30143" w:rsidP="004A2527">
      <w:pPr>
        <w:pStyle w:val="Default"/>
        <w:numPr>
          <w:ilvl w:val="0"/>
          <w:numId w:val="4"/>
        </w:numPr>
        <w:spacing w:after="120" w:line="360" w:lineRule="auto"/>
        <w:jc w:val="both"/>
      </w:pPr>
      <w:r w:rsidRPr="008672C1">
        <w:t xml:space="preserve"> tieši vai netieši kontrolēt </w:t>
      </w:r>
      <w:r w:rsidR="002A1C70" w:rsidRPr="008672C1">
        <w:t xml:space="preserve">ES saraksta jurisdikcijās esošos </w:t>
      </w:r>
      <w:r w:rsidRPr="008672C1">
        <w:t xml:space="preserve">meitasuzņēmumus vai to īpašumā nevajadzētu būt pastāvīgām pārstāvniecībām, kas atrodas šādās jurisdikcijās, un </w:t>
      </w:r>
      <w:bookmarkStart w:id="1" w:name="_GoBack"/>
      <w:bookmarkEnd w:id="1"/>
    </w:p>
    <w:p w14:paraId="1EFA2E1C" w14:textId="4A81517E" w:rsidR="00E30143" w:rsidRPr="008672C1" w:rsidRDefault="00E30143" w:rsidP="004A2527">
      <w:pPr>
        <w:pStyle w:val="Default"/>
        <w:numPr>
          <w:ilvl w:val="0"/>
          <w:numId w:val="4"/>
        </w:numPr>
        <w:spacing w:after="120" w:line="360" w:lineRule="auto"/>
        <w:jc w:val="both"/>
      </w:pPr>
      <w:r w:rsidRPr="008672C1">
        <w:lastRenderedPageBreak/>
        <w:t xml:space="preserve">būt kopīgām īpašumtiesībām ar </w:t>
      </w:r>
      <w:r w:rsidR="000B27B9" w:rsidRPr="008672C1">
        <w:t xml:space="preserve">ES sarakstā iekļauto jurisdikciju </w:t>
      </w:r>
      <w:r w:rsidRPr="008672C1">
        <w:t>uzņēmumiem.</w:t>
      </w:r>
    </w:p>
    <w:p w14:paraId="43029EAB" w14:textId="547569FD" w:rsidR="003326EF" w:rsidRDefault="003326EF" w:rsidP="00F35480">
      <w:pPr>
        <w:pStyle w:val="Default"/>
        <w:spacing w:line="360" w:lineRule="auto"/>
        <w:jc w:val="both"/>
        <w:rPr>
          <w:sz w:val="20"/>
          <w:szCs w:val="20"/>
        </w:rPr>
      </w:pPr>
      <w:r w:rsidRPr="00B75876">
        <w:t xml:space="preserve">Komisijas </w:t>
      </w:r>
      <w:r w:rsidR="005F1CA0">
        <w:t xml:space="preserve">Ieteikums </w:t>
      </w:r>
      <w:r w:rsidRPr="00B75876">
        <w:t>paredz izņēmumus atbilstības noteikumu piemērošanā</w:t>
      </w:r>
      <w:r w:rsidRPr="00F72D33">
        <w:rPr>
          <w:rStyle w:val="FootnoteReference"/>
          <w:sz w:val="20"/>
          <w:szCs w:val="20"/>
        </w:rPr>
        <w:footnoteReference w:id="4"/>
      </w:r>
      <w:r w:rsidRPr="00F72D33">
        <w:rPr>
          <w:sz w:val="20"/>
          <w:szCs w:val="20"/>
        </w:rPr>
        <w:t xml:space="preserve"> </w:t>
      </w:r>
      <w:r w:rsidRPr="00B75876">
        <w:t>kā arī prasību ātras īstenošanas un efektīvas izpildes principus</w:t>
      </w:r>
      <w:r w:rsidRPr="00F72D33">
        <w:rPr>
          <w:rStyle w:val="FootnoteReference"/>
          <w:sz w:val="20"/>
          <w:szCs w:val="20"/>
        </w:rPr>
        <w:footnoteReference w:id="5"/>
      </w:r>
      <w:r w:rsidRPr="00F72D33">
        <w:rPr>
          <w:sz w:val="20"/>
          <w:szCs w:val="20"/>
        </w:rPr>
        <w:t>.</w:t>
      </w:r>
    </w:p>
    <w:p w14:paraId="7E380AC6" w14:textId="77777777" w:rsidR="00466A97" w:rsidRPr="00B75876" w:rsidRDefault="00466A97" w:rsidP="00F35480">
      <w:pPr>
        <w:pStyle w:val="Default"/>
        <w:spacing w:line="360" w:lineRule="auto"/>
        <w:jc w:val="both"/>
        <w:rPr>
          <w:b/>
        </w:rPr>
      </w:pPr>
    </w:p>
    <w:p w14:paraId="1D18AA4B" w14:textId="0E17929E" w:rsidR="007675BD" w:rsidRPr="00624A59" w:rsidRDefault="008672C1" w:rsidP="00624A59">
      <w:pPr>
        <w:pStyle w:val="Default"/>
        <w:numPr>
          <w:ilvl w:val="0"/>
          <w:numId w:val="3"/>
        </w:numPr>
        <w:spacing w:after="120"/>
        <w:jc w:val="both"/>
        <w:rPr>
          <w:b/>
          <w:sz w:val="26"/>
          <w:szCs w:val="26"/>
        </w:rPr>
      </w:pPr>
      <w:r w:rsidRPr="00624A59">
        <w:rPr>
          <w:b/>
          <w:sz w:val="26"/>
          <w:szCs w:val="26"/>
        </w:rPr>
        <w:t>Citi</w:t>
      </w:r>
      <w:r w:rsidR="00911473" w:rsidRPr="00624A59">
        <w:rPr>
          <w:b/>
          <w:sz w:val="26"/>
          <w:szCs w:val="26"/>
        </w:rPr>
        <w:t xml:space="preserve"> a</w:t>
      </w:r>
      <w:r w:rsidR="007675BD" w:rsidRPr="00624A59">
        <w:rPr>
          <w:b/>
          <w:sz w:val="26"/>
          <w:szCs w:val="26"/>
        </w:rPr>
        <w:t>izsardzības pasākumi attiecībā uz ES sarakstā iekļautajām jurisdikcijām</w:t>
      </w:r>
    </w:p>
    <w:p w14:paraId="2FB399BE" w14:textId="261D58D3" w:rsidR="00296BD9" w:rsidRPr="008672C1" w:rsidRDefault="00D56C4E" w:rsidP="00DE4BFD">
      <w:pPr>
        <w:pStyle w:val="Default"/>
        <w:spacing w:after="120" w:line="360" w:lineRule="auto"/>
        <w:ind w:firstLine="851"/>
        <w:jc w:val="both"/>
      </w:pPr>
      <w:r w:rsidRPr="00624A59">
        <w:t xml:space="preserve">Padomes 2017.gada 5.decembra secinājumos par ES sarakstu </w:t>
      </w:r>
      <w:r w:rsidRPr="008672C1">
        <w:t xml:space="preserve">jau </w:t>
      </w:r>
      <w:r w:rsidRPr="00624A59">
        <w:t xml:space="preserve">tika izteikts aicinājums </w:t>
      </w:r>
      <w:r w:rsidR="009B7D93" w:rsidRPr="00624A59">
        <w:t xml:space="preserve">ES </w:t>
      </w:r>
      <w:proofErr w:type="spellStart"/>
      <w:r w:rsidR="009B7D93" w:rsidRPr="00624A59">
        <w:t>iestād</w:t>
      </w:r>
      <w:r w:rsidRPr="00624A59">
        <w:t>ēm</w:t>
      </w:r>
      <w:proofErr w:type="spellEnd"/>
      <w:r w:rsidR="009B7D93" w:rsidRPr="00624A59">
        <w:t xml:space="preserve"> un </w:t>
      </w:r>
      <w:proofErr w:type="spellStart"/>
      <w:r w:rsidR="009B7D93" w:rsidRPr="00624A59">
        <w:t>dalībvalst</w:t>
      </w:r>
      <w:r w:rsidRPr="00624A59">
        <w:t>īm</w:t>
      </w:r>
      <w:proofErr w:type="spellEnd"/>
      <w:r w:rsidR="009B7D93" w:rsidRPr="00624A59">
        <w:t xml:space="preserve"> </w:t>
      </w:r>
      <w:proofErr w:type="spellStart"/>
      <w:r w:rsidR="009B7D93" w:rsidRPr="00624A59">
        <w:t>ārpolitika</w:t>
      </w:r>
      <w:proofErr w:type="spellEnd"/>
      <w:r w:rsidR="009B7D93" w:rsidRPr="00624A59">
        <w:t xml:space="preserve">̄, </w:t>
      </w:r>
      <w:proofErr w:type="spellStart"/>
      <w:r w:rsidR="009B7D93" w:rsidRPr="00624A59">
        <w:t>ekonomiskajās</w:t>
      </w:r>
      <w:proofErr w:type="spellEnd"/>
      <w:r w:rsidR="009B7D93" w:rsidRPr="00624A59">
        <w:t xml:space="preserve"> </w:t>
      </w:r>
      <w:proofErr w:type="spellStart"/>
      <w:r w:rsidR="009B7D93" w:rsidRPr="00624A59">
        <w:t>attiecībās</w:t>
      </w:r>
      <w:proofErr w:type="spellEnd"/>
      <w:r w:rsidR="009B7D93" w:rsidRPr="00624A59">
        <w:t xml:space="preserve"> un </w:t>
      </w:r>
      <w:proofErr w:type="spellStart"/>
      <w:r w:rsidR="009B7D93" w:rsidRPr="00624A59">
        <w:t>attīstības</w:t>
      </w:r>
      <w:proofErr w:type="spellEnd"/>
      <w:r w:rsidR="009B7D93" w:rsidRPr="00624A59">
        <w:t xml:space="preserve"> </w:t>
      </w:r>
      <w:proofErr w:type="spellStart"/>
      <w:r w:rsidR="009B7D93" w:rsidRPr="00624A59">
        <w:t>sadarbība</w:t>
      </w:r>
      <w:proofErr w:type="spellEnd"/>
      <w:r w:rsidR="009B7D93" w:rsidRPr="00624A59">
        <w:t xml:space="preserve">̄ ar </w:t>
      </w:r>
      <w:proofErr w:type="spellStart"/>
      <w:r w:rsidR="009B7D93" w:rsidRPr="00624A59">
        <w:t>attiecīgajām</w:t>
      </w:r>
      <w:proofErr w:type="spellEnd"/>
      <w:r w:rsidR="009B7D93" w:rsidRPr="00624A59">
        <w:t xml:space="preserve"> </w:t>
      </w:r>
      <w:proofErr w:type="spellStart"/>
      <w:r w:rsidR="009B7D93" w:rsidRPr="00624A59">
        <w:t>trešām</w:t>
      </w:r>
      <w:proofErr w:type="spellEnd"/>
      <w:r w:rsidR="009B7D93" w:rsidRPr="00624A59">
        <w:t xml:space="preserve"> </w:t>
      </w:r>
      <w:proofErr w:type="spellStart"/>
      <w:r w:rsidR="009B7D93" w:rsidRPr="00624A59">
        <w:t>valstīm</w:t>
      </w:r>
      <w:proofErr w:type="spellEnd"/>
      <w:r w:rsidR="009B7D93" w:rsidRPr="00624A59">
        <w:t xml:space="preserve"> </w:t>
      </w:r>
      <w:proofErr w:type="spellStart"/>
      <w:r w:rsidR="009B7D93" w:rsidRPr="00624A59">
        <w:t>ņemt</w:t>
      </w:r>
      <w:proofErr w:type="spellEnd"/>
      <w:r w:rsidR="009B7D93" w:rsidRPr="00624A59">
        <w:t xml:space="preserve"> </w:t>
      </w:r>
      <w:proofErr w:type="spellStart"/>
      <w:r w:rsidR="009B7D93" w:rsidRPr="00624A59">
        <w:t>vēra</w:t>
      </w:r>
      <w:proofErr w:type="spellEnd"/>
      <w:r w:rsidR="009B7D93" w:rsidRPr="00624A59">
        <w:t xml:space="preserve">̄ ES sarakstu, ar </w:t>
      </w:r>
      <w:proofErr w:type="spellStart"/>
      <w:r w:rsidR="009B7D93" w:rsidRPr="00624A59">
        <w:t>mērķi</w:t>
      </w:r>
      <w:proofErr w:type="spellEnd"/>
      <w:r w:rsidR="009B7D93" w:rsidRPr="00624A59">
        <w:t xml:space="preserve"> </w:t>
      </w:r>
      <w:proofErr w:type="spellStart"/>
      <w:r w:rsidR="009B7D93" w:rsidRPr="00624A59">
        <w:t>panākt</w:t>
      </w:r>
      <w:proofErr w:type="spellEnd"/>
      <w:r w:rsidR="009B7D93" w:rsidRPr="00624A59">
        <w:t xml:space="preserve"> </w:t>
      </w:r>
      <w:proofErr w:type="spellStart"/>
      <w:r w:rsidR="009B7D93" w:rsidRPr="00624A59">
        <w:t>visaptverošu</w:t>
      </w:r>
      <w:proofErr w:type="spellEnd"/>
      <w:r w:rsidR="009B7D93" w:rsidRPr="00624A59">
        <w:t xml:space="preserve"> pieeju </w:t>
      </w:r>
      <w:proofErr w:type="spellStart"/>
      <w:r w:rsidR="009B7D93" w:rsidRPr="00624A59">
        <w:t>attiecīb</w:t>
      </w:r>
      <w:r w:rsidR="007675BD" w:rsidRPr="008672C1">
        <w:t>ā</w:t>
      </w:r>
      <w:proofErr w:type="spellEnd"/>
      <w:r w:rsidR="009B7D93" w:rsidRPr="00624A59">
        <w:t xml:space="preserve"> uz </w:t>
      </w:r>
      <w:proofErr w:type="spellStart"/>
      <w:r w:rsidR="009B7D93" w:rsidRPr="00624A59">
        <w:t>jautājum</w:t>
      </w:r>
      <w:r w:rsidR="007675BD" w:rsidRPr="008672C1">
        <w:t>u</w:t>
      </w:r>
      <w:proofErr w:type="spellEnd"/>
      <w:r w:rsidR="009B7D93" w:rsidRPr="00624A59">
        <w:t xml:space="preserve"> par </w:t>
      </w:r>
      <w:r w:rsidRPr="00624A59">
        <w:t xml:space="preserve">ES saraksta </w:t>
      </w:r>
      <w:proofErr w:type="spellStart"/>
      <w:r w:rsidRPr="00624A59">
        <w:t>k</w:t>
      </w:r>
      <w:r w:rsidR="009B7D93" w:rsidRPr="00624A59">
        <w:t>ritēriju</w:t>
      </w:r>
      <w:proofErr w:type="spellEnd"/>
      <w:r w:rsidR="009B7D93" w:rsidRPr="00624A59">
        <w:t xml:space="preserve"> izpildi</w:t>
      </w:r>
      <w:r w:rsidRPr="00624A59">
        <w:t xml:space="preserve"> no jurisdikciju puses</w:t>
      </w:r>
      <w:r w:rsidR="009B7D93" w:rsidRPr="00624A59">
        <w:t xml:space="preserve">, neskarot </w:t>
      </w:r>
      <w:proofErr w:type="spellStart"/>
      <w:r w:rsidR="009B7D93" w:rsidRPr="00624A59">
        <w:t>attiecīgās</w:t>
      </w:r>
      <w:proofErr w:type="spellEnd"/>
      <w:r w:rsidR="009B7D93" w:rsidRPr="00624A59">
        <w:t xml:space="preserve"> </w:t>
      </w:r>
      <w:proofErr w:type="spellStart"/>
      <w:r w:rsidR="009B7D93" w:rsidRPr="00624A59">
        <w:t>dalībvalstu</w:t>
      </w:r>
      <w:proofErr w:type="spellEnd"/>
      <w:r w:rsidR="009B7D93" w:rsidRPr="00624A59">
        <w:t xml:space="preserve"> un </w:t>
      </w:r>
      <w:r w:rsidRPr="00624A59">
        <w:t>ES</w:t>
      </w:r>
      <w:r w:rsidR="009B7D93" w:rsidRPr="00624A59">
        <w:t xml:space="preserve"> kompetences jomas, kas izriet no </w:t>
      </w:r>
      <w:proofErr w:type="spellStart"/>
      <w:r w:rsidR="009B7D93" w:rsidRPr="00624A59">
        <w:t>Līgumiem</w:t>
      </w:r>
      <w:proofErr w:type="spellEnd"/>
      <w:r w:rsidR="00A704B7" w:rsidRPr="005D4609">
        <w:rPr>
          <w:rStyle w:val="FootnoteReference"/>
          <w:sz w:val="20"/>
          <w:szCs w:val="20"/>
        </w:rPr>
        <w:footnoteReference w:id="6"/>
      </w:r>
      <w:r w:rsidR="00B65BB5">
        <w:t>.</w:t>
      </w:r>
      <w:r w:rsidR="00296BD9" w:rsidRPr="008672C1">
        <w:t xml:space="preserve"> Līdz ar to, jau </w:t>
      </w:r>
      <w:r w:rsidR="00296BD9" w:rsidRPr="00866271">
        <w:t>šobrīd</w:t>
      </w:r>
      <w:r w:rsidR="00296BD9" w:rsidRPr="000C534A">
        <w:t>,</w:t>
      </w:r>
      <w:r w:rsidR="00296BD9" w:rsidRPr="008672C1">
        <w:t xml:space="preserve"> vairākos ES finansēšanas noteikumos ir skaidra atsauce uz ES sarakstu. Līdzekļus no vairākiem ES instrumentiem nevar novirzīt, izmantojot nodibinājumus, kas reģistrēt</w:t>
      </w:r>
      <w:r w:rsidR="00BB2754">
        <w:t>i</w:t>
      </w:r>
      <w:r w:rsidR="00296BD9" w:rsidRPr="008672C1">
        <w:t xml:space="preserve"> ES sarakstā iekļautajās jurisdikcijās, tostarp:</w:t>
      </w:r>
    </w:p>
    <w:p w14:paraId="56BCCF07" w14:textId="0F7DA17D" w:rsidR="00296BD9" w:rsidRPr="008672C1" w:rsidRDefault="00296BD9" w:rsidP="00DE4BFD">
      <w:pPr>
        <w:pStyle w:val="Default"/>
        <w:numPr>
          <w:ilvl w:val="0"/>
          <w:numId w:val="5"/>
        </w:numPr>
        <w:spacing w:after="120" w:line="360" w:lineRule="auto"/>
        <w:jc w:val="both"/>
      </w:pPr>
      <w:r w:rsidRPr="008672C1">
        <w:t>no Eiropas Fonda ilgtspējīgai attīstībai (EFSD);</w:t>
      </w:r>
    </w:p>
    <w:p w14:paraId="679902F7" w14:textId="3AB8F063" w:rsidR="00296BD9" w:rsidRPr="008672C1" w:rsidRDefault="00296BD9" w:rsidP="00DE4BFD">
      <w:pPr>
        <w:pStyle w:val="Default"/>
        <w:numPr>
          <w:ilvl w:val="0"/>
          <w:numId w:val="5"/>
        </w:numPr>
        <w:spacing w:after="120" w:line="360" w:lineRule="auto"/>
        <w:jc w:val="both"/>
      </w:pPr>
      <w:r w:rsidRPr="008672C1">
        <w:t>no Eiropas Stratēģisko investīciju fonda (EFSI);</w:t>
      </w:r>
    </w:p>
    <w:p w14:paraId="492172D7" w14:textId="4F4732F7" w:rsidR="00296BD9" w:rsidRPr="008672C1" w:rsidRDefault="00296BD9" w:rsidP="00DE4BFD">
      <w:pPr>
        <w:pStyle w:val="Default"/>
        <w:numPr>
          <w:ilvl w:val="0"/>
          <w:numId w:val="5"/>
        </w:numPr>
        <w:spacing w:after="120" w:line="360" w:lineRule="auto"/>
        <w:jc w:val="both"/>
      </w:pPr>
      <w:r w:rsidRPr="008672C1">
        <w:t>no Ārējo aizdevumu mandāta (ELM);</w:t>
      </w:r>
    </w:p>
    <w:p w14:paraId="123A1785" w14:textId="5B27C969" w:rsidR="000B27B9" w:rsidRPr="008672C1" w:rsidRDefault="00296BD9" w:rsidP="00DE4BFD">
      <w:pPr>
        <w:pStyle w:val="Default"/>
        <w:numPr>
          <w:ilvl w:val="0"/>
          <w:numId w:val="5"/>
        </w:numPr>
        <w:spacing w:after="120" w:line="360" w:lineRule="auto"/>
        <w:jc w:val="both"/>
      </w:pPr>
      <w:r w:rsidRPr="008672C1">
        <w:t xml:space="preserve">no vispārējā regulējuma </w:t>
      </w:r>
      <w:proofErr w:type="spellStart"/>
      <w:r w:rsidRPr="008672C1">
        <w:t>vērtspapīrošanai</w:t>
      </w:r>
      <w:proofErr w:type="spellEnd"/>
      <w:r w:rsidRPr="008672C1">
        <w:t>.</w:t>
      </w:r>
    </w:p>
    <w:p w14:paraId="127AC15F" w14:textId="62CBE50B" w:rsidR="00320112" w:rsidRPr="008672C1" w:rsidRDefault="00320112" w:rsidP="00DE4BFD">
      <w:pPr>
        <w:autoSpaceDE w:val="0"/>
        <w:autoSpaceDN w:val="0"/>
        <w:spacing w:after="120" w:line="360" w:lineRule="auto"/>
        <w:ind w:firstLine="720"/>
        <w:jc w:val="both"/>
        <w:rPr>
          <w:color w:val="000000"/>
        </w:rPr>
      </w:pPr>
      <w:r w:rsidRPr="008672C1">
        <w:rPr>
          <w:color w:val="000000"/>
        </w:rPr>
        <w:t>Padome 2019.gada 5.decembr</w:t>
      </w:r>
      <w:r w:rsidR="00C50FFD" w:rsidRPr="008672C1">
        <w:rPr>
          <w:color w:val="000000"/>
        </w:rPr>
        <w:t>a secinājumos par Rīcības kodeksa (uzņēmējdarbības nodokļi) grupas sasniegto Somijas Prezidentūras laikā</w:t>
      </w:r>
      <w:r w:rsidR="00C50FFD" w:rsidRPr="008672C1">
        <w:rPr>
          <w:rStyle w:val="FootnoteReference"/>
        </w:rPr>
        <w:footnoteReference w:id="7"/>
      </w:r>
      <w:r w:rsidR="00C50FFD" w:rsidRPr="008672C1">
        <w:rPr>
          <w:color w:val="000000"/>
        </w:rPr>
        <w:t xml:space="preserve"> </w:t>
      </w:r>
      <w:r w:rsidRPr="008672C1">
        <w:rPr>
          <w:color w:val="000000"/>
        </w:rPr>
        <w:t>apstiprināja vadl</w:t>
      </w:r>
      <w:r w:rsidRPr="00866271">
        <w:rPr>
          <w:color w:val="000000"/>
        </w:rPr>
        <w:t>īnijas turpmākai nodokļu rakstura aizsar</w:t>
      </w:r>
      <w:r w:rsidRPr="000C534A">
        <w:rPr>
          <w:color w:val="000000"/>
        </w:rPr>
        <w:t>dz</w:t>
      </w:r>
      <w:r w:rsidRPr="008672C1">
        <w:rPr>
          <w:color w:val="000000"/>
        </w:rPr>
        <w:t xml:space="preserve">ības pasākumu koordinācijai. Dalībvalstis arī apņēmās no 2021.gada 1.janvāra izmantot ES sarakstu, kad tās piemēros vismaz vienu no četriem </w:t>
      </w:r>
      <w:r w:rsidR="00F35480">
        <w:rPr>
          <w:color w:val="000000"/>
        </w:rPr>
        <w:t xml:space="preserve">zemāk minētajiem </w:t>
      </w:r>
      <w:r w:rsidRPr="008672C1">
        <w:rPr>
          <w:color w:val="000000"/>
        </w:rPr>
        <w:t>nodokļu likumdošanas pasākumiem:</w:t>
      </w:r>
    </w:p>
    <w:p w14:paraId="4CB243B2" w14:textId="054BCC20" w:rsidR="00320112" w:rsidRPr="008672C1" w:rsidRDefault="00320112" w:rsidP="00DE4BFD">
      <w:pPr>
        <w:pStyle w:val="ListParagraph"/>
        <w:numPr>
          <w:ilvl w:val="0"/>
          <w:numId w:val="6"/>
        </w:numPr>
        <w:autoSpaceDE w:val="0"/>
        <w:autoSpaceDN w:val="0"/>
        <w:spacing w:after="120" w:line="360" w:lineRule="auto"/>
        <w:jc w:val="both"/>
        <w:rPr>
          <w:color w:val="000000"/>
        </w:rPr>
      </w:pPr>
      <w:r w:rsidRPr="0025756E">
        <w:rPr>
          <w:color w:val="000000"/>
        </w:rPr>
        <w:t>t</w:t>
      </w:r>
      <w:r w:rsidRPr="008672C1">
        <w:rPr>
          <w:color w:val="000000"/>
        </w:rPr>
        <w:t>ādu</w:t>
      </w:r>
      <w:r w:rsidRPr="0025756E">
        <w:rPr>
          <w:color w:val="000000"/>
        </w:rPr>
        <w:t xml:space="preserve"> izmaksu </w:t>
      </w:r>
      <w:r w:rsidR="00C50FFD" w:rsidRPr="008672C1">
        <w:rPr>
          <w:color w:val="000000"/>
        </w:rPr>
        <w:t>neatskaitīšana</w:t>
      </w:r>
      <w:r w:rsidRPr="0025756E">
        <w:rPr>
          <w:color w:val="000000"/>
        </w:rPr>
        <w:t xml:space="preserve">, kuras ir radušās </w:t>
      </w:r>
      <w:r w:rsidRPr="008672C1">
        <w:rPr>
          <w:color w:val="000000"/>
        </w:rPr>
        <w:t xml:space="preserve">ES </w:t>
      </w:r>
      <w:r w:rsidRPr="0025756E">
        <w:rPr>
          <w:color w:val="000000"/>
        </w:rPr>
        <w:t>sarakstā iekļautā</w:t>
      </w:r>
      <w:r w:rsidR="00C50FFD" w:rsidRPr="008672C1">
        <w:rPr>
          <w:color w:val="000000"/>
        </w:rPr>
        <w:t>s</w:t>
      </w:r>
      <w:r w:rsidRPr="0025756E">
        <w:rPr>
          <w:color w:val="000000"/>
        </w:rPr>
        <w:t xml:space="preserve"> jurisdikcijā</w:t>
      </w:r>
      <w:r w:rsidR="00C50FFD" w:rsidRPr="008672C1">
        <w:rPr>
          <w:color w:val="000000"/>
        </w:rPr>
        <w:t>s</w:t>
      </w:r>
      <w:r w:rsidR="00F47663">
        <w:rPr>
          <w:color w:val="000000"/>
        </w:rPr>
        <w:t>;</w:t>
      </w:r>
    </w:p>
    <w:p w14:paraId="5D82C343" w14:textId="7433D87C" w:rsidR="00320112" w:rsidRPr="008672C1" w:rsidRDefault="00320112" w:rsidP="00DE4BFD">
      <w:pPr>
        <w:pStyle w:val="ListParagraph"/>
        <w:numPr>
          <w:ilvl w:val="0"/>
          <w:numId w:val="6"/>
        </w:numPr>
        <w:autoSpaceDE w:val="0"/>
        <w:autoSpaceDN w:val="0"/>
        <w:spacing w:after="120" w:line="360" w:lineRule="auto"/>
        <w:jc w:val="both"/>
        <w:rPr>
          <w:color w:val="000000"/>
        </w:rPr>
      </w:pPr>
      <w:r w:rsidRPr="0025756E">
        <w:rPr>
          <w:color w:val="000000"/>
        </w:rPr>
        <w:lastRenderedPageBreak/>
        <w:t>kontrolēt</w:t>
      </w:r>
      <w:r w:rsidR="00915B6F">
        <w:rPr>
          <w:color w:val="000000"/>
        </w:rPr>
        <w:t>ā</w:t>
      </w:r>
      <w:r w:rsidRPr="0025756E">
        <w:rPr>
          <w:color w:val="000000"/>
        </w:rPr>
        <w:t xml:space="preserve"> ārvalst</w:t>
      </w:r>
      <w:r w:rsidR="00915B6F">
        <w:rPr>
          <w:color w:val="000000"/>
        </w:rPr>
        <w:t>s</w:t>
      </w:r>
      <w:r w:rsidRPr="0025756E">
        <w:rPr>
          <w:color w:val="000000"/>
        </w:rPr>
        <w:t xml:space="preserve"> uzņēmuma noteikumi</w:t>
      </w:r>
      <w:r w:rsidR="00F47663">
        <w:rPr>
          <w:color w:val="000000"/>
        </w:rPr>
        <w:t>;</w:t>
      </w:r>
    </w:p>
    <w:p w14:paraId="6FC423DB" w14:textId="0778CEED" w:rsidR="00320112" w:rsidRPr="008672C1" w:rsidRDefault="00320112" w:rsidP="00DE4BFD">
      <w:pPr>
        <w:pStyle w:val="ListParagraph"/>
        <w:numPr>
          <w:ilvl w:val="0"/>
          <w:numId w:val="6"/>
        </w:numPr>
        <w:autoSpaceDE w:val="0"/>
        <w:autoSpaceDN w:val="0"/>
        <w:spacing w:after="120" w:line="360" w:lineRule="auto"/>
        <w:jc w:val="both"/>
        <w:rPr>
          <w:color w:val="000000"/>
        </w:rPr>
      </w:pPr>
      <w:r w:rsidRPr="0025756E">
        <w:rPr>
          <w:color w:val="000000"/>
        </w:rPr>
        <w:t>nodokļ</w:t>
      </w:r>
      <w:r w:rsidR="00915B6F">
        <w:rPr>
          <w:color w:val="000000"/>
        </w:rPr>
        <w:t>a</w:t>
      </w:r>
      <w:r w:rsidRPr="0025756E">
        <w:rPr>
          <w:color w:val="000000"/>
        </w:rPr>
        <w:t xml:space="preserve"> ieturēšana </w:t>
      </w:r>
      <w:r w:rsidR="00C50FFD" w:rsidRPr="008672C1">
        <w:rPr>
          <w:color w:val="000000"/>
        </w:rPr>
        <w:t>izmaksas brīdī</w:t>
      </w:r>
      <w:r w:rsidR="00F47663">
        <w:rPr>
          <w:color w:val="000000"/>
        </w:rPr>
        <w:t>;</w:t>
      </w:r>
    </w:p>
    <w:p w14:paraId="14827998" w14:textId="557E4C7D" w:rsidR="00D56C4E" w:rsidRPr="0025756E" w:rsidRDefault="00320112" w:rsidP="00DE4BFD">
      <w:pPr>
        <w:pStyle w:val="ListParagraph"/>
        <w:numPr>
          <w:ilvl w:val="0"/>
          <w:numId w:val="6"/>
        </w:numPr>
        <w:autoSpaceDE w:val="0"/>
        <w:autoSpaceDN w:val="0"/>
        <w:spacing w:after="120" w:line="360" w:lineRule="auto"/>
        <w:jc w:val="both"/>
        <w:rPr>
          <w:color w:val="000000"/>
        </w:rPr>
      </w:pPr>
      <w:r w:rsidRPr="0025756E">
        <w:rPr>
          <w:color w:val="000000"/>
        </w:rPr>
        <w:t>līdzdalības atbrīvojuma ierobežojum</w:t>
      </w:r>
      <w:r w:rsidR="00C50FFD" w:rsidRPr="008672C1">
        <w:rPr>
          <w:color w:val="000000"/>
        </w:rPr>
        <w:t>i</w:t>
      </w:r>
      <w:r w:rsidRPr="0025756E">
        <w:rPr>
          <w:color w:val="000000"/>
        </w:rPr>
        <w:t xml:space="preserve"> attiecībā uz dividendēm.</w:t>
      </w:r>
    </w:p>
    <w:p w14:paraId="6275FD67" w14:textId="645C17D8" w:rsidR="00D56C4E" w:rsidRDefault="00D56C4E" w:rsidP="00DE4BFD">
      <w:pPr>
        <w:autoSpaceDE w:val="0"/>
        <w:autoSpaceDN w:val="0"/>
        <w:spacing w:after="120" w:line="360" w:lineRule="auto"/>
        <w:jc w:val="both"/>
        <w:rPr>
          <w:b/>
          <w:bCs/>
        </w:rPr>
      </w:pPr>
    </w:p>
    <w:p w14:paraId="3C0BB76C" w14:textId="7EB4252F" w:rsidR="008672C1" w:rsidRPr="00F35480" w:rsidRDefault="008672C1" w:rsidP="0025756E">
      <w:pPr>
        <w:pStyle w:val="ListParagraph"/>
        <w:numPr>
          <w:ilvl w:val="0"/>
          <w:numId w:val="3"/>
        </w:numPr>
        <w:autoSpaceDE w:val="0"/>
        <w:autoSpaceDN w:val="0"/>
        <w:spacing w:after="120"/>
        <w:jc w:val="both"/>
        <w:rPr>
          <w:b/>
          <w:bCs/>
          <w:sz w:val="26"/>
          <w:szCs w:val="26"/>
        </w:rPr>
      </w:pPr>
      <w:r w:rsidRPr="00F35480">
        <w:rPr>
          <w:b/>
          <w:bCs/>
          <w:sz w:val="26"/>
          <w:szCs w:val="26"/>
        </w:rPr>
        <w:t>ES sarakst</w:t>
      </w:r>
      <w:r w:rsidR="00866271" w:rsidRPr="00F35480">
        <w:rPr>
          <w:b/>
          <w:bCs/>
          <w:sz w:val="26"/>
          <w:szCs w:val="26"/>
        </w:rPr>
        <w:t xml:space="preserve">s </w:t>
      </w:r>
      <w:r w:rsidRPr="00F35480">
        <w:rPr>
          <w:b/>
          <w:bCs/>
          <w:sz w:val="26"/>
          <w:szCs w:val="26"/>
        </w:rPr>
        <w:t>un tā pārņemšana</w:t>
      </w:r>
      <w:r w:rsidR="00F87D2F" w:rsidRPr="00F35480">
        <w:rPr>
          <w:b/>
          <w:bCs/>
          <w:sz w:val="26"/>
          <w:szCs w:val="26"/>
        </w:rPr>
        <w:t>s nepieciešamība</w:t>
      </w:r>
      <w:r w:rsidRPr="00F35480">
        <w:rPr>
          <w:b/>
          <w:bCs/>
          <w:sz w:val="26"/>
          <w:szCs w:val="26"/>
        </w:rPr>
        <w:t xml:space="preserve"> nacionālajā likumdošanā </w:t>
      </w:r>
    </w:p>
    <w:p w14:paraId="477FC272" w14:textId="59C5707E" w:rsidR="008672C1" w:rsidRPr="00F47663" w:rsidRDefault="00576FF7" w:rsidP="00EB6FE0">
      <w:pPr>
        <w:autoSpaceDE w:val="0"/>
        <w:autoSpaceDN w:val="0"/>
        <w:spacing w:after="120" w:line="360" w:lineRule="auto"/>
        <w:ind w:firstLine="720"/>
        <w:jc w:val="both"/>
      </w:pPr>
      <w:r w:rsidRPr="00F47663">
        <w:t>Padome 2017.gada 5.decembrī apstiprināja ES sarakstu</w:t>
      </w:r>
      <w:r w:rsidR="000A0013" w:rsidRPr="00F47663">
        <w:rPr>
          <w:rStyle w:val="FootnoteReference"/>
        </w:rPr>
        <w:footnoteReference w:id="8"/>
      </w:r>
      <w:r w:rsidRPr="00F47663">
        <w:t>, kas bija rezultāts aktīvām diskusijas un darbam divu gadu garumā. Sākotnējā sarakstā tika iekļautas tās 17 trešās valstis vai teritorijas, kuras pēc ES paustajām bažām</w:t>
      </w:r>
      <w:r w:rsidR="00485E61">
        <w:t xml:space="preserve"> </w:t>
      </w:r>
      <w:r w:rsidR="00485E61" w:rsidRPr="00485E61">
        <w:t>neizteica pietiekamu politisko apņemšanos veikt nepieciešamās reformas, lai ieviestu labas nodokļu pārvaldības principus un novērstu neatbilstības saraksta kritērijiem</w:t>
      </w:r>
      <w:r w:rsidRPr="00F47663">
        <w:t xml:space="preserve">. Atsevišķi no šī saraksta dokumentā par pašreizējo stāvokli tika iekļautas </w:t>
      </w:r>
      <w:r w:rsidR="000A0013" w:rsidRPr="00F47663">
        <w:t xml:space="preserve">arī </w:t>
      </w:r>
      <w:r w:rsidRPr="00F47663">
        <w:t>tās jurisdikcijas, kuru reakcija bija pietiekama</w:t>
      </w:r>
      <w:r w:rsidR="000A0013" w:rsidRPr="00F47663">
        <w:t>, bet kurām</w:t>
      </w:r>
      <w:r w:rsidRPr="00F47663">
        <w:t xml:space="preserve"> bija efektīvi jārīkojas, lai tās </w:t>
      </w:r>
      <w:r w:rsidR="000A0013" w:rsidRPr="00F47663">
        <w:t>tuvākajā nākotnē</w:t>
      </w:r>
      <w:r w:rsidRPr="00F47663">
        <w:t xml:space="preserve"> netiktu iekļautas </w:t>
      </w:r>
      <w:r w:rsidR="000A0013" w:rsidRPr="00F47663">
        <w:t xml:space="preserve">ES </w:t>
      </w:r>
      <w:r w:rsidRPr="00F47663">
        <w:t>sarakstā.</w:t>
      </w:r>
    </w:p>
    <w:p w14:paraId="3AD6AE8A" w14:textId="51C54829" w:rsidR="000A0013" w:rsidRPr="00F47663" w:rsidRDefault="000A0013" w:rsidP="00EB6FE0">
      <w:pPr>
        <w:autoSpaceDE w:val="0"/>
        <w:autoSpaceDN w:val="0"/>
        <w:spacing w:after="120" w:line="360" w:lineRule="auto"/>
        <w:ind w:firstLine="720"/>
        <w:jc w:val="both"/>
      </w:pPr>
      <w:r w:rsidRPr="00F47663">
        <w:t>Saraksta galvenais mērķis ir nodrošināt starptautisk</w:t>
      </w:r>
      <w:r w:rsidR="001D0A53" w:rsidRPr="00F47663">
        <w:t>u</w:t>
      </w:r>
      <w:r w:rsidRPr="00F47663">
        <w:t xml:space="preserve"> labas </w:t>
      </w:r>
      <w:proofErr w:type="spellStart"/>
      <w:r w:rsidRPr="00F47663">
        <w:t>pārvaldības</w:t>
      </w:r>
      <w:proofErr w:type="spellEnd"/>
      <w:r w:rsidRPr="00F47663">
        <w:t xml:space="preserve"> nodokļu jomā standartu ievērošanu </w:t>
      </w:r>
      <w:proofErr w:type="spellStart"/>
      <w:r w:rsidRPr="00F47663">
        <w:t>attiecība</w:t>
      </w:r>
      <w:proofErr w:type="spellEnd"/>
      <w:r w:rsidRPr="00F47663">
        <w:t xml:space="preserve">̄ uz </w:t>
      </w:r>
      <w:proofErr w:type="spellStart"/>
      <w:r w:rsidRPr="00F47663">
        <w:t>nodokļu</w:t>
      </w:r>
      <w:proofErr w:type="spellEnd"/>
      <w:r w:rsidRPr="00F47663">
        <w:t xml:space="preserve"> </w:t>
      </w:r>
      <w:r w:rsidR="001D0A53" w:rsidRPr="00F47663">
        <w:t>caurskatāmību (informācijas apmaiņa)</w:t>
      </w:r>
      <w:r w:rsidRPr="00F47663">
        <w:t xml:space="preserve">, </w:t>
      </w:r>
      <w:proofErr w:type="spellStart"/>
      <w:r w:rsidRPr="00F47663">
        <w:t>taisnīgu</w:t>
      </w:r>
      <w:proofErr w:type="spellEnd"/>
      <w:r w:rsidRPr="00F47663">
        <w:t xml:space="preserve"> </w:t>
      </w:r>
      <w:proofErr w:type="spellStart"/>
      <w:r w:rsidRPr="00F47663">
        <w:t>nodokļu</w:t>
      </w:r>
      <w:proofErr w:type="spellEnd"/>
      <w:r w:rsidRPr="00F47663">
        <w:t xml:space="preserve"> politiku</w:t>
      </w:r>
      <w:r w:rsidR="001D0A53" w:rsidRPr="00F47663">
        <w:t>, kā arī nodokļu bāzes erozijas un peļņas pārnešanas (</w:t>
      </w:r>
      <w:r w:rsidRPr="00F47663">
        <w:t>BEPS</w:t>
      </w:r>
      <w:r w:rsidR="001D0A53" w:rsidRPr="00F47663">
        <w:t>)</w:t>
      </w:r>
      <w:r w:rsidRPr="00F47663">
        <w:t xml:space="preserve"> </w:t>
      </w:r>
      <w:proofErr w:type="spellStart"/>
      <w:r w:rsidRPr="00F47663">
        <w:t>apkarošanas</w:t>
      </w:r>
      <w:proofErr w:type="spellEnd"/>
      <w:r w:rsidRPr="00F47663">
        <w:t xml:space="preserve"> </w:t>
      </w:r>
      <w:proofErr w:type="spellStart"/>
      <w:r w:rsidRPr="00F47663">
        <w:t>pasākumiem</w:t>
      </w:r>
      <w:proofErr w:type="spellEnd"/>
      <w:r w:rsidR="001D0A53" w:rsidRPr="00F47663">
        <w:t>.</w:t>
      </w:r>
    </w:p>
    <w:p w14:paraId="624C71E2" w14:textId="54190551" w:rsidR="001D0A53" w:rsidRPr="00F47663" w:rsidRDefault="001D0A53" w:rsidP="00EB6FE0">
      <w:pPr>
        <w:autoSpaceDE w:val="0"/>
        <w:autoSpaceDN w:val="0"/>
        <w:spacing w:after="120" w:line="360" w:lineRule="auto"/>
        <w:ind w:firstLine="720"/>
        <w:jc w:val="both"/>
      </w:pPr>
      <w:r w:rsidRPr="00F47663">
        <w:t>Pēc sākotnējā saraksta apstiprināšanas Padome un EK uzsāka aktīvu dialogu ar trešajām valstīm par ES saraksta kritēriju ievērošanu, interpretēšanu un jurisdikcij</w:t>
      </w:r>
      <w:r w:rsidR="00F35480">
        <w:t>u</w:t>
      </w:r>
      <w:r w:rsidRPr="00F47663">
        <w:t xml:space="preserve"> nodokļu sistēmu reformām.</w:t>
      </w:r>
    </w:p>
    <w:p w14:paraId="534154F2" w14:textId="78F28F7B" w:rsidR="001D0A53" w:rsidRPr="00F47663" w:rsidRDefault="001D0A53" w:rsidP="00EB6FE0">
      <w:pPr>
        <w:autoSpaceDE w:val="0"/>
        <w:autoSpaceDN w:val="0"/>
        <w:spacing w:after="120" w:line="360" w:lineRule="auto"/>
        <w:ind w:firstLine="720"/>
        <w:jc w:val="both"/>
      </w:pPr>
      <w:r w:rsidRPr="00F47663">
        <w:t xml:space="preserve">Ņemot vērā, ka ES saraksts, kopš tā apstiprināšanas </w:t>
      </w:r>
      <w:r w:rsidR="000E3E8F" w:rsidRPr="00F47663">
        <w:t xml:space="preserve">tika atjaunināts līdz pat piecām reizēm gadā, Padome 2019.gada 12. marta </w:t>
      </w:r>
      <w:proofErr w:type="spellStart"/>
      <w:r w:rsidR="000E3E8F" w:rsidRPr="00F47663">
        <w:t>secinājumos</w:t>
      </w:r>
      <w:proofErr w:type="spellEnd"/>
      <w:r w:rsidR="000E3E8F" w:rsidRPr="00F47663">
        <w:t xml:space="preserve"> par </w:t>
      </w:r>
      <w:r w:rsidR="000C534A" w:rsidRPr="00F47663">
        <w:t>pārskatīto</w:t>
      </w:r>
      <w:r w:rsidR="000E3E8F" w:rsidRPr="00F47663">
        <w:t xml:space="preserve"> ES sarakstu vienojās, ka, </w:t>
      </w:r>
      <w:proofErr w:type="spellStart"/>
      <w:r w:rsidR="000E3E8F" w:rsidRPr="00F47663">
        <w:t>sākot</w:t>
      </w:r>
      <w:proofErr w:type="spellEnd"/>
      <w:r w:rsidR="000E3E8F" w:rsidRPr="00F47663">
        <w:t xml:space="preserve"> no 2020.gada, ES saraksta </w:t>
      </w:r>
      <w:proofErr w:type="spellStart"/>
      <w:r w:rsidR="000E3E8F" w:rsidRPr="00F47663">
        <w:t>atjauninājums</w:t>
      </w:r>
      <w:proofErr w:type="spellEnd"/>
      <w:r w:rsidR="000E3E8F" w:rsidRPr="00F47663">
        <w:t xml:space="preserve"> </w:t>
      </w:r>
      <w:proofErr w:type="spellStart"/>
      <w:r w:rsidR="000E3E8F" w:rsidRPr="00F47663">
        <w:t>būtu</w:t>
      </w:r>
      <w:proofErr w:type="spellEnd"/>
      <w:r w:rsidR="000E3E8F" w:rsidRPr="00F47663">
        <w:t xml:space="preserve"> </w:t>
      </w:r>
      <w:proofErr w:type="spellStart"/>
      <w:r w:rsidR="000E3E8F" w:rsidRPr="00F47663">
        <w:t>jāveic</w:t>
      </w:r>
      <w:proofErr w:type="spellEnd"/>
      <w:r w:rsidR="000E3E8F" w:rsidRPr="00F47663">
        <w:t xml:space="preserve"> ne </w:t>
      </w:r>
      <w:proofErr w:type="spellStart"/>
      <w:r w:rsidR="00957561">
        <w:t>biežāk</w:t>
      </w:r>
      <w:proofErr w:type="spellEnd"/>
      <w:r w:rsidR="00957561">
        <w:t xml:space="preserve"> kā divas reizes gadā</w:t>
      </w:r>
      <w:r w:rsidR="000E3E8F" w:rsidRPr="00F47663">
        <w:rPr>
          <w:rStyle w:val="FootnoteReference"/>
        </w:rPr>
        <w:t xml:space="preserve"> </w:t>
      </w:r>
      <w:r w:rsidR="00957561">
        <w:rPr>
          <w:rStyle w:val="FootnoteReference"/>
        </w:rPr>
        <w:footnoteReference w:id="9"/>
      </w:r>
      <w:r w:rsidR="004329CB">
        <w:t>.</w:t>
      </w:r>
    </w:p>
    <w:p w14:paraId="6E15E04C" w14:textId="1B652AF7" w:rsidR="000E3E8F" w:rsidRPr="00F47663" w:rsidRDefault="000E3E8F" w:rsidP="00EB6FE0">
      <w:pPr>
        <w:autoSpaceDE w:val="0"/>
        <w:autoSpaceDN w:val="0"/>
        <w:spacing w:after="120" w:line="360" w:lineRule="auto"/>
        <w:ind w:firstLine="720"/>
        <w:jc w:val="both"/>
      </w:pPr>
      <w:r w:rsidRPr="00F47663">
        <w:lastRenderedPageBreak/>
        <w:t>Atbilstoši Padomes 2020.gada</w:t>
      </w:r>
      <w:r w:rsidR="00715669">
        <w:t xml:space="preserve"> 6</w:t>
      </w:r>
      <w:r w:rsidR="000C534A" w:rsidRPr="00F47663">
        <w:t>.</w:t>
      </w:r>
      <w:r w:rsidR="004F2483">
        <w:t>oktobra</w:t>
      </w:r>
      <w:r w:rsidR="000C534A" w:rsidRPr="00F47663">
        <w:t xml:space="preserve"> secinājumiem par pārskatīto ES sarakstu</w:t>
      </w:r>
      <w:r w:rsidR="000C534A" w:rsidRPr="00F47663">
        <w:rPr>
          <w:rStyle w:val="FootnoteReference"/>
        </w:rPr>
        <w:footnoteReference w:id="10"/>
      </w:r>
      <w:r w:rsidR="000C534A" w:rsidRPr="00F47663">
        <w:t xml:space="preserve">, </w:t>
      </w:r>
      <w:r w:rsidR="006D4431">
        <w:t>uz 2020</w:t>
      </w:r>
      <w:r w:rsidR="00B61B6F">
        <w:t>.</w:t>
      </w:r>
      <w:r w:rsidR="006D4431">
        <w:t xml:space="preserve">gada </w:t>
      </w:r>
      <w:r w:rsidR="004F2483">
        <w:t>oktobri</w:t>
      </w:r>
      <w:r w:rsidR="006D4431">
        <w:t xml:space="preserve"> </w:t>
      </w:r>
      <w:r w:rsidR="000C534A" w:rsidRPr="00F47663">
        <w:t>sarakstā ir iekļautas 12 jurisdikcijas</w:t>
      </w:r>
      <w:r w:rsidR="00A846FA">
        <w:t xml:space="preserve"> (oficiālais pilnais nosaukums</w:t>
      </w:r>
      <w:r w:rsidR="00466A97">
        <w:t>)</w:t>
      </w:r>
      <w:r w:rsidR="00A846FA">
        <w:rPr>
          <w:rStyle w:val="FootnoteReference"/>
        </w:rPr>
        <w:footnoteReference w:id="11"/>
      </w:r>
      <w:r w:rsidR="000C534A" w:rsidRPr="00F47663">
        <w:t>:</w:t>
      </w:r>
    </w:p>
    <w:p w14:paraId="319875E9" w14:textId="358FB7CD" w:rsidR="003B37EC" w:rsidRDefault="003B37EC" w:rsidP="00957561">
      <w:pPr>
        <w:pStyle w:val="ListParagraph"/>
        <w:numPr>
          <w:ilvl w:val="0"/>
          <w:numId w:val="8"/>
        </w:numPr>
        <w:autoSpaceDE w:val="0"/>
        <w:autoSpaceDN w:val="0"/>
        <w:spacing w:after="120"/>
        <w:ind w:left="1077" w:hanging="357"/>
        <w:jc w:val="both"/>
      </w:pPr>
      <w:r w:rsidRPr="003B37EC">
        <w:t>Angiljas teritorija</w:t>
      </w:r>
      <w:r>
        <w:t>,</w:t>
      </w:r>
    </w:p>
    <w:p w14:paraId="658B11BB" w14:textId="02452388" w:rsidR="003B37EC" w:rsidRDefault="003B37EC" w:rsidP="00957561">
      <w:pPr>
        <w:pStyle w:val="ListParagraph"/>
        <w:numPr>
          <w:ilvl w:val="0"/>
          <w:numId w:val="8"/>
        </w:numPr>
        <w:autoSpaceDE w:val="0"/>
        <w:autoSpaceDN w:val="0"/>
        <w:spacing w:after="120"/>
        <w:ind w:left="1077" w:hanging="357"/>
        <w:jc w:val="both"/>
      </w:pPr>
      <w:r w:rsidRPr="003B37EC">
        <w:t>ASV Guamas teritorija</w:t>
      </w:r>
      <w:r>
        <w:t>,</w:t>
      </w:r>
    </w:p>
    <w:p w14:paraId="70DC49BB" w14:textId="3F2C67A3" w:rsidR="000C534A" w:rsidRDefault="001658FB" w:rsidP="00957561">
      <w:pPr>
        <w:pStyle w:val="ListParagraph"/>
        <w:numPr>
          <w:ilvl w:val="0"/>
          <w:numId w:val="8"/>
        </w:numPr>
        <w:autoSpaceDE w:val="0"/>
        <w:autoSpaceDN w:val="0"/>
        <w:spacing w:after="120"/>
        <w:ind w:left="1077" w:hanging="357"/>
        <w:jc w:val="both"/>
      </w:pPr>
      <w:r w:rsidRPr="001658FB">
        <w:t>ASV Samoa teritorija</w:t>
      </w:r>
      <w:r w:rsidR="000C534A" w:rsidRPr="00F47663">
        <w:t>,</w:t>
      </w:r>
    </w:p>
    <w:p w14:paraId="2E8EF914" w14:textId="62E5108C" w:rsidR="001658FB" w:rsidRDefault="003B37EC" w:rsidP="003B37EC">
      <w:pPr>
        <w:pStyle w:val="ListParagraph"/>
        <w:numPr>
          <w:ilvl w:val="0"/>
          <w:numId w:val="8"/>
        </w:numPr>
        <w:autoSpaceDE w:val="0"/>
        <w:autoSpaceDN w:val="0"/>
        <w:spacing w:after="120"/>
        <w:ind w:left="1077" w:hanging="357"/>
        <w:jc w:val="both"/>
      </w:pPr>
      <w:r w:rsidRPr="003B37EC">
        <w:t>ASV Virdžīnu salu teritorija</w:t>
      </w:r>
      <w:r>
        <w:t>,</w:t>
      </w:r>
    </w:p>
    <w:p w14:paraId="1390A376" w14:textId="38AFEFEB" w:rsidR="000C534A" w:rsidRPr="00F47663" w:rsidRDefault="001658FB" w:rsidP="001658FB">
      <w:pPr>
        <w:pStyle w:val="ListParagraph"/>
        <w:numPr>
          <w:ilvl w:val="0"/>
          <w:numId w:val="8"/>
        </w:numPr>
        <w:autoSpaceDE w:val="0"/>
        <w:autoSpaceDN w:val="0"/>
        <w:spacing w:after="120"/>
        <w:ind w:left="1077" w:hanging="357"/>
        <w:jc w:val="both"/>
      </w:pPr>
      <w:r w:rsidRPr="001658FB">
        <w:t>Barbadosa</w:t>
      </w:r>
      <w:r>
        <w:t>,</w:t>
      </w:r>
    </w:p>
    <w:p w14:paraId="1E7E0356" w14:textId="47E540B4" w:rsidR="000C534A" w:rsidRPr="00F47663" w:rsidRDefault="001658FB" w:rsidP="003B37EC">
      <w:pPr>
        <w:pStyle w:val="ListParagraph"/>
        <w:numPr>
          <w:ilvl w:val="0"/>
          <w:numId w:val="8"/>
        </w:numPr>
        <w:autoSpaceDE w:val="0"/>
        <w:autoSpaceDN w:val="0"/>
        <w:spacing w:after="120"/>
        <w:ind w:left="1077" w:hanging="357"/>
        <w:jc w:val="both"/>
      </w:pPr>
      <w:r w:rsidRPr="001658FB">
        <w:t>Fidži Republika</w:t>
      </w:r>
      <w:r>
        <w:t>,</w:t>
      </w:r>
    </w:p>
    <w:p w14:paraId="1216402A" w14:textId="40F00DAF" w:rsidR="000C534A" w:rsidRPr="00F47663" w:rsidRDefault="001658FB" w:rsidP="00957561">
      <w:pPr>
        <w:pStyle w:val="ListParagraph"/>
        <w:numPr>
          <w:ilvl w:val="0"/>
          <w:numId w:val="8"/>
        </w:numPr>
        <w:autoSpaceDE w:val="0"/>
        <w:autoSpaceDN w:val="0"/>
        <w:spacing w:after="120"/>
        <w:ind w:left="1077" w:hanging="357"/>
        <w:jc w:val="both"/>
      </w:pPr>
      <w:r w:rsidRPr="001658FB">
        <w:t>Palau Republika</w:t>
      </w:r>
      <w:r w:rsidR="000C534A" w:rsidRPr="00F47663">
        <w:t>,</w:t>
      </w:r>
    </w:p>
    <w:p w14:paraId="29BE01CF" w14:textId="5449D9AD" w:rsidR="000C534A" w:rsidRPr="00F47663" w:rsidRDefault="001658FB" w:rsidP="00957561">
      <w:pPr>
        <w:pStyle w:val="ListParagraph"/>
        <w:numPr>
          <w:ilvl w:val="0"/>
          <w:numId w:val="8"/>
        </w:numPr>
        <w:autoSpaceDE w:val="0"/>
        <w:autoSpaceDN w:val="0"/>
        <w:spacing w:after="120"/>
        <w:ind w:left="1077" w:hanging="357"/>
        <w:jc w:val="both"/>
      </w:pPr>
      <w:r w:rsidRPr="001658FB">
        <w:t>Panamas Republika</w:t>
      </w:r>
      <w:r w:rsidR="000C534A" w:rsidRPr="00F47663">
        <w:t>,</w:t>
      </w:r>
    </w:p>
    <w:p w14:paraId="7947A2F2" w14:textId="5E727D8F" w:rsidR="000C534A" w:rsidRPr="00F47663" w:rsidRDefault="001658FB" w:rsidP="00957561">
      <w:pPr>
        <w:pStyle w:val="ListParagraph"/>
        <w:numPr>
          <w:ilvl w:val="0"/>
          <w:numId w:val="8"/>
        </w:numPr>
        <w:autoSpaceDE w:val="0"/>
        <w:autoSpaceDN w:val="0"/>
        <w:spacing w:after="120"/>
        <w:ind w:left="1077" w:hanging="357"/>
        <w:jc w:val="both"/>
      </w:pPr>
      <w:r w:rsidRPr="001658FB">
        <w:t>Samoa Neatkarīgā Valsts</w:t>
      </w:r>
      <w:r w:rsidR="000C534A" w:rsidRPr="00F47663">
        <w:t>,</w:t>
      </w:r>
    </w:p>
    <w:p w14:paraId="4D1D4FC8" w14:textId="7316E508" w:rsidR="001658FB" w:rsidRDefault="001658FB" w:rsidP="00957561">
      <w:pPr>
        <w:pStyle w:val="ListParagraph"/>
        <w:numPr>
          <w:ilvl w:val="0"/>
          <w:numId w:val="8"/>
        </w:numPr>
        <w:autoSpaceDE w:val="0"/>
        <w:autoSpaceDN w:val="0"/>
        <w:spacing w:after="120"/>
        <w:ind w:left="1077" w:hanging="357"/>
        <w:jc w:val="both"/>
      </w:pPr>
      <w:r w:rsidRPr="001658FB">
        <w:t>Seišelu Salu Republika</w:t>
      </w:r>
    </w:p>
    <w:p w14:paraId="582942FD" w14:textId="2188F9F0" w:rsidR="000C534A" w:rsidRPr="00F47663" w:rsidRDefault="003B37EC" w:rsidP="003B37EC">
      <w:pPr>
        <w:pStyle w:val="ListParagraph"/>
        <w:numPr>
          <w:ilvl w:val="0"/>
          <w:numId w:val="8"/>
        </w:numPr>
        <w:autoSpaceDE w:val="0"/>
        <w:autoSpaceDN w:val="0"/>
        <w:spacing w:after="120"/>
        <w:ind w:left="1077" w:hanging="357"/>
        <w:jc w:val="both"/>
      </w:pPr>
      <w:r w:rsidRPr="003B37EC">
        <w:t>Trinidādas un Tobāgo Republika</w:t>
      </w:r>
      <w:r w:rsidR="000C534A" w:rsidRPr="00F47663">
        <w:t>,</w:t>
      </w:r>
    </w:p>
    <w:p w14:paraId="4A3C8A57" w14:textId="6BDCFB9C" w:rsidR="000C534A" w:rsidRPr="00F47663" w:rsidRDefault="000C534A" w:rsidP="001658FB">
      <w:pPr>
        <w:pStyle w:val="ListParagraph"/>
        <w:numPr>
          <w:ilvl w:val="0"/>
          <w:numId w:val="8"/>
        </w:numPr>
        <w:autoSpaceDE w:val="0"/>
        <w:autoSpaceDN w:val="0"/>
        <w:spacing w:after="120"/>
        <w:ind w:left="1077" w:hanging="357"/>
        <w:jc w:val="both"/>
      </w:pPr>
      <w:r w:rsidRPr="00F47663">
        <w:t>Vanuatu</w:t>
      </w:r>
      <w:r w:rsidR="001658FB">
        <w:t>.</w:t>
      </w:r>
    </w:p>
    <w:p w14:paraId="3B63F530" w14:textId="77777777" w:rsidR="00865C76" w:rsidRDefault="00865C76" w:rsidP="00957561">
      <w:pPr>
        <w:autoSpaceDE w:val="0"/>
        <w:autoSpaceDN w:val="0"/>
        <w:spacing w:after="120" w:line="360" w:lineRule="auto"/>
        <w:ind w:firstLine="720"/>
        <w:jc w:val="both"/>
      </w:pPr>
    </w:p>
    <w:p w14:paraId="5C6F558F" w14:textId="3872513F" w:rsidR="00B46C60" w:rsidRPr="00F47663" w:rsidRDefault="00B46C60" w:rsidP="00957561">
      <w:pPr>
        <w:autoSpaceDE w:val="0"/>
        <w:autoSpaceDN w:val="0"/>
        <w:spacing w:after="120" w:line="360" w:lineRule="auto"/>
        <w:ind w:firstLine="720"/>
        <w:jc w:val="both"/>
      </w:pPr>
      <w:r w:rsidRPr="00F47663">
        <w:t xml:space="preserve">Lai nodrošinātu Padomes 2019.gada 5.decembra secinājumos apstiprināto vadlīniju par valsts aizsardzības pasākumu koordinēšanu nodokļu jomā izpildi, Finanšu ministrija plāno izstrādāt un iesniegt Ministru kabinetā grozījumus Ministru kabineta 2017.gada 7.novembra noteikumos Nr.655 “Noteikumi par zemu nodokļu vai beznodokļu valstīm un teritorijām”, ar kuriem tiks aizstāts pašreiz spēkā esošais </w:t>
      </w:r>
      <w:r w:rsidR="00201B21" w:rsidRPr="00F47663">
        <w:t xml:space="preserve">nacionālais </w:t>
      </w:r>
      <w:r w:rsidRPr="00F47663">
        <w:t xml:space="preserve">saraksts, ar ES sarakstu. Plānots, ka jaunais saraksts stāsies spēkā ar 2021.gada 1.janvāri. </w:t>
      </w:r>
    </w:p>
    <w:p w14:paraId="51475262" w14:textId="4A6099F2" w:rsidR="00386274" w:rsidRPr="00F47663" w:rsidRDefault="00386274" w:rsidP="00957561">
      <w:pPr>
        <w:autoSpaceDE w:val="0"/>
        <w:autoSpaceDN w:val="0"/>
        <w:spacing w:after="120" w:line="360" w:lineRule="auto"/>
        <w:ind w:firstLine="720"/>
        <w:jc w:val="both"/>
      </w:pPr>
      <w:r w:rsidRPr="00F47663">
        <w:t>Citi grozījumi nodokļu normatīvajos aktos šobrīd nav nepieciešami, jo Uzņēmumu ienākum</w:t>
      </w:r>
      <w:r w:rsidR="00915B6F">
        <w:t>a</w:t>
      </w:r>
      <w:r w:rsidRPr="00F47663">
        <w:t xml:space="preserve"> nodokļ</w:t>
      </w:r>
      <w:r w:rsidR="00965A37">
        <w:t>a</w:t>
      </w:r>
      <w:r w:rsidRPr="00F47663">
        <w:t xml:space="preserve"> likumā</w:t>
      </w:r>
      <w:r w:rsidR="008E23C1">
        <w:rPr>
          <w:rStyle w:val="FootnoteReference"/>
        </w:rPr>
        <w:footnoteReference w:id="12"/>
      </w:r>
      <w:r w:rsidR="006B3912">
        <w:t xml:space="preserve"> un </w:t>
      </w:r>
      <w:r w:rsidR="00E479AA">
        <w:t>l</w:t>
      </w:r>
      <w:r w:rsidR="006B3912">
        <w:t>ikumā “Par iedzīvotāju ienākuma nodokli”</w:t>
      </w:r>
      <w:r w:rsidR="00E479AA">
        <w:rPr>
          <w:rStyle w:val="FootnoteReference"/>
        </w:rPr>
        <w:footnoteReference w:id="13"/>
      </w:r>
      <w:r w:rsidRPr="00F47663">
        <w:t xml:space="preserve"> šobrīd noteiktie aizsardzības pasākumi attiecībā uz Ministru kabineta 2017.gada 7.novembra noteikumos Nr.655 “Noteikumi par zemu nodokļu vai beznodokļu valstīm un teritorijām” iekļautajām jurisdikcijām jau atbilst vadlīnijām par valsts aizsardzības pasākumu koordinēšanu nodokļu jomā.</w:t>
      </w:r>
    </w:p>
    <w:p w14:paraId="1A6B6940" w14:textId="082A02C5" w:rsidR="0066270E" w:rsidRPr="00F47663" w:rsidRDefault="0066270E" w:rsidP="00957561">
      <w:pPr>
        <w:pStyle w:val="Body"/>
        <w:spacing w:after="120" w:line="360" w:lineRule="auto"/>
        <w:jc w:val="both"/>
        <w:rPr>
          <w:rFonts w:ascii="Times New Roman" w:hAnsi="Times New Roman"/>
          <w:color w:val="auto"/>
          <w:sz w:val="24"/>
          <w:szCs w:val="24"/>
        </w:rPr>
      </w:pPr>
    </w:p>
    <w:p w14:paraId="0914BCDC" w14:textId="48C0D948" w:rsidR="00C42D94" w:rsidRPr="00957561" w:rsidRDefault="00866271" w:rsidP="00F927FC">
      <w:pPr>
        <w:pStyle w:val="ListParagraph"/>
        <w:numPr>
          <w:ilvl w:val="0"/>
          <w:numId w:val="3"/>
        </w:numPr>
        <w:spacing w:after="120"/>
        <w:jc w:val="both"/>
        <w:rPr>
          <w:b/>
          <w:color w:val="1F497D"/>
          <w:sz w:val="26"/>
          <w:szCs w:val="26"/>
        </w:rPr>
      </w:pPr>
      <w:r w:rsidRPr="00957561">
        <w:rPr>
          <w:b/>
          <w:sz w:val="26"/>
          <w:szCs w:val="26"/>
        </w:rPr>
        <w:t xml:space="preserve">Pašreiz spēkā esošie nosacījumi </w:t>
      </w:r>
      <w:r w:rsidR="00F33008">
        <w:rPr>
          <w:b/>
          <w:sz w:val="26"/>
          <w:szCs w:val="26"/>
        </w:rPr>
        <w:t xml:space="preserve">publiskā </w:t>
      </w:r>
      <w:r w:rsidRPr="00957561">
        <w:rPr>
          <w:b/>
          <w:sz w:val="26"/>
          <w:szCs w:val="26"/>
        </w:rPr>
        <w:t>finansējuma saņemšanai Latvijā</w:t>
      </w:r>
    </w:p>
    <w:p w14:paraId="776AC73D" w14:textId="7F50602C" w:rsidR="001F596E" w:rsidRPr="00612C71" w:rsidRDefault="001F596E" w:rsidP="00957561">
      <w:pPr>
        <w:spacing w:after="120" w:line="360" w:lineRule="auto"/>
        <w:ind w:firstLine="851"/>
        <w:jc w:val="both"/>
      </w:pPr>
      <w:r w:rsidRPr="008672C1">
        <w:t>Eiropas Savienības struktūrfondu un Kohēzijas fonda 2014.</w:t>
      </w:r>
      <w:r w:rsidR="009724E4">
        <w:t xml:space="preserve"> - </w:t>
      </w:r>
      <w:r w:rsidRPr="008672C1">
        <w:t>2020.gada plānošanas perioda vadības likumā (turpmāk – ES fondu vadības likums)</w:t>
      </w:r>
      <w:r w:rsidR="00F94597">
        <w:t xml:space="preserve"> cita starpā</w:t>
      </w:r>
      <w:r w:rsidRPr="008672C1">
        <w:t xml:space="preserve"> ir </w:t>
      </w:r>
      <w:r w:rsidRPr="00866271">
        <w:t>noteikts, ka uz ES fondu finansējumu var pretendēt tikai L</w:t>
      </w:r>
      <w:r w:rsidR="00FA465E" w:rsidRPr="00866271">
        <w:t xml:space="preserve">atvijas </w:t>
      </w:r>
      <w:r w:rsidRPr="00866271">
        <w:t>R</w:t>
      </w:r>
      <w:r w:rsidR="00FA465E" w:rsidRPr="00866271">
        <w:t>epublikā</w:t>
      </w:r>
      <w:r w:rsidRPr="00866271">
        <w:t xml:space="preserve"> reģistrēta juridiska persona</w:t>
      </w:r>
      <w:r w:rsidR="00E94210">
        <w:t xml:space="preserve"> </w:t>
      </w:r>
      <w:r w:rsidR="00E94210" w:rsidRPr="00230197">
        <w:t>vai fiziskā persona, kura reģistrēta kā saimnieciskās darbības veicēja</w:t>
      </w:r>
      <w:r w:rsidR="00E94210" w:rsidRPr="00865C76">
        <w:rPr>
          <w:rStyle w:val="FootnoteReference"/>
          <w:sz w:val="20"/>
          <w:szCs w:val="20"/>
        </w:rPr>
        <w:footnoteReference w:id="14"/>
      </w:r>
      <w:r w:rsidR="00E94210" w:rsidRPr="00865C76">
        <w:rPr>
          <w:sz w:val="20"/>
          <w:szCs w:val="20"/>
        </w:rPr>
        <w:t>.</w:t>
      </w:r>
      <w:r w:rsidRPr="001C57EE">
        <w:t xml:space="preserve"> </w:t>
      </w:r>
      <w:r w:rsidRPr="00866271">
        <w:t>Tāpat minētais regulējums paredz virkni izslēgšanas kritēriju, kas</w:t>
      </w:r>
      <w:r w:rsidR="00721065" w:rsidRPr="00866271">
        <w:t>,</w:t>
      </w:r>
      <w:r w:rsidRPr="00866271">
        <w:t xml:space="preserve"> cita starpā</w:t>
      </w:r>
      <w:r w:rsidR="00721065" w:rsidRPr="000A0013">
        <w:t>,</w:t>
      </w:r>
      <w:r w:rsidRPr="000E3E8F">
        <w:t xml:space="preserve"> liedz saņemt finansējumu projekta iesniedzējam vai personai, kura ir projekta iesniedzēja valdes vai padomes loceklis vai prokūrists, vai persona, kura ir pilnvarota pārstāvēt projekta iesniedzēju ar filiāli saistītās darbībās, ar tādu prokurora priekšrakstu par </w:t>
      </w:r>
      <w:r w:rsidRPr="00612C71">
        <w:t xml:space="preserve">sodu vai tiesas spriedumu, kas stājies spēkā un kļuvis neapstrīdams un nepārsūdzams, </w:t>
      </w:r>
      <w:r w:rsidRPr="00DF3810">
        <w:t>ir atzīta par vainīgu jebkurā no šādiem noziedzīgiem nodarījumiem:</w:t>
      </w:r>
    </w:p>
    <w:p w14:paraId="3FA14616" w14:textId="36C56BED" w:rsidR="00866271" w:rsidRPr="008F5C88" w:rsidRDefault="001F596E" w:rsidP="00957561">
      <w:pPr>
        <w:pStyle w:val="ListParagraph"/>
        <w:numPr>
          <w:ilvl w:val="0"/>
          <w:numId w:val="7"/>
        </w:numPr>
        <w:spacing w:after="120" w:line="360" w:lineRule="auto"/>
        <w:jc w:val="both"/>
      </w:pPr>
      <w:r w:rsidRPr="00612C71">
        <w:t>kukuļņemšana, kukuļdošana, kukuļa piesavināšanās, starpniecība kukuļošanā, neatļauta labuma pieņemšana vai komerciāl</w:t>
      </w:r>
      <w:r w:rsidR="00D377E5">
        <w:t>ā</w:t>
      </w:r>
      <w:r w:rsidRPr="00612C71">
        <w:t xml:space="preserve"> uzpirkšana,</w:t>
      </w:r>
    </w:p>
    <w:p w14:paraId="55165BF8" w14:textId="52A76E9B" w:rsidR="00866271" w:rsidRPr="008F5C88" w:rsidRDefault="001F596E" w:rsidP="00957561">
      <w:pPr>
        <w:pStyle w:val="ListParagraph"/>
        <w:numPr>
          <w:ilvl w:val="0"/>
          <w:numId w:val="7"/>
        </w:numPr>
        <w:spacing w:after="120" w:line="360" w:lineRule="auto"/>
        <w:jc w:val="both"/>
      </w:pPr>
      <w:r w:rsidRPr="00612C71">
        <w:t>krāpšana, piesavināšanās vai noziedzīgi iegūtu līdzekļu legalizēšana,</w:t>
      </w:r>
    </w:p>
    <w:p w14:paraId="0D833FF4" w14:textId="14DE4D6C" w:rsidR="001F596E" w:rsidRPr="00750DC0" w:rsidRDefault="001F596E" w:rsidP="00957561">
      <w:pPr>
        <w:pStyle w:val="ListParagraph"/>
        <w:numPr>
          <w:ilvl w:val="0"/>
          <w:numId w:val="7"/>
        </w:numPr>
        <w:spacing w:after="120" w:line="360" w:lineRule="auto"/>
        <w:jc w:val="both"/>
      </w:pPr>
      <w:r w:rsidRPr="00750DC0">
        <w:t xml:space="preserve">izvairīšanās no nodokļu un tiem pielīdzināto maksājumu </w:t>
      </w:r>
      <w:r w:rsidR="00B02EA4">
        <w:t>sa</w:t>
      </w:r>
      <w:r w:rsidRPr="00750DC0">
        <w:t>maksas</w:t>
      </w:r>
      <w:r w:rsidR="00B02EA4">
        <w:rPr>
          <w:rStyle w:val="FootnoteReference"/>
        </w:rPr>
        <w:footnoteReference w:id="15"/>
      </w:r>
      <w:r w:rsidRPr="00750DC0">
        <w:t>.</w:t>
      </w:r>
    </w:p>
    <w:p w14:paraId="7F393640" w14:textId="19ADE595" w:rsidR="001F596E" w:rsidRPr="00612C71" w:rsidRDefault="001F596E" w:rsidP="00957561">
      <w:pPr>
        <w:spacing w:after="120" w:line="360" w:lineRule="auto"/>
        <w:ind w:firstLine="851"/>
        <w:jc w:val="both"/>
      </w:pPr>
      <w:r w:rsidRPr="00612C71">
        <w:t xml:space="preserve">Tāpat </w:t>
      </w:r>
      <w:r w:rsidRPr="005271ED">
        <w:t>esošā regulējuma ietvaros</w:t>
      </w:r>
      <w:r w:rsidR="001E0E12" w:rsidRPr="005271ED">
        <w:rPr>
          <w:rStyle w:val="FootnoteReference"/>
        </w:rPr>
        <w:footnoteReference w:id="16"/>
      </w:r>
      <w:r w:rsidRPr="005271ED">
        <w:t xml:space="preserve"> tiek</w:t>
      </w:r>
      <w:r w:rsidRPr="00612C71">
        <w:t xml:space="preserve"> kontrolēta nodokļu nomaksa, attiecīgi apstiprināts tiek tikai tāds ES fondu projekts, kura iesniedzējs  (sadarbības partneris, ja attiecināms) ir nomaksājis normatīvajos aktos noteiktos nodokļus.</w:t>
      </w:r>
    </w:p>
    <w:p w14:paraId="50E32172" w14:textId="0B3C1425" w:rsidR="001F596E" w:rsidRPr="008672C1" w:rsidRDefault="001F596E" w:rsidP="00957561">
      <w:pPr>
        <w:spacing w:after="120" w:line="360" w:lineRule="auto"/>
        <w:ind w:firstLine="851"/>
        <w:jc w:val="both"/>
      </w:pPr>
      <w:r w:rsidRPr="00612C71">
        <w:t xml:space="preserve"> Papildus jānorāda, ka minēto prasību ievērošana attiecībā uz ES fondu projekta finansējuma saņēmēju faktiski tiek veikta arī katra ES fondu projekta īstenošanas gaitā, nepieciešamības gadījumā lemjot par attiecīgā līguma laušanu un neatbilstoši veiktā finansējuma atgūšanu. Minētais izriet </w:t>
      </w:r>
      <w:r w:rsidRPr="005271ED">
        <w:t>no spēkā esošā regulējuma</w:t>
      </w:r>
      <w:r w:rsidR="00492977" w:rsidRPr="005271ED">
        <w:rPr>
          <w:rStyle w:val="FootnoteReference"/>
        </w:rPr>
        <w:footnoteReference w:id="17"/>
      </w:r>
      <w:r w:rsidRPr="005271ED">
        <w:t>,</w:t>
      </w:r>
      <w:r w:rsidRPr="00612C71">
        <w:t xml:space="preserve"> </w:t>
      </w:r>
      <w:r w:rsidRPr="00612C71">
        <w:lastRenderedPageBreak/>
        <w:t xml:space="preserve">kas paredz veikt tikai tādu ES fondu projektu īstenošanas ietvaros veikto maksājumu attiecināšanu finansēšanai no ES fondiem, kas veikti saskaņā ar normatīvajiem aktiem, izslēdzot jebkuras aizdomas par iespējamu </w:t>
      </w:r>
      <w:proofErr w:type="spellStart"/>
      <w:r w:rsidRPr="00612C71">
        <w:t>krāpniecību</w:t>
      </w:r>
      <w:proofErr w:type="spellEnd"/>
      <w:r w:rsidRPr="00612C71">
        <w:t xml:space="preserve"> ES fonda projekta īstenošanas ietvaros. Par jebkurām aizdomām par iespējamu </w:t>
      </w:r>
      <w:proofErr w:type="spellStart"/>
      <w:r w:rsidRPr="00612C71">
        <w:t>krāpniecību</w:t>
      </w:r>
      <w:proofErr w:type="spellEnd"/>
      <w:r w:rsidRPr="00612C71">
        <w:t xml:space="preserve"> ES fondu projekta ietvaros </w:t>
      </w:r>
      <w:r w:rsidR="008E0B2A" w:rsidRPr="00612C71">
        <w:t xml:space="preserve">Centrālā Finanšu un Līgumu Aģentūra kā ES fondu sadarbības iestāde, </w:t>
      </w:r>
      <w:r w:rsidRPr="00DF3810">
        <w:t>veic nepieciešamās papildus pārbaudes</w:t>
      </w:r>
      <w:r w:rsidRPr="00612C71">
        <w:t xml:space="preserve">, kā arī sadarbojas ar kompetentajām </w:t>
      </w:r>
      <w:proofErr w:type="spellStart"/>
      <w:r w:rsidRPr="00612C71">
        <w:t>tiesībsargājošajām</w:t>
      </w:r>
      <w:proofErr w:type="spellEnd"/>
      <w:r w:rsidRPr="00612C71">
        <w:t xml:space="preserve"> iestādēm un attiecīgi nepieciešamības gadījumā saskaņā ar 2015.gada 12.septembra M</w:t>
      </w:r>
      <w:r w:rsidR="0070399A" w:rsidRPr="00612C71">
        <w:t>inistru kabineta</w:t>
      </w:r>
      <w:r w:rsidRPr="00612C71">
        <w:t xml:space="preserve"> note</w:t>
      </w:r>
      <w:r w:rsidRPr="000C534A">
        <w:t xml:space="preserve">ikumiem Nr.517 “Kārtība, kādā ziņo par konstatētajām neatbilstībām un atgūst neatbilstoši veiktos izdevumus Eiropas Savienības struktūrfondu un </w:t>
      </w:r>
      <w:r w:rsidR="00C92ACF">
        <w:t xml:space="preserve">Kohēzijas fonda ieviešanā 2014.- </w:t>
      </w:r>
      <w:r w:rsidRPr="000C534A">
        <w:t>2020. gada plānošanas periodā</w:t>
      </w:r>
      <w:r w:rsidRPr="008672C1">
        <w:t xml:space="preserve">” pieņem lēmumu par neatbilstoši veikto izdevumu atgūšanu. Minētos nosacījumus </w:t>
      </w:r>
      <w:r w:rsidR="008E0B2A" w:rsidRPr="008672C1">
        <w:t xml:space="preserve">tiek plānots </w:t>
      </w:r>
      <w:r w:rsidRPr="008672C1">
        <w:t>ietvert arī izstrādājot (2021. - 2027.gads) ES fondu plānošanas perioda tiesisk</w:t>
      </w:r>
      <w:r w:rsidR="001C57EE">
        <w:t xml:space="preserve">ajā </w:t>
      </w:r>
      <w:r w:rsidRPr="008672C1">
        <w:t>regulējum</w:t>
      </w:r>
      <w:r w:rsidR="001C57EE">
        <w:t xml:space="preserve">ā, </w:t>
      </w:r>
      <w:r w:rsidR="001C57EE" w:rsidRPr="001C57EE">
        <w:t xml:space="preserve"> </w:t>
      </w:r>
      <w:r w:rsidR="001C57EE" w:rsidRPr="00230197">
        <w:t>tai skaitā, izvērtējot esošā ES fondu plānošanas perioda pieredzi, tiks izvērtēta arī nepieciešamība veikt atsevišķu ar šīs jomas regulējumu saistīto nosacījumu pilnveidi.</w:t>
      </w:r>
      <w:r w:rsidRPr="008672C1">
        <w:t xml:space="preserve"> Tāpat jānorāda, ka š</w:t>
      </w:r>
      <w:r w:rsidR="00C92ACF">
        <w:t>ie</w:t>
      </w:r>
      <w:r w:rsidRPr="008672C1">
        <w:t xml:space="preserve"> nosacījum</w:t>
      </w:r>
      <w:r w:rsidR="00C92ACF">
        <w:t>i</w:t>
      </w:r>
      <w:r w:rsidRPr="008672C1">
        <w:t xml:space="preserve"> </w:t>
      </w:r>
      <w:r w:rsidR="00C92ACF">
        <w:t xml:space="preserve">ir </w:t>
      </w:r>
      <w:r w:rsidRPr="008672C1">
        <w:t>integrē</w:t>
      </w:r>
      <w:r w:rsidR="00C92ACF">
        <w:t>ti</w:t>
      </w:r>
      <w:r w:rsidRPr="008672C1">
        <w:t xml:space="preserve"> arī tiesiskajā regulējumā, kas nosaka prasības</w:t>
      </w:r>
      <w:r w:rsidRPr="008672C1">
        <w:rPr>
          <w:b/>
          <w:bCs/>
        </w:rPr>
        <w:t xml:space="preserve"> </w:t>
      </w:r>
      <w:r w:rsidRPr="008672C1">
        <w:t xml:space="preserve">Eiropas Ekonomikas zonas finanšu instrumenta un Norvēģijas finanšu instrumenta ieviešanai 2014.—2021. gada periodā. </w:t>
      </w:r>
    </w:p>
    <w:p w14:paraId="36B4DE56" w14:textId="323720BF" w:rsidR="00CF1B3B" w:rsidRDefault="001324AB" w:rsidP="00CF1B3B">
      <w:pPr>
        <w:spacing w:after="0" w:line="360" w:lineRule="auto"/>
        <w:ind w:firstLine="851"/>
        <w:jc w:val="both"/>
      </w:pPr>
      <w:r w:rsidRPr="008672C1">
        <w:t xml:space="preserve">Tāpat </w:t>
      </w:r>
      <w:r w:rsidR="00B16211" w:rsidRPr="008672C1">
        <w:t>jāpiemin</w:t>
      </w:r>
      <w:r w:rsidR="00CF1B3B">
        <w:t>, ka atbilstoši</w:t>
      </w:r>
      <w:r w:rsidR="00B16211" w:rsidRPr="008672C1">
        <w:t xml:space="preserve"> </w:t>
      </w:r>
      <w:r w:rsidR="006B4CEF" w:rsidRPr="008672C1">
        <w:t>Publisko iepirkumu likumā</w:t>
      </w:r>
      <w:r w:rsidR="006B4CEF" w:rsidRPr="00C92ACF">
        <w:rPr>
          <w:rStyle w:val="FootnoteReference"/>
          <w:sz w:val="20"/>
          <w:szCs w:val="20"/>
        </w:rPr>
        <w:footnoteReference w:id="18"/>
      </w:r>
      <w:r w:rsidR="006B4CEF" w:rsidRPr="008672C1">
        <w:t xml:space="preserve"> </w:t>
      </w:r>
      <w:r w:rsidR="00B16211" w:rsidRPr="008672C1">
        <w:t>(turpmāk</w:t>
      </w:r>
      <w:r w:rsidR="004153D9" w:rsidRPr="008672C1">
        <w:t xml:space="preserve"> </w:t>
      </w:r>
      <w:r w:rsidR="00B16211" w:rsidRPr="00866271">
        <w:t>-</w:t>
      </w:r>
      <w:r w:rsidR="004153D9" w:rsidRPr="00866271">
        <w:t xml:space="preserve"> </w:t>
      </w:r>
      <w:r w:rsidR="00B16211" w:rsidRPr="00866271">
        <w:t>PIL)</w:t>
      </w:r>
      <w:r w:rsidR="00CF1B3B">
        <w:t xml:space="preserve"> paredzētajam, </w:t>
      </w:r>
      <w:r w:rsidR="006B4CEF" w:rsidRPr="00866271">
        <w:t xml:space="preserve"> </w:t>
      </w:r>
      <w:r w:rsidRPr="00866271">
        <w:t xml:space="preserve">pasūtītājs </w:t>
      </w:r>
      <w:r w:rsidR="0015250B">
        <w:t xml:space="preserve">izslēdz </w:t>
      </w:r>
      <w:r w:rsidR="00CF1B3B">
        <w:t xml:space="preserve">kandidātu vai </w:t>
      </w:r>
      <w:r w:rsidR="006B4CEF" w:rsidRPr="00866271">
        <w:t>pretendentu</w:t>
      </w:r>
      <w:r w:rsidRPr="00DF3810">
        <w:rPr>
          <w:color w:val="414142"/>
          <w:shd w:val="clear" w:color="auto" w:fill="FFFFFF"/>
        </w:rPr>
        <w:t xml:space="preserve">, </w:t>
      </w:r>
      <w:r w:rsidRPr="008672C1">
        <w:t>kuram būtu piešķiramas iepi</w:t>
      </w:r>
      <w:r w:rsidR="004153D9" w:rsidRPr="008672C1">
        <w:t>rkuma līguma slēgšanas tiesības</w:t>
      </w:r>
      <w:r w:rsidRPr="00866271">
        <w:t xml:space="preserve"> </w:t>
      </w:r>
      <w:r w:rsidR="006B4CEF" w:rsidRPr="00866271">
        <w:t>no dalības iepirkum</w:t>
      </w:r>
      <w:r w:rsidR="00CF1B3B">
        <w:t>a procedūrā,</w:t>
      </w:r>
      <w:r w:rsidR="00B16211" w:rsidRPr="00866271">
        <w:t xml:space="preserve"> </w:t>
      </w:r>
      <w:r w:rsidR="006B4CEF" w:rsidRPr="00866271">
        <w:t xml:space="preserve"> ja</w:t>
      </w:r>
      <w:r w:rsidR="00121667">
        <w:t xml:space="preserve"> kandidāts vai</w:t>
      </w:r>
      <w:r w:rsidR="006B4CEF" w:rsidRPr="00866271">
        <w:t xml:space="preserve"> pretendents ir ārzonā reģistrēta juridiskā persona vai personu apvienība</w:t>
      </w:r>
      <w:r w:rsidR="00CF1B3B">
        <w:t xml:space="preserve"> vai, ja Latvijā reģistrēta kandidāta vai pretendenta vairāk nekā 25 procentu kapitāla daļu (akciju) īpašnieks vai turētājs ir ārzonā reģistrēta juridiskā persona vai personu apvienība.</w:t>
      </w:r>
    </w:p>
    <w:p w14:paraId="41702D20" w14:textId="77777777" w:rsidR="004B4737" w:rsidRDefault="004B4737" w:rsidP="004B4737">
      <w:pPr>
        <w:pStyle w:val="Default"/>
        <w:spacing w:line="360" w:lineRule="auto"/>
        <w:ind w:firstLine="851"/>
        <w:jc w:val="both"/>
      </w:pPr>
      <w:r>
        <w:t>Vienlaikus PIL regulējumā</w:t>
      </w:r>
      <w:r>
        <w:rPr>
          <w:rStyle w:val="FootnoteReference"/>
        </w:rPr>
        <w:footnoteReference w:id="19"/>
      </w:r>
      <w:r>
        <w:t xml:space="preserve"> </w:t>
      </w:r>
      <w:r w:rsidRPr="00D772A7">
        <w:t>ir ietverti Eiropas Parlamenta un Padomes Direktīvas 2014/24/ES</w:t>
      </w:r>
      <w:r w:rsidRPr="00D772A7">
        <w:rPr>
          <w:rStyle w:val="FootnoteReference"/>
        </w:rPr>
        <w:footnoteReference w:id="20"/>
      </w:r>
      <w:r w:rsidRPr="00D772A7">
        <w:t xml:space="preserve"> </w:t>
      </w:r>
      <w:r>
        <w:t>57.</w:t>
      </w:r>
      <w:r w:rsidRPr="00D772A7">
        <w:t>panta minētie izslēgšanas nosac</w:t>
      </w:r>
      <w:r>
        <w:t>ījumi t.sk.</w:t>
      </w:r>
      <w:r w:rsidRPr="000E7449">
        <w:t xml:space="preserve"> </w:t>
      </w:r>
      <w:r>
        <w:t>57.</w:t>
      </w:r>
      <w:r w:rsidRPr="00D772A7">
        <w:t>panta</w:t>
      </w:r>
      <w:r>
        <w:t xml:space="preserve"> 1.</w:t>
      </w:r>
      <w:r w:rsidRPr="000E7449">
        <w:t>punktā</w:t>
      </w:r>
      <w:r>
        <w:t xml:space="preserve"> paredzētie, kas nosaka,  </w:t>
      </w:r>
      <w:r w:rsidRPr="00D772A7">
        <w:t>ka pasūtītājs izslēdz kandidātu vai pretendentu</w:t>
      </w:r>
      <w:r>
        <w:t>, ja konstatēts, ka tas ar g</w:t>
      </w:r>
      <w:r w:rsidRPr="00E50AFB">
        <w:t>alīgu spriedumu ir notiesāt</w:t>
      </w:r>
      <w:r>
        <w:t>s</w:t>
      </w:r>
      <w:r w:rsidRPr="00E50AFB">
        <w:t xml:space="preserve"> par </w:t>
      </w:r>
      <w:r>
        <w:t>minētajiem</w:t>
      </w:r>
      <w:r w:rsidRPr="00E50AFB">
        <w:t xml:space="preserve"> noziedzīgiem nodarījumiem</w:t>
      </w:r>
      <w:r>
        <w:t>.</w:t>
      </w:r>
    </w:p>
    <w:p w14:paraId="3AB7DBB7" w14:textId="57EEED69" w:rsidR="002D0C6B" w:rsidRPr="00951CFC" w:rsidRDefault="002D0C6B" w:rsidP="005271ED">
      <w:pPr>
        <w:pStyle w:val="ListParagraph"/>
        <w:widowControl w:val="0"/>
        <w:tabs>
          <w:tab w:val="left" w:pos="993"/>
        </w:tabs>
        <w:spacing w:line="360" w:lineRule="auto"/>
        <w:ind w:left="0"/>
        <w:jc w:val="both"/>
        <w:rPr>
          <w:lang w:eastAsia="en-US"/>
        </w:rPr>
      </w:pPr>
      <w:r>
        <w:rPr>
          <w:lang w:eastAsia="en-US"/>
        </w:rPr>
        <w:lastRenderedPageBreak/>
        <w:tab/>
      </w:r>
      <w:r w:rsidRPr="002D0C6B">
        <w:rPr>
          <w:lang w:eastAsia="en-US"/>
        </w:rPr>
        <w:t>PIL 42. panta otrā daļā noteikts, ka  pasūtītājs izslēdz kandidātu vai pretendentu, ja tiek konstatēts, ka tam ir nodokļu parādi, tai skaitā valsts sociālās apdrošināšanas obligāto iemaksu parādi.</w:t>
      </w:r>
    </w:p>
    <w:p w14:paraId="5EB4AD38" w14:textId="7C196C95" w:rsidR="00311C85" w:rsidRPr="00B65094" w:rsidRDefault="00311C85" w:rsidP="00311C85">
      <w:pPr>
        <w:spacing w:after="120" w:line="360" w:lineRule="auto"/>
        <w:ind w:firstLine="720"/>
        <w:jc w:val="both"/>
      </w:pPr>
      <w:r w:rsidRPr="00D772A7">
        <w:t>Savukārt PIL</w:t>
      </w:r>
      <w:r w:rsidR="00416B26">
        <w:t xml:space="preserve"> izpratnē</w:t>
      </w:r>
      <w:r w:rsidRPr="00D772A7">
        <w:t xml:space="preserve">, ārzona ir zemu nodokļu vai beznodokļu valsts vai teritorija </w:t>
      </w:r>
      <w:hyperlink r:id="rId8" w:tgtFrame="_blank" w:history="1">
        <w:r w:rsidRPr="00D772A7">
          <w:t>Uzņēmumu ienākuma nodokļa likuma</w:t>
        </w:r>
      </w:hyperlink>
      <w:r w:rsidRPr="00D772A7">
        <w:t>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r w:rsidRPr="00B65094">
        <w:rPr>
          <w:rStyle w:val="FootnoteReference"/>
          <w:sz w:val="20"/>
          <w:szCs w:val="20"/>
        </w:rPr>
        <w:footnoteReference w:id="21"/>
      </w:r>
      <w:r w:rsidRPr="00B65094">
        <w:t>.</w:t>
      </w:r>
    </w:p>
    <w:p w14:paraId="75415C73" w14:textId="766786BD" w:rsidR="008C3892" w:rsidRPr="009A3BC6" w:rsidRDefault="006B4CEF" w:rsidP="00311C85">
      <w:pPr>
        <w:spacing w:after="120" w:line="360" w:lineRule="auto"/>
        <w:ind w:firstLine="851"/>
        <w:jc w:val="both"/>
      </w:pPr>
      <w:r w:rsidRPr="00866271">
        <w:t xml:space="preserve"> </w:t>
      </w:r>
      <w:r w:rsidR="00435343">
        <w:t>L</w:t>
      </w:r>
      <w:r w:rsidR="008C3892" w:rsidRPr="009A3BC6">
        <w:t>ikumdevējs</w:t>
      </w:r>
      <w:r w:rsidR="00435343">
        <w:t xml:space="preserve"> arī </w:t>
      </w:r>
      <w:r w:rsidR="008C3892" w:rsidRPr="009A3BC6">
        <w:t>Covid-19 infekcijas izplatības seku pārvarēšanas likuma</w:t>
      </w:r>
      <w:r w:rsidR="008C3892" w:rsidRPr="0038350A">
        <w:rPr>
          <w:sz w:val="20"/>
          <w:szCs w:val="20"/>
        </w:rPr>
        <w:t xml:space="preserve"> </w:t>
      </w:r>
      <w:r w:rsidR="008C3892" w:rsidRPr="009A3BC6">
        <w:t>3.pantā</w:t>
      </w:r>
      <w:r w:rsidR="008C3892">
        <w:t xml:space="preserve"> noteicis, ka</w:t>
      </w:r>
      <w:r w:rsidR="00530DED">
        <w:t xml:space="preserve"> </w:t>
      </w:r>
      <w:r w:rsidR="008C3892">
        <w:t>”n</w:t>
      </w:r>
      <w:r w:rsidR="008C3892" w:rsidRPr="009A3BC6">
        <w:t>o valsts atbalsta un valsts garantēto atbalsta pasākumu saņēmēju loka tiek izslēgti pretendenti, kas </w:t>
      </w:r>
      <w:hyperlink r:id="rId9" w:tgtFrame="_blank" w:history="1">
        <w:r w:rsidR="008C3892" w:rsidRPr="009A3BC6">
          <w:t>Publisko iepirkumu likuma</w:t>
        </w:r>
      </w:hyperlink>
      <w:r w:rsidR="008C3892" w:rsidRPr="009A3BC6">
        <w:t> izpratnē ir ārzonā reģistrētas juridiskās personas vai personu apvienības vai kas ir Latvijā reģistrētas juridiskās personas, kurās vairāk nekā 25 procenti kapitāla daļu (akciju) īpašnieks vai turētājs ir ārzonā reģistrēta juridiskā persona vai personu apvienība</w:t>
      </w:r>
      <w:r w:rsidR="008C3892">
        <w:t>”</w:t>
      </w:r>
      <w:r w:rsidR="008C3892" w:rsidRPr="009A3BC6">
        <w:t>.</w:t>
      </w:r>
    </w:p>
    <w:p w14:paraId="6D746DA9" w14:textId="4925A524" w:rsidR="0015250B" w:rsidRDefault="004B0507" w:rsidP="00800F9B">
      <w:pPr>
        <w:spacing w:after="120" w:line="360" w:lineRule="auto"/>
        <w:ind w:firstLine="720"/>
        <w:jc w:val="both"/>
      </w:pPr>
      <w:r w:rsidRPr="00866271">
        <w:t xml:space="preserve">Par </w:t>
      </w:r>
      <w:r w:rsidR="00422786">
        <w:t xml:space="preserve">EK </w:t>
      </w:r>
      <w:r w:rsidR="00BA604E">
        <w:t xml:space="preserve">Ieteikuma </w:t>
      </w:r>
      <w:r w:rsidRPr="00866271">
        <w:t xml:space="preserve">ieviešanu dalībvalstīm ir jāinformē </w:t>
      </w:r>
      <w:r w:rsidR="00422786">
        <w:t>EK</w:t>
      </w:r>
      <w:r w:rsidR="00422786" w:rsidRPr="00DF3810">
        <w:t xml:space="preserve"> </w:t>
      </w:r>
      <w:r w:rsidRPr="00DF3810">
        <w:t xml:space="preserve">par pasākumiem, kas veikti, reaģējot uz šo ieteikumu. </w:t>
      </w:r>
      <w:r w:rsidR="00422786">
        <w:t>EK</w:t>
      </w:r>
      <w:r w:rsidR="00422786" w:rsidRPr="00DF3810">
        <w:t xml:space="preserve"> </w:t>
      </w:r>
      <w:r w:rsidRPr="00DF3810">
        <w:t xml:space="preserve">ir gatava apspriest ar dalībvalstīm to plānus, kuru mērķis ir nodrošināt, ka valsts atbalsts (it īpaši </w:t>
      </w:r>
      <w:proofErr w:type="spellStart"/>
      <w:r w:rsidRPr="00DF3810">
        <w:t>rekapitalizācijas</w:t>
      </w:r>
      <w:proofErr w:type="spellEnd"/>
      <w:r w:rsidRPr="00DF3810">
        <w:t xml:space="preserve"> veidā) būtu jāpiešķir tikai uzņēmumiem, kas </w:t>
      </w:r>
      <w:r w:rsidR="00422786">
        <w:t>godīgi</w:t>
      </w:r>
      <w:r w:rsidRPr="00DF3810">
        <w:t xml:space="preserve"> maksā nodokļus. </w:t>
      </w:r>
      <w:r w:rsidR="00422786">
        <w:t>EK</w:t>
      </w:r>
      <w:r w:rsidR="00422786" w:rsidRPr="00DF3810">
        <w:t xml:space="preserve"> </w:t>
      </w:r>
      <w:r w:rsidRPr="00DF3810">
        <w:t>pēc trim gadiem no š</w:t>
      </w:r>
      <w:r w:rsidR="00422786">
        <w:t xml:space="preserve">īs </w:t>
      </w:r>
      <w:r w:rsidR="00E41542">
        <w:t xml:space="preserve">Ieteikuma </w:t>
      </w:r>
      <w:r w:rsidRPr="00DF3810">
        <w:t xml:space="preserve">pieņemšanas publicēs ziņojumu par </w:t>
      </w:r>
      <w:r w:rsidR="00422786">
        <w:t>tās</w:t>
      </w:r>
      <w:r w:rsidR="00422786" w:rsidRPr="00DF3810">
        <w:t xml:space="preserve"> </w:t>
      </w:r>
      <w:r w:rsidRPr="00DF3810">
        <w:t>piemērošanu</w:t>
      </w:r>
      <w:r w:rsidR="00422786">
        <w:t xml:space="preserve"> dalībvalstīs</w:t>
      </w:r>
      <w:r w:rsidRPr="00DF3810">
        <w:t>.</w:t>
      </w:r>
      <w:r w:rsidR="003259AB">
        <w:t xml:space="preserve"> </w:t>
      </w:r>
    </w:p>
    <w:p w14:paraId="3EC8713F" w14:textId="7D15FD00" w:rsidR="00800F9B" w:rsidRDefault="00CA69E1" w:rsidP="00800F9B">
      <w:pPr>
        <w:spacing w:after="120" w:line="360" w:lineRule="auto"/>
        <w:ind w:firstLine="720"/>
        <w:jc w:val="both"/>
      </w:pPr>
      <w:r>
        <w:t xml:space="preserve">Lai nepieļautu valsts un ES </w:t>
      </w:r>
      <w:r w:rsidRPr="009A3BC6">
        <w:t>budžeta ļaunpr</w:t>
      </w:r>
      <w:r>
        <w:t xml:space="preserve">ātīgu izmantošanu, visām </w:t>
      </w:r>
      <w:r w:rsidRPr="00AC43D6">
        <w:t>ministrijām, ņemot</w:t>
      </w:r>
      <w:r>
        <w:t xml:space="preserve"> vērā </w:t>
      </w:r>
      <w:r w:rsidR="00DE4721">
        <w:t xml:space="preserve">Ieteikuma </w:t>
      </w:r>
      <w:r>
        <w:t xml:space="preserve">saturu, </w:t>
      </w:r>
      <w:r w:rsidR="00E170A1">
        <w:t xml:space="preserve">nepieciešams </w:t>
      </w:r>
      <w:r w:rsidR="00E170A1" w:rsidRPr="00AC43D6">
        <w:t>izvērtēt</w:t>
      </w:r>
      <w:r w:rsidR="00E170A1" w:rsidDel="00071B2F">
        <w:t xml:space="preserve"> </w:t>
      </w:r>
      <w:r>
        <w:t>to pārziņā esošās jomas un nozar</w:t>
      </w:r>
      <w:r w:rsidR="00E170A1">
        <w:t>i</w:t>
      </w:r>
      <w:r>
        <w:t xml:space="preserve"> reglamentējošos tiesību aktus, </w:t>
      </w:r>
      <w:r w:rsidR="00071B2F">
        <w:t>kas paredz</w:t>
      </w:r>
      <w:r>
        <w:t xml:space="preserve"> valsts finansiāl</w:t>
      </w:r>
      <w:r w:rsidR="00E170A1">
        <w:t>o</w:t>
      </w:r>
      <w:r>
        <w:t xml:space="preserve"> atbalst</w:t>
      </w:r>
      <w:r w:rsidR="00071B2F">
        <w:t>u</w:t>
      </w:r>
      <w:r>
        <w:t xml:space="preserve"> (</w:t>
      </w:r>
      <w:r w:rsidR="00071B2F">
        <w:t>gan saistībā ar</w:t>
      </w:r>
      <w:r>
        <w:t xml:space="preserve"> COVID-19</w:t>
      </w:r>
      <w:r w:rsidR="00E170A1">
        <w:t xml:space="preserve"> ietekmi</w:t>
      </w:r>
      <w:r>
        <w:t>, tā arī neatkarīgi no apstākļiem, kas saistīti ar COVID-19</w:t>
      </w:r>
      <w:r w:rsidR="00071B2F">
        <w:t xml:space="preserve"> ietekmi</w:t>
      </w:r>
      <w:r>
        <w:t>)</w:t>
      </w:r>
      <w:r w:rsidR="00071B2F">
        <w:t xml:space="preserve">, vai tie atbilst </w:t>
      </w:r>
      <w:r w:rsidR="00E170A1">
        <w:t xml:space="preserve">EK </w:t>
      </w:r>
      <w:r w:rsidR="00DE4721">
        <w:t xml:space="preserve">Ieteikumam </w:t>
      </w:r>
      <w:r w:rsidR="00E170A1">
        <w:t>p</w:t>
      </w:r>
      <w:r w:rsidR="00E170A1" w:rsidRPr="008672C1">
        <w:t xml:space="preserve">ar valsts finansiālā atbalsta piešķiršanu uzņēmumiem </w:t>
      </w:r>
      <w:r w:rsidR="004A1CF6">
        <w:t>ES</w:t>
      </w:r>
      <w:r w:rsidR="00E170A1" w:rsidRPr="008672C1">
        <w:t xml:space="preserve"> atkarībā no tā, vai nepastāv saiknes ar jurisdikcijām, kas</w:t>
      </w:r>
      <w:r w:rsidR="009A14DD">
        <w:t xml:space="preserve"> nodokļu nolūkos </w:t>
      </w:r>
      <w:r w:rsidR="00E170A1" w:rsidRPr="008672C1">
        <w:t xml:space="preserve"> nesadarbojas</w:t>
      </w:r>
      <w:r w:rsidR="00E170A1">
        <w:t xml:space="preserve">. </w:t>
      </w:r>
    </w:p>
    <w:p w14:paraId="5FE89BF3" w14:textId="4F97F125" w:rsidR="00CA69E1" w:rsidRDefault="00E170A1" w:rsidP="00005DE3">
      <w:pPr>
        <w:spacing w:after="120" w:line="360" w:lineRule="auto"/>
        <w:ind w:firstLine="720"/>
        <w:jc w:val="both"/>
      </w:pPr>
      <w:r>
        <w:t xml:space="preserve">Atbildīgajām ministrijām, ja atbilstoši </w:t>
      </w:r>
      <w:proofErr w:type="spellStart"/>
      <w:r>
        <w:t>izvērtējumam</w:t>
      </w:r>
      <w:proofErr w:type="spellEnd"/>
      <w:r>
        <w:t xml:space="preserve"> tas tiek atzīts par nepieciešamu, jāvirza attiecīgie grozījumi normatīvajos aktos, kas nodrošinātu </w:t>
      </w:r>
      <w:r w:rsidR="00DE4721">
        <w:t xml:space="preserve">ieteikuma </w:t>
      </w:r>
      <w:r>
        <w:t>ieviešanu.</w:t>
      </w:r>
      <w:r w:rsidDel="00E170A1">
        <w:t xml:space="preserve"> </w:t>
      </w:r>
    </w:p>
    <w:p w14:paraId="1E318FED" w14:textId="77777777" w:rsidR="00CA69E1" w:rsidRPr="008672C1" w:rsidRDefault="00CA69E1" w:rsidP="002C516B">
      <w:pPr>
        <w:spacing w:after="120" w:line="360" w:lineRule="auto"/>
        <w:ind w:firstLine="851"/>
        <w:jc w:val="both"/>
      </w:pPr>
    </w:p>
    <w:p w14:paraId="7A49302D" w14:textId="43F72705" w:rsidR="0070399A" w:rsidRPr="00EE5BA9" w:rsidRDefault="0070399A" w:rsidP="00005DE3">
      <w:pPr>
        <w:spacing w:after="120" w:line="240" w:lineRule="auto"/>
        <w:jc w:val="both"/>
        <w:rPr>
          <w:sz w:val="26"/>
          <w:szCs w:val="26"/>
        </w:rPr>
      </w:pPr>
      <w:r w:rsidRPr="00EE5BA9">
        <w:rPr>
          <w:sz w:val="26"/>
          <w:szCs w:val="26"/>
        </w:rPr>
        <w:t>Finanšu ministrs</w:t>
      </w:r>
      <w:r w:rsidRPr="00EE5BA9">
        <w:rPr>
          <w:sz w:val="26"/>
          <w:szCs w:val="26"/>
        </w:rPr>
        <w:tab/>
      </w:r>
      <w:r w:rsidRPr="00EE5BA9">
        <w:rPr>
          <w:sz w:val="26"/>
          <w:szCs w:val="26"/>
        </w:rPr>
        <w:tab/>
      </w:r>
      <w:r w:rsidRPr="00EE5BA9">
        <w:rPr>
          <w:sz w:val="26"/>
          <w:szCs w:val="26"/>
        </w:rPr>
        <w:tab/>
      </w:r>
      <w:r w:rsidRPr="00EE5BA9">
        <w:rPr>
          <w:sz w:val="26"/>
          <w:szCs w:val="26"/>
        </w:rPr>
        <w:tab/>
      </w:r>
      <w:r w:rsidRPr="00EE5BA9">
        <w:rPr>
          <w:sz w:val="26"/>
          <w:szCs w:val="26"/>
        </w:rPr>
        <w:tab/>
      </w:r>
      <w:r w:rsidRPr="00EE5BA9">
        <w:rPr>
          <w:sz w:val="26"/>
          <w:szCs w:val="26"/>
        </w:rPr>
        <w:tab/>
      </w:r>
      <w:r w:rsidRPr="00EE5BA9">
        <w:rPr>
          <w:sz w:val="26"/>
          <w:szCs w:val="26"/>
        </w:rPr>
        <w:tab/>
      </w:r>
      <w:r w:rsidR="00E52A3E">
        <w:rPr>
          <w:sz w:val="26"/>
          <w:szCs w:val="26"/>
        </w:rPr>
        <w:tab/>
      </w:r>
      <w:proofErr w:type="spellStart"/>
      <w:r w:rsidRPr="00EE5BA9">
        <w:rPr>
          <w:sz w:val="26"/>
          <w:szCs w:val="26"/>
        </w:rPr>
        <w:t>J.Reirs</w:t>
      </w:r>
      <w:proofErr w:type="spellEnd"/>
    </w:p>
    <w:p w14:paraId="4C99973B" w14:textId="77777777" w:rsidR="00E52A3E" w:rsidRDefault="00E52A3E" w:rsidP="00DF3810">
      <w:pPr>
        <w:spacing w:after="120" w:line="240" w:lineRule="auto"/>
        <w:jc w:val="both"/>
        <w:rPr>
          <w:sz w:val="20"/>
          <w:szCs w:val="20"/>
        </w:rPr>
      </w:pPr>
    </w:p>
    <w:p w14:paraId="3A624B9E" w14:textId="77777777" w:rsidR="00E52A3E" w:rsidRDefault="00E52A3E" w:rsidP="00DF3810">
      <w:pPr>
        <w:spacing w:after="120" w:line="240" w:lineRule="auto"/>
        <w:jc w:val="both"/>
        <w:rPr>
          <w:sz w:val="20"/>
          <w:szCs w:val="20"/>
        </w:rPr>
      </w:pPr>
    </w:p>
    <w:p w14:paraId="4E4ECF74" w14:textId="77777777" w:rsidR="00E52A3E" w:rsidRDefault="00E52A3E" w:rsidP="00DF3810">
      <w:pPr>
        <w:spacing w:after="120" w:line="240" w:lineRule="auto"/>
        <w:jc w:val="both"/>
        <w:rPr>
          <w:sz w:val="20"/>
          <w:szCs w:val="20"/>
        </w:rPr>
      </w:pPr>
    </w:p>
    <w:p w14:paraId="1003CA8A" w14:textId="77777777" w:rsidR="00E52A3E" w:rsidRDefault="00E52A3E" w:rsidP="00DF3810">
      <w:pPr>
        <w:spacing w:after="120" w:line="240" w:lineRule="auto"/>
        <w:jc w:val="both"/>
        <w:rPr>
          <w:sz w:val="20"/>
          <w:szCs w:val="20"/>
        </w:rPr>
      </w:pPr>
    </w:p>
    <w:p w14:paraId="22EFA428" w14:textId="77777777" w:rsidR="00E52A3E" w:rsidRDefault="00E52A3E" w:rsidP="00DF3810">
      <w:pPr>
        <w:spacing w:after="120" w:line="240" w:lineRule="auto"/>
        <w:jc w:val="both"/>
        <w:rPr>
          <w:sz w:val="20"/>
          <w:szCs w:val="20"/>
        </w:rPr>
      </w:pPr>
    </w:p>
    <w:p w14:paraId="0204A56D" w14:textId="68618E75" w:rsidR="00B120EA" w:rsidRPr="00E874BB" w:rsidRDefault="0037138C" w:rsidP="00DF3810">
      <w:pPr>
        <w:spacing w:after="120" w:line="240" w:lineRule="auto"/>
        <w:jc w:val="both"/>
        <w:rPr>
          <w:sz w:val="20"/>
          <w:szCs w:val="20"/>
        </w:rPr>
      </w:pPr>
      <w:proofErr w:type="spellStart"/>
      <w:r w:rsidRPr="00E874BB">
        <w:rPr>
          <w:sz w:val="20"/>
          <w:szCs w:val="20"/>
        </w:rPr>
        <w:t>S.Bormistere</w:t>
      </w:r>
      <w:proofErr w:type="spellEnd"/>
      <w:r w:rsidR="00E874BB" w:rsidRPr="00E874BB">
        <w:rPr>
          <w:sz w:val="20"/>
          <w:szCs w:val="20"/>
        </w:rPr>
        <w:t xml:space="preserve"> - </w:t>
      </w:r>
      <w:hyperlink r:id="rId10" w:history="1">
        <w:r w:rsidR="00B120EA" w:rsidRPr="00E874BB">
          <w:rPr>
            <w:rStyle w:val="Hyperlink"/>
            <w:sz w:val="20"/>
            <w:szCs w:val="20"/>
          </w:rPr>
          <w:t>Sandra.Bormeistere@fm.gov.lv</w:t>
        </w:r>
      </w:hyperlink>
    </w:p>
    <w:p w14:paraId="69AA26A4" w14:textId="3B8407A1" w:rsidR="00B120EA" w:rsidRPr="00E874BB" w:rsidRDefault="00B120EA" w:rsidP="00DF3810">
      <w:pPr>
        <w:spacing w:after="120" w:line="240" w:lineRule="auto"/>
        <w:jc w:val="both"/>
        <w:rPr>
          <w:sz w:val="20"/>
          <w:szCs w:val="20"/>
        </w:rPr>
      </w:pPr>
      <w:proofErr w:type="spellStart"/>
      <w:r w:rsidRPr="00E874BB">
        <w:rPr>
          <w:sz w:val="20"/>
          <w:szCs w:val="20"/>
        </w:rPr>
        <w:t>S.Cāne</w:t>
      </w:r>
      <w:proofErr w:type="spellEnd"/>
      <w:r w:rsidR="00E874BB" w:rsidRPr="00E874BB">
        <w:rPr>
          <w:sz w:val="20"/>
          <w:szCs w:val="20"/>
        </w:rPr>
        <w:t xml:space="preserve"> - </w:t>
      </w:r>
      <w:hyperlink r:id="rId11" w:history="1">
        <w:r w:rsidR="00EE5BA9" w:rsidRPr="00E874BB">
          <w:rPr>
            <w:rStyle w:val="Hyperlink"/>
            <w:sz w:val="20"/>
            <w:szCs w:val="20"/>
          </w:rPr>
          <w:t>Sanda.Cane@fm.gov.lv</w:t>
        </w:r>
      </w:hyperlink>
    </w:p>
    <w:p w14:paraId="3DC070FA" w14:textId="4E5D96BD" w:rsidR="00EE5BA9" w:rsidRPr="00E874BB" w:rsidRDefault="00EE5BA9" w:rsidP="00DF3810">
      <w:pPr>
        <w:spacing w:after="120" w:line="240" w:lineRule="auto"/>
        <w:jc w:val="both"/>
        <w:rPr>
          <w:rStyle w:val="Hyperlink"/>
          <w:sz w:val="20"/>
          <w:szCs w:val="20"/>
        </w:rPr>
      </w:pPr>
      <w:r w:rsidRPr="00E874BB">
        <w:rPr>
          <w:sz w:val="20"/>
          <w:szCs w:val="20"/>
        </w:rPr>
        <w:t>Zane Logina</w:t>
      </w:r>
      <w:r w:rsidR="00E874BB" w:rsidRPr="00E874BB">
        <w:rPr>
          <w:sz w:val="20"/>
          <w:szCs w:val="20"/>
        </w:rPr>
        <w:t xml:space="preserve"> - </w:t>
      </w:r>
      <w:r w:rsidRPr="00E874BB">
        <w:rPr>
          <w:rStyle w:val="Hyperlink"/>
          <w:sz w:val="20"/>
          <w:szCs w:val="20"/>
        </w:rPr>
        <w:t>Zane.Logina@fm.gov.lv</w:t>
      </w:r>
    </w:p>
    <w:sectPr w:rsidR="00EE5BA9" w:rsidRPr="00E874BB" w:rsidSect="004A568D">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A7E4B" w14:textId="77777777" w:rsidR="00DA154B" w:rsidRDefault="00DA154B" w:rsidP="009B11D4">
      <w:pPr>
        <w:spacing w:after="0" w:line="240" w:lineRule="auto"/>
      </w:pPr>
      <w:r>
        <w:separator/>
      </w:r>
    </w:p>
  </w:endnote>
  <w:endnote w:type="continuationSeparator" w:id="0">
    <w:p w14:paraId="1ADC0215" w14:textId="77777777" w:rsidR="00DA154B" w:rsidRDefault="00DA154B" w:rsidP="009B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 Neue">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4C17" w14:textId="12E88886" w:rsidR="00845426" w:rsidRPr="009957F1" w:rsidRDefault="00845426" w:rsidP="00845426">
    <w:pPr>
      <w:pStyle w:val="Footer"/>
      <w:rPr>
        <w:sz w:val="20"/>
        <w:szCs w:val="20"/>
      </w:rPr>
    </w:pPr>
    <w:r w:rsidRPr="00845426">
      <w:rPr>
        <w:sz w:val="20"/>
        <w:szCs w:val="20"/>
      </w:rPr>
      <w:t xml:space="preserve"> </w:t>
    </w:r>
    <w:r w:rsidRPr="009957F1">
      <w:rPr>
        <w:sz w:val="20"/>
        <w:szCs w:val="20"/>
      </w:rPr>
      <w:t>FM</w:t>
    </w:r>
    <w:r>
      <w:rPr>
        <w:sz w:val="20"/>
        <w:szCs w:val="20"/>
      </w:rPr>
      <w:t>infozin</w:t>
    </w:r>
    <w:r w:rsidRPr="009957F1">
      <w:rPr>
        <w:sz w:val="20"/>
        <w:szCs w:val="20"/>
      </w:rPr>
      <w:t>_</w:t>
    </w:r>
    <w:r>
      <w:rPr>
        <w:sz w:val="20"/>
        <w:szCs w:val="20"/>
      </w:rPr>
      <w:t>EKIeteikums_</w:t>
    </w:r>
    <w:r w:rsidR="00315031">
      <w:rPr>
        <w:sz w:val="20"/>
        <w:szCs w:val="20"/>
      </w:rPr>
      <w:t>1</w:t>
    </w:r>
    <w:r w:rsidR="00943401">
      <w:rPr>
        <w:sz w:val="20"/>
        <w:szCs w:val="20"/>
      </w:rPr>
      <w:t>5</w:t>
    </w:r>
    <w:r>
      <w:rPr>
        <w:sz w:val="20"/>
        <w:szCs w:val="20"/>
      </w:rPr>
      <w:t>12</w:t>
    </w:r>
    <w:r w:rsidRPr="009957F1">
      <w:rPr>
        <w:sz w:val="20"/>
        <w:szCs w:val="20"/>
      </w:rPr>
      <w:t>20</w:t>
    </w:r>
    <w:r>
      <w:rPr>
        <w:sz w:val="20"/>
        <w:szCs w:val="20"/>
      </w:rPr>
      <w:t>20</w:t>
    </w:r>
    <w:r w:rsidR="002430C5">
      <w:rPr>
        <w:sz w:val="20"/>
        <w:szCs w:val="20"/>
      </w:rPr>
      <w:t>.docx</w:t>
    </w:r>
  </w:p>
  <w:p w14:paraId="64882C4F" w14:textId="196B12EE" w:rsidR="00D66983" w:rsidRDefault="00D66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0605" w14:textId="5E0FC724" w:rsidR="00D66983" w:rsidRPr="009957F1" w:rsidRDefault="00D66983" w:rsidP="00D66983">
    <w:pPr>
      <w:pStyle w:val="Footer"/>
      <w:rPr>
        <w:sz w:val="20"/>
        <w:szCs w:val="20"/>
      </w:rPr>
    </w:pPr>
    <w:r w:rsidRPr="009957F1">
      <w:rPr>
        <w:sz w:val="20"/>
        <w:szCs w:val="20"/>
      </w:rPr>
      <w:t>FM</w:t>
    </w:r>
    <w:r>
      <w:rPr>
        <w:sz w:val="20"/>
        <w:szCs w:val="20"/>
      </w:rPr>
      <w:t>infozin</w:t>
    </w:r>
    <w:r w:rsidRPr="009957F1">
      <w:rPr>
        <w:sz w:val="20"/>
        <w:szCs w:val="20"/>
      </w:rPr>
      <w:t>_</w:t>
    </w:r>
    <w:r>
      <w:rPr>
        <w:sz w:val="20"/>
        <w:szCs w:val="20"/>
      </w:rPr>
      <w:t>EKIeteikums_</w:t>
    </w:r>
    <w:r w:rsidR="00B61BB4">
      <w:rPr>
        <w:sz w:val="20"/>
        <w:szCs w:val="20"/>
      </w:rPr>
      <w:t>1</w:t>
    </w:r>
    <w:r w:rsidR="00943401">
      <w:rPr>
        <w:sz w:val="20"/>
        <w:szCs w:val="20"/>
      </w:rPr>
      <w:t>5</w:t>
    </w:r>
    <w:r w:rsidR="00845426">
      <w:rPr>
        <w:sz w:val="20"/>
        <w:szCs w:val="20"/>
      </w:rPr>
      <w:t>12</w:t>
    </w:r>
    <w:r w:rsidRPr="009957F1">
      <w:rPr>
        <w:sz w:val="20"/>
        <w:szCs w:val="20"/>
      </w:rPr>
      <w:t>20</w:t>
    </w:r>
    <w:r>
      <w:rPr>
        <w:sz w:val="20"/>
        <w:szCs w:val="20"/>
      </w:rPr>
      <w:t>20</w:t>
    </w:r>
    <w:r w:rsidR="00EA0C39">
      <w:rPr>
        <w:sz w:val="20"/>
        <w:szCs w:val="20"/>
      </w:rPr>
      <w:t>.docx</w:t>
    </w:r>
  </w:p>
  <w:p w14:paraId="2323D405" w14:textId="77777777" w:rsidR="00D66983" w:rsidRPr="00D66983" w:rsidRDefault="00D66983" w:rsidP="00D66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88750" w14:textId="77777777" w:rsidR="00DA154B" w:rsidRDefault="00DA154B" w:rsidP="009B11D4">
      <w:pPr>
        <w:spacing w:after="0" w:line="240" w:lineRule="auto"/>
      </w:pPr>
      <w:r>
        <w:separator/>
      </w:r>
    </w:p>
  </w:footnote>
  <w:footnote w:type="continuationSeparator" w:id="0">
    <w:p w14:paraId="13814040" w14:textId="77777777" w:rsidR="00DA154B" w:rsidRDefault="00DA154B" w:rsidP="009B11D4">
      <w:pPr>
        <w:spacing w:after="0" w:line="240" w:lineRule="auto"/>
      </w:pPr>
      <w:r>
        <w:continuationSeparator/>
      </w:r>
    </w:p>
  </w:footnote>
  <w:footnote w:id="1">
    <w:p w14:paraId="3654C38B" w14:textId="4106835D" w:rsidR="002100CB" w:rsidRDefault="002100CB" w:rsidP="002100CB">
      <w:pPr>
        <w:pStyle w:val="FootnoteText"/>
      </w:pPr>
      <w:r>
        <w:rPr>
          <w:rStyle w:val="FootnoteReference"/>
        </w:rPr>
        <w:footnoteRef/>
      </w:r>
      <w:r>
        <w:t xml:space="preserve"> Briselē,</w:t>
      </w:r>
      <w:r w:rsidR="00C51D98">
        <w:t xml:space="preserve"> </w:t>
      </w:r>
      <w:r>
        <w:t xml:space="preserve">14.07.2020. C(2020) 4885 </w:t>
      </w:r>
      <w:proofErr w:type="spellStart"/>
      <w:r>
        <w:t>final</w:t>
      </w:r>
      <w:proofErr w:type="spellEnd"/>
    </w:p>
  </w:footnote>
  <w:footnote w:id="2">
    <w:p w14:paraId="1BAFD211" w14:textId="5B25D93A" w:rsidR="007B2E9F" w:rsidRDefault="007B2E9F" w:rsidP="002C516B">
      <w:pPr>
        <w:pStyle w:val="FootnoteText"/>
        <w:jc w:val="both"/>
      </w:pPr>
      <w:r>
        <w:rPr>
          <w:rStyle w:val="FootnoteReference"/>
        </w:rPr>
        <w:footnoteRef/>
      </w:r>
      <w:r>
        <w:t xml:space="preserve"> Jurisdikcijas, kas iekļautas Padomes </w:t>
      </w:r>
      <w:r w:rsidR="00B04A44">
        <w:t xml:space="preserve">2017.gada 5.decembra </w:t>
      </w:r>
      <w:r>
        <w:t xml:space="preserve">secinājumu </w:t>
      </w:r>
      <w:r w:rsidR="00B04A44">
        <w:t xml:space="preserve">par Eiropas Savienības nesadarbojošos jurisdikciju sarakstu nodokļu vajadzībām, ar grozījumiem, </w:t>
      </w:r>
      <w:r>
        <w:t>I pielikumā:</w:t>
      </w:r>
      <w:r w:rsidR="00B04A44">
        <w:t xml:space="preserve"> </w:t>
      </w:r>
      <w:r w:rsidR="00B04A44" w:rsidRPr="00B04A44">
        <w:t>https://data.consilium.europa.eu/doc/document/ST-15429-2017-INIT/en/pdf</w:t>
      </w:r>
      <w:r>
        <w:t xml:space="preserve">  </w:t>
      </w:r>
    </w:p>
  </w:footnote>
  <w:footnote w:id="3">
    <w:p w14:paraId="479DDEA8" w14:textId="6CFA2BF6" w:rsidR="007C4BF3" w:rsidRDefault="007C4BF3" w:rsidP="00B44817">
      <w:pPr>
        <w:pStyle w:val="FootnoteText"/>
        <w:jc w:val="both"/>
      </w:pPr>
      <w:r>
        <w:rPr>
          <w:rStyle w:val="FootnoteReference"/>
        </w:rPr>
        <w:footnoteRef/>
      </w:r>
      <w:r>
        <w:t xml:space="preserve"> </w:t>
      </w:r>
      <w:r w:rsidR="006D5E0B" w:rsidRPr="00C6617C">
        <w:rPr>
          <w:lang w:eastAsia="lv-LV"/>
        </w:rPr>
        <w:t>Eiropas Parlamenta un Padomes 2015. gada 20. maija Direktīva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p>
  </w:footnote>
  <w:footnote w:id="4">
    <w:p w14:paraId="194C0F45" w14:textId="77777777" w:rsidR="003326EF" w:rsidRDefault="003326EF" w:rsidP="003326EF">
      <w:pPr>
        <w:pStyle w:val="FootnoteText"/>
      </w:pPr>
      <w:r>
        <w:rPr>
          <w:rStyle w:val="FootnoteReference"/>
        </w:rPr>
        <w:footnoteRef/>
      </w:r>
      <w:r>
        <w:t xml:space="preserve"> Briselē,14.07.2020. C(2020) 4885 </w:t>
      </w:r>
      <w:proofErr w:type="spellStart"/>
      <w:r>
        <w:t>final</w:t>
      </w:r>
      <w:proofErr w:type="spellEnd"/>
      <w:r>
        <w:t>, 4.punkts</w:t>
      </w:r>
    </w:p>
  </w:footnote>
  <w:footnote w:id="5">
    <w:p w14:paraId="15F287BC" w14:textId="77777777" w:rsidR="003326EF" w:rsidRDefault="003326EF" w:rsidP="003326EF">
      <w:pPr>
        <w:pStyle w:val="FootnoteText"/>
      </w:pPr>
      <w:r>
        <w:rPr>
          <w:rStyle w:val="FootnoteReference"/>
        </w:rPr>
        <w:footnoteRef/>
      </w:r>
      <w:r>
        <w:t xml:space="preserve"> Briselē,14.07.2020. C(2020) 4885 </w:t>
      </w:r>
      <w:proofErr w:type="spellStart"/>
      <w:r>
        <w:t>final</w:t>
      </w:r>
      <w:proofErr w:type="spellEnd"/>
      <w:r>
        <w:t>, 5.punkts</w:t>
      </w:r>
    </w:p>
  </w:footnote>
  <w:footnote w:id="6">
    <w:p w14:paraId="778EBC0A" w14:textId="42CB0B46" w:rsidR="00A704B7" w:rsidRDefault="00A704B7" w:rsidP="002C516B">
      <w:pPr>
        <w:pStyle w:val="FootnoteText"/>
        <w:jc w:val="both"/>
      </w:pPr>
      <w:r>
        <w:rPr>
          <w:rStyle w:val="FootnoteReference"/>
        </w:rPr>
        <w:footnoteRef/>
      </w:r>
      <w:r w:rsidR="008356E4">
        <w:t xml:space="preserve"> </w:t>
      </w:r>
      <w:r>
        <w:t>Padomes 2017.gada 5.decembra secinājumu par Eiropas Savienības nesadarbojošos jurisdikciju sarakstu nodokļu vajadzībām</w:t>
      </w:r>
      <w:r w:rsidR="00911473">
        <w:t xml:space="preserve"> 19.punkts</w:t>
      </w:r>
      <w:r w:rsidR="00F47663">
        <w:t>; pieejams-</w:t>
      </w:r>
      <w:hyperlink r:id="rId1" w:history="1">
        <w:r w:rsidR="00F47663" w:rsidRPr="00935B7F">
          <w:rPr>
            <w:rStyle w:val="Hyperlink"/>
          </w:rPr>
          <w:t>https://www.consilium.europa.eu/register/en/content/out?&amp;typ=ENTRY&amp;i=ADV&amp;DOC_ID=ST-15429-2017-INIT</w:t>
        </w:r>
      </w:hyperlink>
    </w:p>
  </w:footnote>
  <w:footnote w:id="7">
    <w:p w14:paraId="42AD2A17" w14:textId="30383433" w:rsidR="00C50FFD" w:rsidRDefault="00C50FFD" w:rsidP="002C516B">
      <w:pPr>
        <w:pStyle w:val="FootnoteText"/>
        <w:jc w:val="both"/>
      </w:pPr>
      <w:r>
        <w:rPr>
          <w:rStyle w:val="FootnoteReference"/>
        </w:rPr>
        <w:footnoteRef/>
      </w:r>
      <w:r>
        <w:t xml:space="preserve"> </w:t>
      </w:r>
      <w:r w:rsidRPr="00C50FFD">
        <w:t>Padome</w:t>
      </w:r>
      <w:r>
        <w:t>s</w:t>
      </w:r>
      <w:r w:rsidRPr="00C50FFD">
        <w:t xml:space="preserve"> 2019.gada 5.decembra secinājum</w:t>
      </w:r>
      <w:r>
        <w:t>u</w:t>
      </w:r>
      <w:r w:rsidRPr="00C50FFD">
        <w:t xml:space="preserve"> par Rīcības kodeksa (uzņēmējdarbības nodokļi) grupas sasniegto Somijas Prezidentūras laikā </w:t>
      </w:r>
      <w:r>
        <w:t>10.punkts</w:t>
      </w:r>
    </w:p>
  </w:footnote>
  <w:footnote w:id="8">
    <w:p w14:paraId="59D7702C" w14:textId="33F7158D" w:rsidR="000A0013" w:rsidRDefault="000A0013" w:rsidP="000A0013">
      <w:pPr>
        <w:pStyle w:val="FootnoteText"/>
      </w:pPr>
      <w:r>
        <w:rPr>
          <w:rStyle w:val="FootnoteReference"/>
        </w:rPr>
        <w:footnoteRef/>
      </w:r>
      <w:r>
        <w:t xml:space="preserve"> Padomes 2017.gada 5.decembra secinājumu par Eiropas Savienības nesadarbojošos jurisdikciju sarakstu nodokļu vajadzībām I pielikums</w:t>
      </w:r>
      <w:r w:rsidR="004329CB">
        <w:t xml:space="preserve">. </w:t>
      </w:r>
    </w:p>
  </w:footnote>
  <w:footnote w:id="9">
    <w:p w14:paraId="3A0A0797" w14:textId="24CE4CC7" w:rsidR="00957561" w:rsidRDefault="00957561">
      <w:pPr>
        <w:pStyle w:val="FootnoteText"/>
      </w:pPr>
      <w:r>
        <w:rPr>
          <w:rStyle w:val="FootnoteReference"/>
        </w:rPr>
        <w:footnoteRef/>
      </w:r>
      <w:r>
        <w:t xml:space="preserve"> </w:t>
      </w:r>
      <w:r w:rsidRPr="000E3E8F">
        <w:t>Padome</w:t>
      </w:r>
      <w:r>
        <w:t>s</w:t>
      </w:r>
      <w:r w:rsidRPr="000E3E8F">
        <w:t xml:space="preserve"> 2019.gada 12.marta </w:t>
      </w:r>
      <w:r w:rsidR="0077732C" w:rsidRPr="000E3E8F">
        <w:t>secinājumu</w:t>
      </w:r>
      <w:r w:rsidRPr="000E3E8F">
        <w:t xml:space="preserve"> par pārskatītu ES sarakstu</w:t>
      </w:r>
      <w:r>
        <w:t xml:space="preserve"> 16.punkts</w:t>
      </w:r>
    </w:p>
  </w:footnote>
  <w:footnote w:id="10">
    <w:p w14:paraId="1017C692" w14:textId="2B7F87D0" w:rsidR="000C534A" w:rsidRDefault="000C534A" w:rsidP="000C534A">
      <w:pPr>
        <w:pStyle w:val="FootnoteText"/>
      </w:pPr>
      <w:r w:rsidRPr="00BE7DD9">
        <w:rPr>
          <w:rStyle w:val="FootnoteReference"/>
        </w:rPr>
        <w:footnoteRef/>
      </w:r>
      <w:r w:rsidRPr="00BE7DD9">
        <w:t xml:space="preserve"> </w:t>
      </w:r>
      <w:r w:rsidRPr="00634BB1">
        <w:rPr>
          <w:color w:val="000000" w:themeColor="text1"/>
        </w:rPr>
        <w:t xml:space="preserve">Padomes 2020.gada </w:t>
      </w:r>
      <w:r w:rsidR="00715669" w:rsidRPr="00634BB1">
        <w:rPr>
          <w:color w:val="000000" w:themeColor="text1"/>
        </w:rPr>
        <w:t>6</w:t>
      </w:r>
      <w:r w:rsidRPr="00634BB1">
        <w:rPr>
          <w:color w:val="000000" w:themeColor="text1"/>
        </w:rPr>
        <w:t>.</w:t>
      </w:r>
      <w:r w:rsidR="00715669" w:rsidRPr="00634BB1">
        <w:rPr>
          <w:color w:val="000000" w:themeColor="text1"/>
        </w:rPr>
        <w:t>oktobra</w:t>
      </w:r>
      <w:r w:rsidRPr="00634BB1">
        <w:rPr>
          <w:color w:val="000000" w:themeColor="text1"/>
        </w:rPr>
        <w:t xml:space="preserve"> </w:t>
      </w:r>
      <w:r w:rsidR="00253CDA" w:rsidRPr="00634BB1">
        <w:rPr>
          <w:color w:val="000000" w:themeColor="text1"/>
        </w:rPr>
        <w:t>secinājumu</w:t>
      </w:r>
      <w:r w:rsidRPr="00634BB1">
        <w:rPr>
          <w:color w:val="000000" w:themeColor="text1"/>
        </w:rPr>
        <w:t xml:space="preserve"> par pārskatītu ES sarakstu I pielik</w:t>
      </w:r>
      <w:r w:rsidR="0025756E" w:rsidRPr="00634BB1">
        <w:rPr>
          <w:color w:val="000000" w:themeColor="text1"/>
        </w:rPr>
        <w:t>u</w:t>
      </w:r>
      <w:r w:rsidRPr="00634BB1">
        <w:rPr>
          <w:color w:val="000000" w:themeColor="text1"/>
        </w:rPr>
        <w:t>ms</w:t>
      </w:r>
    </w:p>
  </w:footnote>
  <w:footnote w:id="11">
    <w:p w14:paraId="0284F5F1" w14:textId="751D0B37" w:rsidR="00A846FA" w:rsidRDefault="00A846FA">
      <w:pPr>
        <w:pStyle w:val="FootnoteText"/>
      </w:pPr>
      <w:r>
        <w:rPr>
          <w:rStyle w:val="FootnoteReference"/>
        </w:rPr>
        <w:footnoteRef/>
      </w:r>
      <w:r>
        <w:t xml:space="preserve"> Par pasaules valstu un teritoriju nosaukumiem latviešu valodā. Latvijas Vēstnesis 01.10.2018.OP numurs 2018/218.9</w:t>
      </w:r>
    </w:p>
  </w:footnote>
  <w:footnote w:id="12">
    <w:p w14:paraId="42AD3E51" w14:textId="08234698" w:rsidR="008E23C1" w:rsidRPr="00595466" w:rsidRDefault="008E23C1">
      <w:pPr>
        <w:pStyle w:val="FootnoteText"/>
      </w:pPr>
      <w:r w:rsidRPr="00E479AA">
        <w:rPr>
          <w:rStyle w:val="FootnoteReference"/>
        </w:rPr>
        <w:footnoteRef/>
      </w:r>
      <w:r w:rsidRPr="00E479AA">
        <w:t xml:space="preserve"> </w:t>
      </w:r>
      <w:r w:rsidRPr="00595466">
        <w:t>Uzņēmuma ienākuma nodokļa likuma</w:t>
      </w:r>
      <w:r w:rsidR="00803794" w:rsidRPr="00595466">
        <w:t xml:space="preserve"> 2., 5., 6., </w:t>
      </w:r>
      <w:r w:rsidR="00803794" w:rsidRPr="00005DE3">
        <w:t>6</w:t>
      </w:r>
      <w:r w:rsidR="00803794" w:rsidRPr="00005DE3">
        <w:rPr>
          <w:vertAlign w:val="superscript"/>
        </w:rPr>
        <w:t>1</w:t>
      </w:r>
      <w:r w:rsidR="00803794" w:rsidRPr="00E479AA">
        <w:rPr>
          <w:vertAlign w:val="superscript"/>
        </w:rPr>
        <w:t xml:space="preserve"> </w:t>
      </w:r>
      <w:r w:rsidR="00803794" w:rsidRPr="00595466">
        <w:t>, 13.pantā</w:t>
      </w:r>
    </w:p>
  </w:footnote>
  <w:footnote w:id="13">
    <w:p w14:paraId="39F45C10" w14:textId="3FFD43A0" w:rsidR="00E479AA" w:rsidRPr="00E479AA" w:rsidRDefault="00E479AA">
      <w:pPr>
        <w:pStyle w:val="FootnoteText"/>
      </w:pPr>
      <w:r w:rsidRPr="00E479AA">
        <w:rPr>
          <w:rStyle w:val="FootnoteReference"/>
        </w:rPr>
        <w:footnoteRef/>
      </w:r>
      <w:r w:rsidRPr="00E479AA">
        <w:t xml:space="preserve"> </w:t>
      </w:r>
      <w:r w:rsidRPr="00595466">
        <w:t xml:space="preserve">Likuma “Par iedzīvotāju ienākuma nodokli” 17., </w:t>
      </w:r>
      <w:r w:rsidRPr="00005DE3">
        <w:t>17</w:t>
      </w:r>
      <w:r w:rsidRPr="00005DE3">
        <w:rPr>
          <w:vertAlign w:val="superscript"/>
        </w:rPr>
        <w:t>3</w:t>
      </w:r>
      <w:r w:rsidRPr="00005DE3">
        <w:t>.pantā</w:t>
      </w:r>
      <w:r w:rsidR="00545A0B">
        <w:t xml:space="preserve"> </w:t>
      </w:r>
    </w:p>
  </w:footnote>
  <w:footnote w:id="14">
    <w:p w14:paraId="3F9B2AFE" w14:textId="77777777" w:rsidR="00E94210" w:rsidRDefault="00E94210" w:rsidP="00E94210">
      <w:pPr>
        <w:pStyle w:val="FootnoteText"/>
      </w:pPr>
      <w:r>
        <w:rPr>
          <w:rStyle w:val="FootnoteReference"/>
        </w:rPr>
        <w:footnoteRef/>
      </w:r>
      <w:r>
        <w:t xml:space="preserve"> </w:t>
      </w:r>
      <w:r w:rsidRPr="00230197">
        <w:t>Eiropas Savienības struktūrfondu un Kohēzijas fonda 2014.—2020.gada plānošanas perioda vadības likuma 1.panta 2.punkts</w:t>
      </w:r>
    </w:p>
  </w:footnote>
  <w:footnote w:id="15">
    <w:p w14:paraId="7FBFC0D2" w14:textId="6F49D967" w:rsidR="00B02EA4" w:rsidRDefault="00B02EA4">
      <w:pPr>
        <w:pStyle w:val="FootnoteText"/>
      </w:pPr>
      <w:r>
        <w:rPr>
          <w:rStyle w:val="FootnoteReference"/>
        </w:rPr>
        <w:footnoteRef/>
      </w:r>
      <w:r>
        <w:t xml:space="preserve"> </w:t>
      </w:r>
      <w:r w:rsidRPr="00230197">
        <w:t>Eiropas Savienības struktūrfondu un Kohēzijas fonda 2014.—2020.gada plānošanas perioda vadības likuma 23.pants</w:t>
      </w:r>
    </w:p>
  </w:footnote>
  <w:footnote w:id="16">
    <w:p w14:paraId="3F4D45CB" w14:textId="5C74C0BC" w:rsidR="001E0E12" w:rsidRDefault="001E0E12" w:rsidP="005271ED">
      <w:pPr>
        <w:pStyle w:val="FootnoteText"/>
        <w:jc w:val="both"/>
      </w:pPr>
      <w:r>
        <w:rPr>
          <w:rStyle w:val="FootnoteReference"/>
        </w:rPr>
        <w:footnoteRef/>
      </w:r>
      <w:r>
        <w:t xml:space="preserve"> Saskaņā ar spēkā esošo kārtību, ES fondu atlases nolikumos ir ietverts vienotais atlases kritērijs, kas paredz pārbaudīt, vai p</w:t>
      </w:r>
      <w:r w:rsidRPr="00D66F1F">
        <w:t xml:space="preserve">rojekta iesniedzējam </w:t>
      </w:r>
      <w:r>
        <w:t xml:space="preserve">(sadarbības partnerim, ja attiecināms) </w:t>
      </w:r>
      <w:r w:rsidRPr="00D66F1F">
        <w:t xml:space="preserve">Latvijas Republikā nav nodokļu parādu, tajā skaitā valsts sociālās apdrošināšanas obligāto iemaksu parādi, kas kopsummā pārsniedz 150 </w:t>
      </w:r>
      <w:proofErr w:type="spellStart"/>
      <w:r w:rsidRPr="00D66F1F">
        <w:rPr>
          <w:i/>
        </w:rPr>
        <w:t>euro</w:t>
      </w:r>
      <w:proofErr w:type="spellEnd"/>
      <w:r w:rsidRPr="00D66F1F">
        <w:t>.</w:t>
      </w:r>
    </w:p>
  </w:footnote>
  <w:footnote w:id="17">
    <w:p w14:paraId="50FD981B" w14:textId="568A0EAD" w:rsidR="00492977" w:rsidRPr="005B2855" w:rsidRDefault="00492977" w:rsidP="001D29B1">
      <w:pPr>
        <w:pStyle w:val="FootnoteText"/>
        <w:jc w:val="both"/>
      </w:pPr>
      <w:r>
        <w:rPr>
          <w:rStyle w:val="FootnoteReference"/>
        </w:rPr>
        <w:footnoteRef/>
      </w:r>
      <w:r>
        <w:t xml:space="preserve"> </w:t>
      </w:r>
      <w:r w:rsidRPr="003C3A60">
        <w:t xml:space="preserve">Saskaņā ar ES fondu projekta vienošanās/ līgumā, kas pievienots ES fondu atlases nolikumam </w:t>
      </w:r>
      <w:proofErr w:type="spellStart"/>
      <w:r w:rsidRPr="003C3A60">
        <w:t>standartformu</w:t>
      </w:r>
      <w:proofErr w:type="spellEnd"/>
      <w:r w:rsidRPr="003C3A60">
        <w:t>, minētais līgums/ vienošanās nosaka pienākumu ES fonda projekta īstenotājam projekta īstenošanā un pēc</w:t>
      </w:r>
      <w:r w:rsidR="00253CDA">
        <w:t xml:space="preserve"> </w:t>
      </w:r>
      <w:r w:rsidRPr="003C3A60">
        <w:t>uzraudzības periodā nodrošināt visu normatīvajos aktos, vadlīnijās un metodikās, kā arī līgumā/ vienošanās paredzēto nosacījumu izpildi. Tai skaitā minētā kārtība izriet no Ministru kabineta 2015. gada 10.februāra noteikumiem Nr. 77 “</w:t>
      </w:r>
      <w:r w:rsidRPr="005B2855">
        <w:rPr>
          <w:bCs/>
        </w:rPr>
        <w:t>Eiropas Savienības struktūrfondu un Kohēzijas fonda projektu pārbaužu veikšanas kārtība 2014.–2020.gada plānošanas periodā”</w:t>
      </w:r>
    </w:p>
    <w:p w14:paraId="1ADD85B1" w14:textId="2BC12EE2" w:rsidR="00492977" w:rsidRDefault="00492977" w:rsidP="001D29B1">
      <w:pPr>
        <w:pStyle w:val="FootnoteText"/>
        <w:jc w:val="both"/>
      </w:pPr>
      <w:r w:rsidRPr="003C3A60">
        <w:t xml:space="preserve"> </w:t>
      </w:r>
      <w:hyperlink r:id="rId2" w:history="1">
        <w:r w:rsidRPr="003C3A60">
          <w:rPr>
            <w:rStyle w:val="Hyperlink"/>
          </w:rPr>
          <w:t>https://likumi.lv/ta/id/272535-eiropas-savienibas-strukturfondu-un-kohezijas-fonda-projektu-parbauzu-veiksanas-kartiba-2014-2020-gada-planosanas-perioda</w:t>
        </w:r>
      </w:hyperlink>
      <w:r>
        <w:t xml:space="preserve">  </w:t>
      </w:r>
    </w:p>
  </w:footnote>
  <w:footnote w:id="18">
    <w:p w14:paraId="2D4931B9" w14:textId="6A2879EB" w:rsidR="006B4CEF" w:rsidRPr="00B45BFC" w:rsidRDefault="006B4CEF">
      <w:pPr>
        <w:pStyle w:val="FootnoteText"/>
      </w:pPr>
      <w:r>
        <w:rPr>
          <w:rStyle w:val="FootnoteReference"/>
        </w:rPr>
        <w:footnoteRef/>
      </w:r>
      <w:r>
        <w:t xml:space="preserve"> </w:t>
      </w:r>
      <w:r w:rsidR="00865C76">
        <w:t xml:space="preserve">Publisko iepirkumu likuma </w:t>
      </w:r>
      <w:r w:rsidR="00B45BFC" w:rsidRPr="00B45BFC">
        <w:rPr>
          <w:iCs/>
        </w:rPr>
        <w:t>42.panta pirmās daļas 12. un 13.apakšpunkts</w:t>
      </w:r>
    </w:p>
  </w:footnote>
  <w:footnote w:id="19">
    <w:p w14:paraId="5451ECE7" w14:textId="77777777" w:rsidR="004B4737" w:rsidRDefault="004B4737" w:rsidP="004B4737">
      <w:pPr>
        <w:pStyle w:val="FootnoteText"/>
      </w:pPr>
      <w:r>
        <w:rPr>
          <w:rStyle w:val="FootnoteReference"/>
        </w:rPr>
        <w:footnoteRef/>
      </w:r>
      <w:r>
        <w:t xml:space="preserve"> Publisko iepirkumu likuma 42.panta pirmā daļa.</w:t>
      </w:r>
    </w:p>
  </w:footnote>
  <w:footnote w:id="20">
    <w:p w14:paraId="65FA334E" w14:textId="77777777" w:rsidR="004B4737" w:rsidRDefault="004B4737" w:rsidP="004B4737">
      <w:pPr>
        <w:pStyle w:val="FootnoteText"/>
      </w:pPr>
      <w:r>
        <w:rPr>
          <w:rStyle w:val="FootnoteReference"/>
        </w:rPr>
        <w:footnoteRef/>
      </w:r>
      <w:r>
        <w:t xml:space="preserve"> </w:t>
      </w:r>
      <w:r w:rsidRPr="00D772A7">
        <w:t>Eiropas Parlamenta un Padomes Direktīva 2014/24/ES (2014. gada 26. februāris) par publisko iepirkumu</w:t>
      </w:r>
      <w:r>
        <w:t>.</w:t>
      </w:r>
    </w:p>
  </w:footnote>
  <w:footnote w:id="21">
    <w:p w14:paraId="54662A4A" w14:textId="77777777" w:rsidR="00311C85" w:rsidRPr="006B4CEF" w:rsidRDefault="00311C85" w:rsidP="00311C85">
      <w:pPr>
        <w:pStyle w:val="FootnoteText"/>
      </w:pPr>
      <w:r>
        <w:rPr>
          <w:rStyle w:val="FootnoteReference"/>
        </w:rPr>
        <w:footnoteRef/>
      </w:r>
      <w:r>
        <w:t xml:space="preserve"> Publisko iepirkumu likuma </w:t>
      </w:r>
      <w:r w:rsidRPr="006B4CEF">
        <w:t xml:space="preserve">1.panta </w:t>
      </w:r>
      <w:r w:rsidRPr="006B4CEF">
        <w:rPr>
          <w:shd w:val="clear" w:color="auto" w:fill="FFFFFF"/>
        </w:rPr>
        <w:t>3</w:t>
      </w:r>
      <w:r w:rsidRPr="006B4CEF">
        <w:rPr>
          <w:shd w:val="clear" w:color="auto" w:fill="FFFFFF"/>
          <w:vertAlign w:val="superscript"/>
        </w:rPr>
        <w:t xml:space="preserve">1 </w:t>
      </w:r>
      <w:r w:rsidRPr="006B4CEF">
        <w:t>daļa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834831"/>
      <w:docPartObj>
        <w:docPartGallery w:val="Page Numbers (Top of Page)"/>
        <w:docPartUnique/>
      </w:docPartObj>
    </w:sdtPr>
    <w:sdtEndPr>
      <w:rPr>
        <w:noProof/>
      </w:rPr>
    </w:sdtEndPr>
    <w:sdtContent>
      <w:p w14:paraId="632C3A13" w14:textId="0E2432BD" w:rsidR="004A568D" w:rsidRDefault="004A568D">
        <w:pPr>
          <w:pStyle w:val="Header"/>
          <w:jc w:val="center"/>
        </w:pPr>
        <w:r>
          <w:fldChar w:fldCharType="begin"/>
        </w:r>
        <w:r>
          <w:instrText xml:space="preserve"> PAGE   \* MERGEFORMAT </w:instrText>
        </w:r>
        <w:r>
          <w:fldChar w:fldCharType="separate"/>
        </w:r>
        <w:r w:rsidR="00943401">
          <w:rPr>
            <w:noProof/>
          </w:rPr>
          <w:t>9</w:t>
        </w:r>
        <w:r>
          <w:rPr>
            <w:noProof/>
          </w:rPr>
          <w:fldChar w:fldCharType="end"/>
        </w:r>
      </w:p>
    </w:sdtContent>
  </w:sdt>
  <w:p w14:paraId="32BCC784" w14:textId="77777777" w:rsidR="004A568D" w:rsidRDefault="004A5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6050"/>
    <w:multiLevelType w:val="hybridMultilevel"/>
    <w:tmpl w:val="4E684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02AA8"/>
    <w:multiLevelType w:val="hybridMultilevel"/>
    <w:tmpl w:val="5FE8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9169B"/>
    <w:multiLevelType w:val="hybridMultilevel"/>
    <w:tmpl w:val="E2E6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F356E"/>
    <w:multiLevelType w:val="hybridMultilevel"/>
    <w:tmpl w:val="FFA27A6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516F92"/>
    <w:multiLevelType w:val="hybridMultilevel"/>
    <w:tmpl w:val="6812136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70832BB"/>
    <w:multiLevelType w:val="hybridMultilevel"/>
    <w:tmpl w:val="DE88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D4ADE"/>
    <w:multiLevelType w:val="hybridMultilevel"/>
    <w:tmpl w:val="F750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42DE0"/>
    <w:multiLevelType w:val="hybridMultilevel"/>
    <w:tmpl w:val="C00402B0"/>
    <w:lvl w:ilvl="0" w:tplc="9B349742">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71"/>
    <w:rsid w:val="00005DE3"/>
    <w:rsid w:val="000133B1"/>
    <w:rsid w:val="00015AF3"/>
    <w:rsid w:val="0001679B"/>
    <w:rsid w:val="00030B18"/>
    <w:rsid w:val="0003287A"/>
    <w:rsid w:val="00035DC4"/>
    <w:rsid w:val="000413C6"/>
    <w:rsid w:val="0004384A"/>
    <w:rsid w:val="00052933"/>
    <w:rsid w:val="00071B2F"/>
    <w:rsid w:val="00093EB5"/>
    <w:rsid w:val="000A0013"/>
    <w:rsid w:val="000A5747"/>
    <w:rsid w:val="000A58A7"/>
    <w:rsid w:val="000B27B9"/>
    <w:rsid w:val="000B656D"/>
    <w:rsid w:val="000B7115"/>
    <w:rsid w:val="000C329F"/>
    <w:rsid w:val="000C534A"/>
    <w:rsid w:val="000E3D55"/>
    <w:rsid w:val="000E3E8F"/>
    <w:rsid w:val="000E6F8B"/>
    <w:rsid w:val="000F1731"/>
    <w:rsid w:val="001108E5"/>
    <w:rsid w:val="00121667"/>
    <w:rsid w:val="00123ABE"/>
    <w:rsid w:val="001324AB"/>
    <w:rsid w:val="0015250B"/>
    <w:rsid w:val="0015503A"/>
    <w:rsid w:val="00162EBC"/>
    <w:rsid w:val="001658FB"/>
    <w:rsid w:val="00166FD3"/>
    <w:rsid w:val="0017374B"/>
    <w:rsid w:val="00182C6B"/>
    <w:rsid w:val="00187A73"/>
    <w:rsid w:val="001A5CB1"/>
    <w:rsid w:val="001B6FE9"/>
    <w:rsid w:val="001C519A"/>
    <w:rsid w:val="001C56E9"/>
    <w:rsid w:val="001C57EE"/>
    <w:rsid w:val="001D0A53"/>
    <w:rsid w:val="001D29B1"/>
    <w:rsid w:val="001E0A69"/>
    <w:rsid w:val="001E0E12"/>
    <w:rsid w:val="001F596E"/>
    <w:rsid w:val="00201B21"/>
    <w:rsid w:val="002100CB"/>
    <w:rsid w:val="002332ED"/>
    <w:rsid w:val="002407D1"/>
    <w:rsid w:val="002430C5"/>
    <w:rsid w:val="00252D19"/>
    <w:rsid w:val="00253CDA"/>
    <w:rsid w:val="0025756E"/>
    <w:rsid w:val="00262B6A"/>
    <w:rsid w:val="00296BD9"/>
    <w:rsid w:val="00297459"/>
    <w:rsid w:val="002A086E"/>
    <w:rsid w:val="002A1C70"/>
    <w:rsid w:val="002B62EA"/>
    <w:rsid w:val="002C08F5"/>
    <w:rsid w:val="002C516B"/>
    <w:rsid w:val="002D0C6B"/>
    <w:rsid w:val="002D4CCF"/>
    <w:rsid w:val="002D6589"/>
    <w:rsid w:val="002D76CF"/>
    <w:rsid w:val="00304884"/>
    <w:rsid w:val="003057FE"/>
    <w:rsid w:val="003108F2"/>
    <w:rsid w:val="00311C85"/>
    <w:rsid w:val="00315031"/>
    <w:rsid w:val="00320112"/>
    <w:rsid w:val="003259AB"/>
    <w:rsid w:val="003326EF"/>
    <w:rsid w:val="00337B6E"/>
    <w:rsid w:val="00346CD4"/>
    <w:rsid w:val="00357394"/>
    <w:rsid w:val="0037138C"/>
    <w:rsid w:val="003807BB"/>
    <w:rsid w:val="0038350A"/>
    <w:rsid w:val="003836DD"/>
    <w:rsid w:val="00384454"/>
    <w:rsid w:val="00386274"/>
    <w:rsid w:val="003869E5"/>
    <w:rsid w:val="00393A87"/>
    <w:rsid w:val="003B0D61"/>
    <w:rsid w:val="003B37EC"/>
    <w:rsid w:val="003B5F2C"/>
    <w:rsid w:val="003C4420"/>
    <w:rsid w:val="003D4100"/>
    <w:rsid w:val="003D661C"/>
    <w:rsid w:val="003E0284"/>
    <w:rsid w:val="003F21BF"/>
    <w:rsid w:val="003F3726"/>
    <w:rsid w:val="003F4917"/>
    <w:rsid w:val="00404271"/>
    <w:rsid w:val="00407A7A"/>
    <w:rsid w:val="00414CEC"/>
    <w:rsid w:val="004153D9"/>
    <w:rsid w:val="00416B26"/>
    <w:rsid w:val="00417C74"/>
    <w:rsid w:val="00422786"/>
    <w:rsid w:val="0043136C"/>
    <w:rsid w:val="004321D8"/>
    <w:rsid w:val="004329CB"/>
    <w:rsid w:val="00435343"/>
    <w:rsid w:val="00441A83"/>
    <w:rsid w:val="00454C55"/>
    <w:rsid w:val="00466A97"/>
    <w:rsid w:val="004755A8"/>
    <w:rsid w:val="0047578F"/>
    <w:rsid w:val="00485E61"/>
    <w:rsid w:val="00492977"/>
    <w:rsid w:val="004A1CF6"/>
    <w:rsid w:val="004A2527"/>
    <w:rsid w:val="004A3A7B"/>
    <w:rsid w:val="004A3BF6"/>
    <w:rsid w:val="004A568D"/>
    <w:rsid w:val="004B0507"/>
    <w:rsid w:val="004B4737"/>
    <w:rsid w:val="004C5F81"/>
    <w:rsid w:val="004D40BA"/>
    <w:rsid w:val="004F2291"/>
    <w:rsid w:val="004F2483"/>
    <w:rsid w:val="00514B74"/>
    <w:rsid w:val="0051581B"/>
    <w:rsid w:val="005271ED"/>
    <w:rsid w:val="00527364"/>
    <w:rsid w:val="00530DED"/>
    <w:rsid w:val="005416A1"/>
    <w:rsid w:val="00545A0B"/>
    <w:rsid w:val="00547EBB"/>
    <w:rsid w:val="00552B85"/>
    <w:rsid w:val="00573F2F"/>
    <w:rsid w:val="00576FF7"/>
    <w:rsid w:val="00580373"/>
    <w:rsid w:val="00585E55"/>
    <w:rsid w:val="0059161C"/>
    <w:rsid w:val="00595466"/>
    <w:rsid w:val="00595A38"/>
    <w:rsid w:val="005A7963"/>
    <w:rsid w:val="005B4DFE"/>
    <w:rsid w:val="005D4609"/>
    <w:rsid w:val="005E4EE9"/>
    <w:rsid w:val="005F027A"/>
    <w:rsid w:val="005F1CA0"/>
    <w:rsid w:val="00612C71"/>
    <w:rsid w:val="00616C42"/>
    <w:rsid w:val="00624A59"/>
    <w:rsid w:val="00626109"/>
    <w:rsid w:val="00634BB1"/>
    <w:rsid w:val="00635437"/>
    <w:rsid w:val="00644602"/>
    <w:rsid w:val="006514DD"/>
    <w:rsid w:val="006625D2"/>
    <w:rsid w:val="0066270E"/>
    <w:rsid w:val="00664959"/>
    <w:rsid w:val="0069266B"/>
    <w:rsid w:val="006A601F"/>
    <w:rsid w:val="006B3912"/>
    <w:rsid w:val="006B4039"/>
    <w:rsid w:val="006B4CEF"/>
    <w:rsid w:val="006D4431"/>
    <w:rsid w:val="006D5E0B"/>
    <w:rsid w:val="006E4F06"/>
    <w:rsid w:val="006F1860"/>
    <w:rsid w:val="007007CD"/>
    <w:rsid w:val="00702658"/>
    <w:rsid w:val="0070399A"/>
    <w:rsid w:val="0070432D"/>
    <w:rsid w:val="007044CD"/>
    <w:rsid w:val="00711CB4"/>
    <w:rsid w:val="00715669"/>
    <w:rsid w:val="00721065"/>
    <w:rsid w:val="00746C0B"/>
    <w:rsid w:val="00750DC0"/>
    <w:rsid w:val="0075302D"/>
    <w:rsid w:val="007675BD"/>
    <w:rsid w:val="0077732C"/>
    <w:rsid w:val="007871B9"/>
    <w:rsid w:val="007928CC"/>
    <w:rsid w:val="007B1528"/>
    <w:rsid w:val="007B2E9F"/>
    <w:rsid w:val="007C1806"/>
    <w:rsid w:val="007C4BF3"/>
    <w:rsid w:val="007D4381"/>
    <w:rsid w:val="007D534A"/>
    <w:rsid w:val="007E5C4C"/>
    <w:rsid w:val="007E607E"/>
    <w:rsid w:val="007F6F66"/>
    <w:rsid w:val="00800F9B"/>
    <w:rsid w:val="00803794"/>
    <w:rsid w:val="00807444"/>
    <w:rsid w:val="00813F42"/>
    <w:rsid w:val="00824C9B"/>
    <w:rsid w:val="008356E4"/>
    <w:rsid w:val="00840EAC"/>
    <w:rsid w:val="00845426"/>
    <w:rsid w:val="00846262"/>
    <w:rsid w:val="0084768F"/>
    <w:rsid w:val="008538C7"/>
    <w:rsid w:val="00857222"/>
    <w:rsid w:val="008600A9"/>
    <w:rsid w:val="00865C76"/>
    <w:rsid w:val="00866271"/>
    <w:rsid w:val="008672C1"/>
    <w:rsid w:val="00882B49"/>
    <w:rsid w:val="00886A02"/>
    <w:rsid w:val="008875C6"/>
    <w:rsid w:val="00895122"/>
    <w:rsid w:val="008A7CA0"/>
    <w:rsid w:val="008B4A3E"/>
    <w:rsid w:val="008B7C19"/>
    <w:rsid w:val="008C3892"/>
    <w:rsid w:val="008D4784"/>
    <w:rsid w:val="008D66B1"/>
    <w:rsid w:val="008E0B2A"/>
    <w:rsid w:val="008E23C1"/>
    <w:rsid w:val="008E40E3"/>
    <w:rsid w:val="008F2C53"/>
    <w:rsid w:val="008F5C88"/>
    <w:rsid w:val="00911473"/>
    <w:rsid w:val="009118A7"/>
    <w:rsid w:val="009129EE"/>
    <w:rsid w:val="00913C4D"/>
    <w:rsid w:val="00915B6F"/>
    <w:rsid w:val="00916DD9"/>
    <w:rsid w:val="00923D6A"/>
    <w:rsid w:val="00943401"/>
    <w:rsid w:val="009541AC"/>
    <w:rsid w:val="009554F1"/>
    <w:rsid w:val="00955EF3"/>
    <w:rsid w:val="00957561"/>
    <w:rsid w:val="0096408B"/>
    <w:rsid w:val="00965A37"/>
    <w:rsid w:val="0097026A"/>
    <w:rsid w:val="009724E4"/>
    <w:rsid w:val="009834A3"/>
    <w:rsid w:val="009972F3"/>
    <w:rsid w:val="009A14DD"/>
    <w:rsid w:val="009A6F08"/>
    <w:rsid w:val="009B0E97"/>
    <w:rsid w:val="009B11D4"/>
    <w:rsid w:val="009B16F2"/>
    <w:rsid w:val="009B7D93"/>
    <w:rsid w:val="009C437A"/>
    <w:rsid w:val="009E776C"/>
    <w:rsid w:val="009F19B7"/>
    <w:rsid w:val="009F7F83"/>
    <w:rsid w:val="00A139E6"/>
    <w:rsid w:val="00A22AD6"/>
    <w:rsid w:val="00A23A56"/>
    <w:rsid w:val="00A36946"/>
    <w:rsid w:val="00A46471"/>
    <w:rsid w:val="00A60C63"/>
    <w:rsid w:val="00A61CA1"/>
    <w:rsid w:val="00A62DA8"/>
    <w:rsid w:val="00A66024"/>
    <w:rsid w:val="00A704B7"/>
    <w:rsid w:val="00A7143F"/>
    <w:rsid w:val="00A846FA"/>
    <w:rsid w:val="00A87C42"/>
    <w:rsid w:val="00A9564D"/>
    <w:rsid w:val="00AA1D8C"/>
    <w:rsid w:val="00AA7754"/>
    <w:rsid w:val="00AC4A39"/>
    <w:rsid w:val="00AD0A97"/>
    <w:rsid w:val="00AD0E9B"/>
    <w:rsid w:val="00AF5EFF"/>
    <w:rsid w:val="00B02EA4"/>
    <w:rsid w:val="00B04A44"/>
    <w:rsid w:val="00B120EA"/>
    <w:rsid w:val="00B16211"/>
    <w:rsid w:val="00B16885"/>
    <w:rsid w:val="00B31F54"/>
    <w:rsid w:val="00B4396B"/>
    <w:rsid w:val="00B44817"/>
    <w:rsid w:val="00B456B8"/>
    <w:rsid w:val="00B45BFC"/>
    <w:rsid w:val="00B46C60"/>
    <w:rsid w:val="00B53C70"/>
    <w:rsid w:val="00B57611"/>
    <w:rsid w:val="00B61B6F"/>
    <w:rsid w:val="00B61BB4"/>
    <w:rsid w:val="00B65BB5"/>
    <w:rsid w:val="00B71730"/>
    <w:rsid w:val="00B72B50"/>
    <w:rsid w:val="00B75876"/>
    <w:rsid w:val="00B84612"/>
    <w:rsid w:val="00B861DA"/>
    <w:rsid w:val="00B92C03"/>
    <w:rsid w:val="00BA3A00"/>
    <w:rsid w:val="00BA604E"/>
    <w:rsid w:val="00BB2754"/>
    <w:rsid w:val="00BE6471"/>
    <w:rsid w:val="00BE7DD9"/>
    <w:rsid w:val="00BF4BEA"/>
    <w:rsid w:val="00BF4E3C"/>
    <w:rsid w:val="00C2640F"/>
    <w:rsid w:val="00C36D9F"/>
    <w:rsid w:val="00C42A46"/>
    <w:rsid w:val="00C42D94"/>
    <w:rsid w:val="00C50FFD"/>
    <w:rsid w:val="00C51D98"/>
    <w:rsid w:val="00C578EE"/>
    <w:rsid w:val="00C70598"/>
    <w:rsid w:val="00C92ACF"/>
    <w:rsid w:val="00C939E3"/>
    <w:rsid w:val="00CA69E1"/>
    <w:rsid w:val="00CC0F41"/>
    <w:rsid w:val="00CC1DD0"/>
    <w:rsid w:val="00CE5412"/>
    <w:rsid w:val="00CE74DB"/>
    <w:rsid w:val="00CF1B3B"/>
    <w:rsid w:val="00CF786F"/>
    <w:rsid w:val="00D076F7"/>
    <w:rsid w:val="00D10171"/>
    <w:rsid w:val="00D164C4"/>
    <w:rsid w:val="00D16A35"/>
    <w:rsid w:val="00D25F53"/>
    <w:rsid w:val="00D36DAD"/>
    <w:rsid w:val="00D377E5"/>
    <w:rsid w:val="00D40044"/>
    <w:rsid w:val="00D479E8"/>
    <w:rsid w:val="00D52309"/>
    <w:rsid w:val="00D531EF"/>
    <w:rsid w:val="00D56C4E"/>
    <w:rsid w:val="00D61ED9"/>
    <w:rsid w:val="00D66983"/>
    <w:rsid w:val="00DA154B"/>
    <w:rsid w:val="00DB1829"/>
    <w:rsid w:val="00DB4589"/>
    <w:rsid w:val="00DD4AF7"/>
    <w:rsid w:val="00DE4721"/>
    <w:rsid w:val="00DE4BFD"/>
    <w:rsid w:val="00DF3810"/>
    <w:rsid w:val="00DF50C1"/>
    <w:rsid w:val="00E00D8C"/>
    <w:rsid w:val="00E170A1"/>
    <w:rsid w:val="00E30143"/>
    <w:rsid w:val="00E30556"/>
    <w:rsid w:val="00E41542"/>
    <w:rsid w:val="00E479AA"/>
    <w:rsid w:val="00E52A3E"/>
    <w:rsid w:val="00E75402"/>
    <w:rsid w:val="00E7794C"/>
    <w:rsid w:val="00E874BB"/>
    <w:rsid w:val="00E94210"/>
    <w:rsid w:val="00EA0C39"/>
    <w:rsid w:val="00EA3A76"/>
    <w:rsid w:val="00EB233F"/>
    <w:rsid w:val="00EB6FE0"/>
    <w:rsid w:val="00EC5A61"/>
    <w:rsid w:val="00EE5BA9"/>
    <w:rsid w:val="00EE69A4"/>
    <w:rsid w:val="00F32F65"/>
    <w:rsid w:val="00F33008"/>
    <w:rsid w:val="00F33A34"/>
    <w:rsid w:val="00F35480"/>
    <w:rsid w:val="00F47663"/>
    <w:rsid w:val="00F643D0"/>
    <w:rsid w:val="00F6521C"/>
    <w:rsid w:val="00F72D33"/>
    <w:rsid w:val="00F74414"/>
    <w:rsid w:val="00F762AC"/>
    <w:rsid w:val="00F87D2F"/>
    <w:rsid w:val="00F927FC"/>
    <w:rsid w:val="00F94597"/>
    <w:rsid w:val="00F96650"/>
    <w:rsid w:val="00FA1391"/>
    <w:rsid w:val="00FA465E"/>
    <w:rsid w:val="00FA4FCA"/>
    <w:rsid w:val="00FA6BED"/>
    <w:rsid w:val="00FC5429"/>
    <w:rsid w:val="00FE69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8430"/>
  <w15:chartTrackingRefBased/>
  <w15:docId w15:val="{BB868D25-B5D2-489E-AFAB-8CFECA9B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1D4"/>
    <w:pPr>
      <w:autoSpaceDE w:val="0"/>
      <w:autoSpaceDN w:val="0"/>
      <w:adjustRightInd w:val="0"/>
      <w:spacing w:after="0" w:line="240" w:lineRule="auto"/>
    </w:pPr>
    <w:rPr>
      <w:color w:val="000000"/>
    </w:rPr>
  </w:style>
  <w:style w:type="paragraph" w:styleId="FootnoteText">
    <w:name w:val="footnote text"/>
    <w:basedOn w:val="Normal"/>
    <w:link w:val="FootnoteTextChar"/>
    <w:uiPriority w:val="99"/>
    <w:semiHidden/>
    <w:unhideWhenUsed/>
    <w:rsid w:val="009B1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1D4"/>
    <w:rPr>
      <w:sz w:val="20"/>
      <w:szCs w:val="20"/>
    </w:rPr>
  </w:style>
  <w:style w:type="character" w:styleId="FootnoteReference">
    <w:name w:val="footnote reference"/>
    <w:basedOn w:val="DefaultParagraphFont"/>
    <w:uiPriority w:val="99"/>
    <w:semiHidden/>
    <w:unhideWhenUsed/>
    <w:rsid w:val="009B11D4"/>
    <w:rPr>
      <w:vertAlign w:val="superscript"/>
    </w:rPr>
  </w:style>
  <w:style w:type="paragraph" w:styleId="Header">
    <w:name w:val="header"/>
    <w:basedOn w:val="Normal"/>
    <w:link w:val="HeaderChar"/>
    <w:uiPriority w:val="99"/>
    <w:unhideWhenUsed/>
    <w:rsid w:val="004A56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568D"/>
  </w:style>
  <w:style w:type="paragraph" w:styleId="Footer">
    <w:name w:val="footer"/>
    <w:basedOn w:val="Normal"/>
    <w:link w:val="FooterChar"/>
    <w:uiPriority w:val="99"/>
    <w:unhideWhenUsed/>
    <w:rsid w:val="004A56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568D"/>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34"/>
    <w:qFormat/>
    <w:rsid w:val="00C42D94"/>
    <w:pPr>
      <w:spacing w:after="0" w:line="240" w:lineRule="auto"/>
      <w:ind w:left="720"/>
    </w:pPr>
    <w:rPr>
      <w:lang w:eastAsia="lv-LV"/>
    </w:rPr>
  </w:style>
  <w:style w:type="paragraph" w:customStyle="1" w:styleId="Body">
    <w:name w:val="Body"/>
    <w:basedOn w:val="Normal"/>
    <w:rsid w:val="00C42D94"/>
    <w:pPr>
      <w:spacing w:after="0" w:line="240" w:lineRule="auto"/>
    </w:pPr>
    <w:rPr>
      <w:rFonts w:ascii="Helvetica Neue" w:hAnsi="Helvetica Neue"/>
      <w:color w:val="000000"/>
      <w:sz w:val="22"/>
      <w:szCs w:val="22"/>
      <w:lang w:eastAsia="en-GB"/>
    </w:rPr>
  </w:style>
  <w:style w:type="character" w:styleId="Hyperlink">
    <w:name w:val="Hyperlink"/>
    <w:basedOn w:val="DefaultParagraphFont"/>
    <w:uiPriority w:val="99"/>
    <w:unhideWhenUsed/>
    <w:rsid w:val="006B4CEF"/>
    <w:rPr>
      <w:color w:val="0000FF"/>
      <w:u w:val="single"/>
    </w:rPr>
  </w:style>
  <w:style w:type="paragraph" w:styleId="BalloonText">
    <w:name w:val="Balloon Text"/>
    <w:basedOn w:val="Normal"/>
    <w:link w:val="BalloonTextChar"/>
    <w:uiPriority w:val="99"/>
    <w:semiHidden/>
    <w:unhideWhenUsed/>
    <w:rsid w:val="00B75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76"/>
    <w:rPr>
      <w:rFonts w:ascii="Segoe UI" w:hAnsi="Segoe UI" w:cs="Segoe UI"/>
      <w:sz w:val="18"/>
      <w:szCs w:val="18"/>
    </w:rPr>
  </w:style>
  <w:style w:type="character" w:styleId="CommentReference">
    <w:name w:val="annotation reference"/>
    <w:basedOn w:val="DefaultParagraphFont"/>
    <w:uiPriority w:val="99"/>
    <w:semiHidden/>
    <w:unhideWhenUsed/>
    <w:rsid w:val="0069266B"/>
    <w:rPr>
      <w:sz w:val="16"/>
      <w:szCs w:val="16"/>
    </w:rPr>
  </w:style>
  <w:style w:type="paragraph" w:styleId="CommentText">
    <w:name w:val="annotation text"/>
    <w:basedOn w:val="Normal"/>
    <w:link w:val="CommentTextChar"/>
    <w:uiPriority w:val="99"/>
    <w:semiHidden/>
    <w:unhideWhenUsed/>
    <w:rsid w:val="0069266B"/>
    <w:pPr>
      <w:spacing w:line="240" w:lineRule="auto"/>
    </w:pPr>
    <w:rPr>
      <w:sz w:val="20"/>
      <w:szCs w:val="20"/>
    </w:rPr>
  </w:style>
  <w:style w:type="character" w:customStyle="1" w:styleId="CommentTextChar">
    <w:name w:val="Comment Text Char"/>
    <w:basedOn w:val="DefaultParagraphFont"/>
    <w:link w:val="CommentText"/>
    <w:uiPriority w:val="99"/>
    <w:semiHidden/>
    <w:rsid w:val="0069266B"/>
    <w:rPr>
      <w:sz w:val="20"/>
      <w:szCs w:val="20"/>
    </w:rPr>
  </w:style>
  <w:style w:type="paragraph" w:styleId="CommentSubject">
    <w:name w:val="annotation subject"/>
    <w:basedOn w:val="CommentText"/>
    <w:next w:val="CommentText"/>
    <w:link w:val="CommentSubjectChar"/>
    <w:uiPriority w:val="99"/>
    <w:semiHidden/>
    <w:unhideWhenUsed/>
    <w:rsid w:val="0069266B"/>
    <w:rPr>
      <w:b/>
      <w:bCs/>
    </w:rPr>
  </w:style>
  <w:style w:type="character" w:customStyle="1" w:styleId="CommentSubjectChar">
    <w:name w:val="Comment Subject Char"/>
    <w:basedOn w:val="CommentTextChar"/>
    <w:link w:val="CommentSubject"/>
    <w:uiPriority w:val="99"/>
    <w:semiHidden/>
    <w:rsid w:val="0069266B"/>
    <w:rPr>
      <w:b/>
      <w:bCs/>
      <w:sz w:val="20"/>
      <w:szCs w:val="20"/>
    </w:rPr>
  </w:style>
  <w:style w:type="paragraph" w:styleId="Revision">
    <w:name w:val="Revision"/>
    <w:hidden/>
    <w:uiPriority w:val="99"/>
    <w:semiHidden/>
    <w:rsid w:val="0025756E"/>
    <w:pPr>
      <w:spacing w:after="0" w:line="240" w:lineRule="auto"/>
    </w:p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link w:val="ListParagraph"/>
    <w:uiPriority w:val="34"/>
    <w:qFormat/>
    <w:locked/>
    <w:rsid w:val="002D0C6B"/>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61060">
      <w:bodyDiv w:val="1"/>
      <w:marLeft w:val="0"/>
      <w:marRight w:val="0"/>
      <w:marTop w:val="0"/>
      <w:marBottom w:val="0"/>
      <w:divBdr>
        <w:top w:val="none" w:sz="0" w:space="0" w:color="auto"/>
        <w:left w:val="none" w:sz="0" w:space="0" w:color="auto"/>
        <w:bottom w:val="none" w:sz="0" w:space="0" w:color="auto"/>
        <w:right w:val="none" w:sz="0" w:space="0" w:color="auto"/>
      </w:divBdr>
    </w:div>
    <w:div w:id="567224657">
      <w:bodyDiv w:val="1"/>
      <w:marLeft w:val="0"/>
      <w:marRight w:val="0"/>
      <w:marTop w:val="0"/>
      <w:marBottom w:val="0"/>
      <w:divBdr>
        <w:top w:val="none" w:sz="0" w:space="0" w:color="auto"/>
        <w:left w:val="none" w:sz="0" w:space="0" w:color="auto"/>
        <w:bottom w:val="none" w:sz="0" w:space="0" w:color="auto"/>
        <w:right w:val="none" w:sz="0" w:space="0" w:color="auto"/>
      </w:divBdr>
    </w:div>
    <w:div w:id="658578971">
      <w:bodyDiv w:val="1"/>
      <w:marLeft w:val="0"/>
      <w:marRight w:val="0"/>
      <w:marTop w:val="0"/>
      <w:marBottom w:val="0"/>
      <w:divBdr>
        <w:top w:val="none" w:sz="0" w:space="0" w:color="auto"/>
        <w:left w:val="none" w:sz="0" w:space="0" w:color="auto"/>
        <w:bottom w:val="none" w:sz="0" w:space="0" w:color="auto"/>
        <w:right w:val="none" w:sz="0" w:space="0" w:color="auto"/>
      </w:divBdr>
    </w:div>
    <w:div w:id="828256256">
      <w:bodyDiv w:val="1"/>
      <w:marLeft w:val="0"/>
      <w:marRight w:val="0"/>
      <w:marTop w:val="0"/>
      <w:marBottom w:val="0"/>
      <w:divBdr>
        <w:top w:val="none" w:sz="0" w:space="0" w:color="auto"/>
        <w:left w:val="none" w:sz="0" w:space="0" w:color="auto"/>
        <w:bottom w:val="none" w:sz="0" w:space="0" w:color="auto"/>
        <w:right w:val="none" w:sz="0" w:space="0" w:color="auto"/>
      </w:divBdr>
    </w:div>
    <w:div w:id="1018584224">
      <w:bodyDiv w:val="1"/>
      <w:marLeft w:val="0"/>
      <w:marRight w:val="0"/>
      <w:marTop w:val="0"/>
      <w:marBottom w:val="0"/>
      <w:divBdr>
        <w:top w:val="none" w:sz="0" w:space="0" w:color="auto"/>
        <w:left w:val="none" w:sz="0" w:space="0" w:color="auto"/>
        <w:bottom w:val="none" w:sz="0" w:space="0" w:color="auto"/>
        <w:right w:val="none" w:sz="0" w:space="0" w:color="auto"/>
      </w:divBdr>
    </w:div>
    <w:div w:id="14635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2700-uznemumu-ienakuma-nodokla-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a.Cane@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ra.Bormeistere@fm.gov.lv" TargetMode="Externa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72535-eiropas-savienibas-strukturfondu-un-kohezijas-fonda-projektu-parbauzu-veiksanas-kartiba-2014-2020-gada-planosanas-perioda" TargetMode="External"/><Relationship Id="rId1" Type="http://schemas.openxmlformats.org/officeDocument/2006/relationships/hyperlink" Target="https://www.consilium.europa.eu/register/en/content/out?&amp;typ=ENTRY&amp;i=ADV&amp;DOC_ID=ST-15429-2017-I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62E6-BB97-4C34-9941-5D2E932B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9650</Words>
  <Characters>5502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Informatīvais ziņojums par Eiropas Komisijas ieteikumu</vt:lpstr>
    </vt:vector>
  </TitlesOfParts>
  <Company>Finanšu Ministrija</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ieteikumu</dc:title>
  <dc:subject/>
  <dc:creator>Sandra Bormeistere</dc:creator>
  <cp:keywords/>
  <dc:description>Bormeistere, 67095489
Sandra.Bormeistere@fm.gov.lv</dc:description>
  <cp:lastModifiedBy>Sandra Bormeistere</cp:lastModifiedBy>
  <cp:revision>14</cp:revision>
  <cp:lastPrinted>2020-11-27T12:01:00Z</cp:lastPrinted>
  <dcterms:created xsi:type="dcterms:W3CDTF">2020-12-08T11:48:00Z</dcterms:created>
  <dcterms:modified xsi:type="dcterms:W3CDTF">2020-12-15T13:23:00Z</dcterms:modified>
</cp:coreProperties>
</file>