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4DA5" w14:textId="3399ACC0" w:rsidR="007363B0" w:rsidRPr="00B25A98" w:rsidRDefault="0020557E" w:rsidP="00DA5981">
      <w:pPr>
        <w:pStyle w:val="H1"/>
        <w:spacing w:before="120"/>
        <w:rPr>
          <w:sz w:val="24"/>
          <w:szCs w:val="24"/>
        </w:rPr>
      </w:pPr>
      <w:r w:rsidRPr="00B25A98">
        <w:rPr>
          <w:sz w:val="24"/>
          <w:szCs w:val="24"/>
        </w:rPr>
        <w:t>Informatīvais ziņojums “</w:t>
      </w:r>
      <w:r w:rsidR="00607CFD" w:rsidRPr="00B25A98">
        <w:rPr>
          <w:sz w:val="24"/>
          <w:szCs w:val="24"/>
        </w:rPr>
        <w:t>Par</w:t>
      </w:r>
      <w:r w:rsidR="00EB3E3E" w:rsidRPr="00B25A98">
        <w:rPr>
          <w:sz w:val="24"/>
          <w:szCs w:val="24"/>
          <w:lang w:eastAsia="lv-LV"/>
        </w:rPr>
        <w:t xml:space="preserve"> </w:t>
      </w:r>
      <w:r w:rsidR="00AA6017" w:rsidRPr="00B25A98">
        <w:rPr>
          <w:sz w:val="24"/>
          <w:szCs w:val="24"/>
        </w:rPr>
        <w:t xml:space="preserve">pieejamiem finanšu resursiem valsts budžeta programmā “Līdzekļi neparedzētiem gadījumiem” </w:t>
      </w:r>
      <w:r w:rsidR="00E14941" w:rsidRPr="00B25A98">
        <w:rPr>
          <w:sz w:val="24"/>
          <w:szCs w:val="24"/>
        </w:rPr>
        <w:t xml:space="preserve">Covid-19 ierobežošanas vienreizēju pasākumu finansēšanai 2021.gadā </w:t>
      </w:r>
      <w:r w:rsidR="00AA6017" w:rsidRPr="00B25A98">
        <w:rPr>
          <w:sz w:val="24"/>
          <w:szCs w:val="24"/>
        </w:rPr>
        <w:t>un to izlietojumu</w:t>
      </w:r>
      <w:r w:rsidR="00A442BA" w:rsidRPr="00B25A98">
        <w:rPr>
          <w:sz w:val="24"/>
          <w:szCs w:val="24"/>
        </w:rPr>
        <w:t xml:space="preserve">, valsts parāda </w:t>
      </w:r>
      <w:r w:rsidR="007A2802" w:rsidRPr="00B25A98">
        <w:rPr>
          <w:sz w:val="24"/>
          <w:szCs w:val="24"/>
        </w:rPr>
        <w:t xml:space="preserve">un plānotā </w:t>
      </w:r>
      <w:r w:rsidR="00AC5D62">
        <w:rPr>
          <w:sz w:val="24"/>
          <w:szCs w:val="24"/>
        </w:rPr>
        <w:t>deficīta līmeni”</w:t>
      </w:r>
    </w:p>
    <w:p w14:paraId="170BAC41" w14:textId="77777777" w:rsidR="00DA5981" w:rsidRPr="00B25A98" w:rsidRDefault="00DA5981" w:rsidP="00DA5981">
      <w:pPr>
        <w:pStyle w:val="naisf"/>
        <w:spacing w:before="120" w:beforeAutospacing="0" w:after="120" w:afterAutospacing="0"/>
        <w:ind w:firstLine="720"/>
        <w:jc w:val="both"/>
        <w:rPr>
          <w:lang w:val="lv-LV"/>
        </w:rPr>
      </w:pPr>
    </w:p>
    <w:p w14:paraId="47C68F79" w14:textId="378AC7CB" w:rsidR="00AA6017" w:rsidRPr="00B25A98" w:rsidRDefault="00333906" w:rsidP="00E47DF1">
      <w:pPr>
        <w:ind w:firstLine="720"/>
        <w:rPr>
          <w:sz w:val="24"/>
          <w:szCs w:val="24"/>
        </w:rPr>
      </w:pPr>
      <w:r w:rsidRPr="00B25A98">
        <w:rPr>
          <w:sz w:val="24"/>
          <w:szCs w:val="24"/>
        </w:rPr>
        <w:t>Saskaņā a</w:t>
      </w:r>
      <w:r w:rsidR="000E446A" w:rsidRPr="00B25A98">
        <w:rPr>
          <w:sz w:val="24"/>
          <w:szCs w:val="24"/>
        </w:rPr>
        <w:t xml:space="preserve">r Ministru </w:t>
      </w:r>
      <w:r w:rsidR="009A0B96" w:rsidRPr="00B25A98">
        <w:rPr>
          <w:sz w:val="24"/>
          <w:szCs w:val="24"/>
        </w:rPr>
        <w:t>kabineta</w:t>
      </w:r>
      <w:r w:rsidR="00906655" w:rsidRPr="00B25A98">
        <w:rPr>
          <w:sz w:val="24"/>
          <w:szCs w:val="24"/>
        </w:rPr>
        <w:t xml:space="preserve"> </w:t>
      </w:r>
      <w:r w:rsidRPr="00B25A98">
        <w:rPr>
          <w:sz w:val="24"/>
          <w:szCs w:val="24"/>
        </w:rPr>
        <w:t>202</w:t>
      </w:r>
      <w:r w:rsidR="00D13B37" w:rsidRPr="00B25A98">
        <w:rPr>
          <w:sz w:val="24"/>
          <w:szCs w:val="24"/>
        </w:rPr>
        <w:t>1</w:t>
      </w:r>
      <w:r w:rsidRPr="00B25A98">
        <w:rPr>
          <w:sz w:val="24"/>
          <w:szCs w:val="24"/>
        </w:rPr>
        <w:t xml:space="preserve">.gada </w:t>
      </w:r>
      <w:r w:rsidR="00D13B37" w:rsidRPr="00B25A98">
        <w:rPr>
          <w:sz w:val="24"/>
          <w:szCs w:val="24"/>
        </w:rPr>
        <w:t>18</w:t>
      </w:r>
      <w:r w:rsidRPr="00B25A98">
        <w:rPr>
          <w:sz w:val="24"/>
          <w:szCs w:val="24"/>
        </w:rPr>
        <w:t>.</w:t>
      </w:r>
      <w:r w:rsidR="00D13B37" w:rsidRPr="00B25A98">
        <w:rPr>
          <w:sz w:val="24"/>
          <w:szCs w:val="24"/>
        </w:rPr>
        <w:t>februāra</w:t>
      </w:r>
      <w:r w:rsidRPr="00B25A98">
        <w:rPr>
          <w:sz w:val="24"/>
          <w:szCs w:val="24"/>
        </w:rPr>
        <w:t xml:space="preserve"> </w:t>
      </w:r>
      <w:r w:rsidR="009A0B96" w:rsidRPr="00B25A98">
        <w:rPr>
          <w:sz w:val="24"/>
          <w:szCs w:val="24"/>
        </w:rPr>
        <w:t>sēd</w:t>
      </w:r>
      <w:r w:rsidR="0010797D">
        <w:rPr>
          <w:sz w:val="24"/>
          <w:szCs w:val="24"/>
        </w:rPr>
        <w:t>ē</w:t>
      </w:r>
      <w:r w:rsidR="009A0B96" w:rsidRPr="00B25A98">
        <w:rPr>
          <w:sz w:val="24"/>
          <w:szCs w:val="24"/>
        </w:rPr>
        <w:t xml:space="preserve"> </w:t>
      </w:r>
      <w:r w:rsidRPr="00B25A98">
        <w:rPr>
          <w:sz w:val="24"/>
          <w:szCs w:val="24"/>
        </w:rPr>
        <w:t>no</w:t>
      </w:r>
      <w:r w:rsidR="0010797D">
        <w:rPr>
          <w:sz w:val="24"/>
          <w:szCs w:val="24"/>
        </w:rPr>
        <w:t>lem</w:t>
      </w:r>
      <w:r w:rsidRPr="00B25A98">
        <w:rPr>
          <w:sz w:val="24"/>
          <w:szCs w:val="24"/>
        </w:rPr>
        <w:t xml:space="preserve">to, </w:t>
      </w:r>
      <w:r w:rsidR="00AA6017" w:rsidRPr="00B25A98">
        <w:rPr>
          <w:sz w:val="24"/>
          <w:szCs w:val="24"/>
        </w:rPr>
        <w:t>Finanšu ministrijai uzdots iesniegt izskatīšanai 2021.gada 23.februāra Ministru kabineta sēdē detalizētu informāciju par pieejamiem finanšu resursiem valsts budžeta programmā “Līdzekļi neparedzētiem gadījumiem” un to izlietojumu, operatīvo informāciju par valsts parāda līmeni un plānoto deficīta līmeni, kā arī priekšlikumus par nepieciešamo apropriācijas palielinājumu Covid-19 ierobežošanas vienreizēju pasākumu finansēšanai 2021.gadā.</w:t>
      </w:r>
    </w:p>
    <w:p w14:paraId="24801606" w14:textId="77777777" w:rsidR="00E47DF1" w:rsidRDefault="00E47DF1" w:rsidP="00E47DF1">
      <w:pPr>
        <w:rPr>
          <w:b/>
          <w:sz w:val="24"/>
          <w:szCs w:val="24"/>
        </w:rPr>
      </w:pPr>
    </w:p>
    <w:p w14:paraId="6BBC4FCC" w14:textId="29FCB3F9" w:rsidR="00BE5C91" w:rsidRPr="00FB017D" w:rsidRDefault="00AC5D62" w:rsidP="00AC5D62">
      <w:pPr>
        <w:shd w:val="clear" w:color="auto" w:fill="D9D9D9" w:themeFill="background1" w:themeFillShade="D9"/>
        <w:tabs>
          <w:tab w:val="left" w:pos="2865"/>
          <w:tab w:val="center" w:pos="4890"/>
        </w:tabs>
        <w:jc w:val="left"/>
        <w:rPr>
          <w:b/>
          <w:sz w:val="24"/>
          <w:szCs w:val="24"/>
        </w:rPr>
      </w:pPr>
      <w:r>
        <w:rPr>
          <w:b/>
          <w:sz w:val="24"/>
          <w:szCs w:val="24"/>
        </w:rPr>
        <w:tab/>
        <w:t xml:space="preserve">1. </w:t>
      </w:r>
      <w:r>
        <w:rPr>
          <w:b/>
          <w:sz w:val="24"/>
          <w:szCs w:val="24"/>
        </w:rPr>
        <w:tab/>
      </w:r>
      <w:r w:rsidR="00E47DF1">
        <w:rPr>
          <w:b/>
          <w:sz w:val="24"/>
          <w:szCs w:val="24"/>
        </w:rPr>
        <w:t>M</w:t>
      </w:r>
      <w:r w:rsidR="00BE5C91" w:rsidRPr="00FB017D">
        <w:rPr>
          <w:b/>
          <w:sz w:val="24"/>
          <w:szCs w:val="24"/>
        </w:rPr>
        <w:t>a</w:t>
      </w:r>
      <w:r w:rsidR="00E47DF1">
        <w:rPr>
          <w:b/>
          <w:sz w:val="24"/>
          <w:szCs w:val="24"/>
        </w:rPr>
        <w:t>kroekonomisko rādītāju prognozes</w:t>
      </w:r>
    </w:p>
    <w:p w14:paraId="324E33A1" w14:textId="77777777" w:rsidR="00BE5C91" w:rsidRPr="00FB017D" w:rsidRDefault="00BE5C91" w:rsidP="00E47DF1">
      <w:pPr>
        <w:rPr>
          <w:sz w:val="24"/>
          <w:szCs w:val="24"/>
        </w:rPr>
      </w:pPr>
      <w:r w:rsidRPr="00FB017D">
        <w:rPr>
          <w:sz w:val="24"/>
          <w:szCs w:val="24"/>
        </w:rPr>
        <w:t>Uzsākot Latvijas Stabilitātes programmas 2021.-2024.gadam sagatavošanu, Finanšu ministrija (FM) februāra sākumā ir izstrādājusi makroekonomisko rādītāju prognozes laika posmam līdz 2024.gadam. Atbilstoši atjaunotajām prognozēm, Latvijas iekšzemes kopprodukta (IKP) pieaugums salīdzināmās cenās 2021.gadā sasniegs 3,0%, bet 2022.gadā ekonomikas izaugsme paātrināsies līdz 4,5%. 2020.gadā, pēc provizoriskiem datiem, IKP samazinājās par 3,5%.</w:t>
      </w:r>
    </w:p>
    <w:p w14:paraId="7D1F7E54" w14:textId="77777777" w:rsidR="00BE5C91" w:rsidRPr="00FB017D" w:rsidRDefault="00BE5C91" w:rsidP="00E47DF1">
      <w:pPr>
        <w:rPr>
          <w:sz w:val="24"/>
          <w:szCs w:val="24"/>
        </w:rPr>
      </w:pPr>
      <w:r w:rsidRPr="00FB017D">
        <w:rPr>
          <w:sz w:val="24"/>
          <w:szCs w:val="24"/>
        </w:rPr>
        <w:t>Salīdzinot ar iepriekšējām, 2020.gada jūnijā izstrādātajām prognozēm, kas bija pamatā 2021.gada valsts budžeta projekta sagatavošanai, IKP pieauguma prognoze 2021.gadam ir samazināta par 2,1 procentpunktu, bet 2022.gadam paaugstināta par 1,4 procentpunktiem. Divos nākamajos gados ekonomikas izaugsme tiek prognozēta tuvu ekonomikas potenciālās izaugsmes tempam – attiecīgi 3,2% un 2,8% apmērā.</w:t>
      </w:r>
    </w:p>
    <w:p w14:paraId="3C3E4A5C" w14:textId="77777777" w:rsidR="00BE5C91" w:rsidRPr="00FB017D" w:rsidRDefault="00BE5C91" w:rsidP="00E47DF1">
      <w:pPr>
        <w:rPr>
          <w:sz w:val="24"/>
          <w:szCs w:val="24"/>
        </w:rPr>
      </w:pPr>
      <w:r w:rsidRPr="00FB017D">
        <w:rPr>
          <w:sz w:val="24"/>
          <w:szCs w:val="24"/>
        </w:rPr>
        <w:t>Lai arī 2020.gadā ekonomikas kritums 3,5% apmērā bija mazāks nekā prognozēts, Covid-19 atkārtotā uzliesmojuma un slimības izplatības mazināšanai noteikto ierobežojumu dēļ IKP pieaugums 2021.gadā tiek prognozēts zemāks nekā bija prognozēts pagājušā jūnijā. Atjaunotajās prognozēs pieņemts, ka ekonomikas attīstību vēl līdz pat 2021.gada vidum turpinās negatīvi ietekmēt Covid-19 izplatība, bet pēc tam, atceļot lielāko daļu ierobežojumu, izaugsme strauji sāks atjaunoties. Prognoze balstās uz Covid-19 vakcinācijas plānu, kas paredz, ka līdz šā gada vasaras beigām būs vakcinēti 70% Latvijas iedzīvotāju, līdz ar to atkārtots slimības uzliesmojums 2021.gada rudenī nav sagaidāms.</w:t>
      </w:r>
    </w:p>
    <w:p w14:paraId="3CB7905A" w14:textId="77777777" w:rsidR="00BE5C91" w:rsidRPr="00FB017D" w:rsidRDefault="00BE5C91" w:rsidP="00E47DF1">
      <w:pPr>
        <w:rPr>
          <w:sz w:val="24"/>
          <w:szCs w:val="24"/>
        </w:rPr>
      </w:pPr>
      <w:r w:rsidRPr="00FB017D">
        <w:rPr>
          <w:sz w:val="24"/>
          <w:szCs w:val="24"/>
        </w:rPr>
        <w:t>Ekonomikas izaugsmi 2021.gadā nodrošinās gan privātā patēriņa pieauguma atjaunošanās 4% apmērā, gan investīciju pieaugums un eksporta kāpums attiecīgi par 4,1% un 4,3%, kamēr sabiedriskā patēriņa pieaugums saglabāsies pagājušā gada līmenī un veidos 2,4%. Tālāku ekonomiskās izaugsmes paātrināšanos 2022.gadā nodrošinās gan privātā patēriņa pilnīga atjaunošanās, gan straujš investīciju kāpums, tajā skaitā būtiski palielinoties ES fondu investīcijām.</w:t>
      </w:r>
    </w:p>
    <w:p w14:paraId="692999DF" w14:textId="77777777" w:rsidR="00BE5C91" w:rsidRPr="00FB017D" w:rsidRDefault="00BE5C91" w:rsidP="00E47DF1">
      <w:pPr>
        <w:rPr>
          <w:sz w:val="24"/>
          <w:szCs w:val="24"/>
        </w:rPr>
      </w:pPr>
      <w:r w:rsidRPr="00FB017D">
        <w:rPr>
          <w:sz w:val="24"/>
          <w:szCs w:val="24"/>
        </w:rPr>
        <w:t>Finanšu ministrijas prognozes par ekonomikas attīstību tuvāko divu gadu laikā kopumā ir tuvas Eiropas Komisijas (EK) 11.februārī publiskotajām prognozēm, kas paredz, ka Latvijas IKP 2021.gadā palielināsies par 3,5% un 2022.gadā – par 3,1%. Prognožu atšķirības pa gadiem pamatā saistītas ar nedaudz atšķirīgu skatījumu, cik straujš būs ekonomiskās izaugsmes kritums šā gada pirmajā ceturksnī, kā arī to, ka EK savās 2022.gada prognozēs vēl nav iekļāvusi Eiropas Atveseļošanas un noturības mehānisma ietekmi.</w:t>
      </w:r>
    </w:p>
    <w:p w14:paraId="7C00DD4B" w14:textId="77777777" w:rsidR="00BE5C91" w:rsidRPr="00FB017D" w:rsidRDefault="00BE5C91" w:rsidP="00E47DF1">
      <w:pPr>
        <w:rPr>
          <w:sz w:val="24"/>
          <w:szCs w:val="24"/>
        </w:rPr>
      </w:pPr>
      <w:r w:rsidRPr="00FB017D">
        <w:rPr>
          <w:sz w:val="24"/>
          <w:szCs w:val="24"/>
        </w:rPr>
        <w:t xml:space="preserve">Izstrādājot makroekonomisko rādītāju prognozes, FM balstījās uz konservatīviem pieņēmumiem, kā arī izvērtēja ārējās un iekšējās vides riskus, kuriem īstenojoties, ekonomikas izaugsme var izrādīties straujāka vai lēnāka, nekā paredz pamata prognoze. Negatīvie riski </w:t>
      </w:r>
      <w:r w:rsidRPr="00FB017D">
        <w:rPr>
          <w:sz w:val="24"/>
          <w:szCs w:val="24"/>
        </w:rPr>
        <w:lastRenderedPageBreak/>
        <w:t>pašlaik saistās galvenokārt ar Covid-19 izplatību un vakcinācijas gaitu, tajā skaitā iespējamiem vakcīnu piegāžu traucējumiem, nesakārtotu loģistiku, kā arī jaunām vīrusa mutācijām. Tāpat pastāv cenu kāpuma riski saistībā ar strauju aktivitātes pieaugumu būvniecības nozarē, kā arī riski saistībā ar uzņēmumu vājāku atgūšanos pēc Covid-19 ierobežojumu atcelšanas, tajā skaitā iespējamiem bankrotiem un ēnu ekonomikas pieaugumu.</w:t>
      </w:r>
    </w:p>
    <w:p w14:paraId="48368BEB" w14:textId="77777777" w:rsidR="00BE5C91" w:rsidRPr="00B25A98" w:rsidRDefault="00BE5C91" w:rsidP="00E47DF1">
      <w:pPr>
        <w:rPr>
          <w:sz w:val="24"/>
          <w:szCs w:val="24"/>
        </w:rPr>
      </w:pPr>
      <w:r w:rsidRPr="00FB017D">
        <w:rPr>
          <w:sz w:val="24"/>
          <w:szCs w:val="24"/>
        </w:rPr>
        <w:t>Prognožu sagatavošanas procesā FM konsultējās ar Starptautiskā Valūtas fonda, Eiropas Komisijas, Latvijas Bankas un Ekonomikas ministrijas ekspertiem. Makroekonomisko rādītāju prognozes 2021.gada 11.februārī apstiprināja Fiskālās disciplīnas padome.</w:t>
      </w:r>
    </w:p>
    <w:p w14:paraId="6FA29201" w14:textId="466D6773" w:rsidR="00BE5C91" w:rsidRPr="00B25A98" w:rsidRDefault="00BE5C91" w:rsidP="0062714A">
      <w:pPr>
        <w:spacing w:before="60" w:after="60"/>
        <w:ind w:firstLine="0"/>
        <w:rPr>
          <w:sz w:val="24"/>
          <w:szCs w:val="24"/>
        </w:rPr>
      </w:pPr>
    </w:p>
    <w:p w14:paraId="16A62AEC" w14:textId="77777777" w:rsidR="00714622" w:rsidRPr="00B25A98" w:rsidRDefault="00714622" w:rsidP="00714622">
      <w:pPr>
        <w:jc w:val="center"/>
        <w:rPr>
          <w:b/>
          <w:sz w:val="24"/>
          <w:szCs w:val="24"/>
        </w:rPr>
      </w:pPr>
      <w:r w:rsidRPr="00B25A98">
        <w:rPr>
          <w:b/>
          <w:sz w:val="24"/>
          <w:szCs w:val="24"/>
        </w:rPr>
        <w:t>Galveno makroekonomisko rādītāju prognozes</w:t>
      </w:r>
    </w:p>
    <w:tbl>
      <w:tblPr>
        <w:tblStyle w:val="TableGrid"/>
        <w:tblW w:w="9066" w:type="dxa"/>
        <w:tblInd w:w="-5" w:type="dxa"/>
        <w:tblLook w:val="04A0" w:firstRow="1" w:lastRow="0" w:firstColumn="1" w:lastColumn="0" w:noHBand="0" w:noVBand="1"/>
      </w:tblPr>
      <w:tblGrid>
        <w:gridCol w:w="4231"/>
        <w:gridCol w:w="967"/>
        <w:gridCol w:w="967"/>
        <w:gridCol w:w="967"/>
        <w:gridCol w:w="967"/>
        <w:gridCol w:w="967"/>
      </w:tblGrid>
      <w:tr w:rsidR="009C0226" w:rsidRPr="0091517A" w14:paraId="582DB594" w14:textId="77777777" w:rsidTr="00644456">
        <w:trPr>
          <w:trHeight w:val="315"/>
        </w:trPr>
        <w:tc>
          <w:tcPr>
            <w:tcW w:w="4326" w:type="dxa"/>
            <w:shd w:val="clear" w:color="auto" w:fill="E2EFD9" w:themeFill="accent6" w:themeFillTint="33"/>
            <w:noWrap/>
            <w:hideMark/>
          </w:tcPr>
          <w:p w14:paraId="10FD7DC4" w14:textId="77777777" w:rsidR="000F1149" w:rsidRPr="0091517A" w:rsidRDefault="000F1149" w:rsidP="000F1149">
            <w:pPr>
              <w:spacing w:after="0"/>
              <w:rPr>
                <w:sz w:val="24"/>
                <w:szCs w:val="24"/>
                <w:lang w:eastAsia="lv-LV"/>
              </w:rPr>
            </w:pPr>
            <w:r w:rsidRPr="0091517A">
              <w:rPr>
                <w:sz w:val="24"/>
                <w:szCs w:val="24"/>
                <w:lang w:eastAsia="lv-LV"/>
              </w:rPr>
              <w:t> </w:t>
            </w:r>
          </w:p>
        </w:tc>
        <w:tc>
          <w:tcPr>
            <w:tcW w:w="0" w:type="auto"/>
            <w:shd w:val="clear" w:color="auto" w:fill="E2EFD9" w:themeFill="accent6" w:themeFillTint="33"/>
            <w:noWrap/>
            <w:hideMark/>
          </w:tcPr>
          <w:p w14:paraId="67CE7096" w14:textId="77777777" w:rsidR="000F1149" w:rsidRPr="0091517A" w:rsidRDefault="000F1149" w:rsidP="00B25A98">
            <w:pPr>
              <w:spacing w:after="0"/>
              <w:ind w:firstLine="0"/>
              <w:rPr>
                <w:b/>
                <w:sz w:val="24"/>
                <w:szCs w:val="24"/>
                <w:lang w:eastAsia="lv-LV"/>
              </w:rPr>
            </w:pPr>
            <w:r w:rsidRPr="0091517A">
              <w:rPr>
                <w:b/>
                <w:sz w:val="24"/>
                <w:szCs w:val="24"/>
                <w:lang w:eastAsia="lv-LV"/>
              </w:rPr>
              <w:t>2020*</w:t>
            </w:r>
          </w:p>
          <w:p w14:paraId="75C22705" w14:textId="77777777" w:rsidR="000F1149" w:rsidRPr="0091517A" w:rsidRDefault="000F1149" w:rsidP="000F1149">
            <w:pPr>
              <w:spacing w:after="0"/>
              <w:ind w:firstLineChars="100" w:firstLine="240"/>
              <w:jc w:val="right"/>
              <w:rPr>
                <w:b/>
                <w:sz w:val="24"/>
                <w:szCs w:val="24"/>
                <w:lang w:eastAsia="lv-LV"/>
              </w:rPr>
            </w:pPr>
          </w:p>
        </w:tc>
        <w:tc>
          <w:tcPr>
            <w:tcW w:w="948" w:type="dxa"/>
            <w:shd w:val="clear" w:color="auto" w:fill="E2EFD9" w:themeFill="accent6" w:themeFillTint="33"/>
            <w:noWrap/>
            <w:hideMark/>
          </w:tcPr>
          <w:p w14:paraId="345FE6AD" w14:textId="77777777" w:rsidR="000F1149" w:rsidRPr="0091517A" w:rsidRDefault="000F1149" w:rsidP="000F1149">
            <w:pPr>
              <w:spacing w:after="0"/>
              <w:ind w:firstLineChars="100" w:firstLine="240"/>
              <w:jc w:val="right"/>
              <w:rPr>
                <w:b/>
                <w:sz w:val="24"/>
                <w:szCs w:val="24"/>
                <w:lang w:eastAsia="lv-LV"/>
              </w:rPr>
            </w:pPr>
            <w:r w:rsidRPr="0091517A">
              <w:rPr>
                <w:b/>
                <w:sz w:val="24"/>
                <w:szCs w:val="24"/>
                <w:lang w:eastAsia="lv-LV"/>
              </w:rPr>
              <w:t>2021</w:t>
            </w:r>
          </w:p>
        </w:tc>
        <w:tc>
          <w:tcPr>
            <w:tcW w:w="948" w:type="dxa"/>
            <w:shd w:val="clear" w:color="auto" w:fill="E2EFD9" w:themeFill="accent6" w:themeFillTint="33"/>
            <w:noWrap/>
            <w:hideMark/>
          </w:tcPr>
          <w:p w14:paraId="5E213810" w14:textId="77777777" w:rsidR="000F1149" w:rsidRPr="0091517A" w:rsidRDefault="000F1149" w:rsidP="000F1149">
            <w:pPr>
              <w:spacing w:after="0"/>
              <w:ind w:firstLineChars="100" w:firstLine="240"/>
              <w:jc w:val="right"/>
              <w:rPr>
                <w:b/>
                <w:sz w:val="24"/>
                <w:szCs w:val="24"/>
                <w:lang w:eastAsia="lv-LV"/>
              </w:rPr>
            </w:pPr>
            <w:r w:rsidRPr="0091517A">
              <w:rPr>
                <w:b/>
                <w:sz w:val="24"/>
                <w:szCs w:val="24"/>
                <w:lang w:eastAsia="lv-LV"/>
              </w:rPr>
              <w:t>2022</w:t>
            </w:r>
          </w:p>
        </w:tc>
        <w:tc>
          <w:tcPr>
            <w:tcW w:w="948" w:type="dxa"/>
            <w:shd w:val="clear" w:color="auto" w:fill="E2EFD9" w:themeFill="accent6" w:themeFillTint="33"/>
            <w:noWrap/>
            <w:hideMark/>
          </w:tcPr>
          <w:p w14:paraId="3B70A703" w14:textId="77777777" w:rsidR="000F1149" w:rsidRPr="0091517A" w:rsidRDefault="000F1149" w:rsidP="000F1149">
            <w:pPr>
              <w:spacing w:after="0"/>
              <w:ind w:firstLineChars="100" w:firstLine="240"/>
              <w:jc w:val="right"/>
              <w:rPr>
                <w:b/>
                <w:sz w:val="24"/>
                <w:szCs w:val="24"/>
                <w:lang w:eastAsia="lv-LV"/>
              </w:rPr>
            </w:pPr>
            <w:r w:rsidRPr="0091517A">
              <w:rPr>
                <w:b/>
                <w:sz w:val="24"/>
                <w:szCs w:val="24"/>
                <w:lang w:eastAsia="lv-LV"/>
              </w:rPr>
              <w:t>2023</w:t>
            </w:r>
          </w:p>
        </w:tc>
        <w:tc>
          <w:tcPr>
            <w:tcW w:w="948" w:type="dxa"/>
            <w:shd w:val="clear" w:color="auto" w:fill="E2EFD9" w:themeFill="accent6" w:themeFillTint="33"/>
            <w:noWrap/>
            <w:hideMark/>
          </w:tcPr>
          <w:p w14:paraId="6BC3F8D3" w14:textId="77777777" w:rsidR="000F1149" w:rsidRPr="0091517A" w:rsidRDefault="000F1149" w:rsidP="000F1149">
            <w:pPr>
              <w:spacing w:after="0"/>
              <w:ind w:firstLineChars="100" w:firstLine="240"/>
              <w:jc w:val="right"/>
              <w:rPr>
                <w:b/>
                <w:sz w:val="24"/>
                <w:szCs w:val="24"/>
                <w:lang w:eastAsia="lv-LV"/>
              </w:rPr>
            </w:pPr>
            <w:r w:rsidRPr="0091517A">
              <w:rPr>
                <w:b/>
                <w:sz w:val="24"/>
                <w:szCs w:val="24"/>
                <w:lang w:eastAsia="lv-LV"/>
              </w:rPr>
              <w:t>2024</w:t>
            </w:r>
          </w:p>
        </w:tc>
      </w:tr>
      <w:tr w:rsidR="009C0226" w:rsidRPr="0091517A" w14:paraId="38FE75BA" w14:textId="77777777" w:rsidTr="00644456">
        <w:trPr>
          <w:trHeight w:val="585"/>
        </w:trPr>
        <w:tc>
          <w:tcPr>
            <w:tcW w:w="4326" w:type="dxa"/>
            <w:hideMark/>
          </w:tcPr>
          <w:p w14:paraId="6C9BE394" w14:textId="77777777" w:rsidR="000F1149" w:rsidRPr="0091517A" w:rsidRDefault="000F1149" w:rsidP="000F1149">
            <w:pPr>
              <w:spacing w:after="0"/>
              <w:ind w:firstLine="0"/>
              <w:rPr>
                <w:sz w:val="24"/>
                <w:szCs w:val="24"/>
                <w:lang w:eastAsia="lv-LV"/>
              </w:rPr>
            </w:pPr>
            <w:r w:rsidRPr="0091517A">
              <w:rPr>
                <w:sz w:val="24"/>
                <w:szCs w:val="24"/>
                <w:lang w:eastAsia="lv-LV"/>
              </w:rPr>
              <w:t xml:space="preserve">Iekšzemes kopprodukts (IKP), </w:t>
            </w:r>
            <w:r w:rsidRPr="0091517A">
              <w:rPr>
                <w:sz w:val="24"/>
                <w:szCs w:val="24"/>
                <w:lang w:eastAsia="lv-LV"/>
              </w:rPr>
              <w:br/>
              <w:t xml:space="preserve">milj. </w:t>
            </w:r>
            <w:proofErr w:type="spellStart"/>
            <w:r w:rsidRPr="009C6FDF">
              <w:rPr>
                <w:i/>
                <w:sz w:val="24"/>
                <w:szCs w:val="24"/>
                <w:lang w:eastAsia="lv-LV"/>
              </w:rPr>
              <w:t>euro</w:t>
            </w:r>
            <w:proofErr w:type="spellEnd"/>
          </w:p>
        </w:tc>
        <w:tc>
          <w:tcPr>
            <w:tcW w:w="0" w:type="auto"/>
            <w:noWrap/>
            <w:hideMark/>
          </w:tcPr>
          <w:p w14:paraId="3376856D"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29545</w:t>
            </w:r>
          </w:p>
        </w:tc>
        <w:tc>
          <w:tcPr>
            <w:tcW w:w="948" w:type="dxa"/>
            <w:noWrap/>
            <w:hideMark/>
          </w:tcPr>
          <w:p w14:paraId="64E9665C"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30850</w:t>
            </w:r>
          </w:p>
        </w:tc>
        <w:tc>
          <w:tcPr>
            <w:tcW w:w="948" w:type="dxa"/>
            <w:noWrap/>
            <w:hideMark/>
          </w:tcPr>
          <w:p w14:paraId="6908C75D"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32818</w:t>
            </w:r>
          </w:p>
        </w:tc>
        <w:tc>
          <w:tcPr>
            <w:tcW w:w="948" w:type="dxa"/>
            <w:noWrap/>
            <w:hideMark/>
          </w:tcPr>
          <w:p w14:paraId="10D522DD"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34531</w:t>
            </w:r>
          </w:p>
        </w:tc>
        <w:tc>
          <w:tcPr>
            <w:tcW w:w="948" w:type="dxa"/>
            <w:noWrap/>
            <w:hideMark/>
          </w:tcPr>
          <w:p w14:paraId="5BA73739"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36249</w:t>
            </w:r>
          </w:p>
        </w:tc>
      </w:tr>
      <w:tr w:rsidR="009C0226" w:rsidRPr="0091517A" w14:paraId="026A4023" w14:textId="77777777" w:rsidTr="00644456">
        <w:trPr>
          <w:trHeight w:val="300"/>
        </w:trPr>
        <w:tc>
          <w:tcPr>
            <w:tcW w:w="4326" w:type="dxa"/>
            <w:hideMark/>
          </w:tcPr>
          <w:p w14:paraId="14F72941" w14:textId="77777777" w:rsidR="000F1149" w:rsidRPr="0091517A" w:rsidRDefault="000F1149" w:rsidP="000F1149">
            <w:pPr>
              <w:spacing w:after="0"/>
              <w:ind w:firstLineChars="100" w:firstLine="240"/>
              <w:rPr>
                <w:sz w:val="24"/>
                <w:szCs w:val="24"/>
                <w:lang w:eastAsia="lv-LV"/>
              </w:rPr>
            </w:pPr>
            <w:r w:rsidRPr="0091517A">
              <w:rPr>
                <w:sz w:val="24"/>
                <w:szCs w:val="24"/>
                <w:lang w:eastAsia="lv-LV"/>
              </w:rPr>
              <w:t>pieaugums faktiskajās cenās , %</w:t>
            </w:r>
          </w:p>
        </w:tc>
        <w:tc>
          <w:tcPr>
            <w:tcW w:w="0" w:type="auto"/>
            <w:noWrap/>
            <w:hideMark/>
          </w:tcPr>
          <w:p w14:paraId="68F65D6E"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-3,0</w:t>
            </w:r>
          </w:p>
        </w:tc>
        <w:tc>
          <w:tcPr>
            <w:tcW w:w="948" w:type="dxa"/>
            <w:noWrap/>
            <w:hideMark/>
          </w:tcPr>
          <w:p w14:paraId="4E6B355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4,4</w:t>
            </w:r>
          </w:p>
        </w:tc>
        <w:tc>
          <w:tcPr>
            <w:tcW w:w="948" w:type="dxa"/>
            <w:noWrap/>
            <w:hideMark/>
          </w:tcPr>
          <w:p w14:paraId="01EAA939"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6,4</w:t>
            </w:r>
          </w:p>
        </w:tc>
        <w:tc>
          <w:tcPr>
            <w:tcW w:w="948" w:type="dxa"/>
            <w:noWrap/>
            <w:hideMark/>
          </w:tcPr>
          <w:p w14:paraId="226A95EC"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5,2</w:t>
            </w:r>
          </w:p>
        </w:tc>
        <w:tc>
          <w:tcPr>
            <w:tcW w:w="948" w:type="dxa"/>
            <w:noWrap/>
            <w:hideMark/>
          </w:tcPr>
          <w:p w14:paraId="6E064AA3"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5,0</w:t>
            </w:r>
          </w:p>
        </w:tc>
      </w:tr>
      <w:tr w:rsidR="009C0226" w:rsidRPr="0091517A" w14:paraId="5123F04E" w14:textId="77777777" w:rsidTr="00644456">
        <w:trPr>
          <w:trHeight w:val="300"/>
        </w:trPr>
        <w:tc>
          <w:tcPr>
            <w:tcW w:w="4326" w:type="dxa"/>
            <w:hideMark/>
          </w:tcPr>
          <w:p w14:paraId="412B2800" w14:textId="77777777" w:rsidR="000F1149" w:rsidRPr="0091517A" w:rsidRDefault="000F1149" w:rsidP="000F1149">
            <w:pPr>
              <w:spacing w:after="0"/>
              <w:ind w:firstLineChars="100" w:firstLine="240"/>
              <w:rPr>
                <w:sz w:val="24"/>
                <w:szCs w:val="24"/>
                <w:lang w:eastAsia="lv-LV"/>
              </w:rPr>
            </w:pPr>
            <w:r w:rsidRPr="0091517A">
              <w:rPr>
                <w:sz w:val="24"/>
                <w:szCs w:val="24"/>
                <w:lang w:eastAsia="lv-LV"/>
              </w:rPr>
              <w:t>pieaugums salīdzināmās cenās, %</w:t>
            </w:r>
          </w:p>
        </w:tc>
        <w:tc>
          <w:tcPr>
            <w:tcW w:w="0" w:type="auto"/>
            <w:noWrap/>
            <w:hideMark/>
          </w:tcPr>
          <w:p w14:paraId="2FAA6511"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-3,5</w:t>
            </w:r>
          </w:p>
        </w:tc>
        <w:tc>
          <w:tcPr>
            <w:tcW w:w="948" w:type="dxa"/>
            <w:noWrap/>
            <w:hideMark/>
          </w:tcPr>
          <w:p w14:paraId="36F3F838"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3,0</w:t>
            </w:r>
          </w:p>
        </w:tc>
        <w:tc>
          <w:tcPr>
            <w:tcW w:w="948" w:type="dxa"/>
            <w:noWrap/>
            <w:hideMark/>
          </w:tcPr>
          <w:p w14:paraId="48865B47"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4,5</w:t>
            </w:r>
          </w:p>
        </w:tc>
        <w:tc>
          <w:tcPr>
            <w:tcW w:w="948" w:type="dxa"/>
            <w:noWrap/>
            <w:hideMark/>
          </w:tcPr>
          <w:p w14:paraId="656891F3"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3,2</w:t>
            </w:r>
          </w:p>
        </w:tc>
        <w:tc>
          <w:tcPr>
            <w:tcW w:w="948" w:type="dxa"/>
            <w:noWrap/>
            <w:hideMark/>
          </w:tcPr>
          <w:p w14:paraId="77B40B57"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2,8</w:t>
            </w:r>
          </w:p>
        </w:tc>
      </w:tr>
      <w:tr w:rsidR="009C0226" w:rsidRPr="0091517A" w14:paraId="5B589445" w14:textId="77777777" w:rsidTr="00644456">
        <w:trPr>
          <w:trHeight w:val="315"/>
        </w:trPr>
        <w:tc>
          <w:tcPr>
            <w:tcW w:w="4326" w:type="dxa"/>
            <w:noWrap/>
            <w:hideMark/>
          </w:tcPr>
          <w:p w14:paraId="6AC6C929" w14:textId="77777777" w:rsidR="000F1149" w:rsidRPr="0091517A" w:rsidRDefault="000F1149" w:rsidP="009C0226">
            <w:pPr>
              <w:spacing w:after="0"/>
              <w:ind w:firstLine="0"/>
              <w:rPr>
                <w:sz w:val="24"/>
                <w:szCs w:val="24"/>
                <w:lang w:eastAsia="lv-LV"/>
              </w:rPr>
            </w:pPr>
            <w:r w:rsidRPr="0091517A">
              <w:rPr>
                <w:sz w:val="24"/>
                <w:szCs w:val="24"/>
                <w:lang w:eastAsia="lv-LV"/>
              </w:rPr>
              <w:t xml:space="preserve">IKP </w:t>
            </w:r>
            <w:proofErr w:type="spellStart"/>
            <w:r w:rsidRPr="0091517A">
              <w:rPr>
                <w:sz w:val="24"/>
                <w:szCs w:val="24"/>
                <w:lang w:eastAsia="lv-LV"/>
              </w:rPr>
              <w:t>deflators</w:t>
            </w:r>
            <w:proofErr w:type="spellEnd"/>
            <w:r w:rsidRPr="0091517A">
              <w:rPr>
                <w:sz w:val="24"/>
                <w:szCs w:val="24"/>
                <w:lang w:eastAsia="lv-LV"/>
              </w:rPr>
              <w:t>, izmaiņas %</w:t>
            </w:r>
          </w:p>
        </w:tc>
        <w:tc>
          <w:tcPr>
            <w:tcW w:w="0" w:type="auto"/>
            <w:noWrap/>
            <w:hideMark/>
          </w:tcPr>
          <w:p w14:paraId="67200827"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0,5</w:t>
            </w:r>
          </w:p>
        </w:tc>
        <w:tc>
          <w:tcPr>
            <w:tcW w:w="948" w:type="dxa"/>
            <w:noWrap/>
            <w:hideMark/>
          </w:tcPr>
          <w:p w14:paraId="52E5AD7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1,4</w:t>
            </w:r>
          </w:p>
        </w:tc>
        <w:tc>
          <w:tcPr>
            <w:tcW w:w="948" w:type="dxa"/>
            <w:noWrap/>
            <w:hideMark/>
          </w:tcPr>
          <w:p w14:paraId="503D6EC6"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1,8</w:t>
            </w:r>
          </w:p>
        </w:tc>
        <w:tc>
          <w:tcPr>
            <w:tcW w:w="948" w:type="dxa"/>
            <w:noWrap/>
            <w:hideMark/>
          </w:tcPr>
          <w:p w14:paraId="5FCF7E04"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2,0</w:t>
            </w:r>
          </w:p>
        </w:tc>
        <w:tc>
          <w:tcPr>
            <w:tcW w:w="948" w:type="dxa"/>
            <w:noWrap/>
            <w:hideMark/>
          </w:tcPr>
          <w:p w14:paraId="3622425C"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2,1</w:t>
            </w:r>
          </w:p>
        </w:tc>
      </w:tr>
      <w:tr w:rsidR="009C0226" w:rsidRPr="0091517A" w14:paraId="67D0D9B3" w14:textId="77777777" w:rsidTr="00644456">
        <w:trPr>
          <w:trHeight w:val="44"/>
        </w:trPr>
        <w:tc>
          <w:tcPr>
            <w:tcW w:w="4326" w:type="dxa"/>
            <w:shd w:val="clear" w:color="auto" w:fill="E2EFD9" w:themeFill="accent6" w:themeFillTint="33"/>
            <w:noWrap/>
            <w:hideMark/>
          </w:tcPr>
          <w:p w14:paraId="703CF487" w14:textId="77777777" w:rsidR="000F1149" w:rsidRPr="0091517A" w:rsidRDefault="000F1149" w:rsidP="000F1149">
            <w:pPr>
              <w:spacing w:after="0"/>
              <w:rPr>
                <w:sz w:val="24"/>
                <w:szCs w:val="24"/>
                <w:lang w:eastAsia="lv-LV"/>
              </w:rPr>
            </w:pPr>
            <w:r w:rsidRPr="0091517A">
              <w:rPr>
                <w:sz w:val="24"/>
                <w:szCs w:val="24"/>
                <w:lang w:eastAsia="lv-LV"/>
              </w:rPr>
              <w:t> </w:t>
            </w:r>
          </w:p>
        </w:tc>
        <w:tc>
          <w:tcPr>
            <w:tcW w:w="0" w:type="auto"/>
            <w:shd w:val="clear" w:color="auto" w:fill="E2EFD9" w:themeFill="accent6" w:themeFillTint="33"/>
            <w:noWrap/>
            <w:hideMark/>
          </w:tcPr>
          <w:p w14:paraId="6D7DDA99"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10380DA8"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51709310"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66C6AD05"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6EE87B58"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r>
      <w:tr w:rsidR="009C0226" w:rsidRPr="0091517A" w14:paraId="7534FB07" w14:textId="77777777" w:rsidTr="00917FC6">
        <w:trPr>
          <w:trHeight w:val="359"/>
        </w:trPr>
        <w:tc>
          <w:tcPr>
            <w:tcW w:w="4326" w:type="dxa"/>
            <w:noWrap/>
            <w:hideMark/>
          </w:tcPr>
          <w:p w14:paraId="523C963F" w14:textId="77777777" w:rsidR="000F1149" w:rsidRPr="0091517A" w:rsidRDefault="000F1149" w:rsidP="009C0226">
            <w:pPr>
              <w:spacing w:after="0"/>
              <w:ind w:firstLine="0"/>
              <w:rPr>
                <w:sz w:val="24"/>
                <w:szCs w:val="24"/>
                <w:lang w:eastAsia="lv-LV"/>
              </w:rPr>
            </w:pPr>
            <w:r w:rsidRPr="0091517A">
              <w:rPr>
                <w:sz w:val="24"/>
                <w:szCs w:val="24"/>
                <w:lang w:eastAsia="lv-LV"/>
              </w:rPr>
              <w:t>PCI (gads pret gadu), %</w:t>
            </w:r>
          </w:p>
        </w:tc>
        <w:tc>
          <w:tcPr>
            <w:tcW w:w="0" w:type="auto"/>
            <w:noWrap/>
            <w:hideMark/>
          </w:tcPr>
          <w:p w14:paraId="795CD024"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0,2</w:t>
            </w:r>
          </w:p>
        </w:tc>
        <w:tc>
          <w:tcPr>
            <w:tcW w:w="948" w:type="dxa"/>
            <w:noWrap/>
            <w:hideMark/>
          </w:tcPr>
          <w:p w14:paraId="78A9EC70"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1,4</w:t>
            </w:r>
          </w:p>
        </w:tc>
        <w:tc>
          <w:tcPr>
            <w:tcW w:w="948" w:type="dxa"/>
            <w:noWrap/>
            <w:hideMark/>
          </w:tcPr>
          <w:p w14:paraId="29E06C2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2,0</w:t>
            </w:r>
          </w:p>
        </w:tc>
        <w:tc>
          <w:tcPr>
            <w:tcW w:w="948" w:type="dxa"/>
            <w:noWrap/>
            <w:hideMark/>
          </w:tcPr>
          <w:p w14:paraId="21A25B41"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2,0</w:t>
            </w:r>
          </w:p>
        </w:tc>
        <w:tc>
          <w:tcPr>
            <w:tcW w:w="948" w:type="dxa"/>
            <w:noWrap/>
            <w:hideMark/>
          </w:tcPr>
          <w:p w14:paraId="6C9397D7"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2,0</w:t>
            </w:r>
          </w:p>
        </w:tc>
      </w:tr>
      <w:tr w:rsidR="009C0226" w:rsidRPr="0091517A" w14:paraId="5F43564E" w14:textId="77777777" w:rsidTr="00644456">
        <w:trPr>
          <w:trHeight w:val="156"/>
        </w:trPr>
        <w:tc>
          <w:tcPr>
            <w:tcW w:w="4326" w:type="dxa"/>
            <w:shd w:val="clear" w:color="auto" w:fill="E2EFD9" w:themeFill="accent6" w:themeFillTint="33"/>
            <w:noWrap/>
            <w:hideMark/>
          </w:tcPr>
          <w:p w14:paraId="0C8F395A" w14:textId="77777777" w:rsidR="000F1149" w:rsidRPr="0091517A" w:rsidRDefault="000F1149" w:rsidP="000F1149">
            <w:pPr>
              <w:spacing w:after="0"/>
              <w:rPr>
                <w:sz w:val="24"/>
                <w:szCs w:val="24"/>
                <w:lang w:eastAsia="lv-LV"/>
              </w:rPr>
            </w:pPr>
            <w:r w:rsidRPr="0091517A">
              <w:rPr>
                <w:sz w:val="24"/>
                <w:szCs w:val="24"/>
                <w:lang w:eastAsia="lv-LV"/>
              </w:rPr>
              <w:t> </w:t>
            </w:r>
          </w:p>
        </w:tc>
        <w:tc>
          <w:tcPr>
            <w:tcW w:w="0" w:type="auto"/>
            <w:shd w:val="clear" w:color="auto" w:fill="E2EFD9" w:themeFill="accent6" w:themeFillTint="33"/>
            <w:noWrap/>
            <w:hideMark/>
          </w:tcPr>
          <w:p w14:paraId="6D97E445"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771D1C35"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32D001E2"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70E512D7"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1F10B6D9"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r>
      <w:tr w:rsidR="009C0226" w:rsidRPr="0091517A" w14:paraId="4098A2E3" w14:textId="77777777" w:rsidTr="00644456">
        <w:trPr>
          <w:trHeight w:val="570"/>
        </w:trPr>
        <w:tc>
          <w:tcPr>
            <w:tcW w:w="4326" w:type="dxa"/>
            <w:hideMark/>
          </w:tcPr>
          <w:p w14:paraId="3552E65F" w14:textId="77777777" w:rsidR="000F1149" w:rsidRPr="0091517A" w:rsidRDefault="000F1149" w:rsidP="009C0226">
            <w:pPr>
              <w:spacing w:after="0"/>
              <w:ind w:firstLine="0"/>
              <w:rPr>
                <w:sz w:val="24"/>
                <w:szCs w:val="24"/>
                <w:lang w:eastAsia="lv-LV"/>
              </w:rPr>
            </w:pPr>
            <w:r w:rsidRPr="0091517A">
              <w:rPr>
                <w:sz w:val="24"/>
                <w:szCs w:val="24"/>
                <w:lang w:eastAsia="lv-LV"/>
              </w:rPr>
              <w:t xml:space="preserve">Tautsaimniecībā nodarbināto </w:t>
            </w:r>
            <w:r w:rsidRPr="0091517A">
              <w:rPr>
                <w:sz w:val="24"/>
                <w:szCs w:val="24"/>
                <w:lang w:eastAsia="lv-LV"/>
              </w:rPr>
              <w:br/>
            </w:r>
            <w:proofErr w:type="spellStart"/>
            <w:r w:rsidRPr="0091517A">
              <w:rPr>
                <w:sz w:val="24"/>
                <w:szCs w:val="24"/>
                <w:lang w:eastAsia="lv-LV"/>
              </w:rPr>
              <w:t>mēn</w:t>
            </w:r>
            <w:proofErr w:type="spellEnd"/>
            <w:r w:rsidRPr="0091517A">
              <w:rPr>
                <w:sz w:val="24"/>
                <w:szCs w:val="24"/>
                <w:lang w:eastAsia="lv-LV"/>
              </w:rPr>
              <w:t xml:space="preserve">. vid. bruto darba samaksa, </w:t>
            </w:r>
            <w:proofErr w:type="spellStart"/>
            <w:r w:rsidRPr="0091517A">
              <w:rPr>
                <w:sz w:val="24"/>
                <w:szCs w:val="24"/>
                <w:lang w:eastAsia="lv-LV"/>
              </w:rPr>
              <w:t>euro</w:t>
            </w:r>
            <w:proofErr w:type="spellEnd"/>
          </w:p>
        </w:tc>
        <w:tc>
          <w:tcPr>
            <w:tcW w:w="0" w:type="auto"/>
            <w:noWrap/>
            <w:hideMark/>
          </w:tcPr>
          <w:p w14:paraId="485CA3E7"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1130</w:t>
            </w:r>
          </w:p>
        </w:tc>
        <w:tc>
          <w:tcPr>
            <w:tcW w:w="948" w:type="dxa"/>
            <w:noWrap/>
            <w:hideMark/>
          </w:tcPr>
          <w:p w14:paraId="2508A325"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1175</w:t>
            </w:r>
          </w:p>
        </w:tc>
        <w:tc>
          <w:tcPr>
            <w:tcW w:w="948" w:type="dxa"/>
            <w:noWrap/>
            <w:hideMark/>
          </w:tcPr>
          <w:p w14:paraId="57678E31"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1234</w:t>
            </w:r>
          </w:p>
        </w:tc>
        <w:tc>
          <w:tcPr>
            <w:tcW w:w="948" w:type="dxa"/>
            <w:noWrap/>
            <w:hideMark/>
          </w:tcPr>
          <w:p w14:paraId="3AC6E024"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1295</w:t>
            </w:r>
          </w:p>
        </w:tc>
        <w:tc>
          <w:tcPr>
            <w:tcW w:w="948" w:type="dxa"/>
            <w:noWrap/>
            <w:hideMark/>
          </w:tcPr>
          <w:p w14:paraId="7A91A5F5"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1360</w:t>
            </w:r>
          </w:p>
        </w:tc>
      </w:tr>
      <w:tr w:rsidR="009C0226" w:rsidRPr="0091517A" w14:paraId="08855F5E" w14:textId="77777777" w:rsidTr="00644456">
        <w:trPr>
          <w:trHeight w:val="300"/>
        </w:trPr>
        <w:tc>
          <w:tcPr>
            <w:tcW w:w="4326" w:type="dxa"/>
            <w:noWrap/>
            <w:hideMark/>
          </w:tcPr>
          <w:p w14:paraId="3AADB41C" w14:textId="77777777" w:rsidR="000F1149" w:rsidRPr="0091517A" w:rsidRDefault="000F1149" w:rsidP="000F1149">
            <w:pPr>
              <w:spacing w:after="0"/>
              <w:ind w:firstLineChars="100" w:firstLine="240"/>
              <w:rPr>
                <w:sz w:val="24"/>
                <w:szCs w:val="24"/>
                <w:lang w:eastAsia="lv-LV"/>
              </w:rPr>
            </w:pPr>
            <w:r w:rsidRPr="0091517A">
              <w:rPr>
                <w:sz w:val="24"/>
                <w:szCs w:val="24"/>
                <w:lang w:eastAsia="lv-LV"/>
              </w:rPr>
              <w:t>pieaugums faktiskajās cenās, %</w:t>
            </w:r>
          </w:p>
        </w:tc>
        <w:tc>
          <w:tcPr>
            <w:tcW w:w="0" w:type="auto"/>
            <w:noWrap/>
            <w:hideMark/>
          </w:tcPr>
          <w:p w14:paraId="34E36140"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5,0</w:t>
            </w:r>
          </w:p>
        </w:tc>
        <w:tc>
          <w:tcPr>
            <w:tcW w:w="948" w:type="dxa"/>
            <w:noWrap/>
            <w:hideMark/>
          </w:tcPr>
          <w:p w14:paraId="1216AE3E"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4,0</w:t>
            </w:r>
          </w:p>
        </w:tc>
        <w:tc>
          <w:tcPr>
            <w:tcW w:w="948" w:type="dxa"/>
            <w:noWrap/>
            <w:hideMark/>
          </w:tcPr>
          <w:p w14:paraId="0B2739C6"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5,0</w:t>
            </w:r>
          </w:p>
        </w:tc>
        <w:tc>
          <w:tcPr>
            <w:tcW w:w="948" w:type="dxa"/>
            <w:noWrap/>
            <w:hideMark/>
          </w:tcPr>
          <w:p w14:paraId="7AE00BB6"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5,0</w:t>
            </w:r>
          </w:p>
        </w:tc>
        <w:tc>
          <w:tcPr>
            <w:tcW w:w="948" w:type="dxa"/>
            <w:noWrap/>
            <w:hideMark/>
          </w:tcPr>
          <w:p w14:paraId="002E3A76"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5,0</w:t>
            </w:r>
          </w:p>
        </w:tc>
      </w:tr>
      <w:tr w:rsidR="009C0226" w:rsidRPr="0091517A" w14:paraId="71BAFAB6" w14:textId="77777777" w:rsidTr="00644456">
        <w:trPr>
          <w:trHeight w:val="315"/>
        </w:trPr>
        <w:tc>
          <w:tcPr>
            <w:tcW w:w="4326" w:type="dxa"/>
            <w:noWrap/>
            <w:hideMark/>
          </w:tcPr>
          <w:p w14:paraId="7FA849DA" w14:textId="77777777" w:rsidR="000F1149" w:rsidRPr="0091517A" w:rsidRDefault="000F1149" w:rsidP="000F1149">
            <w:pPr>
              <w:spacing w:after="0"/>
              <w:ind w:firstLineChars="100" w:firstLine="240"/>
              <w:rPr>
                <w:sz w:val="24"/>
                <w:szCs w:val="24"/>
                <w:lang w:eastAsia="lv-LV"/>
              </w:rPr>
            </w:pPr>
            <w:r w:rsidRPr="0091517A">
              <w:rPr>
                <w:sz w:val="24"/>
                <w:szCs w:val="24"/>
                <w:lang w:eastAsia="lv-LV"/>
              </w:rPr>
              <w:t>pieaugums salīdzināmās cenās, %</w:t>
            </w:r>
          </w:p>
        </w:tc>
        <w:tc>
          <w:tcPr>
            <w:tcW w:w="0" w:type="auto"/>
            <w:noWrap/>
            <w:hideMark/>
          </w:tcPr>
          <w:p w14:paraId="76261AF5"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4,8</w:t>
            </w:r>
          </w:p>
        </w:tc>
        <w:tc>
          <w:tcPr>
            <w:tcW w:w="948" w:type="dxa"/>
            <w:noWrap/>
            <w:hideMark/>
          </w:tcPr>
          <w:p w14:paraId="2EE513C7"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2,6</w:t>
            </w:r>
          </w:p>
        </w:tc>
        <w:tc>
          <w:tcPr>
            <w:tcW w:w="948" w:type="dxa"/>
            <w:noWrap/>
            <w:hideMark/>
          </w:tcPr>
          <w:p w14:paraId="25348CF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2,9</w:t>
            </w:r>
          </w:p>
        </w:tc>
        <w:tc>
          <w:tcPr>
            <w:tcW w:w="948" w:type="dxa"/>
            <w:noWrap/>
            <w:hideMark/>
          </w:tcPr>
          <w:p w14:paraId="6C119BA0"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2,9</w:t>
            </w:r>
          </w:p>
        </w:tc>
        <w:tc>
          <w:tcPr>
            <w:tcW w:w="948" w:type="dxa"/>
            <w:noWrap/>
            <w:hideMark/>
          </w:tcPr>
          <w:p w14:paraId="7A8C4188"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2,9</w:t>
            </w:r>
          </w:p>
        </w:tc>
      </w:tr>
      <w:tr w:rsidR="009C0226" w:rsidRPr="0091517A" w14:paraId="31251757" w14:textId="77777777" w:rsidTr="00644456">
        <w:trPr>
          <w:trHeight w:val="315"/>
        </w:trPr>
        <w:tc>
          <w:tcPr>
            <w:tcW w:w="4326" w:type="dxa"/>
            <w:shd w:val="clear" w:color="auto" w:fill="E2EFD9" w:themeFill="accent6" w:themeFillTint="33"/>
            <w:noWrap/>
            <w:hideMark/>
          </w:tcPr>
          <w:p w14:paraId="2D30FF25" w14:textId="77777777" w:rsidR="000F1149" w:rsidRPr="0091517A" w:rsidRDefault="000F1149" w:rsidP="000F1149">
            <w:pPr>
              <w:spacing w:after="0"/>
              <w:rPr>
                <w:sz w:val="24"/>
                <w:szCs w:val="24"/>
                <w:lang w:eastAsia="lv-LV"/>
              </w:rPr>
            </w:pPr>
            <w:r w:rsidRPr="0091517A">
              <w:rPr>
                <w:sz w:val="24"/>
                <w:szCs w:val="24"/>
                <w:lang w:eastAsia="lv-LV"/>
              </w:rPr>
              <w:t> </w:t>
            </w:r>
          </w:p>
        </w:tc>
        <w:tc>
          <w:tcPr>
            <w:tcW w:w="0" w:type="auto"/>
            <w:shd w:val="clear" w:color="auto" w:fill="E2EFD9" w:themeFill="accent6" w:themeFillTint="33"/>
            <w:noWrap/>
            <w:hideMark/>
          </w:tcPr>
          <w:p w14:paraId="4BB8FEFD"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131B13DE"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10D5EAF7"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79A3CBDC"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1BD0B7BA"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r>
      <w:tr w:rsidR="009C0226" w:rsidRPr="0091517A" w14:paraId="2588A23A" w14:textId="77777777" w:rsidTr="00644456">
        <w:trPr>
          <w:trHeight w:val="570"/>
        </w:trPr>
        <w:tc>
          <w:tcPr>
            <w:tcW w:w="4326" w:type="dxa"/>
            <w:hideMark/>
          </w:tcPr>
          <w:p w14:paraId="76FD23FE" w14:textId="77777777" w:rsidR="000F1149" w:rsidRPr="0091517A" w:rsidRDefault="000F1149" w:rsidP="009C0226">
            <w:pPr>
              <w:spacing w:after="0"/>
              <w:ind w:firstLine="0"/>
              <w:rPr>
                <w:sz w:val="24"/>
                <w:szCs w:val="24"/>
                <w:lang w:eastAsia="lv-LV"/>
              </w:rPr>
            </w:pPr>
            <w:r w:rsidRPr="0091517A">
              <w:rPr>
                <w:sz w:val="24"/>
                <w:szCs w:val="24"/>
                <w:lang w:eastAsia="lv-LV"/>
              </w:rPr>
              <w:t>Nodarbinātība, tūkst. iedzīvotāju</w:t>
            </w:r>
            <w:r w:rsidRPr="0091517A">
              <w:rPr>
                <w:sz w:val="24"/>
                <w:szCs w:val="24"/>
                <w:lang w:eastAsia="lv-LV"/>
              </w:rPr>
              <w:br/>
              <w:t xml:space="preserve">(atbilstoši darbaspēka </w:t>
            </w:r>
            <w:proofErr w:type="spellStart"/>
            <w:r w:rsidRPr="0091517A">
              <w:rPr>
                <w:sz w:val="24"/>
                <w:szCs w:val="24"/>
                <w:lang w:eastAsia="lv-LV"/>
              </w:rPr>
              <w:t>apsekojumiem</w:t>
            </w:r>
            <w:proofErr w:type="spellEnd"/>
            <w:r w:rsidRPr="0091517A">
              <w:rPr>
                <w:sz w:val="24"/>
                <w:szCs w:val="24"/>
                <w:lang w:eastAsia="lv-LV"/>
              </w:rPr>
              <w:t>)</w:t>
            </w:r>
          </w:p>
        </w:tc>
        <w:tc>
          <w:tcPr>
            <w:tcW w:w="0" w:type="auto"/>
            <w:noWrap/>
            <w:hideMark/>
          </w:tcPr>
          <w:p w14:paraId="685ABABC"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893</w:t>
            </w:r>
          </w:p>
        </w:tc>
        <w:tc>
          <w:tcPr>
            <w:tcW w:w="948" w:type="dxa"/>
            <w:noWrap/>
            <w:hideMark/>
          </w:tcPr>
          <w:p w14:paraId="7BBABB0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890</w:t>
            </w:r>
          </w:p>
        </w:tc>
        <w:tc>
          <w:tcPr>
            <w:tcW w:w="948" w:type="dxa"/>
            <w:noWrap/>
            <w:hideMark/>
          </w:tcPr>
          <w:p w14:paraId="45A6CC1F"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898</w:t>
            </w:r>
          </w:p>
        </w:tc>
        <w:tc>
          <w:tcPr>
            <w:tcW w:w="948" w:type="dxa"/>
            <w:noWrap/>
            <w:hideMark/>
          </w:tcPr>
          <w:p w14:paraId="2AF19868"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901</w:t>
            </w:r>
          </w:p>
        </w:tc>
        <w:tc>
          <w:tcPr>
            <w:tcW w:w="948" w:type="dxa"/>
            <w:noWrap/>
            <w:hideMark/>
          </w:tcPr>
          <w:p w14:paraId="11708AC7"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901</w:t>
            </w:r>
          </w:p>
        </w:tc>
      </w:tr>
      <w:tr w:rsidR="009C0226" w:rsidRPr="0091517A" w14:paraId="56E3BF41" w14:textId="77777777" w:rsidTr="00644456">
        <w:trPr>
          <w:trHeight w:val="300"/>
        </w:trPr>
        <w:tc>
          <w:tcPr>
            <w:tcW w:w="4326" w:type="dxa"/>
            <w:noWrap/>
            <w:hideMark/>
          </w:tcPr>
          <w:p w14:paraId="05C44BD0" w14:textId="77777777" w:rsidR="000F1149" w:rsidRPr="0091517A" w:rsidRDefault="000F1149" w:rsidP="000F1149">
            <w:pPr>
              <w:spacing w:after="0"/>
              <w:ind w:firstLineChars="100" w:firstLine="240"/>
              <w:rPr>
                <w:sz w:val="24"/>
                <w:szCs w:val="24"/>
                <w:lang w:eastAsia="lv-LV"/>
              </w:rPr>
            </w:pPr>
            <w:r w:rsidRPr="0091517A">
              <w:rPr>
                <w:sz w:val="24"/>
                <w:szCs w:val="24"/>
                <w:lang w:eastAsia="lv-LV"/>
              </w:rPr>
              <w:t>pieaugums, %</w:t>
            </w:r>
          </w:p>
        </w:tc>
        <w:tc>
          <w:tcPr>
            <w:tcW w:w="0" w:type="auto"/>
            <w:noWrap/>
            <w:hideMark/>
          </w:tcPr>
          <w:p w14:paraId="569D1BA4"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-1,9</w:t>
            </w:r>
          </w:p>
        </w:tc>
        <w:tc>
          <w:tcPr>
            <w:tcW w:w="948" w:type="dxa"/>
            <w:noWrap/>
            <w:hideMark/>
          </w:tcPr>
          <w:p w14:paraId="643A3B71"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-0,4</w:t>
            </w:r>
          </w:p>
        </w:tc>
        <w:tc>
          <w:tcPr>
            <w:tcW w:w="948" w:type="dxa"/>
            <w:noWrap/>
            <w:hideMark/>
          </w:tcPr>
          <w:p w14:paraId="2907483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1,0</w:t>
            </w:r>
          </w:p>
        </w:tc>
        <w:tc>
          <w:tcPr>
            <w:tcW w:w="948" w:type="dxa"/>
            <w:noWrap/>
            <w:hideMark/>
          </w:tcPr>
          <w:p w14:paraId="176A9B4F"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0,3</w:t>
            </w:r>
          </w:p>
        </w:tc>
        <w:tc>
          <w:tcPr>
            <w:tcW w:w="948" w:type="dxa"/>
            <w:noWrap/>
            <w:hideMark/>
          </w:tcPr>
          <w:p w14:paraId="6FD4EF0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0,0</w:t>
            </w:r>
          </w:p>
        </w:tc>
      </w:tr>
      <w:tr w:rsidR="009C0226" w:rsidRPr="0091517A" w14:paraId="77B87184" w14:textId="77777777" w:rsidTr="00644456">
        <w:trPr>
          <w:trHeight w:val="585"/>
        </w:trPr>
        <w:tc>
          <w:tcPr>
            <w:tcW w:w="4326" w:type="dxa"/>
            <w:hideMark/>
          </w:tcPr>
          <w:p w14:paraId="7A2D126D" w14:textId="77777777" w:rsidR="000F1149" w:rsidRPr="0091517A" w:rsidRDefault="000F1149" w:rsidP="009C0226">
            <w:pPr>
              <w:spacing w:after="0"/>
              <w:ind w:firstLine="0"/>
              <w:rPr>
                <w:sz w:val="24"/>
                <w:szCs w:val="24"/>
                <w:lang w:eastAsia="lv-LV"/>
              </w:rPr>
            </w:pPr>
            <w:r w:rsidRPr="0091517A">
              <w:rPr>
                <w:sz w:val="24"/>
                <w:szCs w:val="24"/>
                <w:lang w:eastAsia="lv-LV"/>
              </w:rPr>
              <w:t xml:space="preserve">Bezdarba līmenis (gada vidējais), </w:t>
            </w:r>
            <w:r w:rsidRPr="0091517A">
              <w:rPr>
                <w:sz w:val="24"/>
                <w:szCs w:val="24"/>
                <w:lang w:eastAsia="lv-LV"/>
              </w:rPr>
              <w:br/>
              <w:t xml:space="preserve">% no ekon. aktīviem </w:t>
            </w:r>
            <w:proofErr w:type="spellStart"/>
            <w:r w:rsidRPr="0091517A">
              <w:rPr>
                <w:sz w:val="24"/>
                <w:szCs w:val="24"/>
                <w:lang w:eastAsia="lv-LV"/>
              </w:rPr>
              <w:t>iedzīv</w:t>
            </w:r>
            <w:proofErr w:type="spellEnd"/>
            <w:r w:rsidRPr="0091517A">
              <w:rPr>
                <w:sz w:val="24"/>
                <w:szCs w:val="24"/>
                <w:lang w:eastAsia="lv-LV"/>
              </w:rPr>
              <w:t>.</w:t>
            </w:r>
          </w:p>
        </w:tc>
        <w:tc>
          <w:tcPr>
            <w:tcW w:w="0" w:type="auto"/>
            <w:noWrap/>
            <w:hideMark/>
          </w:tcPr>
          <w:p w14:paraId="2E28DC6E"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8,2</w:t>
            </w:r>
          </w:p>
        </w:tc>
        <w:tc>
          <w:tcPr>
            <w:tcW w:w="948" w:type="dxa"/>
            <w:noWrap/>
            <w:hideMark/>
          </w:tcPr>
          <w:p w14:paraId="709D331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8,3</w:t>
            </w:r>
          </w:p>
        </w:tc>
        <w:tc>
          <w:tcPr>
            <w:tcW w:w="948" w:type="dxa"/>
            <w:noWrap/>
            <w:hideMark/>
          </w:tcPr>
          <w:p w14:paraId="59BEC07E"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7,1</w:t>
            </w:r>
          </w:p>
        </w:tc>
        <w:tc>
          <w:tcPr>
            <w:tcW w:w="948" w:type="dxa"/>
            <w:noWrap/>
            <w:hideMark/>
          </w:tcPr>
          <w:p w14:paraId="05EB7D6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6,3</w:t>
            </w:r>
          </w:p>
        </w:tc>
        <w:tc>
          <w:tcPr>
            <w:tcW w:w="948" w:type="dxa"/>
            <w:noWrap/>
            <w:hideMark/>
          </w:tcPr>
          <w:p w14:paraId="3637049B"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5,9</w:t>
            </w:r>
          </w:p>
        </w:tc>
      </w:tr>
      <w:tr w:rsidR="009C0226" w:rsidRPr="0091517A" w14:paraId="1DC99ED8" w14:textId="77777777" w:rsidTr="00644456">
        <w:trPr>
          <w:trHeight w:val="62"/>
        </w:trPr>
        <w:tc>
          <w:tcPr>
            <w:tcW w:w="4326" w:type="dxa"/>
            <w:shd w:val="clear" w:color="auto" w:fill="E2EFD9" w:themeFill="accent6" w:themeFillTint="33"/>
            <w:noWrap/>
            <w:hideMark/>
          </w:tcPr>
          <w:p w14:paraId="79E7D288" w14:textId="77777777" w:rsidR="000F1149" w:rsidRPr="0091517A" w:rsidRDefault="000F1149" w:rsidP="000F1149">
            <w:pPr>
              <w:spacing w:after="0"/>
              <w:rPr>
                <w:sz w:val="24"/>
                <w:szCs w:val="24"/>
                <w:lang w:eastAsia="lv-LV"/>
              </w:rPr>
            </w:pPr>
            <w:r w:rsidRPr="0091517A">
              <w:rPr>
                <w:sz w:val="24"/>
                <w:szCs w:val="24"/>
                <w:lang w:eastAsia="lv-LV"/>
              </w:rPr>
              <w:t> </w:t>
            </w:r>
          </w:p>
        </w:tc>
        <w:tc>
          <w:tcPr>
            <w:tcW w:w="0" w:type="auto"/>
            <w:shd w:val="clear" w:color="auto" w:fill="E2EFD9" w:themeFill="accent6" w:themeFillTint="33"/>
            <w:noWrap/>
            <w:hideMark/>
          </w:tcPr>
          <w:p w14:paraId="4D8495BB"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7270F72E"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72C78E27"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6CA5647A"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c>
          <w:tcPr>
            <w:tcW w:w="948" w:type="dxa"/>
            <w:shd w:val="clear" w:color="auto" w:fill="E2EFD9" w:themeFill="accent6" w:themeFillTint="33"/>
            <w:noWrap/>
            <w:hideMark/>
          </w:tcPr>
          <w:p w14:paraId="200C9555" w14:textId="77777777" w:rsidR="000F1149" w:rsidRPr="0091517A" w:rsidRDefault="000F1149" w:rsidP="000F1149">
            <w:pPr>
              <w:spacing w:after="0"/>
              <w:rPr>
                <w:color w:val="000000"/>
                <w:sz w:val="24"/>
                <w:szCs w:val="24"/>
                <w:lang w:eastAsia="lv-LV"/>
              </w:rPr>
            </w:pPr>
            <w:r w:rsidRPr="0091517A">
              <w:rPr>
                <w:color w:val="000000"/>
                <w:sz w:val="24"/>
                <w:szCs w:val="24"/>
                <w:lang w:eastAsia="lv-LV"/>
              </w:rPr>
              <w:t> </w:t>
            </w:r>
          </w:p>
        </w:tc>
      </w:tr>
      <w:tr w:rsidR="009C0226" w:rsidRPr="0091517A" w14:paraId="06D9C508" w14:textId="77777777" w:rsidTr="00644456">
        <w:trPr>
          <w:trHeight w:val="300"/>
        </w:trPr>
        <w:tc>
          <w:tcPr>
            <w:tcW w:w="4326" w:type="dxa"/>
            <w:hideMark/>
          </w:tcPr>
          <w:p w14:paraId="5ADF8A73" w14:textId="77777777" w:rsidR="000F1149" w:rsidRPr="0091517A" w:rsidRDefault="000F1149" w:rsidP="009C0226">
            <w:pPr>
              <w:spacing w:after="0"/>
              <w:ind w:firstLine="0"/>
              <w:rPr>
                <w:sz w:val="24"/>
                <w:szCs w:val="24"/>
                <w:lang w:eastAsia="lv-LV"/>
              </w:rPr>
            </w:pPr>
            <w:r w:rsidRPr="0091517A">
              <w:rPr>
                <w:sz w:val="24"/>
                <w:szCs w:val="24"/>
                <w:lang w:eastAsia="lv-LV"/>
              </w:rPr>
              <w:t>IKP salīdzināmajās cenās</w:t>
            </w:r>
          </w:p>
        </w:tc>
        <w:tc>
          <w:tcPr>
            <w:tcW w:w="0" w:type="auto"/>
            <w:noWrap/>
            <w:hideMark/>
          </w:tcPr>
          <w:p w14:paraId="4CCF50A4"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26597</w:t>
            </w:r>
          </w:p>
        </w:tc>
        <w:tc>
          <w:tcPr>
            <w:tcW w:w="948" w:type="dxa"/>
            <w:noWrap/>
            <w:hideMark/>
          </w:tcPr>
          <w:p w14:paraId="48558EE0"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27388</w:t>
            </w:r>
          </w:p>
        </w:tc>
        <w:tc>
          <w:tcPr>
            <w:tcW w:w="948" w:type="dxa"/>
            <w:noWrap/>
            <w:hideMark/>
          </w:tcPr>
          <w:p w14:paraId="1557056A"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28620</w:t>
            </w:r>
          </w:p>
        </w:tc>
        <w:tc>
          <w:tcPr>
            <w:tcW w:w="948" w:type="dxa"/>
            <w:noWrap/>
            <w:hideMark/>
          </w:tcPr>
          <w:p w14:paraId="46776569"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29523</w:t>
            </w:r>
          </w:p>
        </w:tc>
        <w:tc>
          <w:tcPr>
            <w:tcW w:w="948" w:type="dxa"/>
            <w:noWrap/>
            <w:hideMark/>
          </w:tcPr>
          <w:p w14:paraId="6D7A45EF"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30355</w:t>
            </w:r>
          </w:p>
        </w:tc>
      </w:tr>
      <w:tr w:rsidR="009C0226" w:rsidRPr="0091517A" w14:paraId="5D9F267A" w14:textId="77777777" w:rsidTr="00644456">
        <w:trPr>
          <w:trHeight w:val="300"/>
        </w:trPr>
        <w:tc>
          <w:tcPr>
            <w:tcW w:w="4326" w:type="dxa"/>
            <w:hideMark/>
          </w:tcPr>
          <w:p w14:paraId="6B688A43" w14:textId="77777777" w:rsidR="000F1149" w:rsidRPr="0091517A" w:rsidRDefault="000F1149" w:rsidP="009C0226">
            <w:pPr>
              <w:spacing w:after="0"/>
              <w:ind w:firstLine="0"/>
              <w:rPr>
                <w:sz w:val="24"/>
                <w:szCs w:val="24"/>
                <w:lang w:eastAsia="lv-LV"/>
              </w:rPr>
            </w:pPr>
            <w:r w:rsidRPr="0091517A">
              <w:rPr>
                <w:sz w:val="24"/>
                <w:szCs w:val="24"/>
                <w:lang w:eastAsia="lv-LV"/>
              </w:rPr>
              <w:t>Potenciālais IKP</w:t>
            </w:r>
          </w:p>
        </w:tc>
        <w:tc>
          <w:tcPr>
            <w:tcW w:w="0" w:type="auto"/>
            <w:noWrap/>
            <w:hideMark/>
          </w:tcPr>
          <w:p w14:paraId="248D1BAF"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27652</w:t>
            </w:r>
          </w:p>
        </w:tc>
        <w:tc>
          <w:tcPr>
            <w:tcW w:w="948" w:type="dxa"/>
            <w:noWrap/>
            <w:hideMark/>
          </w:tcPr>
          <w:p w14:paraId="546BDF6A"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28204</w:t>
            </w:r>
          </w:p>
        </w:tc>
        <w:tc>
          <w:tcPr>
            <w:tcW w:w="948" w:type="dxa"/>
            <w:noWrap/>
            <w:hideMark/>
          </w:tcPr>
          <w:p w14:paraId="4966D35A"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28835</w:t>
            </w:r>
          </w:p>
        </w:tc>
        <w:tc>
          <w:tcPr>
            <w:tcW w:w="948" w:type="dxa"/>
            <w:noWrap/>
            <w:hideMark/>
          </w:tcPr>
          <w:p w14:paraId="08C7087A"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29515</w:t>
            </w:r>
          </w:p>
        </w:tc>
        <w:tc>
          <w:tcPr>
            <w:tcW w:w="948" w:type="dxa"/>
            <w:noWrap/>
            <w:hideMark/>
          </w:tcPr>
          <w:p w14:paraId="569CEF8F" w14:textId="77777777" w:rsidR="000F1149" w:rsidRPr="0091517A" w:rsidRDefault="000F1149" w:rsidP="0091517A">
            <w:pPr>
              <w:spacing w:after="0"/>
              <w:ind w:firstLine="0"/>
              <w:jc w:val="right"/>
              <w:rPr>
                <w:color w:val="000000"/>
                <w:sz w:val="24"/>
                <w:szCs w:val="24"/>
                <w:lang w:eastAsia="lv-LV"/>
              </w:rPr>
            </w:pPr>
            <w:r w:rsidRPr="0091517A">
              <w:rPr>
                <w:color w:val="000000"/>
                <w:sz w:val="24"/>
                <w:szCs w:val="24"/>
                <w:lang w:eastAsia="lv-LV"/>
              </w:rPr>
              <w:t>30346</w:t>
            </w:r>
          </w:p>
        </w:tc>
      </w:tr>
      <w:tr w:rsidR="009C0226" w:rsidRPr="0091517A" w14:paraId="1DCF160F" w14:textId="77777777" w:rsidTr="00644456">
        <w:trPr>
          <w:trHeight w:val="300"/>
        </w:trPr>
        <w:tc>
          <w:tcPr>
            <w:tcW w:w="4326" w:type="dxa"/>
            <w:hideMark/>
          </w:tcPr>
          <w:p w14:paraId="3D93F4E1" w14:textId="77777777" w:rsidR="000F1149" w:rsidRPr="0091517A" w:rsidRDefault="000F1149" w:rsidP="000F1149">
            <w:pPr>
              <w:spacing w:after="0"/>
              <w:ind w:firstLineChars="100" w:firstLine="240"/>
              <w:rPr>
                <w:sz w:val="24"/>
                <w:szCs w:val="24"/>
                <w:lang w:eastAsia="lv-LV"/>
              </w:rPr>
            </w:pPr>
            <w:r w:rsidRPr="0091517A">
              <w:rPr>
                <w:sz w:val="24"/>
                <w:szCs w:val="24"/>
                <w:lang w:eastAsia="lv-LV"/>
              </w:rPr>
              <w:t>Potenciālā IKP pieaugums</w:t>
            </w:r>
          </w:p>
        </w:tc>
        <w:tc>
          <w:tcPr>
            <w:tcW w:w="0" w:type="auto"/>
            <w:noWrap/>
            <w:hideMark/>
          </w:tcPr>
          <w:p w14:paraId="70263E6B"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1,8</w:t>
            </w:r>
          </w:p>
        </w:tc>
        <w:tc>
          <w:tcPr>
            <w:tcW w:w="948" w:type="dxa"/>
            <w:noWrap/>
            <w:hideMark/>
          </w:tcPr>
          <w:p w14:paraId="0635712E"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2,0</w:t>
            </w:r>
          </w:p>
        </w:tc>
        <w:tc>
          <w:tcPr>
            <w:tcW w:w="948" w:type="dxa"/>
            <w:noWrap/>
            <w:hideMark/>
          </w:tcPr>
          <w:p w14:paraId="4B43B12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2,2</w:t>
            </w:r>
          </w:p>
        </w:tc>
        <w:tc>
          <w:tcPr>
            <w:tcW w:w="948" w:type="dxa"/>
            <w:noWrap/>
            <w:hideMark/>
          </w:tcPr>
          <w:p w14:paraId="7EF0DF6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2,4</w:t>
            </w:r>
          </w:p>
        </w:tc>
        <w:tc>
          <w:tcPr>
            <w:tcW w:w="948" w:type="dxa"/>
            <w:noWrap/>
            <w:hideMark/>
          </w:tcPr>
          <w:p w14:paraId="79B7DE10"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2,8</w:t>
            </w:r>
          </w:p>
        </w:tc>
      </w:tr>
      <w:tr w:rsidR="009C0226" w:rsidRPr="0091517A" w14:paraId="78777D5D" w14:textId="77777777" w:rsidTr="00644456">
        <w:trPr>
          <w:trHeight w:val="300"/>
        </w:trPr>
        <w:tc>
          <w:tcPr>
            <w:tcW w:w="4326" w:type="dxa"/>
            <w:noWrap/>
            <w:hideMark/>
          </w:tcPr>
          <w:p w14:paraId="2C8DF5DF" w14:textId="77777777" w:rsidR="000F1149" w:rsidRPr="0091517A" w:rsidRDefault="000F1149" w:rsidP="000F1149">
            <w:pPr>
              <w:spacing w:after="0"/>
              <w:ind w:firstLineChars="200" w:firstLine="480"/>
              <w:rPr>
                <w:sz w:val="24"/>
                <w:szCs w:val="24"/>
                <w:lang w:eastAsia="lv-LV"/>
              </w:rPr>
            </w:pPr>
            <w:r w:rsidRPr="0091517A">
              <w:rPr>
                <w:sz w:val="24"/>
                <w:szCs w:val="24"/>
                <w:lang w:eastAsia="lv-LV"/>
              </w:rPr>
              <w:t>Darbaspēks</w:t>
            </w:r>
          </w:p>
        </w:tc>
        <w:tc>
          <w:tcPr>
            <w:tcW w:w="0" w:type="auto"/>
            <w:noWrap/>
            <w:hideMark/>
          </w:tcPr>
          <w:p w14:paraId="5D1E3D3C"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0,0</w:t>
            </w:r>
          </w:p>
        </w:tc>
        <w:tc>
          <w:tcPr>
            <w:tcW w:w="948" w:type="dxa"/>
            <w:noWrap/>
            <w:hideMark/>
          </w:tcPr>
          <w:p w14:paraId="6C1FFCB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-0,1</w:t>
            </w:r>
          </w:p>
        </w:tc>
        <w:tc>
          <w:tcPr>
            <w:tcW w:w="948" w:type="dxa"/>
            <w:noWrap/>
            <w:hideMark/>
          </w:tcPr>
          <w:p w14:paraId="222FC59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-0,2</w:t>
            </w:r>
          </w:p>
        </w:tc>
        <w:tc>
          <w:tcPr>
            <w:tcW w:w="948" w:type="dxa"/>
            <w:noWrap/>
            <w:hideMark/>
          </w:tcPr>
          <w:p w14:paraId="1DBCE1B1"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-0,3</w:t>
            </w:r>
          </w:p>
        </w:tc>
        <w:tc>
          <w:tcPr>
            <w:tcW w:w="948" w:type="dxa"/>
            <w:noWrap/>
            <w:hideMark/>
          </w:tcPr>
          <w:p w14:paraId="722B0BF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-0,3</w:t>
            </w:r>
          </w:p>
        </w:tc>
      </w:tr>
      <w:tr w:rsidR="009C0226" w:rsidRPr="0091517A" w14:paraId="79B934B1" w14:textId="77777777" w:rsidTr="00644456">
        <w:trPr>
          <w:trHeight w:val="300"/>
        </w:trPr>
        <w:tc>
          <w:tcPr>
            <w:tcW w:w="4326" w:type="dxa"/>
            <w:noWrap/>
            <w:hideMark/>
          </w:tcPr>
          <w:p w14:paraId="1B114941" w14:textId="77777777" w:rsidR="000F1149" w:rsidRPr="0091517A" w:rsidRDefault="000F1149" w:rsidP="000F1149">
            <w:pPr>
              <w:spacing w:after="0"/>
              <w:ind w:firstLineChars="200" w:firstLine="480"/>
              <w:rPr>
                <w:sz w:val="24"/>
                <w:szCs w:val="24"/>
                <w:lang w:eastAsia="lv-LV"/>
              </w:rPr>
            </w:pPr>
            <w:r w:rsidRPr="0091517A">
              <w:rPr>
                <w:sz w:val="24"/>
                <w:szCs w:val="24"/>
                <w:lang w:eastAsia="lv-LV"/>
              </w:rPr>
              <w:t>Kapitāls</w:t>
            </w:r>
          </w:p>
        </w:tc>
        <w:tc>
          <w:tcPr>
            <w:tcW w:w="0" w:type="auto"/>
            <w:noWrap/>
            <w:hideMark/>
          </w:tcPr>
          <w:p w14:paraId="01340ED2"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0,8</w:t>
            </w:r>
          </w:p>
        </w:tc>
        <w:tc>
          <w:tcPr>
            <w:tcW w:w="948" w:type="dxa"/>
            <w:noWrap/>
            <w:hideMark/>
          </w:tcPr>
          <w:p w14:paraId="4529375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0,9</w:t>
            </w:r>
          </w:p>
        </w:tc>
        <w:tc>
          <w:tcPr>
            <w:tcW w:w="948" w:type="dxa"/>
            <w:noWrap/>
            <w:hideMark/>
          </w:tcPr>
          <w:p w14:paraId="593D3FD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1,0</w:t>
            </w:r>
          </w:p>
        </w:tc>
        <w:tc>
          <w:tcPr>
            <w:tcW w:w="948" w:type="dxa"/>
            <w:noWrap/>
            <w:hideMark/>
          </w:tcPr>
          <w:p w14:paraId="1DC7706E"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1,0</w:t>
            </w:r>
          </w:p>
        </w:tc>
        <w:tc>
          <w:tcPr>
            <w:tcW w:w="948" w:type="dxa"/>
            <w:noWrap/>
            <w:hideMark/>
          </w:tcPr>
          <w:p w14:paraId="0730E476"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1,0</w:t>
            </w:r>
          </w:p>
        </w:tc>
      </w:tr>
      <w:tr w:rsidR="009C0226" w:rsidRPr="0091517A" w14:paraId="55268EB9" w14:textId="77777777" w:rsidTr="00644456">
        <w:trPr>
          <w:trHeight w:val="300"/>
        </w:trPr>
        <w:tc>
          <w:tcPr>
            <w:tcW w:w="4326" w:type="dxa"/>
            <w:noWrap/>
            <w:hideMark/>
          </w:tcPr>
          <w:p w14:paraId="5127627C" w14:textId="77777777" w:rsidR="000F1149" w:rsidRPr="0091517A" w:rsidRDefault="000F1149" w:rsidP="000F1149">
            <w:pPr>
              <w:spacing w:after="0"/>
              <w:ind w:firstLineChars="200" w:firstLine="480"/>
              <w:rPr>
                <w:sz w:val="24"/>
                <w:szCs w:val="24"/>
                <w:lang w:eastAsia="lv-LV"/>
              </w:rPr>
            </w:pPr>
            <w:r w:rsidRPr="0091517A">
              <w:rPr>
                <w:sz w:val="24"/>
                <w:szCs w:val="24"/>
                <w:lang w:eastAsia="lv-LV"/>
              </w:rPr>
              <w:t>Faktoru produktivitāte</w:t>
            </w:r>
          </w:p>
        </w:tc>
        <w:tc>
          <w:tcPr>
            <w:tcW w:w="0" w:type="auto"/>
            <w:noWrap/>
            <w:hideMark/>
          </w:tcPr>
          <w:p w14:paraId="6EFA165F"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1,0</w:t>
            </w:r>
          </w:p>
        </w:tc>
        <w:tc>
          <w:tcPr>
            <w:tcW w:w="948" w:type="dxa"/>
            <w:noWrap/>
            <w:hideMark/>
          </w:tcPr>
          <w:p w14:paraId="0B3926DD"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1,2</w:t>
            </w:r>
          </w:p>
        </w:tc>
        <w:tc>
          <w:tcPr>
            <w:tcW w:w="948" w:type="dxa"/>
            <w:noWrap/>
            <w:hideMark/>
          </w:tcPr>
          <w:p w14:paraId="2A949293"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1,4</w:t>
            </w:r>
          </w:p>
        </w:tc>
        <w:tc>
          <w:tcPr>
            <w:tcW w:w="948" w:type="dxa"/>
            <w:noWrap/>
            <w:hideMark/>
          </w:tcPr>
          <w:p w14:paraId="20C7E446"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1,7</w:t>
            </w:r>
          </w:p>
        </w:tc>
        <w:tc>
          <w:tcPr>
            <w:tcW w:w="948" w:type="dxa"/>
            <w:noWrap/>
            <w:hideMark/>
          </w:tcPr>
          <w:p w14:paraId="2F8D2739"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2,2</w:t>
            </w:r>
          </w:p>
        </w:tc>
      </w:tr>
      <w:tr w:rsidR="009C0226" w:rsidRPr="0091517A" w14:paraId="34B9B9BD" w14:textId="77777777" w:rsidTr="00644456">
        <w:trPr>
          <w:trHeight w:val="315"/>
        </w:trPr>
        <w:tc>
          <w:tcPr>
            <w:tcW w:w="4326" w:type="dxa"/>
            <w:hideMark/>
          </w:tcPr>
          <w:p w14:paraId="433E20F4" w14:textId="77777777" w:rsidR="000F1149" w:rsidRPr="0091517A" w:rsidRDefault="000F1149" w:rsidP="000F1149">
            <w:pPr>
              <w:spacing w:after="0"/>
              <w:rPr>
                <w:sz w:val="24"/>
                <w:szCs w:val="24"/>
                <w:lang w:eastAsia="lv-LV"/>
              </w:rPr>
            </w:pPr>
            <w:r w:rsidRPr="0091517A">
              <w:rPr>
                <w:sz w:val="24"/>
                <w:szCs w:val="24"/>
                <w:lang w:eastAsia="lv-LV"/>
              </w:rPr>
              <w:t>Izlaižu starpība</w:t>
            </w:r>
          </w:p>
        </w:tc>
        <w:tc>
          <w:tcPr>
            <w:tcW w:w="0" w:type="auto"/>
            <w:noWrap/>
            <w:hideMark/>
          </w:tcPr>
          <w:p w14:paraId="41831100"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-3,8</w:t>
            </w:r>
          </w:p>
        </w:tc>
        <w:tc>
          <w:tcPr>
            <w:tcW w:w="948" w:type="dxa"/>
            <w:noWrap/>
            <w:hideMark/>
          </w:tcPr>
          <w:p w14:paraId="5C2FF71A"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-2,9</w:t>
            </w:r>
          </w:p>
        </w:tc>
        <w:tc>
          <w:tcPr>
            <w:tcW w:w="948" w:type="dxa"/>
            <w:noWrap/>
            <w:hideMark/>
          </w:tcPr>
          <w:p w14:paraId="372792F0"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-0,7</w:t>
            </w:r>
          </w:p>
        </w:tc>
        <w:tc>
          <w:tcPr>
            <w:tcW w:w="948" w:type="dxa"/>
            <w:noWrap/>
            <w:hideMark/>
          </w:tcPr>
          <w:p w14:paraId="043CC9A6"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0,0</w:t>
            </w:r>
          </w:p>
        </w:tc>
        <w:tc>
          <w:tcPr>
            <w:tcW w:w="948" w:type="dxa"/>
            <w:noWrap/>
            <w:hideMark/>
          </w:tcPr>
          <w:p w14:paraId="2B108B38" w14:textId="77777777" w:rsidR="000F1149" w:rsidRPr="0091517A" w:rsidRDefault="000F1149" w:rsidP="000F1149">
            <w:pPr>
              <w:spacing w:after="0"/>
              <w:ind w:firstLineChars="100" w:firstLine="240"/>
              <w:jc w:val="right"/>
              <w:rPr>
                <w:color w:val="000000"/>
                <w:sz w:val="24"/>
                <w:szCs w:val="24"/>
                <w:lang w:eastAsia="lv-LV"/>
              </w:rPr>
            </w:pPr>
            <w:r w:rsidRPr="0091517A">
              <w:rPr>
                <w:color w:val="000000"/>
                <w:sz w:val="24"/>
                <w:szCs w:val="24"/>
                <w:lang w:eastAsia="lv-LV"/>
              </w:rPr>
              <w:t>0,0</w:t>
            </w:r>
          </w:p>
        </w:tc>
      </w:tr>
    </w:tbl>
    <w:p w14:paraId="54174BB2" w14:textId="77777777" w:rsidR="000F1149" w:rsidRPr="0091517A" w:rsidRDefault="000F1149" w:rsidP="000F1149">
      <w:pPr>
        <w:spacing w:before="240" w:after="60"/>
        <w:rPr>
          <w:i/>
          <w:sz w:val="24"/>
          <w:szCs w:val="24"/>
        </w:rPr>
      </w:pPr>
      <w:r w:rsidRPr="0091517A">
        <w:rPr>
          <w:i/>
          <w:sz w:val="24"/>
          <w:szCs w:val="24"/>
        </w:rPr>
        <w:t>*2020.gads - novērtējums</w:t>
      </w:r>
    </w:p>
    <w:p w14:paraId="3955A453" w14:textId="77777777" w:rsidR="001D0668" w:rsidRDefault="001D0668" w:rsidP="00B25A98">
      <w:pPr>
        <w:jc w:val="center"/>
        <w:rPr>
          <w:b/>
          <w:sz w:val="24"/>
        </w:rPr>
      </w:pPr>
    </w:p>
    <w:p w14:paraId="75D7B959" w14:textId="60563FF9" w:rsidR="00901DB7" w:rsidRDefault="00AC5D62" w:rsidP="00AC5D62">
      <w:pPr>
        <w:shd w:val="clear" w:color="auto" w:fill="D9D9D9" w:themeFill="background1" w:themeFillShade="D9"/>
        <w:jc w:val="center"/>
        <w:rPr>
          <w:b/>
          <w:sz w:val="24"/>
        </w:rPr>
      </w:pPr>
      <w:r>
        <w:rPr>
          <w:b/>
          <w:sz w:val="24"/>
        </w:rPr>
        <w:t xml:space="preserve">2. </w:t>
      </w:r>
      <w:r w:rsidR="00B25A98">
        <w:rPr>
          <w:b/>
          <w:sz w:val="24"/>
        </w:rPr>
        <w:t xml:space="preserve">Vispārējās valdības </w:t>
      </w:r>
      <w:r w:rsidR="00B25A98" w:rsidRPr="009961A2">
        <w:rPr>
          <w:b/>
          <w:sz w:val="24"/>
        </w:rPr>
        <w:t>parāds</w:t>
      </w:r>
      <w:r w:rsidR="00B25A98">
        <w:rPr>
          <w:b/>
          <w:sz w:val="24"/>
        </w:rPr>
        <w:t xml:space="preserve"> un kredītreitings</w:t>
      </w:r>
    </w:p>
    <w:p w14:paraId="6FEE89E2" w14:textId="50591D47" w:rsidR="00B25A98" w:rsidRDefault="00901DB7" w:rsidP="001D0668">
      <w:pPr>
        <w:tabs>
          <w:tab w:val="left" w:pos="1093"/>
        </w:tabs>
        <w:rPr>
          <w:sz w:val="24"/>
        </w:rPr>
      </w:pPr>
      <w:r>
        <w:rPr>
          <w:sz w:val="24"/>
        </w:rPr>
        <w:tab/>
      </w:r>
      <w:r w:rsidR="00B25A98" w:rsidRPr="00E64DA6">
        <w:rPr>
          <w:sz w:val="24"/>
        </w:rPr>
        <w:t>Covid-19 uzliesmojums izraisīja nepieciešamību 2020.gad</w:t>
      </w:r>
      <w:r w:rsidR="00B25A98">
        <w:rPr>
          <w:sz w:val="24"/>
        </w:rPr>
        <w:t>ā</w:t>
      </w:r>
      <w:r w:rsidR="00B25A98" w:rsidRPr="00E64DA6">
        <w:rPr>
          <w:sz w:val="24"/>
        </w:rPr>
        <w:t xml:space="preserve"> </w:t>
      </w:r>
      <w:r w:rsidR="00B25A98">
        <w:rPr>
          <w:sz w:val="24"/>
        </w:rPr>
        <w:t xml:space="preserve">ievērojamā apjomā </w:t>
      </w:r>
      <w:r w:rsidR="00B25A98" w:rsidRPr="00E64DA6">
        <w:rPr>
          <w:sz w:val="24"/>
        </w:rPr>
        <w:t xml:space="preserve">nodrošināt </w:t>
      </w:r>
      <w:r w:rsidR="00B25A98">
        <w:rPr>
          <w:sz w:val="24"/>
        </w:rPr>
        <w:t xml:space="preserve">finansējumu </w:t>
      </w:r>
      <w:r w:rsidR="00B25A98" w:rsidRPr="00E64DA6">
        <w:rPr>
          <w:sz w:val="24"/>
        </w:rPr>
        <w:t>Covid-19 uzliesmojuma ietekmes mazināšanai un ekonomikas atbalstam ārkārtas situācijā, veicot aizņemšanos finanšu tirgos</w:t>
      </w:r>
      <w:r w:rsidR="00B25A98">
        <w:rPr>
          <w:sz w:val="24"/>
        </w:rPr>
        <w:t xml:space="preserve"> un no starptautiskajām </w:t>
      </w:r>
      <w:r w:rsidR="00B25A98">
        <w:rPr>
          <w:sz w:val="24"/>
        </w:rPr>
        <w:lastRenderedPageBreak/>
        <w:t>institūcijām</w:t>
      </w:r>
      <w:r w:rsidR="00B25A98" w:rsidRPr="00E64DA6">
        <w:rPr>
          <w:sz w:val="24"/>
        </w:rPr>
        <w:t xml:space="preserve">, kā rezultātā ievērojami pieauga </w:t>
      </w:r>
      <w:r w:rsidR="00B25A98">
        <w:rPr>
          <w:sz w:val="24"/>
        </w:rPr>
        <w:t>vispārējās valdības</w:t>
      </w:r>
      <w:r w:rsidR="00B25A98" w:rsidRPr="00E64DA6">
        <w:rPr>
          <w:sz w:val="24"/>
        </w:rPr>
        <w:t xml:space="preserve"> parāds.</w:t>
      </w:r>
      <w:r w:rsidR="00B25A98">
        <w:rPr>
          <w:sz w:val="24"/>
        </w:rPr>
        <w:t xml:space="preserve"> Saskaņā ar operatīvo novērtējumu, 2020.gada beigās vispārējās valdības parāds pēc Eiropas kontu sistēmas metodoloģijas, ņemot vērā Finanšu ministrijas aktualizētas makroekonomisko rādītāju prognozes, veidoja ~44% no IKP (informācija par vispārējās valdības parāda faktisko izpildi būs pieejama 2021.gada aprīlī atbilstoši vispārējās valdības budžeta un parāda notifikācijai). </w:t>
      </w:r>
    </w:p>
    <w:p w14:paraId="2D2C9B5D" w14:textId="77777777" w:rsidR="00B25A98" w:rsidRPr="00985DDF" w:rsidRDefault="00B25A98" w:rsidP="00B25A98">
      <w:pPr>
        <w:ind w:firstLine="567"/>
        <w:rPr>
          <w:sz w:val="24"/>
        </w:rPr>
      </w:pPr>
      <w:r>
        <w:rPr>
          <w:sz w:val="24"/>
        </w:rPr>
        <w:t xml:space="preserve">Arvien jaunu </w:t>
      </w:r>
      <w:r w:rsidRPr="00E8024F">
        <w:rPr>
          <w:sz w:val="24"/>
        </w:rPr>
        <w:t>Covid-19 uzliesmojuma ietekmes mazināšana</w:t>
      </w:r>
      <w:r>
        <w:rPr>
          <w:sz w:val="24"/>
        </w:rPr>
        <w:t>s</w:t>
      </w:r>
      <w:r w:rsidRPr="00E8024F">
        <w:rPr>
          <w:sz w:val="24"/>
        </w:rPr>
        <w:t xml:space="preserve"> un ekonomikas atbalsta</w:t>
      </w:r>
      <w:r>
        <w:rPr>
          <w:sz w:val="24"/>
        </w:rPr>
        <w:t xml:space="preserve"> pasākumu īstenošana 2021.gadā turpinās ietekmēt vispārējās valdības parāda tendences, jo finansējums šo pasākumu finansēšanai būs jānodrošina ar aizņēmumiem iekšējā un starptautiskajos tirgos, papildus izmantojot finansiāli izdevīgas aizņemšanās iespējas no starptautiskajām institūcijām (piemēram, izmantojot Eiropas Komisijas </w:t>
      </w:r>
      <w:r w:rsidRPr="00DC2B0F">
        <w:rPr>
          <w:sz w:val="24"/>
        </w:rPr>
        <w:t>pagaidu atbalst</w:t>
      </w:r>
      <w:r>
        <w:rPr>
          <w:sz w:val="24"/>
        </w:rPr>
        <w:t>a</w:t>
      </w:r>
      <w:r w:rsidRPr="00DC2B0F">
        <w:rPr>
          <w:sz w:val="24"/>
        </w:rPr>
        <w:t xml:space="preserve"> </w:t>
      </w:r>
      <w:r>
        <w:rPr>
          <w:sz w:val="24"/>
        </w:rPr>
        <w:t xml:space="preserve">instrumentu </w:t>
      </w:r>
      <w:r w:rsidRPr="00DC2B0F">
        <w:rPr>
          <w:sz w:val="24"/>
        </w:rPr>
        <w:t>bezdarba risku mazināšanai ārkārtas situācijā</w:t>
      </w:r>
      <w:r>
        <w:rPr>
          <w:sz w:val="24"/>
        </w:rPr>
        <w:t xml:space="preserve"> – SURE).</w:t>
      </w:r>
      <w:r w:rsidRPr="005D1357">
        <w:t xml:space="preserve"> </w:t>
      </w:r>
      <w:r w:rsidRPr="005D1357">
        <w:rPr>
          <w:sz w:val="24"/>
        </w:rPr>
        <w:t xml:space="preserve">Lai mazinātu </w:t>
      </w:r>
      <w:r>
        <w:rPr>
          <w:sz w:val="24"/>
        </w:rPr>
        <w:t>ārkārtas situācijas apstākļos</w:t>
      </w:r>
      <w:r w:rsidRPr="005D1357">
        <w:rPr>
          <w:sz w:val="24"/>
        </w:rPr>
        <w:t xml:space="preserve"> </w:t>
      </w:r>
      <w:r>
        <w:rPr>
          <w:sz w:val="24"/>
        </w:rPr>
        <w:t xml:space="preserve">veicamo aizņēmumu </w:t>
      </w:r>
      <w:r w:rsidRPr="005D1357">
        <w:rPr>
          <w:sz w:val="24"/>
        </w:rPr>
        <w:t xml:space="preserve">izmaksu (procentu izdevumu) ietekmi uz valsts budžetu vidējā termiņā, </w:t>
      </w:r>
      <w:r>
        <w:rPr>
          <w:sz w:val="24"/>
        </w:rPr>
        <w:t xml:space="preserve">aizņemšanās tiks veikta </w:t>
      </w:r>
      <w:r w:rsidRPr="005D1357">
        <w:rPr>
          <w:sz w:val="24"/>
        </w:rPr>
        <w:t>ar iespējami zemākām (tuvu nullei</w:t>
      </w:r>
      <w:r>
        <w:rPr>
          <w:sz w:val="24"/>
        </w:rPr>
        <w:t xml:space="preserve"> vai negatīvām</w:t>
      </w:r>
      <w:r w:rsidRPr="005D1357">
        <w:rPr>
          <w:sz w:val="24"/>
        </w:rPr>
        <w:t>) procentu likmēm, vienlaikus ievērojot valsts parāda portfeļa vadības principus un nepalielinot valsts parāda pārfinansēšanas risku tuvākajos gados.</w:t>
      </w:r>
    </w:p>
    <w:p w14:paraId="235106CB" w14:textId="3490CDF2" w:rsidR="00B25A98" w:rsidRDefault="00B25A98" w:rsidP="00B25A98">
      <w:pPr>
        <w:ind w:firstLine="567"/>
        <w:rPr>
          <w:sz w:val="24"/>
        </w:rPr>
      </w:pPr>
      <w:r>
        <w:rPr>
          <w:sz w:val="24"/>
        </w:rPr>
        <w:t>Atbilstoši aktuālajam novērtējumam sagaidāms, ka nepieciešamība nodrošināt finanšu resursus līdz 2021.gada 17.februārim pieņemto Ministru kabineta lēmumu par apropriācijas palielināšanu budžeta resora “</w:t>
      </w:r>
      <w:r w:rsidRPr="00F24CCD">
        <w:rPr>
          <w:sz w:val="24"/>
        </w:rPr>
        <w:t>74. Gadskārtējā valsts budžeta izpildes procesā pārdalāmais finansējums</w:t>
      </w:r>
      <w:r>
        <w:rPr>
          <w:sz w:val="24"/>
        </w:rPr>
        <w:t>” programmā 02.00.00 “</w:t>
      </w:r>
      <w:r w:rsidRPr="00F24CCD">
        <w:rPr>
          <w:sz w:val="24"/>
        </w:rPr>
        <w:t>Līdzekļi neparedzētiem gadījumiem</w:t>
      </w:r>
      <w:r>
        <w:rPr>
          <w:sz w:val="24"/>
        </w:rPr>
        <w:t>”</w:t>
      </w:r>
      <w:r w:rsidRPr="00F24CCD">
        <w:rPr>
          <w:sz w:val="24"/>
        </w:rPr>
        <w:t xml:space="preserve"> </w:t>
      </w:r>
      <w:r>
        <w:rPr>
          <w:sz w:val="24"/>
        </w:rPr>
        <w:t>8</w:t>
      </w:r>
      <w:r w:rsidRPr="00F24CCD">
        <w:rPr>
          <w:sz w:val="24"/>
        </w:rPr>
        <w:t xml:space="preserve">00 </w:t>
      </w:r>
      <w:r>
        <w:rPr>
          <w:sz w:val="24"/>
        </w:rPr>
        <w:t>milj.</w:t>
      </w:r>
      <w:r w:rsidR="00644456">
        <w:rPr>
          <w:sz w:val="24"/>
        </w:rPr>
        <w:t xml:space="preserve"> </w:t>
      </w:r>
      <w:proofErr w:type="spellStart"/>
      <w:r w:rsidR="00644456" w:rsidRPr="00644456">
        <w:rPr>
          <w:i/>
          <w:sz w:val="24"/>
        </w:rPr>
        <w:t>euro</w:t>
      </w:r>
      <w:proofErr w:type="spellEnd"/>
      <w:r w:rsidRPr="00F24CCD">
        <w:rPr>
          <w:sz w:val="24"/>
        </w:rPr>
        <w:t xml:space="preserve"> apmērā</w:t>
      </w:r>
      <w:r>
        <w:rPr>
          <w:sz w:val="24"/>
        </w:rPr>
        <w:t xml:space="preserve"> </w:t>
      </w:r>
      <w:r w:rsidRPr="00F24CCD">
        <w:rPr>
          <w:sz w:val="24"/>
        </w:rPr>
        <w:t>valsts apdraudējuma un tā seku novēršanas un pārvarēšanas pasākumiem sakarā ar Covid-19 izplatību</w:t>
      </w:r>
      <w:r>
        <w:rPr>
          <w:sz w:val="24"/>
        </w:rPr>
        <w:t xml:space="preserve"> izraisīs vispārējās valdības parāda pieaugumu 2021.gadā līdz ~47% no IKP (skat. attēlu)</w:t>
      </w:r>
      <w:r w:rsidRPr="00F24CCD">
        <w:rPr>
          <w:sz w:val="24"/>
        </w:rPr>
        <w:t>.</w:t>
      </w:r>
      <w:r>
        <w:rPr>
          <w:sz w:val="24"/>
        </w:rPr>
        <w:t xml:space="preserve"> Savukārt, budžeta finansējuma piešķiršana pilnā provizoriski novērtētajā iespējamajā apjomā papildu </w:t>
      </w:r>
      <w:r w:rsidRPr="00DE5C83">
        <w:rPr>
          <w:sz w:val="24"/>
        </w:rPr>
        <w:t>Covid-19 uzliesmojuma ietekmes maz</w:t>
      </w:r>
      <w:r>
        <w:rPr>
          <w:sz w:val="24"/>
        </w:rPr>
        <w:t>ināšanai un ekonomikas atbalsta pasākumu finansēšanai izraisītu vispārējās valdības parāda pieaugumu 2021.gadā līdz ~50% no IKP. Tomēr, neskatoties uz vispārējās valdības parāda līmeņa pieaugumu, ko ietekmē ar Covid-19 saistīto pasākumu finansēšanas nepieciešamība, šai ietekmei būtu īstermiņa raksturs, kas vidējā termiņā un ilgtermiņā neizraisītu risku vispārējās valdības parāda ilgtspējai.</w:t>
      </w:r>
    </w:p>
    <w:p w14:paraId="767E6293" w14:textId="77777777" w:rsidR="00B25A98" w:rsidRDefault="00B25A98" w:rsidP="00B25A98">
      <w:pPr>
        <w:jc w:val="center"/>
        <w:rPr>
          <w:sz w:val="24"/>
        </w:rPr>
      </w:pPr>
      <w:r>
        <w:rPr>
          <w:noProof/>
          <w:lang w:val="en-US"/>
        </w:rPr>
        <w:drawing>
          <wp:inline distT="0" distB="0" distL="0" distR="0" wp14:anchorId="1979774A" wp14:editId="63E21B50">
            <wp:extent cx="5697855" cy="194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7855" cy="1948180"/>
                    </a:xfrm>
                    <a:prstGeom prst="rect">
                      <a:avLst/>
                    </a:prstGeom>
                  </pic:spPr>
                </pic:pic>
              </a:graphicData>
            </a:graphic>
          </wp:inline>
        </w:drawing>
      </w:r>
    </w:p>
    <w:p w14:paraId="69989085" w14:textId="4753AAFC" w:rsidR="00B25A98" w:rsidRPr="00D22259" w:rsidRDefault="00297B62" w:rsidP="00B25A98">
      <w:pPr>
        <w:jc w:val="center"/>
        <w:rPr>
          <w:b/>
          <w:sz w:val="24"/>
        </w:rPr>
      </w:pPr>
      <w:r>
        <w:rPr>
          <w:sz w:val="24"/>
        </w:rPr>
        <w:t>1.</w:t>
      </w:r>
      <w:r w:rsidR="00B25A98" w:rsidRPr="00330C52">
        <w:rPr>
          <w:sz w:val="24"/>
        </w:rPr>
        <w:t>att.</w:t>
      </w:r>
      <w:r w:rsidR="00B25A98">
        <w:rPr>
          <w:b/>
          <w:sz w:val="24"/>
        </w:rPr>
        <w:t xml:space="preserve"> </w:t>
      </w:r>
      <w:r w:rsidR="00B25A98" w:rsidRPr="00D22259">
        <w:rPr>
          <w:b/>
          <w:sz w:val="24"/>
        </w:rPr>
        <w:t>Vispārējās valdības parāda tendences un scenāriji</w:t>
      </w:r>
    </w:p>
    <w:p w14:paraId="1CED268B" w14:textId="77777777" w:rsidR="00B25A98" w:rsidRDefault="00B25A98" w:rsidP="00B25A98">
      <w:pPr>
        <w:ind w:firstLine="567"/>
        <w:rPr>
          <w:sz w:val="24"/>
        </w:rPr>
      </w:pPr>
      <w:r>
        <w:rPr>
          <w:sz w:val="24"/>
        </w:rPr>
        <w:t>Tā kā Covid-19 pandēmija nav unikāla situācija tikai Latvijā, tad k</w:t>
      </w:r>
      <w:r w:rsidRPr="00E54D2E">
        <w:rPr>
          <w:sz w:val="24"/>
        </w:rPr>
        <w:t>redītreiting</w:t>
      </w:r>
      <w:r>
        <w:rPr>
          <w:sz w:val="24"/>
        </w:rPr>
        <w:t>a</w:t>
      </w:r>
      <w:r w:rsidRPr="00E54D2E">
        <w:rPr>
          <w:sz w:val="24"/>
        </w:rPr>
        <w:t xml:space="preserve"> aģentūras ar izpratni uztver </w:t>
      </w:r>
      <w:r>
        <w:rPr>
          <w:sz w:val="24"/>
        </w:rPr>
        <w:t>Latvijas vispārējās valdības</w:t>
      </w:r>
      <w:r w:rsidRPr="00E54D2E">
        <w:rPr>
          <w:sz w:val="24"/>
        </w:rPr>
        <w:t xml:space="preserve"> budžeta deficīta un parāda pieaugumu</w:t>
      </w:r>
      <w:r>
        <w:rPr>
          <w:sz w:val="24"/>
        </w:rPr>
        <w:t xml:space="preserve">, kas vērojams arī citās valstīs. Ņemot vērā Covid-19 uzliesmojumu, kredītreitinga aģentūras šobrīd regulāri seko līdzi Latvijas fiskālo un makroekonomisko rādītāju tendencēm, taču ar </w:t>
      </w:r>
      <w:r w:rsidRPr="00E54D2E">
        <w:rPr>
          <w:sz w:val="24"/>
        </w:rPr>
        <w:t>C</w:t>
      </w:r>
      <w:r>
        <w:rPr>
          <w:sz w:val="24"/>
        </w:rPr>
        <w:t>ovid-19</w:t>
      </w:r>
      <w:r w:rsidRPr="00E54D2E">
        <w:rPr>
          <w:sz w:val="24"/>
        </w:rPr>
        <w:t xml:space="preserve"> </w:t>
      </w:r>
      <w:r>
        <w:rPr>
          <w:sz w:val="24"/>
        </w:rPr>
        <w:t xml:space="preserve">saistīto faktoru </w:t>
      </w:r>
      <w:r w:rsidRPr="00E54D2E">
        <w:rPr>
          <w:sz w:val="24"/>
        </w:rPr>
        <w:t xml:space="preserve">ietekmi uz fiskālajiem rādītājiem tās vērtē </w:t>
      </w:r>
      <w:r>
        <w:rPr>
          <w:sz w:val="24"/>
        </w:rPr>
        <w:t xml:space="preserve">vidējā termiņā un </w:t>
      </w:r>
      <w:r w:rsidRPr="00E54D2E">
        <w:rPr>
          <w:sz w:val="24"/>
        </w:rPr>
        <w:t xml:space="preserve">ilgtermiņā. </w:t>
      </w:r>
    </w:p>
    <w:p w14:paraId="50EC6F5F" w14:textId="6EB0F909" w:rsidR="00B25A98" w:rsidRDefault="00B25A98" w:rsidP="00B25A98">
      <w:pPr>
        <w:ind w:firstLine="567"/>
        <w:rPr>
          <w:sz w:val="24"/>
        </w:rPr>
      </w:pPr>
      <w:r>
        <w:rPr>
          <w:sz w:val="24"/>
        </w:rPr>
        <w:t xml:space="preserve">Viena no Latvijas kredītreitinga stiprajām pusēm, kas veicināja Latvijas reitinga palielināšanu līdz vēsturiski augstākajam līmenim  (piemēram, A+ atbilstoši aģentūras </w:t>
      </w:r>
      <w:r w:rsidRPr="00627C1E">
        <w:rPr>
          <w:i/>
          <w:sz w:val="24"/>
        </w:rPr>
        <w:t xml:space="preserve">S&amp;P </w:t>
      </w:r>
      <w:proofErr w:type="spellStart"/>
      <w:r w:rsidRPr="00627C1E">
        <w:rPr>
          <w:i/>
          <w:sz w:val="24"/>
        </w:rPr>
        <w:t>Global</w:t>
      </w:r>
      <w:proofErr w:type="spellEnd"/>
      <w:r w:rsidRPr="00627C1E">
        <w:rPr>
          <w:i/>
          <w:sz w:val="24"/>
        </w:rPr>
        <w:t xml:space="preserve"> </w:t>
      </w:r>
      <w:r>
        <w:rPr>
          <w:sz w:val="24"/>
        </w:rPr>
        <w:t xml:space="preserve">vērtējumam), ir Latvijas pēdējo gadu fiskālās politikas kurss. Līdzšinējo gadu pārdomātā un atbildīgā fiskālā politika attiecīgi nodrošināja, ka Latvijai salīdzinoši ar citām </w:t>
      </w:r>
      <w:r>
        <w:rPr>
          <w:sz w:val="24"/>
        </w:rPr>
        <w:lastRenderedPageBreak/>
        <w:t>valstīm ir bijis zems budžeta deficīta un valsts parāda līmenis. Zemais parāda līmenis pirms krīzes kredītreitinga aģentūru skatījumā šobrīd ir Latvijas priekšrocība un dod iespēju uzņemties lielākas parāda saistības, lai finansētu liela apjoma ārkārtas pasākumus Covid-19 pandēmijas laikā, jo valsts parāda līmenis krīzes sākumā ir bijis zemāks nekā citās valstīs. Kredītreitinga aģentūru pieņēmumos un prognozēs Latvijas vispārējās valdības parāda līmeņa pieaugums līdz ~50% no IKP Covid-19 faktoru ietekmes rezultātā tiktu joprojām vērtēts kā pieņemams, jo būtu līdzīgs vidējam parāda līmenim starp valstīm, kas iekļautas Latvijai līdzīga reitinga grupā. Taču aģentūras sagaida, ka šādam palielinājumam būtu jābūt sabalansētam ar parāda līmeņa samazinājuma tendencēm nākotnē, ko, savukārt, sekmētu stingra fiskāla politika un ekonomikas atveseļošanās pēc Covid-19 krīzes. Tāpēc a</w:t>
      </w:r>
      <w:r w:rsidRPr="00E54D2E">
        <w:rPr>
          <w:sz w:val="24"/>
        </w:rPr>
        <w:t xml:space="preserve">ģentūras lielāku uzmanību </w:t>
      </w:r>
      <w:r>
        <w:rPr>
          <w:sz w:val="24"/>
        </w:rPr>
        <w:t xml:space="preserve">turpmāk </w:t>
      </w:r>
      <w:r w:rsidRPr="00E54D2E">
        <w:rPr>
          <w:sz w:val="24"/>
        </w:rPr>
        <w:t>pievēr</w:t>
      </w:r>
      <w:r>
        <w:rPr>
          <w:sz w:val="24"/>
        </w:rPr>
        <w:t xml:space="preserve">sīs </w:t>
      </w:r>
      <w:r w:rsidRPr="00E54D2E">
        <w:rPr>
          <w:sz w:val="24"/>
        </w:rPr>
        <w:t>plānotajai rīcībai nākamajos gados, atgriežoties pie fiskālās disciplīnas pamatprincipiem fiskālās politikas veidošanā un īstenošanā, lai nodrošinātu parāda ilgtspēju ilgtermiņā, kas</w:t>
      </w:r>
      <w:r>
        <w:rPr>
          <w:sz w:val="24"/>
        </w:rPr>
        <w:t>,</w:t>
      </w:r>
      <w:r w:rsidRPr="00E54D2E">
        <w:rPr>
          <w:sz w:val="24"/>
        </w:rPr>
        <w:t xml:space="preserve"> </w:t>
      </w:r>
      <w:r>
        <w:rPr>
          <w:sz w:val="24"/>
        </w:rPr>
        <w:t xml:space="preserve">kā minēts iepriekš, </w:t>
      </w:r>
      <w:r w:rsidRPr="00E54D2E">
        <w:rPr>
          <w:sz w:val="24"/>
        </w:rPr>
        <w:t xml:space="preserve">ir </w:t>
      </w:r>
      <w:r>
        <w:rPr>
          <w:sz w:val="24"/>
        </w:rPr>
        <w:t>bijis</w:t>
      </w:r>
      <w:r w:rsidRPr="00E54D2E">
        <w:rPr>
          <w:sz w:val="24"/>
        </w:rPr>
        <w:t xml:space="preserve"> viens no būtiskākajiem faktoriem augsta valsts kredītreitinga uzturēšanai.</w:t>
      </w:r>
      <w:r>
        <w:rPr>
          <w:sz w:val="24"/>
        </w:rPr>
        <w:t xml:space="preserve"> </w:t>
      </w:r>
      <w:r w:rsidRPr="00E54D2E">
        <w:rPr>
          <w:sz w:val="24"/>
        </w:rPr>
        <w:t>Augsts valsts kredītreitings, savukārt, ir galvenais priekšnosacījums tam, lai finanšu tirgu un investoru uzticība valsts kredītspējai saglabātos arī turpmāk, veicinot ekonomikas izaugsmes ātrāku</w:t>
      </w:r>
      <w:r>
        <w:rPr>
          <w:sz w:val="24"/>
        </w:rPr>
        <w:t xml:space="preserve"> </w:t>
      </w:r>
      <w:r w:rsidRPr="00A06B21">
        <w:rPr>
          <w:sz w:val="24"/>
        </w:rPr>
        <w:t>atjaunošanos.</w:t>
      </w:r>
      <w:r>
        <w:rPr>
          <w:sz w:val="24"/>
        </w:rPr>
        <w:t xml:space="preserve"> </w:t>
      </w:r>
    </w:p>
    <w:p w14:paraId="4759F544" w14:textId="77777777" w:rsidR="004408D1" w:rsidRDefault="004006B0" w:rsidP="004408D1">
      <w:pPr>
        <w:rPr>
          <w:sz w:val="24"/>
          <w:szCs w:val="24"/>
        </w:rPr>
      </w:pPr>
      <w:r w:rsidRPr="004006B0">
        <w:rPr>
          <w:sz w:val="24"/>
          <w:szCs w:val="24"/>
        </w:rPr>
        <w:t xml:space="preserve">Covid-19 krīze ir būtiski ietekmējusi arī vispārējās valdības budžeta deficītu. Atbilstoši FM novērtējumam vispārējās valdības budžeta deficīts 2020.gadā bija 1,57 miljardi </w:t>
      </w:r>
      <w:proofErr w:type="spellStart"/>
      <w:r w:rsidR="009C03C3" w:rsidRPr="009C03C3">
        <w:rPr>
          <w:i/>
          <w:sz w:val="24"/>
          <w:szCs w:val="24"/>
        </w:rPr>
        <w:t>euro</w:t>
      </w:r>
      <w:proofErr w:type="spellEnd"/>
      <w:r w:rsidRPr="004006B0">
        <w:rPr>
          <w:sz w:val="24"/>
          <w:szCs w:val="24"/>
        </w:rPr>
        <w:t xml:space="preserve"> un, ņemot vērā šā gada februārī aktualizēto iekšzemes kopprodukta novērtējumu, tas veidoja 5,3% no IKP. Tai skaitā tiešā ietekme uz deficītu no Covid-19 atbalsta pasākumiem veidoja 1,1 miljardu </w:t>
      </w:r>
      <w:proofErr w:type="spellStart"/>
      <w:r w:rsidR="009C03C3" w:rsidRPr="009C03C3">
        <w:rPr>
          <w:i/>
          <w:sz w:val="24"/>
          <w:szCs w:val="24"/>
        </w:rPr>
        <w:t>euro</w:t>
      </w:r>
      <w:proofErr w:type="spellEnd"/>
      <w:r w:rsidRPr="004006B0">
        <w:rPr>
          <w:sz w:val="24"/>
          <w:szCs w:val="24"/>
        </w:rPr>
        <w:t xml:space="preserve"> jeb 3,7% no IKP. Jāatzīmē, ka kopumā valdības atbalsta apjoms tautsaimniecībai (nodokļu samaksas termiņu pagarinājumi, pabalsti iedzīvotājiem, nozaru un uzņēmumu finansēšana, aizdevumi un garantijas u.c. pasākumi) 2020.gadā pēc FM novērtējuma veidoja 1,33 miljardus </w:t>
      </w:r>
      <w:proofErr w:type="spellStart"/>
      <w:r w:rsidR="009C03C3" w:rsidRPr="009C03C3">
        <w:rPr>
          <w:i/>
          <w:sz w:val="24"/>
          <w:szCs w:val="24"/>
        </w:rPr>
        <w:t>euro</w:t>
      </w:r>
      <w:proofErr w:type="spellEnd"/>
      <w:r w:rsidRPr="004006B0">
        <w:rPr>
          <w:sz w:val="24"/>
          <w:szCs w:val="24"/>
        </w:rPr>
        <w:t xml:space="preserve"> jeb 4,5% no IKP, savukārt 2021. gadā, ja papildus līdz šim piešķirtajam apjomam, tai skaitā jau konceptuāli pieņemtajiem lēmumiem, tiktu finansēti vēl saskaņošanas procesā esošie un potenciālie lēmumi, atbalsta apjoms indikatīvi sasniegtu 2,8 miljardus </w:t>
      </w:r>
      <w:proofErr w:type="spellStart"/>
      <w:r w:rsidR="009C03C3" w:rsidRPr="009C03C3">
        <w:rPr>
          <w:i/>
          <w:sz w:val="24"/>
          <w:szCs w:val="24"/>
        </w:rPr>
        <w:t>euro</w:t>
      </w:r>
      <w:proofErr w:type="spellEnd"/>
      <w:r w:rsidRPr="004006B0">
        <w:rPr>
          <w:sz w:val="24"/>
          <w:szCs w:val="24"/>
        </w:rPr>
        <w:t xml:space="preserve"> jeb 9,0% no IKP. Plānojot šā gada budžetu, bija paredzēts, ka 2021.gadā turpinātos tikai ietekme no atsevišķiem atbalsta pasākumiem, taču Covid-19 krīzei ieilgstot un valdībai palielinot atbalsta apjomu, tiek prognozēts, ka vispārējās valdības budžeta deficīts 2021.gadā palielināsies no plānotajiem 1,2 miljardiem </w:t>
      </w:r>
      <w:proofErr w:type="spellStart"/>
      <w:r w:rsidR="009C03C3" w:rsidRPr="009C03C3">
        <w:rPr>
          <w:i/>
          <w:sz w:val="24"/>
          <w:szCs w:val="24"/>
        </w:rPr>
        <w:t>euro</w:t>
      </w:r>
      <w:proofErr w:type="spellEnd"/>
      <w:r w:rsidRPr="004006B0">
        <w:rPr>
          <w:sz w:val="24"/>
          <w:szCs w:val="24"/>
        </w:rPr>
        <w:t xml:space="preserve"> jeb 3,9% no IKP līdz indikatīvi 2,9 miljardiem </w:t>
      </w:r>
      <w:proofErr w:type="spellStart"/>
      <w:r w:rsidR="009C03C3" w:rsidRPr="009C03C3">
        <w:rPr>
          <w:i/>
          <w:sz w:val="24"/>
          <w:szCs w:val="24"/>
        </w:rPr>
        <w:t>euro</w:t>
      </w:r>
      <w:proofErr w:type="spellEnd"/>
      <w:r w:rsidRPr="004006B0">
        <w:rPr>
          <w:sz w:val="24"/>
          <w:szCs w:val="24"/>
        </w:rPr>
        <w:t xml:space="preserve"> jeb 9,4% no IKP.</w:t>
      </w:r>
    </w:p>
    <w:p w14:paraId="032AE2F1" w14:textId="77777777" w:rsidR="00AB06F0" w:rsidRPr="00AB06F0" w:rsidRDefault="00AB06F0" w:rsidP="00AB06F0">
      <w:pPr>
        <w:ind w:firstLine="720"/>
        <w:rPr>
          <w:b/>
          <w:sz w:val="24"/>
          <w:szCs w:val="24"/>
        </w:rPr>
      </w:pPr>
      <w:r w:rsidRPr="00AB06F0">
        <w:rPr>
          <w:b/>
          <w:sz w:val="24"/>
          <w:szCs w:val="24"/>
        </w:rPr>
        <w:t>Fiskālo politiku ietekmējošie tiesiskie nosacījumi</w:t>
      </w:r>
    </w:p>
    <w:p w14:paraId="7FE4CB3D" w14:textId="2F7A3252" w:rsidR="00AB06F0" w:rsidRPr="00AB06F0" w:rsidRDefault="00AB06F0" w:rsidP="00AB06F0">
      <w:pPr>
        <w:pStyle w:val="ListParagraph"/>
        <w:numPr>
          <w:ilvl w:val="0"/>
          <w:numId w:val="46"/>
        </w:numPr>
        <w:spacing w:after="120" w:line="240" w:lineRule="auto"/>
        <w:ind w:left="0" w:firstLine="720"/>
        <w:contextualSpacing w:val="0"/>
        <w:jc w:val="both"/>
        <w:rPr>
          <w:rFonts w:ascii="Times New Roman" w:hAnsi="Times New Roman"/>
          <w:sz w:val="24"/>
          <w:szCs w:val="24"/>
        </w:rPr>
      </w:pPr>
      <w:r w:rsidRPr="00AB06F0">
        <w:rPr>
          <w:rFonts w:ascii="Times New Roman" w:hAnsi="Times New Roman"/>
          <w:b/>
          <w:sz w:val="24"/>
          <w:szCs w:val="24"/>
          <w:u w:val="single"/>
        </w:rPr>
        <w:t>Vispārējā izņēmuma klauzula.</w:t>
      </w:r>
      <w:r w:rsidRPr="00AB06F0">
        <w:rPr>
          <w:rFonts w:ascii="Times New Roman" w:hAnsi="Times New Roman"/>
          <w:sz w:val="24"/>
          <w:szCs w:val="24"/>
        </w:rPr>
        <w:t xml:space="preserve"> ES Stabilitātes un izaugsmes </w:t>
      </w:r>
      <w:proofErr w:type="spellStart"/>
      <w:r w:rsidRPr="00AB06F0">
        <w:rPr>
          <w:rFonts w:ascii="Times New Roman" w:hAnsi="Times New Roman"/>
          <w:sz w:val="24"/>
          <w:szCs w:val="24"/>
        </w:rPr>
        <w:t>pakta</w:t>
      </w:r>
      <w:proofErr w:type="spellEnd"/>
      <w:r w:rsidRPr="00AB06F0">
        <w:rPr>
          <w:rFonts w:ascii="Times New Roman" w:hAnsi="Times New Roman"/>
          <w:sz w:val="24"/>
          <w:szCs w:val="24"/>
        </w:rPr>
        <w:t xml:space="preserve"> Vispārējā izņēmuma</w:t>
      </w:r>
      <w:r>
        <w:rPr>
          <w:rFonts w:ascii="Times New Roman" w:hAnsi="Times New Roman"/>
          <w:sz w:val="24"/>
          <w:szCs w:val="24"/>
        </w:rPr>
        <w:t xml:space="preserve"> klauzula tika aktivizēta 2020.</w:t>
      </w:r>
      <w:r w:rsidRPr="00AB06F0">
        <w:rPr>
          <w:rFonts w:ascii="Times New Roman" w:hAnsi="Times New Roman"/>
          <w:sz w:val="24"/>
          <w:szCs w:val="24"/>
        </w:rPr>
        <w:t xml:space="preserve">gadā un palika aktivizēta 2021.gadā. Tās aktivizēšanas kritērijs ir negatīva izaugsme Eiropas Savienībā, vai arī būtiski negatīva izlaižu starpība. Jautājums par to, vai vispārējā izņēmuma klauzula paliks </w:t>
      </w:r>
      <w:r>
        <w:rPr>
          <w:rFonts w:ascii="Times New Roman" w:hAnsi="Times New Roman"/>
          <w:sz w:val="24"/>
          <w:szCs w:val="24"/>
        </w:rPr>
        <w:t>spēkā arī 2022.</w:t>
      </w:r>
      <w:r w:rsidRPr="00AB06F0">
        <w:rPr>
          <w:rFonts w:ascii="Times New Roman" w:hAnsi="Times New Roman"/>
          <w:sz w:val="24"/>
          <w:szCs w:val="24"/>
        </w:rPr>
        <w:t xml:space="preserve">gadā, pašlaik nav </w:t>
      </w:r>
      <w:r>
        <w:rPr>
          <w:rFonts w:ascii="Times New Roman" w:hAnsi="Times New Roman"/>
          <w:sz w:val="24"/>
          <w:szCs w:val="24"/>
        </w:rPr>
        <w:t>izlemts. Eiropas Komisija 2021.</w:t>
      </w:r>
      <w:r w:rsidRPr="00AB06F0">
        <w:rPr>
          <w:rFonts w:ascii="Times New Roman" w:hAnsi="Times New Roman"/>
          <w:sz w:val="24"/>
          <w:szCs w:val="24"/>
        </w:rPr>
        <w:t>gada februāra makroekonomiskās prognozes</w:t>
      </w:r>
      <w:r>
        <w:rPr>
          <w:rFonts w:ascii="Times New Roman" w:hAnsi="Times New Roman"/>
          <w:sz w:val="24"/>
          <w:szCs w:val="24"/>
        </w:rPr>
        <w:t xml:space="preserve"> paredz pozitīvu izaugsmi 2022.</w:t>
      </w:r>
      <w:r w:rsidRPr="00AB06F0">
        <w:rPr>
          <w:rFonts w:ascii="Times New Roman" w:hAnsi="Times New Roman"/>
          <w:sz w:val="24"/>
          <w:szCs w:val="24"/>
        </w:rPr>
        <w:t xml:space="preserve">gadā visām ES dalībvalstīm un tiek prognozēts, ka ES iekšzemes kopprodukts 2022.gada sākumā atgriezīsies tajā līmenī, kāds tas bija pirms COVID krīzes. </w:t>
      </w:r>
      <w:r w:rsidRPr="00AB06F0">
        <w:rPr>
          <w:rFonts w:ascii="Times New Roman" w:hAnsi="Times New Roman"/>
          <w:b/>
          <w:sz w:val="24"/>
          <w:szCs w:val="24"/>
        </w:rPr>
        <w:t>Pašlaik Latvijā nav pamata veidot fiskālo politiku ar pieņēmumu, ka vispārējā izņēm</w:t>
      </w:r>
      <w:r>
        <w:rPr>
          <w:rFonts w:ascii="Times New Roman" w:hAnsi="Times New Roman"/>
          <w:b/>
          <w:sz w:val="24"/>
          <w:szCs w:val="24"/>
        </w:rPr>
        <w:t>uma klauzula paliek spēkā 2022.</w:t>
      </w:r>
      <w:r w:rsidRPr="00AB06F0">
        <w:rPr>
          <w:rFonts w:ascii="Times New Roman" w:hAnsi="Times New Roman"/>
          <w:b/>
          <w:sz w:val="24"/>
          <w:szCs w:val="24"/>
        </w:rPr>
        <w:t>gadā</w:t>
      </w:r>
      <w:r w:rsidRPr="00AB06F0">
        <w:rPr>
          <w:rFonts w:ascii="Times New Roman" w:hAnsi="Times New Roman"/>
          <w:sz w:val="24"/>
          <w:szCs w:val="24"/>
        </w:rPr>
        <w:t xml:space="preserve">, par to lēmums ES līmenī tiks pieņemts š.g. maijā. </w:t>
      </w:r>
    </w:p>
    <w:p w14:paraId="0755D62E" w14:textId="1C23E05D" w:rsidR="00AB06F0" w:rsidRPr="00AB06F0" w:rsidRDefault="00AB06F0" w:rsidP="00AB06F0">
      <w:pPr>
        <w:pStyle w:val="ListParagraph"/>
        <w:numPr>
          <w:ilvl w:val="0"/>
          <w:numId w:val="46"/>
        </w:numPr>
        <w:spacing w:after="120" w:line="240" w:lineRule="auto"/>
        <w:ind w:left="0" w:firstLine="720"/>
        <w:contextualSpacing w:val="0"/>
        <w:jc w:val="both"/>
        <w:rPr>
          <w:rFonts w:ascii="Times New Roman" w:hAnsi="Times New Roman"/>
          <w:sz w:val="24"/>
          <w:szCs w:val="24"/>
        </w:rPr>
      </w:pPr>
      <w:r w:rsidRPr="00AB06F0">
        <w:rPr>
          <w:rFonts w:ascii="Times New Roman" w:hAnsi="Times New Roman"/>
          <w:b/>
          <w:sz w:val="24"/>
          <w:szCs w:val="24"/>
          <w:u w:val="single"/>
        </w:rPr>
        <w:t>COVID krīzes pārvarēšanas pasākumu vienreizējais raksturs.</w:t>
      </w:r>
      <w:r w:rsidRPr="00AB06F0">
        <w:rPr>
          <w:rFonts w:ascii="Times New Roman" w:hAnsi="Times New Roman"/>
          <w:b/>
          <w:sz w:val="24"/>
          <w:szCs w:val="24"/>
        </w:rPr>
        <w:t xml:space="preserve"> </w:t>
      </w:r>
      <w:r w:rsidRPr="00AB06F0">
        <w:rPr>
          <w:rFonts w:ascii="Times New Roman" w:hAnsi="Times New Roman"/>
          <w:sz w:val="24"/>
          <w:szCs w:val="24"/>
        </w:rPr>
        <w:t>COVID krīzes pārvarēšanas atbalsta pasākumiem pašlaik ir jāb</w:t>
      </w:r>
      <w:r w:rsidR="00947E54">
        <w:rPr>
          <w:rFonts w:ascii="Times New Roman" w:hAnsi="Times New Roman"/>
          <w:sz w:val="24"/>
          <w:szCs w:val="24"/>
        </w:rPr>
        <w:t>ūt spēkā ne ilgāk kā līdz 2021.</w:t>
      </w:r>
      <w:r w:rsidRPr="00AB06F0">
        <w:rPr>
          <w:rFonts w:ascii="Times New Roman" w:hAnsi="Times New Roman"/>
          <w:sz w:val="24"/>
          <w:szCs w:val="24"/>
        </w:rPr>
        <w:t>gada beigām. COVID-19 Infekcijas izplatīb</w:t>
      </w:r>
      <w:r w:rsidR="00947E54">
        <w:rPr>
          <w:rFonts w:ascii="Times New Roman" w:hAnsi="Times New Roman"/>
          <w:sz w:val="24"/>
          <w:szCs w:val="24"/>
        </w:rPr>
        <w:t>as seku pārvarēšanas likuma 33.</w:t>
      </w:r>
      <w:r w:rsidRPr="00AB06F0">
        <w:rPr>
          <w:rFonts w:ascii="Times New Roman" w:hAnsi="Times New Roman"/>
          <w:sz w:val="24"/>
          <w:szCs w:val="24"/>
        </w:rPr>
        <w:t>pantā</w:t>
      </w:r>
      <w:r w:rsidR="00947E54">
        <w:rPr>
          <w:rFonts w:ascii="Times New Roman" w:hAnsi="Times New Roman"/>
          <w:sz w:val="24"/>
          <w:szCs w:val="24"/>
        </w:rPr>
        <w:t xml:space="preserve"> ir noteikts, ka 2020. un 2021.</w:t>
      </w:r>
      <w:r w:rsidRPr="00AB06F0">
        <w:rPr>
          <w:rFonts w:ascii="Times New Roman" w:hAnsi="Times New Roman"/>
          <w:sz w:val="24"/>
          <w:szCs w:val="24"/>
        </w:rPr>
        <w:t>gadā netiek piemēroti Fiskālās disciplīnas li</w:t>
      </w:r>
      <w:r w:rsidR="00947E54">
        <w:rPr>
          <w:rFonts w:ascii="Times New Roman" w:hAnsi="Times New Roman"/>
          <w:sz w:val="24"/>
          <w:szCs w:val="24"/>
        </w:rPr>
        <w:t>kuma 7.</w:t>
      </w:r>
      <w:r w:rsidRPr="00AB06F0">
        <w:rPr>
          <w:rFonts w:ascii="Times New Roman" w:hAnsi="Times New Roman"/>
          <w:sz w:val="24"/>
          <w:szCs w:val="24"/>
        </w:rPr>
        <w:t>panta trešās daļas, 9.panta un 12. panta trešās daļas nosacīju</w:t>
      </w:r>
      <w:r w:rsidR="00947E54">
        <w:rPr>
          <w:rFonts w:ascii="Times New Roman" w:hAnsi="Times New Roman"/>
          <w:sz w:val="24"/>
          <w:szCs w:val="24"/>
        </w:rPr>
        <w:t>mi. Savukārt attiecībā uz 2022.</w:t>
      </w:r>
      <w:r w:rsidRPr="00AB06F0">
        <w:rPr>
          <w:rFonts w:ascii="Times New Roman" w:hAnsi="Times New Roman"/>
          <w:sz w:val="24"/>
          <w:szCs w:val="24"/>
        </w:rPr>
        <w:t xml:space="preserve">gadu šādas atkāpes no Fiskālās disciplīnas likuma nav noteiktas. </w:t>
      </w:r>
    </w:p>
    <w:p w14:paraId="03064F4C" w14:textId="1FA3C240" w:rsidR="00AB06F0" w:rsidRPr="00AB06F0" w:rsidRDefault="00AB06F0" w:rsidP="00AB06F0">
      <w:pPr>
        <w:pStyle w:val="ListParagraph"/>
        <w:numPr>
          <w:ilvl w:val="0"/>
          <w:numId w:val="46"/>
        </w:numPr>
        <w:spacing w:after="120" w:line="240" w:lineRule="auto"/>
        <w:ind w:left="0" w:firstLine="720"/>
        <w:contextualSpacing w:val="0"/>
        <w:jc w:val="both"/>
        <w:rPr>
          <w:rFonts w:ascii="Times New Roman" w:hAnsi="Times New Roman"/>
          <w:sz w:val="24"/>
          <w:szCs w:val="24"/>
        </w:rPr>
      </w:pPr>
      <w:r w:rsidRPr="00AB06F0">
        <w:rPr>
          <w:rFonts w:ascii="Times New Roman" w:hAnsi="Times New Roman"/>
          <w:b/>
          <w:sz w:val="24"/>
          <w:szCs w:val="24"/>
          <w:u w:val="single"/>
        </w:rPr>
        <w:t>Netiešo iespējamo saistību riska uzraudzība</w:t>
      </w:r>
      <w:r w:rsidRPr="00AB06F0">
        <w:rPr>
          <w:rFonts w:ascii="Times New Roman" w:hAnsi="Times New Roman"/>
          <w:sz w:val="24"/>
          <w:szCs w:val="24"/>
        </w:rPr>
        <w:t>. Pieņemot atbalsta pasākumus, ir nepieciešams izvērtēt risku</w:t>
      </w:r>
      <w:r w:rsidR="00947E54">
        <w:rPr>
          <w:rFonts w:ascii="Times New Roman" w:hAnsi="Times New Roman"/>
          <w:sz w:val="24"/>
          <w:szCs w:val="24"/>
        </w:rPr>
        <w:t>, ka vienreizējs pasākums 2021.</w:t>
      </w:r>
      <w:r w:rsidRPr="00AB06F0">
        <w:rPr>
          <w:rFonts w:ascii="Times New Roman" w:hAnsi="Times New Roman"/>
          <w:sz w:val="24"/>
          <w:szCs w:val="24"/>
        </w:rPr>
        <w:t xml:space="preserve">gadā var izsaukt sabiedrības gaidas, </w:t>
      </w:r>
      <w:r w:rsidRPr="00AB06F0">
        <w:rPr>
          <w:rFonts w:ascii="Times New Roman" w:hAnsi="Times New Roman"/>
          <w:sz w:val="24"/>
          <w:szCs w:val="24"/>
        </w:rPr>
        <w:lastRenderedPageBreak/>
        <w:t xml:space="preserve">ka analogs atbalsta pasākums tiks saglabāts arī pēc krīzes beigām. Šo risku var mazināt, ja atbalsta pasākuma apjoms ir proporcionāls ieņēmumu zudumam, vai papildus veicamo darbu apjomam. </w:t>
      </w:r>
      <w:r w:rsidR="00947E54">
        <w:rPr>
          <w:rFonts w:ascii="Times New Roman" w:hAnsi="Times New Roman"/>
          <w:sz w:val="24"/>
          <w:szCs w:val="24"/>
        </w:rPr>
        <w:t>2020.gada 16.</w:t>
      </w:r>
      <w:r w:rsidRPr="00AB06F0">
        <w:rPr>
          <w:rFonts w:ascii="Times New Roman" w:hAnsi="Times New Roman"/>
          <w:sz w:val="24"/>
          <w:szCs w:val="24"/>
        </w:rPr>
        <w:t xml:space="preserve">decembra </w:t>
      </w:r>
      <w:proofErr w:type="spellStart"/>
      <w:r w:rsidR="00947E54">
        <w:rPr>
          <w:rFonts w:ascii="Times New Roman" w:hAnsi="Times New Roman"/>
          <w:sz w:val="24"/>
          <w:szCs w:val="24"/>
        </w:rPr>
        <w:t>Eurogrupas</w:t>
      </w:r>
      <w:proofErr w:type="spellEnd"/>
      <w:r w:rsidR="00947E54">
        <w:rPr>
          <w:rFonts w:ascii="Times New Roman" w:hAnsi="Times New Roman"/>
          <w:sz w:val="24"/>
          <w:szCs w:val="24"/>
        </w:rPr>
        <w:t xml:space="preserve"> paziņojumā par 2021.</w:t>
      </w:r>
      <w:r w:rsidRPr="00AB06F0">
        <w:rPr>
          <w:rFonts w:ascii="Times New Roman" w:hAnsi="Times New Roman"/>
          <w:sz w:val="24"/>
          <w:szCs w:val="24"/>
        </w:rPr>
        <w:t xml:space="preserve">gada budžeta plāniem ir norādīts, ka dalībvalstīm ir jāsniedz savlaicīgs, </w:t>
      </w:r>
      <w:r w:rsidRPr="00AB06F0">
        <w:rPr>
          <w:rFonts w:ascii="Times New Roman" w:hAnsi="Times New Roman"/>
          <w:b/>
          <w:sz w:val="24"/>
          <w:szCs w:val="24"/>
        </w:rPr>
        <w:t>labi fokusēts</w:t>
      </w:r>
      <w:r w:rsidRPr="00AB06F0">
        <w:rPr>
          <w:rFonts w:ascii="Times New Roman" w:hAnsi="Times New Roman"/>
          <w:sz w:val="24"/>
          <w:szCs w:val="24"/>
        </w:rPr>
        <w:t xml:space="preserve"> un </w:t>
      </w:r>
      <w:r w:rsidRPr="00AB06F0">
        <w:rPr>
          <w:rFonts w:ascii="Times New Roman" w:hAnsi="Times New Roman"/>
          <w:b/>
          <w:sz w:val="24"/>
          <w:szCs w:val="24"/>
        </w:rPr>
        <w:t>laikā ierobežots</w:t>
      </w:r>
      <w:r w:rsidRPr="00AB06F0">
        <w:rPr>
          <w:rFonts w:ascii="Times New Roman" w:hAnsi="Times New Roman"/>
          <w:sz w:val="24"/>
          <w:szCs w:val="24"/>
        </w:rPr>
        <w:t xml:space="preserve"> atbalsts, vienlaicīgi vidējā termiņā nodrošinot fiskālo ilgtspēju.</w:t>
      </w:r>
    </w:p>
    <w:p w14:paraId="241CCD02" w14:textId="7F3F3BB8" w:rsidR="00AB06F0" w:rsidRPr="00AB06F0" w:rsidRDefault="00AB06F0" w:rsidP="00AB06F0">
      <w:pPr>
        <w:pStyle w:val="ListParagraph"/>
        <w:numPr>
          <w:ilvl w:val="0"/>
          <w:numId w:val="46"/>
        </w:numPr>
        <w:spacing w:after="120" w:line="240" w:lineRule="auto"/>
        <w:ind w:left="0" w:firstLine="720"/>
        <w:contextualSpacing w:val="0"/>
        <w:jc w:val="both"/>
        <w:rPr>
          <w:rFonts w:ascii="Times New Roman" w:hAnsi="Times New Roman"/>
          <w:sz w:val="24"/>
          <w:szCs w:val="24"/>
        </w:rPr>
      </w:pPr>
      <w:r w:rsidRPr="00AB06F0">
        <w:rPr>
          <w:rFonts w:ascii="Times New Roman" w:hAnsi="Times New Roman"/>
          <w:b/>
          <w:sz w:val="24"/>
          <w:szCs w:val="24"/>
          <w:u w:val="single"/>
        </w:rPr>
        <w:t>Publisko finanšu resursu lietderīgas izmantošanas princips.</w:t>
      </w:r>
      <w:r w:rsidR="00947E54">
        <w:rPr>
          <w:rFonts w:ascii="Times New Roman" w:hAnsi="Times New Roman"/>
          <w:sz w:val="24"/>
          <w:szCs w:val="24"/>
        </w:rPr>
        <w:t xml:space="preserve"> Fiskālās disciplīnas likuma 4.</w:t>
      </w:r>
      <w:r w:rsidRPr="00AB06F0">
        <w:rPr>
          <w:rFonts w:ascii="Times New Roman" w:hAnsi="Times New Roman"/>
          <w:sz w:val="24"/>
          <w:szCs w:val="24"/>
        </w:rPr>
        <w:t xml:space="preserve">pants nosaka, ka pieejamie resursi ir izmantojami lietderīgi un efektīvi. Šis fiskālās politikas princips nosaka, ka COVID-19 atbalsta pasākumiem ir jābūt tādiem, lai ar pēc iespējas mazākiem publisko finanšu resursiem tiek sasniegts izvēlētais rezultāts. </w:t>
      </w:r>
      <w:r w:rsidRPr="00AB06F0">
        <w:rPr>
          <w:rFonts w:ascii="Times New Roman" w:hAnsi="Times New Roman"/>
          <w:b/>
          <w:sz w:val="24"/>
          <w:szCs w:val="24"/>
        </w:rPr>
        <w:t>Jo atbalsta pasākums ir precīzāk fokusēts, jo mazāks risks par resursu nelietderīgu izmantošanu.</w:t>
      </w:r>
    </w:p>
    <w:p w14:paraId="7FF19A9E" w14:textId="2D1FA39D" w:rsidR="00AB06F0" w:rsidRPr="00AB06F0" w:rsidRDefault="00AB06F0" w:rsidP="00AB06F0">
      <w:pPr>
        <w:pStyle w:val="ListParagraph"/>
        <w:numPr>
          <w:ilvl w:val="0"/>
          <w:numId w:val="46"/>
        </w:numPr>
        <w:spacing w:after="120" w:line="240" w:lineRule="auto"/>
        <w:ind w:left="0" w:firstLine="720"/>
        <w:contextualSpacing w:val="0"/>
        <w:jc w:val="both"/>
        <w:rPr>
          <w:rFonts w:ascii="Times New Roman" w:hAnsi="Times New Roman"/>
          <w:sz w:val="24"/>
          <w:szCs w:val="24"/>
        </w:rPr>
      </w:pPr>
      <w:r w:rsidRPr="00AB06F0">
        <w:rPr>
          <w:rFonts w:ascii="Times New Roman" w:hAnsi="Times New Roman"/>
          <w:b/>
          <w:sz w:val="24"/>
          <w:szCs w:val="24"/>
          <w:u w:val="single"/>
        </w:rPr>
        <w:t>Vidēja termiņa fiskālā ilgtspēja.</w:t>
      </w:r>
      <w:r w:rsidRPr="00AB06F0">
        <w:rPr>
          <w:rFonts w:ascii="Times New Roman" w:hAnsi="Times New Roman"/>
          <w:sz w:val="24"/>
          <w:szCs w:val="24"/>
        </w:rPr>
        <w:t xml:space="preserve"> Stabilitātes un izaugsmes pakts nosaka, ka vispārējā izņēmuma klauzula ir jāpiemēro tā, lai vidējā termiņā neradītu risku fiskālai ilgtspējai. Fiskālās ilgtspējas vērtējums nav kvantificējams un to vērtējumā noteicošais ir ekspertu vērtējums. Tāpēc nepastāv matemātisks algoritms, kas ļauti izmērīt fiskālo ilgtspēju atkarībā no fiskālo rādītāju dinamikas.</w:t>
      </w:r>
      <w:r w:rsidR="00947E54">
        <w:rPr>
          <w:rFonts w:ascii="Times New Roman" w:hAnsi="Times New Roman"/>
          <w:sz w:val="24"/>
          <w:szCs w:val="24"/>
        </w:rPr>
        <w:t xml:space="preserve"> Fiskālās disciplīnas likuma 4.</w:t>
      </w:r>
      <w:r w:rsidRPr="00AB06F0">
        <w:rPr>
          <w:rFonts w:ascii="Times New Roman" w:hAnsi="Times New Roman"/>
          <w:sz w:val="24"/>
          <w:szCs w:val="24"/>
        </w:rPr>
        <w:t>pants fiskālo ilgtspēju sasaista ar valsts parāda līmeni. Ja fiskālā politika nodrošina, ka valsts parāds vidējā termiņā nepieaug, ir pamats uzskatīt, ka fiskālā ilgtspēja ir nodrošināta, jo Latvijas valsts parāds līmenis ir relatīvi zems un tāpēc Latvijai nevis valsts parāda līmenis, bet gan tā dinamika vidējā termiņā var būt fiskālās ilgtspējas riska avots.</w:t>
      </w:r>
      <w:r w:rsidR="00947E54">
        <w:rPr>
          <w:rFonts w:ascii="Times New Roman" w:hAnsi="Times New Roman"/>
          <w:sz w:val="24"/>
          <w:szCs w:val="24"/>
        </w:rPr>
        <w:t xml:space="preserve"> Laika periodā pēc 2008.</w:t>
      </w:r>
      <w:r w:rsidRPr="00AB06F0">
        <w:rPr>
          <w:rFonts w:ascii="Times New Roman" w:hAnsi="Times New Roman"/>
          <w:sz w:val="24"/>
          <w:szCs w:val="24"/>
        </w:rPr>
        <w:t xml:space="preserve">gada ekonomiskās krīzes, īstenojot fiskālo politiku saskaņā ar Stabilitātes un izaugsmes </w:t>
      </w:r>
      <w:proofErr w:type="spellStart"/>
      <w:r w:rsidRPr="00AB06F0">
        <w:rPr>
          <w:rFonts w:ascii="Times New Roman" w:hAnsi="Times New Roman"/>
          <w:sz w:val="24"/>
          <w:szCs w:val="24"/>
        </w:rPr>
        <w:t>pakta</w:t>
      </w:r>
      <w:proofErr w:type="spellEnd"/>
      <w:r w:rsidRPr="00AB06F0">
        <w:rPr>
          <w:rFonts w:ascii="Times New Roman" w:hAnsi="Times New Roman"/>
          <w:sz w:val="24"/>
          <w:szCs w:val="24"/>
        </w:rPr>
        <w:t xml:space="preserve"> noteiktajiem fiskālās disciplīnas nosacījumiem, vispārējās valdības parāda līmenis 9 gados ir samazinājies par 11 procentu punktiem. Modelējot, ka nopietnas krīzes atkārtošanās periods ir ap 10 gadiem, COVID -19 krīzes beigās vispārējās valdības parādam nevajadzētu pieaugt vairāk kā par 12 procentu pu</w:t>
      </w:r>
      <w:r w:rsidR="00947E54">
        <w:rPr>
          <w:rFonts w:ascii="Times New Roman" w:hAnsi="Times New Roman"/>
          <w:sz w:val="24"/>
          <w:szCs w:val="24"/>
        </w:rPr>
        <w:t xml:space="preserve">nktiem, pret </w:t>
      </w:r>
      <w:proofErr w:type="spellStart"/>
      <w:r w:rsidR="00947E54">
        <w:rPr>
          <w:rFonts w:ascii="Times New Roman" w:hAnsi="Times New Roman"/>
          <w:sz w:val="24"/>
          <w:szCs w:val="24"/>
        </w:rPr>
        <w:t>pirmskrīzes</w:t>
      </w:r>
      <w:proofErr w:type="spellEnd"/>
      <w:r w:rsidR="00947E54">
        <w:rPr>
          <w:rFonts w:ascii="Times New Roman" w:hAnsi="Times New Roman"/>
          <w:sz w:val="24"/>
          <w:szCs w:val="24"/>
        </w:rPr>
        <w:t xml:space="preserve"> līmeni</w:t>
      </w:r>
      <w:r w:rsidRPr="00AB06F0">
        <w:rPr>
          <w:rFonts w:ascii="Times New Roman" w:hAnsi="Times New Roman"/>
          <w:sz w:val="24"/>
          <w:szCs w:val="24"/>
        </w:rPr>
        <w:t xml:space="preserve">, jeb </w:t>
      </w:r>
      <w:r w:rsidRPr="00AB06F0">
        <w:rPr>
          <w:rFonts w:ascii="Times New Roman" w:hAnsi="Times New Roman"/>
          <w:b/>
          <w:sz w:val="24"/>
          <w:szCs w:val="24"/>
        </w:rPr>
        <w:t>ap 50 % no IKP.</w:t>
      </w:r>
      <w:r w:rsidRPr="00AB06F0">
        <w:rPr>
          <w:rFonts w:ascii="Times New Roman" w:hAnsi="Times New Roman"/>
          <w:sz w:val="24"/>
          <w:szCs w:val="24"/>
        </w:rPr>
        <w:t xml:space="preserve">       </w:t>
      </w:r>
    </w:p>
    <w:p w14:paraId="72C5AEE2" w14:textId="44CFBE5E" w:rsidR="00AB06F0" w:rsidRPr="00AB06F0" w:rsidRDefault="00AB06F0" w:rsidP="00AB06F0">
      <w:pPr>
        <w:pStyle w:val="ListParagraph"/>
        <w:numPr>
          <w:ilvl w:val="0"/>
          <w:numId w:val="46"/>
        </w:numPr>
        <w:spacing w:after="120" w:line="240" w:lineRule="auto"/>
        <w:ind w:left="0" w:firstLine="720"/>
        <w:contextualSpacing w:val="0"/>
        <w:jc w:val="both"/>
        <w:rPr>
          <w:rFonts w:ascii="Times New Roman" w:hAnsi="Times New Roman"/>
          <w:sz w:val="24"/>
          <w:szCs w:val="24"/>
        </w:rPr>
      </w:pPr>
      <w:r w:rsidRPr="00AB06F0">
        <w:rPr>
          <w:rFonts w:ascii="Times New Roman" w:hAnsi="Times New Roman"/>
          <w:b/>
          <w:sz w:val="24"/>
          <w:szCs w:val="24"/>
          <w:u w:val="single"/>
        </w:rPr>
        <w:t>Krīzes pārvarēšanai pieejamais publisko finanšu apjoms.</w:t>
      </w:r>
      <w:r w:rsidRPr="00AB06F0">
        <w:rPr>
          <w:rFonts w:ascii="Times New Roman" w:hAnsi="Times New Roman"/>
          <w:sz w:val="24"/>
          <w:szCs w:val="24"/>
        </w:rPr>
        <w:t xml:space="preserve"> Ne Fiskālās disciplīnas likums, ne Stabilitātes un izaugsmes pakts neie</w:t>
      </w:r>
      <w:r w:rsidR="00947E54">
        <w:rPr>
          <w:rFonts w:ascii="Times New Roman" w:hAnsi="Times New Roman"/>
          <w:sz w:val="24"/>
          <w:szCs w:val="24"/>
        </w:rPr>
        <w:t>robežo finanšu apjomu, ko 2021.</w:t>
      </w:r>
      <w:r w:rsidRPr="00AB06F0">
        <w:rPr>
          <w:rFonts w:ascii="Times New Roman" w:hAnsi="Times New Roman"/>
          <w:sz w:val="24"/>
          <w:szCs w:val="24"/>
        </w:rPr>
        <w:t>gadā var novirzīt krīzes pārvarēšanā, ja atbalsta pasākumi ir labi foku</w:t>
      </w:r>
      <w:r w:rsidR="00947E54">
        <w:rPr>
          <w:rFonts w:ascii="Times New Roman" w:hAnsi="Times New Roman"/>
          <w:sz w:val="24"/>
          <w:szCs w:val="24"/>
        </w:rPr>
        <w:t>sēti, ietekme ir tikai uz 2021.</w:t>
      </w:r>
      <w:r w:rsidRPr="00AB06F0">
        <w:rPr>
          <w:rFonts w:ascii="Times New Roman" w:hAnsi="Times New Roman"/>
          <w:sz w:val="24"/>
          <w:szCs w:val="24"/>
        </w:rPr>
        <w:t xml:space="preserve">gadu, tie nepalielina netiešo iespējamo saistību risku, atbilst resursu lietderīgas izmantošanas principam un vidējā termiņā nodrošina fiskālo ilgtspēju.                   </w:t>
      </w:r>
    </w:p>
    <w:p w14:paraId="69D4EFAD" w14:textId="77777777" w:rsidR="00AB06F0" w:rsidRPr="006E5D4B" w:rsidRDefault="00AB06F0" w:rsidP="000F46ED">
      <w:pPr>
        <w:pStyle w:val="naisf"/>
        <w:spacing w:before="0" w:beforeAutospacing="0" w:after="120" w:afterAutospacing="0"/>
        <w:jc w:val="both"/>
        <w:rPr>
          <w:lang w:val="lv-LV"/>
        </w:rPr>
      </w:pPr>
    </w:p>
    <w:p w14:paraId="34B7338F" w14:textId="494BD54D" w:rsidR="008C29E3" w:rsidRPr="00680B36" w:rsidRDefault="00D829B1" w:rsidP="00D829B1">
      <w:pPr>
        <w:pStyle w:val="naisf"/>
        <w:shd w:val="clear" w:color="auto" w:fill="D9D9D9" w:themeFill="background1" w:themeFillShade="D9"/>
        <w:spacing w:before="0" w:beforeAutospacing="0" w:after="120" w:afterAutospacing="0"/>
        <w:ind w:firstLine="720"/>
        <w:jc w:val="center"/>
        <w:rPr>
          <w:b/>
          <w:lang w:val="lv-LV"/>
        </w:rPr>
      </w:pPr>
      <w:r>
        <w:rPr>
          <w:b/>
          <w:lang w:val="lv-LV"/>
        </w:rPr>
        <w:t xml:space="preserve">3. </w:t>
      </w:r>
      <w:r w:rsidR="008D18A2" w:rsidRPr="00841022">
        <w:rPr>
          <w:b/>
          <w:lang w:val="lv-LV"/>
        </w:rPr>
        <w:t>Pieejamie finanšu resursi valsts budžeta programmā “Līdzekļi neparedzētiem gadījumiem</w:t>
      </w:r>
      <w:r w:rsidR="008D18A2" w:rsidRPr="00477BEF">
        <w:rPr>
          <w:b/>
          <w:lang w:val="lv-LV"/>
        </w:rPr>
        <w:t xml:space="preserve">” </w:t>
      </w:r>
      <w:r w:rsidR="00477BEF" w:rsidRPr="00477BEF">
        <w:rPr>
          <w:b/>
          <w:lang w:val="lv-LV"/>
        </w:rPr>
        <w:t>Covid-19 ierobežošanas vienreizēju pasākumu finansēšanai</w:t>
      </w:r>
      <w:r w:rsidR="00477BEF" w:rsidRPr="00841022">
        <w:rPr>
          <w:b/>
          <w:lang w:val="lv-LV"/>
        </w:rPr>
        <w:t xml:space="preserve"> </w:t>
      </w:r>
      <w:r w:rsidR="008D18A2" w:rsidRPr="00841022">
        <w:rPr>
          <w:b/>
          <w:lang w:val="lv-LV"/>
        </w:rPr>
        <w:t>un to izlietojums</w:t>
      </w:r>
    </w:p>
    <w:p w14:paraId="4C411384" w14:textId="77777777" w:rsidR="00112F70" w:rsidRPr="00680B36" w:rsidRDefault="00112F70" w:rsidP="000F46ED">
      <w:pPr>
        <w:ind w:left="125" w:right="113"/>
        <w:rPr>
          <w:sz w:val="24"/>
          <w:szCs w:val="24"/>
          <w:shd w:val="clear" w:color="auto" w:fill="FFFFFF"/>
        </w:rPr>
      </w:pPr>
      <w:r w:rsidRPr="004279E9">
        <w:rPr>
          <w:sz w:val="24"/>
          <w:szCs w:val="24"/>
          <w:shd w:val="clear" w:color="auto" w:fill="FFFFFF"/>
        </w:rPr>
        <w:t>Ņemot vērā</w:t>
      </w:r>
      <w:r w:rsidRPr="00E51B1C">
        <w:rPr>
          <w:shd w:val="clear" w:color="auto" w:fill="FFFFFF"/>
        </w:rPr>
        <w:t xml:space="preserve"> </w:t>
      </w:r>
      <w:r w:rsidRPr="00680B36">
        <w:rPr>
          <w:sz w:val="24"/>
          <w:szCs w:val="24"/>
          <w:shd w:val="clear" w:color="auto" w:fill="FFFFFF"/>
        </w:rPr>
        <w:t>straujo Covid-19 infekcijas izplatīšanos un pieaugošo veselības nozares pārslodzes risku, ar 2020.gada 6.novembra rīkojumu Nr.655 “Par ārkārtējās situācijas izsludināšanu” atkārtoti visā valsts teritorijā no 2020.gada 9.novembra līdz 2021.gada 6.aprīlim ir izsludināta ārkārtējā situācija. Šā rīkojuma 12.punktā noteikts, ka pasākumus pēc institūciju motivēta pieprasījuma var finansēt no valsts budžeta programmas 02.00.00 “Līdzekļi neparedzētiem gadījumiem”. Šādos gadījumos lēmumu par finansējuma piešķiršanu pieņem Ministru kabinets, kā arī nepieciešams Saeimas Budžeta un finanšu (nodokļu) komisijas saskaņojums.</w:t>
      </w:r>
    </w:p>
    <w:p w14:paraId="77967F7F" w14:textId="5F870C3F" w:rsidR="00112F70" w:rsidRPr="00680B36" w:rsidRDefault="00DF7937" w:rsidP="000F46ED">
      <w:pPr>
        <w:ind w:left="125" w:right="113"/>
        <w:rPr>
          <w:sz w:val="24"/>
          <w:szCs w:val="24"/>
        </w:rPr>
      </w:pPr>
      <w:r w:rsidRPr="00680B36">
        <w:rPr>
          <w:sz w:val="24"/>
          <w:szCs w:val="24"/>
        </w:rPr>
        <w:t>Likumā “Par valsts budžetu 2021.gadam”</w:t>
      </w:r>
      <w:r>
        <w:rPr>
          <w:sz w:val="24"/>
          <w:szCs w:val="24"/>
        </w:rPr>
        <w:t xml:space="preserve"> </w:t>
      </w:r>
      <w:r w:rsidR="00112F70" w:rsidRPr="00680B36">
        <w:rPr>
          <w:sz w:val="24"/>
          <w:szCs w:val="24"/>
        </w:rPr>
        <w:t xml:space="preserve">budžeta resora “74. Gadskārtējā valsts budžeta izpildes procesā pārdalāmais finansējums” programmā </w:t>
      </w:r>
      <w:r w:rsidR="005F4941" w:rsidRPr="00680B36">
        <w:rPr>
          <w:sz w:val="24"/>
          <w:szCs w:val="24"/>
        </w:rPr>
        <w:t xml:space="preserve">02.00.00 </w:t>
      </w:r>
      <w:r w:rsidR="00112F70" w:rsidRPr="00680B36">
        <w:rPr>
          <w:bCs/>
          <w:sz w:val="24"/>
          <w:szCs w:val="24"/>
        </w:rPr>
        <w:t>“</w:t>
      </w:r>
      <w:r w:rsidR="00112F70" w:rsidRPr="00680B36">
        <w:rPr>
          <w:sz w:val="24"/>
          <w:szCs w:val="24"/>
        </w:rPr>
        <w:t>Līdzekļi neparedzētiem gadījumiem</w:t>
      </w:r>
      <w:r>
        <w:rPr>
          <w:bCs/>
          <w:sz w:val="24"/>
          <w:szCs w:val="24"/>
        </w:rPr>
        <w:t xml:space="preserve">” </w:t>
      </w:r>
      <w:r w:rsidR="00481DA0">
        <w:rPr>
          <w:bCs/>
          <w:sz w:val="24"/>
          <w:szCs w:val="24"/>
        </w:rPr>
        <w:t>noteikta</w:t>
      </w:r>
      <w:r w:rsidR="00112F70" w:rsidRPr="00680B36">
        <w:rPr>
          <w:bCs/>
          <w:sz w:val="24"/>
          <w:szCs w:val="24"/>
        </w:rPr>
        <w:t xml:space="preserve"> </w:t>
      </w:r>
      <w:r w:rsidRPr="00680B36">
        <w:rPr>
          <w:sz w:val="24"/>
          <w:szCs w:val="24"/>
        </w:rPr>
        <w:t xml:space="preserve">apropriācija </w:t>
      </w:r>
      <w:r w:rsidRPr="00680B36">
        <w:rPr>
          <w:b/>
          <w:sz w:val="24"/>
          <w:szCs w:val="24"/>
        </w:rPr>
        <w:t>26</w:t>
      </w:r>
      <w:r w:rsidR="00BB22F4">
        <w:rPr>
          <w:b/>
          <w:sz w:val="24"/>
          <w:szCs w:val="24"/>
        </w:rPr>
        <w:t>,</w:t>
      </w:r>
      <w:r w:rsidRPr="00680B36">
        <w:rPr>
          <w:b/>
          <w:sz w:val="24"/>
          <w:szCs w:val="24"/>
        </w:rPr>
        <w:t>7</w:t>
      </w:r>
      <w:r w:rsidR="00BB22F4">
        <w:rPr>
          <w:b/>
          <w:sz w:val="24"/>
          <w:szCs w:val="24"/>
        </w:rPr>
        <w:t xml:space="preserve"> milj. </w:t>
      </w:r>
      <w:proofErr w:type="spellStart"/>
      <w:r w:rsidRPr="00680B36">
        <w:rPr>
          <w:b/>
          <w:i/>
          <w:iCs/>
          <w:sz w:val="24"/>
          <w:szCs w:val="24"/>
        </w:rPr>
        <w:t>euro</w:t>
      </w:r>
      <w:proofErr w:type="spellEnd"/>
      <w:r w:rsidRPr="00680B36">
        <w:rPr>
          <w:i/>
          <w:iCs/>
          <w:sz w:val="24"/>
          <w:szCs w:val="24"/>
        </w:rPr>
        <w:t xml:space="preserve"> </w:t>
      </w:r>
      <w:r w:rsidRPr="00680B36">
        <w:rPr>
          <w:iCs/>
          <w:sz w:val="24"/>
          <w:szCs w:val="24"/>
        </w:rPr>
        <w:t>apmērā</w:t>
      </w:r>
      <w:r w:rsidR="00112F70" w:rsidRPr="00680B36">
        <w:rPr>
          <w:sz w:val="24"/>
          <w:szCs w:val="24"/>
        </w:rPr>
        <w:t xml:space="preserve">, lai nodrošinātu valsts pamatbudžeta apropriāciju līdzekļiem neparedzētiem izdevumiem saskaņā ar Ministru kabineta 2018.gada 17.jūlija noteikumiem Nr.421 “Kārtība, kādā veic gadskārtējā valsts budžeta likumā noteiktās apropriācijas izmaiņas” valstiski īpaši nozīmīgiem pasākumiem, valsts pamatbudžeta apropriācijās neparedzētiem izdevumiem katastrofu un dabas stihiju </w:t>
      </w:r>
      <w:r w:rsidR="00112F70" w:rsidRPr="00680B36">
        <w:rPr>
          <w:sz w:val="24"/>
          <w:szCs w:val="24"/>
        </w:rPr>
        <w:lastRenderedPageBreak/>
        <w:t>seku novēršanai un to radīto zaudējumu kompensēšanai un citiem neparedzētiem gadījumiem.</w:t>
      </w:r>
    </w:p>
    <w:p w14:paraId="1A6E6A36" w14:textId="70263707" w:rsidR="00FD359D" w:rsidRPr="00680B36" w:rsidRDefault="00FD359D" w:rsidP="000F46ED">
      <w:pPr>
        <w:autoSpaceDE w:val="0"/>
        <w:autoSpaceDN w:val="0"/>
        <w:adjustRightInd w:val="0"/>
        <w:ind w:left="102" w:right="130"/>
        <w:rPr>
          <w:sz w:val="24"/>
          <w:szCs w:val="24"/>
          <w:shd w:val="clear" w:color="auto" w:fill="FFFFFF"/>
        </w:rPr>
      </w:pPr>
      <w:r w:rsidRPr="00680B36">
        <w:rPr>
          <w:iCs/>
          <w:sz w:val="24"/>
          <w:szCs w:val="24"/>
        </w:rPr>
        <w:t xml:space="preserve">Ņemot vērā, ka 2021.gada valsts budžeta projekta sagatavošanas procesā nebija skaidrs par 2021.gadā papildus nepieciešamā  finansējuma apmēru </w:t>
      </w:r>
      <w:r w:rsidRPr="00680B36">
        <w:rPr>
          <w:sz w:val="24"/>
          <w:szCs w:val="24"/>
        </w:rPr>
        <w:t xml:space="preserve">Covid-19 seku novēršanas un pārvarēšanas pasākumiem, pasliktinoties epidemioloģiskajai situācijai, likumā </w:t>
      </w:r>
      <w:r w:rsidRPr="00680B36">
        <w:rPr>
          <w:iCs/>
          <w:sz w:val="24"/>
          <w:szCs w:val="24"/>
        </w:rPr>
        <w:t xml:space="preserve">“Par valsts budžetu 2021.gadam” </w:t>
      </w:r>
      <w:r w:rsidRPr="00680B36">
        <w:rPr>
          <w:sz w:val="24"/>
          <w:szCs w:val="24"/>
        </w:rPr>
        <w:t>tika iekļauts 55.pants par f</w:t>
      </w:r>
      <w:r w:rsidRPr="00680B36">
        <w:rPr>
          <w:sz w:val="24"/>
          <w:szCs w:val="24"/>
          <w:shd w:val="clear" w:color="auto" w:fill="FFFFFF"/>
        </w:rPr>
        <w:t>inanšu ministram dotām tiesībām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p w14:paraId="7A5D88F7" w14:textId="65F25B96" w:rsidR="00112F70" w:rsidRPr="00680B36" w:rsidRDefault="00FD359D" w:rsidP="000F46ED">
      <w:pPr>
        <w:ind w:left="125" w:right="113"/>
        <w:rPr>
          <w:sz w:val="24"/>
          <w:szCs w:val="24"/>
          <w:shd w:val="clear" w:color="auto" w:fill="FFFFFF"/>
        </w:rPr>
      </w:pPr>
      <w:r>
        <w:rPr>
          <w:bCs/>
          <w:sz w:val="24"/>
          <w:szCs w:val="24"/>
          <w:shd w:val="clear" w:color="auto" w:fill="FFFFFF"/>
        </w:rPr>
        <w:t xml:space="preserve">Arī </w:t>
      </w:r>
      <w:r w:rsidR="00112F70" w:rsidRPr="00680B36">
        <w:rPr>
          <w:bCs/>
          <w:sz w:val="24"/>
          <w:szCs w:val="24"/>
          <w:shd w:val="clear" w:color="auto" w:fill="FFFFFF"/>
        </w:rPr>
        <w:t>Covid-19 infekcijas izplatības seku pārvarēšanas likuma 26.pants</w:t>
      </w:r>
      <w:r w:rsidR="00112F70" w:rsidRPr="00680B36">
        <w:rPr>
          <w:sz w:val="24"/>
          <w:szCs w:val="24"/>
          <w:shd w:val="clear" w:color="auto" w:fill="FFFFFF"/>
        </w:rPr>
        <w:t> nosaka, ka finanšu ministram ir tiesības palielināt likumā ”</w:t>
      </w:r>
      <w:hyperlink r:id="rId12" w:tgtFrame="_blank" w:history="1">
        <w:r w:rsidR="00112F70" w:rsidRPr="00680B36">
          <w:rPr>
            <w:rStyle w:val="Hyperlink"/>
            <w:color w:val="auto"/>
            <w:sz w:val="24"/>
            <w:szCs w:val="24"/>
            <w:u w:val="none"/>
            <w:shd w:val="clear" w:color="auto" w:fill="FFFFFF"/>
          </w:rPr>
          <w:t>Par valsts budžetu 2020.gadam</w:t>
        </w:r>
      </w:hyperlink>
      <w:r w:rsidR="00112F70" w:rsidRPr="00680B36">
        <w:rPr>
          <w:sz w:val="24"/>
          <w:szCs w:val="24"/>
          <w:shd w:val="clear" w:color="auto" w:fill="FFFFFF"/>
        </w:rPr>
        <w:t>” un likumā “Par valsts budžetu 2021.gadam”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 un Saeimas Budžeta un finanšu (nodokļu) komisija piecu darbdienu laikā no attiecīgās informācijas saņemšanas dienas ir to izskatījusi un nav iebildusi.</w:t>
      </w:r>
    </w:p>
    <w:p w14:paraId="47234B28" w14:textId="501E2269" w:rsidR="00917FC6" w:rsidRDefault="00112F70" w:rsidP="00D91DF3">
      <w:pPr>
        <w:autoSpaceDE w:val="0"/>
        <w:autoSpaceDN w:val="0"/>
        <w:adjustRightInd w:val="0"/>
        <w:spacing w:before="120" w:after="0"/>
        <w:ind w:left="102" w:right="130"/>
        <w:rPr>
          <w:sz w:val="24"/>
          <w:szCs w:val="24"/>
        </w:rPr>
      </w:pPr>
      <w:r w:rsidRPr="00694E3B">
        <w:rPr>
          <w:sz w:val="24"/>
          <w:szCs w:val="24"/>
          <w:u w:val="single"/>
        </w:rPr>
        <w:t>Lai nodrošinātu finansējumu Covid-19 seku novēršanas un pārvarēšanas pasākumiem, atbilstoši likuma “Par valsts budžetu 2021.gadam” 55.pantā noteiktajam</w:t>
      </w:r>
      <w:r w:rsidR="00917FC6" w:rsidRPr="00694E3B">
        <w:rPr>
          <w:sz w:val="24"/>
          <w:szCs w:val="24"/>
          <w:u w:val="single"/>
        </w:rPr>
        <w:t xml:space="preserve"> un pieņemtam Ministru kabineta lēmumam ir palielināta apropriācija budžeta resora “74. Gadskārtējā valsts budžeta izpildes procesā pārdalāmais finansējums” programmā 02.00.00 “Līdzekļi neparedzētiem gadījumiem” </w:t>
      </w:r>
      <w:r w:rsidR="00917FC6" w:rsidRPr="00694E3B">
        <w:rPr>
          <w:b/>
          <w:sz w:val="24"/>
          <w:szCs w:val="24"/>
          <w:u w:val="single"/>
        </w:rPr>
        <w:t xml:space="preserve">800 milj. </w:t>
      </w:r>
      <w:proofErr w:type="spellStart"/>
      <w:r w:rsidR="00917FC6" w:rsidRPr="00694E3B">
        <w:rPr>
          <w:b/>
          <w:i/>
          <w:sz w:val="24"/>
          <w:szCs w:val="24"/>
          <w:u w:val="single"/>
        </w:rPr>
        <w:t>euro</w:t>
      </w:r>
      <w:proofErr w:type="spellEnd"/>
      <w:r w:rsidR="00917FC6" w:rsidRPr="00694E3B">
        <w:rPr>
          <w:sz w:val="24"/>
          <w:szCs w:val="24"/>
          <w:u w:val="single"/>
        </w:rPr>
        <w:t xml:space="preserve"> apmērā</w:t>
      </w:r>
      <w:r w:rsidRPr="00917FC6">
        <w:rPr>
          <w:sz w:val="24"/>
          <w:szCs w:val="24"/>
        </w:rPr>
        <w:t>,</w:t>
      </w:r>
      <w:r w:rsidR="00917FC6" w:rsidRPr="00917FC6">
        <w:rPr>
          <w:sz w:val="24"/>
          <w:szCs w:val="24"/>
        </w:rPr>
        <w:t xml:space="preserve"> tajā skait</w:t>
      </w:r>
      <w:r w:rsidR="00917FC6">
        <w:rPr>
          <w:sz w:val="24"/>
          <w:szCs w:val="24"/>
        </w:rPr>
        <w:t>ā:</w:t>
      </w:r>
    </w:p>
    <w:p w14:paraId="0809FED7" w14:textId="4E09A1A6" w:rsidR="00112F70" w:rsidRDefault="00917FC6" w:rsidP="00917FC6">
      <w:pPr>
        <w:pStyle w:val="ListParagraph"/>
        <w:numPr>
          <w:ilvl w:val="0"/>
          <w:numId w:val="41"/>
        </w:numPr>
        <w:autoSpaceDE w:val="0"/>
        <w:autoSpaceDN w:val="0"/>
        <w:adjustRightInd w:val="0"/>
        <w:spacing w:after="0" w:line="240" w:lineRule="auto"/>
        <w:ind w:left="816" w:right="130" w:hanging="357"/>
        <w:contextualSpacing w:val="0"/>
        <w:rPr>
          <w:rFonts w:ascii="Times New Roman" w:hAnsi="Times New Roman"/>
          <w:sz w:val="24"/>
          <w:szCs w:val="24"/>
        </w:rPr>
      </w:pPr>
      <w:r>
        <w:rPr>
          <w:rFonts w:ascii="Times New Roman" w:hAnsi="Times New Roman"/>
          <w:sz w:val="24"/>
          <w:szCs w:val="24"/>
        </w:rPr>
        <w:t xml:space="preserve">ar </w:t>
      </w:r>
      <w:r w:rsidR="00112F70" w:rsidRPr="00917FC6">
        <w:rPr>
          <w:rFonts w:ascii="Times New Roman" w:hAnsi="Times New Roman"/>
          <w:sz w:val="24"/>
          <w:szCs w:val="24"/>
        </w:rPr>
        <w:t>Ministru kabineta 2021.gada 5.janvāra rīkojum</w:t>
      </w:r>
      <w:r>
        <w:rPr>
          <w:rFonts w:ascii="Times New Roman" w:hAnsi="Times New Roman"/>
          <w:sz w:val="24"/>
          <w:szCs w:val="24"/>
        </w:rPr>
        <w:t>u</w:t>
      </w:r>
      <w:r w:rsidR="00112F70" w:rsidRPr="00917FC6">
        <w:rPr>
          <w:rFonts w:ascii="Times New Roman" w:hAnsi="Times New Roman"/>
          <w:sz w:val="24"/>
          <w:szCs w:val="24"/>
        </w:rPr>
        <w:t xml:space="preserve"> Nr.3 (prot. Nr.1, 2.§) </w:t>
      </w:r>
      <w:r>
        <w:rPr>
          <w:rFonts w:ascii="Times New Roman" w:hAnsi="Times New Roman"/>
          <w:sz w:val="24"/>
          <w:szCs w:val="24"/>
        </w:rPr>
        <w:t xml:space="preserve">un </w:t>
      </w:r>
      <w:r w:rsidR="00112F70" w:rsidRPr="00917FC6">
        <w:rPr>
          <w:rFonts w:ascii="Times New Roman" w:hAnsi="Times New Roman"/>
          <w:sz w:val="24"/>
          <w:szCs w:val="24"/>
        </w:rPr>
        <w:t xml:space="preserve">Finanšu ministrijas 2021.gada 8.janvāra rīkojumu Nr.8 </w:t>
      </w:r>
      <w:r w:rsidR="00112F70" w:rsidRPr="00917FC6">
        <w:rPr>
          <w:rFonts w:ascii="Times New Roman" w:hAnsi="Times New Roman"/>
          <w:b/>
          <w:sz w:val="24"/>
          <w:szCs w:val="24"/>
        </w:rPr>
        <w:t xml:space="preserve">300 </w:t>
      </w:r>
      <w:r w:rsidR="00047E9E" w:rsidRPr="00917FC6">
        <w:rPr>
          <w:rFonts w:ascii="Times New Roman" w:hAnsi="Times New Roman"/>
          <w:b/>
          <w:sz w:val="24"/>
          <w:szCs w:val="24"/>
        </w:rPr>
        <w:t>milj.</w:t>
      </w:r>
      <w:r w:rsidR="00112F70" w:rsidRPr="00917FC6">
        <w:rPr>
          <w:rFonts w:ascii="Times New Roman" w:hAnsi="Times New Roman"/>
          <w:b/>
          <w:sz w:val="24"/>
          <w:szCs w:val="24"/>
        </w:rPr>
        <w:t xml:space="preserve"> </w:t>
      </w:r>
      <w:proofErr w:type="spellStart"/>
      <w:r w:rsidR="00112F70" w:rsidRPr="00917FC6">
        <w:rPr>
          <w:rFonts w:ascii="Times New Roman" w:hAnsi="Times New Roman"/>
          <w:b/>
          <w:i/>
          <w:sz w:val="24"/>
          <w:szCs w:val="24"/>
        </w:rPr>
        <w:t>euro</w:t>
      </w:r>
      <w:proofErr w:type="spellEnd"/>
      <w:r>
        <w:rPr>
          <w:rFonts w:ascii="Times New Roman" w:hAnsi="Times New Roman"/>
          <w:sz w:val="24"/>
          <w:szCs w:val="24"/>
        </w:rPr>
        <w:t xml:space="preserve"> apmērā;</w:t>
      </w:r>
    </w:p>
    <w:p w14:paraId="56E7445A" w14:textId="42C68CDB" w:rsidR="001A1A89" w:rsidRPr="001A1A89" w:rsidRDefault="00D91DF3" w:rsidP="001A1A89">
      <w:pPr>
        <w:pStyle w:val="ListParagraph"/>
        <w:numPr>
          <w:ilvl w:val="0"/>
          <w:numId w:val="41"/>
        </w:numPr>
        <w:autoSpaceDE w:val="0"/>
        <w:autoSpaceDN w:val="0"/>
        <w:adjustRightInd w:val="0"/>
        <w:spacing w:after="120" w:line="240" w:lineRule="auto"/>
        <w:ind w:left="816" w:right="130" w:hanging="357"/>
        <w:contextualSpacing w:val="0"/>
        <w:rPr>
          <w:rFonts w:ascii="Times New Roman" w:hAnsi="Times New Roman"/>
          <w:sz w:val="24"/>
          <w:szCs w:val="24"/>
        </w:rPr>
      </w:pPr>
      <w:r w:rsidRPr="00853885">
        <w:rPr>
          <w:rFonts w:ascii="Times New Roman" w:hAnsi="Times New Roman"/>
          <w:sz w:val="24"/>
          <w:szCs w:val="24"/>
        </w:rPr>
        <w:t xml:space="preserve">ar Ministru kabineta 2021.gada </w:t>
      </w:r>
      <w:r w:rsidR="00853885" w:rsidRPr="00853885">
        <w:rPr>
          <w:rFonts w:ascii="Times New Roman" w:hAnsi="Times New Roman"/>
          <w:sz w:val="24"/>
          <w:szCs w:val="24"/>
        </w:rPr>
        <w:t>17</w:t>
      </w:r>
      <w:r w:rsidRPr="00853885">
        <w:rPr>
          <w:rFonts w:ascii="Times New Roman" w:hAnsi="Times New Roman"/>
          <w:sz w:val="24"/>
          <w:szCs w:val="24"/>
        </w:rPr>
        <w:t>.</w:t>
      </w:r>
      <w:r w:rsidR="00853885" w:rsidRPr="00853885">
        <w:rPr>
          <w:rFonts w:ascii="Times New Roman" w:hAnsi="Times New Roman"/>
          <w:sz w:val="24"/>
          <w:szCs w:val="24"/>
        </w:rPr>
        <w:t>februāra</w:t>
      </w:r>
      <w:r w:rsidRPr="00853885">
        <w:rPr>
          <w:rFonts w:ascii="Times New Roman" w:hAnsi="Times New Roman"/>
          <w:sz w:val="24"/>
          <w:szCs w:val="24"/>
        </w:rPr>
        <w:t xml:space="preserve"> rīkojumu Nr.</w:t>
      </w:r>
      <w:r w:rsidR="00853885" w:rsidRPr="00853885">
        <w:rPr>
          <w:rFonts w:ascii="Times New Roman" w:hAnsi="Times New Roman"/>
          <w:sz w:val="24"/>
          <w:szCs w:val="24"/>
        </w:rPr>
        <w:t>97</w:t>
      </w:r>
      <w:r w:rsidRPr="00853885">
        <w:rPr>
          <w:rFonts w:ascii="Times New Roman" w:hAnsi="Times New Roman"/>
          <w:sz w:val="24"/>
          <w:szCs w:val="24"/>
        </w:rPr>
        <w:t xml:space="preserve"> (prot. Nr.1</w:t>
      </w:r>
      <w:r w:rsidR="00853885" w:rsidRPr="00853885">
        <w:rPr>
          <w:rFonts w:ascii="Times New Roman" w:hAnsi="Times New Roman"/>
          <w:sz w:val="24"/>
          <w:szCs w:val="24"/>
        </w:rPr>
        <w:t>7</w:t>
      </w:r>
      <w:r w:rsidRPr="00853885">
        <w:rPr>
          <w:rFonts w:ascii="Times New Roman" w:hAnsi="Times New Roman"/>
          <w:sz w:val="24"/>
          <w:szCs w:val="24"/>
        </w:rPr>
        <w:t xml:space="preserve">, </w:t>
      </w:r>
      <w:r w:rsidR="00853885" w:rsidRPr="00853885">
        <w:rPr>
          <w:rFonts w:ascii="Times New Roman" w:hAnsi="Times New Roman"/>
          <w:sz w:val="24"/>
          <w:szCs w:val="24"/>
        </w:rPr>
        <w:t>8</w:t>
      </w:r>
      <w:r w:rsidRPr="00853885">
        <w:rPr>
          <w:rFonts w:ascii="Times New Roman" w:hAnsi="Times New Roman"/>
          <w:sz w:val="24"/>
          <w:szCs w:val="24"/>
        </w:rPr>
        <w:t xml:space="preserve">.§) </w:t>
      </w:r>
      <w:r w:rsidRPr="00853885">
        <w:rPr>
          <w:rFonts w:ascii="Times New Roman" w:hAnsi="Times New Roman"/>
          <w:b/>
          <w:sz w:val="24"/>
          <w:szCs w:val="24"/>
        </w:rPr>
        <w:t xml:space="preserve">500 milj. </w:t>
      </w:r>
      <w:proofErr w:type="spellStart"/>
      <w:r w:rsidRPr="00853885">
        <w:rPr>
          <w:rFonts w:ascii="Times New Roman" w:hAnsi="Times New Roman"/>
          <w:b/>
          <w:i/>
          <w:sz w:val="24"/>
          <w:szCs w:val="24"/>
        </w:rPr>
        <w:t>euro</w:t>
      </w:r>
      <w:proofErr w:type="spellEnd"/>
      <w:r w:rsidRPr="00853885">
        <w:rPr>
          <w:rFonts w:ascii="Times New Roman" w:hAnsi="Times New Roman"/>
          <w:sz w:val="24"/>
          <w:szCs w:val="24"/>
        </w:rPr>
        <w:t xml:space="preserve"> apmērā</w:t>
      </w:r>
      <w:r w:rsidR="00853885" w:rsidRPr="00853885">
        <w:rPr>
          <w:rFonts w:ascii="Times New Roman" w:hAnsi="Times New Roman"/>
          <w:sz w:val="24"/>
          <w:szCs w:val="24"/>
        </w:rPr>
        <w:t xml:space="preserve"> (vēl jāskaņo ar Saeimas Budžeta un finanšu (nodokļu) komisiju).</w:t>
      </w:r>
      <w:r w:rsidR="001A1A89">
        <w:rPr>
          <w:rFonts w:ascii="Times New Roman" w:hAnsi="Times New Roman"/>
          <w:sz w:val="24"/>
          <w:szCs w:val="24"/>
        </w:rPr>
        <w:t xml:space="preserve"> </w:t>
      </w:r>
      <w:r w:rsidR="001A1A89" w:rsidRPr="001A1A89">
        <w:rPr>
          <w:rFonts w:ascii="Times New Roman" w:hAnsi="Times New Roman"/>
          <w:sz w:val="24"/>
          <w:szCs w:val="24"/>
        </w:rPr>
        <w:t>Finansējums tiek piešķirts atbilstoši faktiskajai nepieciešamībai.</w:t>
      </w:r>
    </w:p>
    <w:p w14:paraId="4BEAD4D8" w14:textId="6DEE6536" w:rsidR="00112F70" w:rsidRPr="00680B36" w:rsidRDefault="00112F70" w:rsidP="000F46ED">
      <w:pPr>
        <w:rPr>
          <w:iCs/>
          <w:sz w:val="24"/>
          <w:szCs w:val="24"/>
        </w:rPr>
      </w:pPr>
      <w:r w:rsidRPr="00680B36">
        <w:rPr>
          <w:sz w:val="24"/>
          <w:szCs w:val="24"/>
        </w:rPr>
        <w:t>Palielinot apropriāciju</w:t>
      </w:r>
      <w:r w:rsidR="00853885">
        <w:rPr>
          <w:sz w:val="24"/>
          <w:szCs w:val="24"/>
        </w:rPr>
        <w:t>, attiecīgi palielinās</w:t>
      </w:r>
      <w:r w:rsidRPr="00680B36">
        <w:rPr>
          <w:sz w:val="24"/>
          <w:szCs w:val="24"/>
        </w:rPr>
        <w:t xml:space="preserve"> </w:t>
      </w:r>
      <w:r w:rsidRPr="00680B36">
        <w:rPr>
          <w:iCs/>
          <w:sz w:val="24"/>
          <w:szCs w:val="24"/>
        </w:rPr>
        <w:t>valsts konsolidētā budžeta finansiālais deficīts.</w:t>
      </w:r>
    </w:p>
    <w:p w14:paraId="2A2BEBEC" w14:textId="01A7739D" w:rsidR="000F7618" w:rsidRDefault="00372ABA" w:rsidP="000F46ED">
      <w:pPr>
        <w:ind w:left="113" w:right="113"/>
        <w:rPr>
          <w:sz w:val="24"/>
          <w:szCs w:val="24"/>
        </w:rPr>
      </w:pPr>
      <w:r w:rsidRPr="00923596">
        <w:rPr>
          <w:b/>
          <w:sz w:val="24"/>
          <w:szCs w:val="24"/>
        </w:rPr>
        <w:t xml:space="preserve">Līdz 2021.gada 22.februārim no valsts budžeta programmas </w:t>
      </w:r>
      <w:r w:rsidRPr="00923596">
        <w:rPr>
          <w:b/>
          <w:bCs/>
          <w:sz w:val="24"/>
          <w:szCs w:val="24"/>
        </w:rPr>
        <w:t>“</w:t>
      </w:r>
      <w:r w:rsidRPr="00923596">
        <w:rPr>
          <w:b/>
          <w:sz w:val="24"/>
          <w:szCs w:val="24"/>
        </w:rPr>
        <w:t>Līdzekļi neparedzētiem gadījumiem</w:t>
      </w:r>
      <w:r w:rsidRPr="00923596">
        <w:rPr>
          <w:b/>
          <w:bCs/>
          <w:sz w:val="24"/>
          <w:szCs w:val="24"/>
        </w:rPr>
        <w:t xml:space="preserve">” </w:t>
      </w:r>
      <w:r w:rsidRPr="00923596">
        <w:rPr>
          <w:b/>
          <w:sz w:val="24"/>
          <w:szCs w:val="24"/>
        </w:rPr>
        <w:t>M</w:t>
      </w:r>
      <w:r w:rsidR="00507282" w:rsidRPr="00923596">
        <w:rPr>
          <w:b/>
          <w:sz w:val="24"/>
          <w:szCs w:val="24"/>
        </w:rPr>
        <w:t>inistru kabinets</w:t>
      </w:r>
      <w:r w:rsidRPr="00923596">
        <w:rPr>
          <w:b/>
          <w:sz w:val="24"/>
          <w:szCs w:val="24"/>
        </w:rPr>
        <w:t xml:space="preserve"> </w:t>
      </w:r>
      <w:r w:rsidR="00923596" w:rsidRPr="00923596">
        <w:rPr>
          <w:b/>
          <w:sz w:val="24"/>
          <w:szCs w:val="24"/>
        </w:rPr>
        <w:t xml:space="preserve">ir </w:t>
      </w:r>
      <w:r w:rsidRPr="00923596">
        <w:rPr>
          <w:b/>
          <w:sz w:val="24"/>
          <w:szCs w:val="24"/>
        </w:rPr>
        <w:t>atbalstī</w:t>
      </w:r>
      <w:r w:rsidR="00923596" w:rsidRPr="00923596">
        <w:rPr>
          <w:b/>
          <w:sz w:val="24"/>
          <w:szCs w:val="24"/>
        </w:rPr>
        <w:t>jis</w:t>
      </w:r>
      <w:r w:rsidRPr="00923596">
        <w:rPr>
          <w:b/>
          <w:sz w:val="24"/>
          <w:szCs w:val="24"/>
        </w:rPr>
        <w:t xml:space="preserve"> finansējum</w:t>
      </w:r>
      <w:r w:rsidR="00923596" w:rsidRPr="00923596">
        <w:rPr>
          <w:b/>
          <w:sz w:val="24"/>
          <w:szCs w:val="24"/>
        </w:rPr>
        <w:t>u</w:t>
      </w:r>
      <w:r w:rsidR="00B07306">
        <w:rPr>
          <w:b/>
          <w:sz w:val="24"/>
          <w:szCs w:val="24"/>
        </w:rPr>
        <w:t xml:space="preserve"> aktuāl</w:t>
      </w:r>
      <w:r w:rsidR="000F7618" w:rsidRPr="00923596">
        <w:rPr>
          <w:b/>
          <w:sz w:val="24"/>
          <w:szCs w:val="24"/>
        </w:rPr>
        <w:t>iem atbalsta pasākumiem C</w:t>
      </w:r>
      <w:r w:rsidR="00DA5241">
        <w:rPr>
          <w:b/>
          <w:sz w:val="24"/>
          <w:szCs w:val="24"/>
        </w:rPr>
        <w:t>ovid</w:t>
      </w:r>
      <w:r w:rsidR="000F7618" w:rsidRPr="00923596">
        <w:rPr>
          <w:b/>
          <w:sz w:val="24"/>
          <w:szCs w:val="24"/>
        </w:rPr>
        <w:t>-19  pārvarēšanai</w:t>
      </w:r>
      <w:r w:rsidRPr="000F7618">
        <w:rPr>
          <w:sz w:val="24"/>
          <w:szCs w:val="24"/>
        </w:rPr>
        <w:t xml:space="preserve"> </w:t>
      </w:r>
      <w:r w:rsidRPr="00372ABA">
        <w:rPr>
          <w:b/>
          <w:bCs/>
          <w:sz w:val="24"/>
          <w:szCs w:val="24"/>
          <w:lang w:eastAsia="lv-LV"/>
        </w:rPr>
        <w:t xml:space="preserve">533,7 </w:t>
      </w:r>
      <w:r w:rsidR="000F7618">
        <w:rPr>
          <w:b/>
          <w:bCs/>
          <w:sz w:val="24"/>
          <w:szCs w:val="24"/>
        </w:rPr>
        <w:t xml:space="preserve">milj. </w:t>
      </w:r>
      <w:proofErr w:type="spellStart"/>
      <w:r w:rsidR="000F7618" w:rsidRPr="000F7618">
        <w:rPr>
          <w:b/>
          <w:bCs/>
          <w:i/>
          <w:sz w:val="24"/>
          <w:szCs w:val="24"/>
        </w:rPr>
        <w:t>euro</w:t>
      </w:r>
      <w:proofErr w:type="spellEnd"/>
      <w:r w:rsidR="000F7618">
        <w:rPr>
          <w:bCs/>
          <w:sz w:val="24"/>
          <w:szCs w:val="24"/>
        </w:rPr>
        <w:t xml:space="preserve"> apmērā,</w:t>
      </w:r>
      <w:r w:rsidR="000F7618">
        <w:rPr>
          <w:b/>
          <w:bCs/>
          <w:sz w:val="24"/>
          <w:szCs w:val="24"/>
        </w:rPr>
        <w:t xml:space="preserve"> </w:t>
      </w:r>
      <w:r w:rsidR="000F7618">
        <w:rPr>
          <w:bCs/>
          <w:sz w:val="24"/>
          <w:szCs w:val="24"/>
        </w:rPr>
        <w:t>tajā skaitā:</w:t>
      </w:r>
    </w:p>
    <w:p w14:paraId="28B75A89" w14:textId="5BB84F79" w:rsidR="000F7618" w:rsidRDefault="00372ABA" w:rsidP="000F46ED">
      <w:pPr>
        <w:ind w:left="113" w:right="113"/>
        <w:rPr>
          <w:sz w:val="24"/>
          <w:szCs w:val="24"/>
        </w:rPr>
      </w:pPr>
      <w:r w:rsidRPr="000F7618">
        <w:rPr>
          <w:b/>
          <w:bCs/>
          <w:sz w:val="24"/>
          <w:szCs w:val="24"/>
        </w:rPr>
        <w:t xml:space="preserve">Finanšu ministrijai 110,0 milj. </w:t>
      </w:r>
      <w:proofErr w:type="spellStart"/>
      <w:r w:rsidR="000F7618" w:rsidRPr="000F7618">
        <w:rPr>
          <w:b/>
          <w:bCs/>
          <w:i/>
          <w:sz w:val="24"/>
          <w:szCs w:val="24"/>
        </w:rPr>
        <w:t>euro</w:t>
      </w:r>
      <w:proofErr w:type="spellEnd"/>
      <w:r w:rsidRPr="000F7618">
        <w:rPr>
          <w:bCs/>
          <w:sz w:val="24"/>
          <w:szCs w:val="24"/>
        </w:rPr>
        <w:t xml:space="preserve"> dīkstāves atbalstam, atbalstam algu subsīdijai un Covid-19 krīzes skarto uzņēmumu apgrozāmo līdzekļu plūsmas nodrošināšanai.</w:t>
      </w:r>
    </w:p>
    <w:p w14:paraId="5FB7548E" w14:textId="2ABDCA16" w:rsidR="000F7618" w:rsidRDefault="00372ABA" w:rsidP="000F46ED">
      <w:pPr>
        <w:ind w:left="113" w:right="113"/>
        <w:rPr>
          <w:sz w:val="24"/>
          <w:szCs w:val="24"/>
        </w:rPr>
      </w:pPr>
      <w:r w:rsidRPr="000F7618">
        <w:rPr>
          <w:b/>
          <w:bCs/>
          <w:sz w:val="24"/>
          <w:szCs w:val="24"/>
        </w:rPr>
        <w:t xml:space="preserve">Veselības ministrijai 211,7 milj. </w:t>
      </w:r>
      <w:proofErr w:type="spellStart"/>
      <w:r w:rsidRPr="000F7618">
        <w:rPr>
          <w:b/>
          <w:bCs/>
          <w:i/>
          <w:sz w:val="24"/>
          <w:szCs w:val="24"/>
        </w:rPr>
        <w:t>euro</w:t>
      </w:r>
      <w:proofErr w:type="spellEnd"/>
      <w:r w:rsidRPr="000F7618">
        <w:rPr>
          <w:b/>
          <w:bCs/>
          <w:sz w:val="24"/>
          <w:szCs w:val="24"/>
        </w:rPr>
        <w:t xml:space="preserve">, </w:t>
      </w:r>
      <w:r w:rsidR="00B5564E">
        <w:rPr>
          <w:bCs/>
          <w:sz w:val="24"/>
          <w:szCs w:val="24"/>
        </w:rPr>
        <w:t>tajā skaitā</w:t>
      </w:r>
      <w:r w:rsidR="000F7618">
        <w:rPr>
          <w:sz w:val="24"/>
          <w:szCs w:val="24"/>
        </w:rPr>
        <w:t xml:space="preserve"> </w:t>
      </w:r>
      <w:r w:rsidRPr="000F7618">
        <w:rPr>
          <w:b/>
          <w:bCs/>
          <w:sz w:val="24"/>
          <w:szCs w:val="24"/>
        </w:rPr>
        <w:t xml:space="preserve">7,0 milj. </w:t>
      </w:r>
      <w:proofErr w:type="spellStart"/>
      <w:r w:rsidRPr="000F7618">
        <w:rPr>
          <w:b/>
          <w:bCs/>
          <w:i/>
          <w:sz w:val="24"/>
          <w:szCs w:val="24"/>
        </w:rPr>
        <w:t>euro</w:t>
      </w:r>
      <w:proofErr w:type="spellEnd"/>
      <w:r w:rsidRPr="000F7618">
        <w:rPr>
          <w:b/>
          <w:bCs/>
          <w:sz w:val="24"/>
          <w:szCs w:val="24"/>
        </w:rPr>
        <w:t xml:space="preserve"> </w:t>
      </w:r>
      <w:r w:rsidRPr="000F7618">
        <w:rPr>
          <w:sz w:val="24"/>
          <w:szCs w:val="24"/>
        </w:rPr>
        <w:t xml:space="preserve">medicīnisko iekārtu un papildaprīkojuma iegādei; </w:t>
      </w:r>
      <w:r w:rsidRPr="000F7618">
        <w:rPr>
          <w:b/>
          <w:sz w:val="24"/>
          <w:szCs w:val="24"/>
        </w:rPr>
        <w:t xml:space="preserve">2,4 milj. </w:t>
      </w:r>
      <w:proofErr w:type="spellStart"/>
      <w:r w:rsidRPr="000F7618">
        <w:rPr>
          <w:b/>
          <w:i/>
          <w:sz w:val="24"/>
          <w:szCs w:val="24"/>
        </w:rPr>
        <w:t>euro</w:t>
      </w:r>
      <w:proofErr w:type="spellEnd"/>
      <w:r w:rsidRPr="000F7618">
        <w:rPr>
          <w:sz w:val="24"/>
          <w:szCs w:val="24"/>
        </w:rPr>
        <w:t xml:space="preserve">, lai nodrošinātu medikamenta </w:t>
      </w:r>
      <w:proofErr w:type="spellStart"/>
      <w:r w:rsidRPr="000F7618">
        <w:rPr>
          <w:sz w:val="24"/>
          <w:szCs w:val="24"/>
        </w:rPr>
        <w:t>Veclury</w:t>
      </w:r>
      <w:proofErr w:type="spellEnd"/>
      <w:r w:rsidRPr="000F7618">
        <w:rPr>
          <w:sz w:val="24"/>
          <w:szCs w:val="24"/>
        </w:rPr>
        <w:t xml:space="preserve"> (ar aktīvo vielu </w:t>
      </w:r>
      <w:proofErr w:type="spellStart"/>
      <w:r w:rsidRPr="000F7618">
        <w:rPr>
          <w:sz w:val="24"/>
          <w:szCs w:val="24"/>
        </w:rPr>
        <w:t>remdesivīrs</w:t>
      </w:r>
      <w:proofErr w:type="spellEnd"/>
      <w:r w:rsidRPr="000F7618">
        <w:rPr>
          <w:sz w:val="24"/>
          <w:szCs w:val="24"/>
        </w:rPr>
        <w:t xml:space="preserve">) pieejamību Covid-19 medikamentozās ārstēšanas procesā laikposmā no 2021. gada janvāra līdz 2021. gada 30.jūnijam; </w:t>
      </w:r>
      <w:r w:rsidRPr="000F7618">
        <w:rPr>
          <w:b/>
          <w:sz w:val="24"/>
          <w:szCs w:val="24"/>
        </w:rPr>
        <w:t xml:space="preserve">0,6 milj. </w:t>
      </w:r>
      <w:proofErr w:type="spellStart"/>
      <w:r w:rsidRPr="000F7618">
        <w:rPr>
          <w:b/>
          <w:i/>
          <w:sz w:val="24"/>
          <w:szCs w:val="24"/>
        </w:rPr>
        <w:t>euro</w:t>
      </w:r>
      <w:proofErr w:type="spellEnd"/>
      <w:r w:rsidRPr="000F7618">
        <w:rPr>
          <w:sz w:val="24"/>
          <w:szCs w:val="24"/>
        </w:rPr>
        <w:t xml:space="preserve"> Vakcinācijas projekta biroja izveidei; </w:t>
      </w:r>
      <w:r w:rsidRPr="000F7618">
        <w:rPr>
          <w:b/>
          <w:sz w:val="24"/>
          <w:szCs w:val="24"/>
        </w:rPr>
        <w:t xml:space="preserve">7,1 milj. </w:t>
      </w:r>
      <w:proofErr w:type="spellStart"/>
      <w:r w:rsidRPr="000F7618">
        <w:rPr>
          <w:b/>
          <w:i/>
          <w:sz w:val="24"/>
          <w:szCs w:val="24"/>
        </w:rPr>
        <w:t>euro</w:t>
      </w:r>
      <w:proofErr w:type="spellEnd"/>
      <w:r w:rsidRPr="000F7618">
        <w:rPr>
          <w:sz w:val="24"/>
          <w:szCs w:val="24"/>
        </w:rPr>
        <w:t xml:space="preserve">, lai samazinātu  ilglaicīgu negatīvo ietekmi uz sabiedrības psihisko veselību; </w:t>
      </w:r>
      <w:r w:rsidRPr="000F7618">
        <w:rPr>
          <w:b/>
          <w:sz w:val="24"/>
          <w:szCs w:val="24"/>
        </w:rPr>
        <w:t xml:space="preserve">69,3 milj. </w:t>
      </w:r>
      <w:proofErr w:type="spellStart"/>
      <w:r w:rsidRPr="000F7618">
        <w:rPr>
          <w:b/>
          <w:i/>
          <w:sz w:val="24"/>
          <w:szCs w:val="24"/>
        </w:rPr>
        <w:t>euro</w:t>
      </w:r>
      <w:proofErr w:type="spellEnd"/>
      <w:r w:rsidRPr="000F7618">
        <w:rPr>
          <w:sz w:val="24"/>
          <w:szCs w:val="24"/>
        </w:rPr>
        <w:t xml:space="preserve">, lai nodrošinātu piemaksas no 2021.gada 1.janvāra līdz 2021.gada 31.martam atbildīgo institūciju ārstniecības personām un citiem nodarbinātajiem par darbu paaugstināta riska un slodzes apstākļos sabiedrības veselības apdraudējuma situācijā; </w:t>
      </w:r>
      <w:r w:rsidRPr="000F7618">
        <w:rPr>
          <w:b/>
          <w:sz w:val="24"/>
          <w:szCs w:val="24"/>
        </w:rPr>
        <w:t xml:space="preserve">0,4 milj. </w:t>
      </w:r>
      <w:proofErr w:type="spellStart"/>
      <w:r w:rsidRPr="000F7618">
        <w:rPr>
          <w:b/>
          <w:i/>
          <w:sz w:val="24"/>
          <w:szCs w:val="24"/>
        </w:rPr>
        <w:t>euro</w:t>
      </w:r>
      <w:proofErr w:type="spellEnd"/>
      <w:r w:rsidRPr="000F7618">
        <w:rPr>
          <w:sz w:val="24"/>
          <w:szCs w:val="24"/>
        </w:rPr>
        <w:t xml:space="preserve"> SPKC kapacitātes stiprināšanai Covid-19 gadījumu efektīvai epidemioloģiskajai pārvaldīšanai no 2021.gada 1.februāra līdz 2021.gada 30.jūnijam; </w:t>
      </w:r>
      <w:r w:rsidRPr="000F7618">
        <w:rPr>
          <w:b/>
          <w:sz w:val="24"/>
          <w:szCs w:val="24"/>
        </w:rPr>
        <w:t xml:space="preserve">1,5 milj. </w:t>
      </w:r>
      <w:proofErr w:type="spellStart"/>
      <w:r w:rsidRPr="000F7618">
        <w:rPr>
          <w:b/>
          <w:i/>
          <w:sz w:val="24"/>
          <w:szCs w:val="24"/>
        </w:rPr>
        <w:t>euro</w:t>
      </w:r>
      <w:proofErr w:type="spellEnd"/>
      <w:r w:rsidRPr="000F7618">
        <w:rPr>
          <w:b/>
          <w:sz w:val="24"/>
          <w:szCs w:val="24"/>
        </w:rPr>
        <w:t xml:space="preserve"> </w:t>
      </w:r>
      <w:r w:rsidRPr="000F7618">
        <w:rPr>
          <w:sz w:val="24"/>
          <w:szCs w:val="24"/>
        </w:rPr>
        <w:t xml:space="preserve">vakcinācijas </w:t>
      </w:r>
      <w:r w:rsidRPr="000F7618">
        <w:rPr>
          <w:sz w:val="24"/>
          <w:szCs w:val="24"/>
        </w:rPr>
        <w:lastRenderedPageBreak/>
        <w:t xml:space="preserve">procesa pārvaldes IT risinājuma izveidei; </w:t>
      </w:r>
      <w:r w:rsidRPr="000F7618">
        <w:rPr>
          <w:b/>
          <w:sz w:val="24"/>
          <w:szCs w:val="24"/>
        </w:rPr>
        <w:t xml:space="preserve">40,3 milj. </w:t>
      </w:r>
      <w:proofErr w:type="spellStart"/>
      <w:r w:rsidRPr="000F7618">
        <w:rPr>
          <w:b/>
          <w:i/>
          <w:sz w:val="24"/>
          <w:szCs w:val="24"/>
        </w:rPr>
        <w:t>euro</w:t>
      </w:r>
      <w:proofErr w:type="spellEnd"/>
      <w:r w:rsidRPr="000F7618">
        <w:rPr>
          <w:sz w:val="24"/>
          <w:szCs w:val="24"/>
        </w:rPr>
        <w:t xml:space="preserve"> medicīnisko iekārtu un papildaprīkojuma iegādei, operatīvā datu paneļa izveidei un piemaksām par observācijas gultām un intensīvās terapijas gultām;</w:t>
      </w:r>
      <w:r w:rsidRPr="000F7618">
        <w:rPr>
          <w:b/>
          <w:sz w:val="24"/>
          <w:szCs w:val="24"/>
        </w:rPr>
        <w:t xml:space="preserve"> 83,0 milj. </w:t>
      </w:r>
      <w:proofErr w:type="spellStart"/>
      <w:r w:rsidRPr="000F7618">
        <w:rPr>
          <w:b/>
          <w:i/>
          <w:sz w:val="24"/>
          <w:szCs w:val="24"/>
        </w:rPr>
        <w:t>euro</w:t>
      </w:r>
      <w:proofErr w:type="spellEnd"/>
      <w:r w:rsidRPr="000F7618">
        <w:rPr>
          <w:sz w:val="24"/>
          <w:szCs w:val="24"/>
        </w:rPr>
        <w:t xml:space="preserve"> Covid-19 testēšanas politikas mērķu sasniegšanai, veicinot esošās Covid-19 testēšanas jaudas palielināšanu un savlaicīgu jaunu infekcijas vīrusu celmu vai paveidu agrīnu atklāšanu, pilnveidojot un attīstot vīrusa sekvencēšanas metodi; </w:t>
      </w:r>
      <w:r w:rsidRPr="000F7618">
        <w:rPr>
          <w:b/>
          <w:sz w:val="24"/>
          <w:szCs w:val="24"/>
        </w:rPr>
        <w:t xml:space="preserve">0,05 milj. </w:t>
      </w:r>
      <w:proofErr w:type="spellStart"/>
      <w:r w:rsidRPr="000F7618">
        <w:rPr>
          <w:b/>
          <w:i/>
          <w:sz w:val="24"/>
          <w:szCs w:val="24"/>
        </w:rPr>
        <w:t>euro</w:t>
      </w:r>
      <w:proofErr w:type="spellEnd"/>
      <w:r w:rsidRPr="000F7618">
        <w:rPr>
          <w:sz w:val="24"/>
          <w:szCs w:val="24"/>
        </w:rPr>
        <w:t xml:space="preserve">, lai nodrošinātu teorētiskās un praktiskās mācības ārstniecības personām par vakcināciju pret </w:t>
      </w:r>
      <w:proofErr w:type="spellStart"/>
      <w:r w:rsidRPr="000F7618">
        <w:rPr>
          <w:sz w:val="24"/>
          <w:szCs w:val="24"/>
        </w:rPr>
        <w:t>Covid</w:t>
      </w:r>
      <w:proofErr w:type="spellEnd"/>
      <w:r w:rsidRPr="000F7618">
        <w:rPr>
          <w:sz w:val="24"/>
          <w:szCs w:val="24"/>
        </w:rPr>
        <w:t xml:space="preserve"> -19.</w:t>
      </w:r>
    </w:p>
    <w:p w14:paraId="5915328C" w14:textId="019E4696" w:rsidR="004E3D0D" w:rsidRDefault="00372ABA" w:rsidP="000F46ED">
      <w:pPr>
        <w:ind w:left="113" w:right="113"/>
        <w:rPr>
          <w:sz w:val="24"/>
          <w:szCs w:val="24"/>
        </w:rPr>
      </w:pPr>
      <w:r w:rsidRPr="000F7618">
        <w:rPr>
          <w:b/>
          <w:bCs/>
          <w:sz w:val="24"/>
          <w:szCs w:val="24"/>
        </w:rPr>
        <w:t>Labklājības ministrijai</w:t>
      </w:r>
      <w:r w:rsidRPr="000F7618">
        <w:rPr>
          <w:sz w:val="24"/>
          <w:szCs w:val="24"/>
        </w:rPr>
        <w:t> </w:t>
      </w:r>
      <w:r w:rsidRPr="000F7618">
        <w:rPr>
          <w:b/>
          <w:bCs/>
          <w:sz w:val="24"/>
          <w:szCs w:val="24"/>
        </w:rPr>
        <w:t xml:space="preserve">82,4 milj. </w:t>
      </w:r>
      <w:proofErr w:type="spellStart"/>
      <w:r w:rsidRPr="000F7618">
        <w:rPr>
          <w:b/>
          <w:bCs/>
          <w:i/>
          <w:sz w:val="24"/>
          <w:szCs w:val="24"/>
        </w:rPr>
        <w:t>euro</w:t>
      </w:r>
      <w:proofErr w:type="spellEnd"/>
      <w:r w:rsidRPr="000F7618">
        <w:rPr>
          <w:b/>
          <w:bCs/>
          <w:sz w:val="24"/>
          <w:szCs w:val="24"/>
        </w:rPr>
        <w:t xml:space="preserve">, </w:t>
      </w:r>
      <w:r w:rsidR="00B5564E">
        <w:rPr>
          <w:bCs/>
          <w:sz w:val="24"/>
          <w:szCs w:val="24"/>
        </w:rPr>
        <w:t>tajā skaitā</w:t>
      </w:r>
      <w:r w:rsidR="000F7618">
        <w:rPr>
          <w:bCs/>
          <w:sz w:val="24"/>
          <w:szCs w:val="24"/>
        </w:rPr>
        <w:t xml:space="preserve"> </w:t>
      </w:r>
      <w:r w:rsidRPr="000F7618">
        <w:rPr>
          <w:b/>
          <w:color w:val="000000"/>
          <w:sz w:val="24"/>
          <w:szCs w:val="24"/>
          <w:lang w:eastAsia="lv-LV"/>
        </w:rPr>
        <w:t xml:space="preserve">67,6 milj. </w:t>
      </w:r>
      <w:proofErr w:type="spellStart"/>
      <w:r w:rsidRPr="000F7618">
        <w:rPr>
          <w:b/>
          <w:i/>
          <w:color w:val="000000"/>
          <w:sz w:val="24"/>
          <w:szCs w:val="24"/>
          <w:lang w:eastAsia="lv-LV"/>
        </w:rPr>
        <w:t>euro</w:t>
      </w:r>
      <w:proofErr w:type="spellEnd"/>
      <w:r w:rsidRPr="000F7618">
        <w:rPr>
          <w:color w:val="000000"/>
          <w:sz w:val="24"/>
          <w:szCs w:val="24"/>
          <w:lang w:eastAsia="lv-LV"/>
        </w:rPr>
        <w:t xml:space="preserve"> - slimības palīdzī</w:t>
      </w:r>
      <w:r w:rsidR="008E71A7">
        <w:rPr>
          <w:color w:val="000000"/>
          <w:sz w:val="24"/>
          <w:szCs w:val="24"/>
          <w:lang w:eastAsia="lv-LV"/>
        </w:rPr>
        <w:t>bas pabalstu laikposmā no 2021.gada 1.</w:t>
      </w:r>
      <w:r w:rsidRPr="000F7618">
        <w:rPr>
          <w:color w:val="000000"/>
          <w:sz w:val="24"/>
          <w:szCs w:val="24"/>
          <w:lang w:eastAsia="lv-LV"/>
        </w:rPr>
        <w:t xml:space="preserve">janvāra līdz 2021. gada 30. jūnijam izmaksai, </w:t>
      </w:r>
      <w:r w:rsidRPr="000F7618">
        <w:rPr>
          <w:b/>
          <w:color w:val="000000"/>
          <w:sz w:val="24"/>
          <w:szCs w:val="24"/>
          <w:lang w:eastAsia="lv-LV"/>
        </w:rPr>
        <w:t xml:space="preserve">8,2 milj. </w:t>
      </w:r>
      <w:proofErr w:type="spellStart"/>
      <w:r w:rsidRPr="000F7618">
        <w:rPr>
          <w:b/>
          <w:i/>
          <w:color w:val="000000"/>
          <w:sz w:val="24"/>
          <w:szCs w:val="24"/>
          <w:lang w:eastAsia="lv-LV"/>
        </w:rPr>
        <w:t>euro</w:t>
      </w:r>
      <w:proofErr w:type="spellEnd"/>
      <w:r w:rsidRPr="000F7618">
        <w:rPr>
          <w:color w:val="000000"/>
          <w:sz w:val="24"/>
          <w:szCs w:val="24"/>
          <w:lang w:eastAsia="lv-LV"/>
        </w:rPr>
        <w:t xml:space="preserve"> - </w:t>
      </w:r>
      <w:r w:rsidR="008E71A7">
        <w:rPr>
          <w:color w:val="000000"/>
          <w:sz w:val="24"/>
          <w:szCs w:val="24"/>
          <w:lang w:eastAsia="lv-LV"/>
        </w:rPr>
        <w:t>lai no 2020.gada 1.decembra līdz 2021.gada 30.</w:t>
      </w:r>
      <w:r w:rsidRPr="000F7618">
        <w:rPr>
          <w:color w:val="000000"/>
          <w:sz w:val="24"/>
          <w:szCs w:val="24"/>
          <w:lang w:eastAsia="lv-LV"/>
        </w:rPr>
        <w:t xml:space="preserve">jūnijam nodrošinātu piemaksu līdz 50 % no mēnešalgas personām, kas iesaistītas aprūpē paaugstināta riska apstākļos, ja institūcijā, kurā sociālos pakalpojumus ar izmitināšanu sniedz pašvaldības vai valsts dibināts sociālo pakalpojumu sniedzējs vai pakalpojumu sniedzējs, kuram ir noslēgts līgums ar pašvaldību vai valsti par minēto pakalpojumu sniegšanu, klientiem ir konstatēta Covid-19 infekcija, </w:t>
      </w:r>
      <w:r w:rsidRPr="000F7618">
        <w:rPr>
          <w:b/>
          <w:color w:val="000000"/>
          <w:sz w:val="24"/>
          <w:szCs w:val="24"/>
          <w:lang w:eastAsia="lv-LV"/>
        </w:rPr>
        <w:t xml:space="preserve">3,3 milj. </w:t>
      </w:r>
      <w:proofErr w:type="spellStart"/>
      <w:r w:rsidRPr="000F7618">
        <w:rPr>
          <w:b/>
          <w:i/>
          <w:color w:val="000000"/>
          <w:sz w:val="24"/>
          <w:szCs w:val="24"/>
          <w:lang w:eastAsia="lv-LV"/>
        </w:rPr>
        <w:t>euro</w:t>
      </w:r>
      <w:proofErr w:type="spellEnd"/>
      <w:r w:rsidRPr="000F7618">
        <w:rPr>
          <w:color w:val="000000"/>
          <w:sz w:val="24"/>
          <w:szCs w:val="24"/>
          <w:lang w:eastAsia="lv-LV"/>
        </w:rPr>
        <w:t xml:space="preserve"> - bezdarbnieka palīdzības pabalsta izmaksu 180 </w:t>
      </w:r>
      <w:proofErr w:type="spellStart"/>
      <w:r w:rsidR="002E7111" w:rsidRPr="002E7111">
        <w:rPr>
          <w:i/>
          <w:color w:val="000000"/>
          <w:sz w:val="24"/>
          <w:szCs w:val="24"/>
          <w:lang w:eastAsia="lv-LV"/>
        </w:rPr>
        <w:t>euro</w:t>
      </w:r>
      <w:proofErr w:type="spellEnd"/>
      <w:r w:rsidRPr="000F7618">
        <w:rPr>
          <w:color w:val="000000"/>
          <w:sz w:val="24"/>
          <w:szCs w:val="24"/>
          <w:lang w:eastAsia="lv-LV"/>
        </w:rPr>
        <w:t xml:space="preserve">  apmērā </w:t>
      </w:r>
      <w:r w:rsidR="008E71A7">
        <w:rPr>
          <w:color w:val="000000"/>
          <w:sz w:val="24"/>
          <w:szCs w:val="24"/>
          <w:lang w:eastAsia="lv-LV"/>
        </w:rPr>
        <w:t>laikposmā no 2021.gada 1.janvāra līdz 2021.gada 30.</w:t>
      </w:r>
      <w:r w:rsidRPr="000F7618">
        <w:rPr>
          <w:color w:val="000000"/>
          <w:sz w:val="24"/>
          <w:szCs w:val="24"/>
          <w:lang w:eastAsia="lv-LV"/>
        </w:rPr>
        <w:t xml:space="preserve">jūnijam nodrošināšanai, </w:t>
      </w:r>
      <w:r w:rsidRPr="000F7618">
        <w:rPr>
          <w:b/>
          <w:color w:val="000000"/>
          <w:sz w:val="24"/>
          <w:szCs w:val="24"/>
          <w:lang w:eastAsia="lv-LV"/>
        </w:rPr>
        <w:t xml:space="preserve">1,4 milj. </w:t>
      </w:r>
      <w:proofErr w:type="spellStart"/>
      <w:r w:rsidRPr="008E71A7">
        <w:rPr>
          <w:b/>
          <w:i/>
          <w:color w:val="000000"/>
          <w:sz w:val="24"/>
          <w:szCs w:val="24"/>
          <w:lang w:eastAsia="lv-LV"/>
        </w:rPr>
        <w:t>euro</w:t>
      </w:r>
      <w:proofErr w:type="spellEnd"/>
      <w:r w:rsidRPr="000F7618">
        <w:rPr>
          <w:color w:val="000000"/>
          <w:sz w:val="24"/>
          <w:szCs w:val="24"/>
          <w:lang w:eastAsia="lv-LV"/>
        </w:rPr>
        <w:t xml:space="preserve"> - piemaksu izmaksai pie dīkstāves pabalsta 50 </w:t>
      </w:r>
      <w:proofErr w:type="spellStart"/>
      <w:r w:rsidR="002E7111" w:rsidRPr="002E7111">
        <w:rPr>
          <w:i/>
          <w:color w:val="000000"/>
          <w:sz w:val="24"/>
          <w:szCs w:val="24"/>
          <w:lang w:eastAsia="lv-LV"/>
        </w:rPr>
        <w:t>euro</w:t>
      </w:r>
      <w:proofErr w:type="spellEnd"/>
      <w:r w:rsidRPr="000F7618">
        <w:rPr>
          <w:color w:val="000000"/>
          <w:sz w:val="24"/>
          <w:szCs w:val="24"/>
          <w:lang w:eastAsia="lv-LV"/>
        </w:rPr>
        <w:t xml:space="preserve"> apmērā par katru apgādībā esošu bērnu vecumā līdz 24 gadiem, par kuru darbiniekam tiek piemērots iedzīvotāju ienākuma nodokļa atvieglojums, </w:t>
      </w:r>
      <w:r w:rsidRPr="000F7618">
        <w:rPr>
          <w:b/>
          <w:color w:val="000000"/>
          <w:sz w:val="24"/>
          <w:szCs w:val="24"/>
          <w:lang w:eastAsia="lv-LV"/>
        </w:rPr>
        <w:t xml:space="preserve">0,4 milj. </w:t>
      </w:r>
      <w:proofErr w:type="spellStart"/>
      <w:r w:rsidRPr="008E71A7">
        <w:rPr>
          <w:b/>
          <w:i/>
          <w:color w:val="000000"/>
          <w:sz w:val="24"/>
          <w:szCs w:val="24"/>
          <w:lang w:eastAsia="lv-LV"/>
        </w:rPr>
        <w:t>euro</w:t>
      </w:r>
      <w:proofErr w:type="spellEnd"/>
      <w:r w:rsidRPr="000F7618">
        <w:rPr>
          <w:color w:val="000000"/>
          <w:sz w:val="24"/>
          <w:szCs w:val="24"/>
          <w:lang w:eastAsia="lv-LV"/>
        </w:rPr>
        <w:t xml:space="preserve"> – lai kompensētu pašvaldībām izdevumus 50 procentu apmērā no ģimenei (personai) izmaksātā pabalsta krīzes situācijā, bet ne vairāk kā 40 </w:t>
      </w:r>
      <w:proofErr w:type="spellStart"/>
      <w:r w:rsidR="002E7111" w:rsidRPr="002E7111">
        <w:rPr>
          <w:i/>
          <w:color w:val="000000"/>
          <w:sz w:val="24"/>
          <w:szCs w:val="24"/>
          <w:lang w:eastAsia="lv-LV"/>
        </w:rPr>
        <w:t>euro</w:t>
      </w:r>
      <w:proofErr w:type="spellEnd"/>
      <w:r w:rsidRPr="000F7618">
        <w:rPr>
          <w:color w:val="000000"/>
          <w:sz w:val="24"/>
          <w:szCs w:val="24"/>
          <w:lang w:eastAsia="lv-LV"/>
        </w:rPr>
        <w:t xml:space="preserve"> mēnesī vienai personai, un kompensētu pašvaldībām izdevumus 100 procentu apmērā no ģimenei (personai), tai skaitā audžuģimenei un aizbildnim, kam ir tiesības uz pabalstu krīzes situācijā, izmaksātā pabalsta – 50 </w:t>
      </w:r>
      <w:proofErr w:type="spellStart"/>
      <w:r w:rsidR="002E7111" w:rsidRPr="002E7111">
        <w:rPr>
          <w:i/>
          <w:color w:val="000000"/>
          <w:sz w:val="24"/>
          <w:szCs w:val="24"/>
          <w:lang w:eastAsia="lv-LV"/>
        </w:rPr>
        <w:t>euro</w:t>
      </w:r>
      <w:proofErr w:type="spellEnd"/>
      <w:r w:rsidRPr="000F7618">
        <w:rPr>
          <w:color w:val="000000"/>
          <w:sz w:val="24"/>
          <w:szCs w:val="24"/>
          <w:lang w:eastAsia="lv-LV"/>
        </w:rPr>
        <w:t xml:space="preserve"> mēnesī par katru aprūpē esošu bērnu līdz 18 gadu vecumam, </w:t>
      </w:r>
      <w:r w:rsidRPr="000F7618">
        <w:rPr>
          <w:b/>
          <w:color w:val="000000"/>
          <w:sz w:val="24"/>
          <w:szCs w:val="24"/>
          <w:lang w:eastAsia="lv-LV"/>
        </w:rPr>
        <w:t xml:space="preserve">0,3 milj. </w:t>
      </w:r>
      <w:proofErr w:type="spellStart"/>
      <w:r w:rsidRPr="008E71A7">
        <w:rPr>
          <w:b/>
          <w:i/>
          <w:color w:val="000000"/>
          <w:sz w:val="24"/>
          <w:szCs w:val="24"/>
          <w:lang w:eastAsia="lv-LV"/>
        </w:rPr>
        <w:t>euro</w:t>
      </w:r>
      <w:proofErr w:type="spellEnd"/>
      <w:r w:rsidRPr="000F7618">
        <w:rPr>
          <w:color w:val="000000"/>
          <w:sz w:val="24"/>
          <w:szCs w:val="24"/>
          <w:lang w:eastAsia="lv-LV"/>
        </w:rPr>
        <w:t xml:space="preserve"> – piešķirtā vecāku pabalsta izmaksas turpināšanai pēc tam, kad bērns sasniedzis viena gada vai pusotra gada</w:t>
      </w:r>
      <w:r w:rsidR="008E71A7">
        <w:rPr>
          <w:color w:val="000000"/>
          <w:sz w:val="24"/>
          <w:szCs w:val="24"/>
          <w:lang w:eastAsia="lv-LV"/>
        </w:rPr>
        <w:t xml:space="preserve"> vecumu, par laikposmu no 2020.gada 9.</w:t>
      </w:r>
      <w:r w:rsidRPr="000F7618">
        <w:rPr>
          <w:color w:val="000000"/>
          <w:sz w:val="24"/>
          <w:szCs w:val="24"/>
          <w:lang w:eastAsia="lv-LV"/>
        </w:rPr>
        <w:t xml:space="preserve">novembra līdz dienai, kad persona sāk gūt ienākumus kā darba ņēmējs vai </w:t>
      </w:r>
      <w:proofErr w:type="spellStart"/>
      <w:r w:rsidRPr="000F7618">
        <w:rPr>
          <w:color w:val="000000"/>
          <w:sz w:val="24"/>
          <w:szCs w:val="24"/>
          <w:lang w:eastAsia="lv-LV"/>
        </w:rPr>
        <w:t>pašnodarbinātais</w:t>
      </w:r>
      <w:proofErr w:type="spellEnd"/>
      <w:r w:rsidRPr="000F7618">
        <w:rPr>
          <w:color w:val="000000"/>
          <w:sz w:val="24"/>
          <w:szCs w:val="24"/>
          <w:lang w:eastAsia="lv-LV"/>
        </w:rPr>
        <w:t>, bet ne ilgāk kā lī</w:t>
      </w:r>
      <w:r w:rsidR="008E71A7">
        <w:rPr>
          <w:color w:val="000000"/>
          <w:sz w:val="24"/>
          <w:szCs w:val="24"/>
          <w:lang w:eastAsia="lv-LV"/>
        </w:rPr>
        <w:t>dz 2020.gada 9.</w:t>
      </w:r>
      <w:r w:rsidRPr="000F7618">
        <w:rPr>
          <w:color w:val="000000"/>
          <w:sz w:val="24"/>
          <w:szCs w:val="24"/>
          <w:lang w:eastAsia="lv-LV"/>
        </w:rPr>
        <w:t xml:space="preserve">novembrī izsludinātās ārkārtējās situācijas beigām, </w:t>
      </w:r>
      <w:r w:rsidRPr="000F7618">
        <w:rPr>
          <w:b/>
          <w:color w:val="000000"/>
          <w:sz w:val="24"/>
          <w:szCs w:val="24"/>
          <w:lang w:eastAsia="lv-LV"/>
        </w:rPr>
        <w:t xml:space="preserve">0,2 milj. </w:t>
      </w:r>
      <w:proofErr w:type="spellStart"/>
      <w:r w:rsidRPr="008E71A7">
        <w:rPr>
          <w:b/>
          <w:i/>
          <w:color w:val="000000"/>
          <w:sz w:val="24"/>
          <w:szCs w:val="24"/>
          <w:lang w:eastAsia="lv-LV"/>
        </w:rPr>
        <w:t>euro</w:t>
      </w:r>
      <w:proofErr w:type="spellEnd"/>
      <w:r w:rsidRPr="000F7618">
        <w:rPr>
          <w:color w:val="000000"/>
          <w:sz w:val="24"/>
          <w:szCs w:val="24"/>
          <w:lang w:eastAsia="lv-LV"/>
        </w:rPr>
        <w:t xml:space="preserve"> - jaunā speciālista pabalsta izmaksai pirmos divus mēnešus 500 </w:t>
      </w:r>
      <w:proofErr w:type="spellStart"/>
      <w:r w:rsidR="002E7111" w:rsidRPr="002E7111">
        <w:rPr>
          <w:i/>
          <w:color w:val="000000"/>
          <w:sz w:val="24"/>
          <w:szCs w:val="24"/>
          <w:lang w:eastAsia="lv-LV"/>
        </w:rPr>
        <w:t>euro</w:t>
      </w:r>
      <w:proofErr w:type="spellEnd"/>
      <w:r w:rsidRPr="000F7618">
        <w:rPr>
          <w:color w:val="000000"/>
          <w:sz w:val="24"/>
          <w:szCs w:val="24"/>
          <w:lang w:eastAsia="lv-LV"/>
        </w:rPr>
        <w:t xml:space="preserve"> apmērā, trešajā un ceturtajā mēnesī 375 </w:t>
      </w:r>
      <w:proofErr w:type="spellStart"/>
      <w:r w:rsidR="002E7111" w:rsidRPr="002E7111">
        <w:rPr>
          <w:i/>
          <w:color w:val="000000"/>
          <w:sz w:val="24"/>
          <w:szCs w:val="24"/>
          <w:lang w:eastAsia="lv-LV"/>
        </w:rPr>
        <w:t>euro</w:t>
      </w:r>
      <w:proofErr w:type="spellEnd"/>
      <w:r w:rsidRPr="000F7618">
        <w:rPr>
          <w:color w:val="000000"/>
          <w:sz w:val="24"/>
          <w:szCs w:val="24"/>
          <w:lang w:eastAsia="lv-LV"/>
        </w:rPr>
        <w:t xml:space="preserve"> apmērā personām, kuras gada laikā pirms ārkārtējās situācijas izsludināšanas ir beigušas mācības augstskolā vai koledžā, kur ir ieguvušas augstāko izglītību, un ir ieguvušas bezdarbnieka statusu ārkārtējās situācijas laikā vai triju mēnešu laikā pēc tās beigām;</w:t>
      </w:r>
      <w:r w:rsidRPr="000F7618">
        <w:rPr>
          <w:color w:val="FF0000"/>
          <w:sz w:val="24"/>
          <w:szCs w:val="24"/>
          <w:lang w:eastAsia="lv-LV"/>
        </w:rPr>
        <w:t xml:space="preserve"> </w:t>
      </w:r>
      <w:r w:rsidRPr="000F7618">
        <w:rPr>
          <w:b/>
          <w:sz w:val="24"/>
          <w:szCs w:val="24"/>
          <w:lang w:eastAsia="lv-LV"/>
        </w:rPr>
        <w:t xml:space="preserve">1,1 milj. </w:t>
      </w:r>
      <w:proofErr w:type="spellStart"/>
      <w:r w:rsidRPr="008E71A7">
        <w:rPr>
          <w:b/>
          <w:i/>
          <w:sz w:val="24"/>
          <w:szCs w:val="24"/>
          <w:lang w:eastAsia="lv-LV"/>
        </w:rPr>
        <w:t>euro</w:t>
      </w:r>
      <w:proofErr w:type="spellEnd"/>
      <w:r w:rsidRPr="000F7618">
        <w:rPr>
          <w:b/>
          <w:sz w:val="24"/>
          <w:szCs w:val="24"/>
          <w:lang w:eastAsia="lv-LV"/>
        </w:rPr>
        <w:t xml:space="preserve"> - </w:t>
      </w:r>
      <w:r w:rsidRPr="000F7618">
        <w:rPr>
          <w:sz w:val="24"/>
          <w:szCs w:val="24"/>
          <w:lang w:eastAsia="lv-LV"/>
        </w:rPr>
        <w:t xml:space="preserve">lai no 2021.gada 1.janvāra līdz </w:t>
      </w:r>
      <w:r w:rsidR="004E3D0D">
        <w:rPr>
          <w:sz w:val="24"/>
          <w:szCs w:val="24"/>
          <w:lang w:eastAsia="lv-LV"/>
        </w:rPr>
        <w:t>2021.gada 31.</w:t>
      </w:r>
      <w:r w:rsidRPr="000F7618">
        <w:rPr>
          <w:sz w:val="24"/>
          <w:szCs w:val="24"/>
          <w:lang w:eastAsia="lv-LV"/>
        </w:rPr>
        <w:t xml:space="preserve">martam institūcijās, kurās sociālos pakalpojumus ar izmitināšanu sniedz pašvaldības vai valsts dibināts sociālo pakalpojumu sniedzējs vai pakalpojumu sniedzējs, kuram ir noslēgts līgums ar pašvaldību vai valsti par minēto pakalpojumu sniegšanu, segtu izdevumus par  individuālajiem aizsarglīdzekļiem un dezinfekcijas līdzekļiem, kas iegādāti Covid-19 infekcijas ierobežošanas pasākumiem; </w:t>
      </w:r>
      <w:r w:rsidRPr="000F7618">
        <w:rPr>
          <w:b/>
          <w:sz w:val="24"/>
          <w:szCs w:val="24"/>
          <w:lang w:eastAsia="lv-LV"/>
        </w:rPr>
        <w:t xml:space="preserve">0,002 milj. </w:t>
      </w:r>
      <w:proofErr w:type="spellStart"/>
      <w:r w:rsidRPr="004E3D0D">
        <w:rPr>
          <w:b/>
          <w:i/>
          <w:sz w:val="24"/>
          <w:szCs w:val="24"/>
          <w:lang w:eastAsia="lv-LV"/>
        </w:rPr>
        <w:t>euro</w:t>
      </w:r>
      <w:proofErr w:type="spellEnd"/>
      <w:r w:rsidRPr="000F7618">
        <w:rPr>
          <w:sz w:val="24"/>
          <w:szCs w:val="24"/>
          <w:lang w:eastAsia="lv-LV"/>
        </w:rPr>
        <w:t xml:space="preserve"> </w:t>
      </w:r>
      <w:r w:rsidRPr="000F7618">
        <w:rPr>
          <w:sz w:val="24"/>
          <w:szCs w:val="24"/>
        </w:rPr>
        <w:t>individuālo konsultāciju apmaksai pedagogiem</w:t>
      </w:r>
      <w:r w:rsidRPr="000F7618">
        <w:rPr>
          <w:sz w:val="24"/>
          <w:szCs w:val="24"/>
          <w:lang w:eastAsia="lv-LV"/>
        </w:rPr>
        <w:t>.</w:t>
      </w:r>
    </w:p>
    <w:p w14:paraId="2738DD0E" w14:textId="2EBAC9A2" w:rsidR="0094264B" w:rsidRPr="00857240" w:rsidRDefault="0094264B" w:rsidP="000F46ED">
      <w:pPr>
        <w:ind w:left="113" w:right="113"/>
        <w:rPr>
          <w:sz w:val="24"/>
          <w:szCs w:val="24"/>
        </w:rPr>
      </w:pPr>
      <w:r w:rsidRPr="00857240">
        <w:rPr>
          <w:b/>
          <w:color w:val="000000"/>
          <w:sz w:val="24"/>
          <w:szCs w:val="24"/>
          <w:lang w:eastAsia="lv-LV"/>
        </w:rPr>
        <w:t>Zemkopības ministrijai</w:t>
      </w:r>
      <w:r>
        <w:rPr>
          <w:bCs/>
          <w:sz w:val="24"/>
          <w:szCs w:val="24"/>
        </w:rPr>
        <w:t xml:space="preserve"> </w:t>
      </w:r>
      <w:r w:rsidRPr="00857240">
        <w:rPr>
          <w:b/>
          <w:bCs/>
          <w:sz w:val="24"/>
          <w:szCs w:val="24"/>
        </w:rPr>
        <w:t>45,5</w:t>
      </w:r>
      <w:r w:rsidRPr="00857240">
        <w:rPr>
          <w:sz w:val="24"/>
          <w:szCs w:val="24"/>
        </w:rPr>
        <w:t xml:space="preserve"> </w:t>
      </w:r>
      <w:r w:rsidRPr="00857240">
        <w:rPr>
          <w:b/>
          <w:bCs/>
          <w:sz w:val="24"/>
          <w:szCs w:val="24"/>
        </w:rPr>
        <w:t xml:space="preserve">milj. </w:t>
      </w:r>
      <w:proofErr w:type="spellStart"/>
      <w:r w:rsidRPr="00857240">
        <w:rPr>
          <w:b/>
          <w:bCs/>
          <w:i/>
          <w:sz w:val="24"/>
          <w:szCs w:val="24"/>
        </w:rPr>
        <w:t>euro</w:t>
      </w:r>
      <w:proofErr w:type="spellEnd"/>
      <w:r w:rsidRPr="00857240">
        <w:rPr>
          <w:bCs/>
          <w:sz w:val="24"/>
          <w:szCs w:val="24"/>
        </w:rPr>
        <w:t xml:space="preserve">, </w:t>
      </w:r>
      <w:r w:rsidR="00B5564E">
        <w:rPr>
          <w:bCs/>
          <w:sz w:val="24"/>
          <w:szCs w:val="24"/>
        </w:rPr>
        <w:t>tajā skaitā</w:t>
      </w:r>
      <w:r>
        <w:rPr>
          <w:bCs/>
          <w:sz w:val="24"/>
          <w:szCs w:val="24"/>
        </w:rPr>
        <w:t xml:space="preserve"> </w:t>
      </w:r>
      <w:r w:rsidRPr="00857240">
        <w:rPr>
          <w:b/>
          <w:bCs/>
          <w:sz w:val="24"/>
          <w:szCs w:val="24"/>
        </w:rPr>
        <w:t xml:space="preserve">45,5 milj. </w:t>
      </w:r>
      <w:proofErr w:type="spellStart"/>
      <w:r w:rsidRPr="00857240">
        <w:rPr>
          <w:b/>
          <w:bCs/>
          <w:i/>
          <w:sz w:val="24"/>
          <w:szCs w:val="24"/>
        </w:rPr>
        <w:t>euro</w:t>
      </w:r>
      <w:proofErr w:type="spellEnd"/>
      <w:r w:rsidRPr="00857240">
        <w:rPr>
          <w:b/>
          <w:bCs/>
          <w:sz w:val="24"/>
          <w:szCs w:val="24"/>
        </w:rPr>
        <w:t xml:space="preserve"> </w:t>
      </w:r>
      <w:r w:rsidRPr="00857240">
        <w:rPr>
          <w:bCs/>
          <w:sz w:val="24"/>
          <w:szCs w:val="24"/>
        </w:rPr>
        <w:t xml:space="preserve">Covid-19 krīzes seku mazināšanai un kapacitātes stiprināšanai lauksaimniecībā; </w:t>
      </w:r>
      <w:r w:rsidRPr="00857240">
        <w:rPr>
          <w:b/>
          <w:bCs/>
          <w:sz w:val="24"/>
          <w:szCs w:val="24"/>
        </w:rPr>
        <w:t xml:space="preserve">0,003 milj. </w:t>
      </w:r>
      <w:proofErr w:type="spellStart"/>
      <w:r w:rsidRPr="00857240">
        <w:rPr>
          <w:b/>
          <w:bCs/>
          <w:i/>
          <w:sz w:val="24"/>
          <w:szCs w:val="24"/>
        </w:rPr>
        <w:t>euro</w:t>
      </w:r>
      <w:proofErr w:type="spellEnd"/>
      <w:r w:rsidRPr="00857240">
        <w:rPr>
          <w:bCs/>
          <w:sz w:val="24"/>
          <w:szCs w:val="24"/>
        </w:rPr>
        <w:t xml:space="preserve"> </w:t>
      </w:r>
      <w:r w:rsidRPr="00857240">
        <w:rPr>
          <w:sz w:val="24"/>
          <w:szCs w:val="24"/>
        </w:rPr>
        <w:t>individuālo konsultāciju apmaksai pedagogiem.</w:t>
      </w:r>
    </w:p>
    <w:p w14:paraId="2D8B2510" w14:textId="1DDC6109" w:rsidR="004E3D0D" w:rsidRDefault="00372ABA" w:rsidP="000F46ED">
      <w:pPr>
        <w:ind w:left="113" w:right="113"/>
        <w:rPr>
          <w:sz w:val="24"/>
          <w:szCs w:val="24"/>
        </w:rPr>
      </w:pPr>
      <w:r w:rsidRPr="004E3D0D">
        <w:rPr>
          <w:b/>
          <w:color w:val="000000"/>
          <w:sz w:val="24"/>
          <w:szCs w:val="24"/>
          <w:lang w:eastAsia="lv-LV"/>
        </w:rPr>
        <w:t xml:space="preserve">Ekonomikas ministrijai </w:t>
      </w:r>
      <w:r w:rsidRPr="004E3D0D">
        <w:rPr>
          <w:b/>
          <w:bCs/>
          <w:sz w:val="24"/>
          <w:szCs w:val="24"/>
        </w:rPr>
        <w:t xml:space="preserve">32,2 milj. </w:t>
      </w:r>
      <w:proofErr w:type="spellStart"/>
      <w:r w:rsidRPr="004E3D0D">
        <w:rPr>
          <w:b/>
          <w:bCs/>
          <w:i/>
          <w:sz w:val="24"/>
          <w:szCs w:val="24"/>
        </w:rPr>
        <w:t>euro</w:t>
      </w:r>
      <w:proofErr w:type="spellEnd"/>
      <w:r w:rsidRPr="004E3D0D">
        <w:rPr>
          <w:bCs/>
          <w:sz w:val="24"/>
          <w:szCs w:val="24"/>
        </w:rPr>
        <w:t xml:space="preserve">, </w:t>
      </w:r>
      <w:r w:rsidR="00B5564E">
        <w:rPr>
          <w:bCs/>
          <w:sz w:val="24"/>
          <w:szCs w:val="24"/>
        </w:rPr>
        <w:t>tajā skaitā</w:t>
      </w:r>
      <w:r w:rsidR="004E3D0D">
        <w:rPr>
          <w:bCs/>
          <w:sz w:val="24"/>
          <w:szCs w:val="24"/>
        </w:rPr>
        <w:t xml:space="preserve"> </w:t>
      </w:r>
      <w:r w:rsidRPr="004E3D0D">
        <w:rPr>
          <w:b/>
          <w:color w:val="000000"/>
          <w:sz w:val="24"/>
          <w:szCs w:val="24"/>
          <w:lang w:eastAsia="lv-LV"/>
        </w:rPr>
        <w:t xml:space="preserve">25,0 milj. </w:t>
      </w:r>
      <w:proofErr w:type="spellStart"/>
      <w:r w:rsidRPr="004E3D0D">
        <w:rPr>
          <w:b/>
          <w:i/>
          <w:color w:val="000000"/>
          <w:sz w:val="24"/>
          <w:szCs w:val="24"/>
          <w:lang w:eastAsia="lv-LV"/>
        </w:rPr>
        <w:t>euro</w:t>
      </w:r>
      <w:proofErr w:type="spellEnd"/>
      <w:r w:rsidRPr="004E3D0D">
        <w:rPr>
          <w:bCs/>
          <w:color w:val="000000"/>
          <w:sz w:val="24"/>
          <w:szCs w:val="24"/>
          <w:lang w:eastAsia="lv-LV"/>
        </w:rPr>
        <w:t xml:space="preserve"> alternatīvo ieguldījumu fonda finansēšanai, </w:t>
      </w:r>
      <w:r w:rsidRPr="004E3D0D">
        <w:rPr>
          <w:b/>
          <w:bCs/>
          <w:color w:val="000000"/>
          <w:sz w:val="24"/>
          <w:szCs w:val="24"/>
          <w:lang w:eastAsia="lv-LV"/>
        </w:rPr>
        <w:t xml:space="preserve">2,4 milj. </w:t>
      </w:r>
      <w:proofErr w:type="spellStart"/>
      <w:r w:rsidRPr="004E3D0D">
        <w:rPr>
          <w:b/>
          <w:bCs/>
          <w:i/>
          <w:color w:val="000000"/>
          <w:sz w:val="24"/>
          <w:szCs w:val="24"/>
          <w:lang w:eastAsia="lv-LV"/>
        </w:rPr>
        <w:t>euro</w:t>
      </w:r>
      <w:proofErr w:type="spellEnd"/>
      <w:r w:rsidRPr="004E3D0D">
        <w:rPr>
          <w:bCs/>
          <w:color w:val="000000"/>
          <w:sz w:val="24"/>
          <w:szCs w:val="24"/>
          <w:lang w:eastAsia="lv-LV"/>
        </w:rPr>
        <w:t xml:space="preserve"> aizdevumu procentu likmju subsīdijām; </w:t>
      </w:r>
      <w:r w:rsidRPr="004E3D0D">
        <w:rPr>
          <w:b/>
          <w:bCs/>
          <w:color w:val="000000"/>
          <w:sz w:val="24"/>
          <w:szCs w:val="24"/>
          <w:lang w:eastAsia="lv-LV"/>
        </w:rPr>
        <w:t xml:space="preserve">2,2 milj. </w:t>
      </w:r>
      <w:proofErr w:type="spellStart"/>
      <w:r w:rsidRPr="004E3D0D">
        <w:rPr>
          <w:b/>
          <w:bCs/>
          <w:i/>
          <w:color w:val="000000"/>
          <w:sz w:val="24"/>
          <w:szCs w:val="24"/>
          <w:lang w:eastAsia="lv-LV"/>
        </w:rPr>
        <w:t>euro</w:t>
      </w:r>
      <w:proofErr w:type="spellEnd"/>
      <w:r w:rsidRPr="004E3D0D">
        <w:rPr>
          <w:bCs/>
          <w:color w:val="000000"/>
          <w:sz w:val="24"/>
          <w:szCs w:val="24"/>
          <w:lang w:eastAsia="lv-LV"/>
        </w:rPr>
        <w:t xml:space="preserve"> Latvijas Investīciju un attīstības aģentūrai izmaksu segšanai par personu izmitināšanu tūristu mītnēs saistībā ar </w:t>
      </w:r>
      <w:proofErr w:type="spellStart"/>
      <w:r w:rsidRPr="004E3D0D">
        <w:rPr>
          <w:bCs/>
          <w:color w:val="000000"/>
          <w:sz w:val="24"/>
          <w:szCs w:val="24"/>
          <w:lang w:eastAsia="lv-LV"/>
        </w:rPr>
        <w:t>Covid</w:t>
      </w:r>
      <w:proofErr w:type="spellEnd"/>
      <w:r w:rsidRPr="004E3D0D">
        <w:rPr>
          <w:bCs/>
          <w:color w:val="000000"/>
          <w:sz w:val="24"/>
          <w:szCs w:val="24"/>
          <w:lang w:eastAsia="lv-LV"/>
        </w:rPr>
        <w:t xml:space="preserve">; </w:t>
      </w:r>
      <w:r w:rsidRPr="004E3D0D">
        <w:rPr>
          <w:b/>
          <w:bCs/>
          <w:color w:val="000000"/>
          <w:sz w:val="24"/>
          <w:szCs w:val="24"/>
          <w:lang w:eastAsia="lv-LV"/>
        </w:rPr>
        <w:t xml:space="preserve">2,6 milj. </w:t>
      </w:r>
      <w:proofErr w:type="spellStart"/>
      <w:r w:rsidRPr="004E3D0D">
        <w:rPr>
          <w:b/>
          <w:bCs/>
          <w:i/>
          <w:color w:val="000000"/>
          <w:sz w:val="24"/>
          <w:szCs w:val="24"/>
          <w:lang w:eastAsia="lv-LV"/>
        </w:rPr>
        <w:t>euro</w:t>
      </w:r>
      <w:proofErr w:type="spellEnd"/>
      <w:r w:rsidRPr="004E3D0D">
        <w:rPr>
          <w:bCs/>
          <w:color w:val="000000"/>
          <w:sz w:val="24"/>
          <w:szCs w:val="24"/>
          <w:lang w:eastAsia="lv-LV"/>
        </w:rPr>
        <w:t xml:space="preserve"> atbalstam tūrisma nozares saimnieciskās darbības veicējiem.</w:t>
      </w:r>
    </w:p>
    <w:p w14:paraId="3A085044" w14:textId="7CADB5FC" w:rsidR="0094264B" w:rsidRDefault="0094264B" w:rsidP="000F46ED">
      <w:pPr>
        <w:ind w:left="113" w:right="113"/>
        <w:rPr>
          <w:sz w:val="24"/>
          <w:szCs w:val="24"/>
        </w:rPr>
      </w:pPr>
      <w:r w:rsidRPr="004E3D0D">
        <w:rPr>
          <w:b/>
          <w:color w:val="000000"/>
          <w:sz w:val="24"/>
          <w:szCs w:val="24"/>
          <w:lang w:eastAsia="lv-LV"/>
        </w:rPr>
        <w:t xml:space="preserve">Aizsardzības ministrijai 12,4 milj. </w:t>
      </w:r>
      <w:proofErr w:type="spellStart"/>
      <w:r w:rsidRPr="004E3D0D">
        <w:rPr>
          <w:b/>
          <w:i/>
          <w:color w:val="000000"/>
          <w:sz w:val="24"/>
          <w:szCs w:val="24"/>
          <w:lang w:eastAsia="lv-LV"/>
        </w:rPr>
        <w:t>euro</w:t>
      </w:r>
      <w:proofErr w:type="spellEnd"/>
      <w:r w:rsidRPr="004E3D0D">
        <w:rPr>
          <w:color w:val="000000"/>
          <w:sz w:val="24"/>
          <w:szCs w:val="24"/>
          <w:lang w:eastAsia="lv-LV"/>
        </w:rPr>
        <w:t xml:space="preserve"> individuālo aizsarglīdzekļu iegādei</w:t>
      </w:r>
      <w:r>
        <w:rPr>
          <w:bCs/>
          <w:sz w:val="24"/>
          <w:szCs w:val="24"/>
        </w:rPr>
        <w:t>.</w:t>
      </w:r>
    </w:p>
    <w:p w14:paraId="5F72562E" w14:textId="5F41CA02" w:rsidR="00E8416B" w:rsidRDefault="00372ABA" w:rsidP="000F46ED">
      <w:pPr>
        <w:ind w:left="113" w:right="113"/>
        <w:rPr>
          <w:sz w:val="24"/>
          <w:szCs w:val="24"/>
        </w:rPr>
      </w:pPr>
      <w:r w:rsidRPr="004E3D0D">
        <w:rPr>
          <w:b/>
          <w:color w:val="000000"/>
          <w:sz w:val="24"/>
          <w:szCs w:val="24"/>
          <w:lang w:eastAsia="lv-LV"/>
        </w:rPr>
        <w:t xml:space="preserve">Kultūras ministrijai 11,1 milj. </w:t>
      </w:r>
      <w:proofErr w:type="spellStart"/>
      <w:r w:rsidRPr="004E3D0D">
        <w:rPr>
          <w:b/>
          <w:i/>
          <w:color w:val="000000"/>
          <w:sz w:val="24"/>
          <w:szCs w:val="24"/>
          <w:lang w:eastAsia="lv-LV"/>
        </w:rPr>
        <w:t>euro</w:t>
      </w:r>
      <w:proofErr w:type="spellEnd"/>
      <w:r w:rsidRPr="004E3D0D">
        <w:rPr>
          <w:sz w:val="24"/>
          <w:szCs w:val="24"/>
        </w:rPr>
        <w:t xml:space="preserve">, </w:t>
      </w:r>
      <w:r w:rsidR="00B5564E">
        <w:rPr>
          <w:sz w:val="24"/>
          <w:szCs w:val="24"/>
        </w:rPr>
        <w:t>tajā skaitā</w:t>
      </w:r>
      <w:r w:rsidR="004E3D0D">
        <w:rPr>
          <w:sz w:val="24"/>
          <w:szCs w:val="24"/>
        </w:rPr>
        <w:t xml:space="preserve"> </w:t>
      </w:r>
      <w:r w:rsidRPr="004E3D0D">
        <w:rPr>
          <w:b/>
          <w:sz w:val="24"/>
          <w:szCs w:val="24"/>
        </w:rPr>
        <w:t xml:space="preserve">3,0 milj. </w:t>
      </w:r>
      <w:proofErr w:type="spellStart"/>
      <w:r w:rsidRPr="004E3D0D">
        <w:rPr>
          <w:b/>
          <w:i/>
          <w:sz w:val="24"/>
          <w:szCs w:val="24"/>
        </w:rPr>
        <w:t>euro</w:t>
      </w:r>
      <w:proofErr w:type="spellEnd"/>
      <w:r w:rsidRPr="004E3D0D">
        <w:rPr>
          <w:sz w:val="24"/>
          <w:szCs w:val="24"/>
        </w:rPr>
        <w:t xml:space="preserve"> mērķprogrammas "Covid-19 ietekmēto kultūras institūciju ilgtspēja"</w:t>
      </w:r>
      <w:r w:rsidR="004E3D0D">
        <w:rPr>
          <w:sz w:val="24"/>
          <w:szCs w:val="24"/>
        </w:rPr>
        <w:t xml:space="preserve"> īstenošanai laikposmā no 2021.gada </w:t>
      </w:r>
      <w:r w:rsidR="004E3D0D">
        <w:rPr>
          <w:sz w:val="24"/>
          <w:szCs w:val="24"/>
        </w:rPr>
        <w:lastRenderedPageBreak/>
        <w:t>1.janvāra līdz 2021.gada 30.</w:t>
      </w:r>
      <w:r w:rsidRPr="004E3D0D">
        <w:rPr>
          <w:sz w:val="24"/>
          <w:szCs w:val="24"/>
        </w:rPr>
        <w:t xml:space="preserve">jūnijam; </w:t>
      </w:r>
      <w:r w:rsidRPr="004E3D0D">
        <w:rPr>
          <w:b/>
          <w:sz w:val="24"/>
          <w:szCs w:val="24"/>
        </w:rPr>
        <w:t xml:space="preserve">6,0 milj. </w:t>
      </w:r>
      <w:proofErr w:type="spellStart"/>
      <w:r w:rsidRPr="004E3D0D">
        <w:rPr>
          <w:b/>
          <w:i/>
          <w:sz w:val="24"/>
          <w:szCs w:val="24"/>
        </w:rPr>
        <w:t>euro</w:t>
      </w:r>
      <w:proofErr w:type="spellEnd"/>
      <w:r w:rsidRPr="004E3D0D">
        <w:rPr>
          <w:sz w:val="24"/>
          <w:szCs w:val="24"/>
        </w:rPr>
        <w:t xml:space="preserve"> pārskaitīšanai akciju sabiedrībai “Attīstības finanšu institūcija </w:t>
      </w:r>
      <w:proofErr w:type="spellStart"/>
      <w:r w:rsidRPr="004E3D0D">
        <w:rPr>
          <w:sz w:val="24"/>
          <w:szCs w:val="24"/>
        </w:rPr>
        <w:t>Altum</w:t>
      </w:r>
      <w:proofErr w:type="spellEnd"/>
      <w:r w:rsidRPr="004E3D0D">
        <w:rPr>
          <w:sz w:val="24"/>
          <w:szCs w:val="24"/>
        </w:rPr>
        <w:t xml:space="preserve">” atbalsta piešķiršanai komersantiem, kuri organizē pastāvīgu publisku mākslas, izklaides un atpūtas pasākumu norisi; </w:t>
      </w:r>
      <w:r w:rsidRPr="004E3D0D">
        <w:rPr>
          <w:b/>
          <w:sz w:val="24"/>
          <w:szCs w:val="24"/>
        </w:rPr>
        <w:t xml:space="preserve">2,0 milj. </w:t>
      </w:r>
      <w:proofErr w:type="spellStart"/>
      <w:r w:rsidRPr="003F7904">
        <w:rPr>
          <w:b/>
          <w:i/>
          <w:sz w:val="24"/>
          <w:szCs w:val="24"/>
        </w:rPr>
        <w:t>euro</w:t>
      </w:r>
      <w:proofErr w:type="spellEnd"/>
      <w:r w:rsidRPr="004E3D0D">
        <w:rPr>
          <w:sz w:val="24"/>
          <w:szCs w:val="24"/>
        </w:rPr>
        <w:t xml:space="preserve"> atbalsta sniegšanai radošām personām no 2021.gada 1.janvāra līdz 2021.gada 30.jūnijam; </w:t>
      </w:r>
      <w:r w:rsidRPr="004E3D0D">
        <w:rPr>
          <w:b/>
          <w:sz w:val="24"/>
          <w:szCs w:val="24"/>
        </w:rPr>
        <w:t xml:space="preserve">0,1 milj. </w:t>
      </w:r>
      <w:proofErr w:type="spellStart"/>
      <w:r w:rsidRPr="003F7904">
        <w:rPr>
          <w:b/>
          <w:i/>
          <w:sz w:val="24"/>
          <w:szCs w:val="24"/>
        </w:rPr>
        <w:t>euro</w:t>
      </w:r>
      <w:proofErr w:type="spellEnd"/>
      <w:r w:rsidRPr="004E3D0D">
        <w:rPr>
          <w:sz w:val="24"/>
          <w:szCs w:val="24"/>
        </w:rPr>
        <w:t xml:space="preserve"> individuālo konsultāciju apmaksai pedagogiem.</w:t>
      </w:r>
    </w:p>
    <w:p w14:paraId="0DBBFDB0" w14:textId="382A6781" w:rsidR="00E8416B" w:rsidRDefault="00372ABA" w:rsidP="000F46ED">
      <w:pPr>
        <w:ind w:left="113" w:right="113"/>
        <w:rPr>
          <w:sz w:val="24"/>
          <w:szCs w:val="24"/>
        </w:rPr>
      </w:pPr>
      <w:r w:rsidRPr="00E8416B">
        <w:rPr>
          <w:b/>
          <w:color w:val="000000"/>
          <w:sz w:val="24"/>
          <w:szCs w:val="24"/>
          <w:lang w:eastAsia="lv-LV"/>
        </w:rPr>
        <w:t>Izglītības un zinātnes ministrija</w:t>
      </w:r>
      <w:r w:rsidR="0086584A">
        <w:rPr>
          <w:b/>
          <w:color w:val="000000"/>
          <w:sz w:val="24"/>
          <w:szCs w:val="24"/>
          <w:lang w:eastAsia="lv-LV"/>
        </w:rPr>
        <w:t>i</w:t>
      </w:r>
      <w:r w:rsidR="00E8416B">
        <w:rPr>
          <w:color w:val="000000"/>
          <w:sz w:val="24"/>
          <w:szCs w:val="24"/>
          <w:lang w:eastAsia="lv-LV"/>
        </w:rPr>
        <w:t xml:space="preserve"> </w:t>
      </w:r>
      <w:r w:rsidRPr="00E8416B">
        <w:rPr>
          <w:b/>
          <w:sz w:val="24"/>
          <w:szCs w:val="24"/>
        </w:rPr>
        <w:t xml:space="preserve">3,3 milj. </w:t>
      </w:r>
      <w:proofErr w:type="spellStart"/>
      <w:r w:rsidRPr="00E8416B">
        <w:rPr>
          <w:b/>
          <w:i/>
          <w:sz w:val="24"/>
          <w:szCs w:val="24"/>
        </w:rPr>
        <w:t>euro</w:t>
      </w:r>
      <w:proofErr w:type="spellEnd"/>
      <w:r w:rsidRPr="00E8416B">
        <w:rPr>
          <w:sz w:val="24"/>
          <w:szCs w:val="24"/>
        </w:rPr>
        <w:t xml:space="preserve">, </w:t>
      </w:r>
      <w:r w:rsidR="00B5564E">
        <w:rPr>
          <w:sz w:val="24"/>
          <w:szCs w:val="24"/>
        </w:rPr>
        <w:t>tajā skaitā</w:t>
      </w:r>
      <w:r w:rsidR="00E8416B">
        <w:rPr>
          <w:sz w:val="24"/>
          <w:szCs w:val="24"/>
        </w:rPr>
        <w:t xml:space="preserve"> </w:t>
      </w:r>
      <w:r w:rsidRPr="00E8416B">
        <w:rPr>
          <w:b/>
          <w:sz w:val="24"/>
          <w:szCs w:val="24"/>
        </w:rPr>
        <w:t xml:space="preserve">0,5 milj. </w:t>
      </w:r>
      <w:proofErr w:type="spellStart"/>
      <w:r w:rsidRPr="00E8416B">
        <w:rPr>
          <w:b/>
          <w:i/>
          <w:sz w:val="24"/>
          <w:szCs w:val="24"/>
        </w:rPr>
        <w:t>euro</w:t>
      </w:r>
      <w:proofErr w:type="spellEnd"/>
      <w:r w:rsidRPr="00E8416B">
        <w:rPr>
          <w:b/>
          <w:i/>
          <w:sz w:val="24"/>
          <w:szCs w:val="24"/>
        </w:rPr>
        <w:t xml:space="preserve"> </w:t>
      </w:r>
      <w:r w:rsidRPr="00E8416B">
        <w:rPr>
          <w:sz w:val="24"/>
          <w:szCs w:val="24"/>
        </w:rPr>
        <w:t xml:space="preserve">piemaksas piešķiršanai pirmsskolas izglītības iestāžu un speciālās izglītības iestāžu pedagogiem un piemaksas piešķiršanai personām, kuras sniedz aukles pakalpojumus pirmsskolas izglītības iestādēs un speciālās izglītības iestādēs;  </w:t>
      </w:r>
      <w:r w:rsidRPr="00E8416B">
        <w:rPr>
          <w:b/>
          <w:sz w:val="24"/>
          <w:szCs w:val="24"/>
        </w:rPr>
        <w:t xml:space="preserve">2,1 milj. </w:t>
      </w:r>
      <w:proofErr w:type="spellStart"/>
      <w:r w:rsidRPr="00E8416B">
        <w:rPr>
          <w:b/>
          <w:i/>
          <w:sz w:val="24"/>
          <w:szCs w:val="24"/>
        </w:rPr>
        <w:t>euro</w:t>
      </w:r>
      <w:proofErr w:type="spellEnd"/>
      <w:r w:rsidRPr="00E8416B">
        <w:rPr>
          <w:sz w:val="24"/>
          <w:szCs w:val="24"/>
        </w:rPr>
        <w:t xml:space="preserve"> individuālo aizsardzības līdzekļu un medicīnisko sejas masku testēšanas laboratorijas izveidei un laboratorijas akreditācijai; </w:t>
      </w:r>
      <w:r w:rsidRPr="00E8416B">
        <w:rPr>
          <w:b/>
          <w:sz w:val="24"/>
          <w:szCs w:val="24"/>
        </w:rPr>
        <w:t xml:space="preserve">0,7 milj. </w:t>
      </w:r>
      <w:proofErr w:type="spellStart"/>
      <w:r w:rsidRPr="00E8416B">
        <w:rPr>
          <w:b/>
          <w:i/>
          <w:sz w:val="24"/>
          <w:szCs w:val="24"/>
        </w:rPr>
        <w:t>euro</w:t>
      </w:r>
      <w:proofErr w:type="spellEnd"/>
      <w:r w:rsidRPr="00E8416B">
        <w:rPr>
          <w:sz w:val="24"/>
          <w:szCs w:val="24"/>
        </w:rPr>
        <w:t xml:space="preserve"> individuālo konsultāciju apmaksai pedagogiem.</w:t>
      </w:r>
    </w:p>
    <w:p w14:paraId="1C985820" w14:textId="3860B661" w:rsidR="0094264B" w:rsidRDefault="0094264B" w:rsidP="000F46ED">
      <w:pPr>
        <w:ind w:left="113" w:right="113"/>
        <w:rPr>
          <w:sz w:val="24"/>
          <w:szCs w:val="24"/>
        </w:rPr>
      </w:pPr>
      <w:proofErr w:type="spellStart"/>
      <w:r w:rsidRPr="00857240">
        <w:rPr>
          <w:b/>
          <w:color w:val="000000"/>
          <w:sz w:val="24"/>
          <w:szCs w:val="24"/>
          <w:lang w:eastAsia="lv-LV"/>
        </w:rPr>
        <w:t>Iekšlietu</w:t>
      </w:r>
      <w:proofErr w:type="spellEnd"/>
      <w:r w:rsidRPr="00857240">
        <w:rPr>
          <w:b/>
          <w:color w:val="000000"/>
          <w:sz w:val="24"/>
          <w:szCs w:val="24"/>
          <w:lang w:eastAsia="lv-LV"/>
        </w:rPr>
        <w:t xml:space="preserve"> ministrija</w:t>
      </w:r>
      <w:r>
        <w:rPr>
          <w:b/>
          <w:color w:val="000000"/>
          <w:sz w:val="24"/>
          <w:szCs w:val="24"/>
          <w:lang w:eastAsia="lv-LV"/>
        </w:rPr>
        <w:t>i</w:t>
      </w:r>
      <w:r>
        <w:rPr>
          <w:color w:val="000000"/>
          <w:sz w:val="24"/>
          <w:szCs w:val="24"/>
          <w:lang w:eastAsia="lv-LV"/>
        </w:rPr>
        <w:t xml:space="preserve"> </w:t>
      </w:r>
      <w:r w:rsidRPr="00857240">
        <w:rPr>
          <w:b/>
          <w:sz w:val="24"/>
          <w:szCs w:val="24"/>
        </w:rPr>
        <w:t xml:space="preserve">1,9 milj. </w:t>
      </w:r>
      <w:proofErr w:type="spellStart"/>
      <w:r w:rsidRPr="00857240">
        <w:rPr>
          <w:b/>
          <w:i/>
          <w:sz w:val="24"/>
          <w:szCs w:val="24"/>
        </w:rPr>
        <w:t>euro</w:t>
      </w:r>
      <w:proofErr w:type="spellEnd"/>
      <w:r w:rsidRPr="00857240">
        <w:rPr>
          <w:sz w:val="24"/>
          <w:szCs w:val="24"/>
        </w:rPr>
        <w:t xml:space="preserve">, </w:t>
      </w:r>
      <w:r w:rsidR="00B5564E">
        <w:rPr>
          <w:sz w:val="24"/>
          <w:szCs w:val="24"/>
        </w:rPr>
        <w:t>tajā skaitā</w:t>
      </w:r>
      <w:r>
        <w:rPr>
          <w:sz w:val="24"/>
          <w:szCs w:val="24"/>
        </w:rPr>
        <w:t xml:space="preserve"> </w:t>
      </w:r>
      <w:r w:rsidRPr="00857240">
        <w:rPr>
          <w:b/>
          <w:sz w:val="24"/>
          <w:szCs w:val="24"/>
        </w:rPr>
        <w:t xml:space="preserve">1,1 milj. </w:t>
      </w:r>
      <w:proofErr w:type="spellStart"/>
      <w:r w:rsidRPr="00857240">
        <w:rPr>
          <w:b/>
          <w:i/>
          <w:sz w:val="24"/>
          <w:szCs w:val="24"/>
        </w:rPr>
        <w:t>euro</w:t>
      </w:r>
      <w:proofErr w:type="spellEnd"/>
      <w:r w:rsidRPr="00857240">
        <w:rPr>
          <w:sz w:val="24"/>
          <w:szCs w:val="24"/>
        </w:rPr>
        <w:t xml:space="preserve">, lai nodrošinātu piemaksas par risku un virsstundu darba samaksu Valsts policijai, Valsts policijas koledžai, Valsts robežsardzei un Valsts robežsardzes koledžai; </w:t>
      </w:r>
      <w:r w:rsidRPr="00857240">
        <w:rPr>
          <w:b/>
          <w:sz w:val="24"/>
          <w:szCs w:val="24"/>
        </w:rPr>
        <w:t xml:space="preserve">0,8 milj. </w:t>
      </w:r>
      <w:proofErr w:type="spellStart"/>
      <w:r w:rsidRPr="00857240">
        <w:rPr>
          <w:b/>
          <w:i/>
          <w:sz w:val="24"/>
          <w:szCs w:val="24"/>
        </w:rPr>
        <w:t>euro</w:t>
      </w:r>
      <w:proofErr w:type="spellEnd"/>
      <w:r w:rsidRPr="00857240">
        <w:rPr>
          <w:sz w:val="24"/>
          <w:szCs w:val="24"/>
        </w:rPr>
        <w:t>, lai ieviestu drošus tehnoloģiskos rīkus un risinājumu izmantošanu robežu pārvaldības stiprināšanai un epidemioloģisko risku mazināšanai (</w:t>
      </w:r>
      <w:proofErr w:type="spellStart"/>
      <w:r w:rsidRPr="00857240">
        <w:rPr>
          <w:sz w:val="24"/>
          <w:szCs w:val="24"/>
        </w:rPr>
        <w:t>ViedX</w:t>
      </w:r>
      <w:proofErr w:type="spellEnd"/>
      <w:r w:rsidRPr="00857240">
        <w:rPr>
          <w:sz w:val="24"/>
          <w:szCs w:val="24"/>
        </w:rPr>
        <w:t>).</w:t>
      </w:r>
    </w:p>
    <w:p w14:paraId="0AFA7320" w14:textId="1846A486" w:rsidR="0094264B" w:rsidRDefault="0094264B" w:rsidP="000F46ED">
      <w:pPr>
        <w:ind w:left="113" w:right="113"/>
        <w:rPr>
          <w:sz w:val="24"/>
          <w:szCs w:val="24"/>
        </w:rPr>
      </w:pPr>
      <w:r w:rsidRPr="00E8416B">
        <w:rPr>
          <w:b/>
          <w:color w:val="000000"/>
          <w:sz w:val="24"/>
          <w:szCs w:val="24"/>
          <w:lang w:eastAsia="lv-LV"/>
        </w:rPr>
        <w:t>62. resor</w:t>
      </w:r>
      <w:r>
        <w:rPr>
          <w:b/>
          <w:color w:val="000000"/>
          <w:sz w:val="24"/>
          <w:szCs w:val="24"/>
          <w:lang w:eastAsia="lv-LV"/>
        </w:rPr>
        <w:t>am</w:t>
      </w:r>
      <w:r w:rsidRPr="00E8416B">
        <w:rPr>
          <w:b/>
          <w:color w:val="000000"/>
          <w:sz w:val="24"/>
          <w:szCs w:val="24"/>
          <w:lang w:eastAsia="lv-LV"/>
        </w:rPr>
        <w:t xml:space="preserve"> "Mērķdotācijas pašvaldībām"</w:t>
      </w:r>
      <w:r>
        <w:rPr>
          <w:color w:val="000000"/>
          <w:sz w:val="24"/>
          <w:szCs w:val="24"/>
          <w:lang w:eastAsia="lv-LV"/>
        </w:rPr>
        <w:t xml:space="preserve"> </w:t>
      </w:r>
      <w:r w:rsidRPr="00372ABA">
        <w:rPr>
          <w:b/>
          <w:sz w:val="24"/>
          <w:szCs w:val="24"/>
        </w:rPr>
        <w:t xml:space="preserve">17,4 </w:t>
      </w:r>
      <w:r>
        <w:rPr>
          <w:b/>
          <w:sz w:val="24"/>
          <w:szCs w:val="24"/>
        </w:rPr>
        <w:t xml:space="preserve">milj. </w:t>
      </w:r>
      <w:proofErr w:type="spellStart"/>
      <w:r w:rsidRPr="00E8416B">
        <w:rPr>
          <w:b/>
          <w:i/>
          <w:sz w:val="24"/>
          <w:szCs w:val="24"/>
        </w:rPr>
        <w:t>euro</w:t>
      </w:r>
      <w:proofErr w:type="spellEnd"/>
      <w:r w:rsidRPr="00372ABA">
        <w:rPr>
          <w:sz w:val="24"/>
          <w:szCs w:val="24"/>
        </w:rPr>
        <w:t xml:space="preserve">, </w:t>
      </w:r>
      <w:r w:rsidR="00B5564E">
        <w:rPr>
          <w:sz w:val="24"/>
          <w:szCs w:val="24"/>
        </w:rPr>
        <w:t>tajā skaitā</w:t>
      </w:r>
      <w:r>
        <w:rPr>
          <w:sz w:val="24"/>
          <w:szCs w:val="24"/>
        </w:rPr>
        <w:t xml:space="preserve"> </w:t>
      </w:r>
      <w:r w:rsidRPr="00857240">
        <w:rPr>
          <w:b/>
          <w:sz w:val="24"/>
          <w:szCs w:val="24"/>
        </w:rPr>
        <w:t xml:space="preserve">5,8 milj. </w:t>
      </w:r>
      <w:proofErr w:type="spellStart"/>
      <w:r w:rsidRPr="00857240">
        <w:rPr>
          <w:b/>
          <w:i/>
          <w:sz w:val="24"/>
          <w:szCs w:val="24"/>
        </w:rPr>
        <w:t>euro</w:t>
      </w:r>
      <w:proofErr w:type="spellEnd"/>
      <w:r w:rsidRPr="00857240">
        <w:rPr>
          <w:sz w:val="24"/>
          <w:szCs w:val="24"/>
        </w:rPr>
        <w:t xml:space="preserve">  piemaksas piešķiršanai pirmsskolas izglītības iestāžu un speciālās izglītības iestāžu pedagogiem un piemaksas piešķiršanai personām, kuras sniedz aukles pakalpojumus pirmsskolas izglītības iestādēs un speciālās izglītības iestādēs; </w:t>
      </w:r>
      <w:r w:rsidRPr="00857240">
        <w:rPr>
          <w:b/>
          <w:sz w:val="24"/>
          <w:szCs w:val="24"/>
        </w:rPr>
        <w:t xml:space="preserve">11,6 milj. </w:t>
      </w:r>
      <w:proofErr w:type="spellStart"/>
      <w:r w:rsidRPr="00857240">
        <w:rPr>
          <w:b/>
          <w:i/>
          <w:sz w:val="24"/>
          <w:szCs w:val="24"/>
        </w:rPr>
        <w:t>euro</w:t>
      </w:r>
      <w:proofErr w:type="spellEnd"/>
      <w:r w:rsidRPr="00857240">
        <w:rPr>
          <w:sz w:val="24"/>
          <w:szCs w:val="24"/>
        </w:rPr>
        <w:t xml:space="preserve"> individuālo konsultāciju apmaksai pedagogiem.</w:t>
      </w:r>
    </w:p>
    <w:p w14:paraId="451F4A5F" w14:textId="2F798CC0" w:rsidR="0094264B" w:rsidRDefault="0094264B" w:rsidP="000F46ED">
      <w:pPr>
        <w:ind w:left="113" w:right="113"/>
        <w:rPr>
          <w:sz w:val="24"/>
          <w:szCs w:val="24"/>
        </w:rPr>
      </w:pPr>
      <w:r w:rsidRPr="00857240">
        <w:rPr>
          <w:b/>
          <w:color w:val="000000"/>
          <w:sz w:val="24"/>
          <w:szCs w:val="24"/>
          <w:lang w:eastAsia="lv-LV"/>
        </w:rPr>
        <w:t>64. resor</w:t>
      </w:r>
      <w:r>
        <w:rPr>
          <w:b/>
          <w:color w:val="000000"/>
          <w:sz w:val="24"/>
          <w:szCs w:val="24"/>
          <w:lang w:eastAsia="lv-LV"/>
        </w:rPr>
        <w:t>am</w:t>
      </w:r>
      <w:r w:rsidRPr="00857240">
        <w:rPr>
          <w:b/>
          <w:color w:val="000000"/>
          <w:sz w:val="24"/>
          <w:szCs w:val="24"/>
          <w:lang w:eastAsia="lv-LV"/>
        </w:rPr>
        <w:t xml:space="preserve"> "Dotācija pašvaldībām"</w:t>
      </w:r>
      <w:r>
        <w:rPr>
          <w:color w:val="000000"/>
          <w:sz w:val="24"/>
          <w:szCs w:val="24"/>
          <w:lang w:eastAsia="lv-LV"/>
        </w:rPr>
        <w:t xml:space="preserve"> </w:t>
      </w:r>
      <w:r w:rsidRPr="00372ABA">
        <w:rPr>
          <w:b/>
          <w:sz w:val="24"/>
          <w:szCs w:val="24"/>
        </w:rPr>
        <w:t xml:space="preserve">5 </w:t>
      </w:r>
      <w:r>
        <w:rPr>
          <w:b/>
          <w:sz w:val="24"/>
          <w:szCs w:val="24"/>
        </w:rPr>
        <w:t xml:space="preserve">milj. </w:t>
      </w:r>
      <w:proofErr w:type="spellStart"/>
      <w:r w:rsidRPr="00857240">
        <w:rPr>
          <w:b/>
          <w:i/>
          <w:sz w:val="24"/>
          <w:szCs w:val="24"/>
        </w:rPr>
        <w:t>euro</w:t>
      </w:r>
      <w:proofErr w:type="spellEnd"/>
      <w:r w:rsidRPr="00857240">
        <w:rPr>
          <w:sz w:val="24"/>
          <w:szCs w:val="24"/>
        </w:rPr>
        <w:t xml:space="preserve">, lai nodrošinātu vienreizēju papildu dotācijas piešķiršanu tām pašvaldībām, kurām izlīdzinātie ieņēmumi ir vismaz par 10 procentiem zemāki salīdzinājumā ar vidējiem izlīdzinātiem ieņēmumiem valstī un bezdarba līmenis ir augstāks par vidējo valstī. </w:t>
      </w:r>
    </w:p>
    <w:p w14:paraId="34CF5AE8" w14:textId="77777777" w:rsidR="00B9788A" w:rsidRDefault="00B9788A" w:rsidP="000F46ED">
      <w:pPr>
        <w:ind w:left="113" w:right="113"/>
        <w:rPr>
          <w:sz w:val="24"/>
          <w:szCs w:val="24"/>
        </w:rPr>
      </w:pPr>
      <w:r w:rsidRPr="00E8416B">
        <w:rPr>
          <w:b/>
          <w:color w:val="000000"/>
          <w:sz w:val="24"/>
          <w:szCs w:val="24"/>
          <w:lang w:eastAsia="lv-LV"/>
        </w:rPr>
        <w:t>Sabiedrības integrācijas fond</w:t>
      </w:r>
      <w:r>
        <w:rPr>
          <w:b/>
          <w:color w:val="000000"/>
          <w:sz w:val="24"/>
          <w:szCs w:val="24"/>
          <w:lang w:eastAsia="lv-LV"/>
        </w:rPr>
        <w:t>am</w:t>
      </w:r>
      <w:r w:rsidRPr="00E8416B">
        <w:rPr>
          <w:color w:val="000000"/>
          <w:sz w:val="24"/>
          <w:szCs w:val="24"/>
          <w:lang w:eastAsia="lv-LV"/>
        </w:rPr>
        <w:t xml:space="preserve"> </w:t>
      </w:r>
      <w:r w:rsidRPr="00E8416B">
        <w:rPr>
          <w:b/>
          <w:sz w:val="24"/>
          <w:szCs w:val="24"/>
        </w:rPr>
        <w:t xml:space="preserve">0,6 milj. </w:t>
      </w:r>
      <w:proofErr w:type="spellStart"/>
      <w:r w:rsidRPr="00E8416B">
        <w:rPr>
          <w:b/>
          <w:i/>
          <w:sz w:val="24"/>
          <w:szCs w:val="24"/>
        </w:rPr>
        <w:t>euro</w:t>
      </w:r>
      <w:proofErr w:type="spellEnd"/>
      <w:r w:rsidRPr="00E8416B">
        <w:rPr>
          <w:sz w:val="24"/>
          <w:szCs w:val="24"/>
        </w:rPr>
        <w:t xml:space="preserve"> programmas “Atbalsts NVO Covid-19 krīzes radīto negatīvo seku mazināšanai” projektu īstenošanai un administrēšanai.</w:t>
      </w:r>
    </w:p>
    <w:p w14:paraId="00962DA9" w14:textId="77777777" w:rsidR="0000445F" w:rsidRDefault="00372ABA" w:rsidP="0000445F">
      <w:pPr>
        <w:ind w:left="113" w:right="113"/>
        <w:rPr>
          <w:sz w:val="24"/>
          <w:szCs w:val="24"/>
        </w:rPr>
      </w:pPr>
      <w:r w:rsidRPr="00857240">
        <w:rPr>
          <w:b/>
          <w:color w:val="000000"/>
          <w:sz w:val="24"/>
          <w:szCs w:val="24"/>
          <w:lang w:eastAsia="lv-LV"/>
        </w:rPr>
        <w:t>Valsts kancelejai</w:t>
      </w:r>
      <w:r w:rsidR="00857240">
        <w:rPr>
          <w:b/>
          <w:color w:val="000000"/>
          <w:sz w:val="24"/>
          <w:szCs w:val="24"/>
          <w:lang w:eastAsia="lv-LV"/>
        </w:rPr>
        <w:t xml:space="preserve"> </w:t>
      </w:r>
      <w:r w:rsidRPr="00857240">
        <w:rPr>
          <w:b/>
          <w:sz w:val="24"/>
          <w:szCs w:val="24"/>
        </w:rPr>
        <w:t xml:space="preserve">0,1 milj. </w:t>
      </w:r>
      <w:proofErr w:type="spellStart"/>
      <w:r w:rsidRPr="00857240">
        <w:rPr>
          <w:b/>
          <w:i/>
          <w:sz w:val="24"/>
          <w:szCs w:val="24"/>
        </w:rPr>
        <w:t>euro</w:t>
      </w:r>
      <w:proofErr w:type="spellEnd"/>
      <w:r w:rsidRPr="00857240">
        <w:rPr>
          <w:sz w:val="24"/>
          <w:szCs w:val="24"/>
        </w:rPr>
        <w:t xml:space="preserve">, lai segtu izdevumus informatīvā tālruņa 8345 darbībai. </w:t>
      </w:r>
    </w:p>
    <w:p w14:paraId="11520AEE" w14:textId="39760B24" w:rsidR="00857240" w:rsidRPr="00523B05" w:rsidRDefault="00372ABA" w:rsidP="0000445F">
      <w:pPr>
        <w:ind w:left="113" w:right="113"/>
        <w:rPr>
          <w:sz w:val="24"/>
          <w:szCs w:val="24"/>
        </w:rPr>
      </w:pPr>
      <w:r w:rsidRPr="00523B05">
        <w:rPr>
          <w:b/>
          <w:color w:val="000000"/>
          <w:sz w:val="24"/>
          <w:szCs w:val="24"/>
          <w:lang w:eastAsia="lv-LV"/>
        </w:rPr>
        <w:t>Vides aizsardzības un reģionālās attīstības ministrijai</w:t>
      </w:r>
      <w:r w:rsidRPr="00523B05">
        <w:rPr>
          <w:bCs/>
          <w:sz w:val="24"/>
          <w:szCs w:val="24"/>
        </w:rPr>
        <w:t xml:space="preserve"> </w:t>
      </w:r>
      <w:r w:rsidRPr="00523B05">
        <w:rPr>
          <w:b/>
          <w:bCs/>
          <w:sz w:val="24"/>
          <w:szCs w:val="24"/>
        </w:rPr>
        <w:t xml:space="preserve">0,1 milj. </w:t>
      </w:r>
      <w:proofErr w:type="spellStart"/>
      <w:r w:rsidRPr="00523B05">
        <w:rPr>
          <w:b/>
          <w:bCs/>
          <w:i/>
          <w:sz w:val="24"/>
          <w:szCs w:val="24"/>
        </w:rPr>
        <w:t>euro</w:t>
      </w:r>
      <w:proofErr w:type="spellEnd"/>
      <w:r w:rsidRPr="00523B05">
        <w:rPr>
          <w:b/>
          <w:bCs/>
          <w:sz w:val="24"/>
          <w:szCs w:val="24"/>
        </w:rPr>
        <w:t xml:space="preserve"> </w:t>
      </w:r>
      <w:r w:rsidR="004F5FA0" w:rsidRPr="004F5FA0">
        <w:rPr>
          <w:sz w:val="24"/>
          <w:szCs w:val="24"/>
        </w:rPr>
        <w:t>Valsts reģionālās attīstības aģentūrai</w:t>
      </w:r>
      <w:r w:rsidRPr="00523B05">
        <w:rPr>
          <w:b/>
          <w:bCs/>
          <w:sz w:val="24"/>
          <w:szCs w:val="24"/>
        </w:rPr>
        <w:t xml:space="preserve"> </w:t>
      </w:r>
      <w:r w:rsidRPr="00523B05">
        <w:rPr>
          <w:sz w:val="24"/>
          <w:szCs w:val="24"/>
        </w:rPr>
        <w:t>fizisko personu elektroniskās identifikācijas rīka “Vienotais pieteikšanās modulis” pilnveidošana vakcinācijas procesa nodrošināšanai pret Covid-19 infekciju.</w:t>
      </w:r>
    </w:p>
    <w:p w14:paraId="21B68B75" w14:textId="68E6D68C" w:rsidR="00CC06FF" w:rsidRDefault="00B9788A" w:rsidP="000F46ED">
      <w:pPr>
        <w:ind w:left="113" w:right="113"/>
        <w:rPr>
          <w:sz w:val="24"/>
          <w:szCs w:val="24"/>
        </w:rPr>
      </w:pPr>
      <w:r w:rsidRPr="00E8416B">
        <w:rPr>
          <w:b/>
          <w:color w:val="000000"/>
          <w:sz w:val="24"/>
          <w:szCs w:val="24"/>
          <w:lang w:eastAsia="lv-LV"/>
        </w:rPr>
        <w:t>Tieslietu ministrija</w:t>
      </w:r>
      <w:r>
        <w:rPr>
          <w:b/>
          <w:color w:val="000000"/>
          <w:sz w:val="24"/>
          <w:szCs w:val="24"/>
          <w:lang w:eastAsia="lv-LV"/>
        </w:rPr>
        <w:t xml:space="preserve">i </w:t>
      </w:r>
      <w:r w:rsidRPr="00372ABA">
        <w:rPr>
          <w:b/>
          <w:sz w:val="24"/>
          <w:szCs w:val="24"/>
        </w:rPr>
        <w:t xml:space="preserve">0,05 </w:t>
      </w:r>
      <w:r>
        <w:rPr>
          <w:b/>
          <w:sz w:val="24"/>
          <w:szCs w:val="24"/>
        </w:rPr>
        <w:t xml:space="preserve">milj. </w:t>
      </w:r>
      <w:proofErr w:type="spellStart"/>
      <w:r w:rsidRPr="00E8416B">
        <w:rPr>
          <w:b/>
          <w:i/>
          <w:sz w:val="24"/>
          <w:szCs w:val="24"/>
        </w:rPr>
        <w:t>euro</w:t>
      </w:r>
      <w:proofErr w:type="spellEnd"/>
      <w:r w:rsidRPr="00372ABA">
        <w:rPr>
          <w:sz w:val="24"/>
          <w:szCs w:val="24"/>
        </w:rPr>
        <w:t xml:space="preserve">, </w:t>
      </w:r>
      <w:r w:rsidRPr="00E8416B">
        <w:rPr>
          <w:sz w:val="24"/>
          <w:szCs w:val="24"/>
        </w:rPr>
        <w:t xml:space="preserve">Ziemassvētku dievkalpojumu translācijas apmaksai. </w:t>
      </w:r>
    </w:p>
    <w:p w14:paraId="7AC1983D" w14:textId="4208A5ED" w:rsidR="00D829B1" w:rsidRPr="004B4FBB" w:rsidRDefault="00D829B1" w:rsidP="000F46ED">
      <w:pPr>
        <w:ind w:left="113" w:right="113"/>
        <w:rPr>
          <w:sz w:val="24"/>
          <w:szCs w:val="24"/>
        </w:rPr>
      </w:pPr>
      <w:r w:rsidRPr="004B4FBB">
        <w:rPr>
          <w:color w:val="000000"/>
          <w:sz w:val="24"/>
          <w:szCs w:val="24"/>
          <w:lang w:eastAsia="lv-LV"/>
        </w:rPr>
        <w:t>Informatīvā ziņojuma pielikumā ir</w:t>
      </w:r>
      <w:r w:rsidR="005F7EA2" w:rsidRPr="004B4FBB">
        <w:rPr>
          <w:color w:val="000000"/>
          <w:sz w:val="24"/>
          <w:szCs w:val="24"/>
          <w:lang w:eastAsia="lv-LV"/>
        </w:rPr>
        <w:t xml:space="preserve"> detalizēta informācija par valdības pieņemtajiem lēmumiem par finansējuma piešķiršanu no valsts budžeta programmas</w:t>
      </w:r>
      <w:r w:rsidRPr="004B4FBB">
        <w:rPr>
          <w:color w:val="000000"/>
          <w:sz w:val="24"/>
          <w:szCs w:val="24"/>
          <w:lang w:eastAsia="lv-LV"/>
        </w:rPr>
        <w:t xml:space="preserve"> “Līdzekļi neparedzētiem gadījumiem” Covid-19 ierobežošanas vienreizēju pasākumu fin</w:t>
      </w:r>
      <w:r w:rsidR="005F7EA2" w:rsidRPr="004B4FBB">
        <w:rPr>
          <w:color w:val="000000"/>
          <w:sz w:val="24"/>
          <w:szCs w:val="24"/>
          <w:lang w:eastAsia="lv-LV"/>
        </w:rPr>
        <w:t xml:space="preserve">ansēšanai. </w:t>
      </w:r>
    </w:p>
    <w:p w14:paraId="5C9D8165" w14:textId="4912131D" w:rsidR="00372ABA" w:rsidRPr="00CC06FF" w:rsidRDefault="00CC06FF" w:rsidP="000F46ED">
      <w:pPr>
        <w:ind w:left="113" w:right="113"/>
        <w:rPr>
          <w:sz w:val="24"/>
          <w:szCs w:val="24"/>
        </w:rPr>
      </w:pPr>
      <w:r w:rsidRPr="00CC06FF">
        <w:rPr>
          <w:sz w:val="24"/>
          <w:szCs w:val="24"/>
          <w:u w:val="single"/>
        </w:rPr>
        <w:t>Līdzekļu neparedzētiem gadījumiem atlikums uz 2021.gada 22.februāri Covid-19 seku novēršanas un pārvarēšanas pasākumiem</w:t>
      </w:r>
      <w:r w:rsidR="00372ABA" w:rsidRPr="00CC06FF">
        <w:rPr>
          <w:sz w:val="24"/>
          <w:szCs w:val="24"/>
        </w:rPr>
        <w:t>, ņemot vērā pārdalīto saskaņā ar M</w:t>
      </w:r>
      <w:r w:rsidRPr="00CC06FF">
        <w:rPr>
          <w:sz w:val="24"/>
          <w:szCs w:val="24"/>
        </w:rPr>
        <w:t>inistru kabineta rīkojumiem</w:t>
      </w:r>
      <w:r w:rsidR="00372ABA" w:rsidRPr="00CC06FF">
        <w:rPr>
          <w:b/>
          <w:sz w:val="24"/>
          <w:szCs w:val="24"/>
        </w:rPr>
        <w:t xml:space="preserve">, </w:t>
      </w:r>
      <w:r w:rsidR="00372ABA" w:rsidRPr="00CC06FF">
        <w:rPr>
          <w:sz w:val="24"/>
          <w:szCs w:val="24"/>
        </w:rPr>
        <w:t>kā arī M</w:t>
      </w:r>
      <w:r w:rsidRPr="00CC06FF">
        <w:rPr>
          <w:sz w:val="24"/>
          <w:szCs w:val="24"/>
        </w:rPr>
        <w:t>inistru kabinetā</w:t>
      </w:r>
      <w:r w:rsidR="00372ABA" w:rsidRPr="00CC06FF">
        <w:rPr>
          <w:sz w:val="24"/>
          <w:szCs w:val="24"/>
        </w:rPr>
        <w:t xml:space="preserve"> atbalstīto apropriācijas palielināšanu</w:t>
      </w:r>
      <w:r w:rsidRPr="00CC06FF">
        <w:rPr>
          <w:sz w:val="24"/>
          <w:szCs w:val="24"/>
        </w:rPr>
        <w:t>, kas vēl jāskaņo ar Saeimas Budžeta un finanšu (nodokļu) komisiju</w:t>
      </w:r>
      <w:r w:rsidR="00372ABA" w:rsidRPr="00CC06FF">
        <w:rPr>
          <w:sz w:val="24"/>
          <w:szCs w:val="24"/>
        </w:rPr>
        <w:t xml:space="preserve"> </w:t>
      </w:r>
      <w:r w:rsidR="00D47CBE">
        <w:rPr>
          <w:sz w:val="24"/>
          <w:szCs w:val="24"/>
        </w:rPr>
        <w:t xml:space="preserve">(23.februārī) </w:t>
      </w:r>
      <w:r w:rsidR="00372ABA" w:rsidRPr="00CC06FF">
        <w:rPr>
          <w:sz w:val="24"/>
          <w:szCs w:val="24"/>
        </w:rPr>
        <w:t>– </w:t>
      </w:r>
      <w:r w:rsidR="00372ABA" w:rsidRPr="00CC06FF">
        <w:rPr>
          <w:b/>
          <w:bCs/>
          <w:sz w:val="24"/>
          <w:szCs w:val="24"/>
        </w:rPr>
        <w:t> </w:t>
      </w:r>
      <w:r w:rsidR="00372ABA" w:rsidRPr="00CC06FF">
        <w:rPr>
          <w:b/>
          <w:sz w:val="24"/>
          <w:szCs w:val="24"/>
        </w:rPr>
        <w:t>2</w:t>
      </w:r>
      <w:r w:rsidRPr="00CC06FF">
        <w:rPr>
          <w:b/>
          <w:sz w:val="24"/>
          <w:szCs w:val="24"/>
        </w:rPr>
        <w:t>66</w:t>
      </w:r>
      <w:r w:rsidR="00372ABA" w:rsidRPr="00CC06FF">
        <w:rPr>
          <w:b/>
          <w:sz w:val="24"/>
          <w:szCs w:val="24"/>
        </w:rPr>
        <w:t>,</w:t>
      </w:r>
      <w:r w:rsidRPr="00CC06FF">
        <w:rPr>
          <w:b/>
          <w:sz w:val="24"/>
          <w:szCs w:val="24"/>
        </w:rPr>
        <w:t>3</w:t>
      </w:r>
      <w:r w:rsidR="00372ABA" w:rsidRPr="00CC06FF">
        <w:rPr>
          <w:b/>
          <w:sz w:val="24"/>
          <w:szCs w:val="24"/>
        </w:rPr>
        <w:t xml:space="preserve"> milj. </w:t>
      </w:r>
      <w:proofErr w:type="spellStart"/>
      <w:r w:rsidR="00372ABA" w:rsidRPr="00CC06FF">
        <w:rPr>
          <w:b/>
          <w:i/>
          <w:sz w:val="24"/>
          <w:szCs w:val="24"/>
        </w:rPr>
        <w:t>euro</w:t>
      </w:r>
      <w:proofErr w:type="spellEnd"/>
      <w:r w:rsidRPr="00CC06FF">
        <w:rPr>
          <w:b/>
          <w:sz w:val="24"/>
          <w:szCs w:val="24"/>
        </w:rPr>
        <w:t>.</w:t>
      </w:r>
    </w:p>
    <w:p w14:paraId="1CC45E1B" w14:textId="2E50E89A" w:rsidR="00D84E0F" w:rsidRPr="00372ABA" w:rsidRDefault="00D84E0F" w:rsidP="000F46ED">
      <w:pPr>
        <w:pStyle w:val="naisf"/>
        <w:spacing w:before="0" w:beforeAutospacing="0" w:after="120" w:afterAutospacing="0"/>
        <w:ind w:firstLine="720"/>
        <w:jc w:val="both"/>
        <w:rPr>
          <w:lang w:val="lv-LV" w:eastAsia="lv-LV"/>
        </w:rPr>
      </w:pPr>
    </w:p>
    <w:p w14:paraId="13F01339" w14:textId="4842E364" w:rsidR="00D10BA7" w:rsidRPr="00B25A98" w:rsidRDefault="004B4FBB" w:rsidP="004B4FBB">
      <w:pPr>
        <w:pStyle w:val="H1"/>
        <w:shd w:val="clear" w:color="auto" w:fill="D9D9D9" w:themeFill="background1" w:themeFillShade="D9"/>
        <w:rPr>
          <w:sz w:val="24"/>
          <w:szCs w:val="24"/>
        </w:rPr>
      </w:pPr>
      <w:r>
        <w:rPr>
          <w:sz w:val="24"/>
          <w:szCs w:val="24"/>
        </w:rPr>
        <w:t xml:space="preserve">4. </w:t>
      </w:r>
      <w:r w:rsidR="00D10BA7">
        <w:rPr>
          <w:sz w:val="24"/>
          <w:szCs w:val="24"/>
        </w:rPr>
        <w:t>Priekšlikumi</w:t>
      </w:r>
      <w:r w:rsidR="00D10BA7" w:rsidRPr="00B25A98">
        <w:rPr>
          <w:sz w:val="24"/>
          <w:szCs w:val="24"/>
        </w:rPr>
        <w:t xml:space="preserve"> par </w:t>
      </w:r>
      <w:r w:rsidR="00924C4E">
        <w:rPr>
          <w:sz w:val="24"/>
          <w:szCs w:val="24"/>
        </w:rPr>
        <w:t xml:space="preserve">turpmāko rīcību </w:t>
      </w:r>
      <w:r w:rsidR="00D10BA7" w:rsidRPr="00B25A98">
        <w:rPr>
          <w:sz w:val="24"/>
          <w:szCs w:val="24"/>
        </w:rPr>
        <w:t>Covid-19 ierobežošanas vienreizēju pasākumu finansēšanai 2021.gadā</w:t>
      </w:r>
    </w:p>
    <w:p w14:paraId="3F4F58B1" w14:textId="77777777" w:rsidR="00E9167F" w:rsidRDefault="00A2172A" w:rsidP="00940082">
      <w:pPr>
        <w:ind w:left="123" w:right="111"/>
        <w:rPr>
          <w:shd w:val="clear" w:color="auto" w:fill="FFFFFF"/>
        </w:rPr>
      </w:pPr>
      <w:r w:rsidRPr="00680B36">
        <w:rPr>
          <w:sz w:val="24"/>
          <w:szCs w:val="24"/>
        </w:rPr>
        <w:lastRenderedPageBreak/>
        <w:t xml:space="preserve">Finanšu ministrijā </w:t>
      </w:r>
      <w:r w:rsidR="00D47CBE">
        <w:rPr>
          <w:sz w:val="24"/>
          <w:szCs w:val="24"/>
        </w:rPr>
        <w:t>tiek</w:t>
      </w:r>
      <w:r w:rsidRPr="00680B36">
        <w:rPr>
          <w:sz w:val="24"/>
          <w:szCs w:val="24"/>
        </w:rPr>
        <w:t xml:space="preserve"> saņemti jauni pieprasījumi no līdzekļiem neparedzētiem gadījumiem (atrodas dažādās saskaņošanas stadijās), kā arī ir sagaidāmi </w:t>
      </w:r>
      <w:r w:rsidRPr="00680B36">
        <w:rPr>
          <w:iCs/>
          <w:sz w:val="24"/>
          <w:szCs w:val="24"/>
        </w:rPr>
        <w:t xml:space="preserve">papildu pieprasījumi no nozaru ministrijām </w:t>
      </w:r>
      <w:r w:rsidRPr="00680B36">
        <w:rPr>
          <w:sz w:val="24"/>
          <w:szCs w:val="24"/>
        </w:rPr>
        <w:t>saskaņā ar pieņemtajiem Ministru kabineta konceptuāliem lēmumiem</w:t>
      </w:r>
      <w:r w:rsidRPr="00680B36">
        <w:rPr>
          <w:iCs/>
          <w:sz w:val="24"/>
          <w:szCs w:val="24"/>
        </w:rPr>
        <w:t xml:space="preserve"> saistībā ar izstrādātiem atbalsta pasākumiem Covid-19 izraisītās krīzes seku mazināšanai</w:t>
      </w:r>
      <w:r>
        <w:rPr>
          <w:iCs/>
          <w:sz w:val="24"/>
          <w:szCs w:val="24"/>
        </w:rPr>
        <w:t xml:space="preserve"> </w:t>
      </w:r>
      <w:r w:rsidRPr="00680B36">
        <w:rPr>
          <w:sz w:val="24"/>
          <w:szCs w:val="24"/>
          <w:shd w:val="clear" w:color="auto" w:fill="FFFFFF"/>
        </w:rPr>
        <w:t xml:space="preserve">ārkārtējās situācijas laikā </w:t>
      </w:r>
      <w:r w:rsidR="00E00FF1">
        <w:rPr>
          <w:sz w:val="24"/>
          <w:szCs w:val="24"/>
          <w:shd w:val="clear" w:color="auto" w:fill="FFFFFF"/>
        </w:rPr>
        <w:t xml:space="preserve">un </w:t>
      </w:r>
      <w:r w:rsidRPr="00680B36">
        <w:rPr>
          <w:sz w:val="24"/>
          <w:szCs w:val="24"/>
          <w:shd w:val="clear" w:color="auto" w:fill="FFFFFF"/>
        </w:rPr>
        <w:t>noteikto aizliegumu un ierobežojumu radīto zaudējumu kompensējošiem pasākumiem</w:t>
      </w:r>
      <w:r w:rsidR="00D47CBE">
        <w:rPr>
          <w:sz w:val="24"/>
          <w:szCs w:val="24"/>
          <w:shd w:val="clear" w:color="auto" w:fill="FFFFFF"/>
        </w:rPr>
        <w:t>.</w:t>
      </w:r>
      <w:r w:rsidRPr="00680B36">
        <w:rPr>
          <w:sz w:val="24"/>
          <w:szCs w:val="24"/>
          <w:shd w:val="clear" w:color="auto" w:fill="FFFFFF"/>
        </w:rPr>
        <w:t xml:space="preserve"> </w:t>
      </w:r>
    </w:p>
    <w:p w14:paraId="167A7B80" w14:textId="2392C286" w:rsidR="00EC5358" w:rsidRPr="00D231F6" w:rsidRDefault="0082272C" w:rsidP="00940082">
      <w:pPr>
        <w:ind w:left="123" w:right="111"/>
        <w:rPr>
          <w:lang w:eastAsia="lv-LV"/>
        </w:rPr>
      </w:pPr>
      <w:r w:rsidRPr="00D231F6">
        <w:rPr>
          <w:sz w:val="24"/>
          <w:szCs w:val="24"/>
          <w:shd w:val="clear" w:color="auto" w:fill="FFFFFF"/>
        </w:rPr>
        <w:t xml:space="preserve">Šobrīd jau vairāki no tiem pārsniedz pieejamo līdzekļu neparedzētiem gadījumiem atlikumu. Piemēram, 182,1 milj. </w:t>
      </w:r>
      <w:proofErr w:type="spellStart"/>
      <w:r w:rsidRPr="00D231F6">
        <w:rPr>
          <w:i/>
          <w:sz w:val="24"/>
          <w:szCs w:val="24"/>
          <w:shd w:val="clear" w:color="auto" w:fill="FFFFFF"/>
        </w:rPr>
        <w:t>euro</w:t>
      </w:r>
      <w:proofErr w:type="spellEnd"/>
      <w:r w:rsidRPr="00D231F6">
        <w:rPr>
          <w:sz w:val="24"/>
          <w:szCs w:val="24"/>
          <w:shd w:val="clear" w:color="auto" w:fill="FFFFFF"/>
        </w:rPr>
        <w:t xml:space="preserve"> </w:t>
      </w:r>
      <w:r w:rsidR="00EC5358" w:rsidRPr="00D231F6">
        <w:rPr>
          <w:sz w:val="24"/>
          <w:szCs w:val="24"/>
          <w:shd w:val="clear" w:color="auto" w:fill="FFFFFF"/>
        </w:rPr>
        <w:t xml:space="preserve">apmērā </w:t>
      </w:r>
      <w:r w:rsidR="00E659B6" w:rsidRPr="00D231F6">
        <w:rPr>
          <w:sz w:val="24"/>
          <w:szCs w:val="24"/>
          <w:shd w:val="clear" w:color="auto" w:fill="FFFFFF"/>
        </w:rPr>
        <w:t>a</w:t>
      </w:r>
      <w:r w:rsidRPr="00D231F6">
        <w:rPr>
          <w:sz w:val="24"/>
          <w:szCs w:val="24"/>
          <w:lang w:eastAsia="lv-LV"/>
        </w:rPr>
        <w:t>tbalst</w:t>
      </w:r>
      <w:r w:rsidR="00EC5358" w:rsidRPr="00D231F6">
        <w:rPr>
          <w:sz w:val="24"/>
          <w:szCs w:val="24"/>
          <w:lang w:eastAsia="lv-LV"/>
        </w:rPr>
        <w:t>a sniegšanai</w:t>
      </w:r>
      <w:r w:rsidRPr="00D231F6">
        <w:rPr>
          <w:sz w:val="24"/>
          <w:szCs w:val="24"/>
          <w:lang w:eastAsia="lv-LV"/>
        </w:rPr>
        <w:t xml:space="preserve"> ģimenēm ar bērniem 500 </w:t>
      </w:r>
      <w:proofErr w:type="spellStart"/>
      <w:r w:rsidRPr="00D231F6">
        <w:rPr>
          <w:i/>
          <w:sz w:val="24"/>
          <w:szCs w:val="24"/>
          <w:lang w:eastAsia="lv-LV"/>
        </w:rPr>
        <w:t>euro</w:t>
      </w:r>
      <w:proofErr w:type="spellEnd"/>
      <w:r w:rsidRPr="00D231F6">
        <w:rPr>
          <w:sz w:val="24"/>
          <w:szCs w:val="24"/>
          <w:lang w:eastAsia="lv-LV"/>
        </w:rPr>
        <w:t xml:space="preserve"> apmērā par katru audzināšanā esošu bērnu ar 2021.gada 1.martu</w:t>
      </w:r>
      <w:r w:rsidR="00EC5358" w:rsidRPr="00D231F6">
        <w:rPr>
          <w:sz w:val="24"/>
          <w:szCs w:val="24"/>
          <w:lang w:eastAsia="lv-LV"/>
        </w:rPr>
        <w:t xml:space="preserve">, </w:t>
      </w:r>
      <w:r w:rsidR="00E659B6" w:rsidRPr="00D231F6">
        <w:rPr>
          <w:sz w:val="24"/>
          <w:szCs w:val="24"/>
          <w:lang w:eastAsia="lv-LV"/>
        </w:rPr>
        <w:t xml:space="preserve">134,0 milj. </w:t>
      </w:r>
      <w:proofErr w:type="spellStart"/>
      <w:r w:rsidR="00E659B6" w:rsidRPr="00D231F6">
        <w:rPr>
          <w:i/>
          <w:sz w:val="24"/>
          <w:szCs w:val="24"/>
          <w:lang w:eastAsia="lv-LV"/>
        </w:rPr>
        <w:t>euro</w:t>
      </w:r>
      <w:proofErr w:type="spellEnd"/>
      <w:r w:rsidR="00E659B6" w:rsidRPr="00D231F6">
        <w:rPr>
          <w:sz w:val="24"/>
          <w:szCs w:val="24"/>
          <w:lang w:eastAsia="lv-LV"/>
        </w:rPr>
        <w:t xml:space="preserve"> atbalsta turpināšanai nodokļu maksātājiem (dīkstāves pabalstiem, algu subsīdijām un krīzes skartajiem uzņēmumiem apgrozāmo līdzekļu plūsmas nodrošināšanai), </w:t>
      </w:r>
      <w:r w:rsidR="00EC5358" w:rsidRPr="00D231F6">
        <w:rPr>
          <w:sz w:val="24"/>
          <w:szCs w:val="24"/>
          <w:lang w:eastAsia="lv-LV"/>
        </w:rPr>
        <w:t xml:space="preserve">240,0 milj. </w:t>
      </w:r>
      <w:proofErr w:type="spellStart"/>
      <w:r w:rsidR="00EC5358" w:rsidRPr="00D231F6">
        <w:rPr>
          <w:i/>
          <w:sz w:val="24"/>
          <w:szCs w:val="24"/>
          <w:lang w:eastAsia="lv-LV"/>
        </w:rPr>
        <w:t>euro</w:t>
      </w:r>
      <w:proofErr w:type="spellEnd"/>
      <w:r w:rsidR="00EC5358" w:rsidRPr="00D231F6">
        <w:rPr>
          <w:sz w:val="24"/>
          <w:szCs w:val="24"/>
          <w:lang w:eastAsia="lv-LV"/>
        </w:rPr>
        <w:t xml:space="preserve"> </w:t>
      </w:r>
      <w:r w:rsidR="00E9167F" w:rsidRPr="00D231F6">
        <w:rPr>
          <w:sz w:val="24"/>
          <w:szCs w:val="24"/>
          <w:lang w:eastAsia="lv-LV"/>
        </w:rPr>
        <w:t>papildu finansējumam</w:t>
      </w:r>
      <w:r w:rsidR="00E659B6" w:rsidRPr="00D231F6">
        <w:rPr>
          <w:sz w:val="24"/>
          <w:szCs w:val="24"/>
          <w:lang w:eastAsia="lv-LV"/>
        </w:rPr>
        <w:t xml:space="preserve"> </w:t>
      </w:r>
      <w:r w:rsidR="00EC5358" w:rsidRPr="00D231F6">
        <w:rPr>
          <w:sz w:val="24"/>
          <w:szCs w:val="24"/>
          <w:lang w:eastAsia="lv-LV"/>
        </w:rPr>
        <w:t>Covid-19 krīzes skartajiem uzņēmumiem apgrozāmo l</w:t>
      </w:r>
      <w:r w:rsidR="00E659B6" w:rsidRPr="00D231F6">
        <w:rPr>
          <w:sz w:val="24"/>
          <w:szCs w:val="24"/>
          <w:lang w:eastAsia="lv-LV"/>
        </w:rPr>
        <w:t>īdzekļu plūsmas nodrošināšanai</w:t>
      </w:r>
      <w:r w:rsidR="00E9167F" w:rsidRPr="00D231F6">
        <w:rPr>
          <w:sz w:val="24"/>
          <w:szCs w:val="24"/>
          <w:lang w:eastAsia="lv-LV"/>
        </w:rPr>
        <w:t xml:space="preserve"> u.c.</w:t>
      </w:r>
    </w:p>
    <w:p w14:paraId="77AE2E7D" w14:textId="404C3F89" w:rsidR="00990B96" w:rsidRPr="00D231F6" w:rsidRDefault="00924C4E" w:rsidP="00940082">
      <w:pPr>
        <w:autoSpaceDE w:val="0"/>
        <w:autoSpaceDN w:val="0"/>
        <w:adjustRightInd w:val="0"/>
        <w:spacing w:after="0"/>
        <w:ind w:right="130"/>
        <w:rPr>
          <w:sz w:val="24"/>
          <w:szCs w:val="24"/>
        </w:rPr>
      </w:pPr>
      <w:r w:rsidRPr="00D231F6">
        <w:rPr>
          <w:sz w:val="24"/>
          <w:szCs w:val="24"/>
        </w:rPr>
        <w:t xml:space="preserve">Priekšlikums </w:t>
      </w:r>
      <w:r w:rsidR="0098718D">
        <w:rPr>
          <w:sz w:val="24"/>
          <w:szCs w:val="24"/>
        </w:rPr>
        <w:t xml:space="preserve">Ministru kabineta </w:t>
      </w:r>
      <w:proofErr w:type="spellStart"/>
      <w:r w:rsidR="00F769AC" w:rsidRPr="00D231F6">
        <w:rPr>
          <w:sz w:val="24"/>
          <w:szCs w:val="24"/>
        </w:rPr>
        <w:t>protokollēmumā</w:t>
      </w:r>
      <w:proofErr w:type="spellEnd"/>
      <w:r w:rsidR="00F769AC" w:rsidRPr="00D231F6">
        <w:rPr>
          <w:sz w:val="24"/>
          <w:szCs w:val="24"/>
        </w:rPr>
        <w:t xml:space="preserve"> noteikt, ka</w:t>
      </w:r>
      <w:r w:rsidR="00990B96" w:rsidRPr="00D231F6">
        <w:rPr>
          <w:sz w:val="24"/>
          <w:szCs w:val="24"/>
        </w:rPr>
        <w:t>:</w:t>
      </w:r>
      <w:r w:rsidR="00F769AC" w:rsidRPr="00D231F6">
        <w:rPr>
          <w:sz w:val="24"/>
          <w:szCs w:val="24"/>
        </w:rPr>
        <w:t xml:space="preserve"> </w:t>
      </w:r>
    </w:p>
    <w:p w14:paraId="36311B24" w14:textId="77777777" w:rsidR="00990B96" w:rsidRPr="00D231F6" w:rsidRDefault="004768B5" w:rsidP="00940082">
      <w:pPr>
        <w:pStyle w:val="ListParagraph"/>
        <w:numPr>
          <w:ilvl w:val="0"/>
          <w:numId w:val="45"/>
        </w:numPr>
        <w:autoSpaceDE w:val="0"/>
        <w:autoSpaceDN w:val="0"/>
        <w:adjustRightInd w:val="0"/>
        <w:spacing w:after="0" w:line="240" w:lineRule="auto"/>
        <w:ind w:right="130"/>
        <w:contextualSpacing w:val="0"/>
        <w:jc w:val="both"/>
        <w:rPr>
          <w:rFonts w:ascii="Times New Roman" w:hAnsi="Times New Roman"/>
          <w:sz w:val="24"/>
          <w:szCs w:val="24"/>
        </w:rPr>
      </w:pPr>
      <w:r w:rsidRPr="00D231F6">
        <w:rPr>
          <w:rFonts w:ascii="Times New Roman" w:hAnsi="Times New Roman"/>
          <w:sz w:val="24"/>
          <w:szCs w:val="24"/>
        </w:rPr>
        <w:t>pieprasījumi Covid-19 ierobežošanas pasākumiem ir vienreizēji un terminēti, ir pilnībā īstenojami 2021.gadā, sasniedzot mērķi, nerada vajadzību pēc papildus līdzekļiem 2022</w:t>
      </w:r>
      <w:r w:rsidR="00990B96" w:rsidRPr="00D231F6">
        <w:rPr>
          <w:rFonts w:ascii="Times New Roman" w:hAnsi="Times New Roman"/>
          <w:sz w:val="24"/>
          <w:szCs w:val="24"/>
        </w:rPr>
        <w:t>.gadā un turpmākajos gados;</w:t>
      </w:r>
    </w:p>
    <w:p w14:paraId="50FE545F" w14:textId="23B49DB3" w:rsidR="00990B96" w:rsidRPr="00D231F6" w:rsidRDefault="004768B5" w:rsidP="00940082">
      <w:pPr>
        <w:pStyle w:val="ListParagraph"/>
        <w:numPr>
          <w:ilvl w:val="0"/>
          <w:numId w:val="45"/>
        </w:numPr>
        <w:autoSpaceDE w:val="0"/>
        <w:autoSpaceDN w:val="0"/>
        <w:adjustRightInd w:val="0"/>
        <w:spacing w:after="0" w:line="240" w:lineRule="auto"/>
        <w:ind w:right="130"/>
        <w:contextualSpacing w:val="0"/>
        <w:jc w:val="both"/>
        <w:rPr>
          <w:rFonts w:ascii="Times New Roman" w:hAnsi="Times New Roman"/>
          <w:sz w:val="24"/>
          <w:szCs w:val="24"/>
        </w:rPr>
      </w:pPr>
      <w:r w:rsidRPr="00D231F6">
        <w:rPr>
          <w:rFonts w:ascii="Times New Roman" w:hAnsi="Times New Roman"/>
          <w:sz w:val="24"/>
          <w:szCs w:val="24"/>
        </w:rPr>
        <w:t xml:space="preserve"> </w:t>
      </w:r>
      <w:r w:rsidR="00F769AC" w:rsidRPr="00D231F6">
        <w:rPr>
          <w:rFonts w:ascii="Times New Roman" w:hAnsi="Times New Roman"/>
          <w:sz w:val="24"/>
          <w:szCs w:val="24"/>
        </w:rPr>
        <w:t>ministrijas un citas centrālās valsts iestādes ir atbildīgas par</w:t>
      </w:r>
      <w:r w:rsidRPr="00D231F6">
        <w:rPr>
          <w:rFonts w:ascii="Times New Roman" w:hAnsi="Times New Roman"/>
          <w:sz w:val="24"/>
          <w:szCs w:val="24"/>
        </w:rPr>
        <w:t xml:space="preserve"> </w:t>
      </w:r>
      <w:r w:rsidR="00990B96" w:rsidRPr="00D231F6">
        <w:rPr>
          <w:rFonts w:ascii="Times New Roman" w:hAnsi="Times New Roman"/>
          <w:sz w:val="24"/>
          <w:szCs w:val="24"/>
        </w:rPr>
        <w:t xml:space="preserve">minēto nosacījumu ievērošanu un </w:t>
      </w:r>
      <w:r w:rsidRPr="00D231F6">
        <w:rPr>
          <w:rFonts w:ascii="Times New Roman" w:hAnsi="Times New Roman"/>
          <w:sz w:val="24"/>
          <w:szCs w:val="24"/>
        </w:rPr>
        <w:t>pamatotiem aprēķiniem pieprasītajam finansējumam</w:t>
      </w:r>
      <w:r w:rsidR="00990B96" w:rsidRPr="00D231F6">
        <w:rPr>
          <w:rFonts w:ascii="Times New Roman" w:hAnsi="Times New Roman"/>
          <w:sz w:val="24"/>
          <w:szCs w:val="24"/>
        </w:rPr>
        <w:t xml:space="preserve">, un seko līdzi </w:t>
      </w:r>
      <w:r w:rsidR="006D690E" w:rsidRPr="00D231F6">
        <w:rPr>
          <w:rFonts w:ascii="Times New Roman" w:hAnsi="Times New Roman"/>
          <w:sz w:val="24"/>
          <w:szCs w:val="24"/>
        </w:rPr>
        <w:t>faktiskajam piešķirto līdzekļu izlietojumam</w:t>
      </w:r>
      <w:r w:rsidR="00990B96" w:rsidRPr="00D231F6">
        <w:rPr>
          <w:rFonts w:ascii="Times New Roman" w:hAnsi="Times New Roman"/>
          <w:sz w:val="24"/>
          <w:szCs w:val="24"/>
        </w:rPr>
        <w:t>;</w:t>
      </w:r>
    </w:p>
    <w:p w14:paraId="7078E981" w14:textId="02A9B32D" w:rsidR="00F769AC" w:rsidRPr="00D231F6" w:rsidRDefault="0098718D" w:rsidP="00924C4E">
      <w:pPr>
        <w:pStyle w:val="ListParagraph"/>
        <w:numPr>
          <w:ilvl w:val="0"/>
          <w:numId w:val="45"/>
        </w:numPr>
        <w:autoSpaceDE w:val="0"/>
        <w:autoSpaceDN w:val="0"/>
        <w:adjustRightInd w:val="0"/>
        <w:spacing w:after="0" w:line="240" w:lineRule="auto"/>
        <w:ind w:right="130"/>
        <w:contextualSpacing w:val="0"/>
        <w:jc w:val="both"/>
        <w:rPr>
          <w:rFonts w:ascii="Times New Roman" w:hAnsi="Times New Roman"/>
          <w:sz w:val="24"/>
          <w:szCs w:val="24"/>
        </w:rPr>
      </w:pPr>
      <w:r>
        <w:rPr>
          <w:rFonts w:ascii="Times New Roman" w:hAnsi="Times New Roman"/>
          <w:sz w:val="24"/>
          <w:szCs w:val="24"/>
        </w:rPr>
        <w:t>ņe</w:t>
      </w:r>
      <w:r w:rsidR="00924C4E" w:rsidRPr="00D231F6">
        <w:rPr>
          <w:rFonts w:ascii="Times New Roman" w:hAnsi="Times New Roman"/>
          <w:sz w:val="24"/>
          <w:szCs w:val="24"/>
        </w:rPr>
        <w:t xml:space="preserve">mot vērā, ka faktiskā līdzekļu izņemšana no </w:t>
      </w:r>
      <w:r w:rsidR="00202FA5">
        <w:rPr>
          <w:rFonts w:ascii="Times New Roman" w:hAnsi="Times New Roman"/>
          <w:sz w:val="24"/>
          <w:szCs w:val="24"/>
        </w:rPr>
        <w:t>līdzekļiem neparedzētiem gadījumiem</w:t>
      </w:r>
      <w:r w:rsidR="00924C4E" w:rsidRPr="00D231F6">
        <w:rPr>
          <w:rFonts w:ascii="Times New Roman" w:hAnsi="Times New Roman"/>
          <w:sz w:val="24"/>
          <w:szCs w:val="24"/>
        </w:rPr>
        <w:t xml:space="preserve"> notiek pakāpeniski, atbilstoši nepieciešamībai un ministriju pieprasījumiem, priekšlikums sekot līdzi </w:t>
      </w:r>
      <w:r w:rsidR="00202FA5">
        <w:rPr>
          <w:rFonts w:ascii="Times New Roman" w:hAnsi="Times New Roman"/>
          <w:sz w:val="24"/>
          <w:szCs w:val="24"/>
        </w:rPr>
        <w:t>līdzekļu neparedzētiem gadījumiem</w:t>
      </w:r>
      <w:r w:rsidR="00924C4E" w:rsidRPr="00D231F6">
        <w:rPr>
          <w:rFonts w:ascii="Times New Roman" w:hAnsi="Times New Roman"/>
          <w:sz w:val="24"/>
          <w:szCs w:val="24"/>
        </w:rPr>
        <w:t xml:space="preserve"> faktiskajam atlikumam pēc F</w:t>
      </w:r>
      <w:r w:rsidR="005A21A9">
        <w:rPr>
          <w:rFonts w:ascii="Times New Roman" w:hAnsi="Times New Roman"/>
          <w:sz w:val="24"/>
          <w:szCs w:val="24"/>
        </w:rPr>
        <w:t>inanšu ministrijas</w:t>
      </w:r>
      <w:r w:rsidR="00924C4E" w:rsidRPr="00D231F6">
        <w:rPr>
          <w:rFonts w:ascii="Times New Roman" w:hAnsi="Times New Roman"/>
          <w:sz w:val="24"/>
          <w:szCs w:val="24"/>
        </w:rPr>
        <w:t xml:space="preserve"> rīkojumiem un apropriācijas </w:t>
      </w:r>
      <w:r w:rsidR="00990B96" w:rsidRPr="00D231F6">
        <w:rPr>
          <w:rFonts w:ascii="Times New Roman" w:hAnsi="Times New Roman"/>
          <w:sz w:val="24"/>
          <w:szCs w:val="24"/>
        </w:rPr>
        <w:t>f</w:t>
      </w:r>
      <w:r w:rsidR="00924C4E" w:rsidRPr="00D231F6">
        <w:rPr>
          <w:rFonts w:ascii="Times New Roman" w:hAnsi="Times New Roman"/>
          <w:sz w:val="24"/>
          <w:szCs w:val="24"/>
        </w:rPr>
        <w:t xml:space="preserve">inansējums </w:t>
      </w:r>
      <w:r w:rsidR="005A21A9">
        <w:rPr>
          <w:rFonts w:ascii="Times New Roman" w:hAnsi="Times New Roman"/>
          <w:sz w:val="24"/>
          <w:szCs w:val="24"/>
        </w:rPr>
        <w:t>no līdzekļiem neparedzētiem gadījumiem</w:t>
      </w:r>
      <w:r w:rsidR="00F769AC" w:rsidRPr="00D231F6">
        <w:rPr>
          <w:rFonts w:ascii="Times New Roman" w:hAnsi="Times New Roman"/>
          <w:sz w:val="24"/>
          <w:szCs w:val="24"/>
        </w:rPr>
        <w:t xml:space="preserve"> tiek </w:t>
      </w:r>
      <w:r w:rsidR="00924C4E" w:rsidRPr="00D231F6">
        <w:rPr>
          <w:rFonts w:ascii="Times New Roman" w:hAnsi="Times New Roman"/>
          <w:sz w:val="24"/>
          <w:szCs w:val="24"/>
        </w:rPr>
        <w:t>veikts</w:t>
      </w:r>
      <w:r w:rsidR="00F769AC" w:rsidRPr="00D231F6">
        <w:rPr>
          <w:rFonts w:ascii="Times New Roman" w:hAnsi="Times New Roman"/>
          <w:sz w:val="24"/>
          <w:szCs w:val="24"/>
        </w:rPr>
        <w:t xml:space="preserve"> atbilstoši faktiskajai nepieciešamībai.</w:t>
      </w:r>
    </w:p>
    <w:p w14:paraId="0FAE70E2" w14:textId="2A966681" w:rsidR="00876570" w:rsidRDefault="00CA1464" w:rsidP="00CA1464">
      <w:pPr>
        <w:tabs>
          <w:tab w:val="left" w:pos="2040"/>
        </w:tabs>
        <w:ind w:firstLine="0"/>
        <w:rPr>
          <w:szCs w:val="28"/>
        </w:rPr>
      </w:pPr>
      <w:r>
        <w:rPr>
          <w:szCs w:val="28"/>
        </w:rPr>
        <w:tab/>
      </w:r>
    </w:p>
    <w:p w14:paraId="0840C7FB" w14:textId="77777777" w:rsidR="00971D7B" w:rsidRDefault="00971D7B" w:rsidP="00044AEE">
      <w:pPr>
        <w:spacing w:after="0"/>
        <w:ind w:firstLine="0"/>
        <w:rPr>
          <w:sz w:val="24"/>
          <w:szCs w:val="24"/>
        </w:rPr>
      </w:pPr>
    </w:p>
    <w:p w14:paraId="47096E51" w14:textId="77777777" w:rsidR="00971D7B" w:rsidRDefault="00971D7B" w:rsidP="00044AEE">
      <w:pPr>
        <w:spacing w:after="0"/>
        <w:ind w:firstLine="0"/>
        <w:rPr>
          <w:sz w:val="24"/>
          <w:szCs w:val="24"/>
        </w:rPr>
      </w:pPr>
    </w:p>
    <w:p w14:paraId="43168024" w14:textId="77777777" w:rsidR="00971D7B" w:rsidRDefault="00971D7B" w:rsidP="00044AEE">
      <w:pPr>
        <w:spacing w:after="0"/>
        <w:ind w:firstLine="0"/>
        <w:rPr>
          <w:sz w:val="24"/>
          <w:szCs w:val="24"/>
        </w:rPr>
      </w:pPr>
    </w:p>
    <w:p w14:paraId="6A297FCD" w14:textId="01520856" w:rsidR="00CA1464" w:rsidRPr="00BA7AAF" w:rsidRDefault="00CA1464" w:rsidP="00044AEE">
      <w:pPr>
        <w:spacing w:after="0"/>
        <w:ind w:firstLine="0"/>
        <w:rPr>
          <w:sz w:val="24"/>
          <w:szCs w:val="24"/>
        </w:rPr>
      </w:pPr>
      <w:r w:rsidRPr="00BA7AAF">
        <w:rPr>
          <w:sz w:val="24"/>
          <w:szCs w:val="24"/>
        </w:rPr>
        <w:t xml:space="preserve">Finanšu ministra </w:t>
      </w:r>
      <w:proofErr w:type="spellStart"/>
      <w:r w:rsidRPr="00BA7AAF">
        <w:rPr>
          <w:sz w:val="24"/>
          <w:szCs w:val="24"/>
        </w:rPr>
        <w:t>p.i</w:t>
      </w:r>
      <w:proofErr w:type="spellEnd"/>
      <w:r w:rsidRPr="00BA7AAF">
        <w:rPr>
          <w:sz w:val="24"/>
          <w:szCs w:val="24"/>
        </w:rPr>
        <w:t>.</w:t>
      </w:r>
    </w:p>
    <w:p w14:paraId="0D6D1D78" w14:textId="77777777" w:rsidR="00407E53" w:rsidRDefault="00407E53" w:rsidP="00044AEE">
      <w:pPr>
        <w:spacing w:after="0"/>
        <w:ind w:firstLine="0"/>
        <w:rPr>
          <w:sz w:val="24"/>
          <w:szCs w:val="24"/>
        </w:rPr>
      </w:pPr>
      <w:r>
        <w:rPr>
          <w:sz w:val="24"/>
          <w:szCs w:val="24"/>
        </w:rPr>
        <w:t xml:space="preserve">Ministru prezidenta biedrs, </w:t>
      </w:r>
    </w:p>
    <w:p w14:paraId="4AD0DBD2" w14:textId="0B423CA6" w:rsidR="00044AEE" w:rsidRDefault="00407E53" w:rsidP="00044AEE">
      <w:pPr>
        <w:spacing w:after="0"/>
        <w:ind w:firstLine="0"/>
        <w:rPr>
          <w:sz w:val="24"/>
          <w:szCs w:val="24"/>
        </w:rPr>
      </w:pPr>
      <w:r>
        <w:rPr>
          <w:sz w:val="24"/>
          <w:szCs w:val="24"/>
        </w:rPr>
        <w:t>aizsardzības</w:t>
      </w:r>
      <w:r w:rsidR="00CA1464" w:rsidRPr="00BA7AAF">
        <w:rPr>
          <w:sz w:val="24"/>
          <w:szCs w:val="24"/>
        </w:rPr>
        <w:t xml:space="preserve"> ministrs</w:t>
      </w:r>
      <w:r w:rsidR="00726B34" w:rsidRPr="00BA7AAF">
        <w:rPr>
          <w:sz w:val="24"/>
          <w:szCs w:val="24"/>
        </w:rPr>
        <w:tab/>
      </w:r>
      <w:r w:rsidR="00726B34" w:rsidRPr="00BA7AAF">
        <w:rPr>
          <w:sz w:val="24"/>
          <w:szCs w:val="24"/>
        </w:rPr>
        <w:tab/>
      </w:r>
      <w:r w:rsidR="00726B34" w:rsidRPr="00BA7AAF">
        <w:rPr>
          <w:sz w:val="24"/>
          <w:szCs w:val="24"/>
        </w:rPr>
        <w:tab/>
      </w:r>
      <w:r w:rsidR="00726B34" w:rsidRPr="00BA7AAF">
        <w:rPr>
          <w:sz w:val="24"/>
          <w:szCs w:val="24"/>
        </w:rPr>
        <w:tab/>
      </w:r>
      <w:r w:rsidR="00726B34" w:rsidRPr="00BA7AAF">
        <w:rPr>
          <w:sz w:val="24"/>
          <w:szCs w:val="24"/>
        </w:rPr>
        <w:tab/>
      </w:r>
      <w:r w:rsidR="00726B34" w:rsidRPr="00BA7AAF">
        <w:rPr>
          <w:sz w:val="24"/>
          <w:szCs w:val="24"/>
        </w:rPr>
        <w:tab/>
      </w:r>
      <w:r w:rsidR="00726B34" w:rsidRPr="00BA7AAF">
        <w:rPr>
          <w:sz w:val="24"/>
          <w:szCs w:val="24"/>
        </w:rPr>
        <w:tab/>
      </w:r>
      <w:r w:rsidR="00726B34" w:rsidRPr="00BA7AAF">
        <w:rPr>
          <w:sz w:val="24"/>
          <w:szCs w:val="24"/>
        </w:rPr>
        <w:tab/>
      </w:r>
      <w:r>
        <w:rPr>
          <w:sz w:val="24"/>
          <w:szCs w:val="24"/>
        </w:rPr>
        <w:t>A. Pabriks</w:t>
      </w:r>
    </w:p>
    <w:p w14:paraId="117584A3" w14:textId="77777777" w:rsidR="00044AEE" w:rsidRPr="00044AEE" w:rsidRDefault="00044AEE" w:rsidP="00044AEE">
      <w:pPr>
        <w:rPr>
          <w:sz w:val="24"/>
          <w:szCs w:val="24"/>
        </w:rPr>
      </w:pPr>
    </w:p>
    <w:p w14:paraId="23938029" w14:textId="7FA969FB" w:rsidR="00044AEE" w:rsidRPr="00044AEE" w:rsidRDefault="00044AEE" w:rsidP="00044AEE">
      <w:pPr>
        <w:spacing w:after="0"/>
        <w:rPr>
          <w:sz w:val="20"/>
        </w:rPr>
      </w:pPr>
    </w:p>
    <w:p w14:paraId="5D403018" w14:textId="77777777" w:rsidR="00202FA5" w:rsidRDefault="00202FA5" w:rsidP="00044AEE">
      <w:pPr>
        <w:tabs>
          <w:tab w:val="left" w:pos="1147"/>
        </w:tabs>
        <w:spacing w:after="0"/>
        <w:ind w:firstLine="0"/>
        <w:rPr>
          <w:sz w:val="20"/>
        </w:rPr>
      </w:pPr>
    </w:p>
    <w:p w14:paraId="459F92F0" w14:textId="47E4E081" w:rsidR="00202FA5" w:rsidRDefault="00202FA5" w:rsidP="00044AEE">
      <w:pPr>
        <w:tabs>
          <w:tab w:val="left" w:pos="1147"/>
        </w:tabs>
        <w:spacing w:after="0"/>
        <w:ind w:firstLine="0"/>
        <w:rPr>
          <w:sz w:val="20"/>
        </w:rPr>
      </w:pPr>
    </w:p>
    <w:p w14:paraId="32857DB2" w14:textId="16E592A7" w:rsidR="0045178C" w:rsidRDefault="0045178C" w:rsidP="00044AEE">
      <w:pPr>
        <w:tabs>
          <w:tab w:val="left" w:pos="1147"/>
        </w:tabs>
        <w:spacing w:after="0"/>
        <w:ind w:firstLine="0"/>
        <w:rPr>
          <w:sz w:val="20"/>
        </w:rPr>
      </w:pPr>
    </w:p>
    <w:p w14:paraId="0037C246" w14:textId="77777777" w:rsidR="0045178C" w:rsidRDefault="0045178C" w:rsidP="00044AEE">
      <w:pPr>
        <w:tabs>
          <w:tab w:val="left" w:pos="1147"/>
        </w:tabs>
        <w:spacing w:after="0"/>
        <w:ind w:firstLine="0"/>
        <w:rPr>
          <w:sz w:val="20"/>
        </w:rPr>
      </w:pPr>
    </w:p>
    <w:p w14:paraId="43FFA146" w14:textId="77777777" w:rsidR="00202FA5" w:rsidRDefault="00202FA5" w:rsidP="00044AEE">
      <w:pPr>
        <w:tabs>
          <w:tab w:val="left" w:pos="1147"/>
        </w:tabs>
        <w:spacing w:after="0"/>
        <w:ind w:firstLine="0"/>
        <w:rPr>
          <w:sz w:val="20"/>
        </w:rPr>
      </w:pPr>
    </w:p>
    <w:p w14:paraId="2153C8FB" w14:textId="4DE0CC04" w:rsidR="00726B34" w:rsidRPr="00044AEE" w:rsidRDefault="00044AEE" w:rsidP="00044AEE">
      <w:pPr>
        <w:tabs>
          <w:tab w:val="left" w:pos="1147"/>
        </w:tabs>
        <w:spacing w:after="0"/>
        <w:ind w:firstLine="0"/>
        <w:rPr>
          <w:sz w:val="20"/>
        </w:rPr>
      </w:pPr>
      <w:r w:rsidRPr="00044AEE">
        <w:rPr>
          <w:sz w:val="20"/>
        </w:rPr>
        <w:t>Adijāne, 67095437</w:t>
      </w:r>
    </w:p>
    <w:p w14:paraId="40190576" w14:textId="5A2C0935" w:rsidR="00044AEE" w:rsidRDefault="0045178C" w:rsidP="00044AEE">
      <w:pPr>
        <w:tabs>
          <w:tab w:val="left" w:pos="1147"/>
        </w:tabs>
        <w:spacing w:after="0"/>
        <w:ind w:firstLine="0"/>
        <w:rPr>
          <w:sz w:val="20"/>
        </w:rPr>
      </w:pPr>
      <w:hyperlink r:id="rId13" w:history="1">
        <w:r w:rsidRPr="001B1F48">
          <w:rPr>
            <w:rStyle w:val="Hyperlink"/>
            <w:sz w:val="20"/>
          </w:rPr>
          <w:t>Zane.Adijane@fm.gov.lv</w:t>
        </w:r>
      </w:hyperlink>
    </w:p>
    <w:p w14:paraId="5C8A5D4F" w14:textId="77777777" w:rsidR="00A023AF" w:rsidRDefault="00A023AF" w:rsidP="00A023AF">
      <w:pPr>
        <w:tabs>
          <w:tab w:val="left" w:pos="1147"/>
        </w:tabs>
        <w:spacing w:after="0"/>
        <w:ind w:firstLine="0"/>
        <w:rPr>
          <w:sz w:val="20"/>
        </w:rPr>
      </w:pPr>
      <w:r>
        <w:rPr>
          <w:sz w:val="20"/>
        </w:rPr>
        <w:t>Vēja, 67095543</w:t>
      </w:r>
    </w:p>
    <w:p w14:paraId="432A7CFC" w14:textId="111B6CDA" w:rsidR="00A023AF" w:rsidRPr="00044AEE" w:rsidRDefault="00666F21" w:rsidP="00A023AF">
      <w:pPr>
        <w:tabs>
          <w:tab w:val="left" w:pos="1147"/>
        </w:tabs>
        <w:spacing w:after="0"/>
        <w:ind w:firstLine="0"/>
        <w:rPr>
          <w:sz w:val="20"/>
        </w:rPr>
      </w:pPr>
      <w:r>
        <w:rPr>
          <w:sz w:val="20"/>
        </w:rPr>
        <w:t>ieva.v</w:t>
      </w:r>
      <w:r w:rsidR="00A023AF">
        <w:rPr>
          <w:sz w:val="20"/>
        </w:rPr>
        <w:t>eja@fm.gov.lv</w:t>
      </w:r>
    </w:p>
    <w:p w14:paraId="06E2E029" w14:textId="6CAF59BD" w:rsidR="0045178C" w:rsidRDefault="0045178C" w:rsidP="00044AEE">
      <w:pPr>
        <w:tabs>
          <w:tab w:val="left" w:pos="1147"/>
        </w:tabs>
        <w:spacing w:after="0"/>
        <w:ind w:firstLine="0"/>
        <w:rPr>
          <w:sz w:val="20"/>
        </w:rPr>
      </w:pPr>
      <w:proofErr w:type="spellStart"/>
      <w:r>
        <w:rPr>
          <w:sz w:val="20"/>
        </w:rPr>
        <w:t>Jalovecka</w:t>
      </w:r>
      <w:proofErr w:type="spellEnd"/>
      <w:r>
        <w:rPr>
          <w:sz w:val="20"/>
        </w:rPr>
        <w:t>, 67094241</w:t>
      </w:r>
      <w:bookmarkStart w:id="0" w:name="_GoBack"/>
      <w:bookmarkEnd w:id="0"/>
    </w:p>
    <w:p w14:paraId="7F3753C5" w14:textId="7E26748A" w:rsidR="0045178C" w:rsidRDefault="0045178C" w:rsidP="00044AEE">
      <w:pPr>
        <w:tabs>
          <w:tab w:val="left" w:pos="1147"/>
        </w:tabs>
        <w:spacing w:after="0"/>
        <w:ind w:firstLine="0"/>
        <w:rPr>
          <w:sz w:val="20"/>
        </w:rPr>
      </w:pPr>
      <w:hyperlink r:id="rId14" w:history="1">
        <w:r w:rsidRPr="001B1F48">
          <w:rPr>
            <w:rStyle w:val="Hyperlink"/>
            <w:sz w:val="20"/>
          </w:rPr>
          <w:t>Jevgenija.Jalovecka@kase.gov.lv</w:t>
        </w:r>
      </w:hyperlink>
    </w:p>
    <w:sectPr w:rsidR="0045178C" w:rsidSect="00BE5C91">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203F" w14:textId="77777777" w:rsidR="00507282" w:rsidRDefault="00507282" w:rsidP="00010A20">
      <w:r>
        <w:separator/>
      </w:r>
    </w:p>
  </w:endnote>
  <w:endnote w:type="continuationSeparator" w:id="0">
    <w:p w14:paraId="4869E2D5" w14:textId="77777777" w:rsidR="00507282" w:rsidRDefault="00507282"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A48A" w14:textId="7F8B037B" w:rsidR="00507282" w:rsidRPr="00782533" w:rsidRDefault="00507282" w:rsidP="00FC0A8E">
    <w:pPr>
      <w:ind w:firstLine="0"/>
      <w:rPr>
        <w:sz w:val="20"/>
      </w:rPr>
    </w:pPr>
    <w:r w:rsidRPr="00782533">
      <w:rPr>
        <w:sz w:val="20"/>
      </w:rPr>
      <w:fldChar w:fldCharType="begin"/>
    </w:r>
    <w:r w:rsidRPr="00782533">
      <w:rPr>
        <w:sz w:val="20"/>
      </w:rPr>
      <w:instrText xml:space="preserve"> FILENAME   \* MERGEFORMAT </w:instrText>
    </w:r>
    <w:r w:rsidRPr="00782533">
      <w:rPr>
        <w:sz w:val="20"/>
      </w:rPr>
      <w:fldChar w:fldCharType="separate"/>
    </w:r>
    <w:r w:rsidR="001D0668">
      <w:rPr>
        <w:noProof/>
        <w:sz w:val="20"/>
      </w:rPr>
      <w:t>FMZin_220221_LNG_resursi</w:t>
    </w:r>
    <w:r w:rsidRPr="00782533">
      <w:rPr>
        <w:noProof/>
        <w:sz w:val="20"/>
      </w:rPr>
      <w:fldChar w:fldCharType="end"/>
    </w:r>
  </w:p>
  <w:p w14:paraId="6654EC17" w14:textId="77777777" w:rsidR="00507282" w:rsidRPr="00782533" w:rsidRDefault="00507282"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083E" w14:textId="35452691" w:rsidR="00507282" w:rsidRPr="006D3D10" w:rsidRDefault="00507282"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1D0668">
      <w:rPr>
        <w:noProof/>
        <w:sz w:val="20"/>
      </w:rPr>
      <w:t>FMZin_220221_LNG_resursi</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B847" w14:textId="77777777" w:rsidR="00507282" w:rsidRDefault="00507282" w:rsidP="00485A13">
      <w:pPr>
        <w:spacing w:after="0"/>
        <w:ind w:firstLine="0"/>
      </w:pPr>
      <w:r>
        <w:separator/>
      </w:r>
    </w:p>
  </w:footnote>
  <w:footnote w:type="continuationSeparator" w:id="0">
    <w:p w14:paraId="04CA8887" w14:textId="77777777" w:rsidR="00507282" w:rsidRDefault="00507282" w:rsidP="000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8086" w14:textId="77777777" w:rsidR="00507282" w:rsidRDefault="005072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1D253C5" w14:textId="77777777" w:rsidR="00507282" w:rsidRDefault="00507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D955" w14:textId="4A8C1DCE" w:rsidR="00507282" w:rsidRDefault="00507282">
    <w:pPr>
      <w:pStyle w:val="Header"/>
      <w:jc w:val="center"/>
    </w:pPr>
    <w:r>
      <w:fldChar w:fldCharType="begin"/>
    </w:r>
    <w:r>
      <w:instrText xml:space="preserve"> PAGE   \* MERGEFORMAT </w:instrText>
    </w:r>
    <w:r>
      <w:fldChar w:fldCharType="separate"/>
    </w:r>
    <w:r w:rsidR="00666F21">
      <w:rPr>
        <w:noProof/>
      </w:rPr>
      <w:t>9</w:t>
    </w:r>
    <w:r>
      <w:rPr>
        <w:noProof/>
      </w:rPr>
      <w:fldChar w:fldCharType="end"/>
    </w:r>
  </w:p>
  <w:p w14:paraId="0FD473D0" w14:textId="77777777" w:rsidR="00507282" w:rsidRDefault="00507282"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B456E1"/>
    <w:multiLevelType w:val="hybridMultilevel"/>
    <w:tmpl w:val="63AC2768"/>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 w15:restartNumberingAfterBreak="0">
    <w:nsid w:val="0C321E6E"/>
    <w:multiLevelType w:val="hybridMultilevel"/>
    <w:tmpl w:val="131C97EA"/>
    <w:lvl w:ilvl="0" w:tplc="04260003">
      <w:start w:val="1"/>
      <w:numFmt w:val="bullet"/>
      <w:lvlText w:val="o"/>
      <w:lvlJc w:val="left"/>
      <w:pPr>
        <w:ind w:left="1797" w:hanging="360"/>
      </w:pPr>
      <w:rPr>
        <w:rFonts w:ascii="Courier New" w:hAnsi="Courier New" w:cs="Courier New"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3" w15:restartNumberingAfterBreak="0">
    <w:nsid w:val="0D2D3529"/>
    <w:multiLevelType w:val="hybridMultilevel"/>
    <w:tmpl w:val="510CC1E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F40CEA"/>
    <w:multiLevelType w:val="hybridMultilevel"/>
    <w:tmpl w:val="40B4C1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8F1B47"/>
    <w:multiLevelType w:val="hybridMultilevel"/>
    <w:tmpl w:val="95E26758"/>
    <w:lvl w:ilvl="0" w:tplc="0426000B">
      <w:start w:val="1"/>
      <w:numFmt w:val="bullet"/>
      <w:lvlText w:val=""/>
      <w:lvlJc w:val="left"/>
      <w:pPr>
        <w:ind w:left="1146" w:hanging="720"/>
      </w:pPr>
      <w:rPr>
        <w:rFonts w:ascii="Wingdings" w:hAnsi="Wingding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1F241F"/>
    <w:multiLevelType w:val="hybridMultilevel"/>
    <w:tmpl w:val="CA0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1B57"/>
    <w:multiLevelType w:val="hybridMultilevel"/>
    <w:tmpl w:val="227E9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4B0D9C"/>
    <w:multiLevelType w:val="hybridMultilevel"/>
    <w:tmpl w:val="703885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72085D"/>
    <w:multiLevelType w:val="multilevel"/>
    <w:tmpl w:val="23DC206E"/>
    <w:lvl w:ilvl="0">
      <w:start w:val="1"/>
      <w:numFmt w:val="decimal"/>
      <w:lvlText w:val="%1."/>
      <w:lvlJc w:val="left"/>
      <w:pPr>
        <w:ind w:left="360" w:hanging="360"/>
      </w:pPr>
      <w:rPr>
        <w:rFonts w:asciiTheme="minorHAnsi" w:hAnsiTheme="minorHAnsi" w:cstheme="minorHAnsi" w:hint="default"/>
        <w:b w:val="0"/>
        <w:i w:val="0"/>
        <w:color w:val="auto"/>
        <w:sz w:val="20"/>
        <w:vertAlign w:val="baseline"/>
      </w:rPr>
    </w:lvl>
    <w:lvl w:ilvl="1">
      <w:start w:val="1"/>
      <w:numFmt w:val="decimal"/>
      <w:lvlText w:val="%1.%2."/>
      <w:lvlJc w:val="left"/>
      <w:pPr>
        <w:ind w:left="1142" w:hanging="432"/>
      </w:pPr>
      <w:rPr>
        <w:b w:val="0"/>
        <w:i w:val="0"/>
        <w:sz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E5FE8"/>
    <w:multiLevelType w:val="hybridMultilevel"/>
    <w:tmpl w:val="DE4CB6F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E13982"/>
    <w:multiLevelType w:val="hybridMultilevel"/>
    <w:tmpl w:val="898C6822"/>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730158E"/>
    <w:multiLevelType w:val="hybridMultilevel"/>
    <w:tmpl w:val="56509F1A"/>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690CF4"/>
    <w:multiLevelType w:val="hybridMultilevel"/>
    <w:tmpl w:val="194495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4" w15:restartNumberingAfterBreak="0">
    <w:nsid w:val="2B80787A"/>
    <w:multiLevelType w:val="hybridMultilevel"/>
    <w:tmpl w:val="51D26C68"/>
    <w:lvl w:ilvl="0" w:tplc="04260001">
      <w:start w:val="1"/>
      <w:numFmt w:val="bullet"/>
      <w:lvlText w:val=""/>
      <w:lvlJc w:val="left"/>
      <w:pPr>
        <w:ind w:left="2007" w:hanging="360"/>
      </w:pPr>
      <w:rPr>
        <w:rFonts w:ascii="Symbol" w:hAnsi="Symbol"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15" w15:restartNumberingAfterBreak="0">
    <w:nsid w:val="2BD6731D"/>
    <w:multiLevelType w:val="hybridMultilevel"/>
    <w:tmpl w:val="C5E8F8E8"/>
    <w:lvl w:ilvl="0" w:tplc="04090003">
      <w:start w:val="1"/>
      <w:numFmt w:val="bullet"/>
      <w:lvlText w:val="o"/>
      <w:lvlJc w:val="left"/>
      <w:pPr>
        <w:ind w:left="843" w:hanging="360"/>
      </w:pPr>
      <w:rPr>
        <w:rFonts w:ascii="Courier New" w:hAnsi="Courier New" w:cs="Courier New"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6" w15:restartNumberingAfterBreak="0">
    <w:nsid w:val="327207B9"/>
    <w:multiLevelType w:val="hybridMultilevel"/>
    <w:tmpl w:val="4DE23098"/>
    <w:lvl w:ilvl="0" w:tplc="768C659A">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32D3766E"/>
    <w:multiLevelType w:val="hybridMultilevel"/>
    <w:tmpl w:val="7576D3A2"/>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DE19FB"/>
    <w:multiLevelType w:val="hybridMultilevel"/>
    <w:tmpl w:val="CC1A74C0"/>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33E22EAF"/>
    <w:multiLevelType w:val="hybridMultilevel"/>
    <w:tmpl w:val="358C96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26477A"/>
    <w:multiLevelType w:val="hybridMultilevel"/>
    <w:tmpl w:val="B734E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C27B74"/>
    <w:multiLevelType w:val="multilevel"/>
    <w:tmpl w:val="12EE9058"/>
    <w:lvl w:ilvl="0">
      <w:start w:val="1"/>
      <w:numFmt w:val="decimal"/>
      <w:lvlText w:val="%1."/>
      <w:lvlJc w:val="left"/>
      <w:pPr>
        <w:ind w:left="720" w:hanging="363"/>
      </w:pPr>
      <w:rPr>
        <w:rFonts w:hint="default"/>
        <w:color w:val="auto"/>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39972827"/>
    <w:multiLevelType w:val="hybridMultilevel"/>
    <w:tmpl w:val="C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26A64"/>
    <w:multiLevelType w:val="hybridMultilevel"/>
    <w:tmpl w:val="91B07ABE"/>
    <w:lvl w:ilvl="0" w:tplc="5A8C1CDA">
      <w:start w:val="1"/>
      <w:numFmt w:val="bullet"/>
      <w:lvlText w:val="-"/>
      <w:lvlJc w:val="left"/>
      <w:pPr>
        <w:tabs>
          <w:tab w:val="num" w:pos="720"/>
        </w:tabs>
        <w:ind w:left="720" w:hanging="360"/>
      </w:pPr>
      <w:rPr>
        <w:rFonts w:ascii="Times New Roman" w:hAnsi="Times New Roman" w:hint="default"/>
      </w:rPr>
    </w:lvl>
    <w:lvl w:ilvl="1" w:tplc="42787B96" w:tentative="1">
      <w:start w:val="1"/>
      <w:numFmt w:val="bullet"/>
      <w:lvlText w:val="-"/>
      <w:lvlJc w:val="left"/>
      <w:pPr>
        <w:tabs>
          <w:tab w:val="num" w:pos="1440"/>
        </w:tabs>
        <w:ind w:left="1440" w:hanging="360"/>
      </w:pPr>
      <w:rPr>
        <w:rFonts w:ascii="Times New Roman" w:hAnsi="Times New Roman" w:hint="default"/>
      </w:rPr>
    </w:lvl>
    <w:lvl w:ilvl="2" w:tplc="8B0EFCC0" w:tentative="1">
      <w:start w:val="1"/>
      <w:numFmt w:val="bullet"/>
      <w:lvlText w:val="-"/>
      <w:lvlJc w:val="left"/>
      <w:pPr>
        <w:tabs>
          <w:tab w:val="num" w:pos="2160"/>
        </w:tabs>
        <w:ind w:left="2160" w:hanging="360"/>
      </w:pPr>
      <w:rPr>
        <w:rFonts w:ascii="Times New Roman" w:hAnsi="Times New Roman" w:hint="default"/>
      </w:rPr>
    </w:lvl>
    <w:lvl w:ilvl="3" w:tplc="F9421F46" w:tentative="1">
      <w:start w:val="1"/>
      <w:numFmt w:val="bullet"/>
      <w:lvlText w:val="-"/>
      <w:lvlJc w:val="left"/>
      <w:pPr>
        <w:tabs>
          <w:tab w:val="num" w:pos="2880"/>
        </w:tabs>
        <w:ind w:left="2880" w:hanging="360"/>
      </w:pPr>
      <w:rPr>
        <w:rFonts w:ascii="Times New Roman" w:hAnsi="Times New Roman" w:hint="default"/>
      </w:rPr>
    </w:lvl>
    <w:lvl w:ilvl="4" w:tplc="05943AEE" w:tentative="1">
      <w:start w:val="1"/>
      <w:numFmt w:val="bullet"/>
      <w:lvlText w:val="-"/>
      <w:lvlJc w:val="left"/>
      <w:pPr>
        <w:tabs>
          <w:tab w:val="num" w:pos="3600"/>
        </w:tabs>
        <w:ind w:left="3600" w:hanging="360"/>
      </w:pPr>
      <w:rPr>
        <w:rFonts w:ascii="Times New Roman" w:hAnsi="Times New Roman" w:hint="default"/>
      </w:rPr>
    </w:lvl>
    <w:lvl w:ilvl="5" w:tplc="4F5854C6" w:tentative="1">
      <w:start w:val="1"/>
      <w:numFmt w:val="bullet"/>
      <w:lvlText w:val="-"/>
      <w:lvlJc w:val="left"/>
      <w:pPr>
        <w:tabs>
          <w:tab w:val="num" w:pos="4320"/>
        </w:tabs>
        <w:ind w:left="4320" w:hanging="360"/>
      </w:pPr>
      <w:rPr>
        <w:rFonts w:ascii="Times New Roman" w:hAnsi="Times New Roman" w:hint="default"/>
      </w:rPr>
    </w:lvl>
    <w:lvl w:ilvl="6" w:tplc="C142AA7C" w:tentative="1">
      <w:start w:val="1"/>
      <w:numFmt w:val="bullet"/>
      <w:lvlText w:val="-"/>
      <w:lvlJc w:val="left"/>
      <w:pPr>
        <w:tabs>
          <w:tab w:val="num" w:pos="5040"/>
        </w:tabs>
        <w:ind w:left="5040" w:hanging="360"/>
      </w:pPr>
      <w:rPr>
        <w:rFonts w:ascii="Times New Roman" w:hAnsi="Times New Roman" w:hint="default"/>
      </w:rPr>
    </w:lvl>
    <w:lvl w:ilvl="7" w:tplc="E8C46EFC" w:tentative="1">
      <w:start w:val="1"/>
      <w:numFmt w:val="bullet"/>
      <w:lvlText w:val="-"/>
      <w:lvlJc w:val="left"/>
      <w:pPr>
        <w:tabs>
          <w:tab w:val="num" w:pos="5760"/>
        </w:tabs>
        <w:ind w:left="5760" w:hanging="360"/>
      </w:pPr>
      <w:rPr>
        <w:rFonts w:ascii="Times New Roman" w:hAnsi="Times New Roman" w:hint="default"/>
      </w:rPr>
    </w:lvl>
    <w:lvl w:ilvl="8" w:tplc="39920AB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C4226D"/>
    <w:multiLevelType w:val="hybridMultilevel"/>
    <w:tmpl w:val="A1781A7C"/>
    <w:lvl w:ilvl="0" w:tplc="04260003">
      <w:start w:val="1"/>
      <w:numFmt w:val="bullet"/>
      <w:lvlText w:val="o"/>
      <w:lvlJc w:val="left"/>
      <w:pPr>
        <w:ind w:left="1429" w:hanging="360"/>
      </w:pPr>
      <w:rPr>
        <w:rFonts w:ascii="Courier New" w:hAnsi="Courier New" w:cs="Courier New"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3F8F1F62"/>
    <w:multiLevelType w:val="hybridMultilevel"/>
    <w:tmpl w:val="5D62E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45143E"/>
    <w:multiLevelType w:val="hybridMultilevel"/>
    <w:tmpl w:val="6BF6422E"/>
    <w:lvl w:ilvl="0" w:tplc="2FAC4D38">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B276793"/>
    <w:multiLevelType w:val="multilevel"/>
    <w:tmpl w:val="1D18A7DC"/>
    <w:lvl w:ilvl="0">
      <w:start w:val="1"/>
      <w:numFmt w:val="bullet"/>
      <w:lvlText w:val=""/>
      <w:lvlJc w:val="left"/>
      <w:pPr>
        <w:ind w:left="720" w:hanging="720"/>
      </w:pPr>
      <w:rPr>
        <w:rFonts w:ascii="Symbol" w:hAnsi="Symbo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50656E"/>
    <w:multiLevelType w:val="hybridMultilevel"/>
    <w:tmpl w:val="CCCC516E"/>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FF051D"/>
    <w:multiLevelType w:val="hybridMultilevel"/>
    <w:tmpl w:val="D4A685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9B3C7B"/>
    <w:multiLevelType w:val="hybridMultilevel"/>
    <w:tmpl w:val="015ED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530F2C"/>
    <w:multiLevelType w:val="hybridMultilevel"/>
    <w:tmpl w:val="84F0771C"/>
    <w:lvl w:ilvl="0" w:tplc="04260001">
      <w:start w:val="1"/>
      <w:numFmt w:val="bullet"/>
      <w:lvlText w:val=""/>
      <w:lvlJc w:val="left"/>
      <w:pPr>
        <w:tabs>
          <w:tab w:val="num" w:pos="720"/>
        </w:tabs>
        <w:ind w:left="720" w:hanging="360"/>
      </w:pPr>
      <w:rPr>
        <w:rFonts w:ascii="Symbol" w:hAnsi="Symbol" w:hint="default"/>
      </w:rPr>
    </w:lvl>
    <w:lvl w:ilvl="1" w:tplc="CD469A48" w:tentative="1">
      <w:start w:val="1"/>
      <w:numFmt w:val="bullet"/>
      <w:lvlText w:val="•"/>
      <w:lvlJc w:val="left"/>
      <w:pPr>
        <w:tabs>
          <w:tab w:val="num" w:pos="1440"/>
        </w:tabs>
        <w:ind w:left="1440" w:hanging="360"/>
      </w:pPr>
      <w:rPr>
        <w:rFonts w:ascii="Times New Roman" w:hAnsi="Times New Roman" w:hint="default"/>
      </w:rPr>
    </w:lvl>
    <w:lvl w:ilvl="2" w:tplc="336C2516" w:tentative="1">
      <w:start w:val="1"/>
      <w:numFmt w:val="bullet"/>
      <w:lvlText w:val="•"/>
      <w:lvlJc w:val="left"/>
      <w:pPr>
        <w:tabs>
          <w:tab w:val="num" w:pos="2160"/>
        </w:tabs>
        <w:ind w:left="2160" w:hanging="360"/>
      </w:pPr>
      <w:rPr>
        <w:rFonts w:ascii="Times New Roman" w:hAnsi="Times New Roman" w:hint="default"/>
      </w:rPr>
    </w:lvl>
    <w:lvl w:ilvl="3" w:tplc="0AD27C6E" w:tentative="1">
      <w:start w:val="1"/>
      <w:numFmt w:val="bullet"/>
      <w:lvlText w:val="•"/>
      <w:lvlJc w:val="left"/>
      <w:pPr>
        <w:tabs>
          <w:tab w:val="num" w:pos="2880"/>
        </w:tabs>
        <w:ind w:left="2880" w:hanging="360"/>
      </w:pPr>
      <w:rPr>
        <w:rFonts w:ascii="Times New Roman" w:hAnsi="Times New Roman" w:hint="default"/>
      </w:rPr>
    </w:lvl>
    <w:lvl w:ilvl="4" w:tplc="0CA68838" w:tentative="1">
      <w:start w:val="1"/>
      <w:numFmt w:val="bullet"/>
      <w:lvlText w:val="•"/>
      <w:lvlJc w:val="left"/>
      <w:pPr>
        <w:tabs>
          <w:tab w:val="num" w:pos="3600"/>
        </w:tabs>
        <w:ind w:left="3600" w:hanging="360"/>
      </w:pPr>
      <w:rPr>
        <w:rFonts w:ascii="Times New Roman" w:hAnsi="Times New Roman" w:hint="default"/>
      </w:rPr>
    </w:lvl>
    <w:lvl w:ilvl="5" w:tplc="68E0D8B6" w:tentative="1">
      <w:start w:val="1"/>
      <w:numFmt w:val="bullet"/>
      <w:lvlText w:val="•"/>
      <w:lvlJc w:val="left"/>
      <w:pPr>
        <w:tabs>
          <w:tab w:val="num" w:pos="4320"/>
        </w:tabs>
        <w:ind w:left="4320" w:hanging="360"/>
      </w:pPr>
      <w:rPr>
        <w:rFonts w:ascii="Times New Roman" w:hAnsi="Times New Roman" w:hint="default"/>
      </w:rPr>
    </w:lvl>
    <w:lvl w:ilvl="6" w:tplc="4F92ECDE" w:tentative="1">
      <w:start w:val="1"/>
      <w:numFmt w:val="bullet"/>
      <w:lvlText w:val="•"/>
      <w:lvlJc w:val="left"/>
      <w:pPr>
        <w:tabs>
          <w:tab w:val="num" w:pos="5040"/>
        </w:tabs>
        <w:ind w:left="5040" w:hanging="360"/>
      </w:pPr>
      <w:rPr>
        <w:rFonts w:ascii="Times New Roman" w:hAnsi="Times New Roman" w:hint="default"/>
      </w:rPr>
    </w:lvl>
    <w:lvl w:ilvl="7" w:tplc="98128A12" w:tentative="1">
      <w:start w:val="1"/>
      <w:numFmt w:val="bullet"/>
      <w:lvlText w:val="•"/>
      <w:lvlJc w:val="left"/>
      <w:pPr>
        <w:tabs>
          <w:tab w:val="num" w:pos="5760"/>
        </w:tabs>
        <w:ind w:left="5760" w:hanging="360"/>
      </w:pPr>
      <w:rPr>
        <w:rFonts w:ascii="Times New Roman" w:hAnsi="Times New Roman" w:hint="default"/>
      </w:rPr>
    </w:lvl>
    <w:lvl w:ilvl="8" w:tplc="6254A68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D67284"/>
    <w:multiLevelType w:val="hybridMultilevel"/>
    <w:tmpl w:val="08C2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D71E2C"/>
    <w:multiLevelType w:val="hybridMultilevel"/>
    <w:tmpl w:val="075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6" w15:restartNumberingAfterBreak="0">
    <w:nsid w:val="6A80099F"/>
    <w:multiLevelType w:val="hybridMultilevel"/>
    <w:tmpl w:val="ADB0A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A7C2C"/>
    <w:multiLevelType w:val="hybridMultilevel"/>
    <w:tmpl w:val="F8186A2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6C6955F2"/>
    <w:multiLevelType w:val="hybridMultilevel"/>
    <w:tmpl w:val="DAAA5F9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6C7474A1"/>
    <w:multiLevelType w:val="hybridMultilevel"/>
    <w:tmpl w:val="436E3A3E"/>
    <w:lvl w:ilvl="0" w:tplc="04090003">
      <w:start w:val="1"/>
      <w:numFmt w:val="bullet"/>
      <w:lvlText w:val="o"/>
      <w:lvlJc w:val="left"/>
      <w:pPr>
        <w:ind w:left="1531" w:hanging="360"/>
      </w:pPr>
      <w:rPr>
        <w:rFonts w:ascii="Courier New" w:hAnsi="Courier New" w:cs="Courier New"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40" w15:restartNumberingAfterBreak="0">
    <w:nsid w:val="717D2003"/>
    <w:multiLevelType w:val="hybridMultilevel"/>
    <w:tmpl w:val="9AF2A964"/>
    <w:lvl w:ilvl="0" w:tplc="0426000B">
      <w:start w:val="1"/>
      <w:numFmt w:val="bullet"/>
      <w:lvlText w:val=""/>
      <w:lvlJc w:val="left"/>
      <w:pPr>
        <w:ind w:left="1152" w:hanging="360"/>
      </w:pPr>
      <w:rPr>
        <w:rFonts w:ascii="Wingdings" w:hAnsi="Wingdings"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41" w15:restartNumberingAfterBreak="0">
    <w:nsid w:val="74C86F6F"/>
    <w:multiLevelType w:val="hybridMultilevel"/>
    <w:tmpl w:val="D11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D06A4"/>
    <w:multiLevelType w:val="hybridMultilevel"/>
    <w:tmpl w:val="F86CF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02B84"/>
    <w:multiLevelType w:val="hybridMultilevel"/>
    <w:tmpl w:val="9FB2F0D0"/>
    <w:lvl w:ilvl="0" w:tplc="8A48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EB77DBD"/>
    <w:multiLevelType w:val="hybridMultilevel"/>
    <w:tmpl w:val="0ADCD9DC"/>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41"/>
  </w:num>
  <w:num w:numId="4">
    <w:abstractNumId w:val="6"/>
  </w:num>
  <w:num w:numId="5">
    <w:abstractNumId w:val="31"/>
  </w:num>
  <w:num w:numId="6">
    <w:abstractNumId w:val="38"/>
  </w:num>
  <w:num w:numId="7">
    <w:abstractNumId w:val="43"/>
  </w:num>
  <w:num w:numId="8">
    <w:abstractNumId w:val="1"/>
  </w:num>
  <w:num w:numId="9">
    <w:abstractNumId w:val="26"/>
  </w:num>
  <w:num w:numId="10">
    <w:abstractNumId w:val="7"/>
  </w:num>
  <w:num w:numId="11">
    <w:abstractNumId w:val="13"/>
  </w:num>
  <w:num w:numId="12">
    <w:abstractNumId w:val="28"/>
  </w:num>
  <w:num w:numId="13">
    <w:abstractNumId w:val="23"/>
  </w:num>
  <w:num w:numId="14">
    <w:abstractNumId w:val="9"/>
  </w:num>
  <w:num w:numId="15">
    <w:abstractNumId w:val="10"/>
  </w:num>
  <w:num w:numId="16">
    <w:abstractNumId w:val="3"/>
  </w:num>
  <w:num w:numId="17">
    <w:abstractNumId w:val="16"/>
  </w:num>
  <w:num w:numId="18">
    <w:abstractNumId w:val="24"/>
  </w:num>
  <w:num w:numId="19">
    <w:abstractNumId w:val="21"/>
  </w:num>
  <w:num w:numId="20">
    <w:abstractNumId w:val="0"/>
  </w:num>
  <w:num w:numId="21">
    <w:abstractNumId w:val="21"/>
  </w:num>
  <w:num w:numId="22">
    <w:abstractNumId w:val="30"/>
  </w:num>
  <w:num w:numId="23">
    <w:abstractNumId w:val="19"/>
  </w:num>
  <w:num w:numId="24">
    <w:abstractNumId w:val="4"/>
  </w:num>
  <w:num w:numId="25">
    <w:abstractNumId w:val="32"/>
  </w:num>
  <w:num w:numId="26">
    <w:abstractNumId w:val="17"/>
  </w:num>
  <w:num w:numId="27">
    <w:abstractNumId w:val="12"/>
  </w:num>
  <w:num w:numId="28">
    <w:abstractNumId w:val="27"/>
  </w:num>
  <w:num w:numId="29">
    <w:abstractNumId w:val="25"/>
  </w:num>
  <w:num w:numId="30">
    <w:abstractNumId w:val="44"/>
  </w:num>
  <w:num w:numId="31">
    <w:abstractNumId w:val="37"/>
  </w:num>
  <w:num w:numId="32">
    <w:abstractNumId w:val="14"/>
  </w:num>
  <w:num w:numId="33">
    <w:abstractNumId w:val="29"/>
  </w:num>
  <w:num w:numId="34">
    <w:abstractNumId w:val="8"/>
  </w:num>
  <w:num w:numId="35">
    <w:abstractNumId w:val="20"/>
  </w:num>
  <w:num w:numId="36">
    <w:abstractNumId w:val="40"/>
  </w:num>
  <w:num w:numId="37">
    <w:abstractNumId w:val="5"/>
  </w:num>
  <w:num w:numId="38">
    <w:abstractNumId w:val="11"/>
  </w:num>
  <w:num w:numId="39">
    <w:abstractNumId w:val="2"/>
  </w:num>
  <w:num w:numId="40">
    <w:abstractNumId w:val="39"/>
  </w:num>
  <w:num w:numId="41">
    <w:abstractNumId w:val="18"/>
  </w:num>
  <w:num w:numId="42">
    <w:abstractNumId w:val="42"/>
  </w:num>
  <w:num w:numId="43">
    <w:abstractNumId w:val="15"/>
  </w:num>
  <w:num w:numId="44">
    <w:abstractNumId w:val="35"/>
  </w:num>
  <w:num w:numId="45">
    <w:abstractNumId w:val="36"/>
  </w:num>
  <w:num w:numId="4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F"/>
    <w:rsid w:val="000002FD"/>
    <w:rsid w:val="00001833"/>
    <w:rsid w:val="00001A73"/>
    <w:rsid w:val="0000280E"/>
    <w:rsid w:val="00002F11"/>
    <w:rsid w:val="000030D4"/>
    <w:rsid w:val="0000445F"/>
    <w:rsid w:val="00004C49"/>
    <w:rsid w:val="00005BA0"/>
    <w:rsid w:val="000064FC"/>
    <w:rsid w:val="000074D7"/>
    <w:rsid w:val="000079C7"/>
    <w:rsid w:val="0001094F"/>
    <w:rsid w:val="00010963"/>
    <w:rsid w:val="00010A20"/>
    <w:rsid w:val="00010DAF"/>
    <w:rsid w:val="00011176"/>
    <w:rsid w:val="00011D6C"/>
    <w:rsid w:val="00012BFE"/>
    <w:rsid w:val="0001506D"/>
    <w:rsid w:val="00015ECB"/>
    <w:rsid w:val="00020280"/>
    <w:rsid w:val="00021C64"/>
    <w:rsid w:val="00022367"/>
    <w:rsid w:val="00022AE2"/>
    <w:rsid w:val="00023922"/>
    <w:rsid w:val="00023C6C"/>
    <w:rsid w:val="000246EE"/>
    <w:rsid w:val="00024DEB"/>
    <w:rsid w:val="00025C45"/>
    <w:rsid w:val="000262FF"/>
    <w:rsid w:val="0003055D"/>
    <w:rsid w:val="00031904"/>
    <w:rsid w:val="00032D35"/>
    <w:rsid w:val="000336D3"/>
    <w:rsid w:val="00034CF5"/>
    <w:rsid w:val="00035836"/>
    <w:rsid w:val="00035857"/>
    <w:rsid w:val="00035A7A"/>
    <w:rsid w:val="000375EA"/>
    <w:rsid w:val="00040BE7"/>
    <w:rsid w:val="00040C3F"/>
    <w:rsid w:val="000419DA"/>
    <w:rsid w:val="00041AF2"/>
    <w:rsid w:val="00041FEC"/>
    <w:rsid w:val="00042B30"/>
    <w:rsid w:val="00043388"/>
    <w:rsid w:val="00043E4C"/>
    <w:rsid w:val="0004416E"/>
    <w:rsid w:val="00044AAC"/>
    <w:rsid w:val="00044AEE"/>
    <w:rsid w:val="0004534E"/>
    <w:rsid w:val="00045607"/>
    <w:rsid w:val="0004615E"/>
    <w:rsid w:val="00046168"/>
    <w:rsid w:val="00046702"/>
    <w:rsid w:val="000472EF"/>
    <w:rsid w:val="00047E9E"/>
    <w:rsid w:val="0005098E"/>
    <w:rsid w:val="00050D29"/>
    <w:rsid w:val="00050E89"/>
    <w:rsid w:val="00051069"/>
    <w:rsid w:val="00052331"/>
    <w:rsid w:val="0005247E"/>
    <w:rsid w:val="000528CD"/>
    <w:rsid w:val="00053867"/>
    <w:rsid w:val="000543ED"/>
    <w:rsid w:val="000553AD"/>
    <w:rsid w:val="00056C56"/>
    <w:rsid w:val="000574AA"/>
    <w:rsid w:val="00060621"/>
    <w:rsid w:val="00060D9E"/>
    <w:rsid w:val="00062CB5"/>
    <w:rsid w:val="000635BD"/>
    <w:rsid w:val="00065608"/>
    <w:rsid w:val="0006589F"/>
    <w:rsid w:val="00065E7C"/>
    <w:rsid w:val="0006620E"/>
    <w:rsid w:val="000667D9"/>
    <w:rsid w:val="00067661"/>
    <w:rsid w:val="00067AE2"/>
    <w:rsid w:val="00067C7F"/>
    <w:rsid w:val="00071110"/>
    <w:rsid w:val="000723A4"/>
    <w:rsid w:val="00072912"/>
    <w:rsid w:val="00073288"/>
    <w:rsid w:val="00073603"/>
    <w:rsid w:val="00076869"/>
    <w:rsid w:val="0007699C"/>
    <w:rsid w:val="00077944"/>
    <w:rsid w:val="000808AA"/>
    <w:rsid w:val="00081079"/>
    <w:rsid w:val="000814CE"/>
    <w:rsid w:val="00081BBF"/>
    <w:rsid w:val="000821C7"/>
    <w:rsid w:val="0008304D"/>
    <w:rsid w:val="000844FE"/>
    <w:rsid w:val="000847DE"/>
    <w:rsid w:val="000869B9"/>
    <w:rsid w:val="00087DA1"/>
    <w:rsid w:val="00087FDC"/>
    <w:rsid w:val="00090107"/>
    <w:rsid w:val="00091329"/>
    <w:rsid w:val="00092137"/>
    <w:rsid w:val="00092786"/>
    <w:rsid w:val="00094BA6"/>
    <w:rsid w:val="00094EFB"/>
    <w:rsid w:val="0009505D"/>
    <w:rsid w:val="00095B3B"/>
    <w:rsid w:val="000960BF"/>
    <w:rsid w:val="00097137"/>
    <w:rsid w:val="000A0950"/>
    <w:rsid w:val="000A0E29"/>
    <w:rsid w:val="000A19F5"/>
    <w:rsid w:val="000A2C05"/>
    <w:rsid w:val="000A3970"/>
    <w:rsid w:val="000A3CCE"/>
    <w:rsid w:val="000A49DB"/>
    <w:rsid w:val="000A4A9D"/>
    <w:rsid w:val="000A4C39"/>
    <w:rsid w:val="000A57F3"/>
    <w:rsid w:val="000A61A0"/>
    <w:rsid w:val="000A770E"/>
    <w:rsid w:val="000B030F"/>
    <w:rsid w:val="000B0D5A"/>
    <w:rsid w:val="000B366D"/>
    <w:rsid w:val="000B3A7A"/>
    <w:rsid w:val="000B4F4D"/>
    <w:rsid w:val="000B5124"/>
    <w:rsid w:val="000C0A9D"/>
    <w:rsid w:val="000C0B5E"/>
    <w:rsid w:val="000C102F"/>
    <w:rsid w:val="000C170D"/>
    <w:rsid w:val="000C2106"/>
    <w:rsid w:val="000C2993"/>
    <w:rsid w:val="000C365F"/>
    <w:rsid w:val="000C3B41"/>
    <w:rsid w:val="000C3BBE"/>
    <w:rsid w:val="000C430F"/>
    <w:rsid w:val="000C4E4D"/>
    <w:rsid w:val="000C517A"/>
    <w:rsid w:val="000C547D"/>
    <w:rsid w:val="000C7963"/>
    <w:rsid w:val="000D0A2F"/>
    <w:rsid w:val="000D1915"/>
    <w:rsid w:val="000D20BC"/>
    <w:rsid w:val="000D3DE4"/>
    <w:rsid w:val="000D401D"/>
    <w:rsid w:val="000D487F"/>
    <w:rsid w:val="000D4956"/>
    <w:rsid w:val="000D4A3F"/>
    <w:rsid w:val="000D5157"/>
    <w:rsid w:val="000D51A5"/>
    <w:rsid w:val="000D5351"/>
    <w:rsid w:val="000D5AA4"/>
    <w:rsid w:val="000D6906"/>
    <w:rsid w:val="000D691D"/>
    <w:rsid w:val="000E023E"/>
    <w:rsid w:val="000E050B"/>
    <w:rsid w:val="000E0AA3"/>
    <w:rsid w:val="000E14C4"/>
    <w:rsid w:val="000E1A03"/>
    <w:rsid w:val="000E217D"/>
    <w:rsid w:val="000E25E6"/>
    <w:rsid w:val="000E439B"/>
    <w:rsid w:val="000E446A"/>
    <w:rsid w:val="000E552C"/>
    <w:rsid w:val="000E5AE1"/>
    <w:rsid w:val="000E646D"/>
    <w:rsid w:val="000E6520"/>
    <w:rsid w:val="000E7A1F"/>
    <w:rsid w:val="000E7AF4"/>
    <w:rsid w:val="000F0A49"/>
    <w:rsid w:val="000F1114"/>
    <w:rsid w:val="000F1149"/>
    <w:rsid w:val="000F1F41"/>
    <w:rsid w:val="000F2C16"/>
    <w:rsid w:val="000F2EC3"/>
    <w:rsid w:val="000F38EA"/>
    <w:rsid w:val="000F46ED"/>
    <w:rsid w:val="000F7618"/>
    <w:rsid w:val="000F78B2"/>
    <w:rsid w:val="001000F0"/>
    <w:rsid w:val="00100B54"/>
    <w:rsid w:val="00100C0A"/>
    <w:rsid w:val="001012EF"/>
    <w:rsid w:val="001021E0"/>
    <w:rsid w:val="001022B7"/>
    <w:rsid w:val="00102C79"/>
    <w:rsid w:val="00103CBD"/>
    <w:rsid w:val="00104526"/>
    <w:rsid w:val="001047A0"/>
    <w:rsid w:val="00104A39"/>
    <w:rsid w:val="00105248"/>
    <w:rsid w:val="00107864"/>
    <w:rsid w:val="0010797D"/>
    <w:rsid w:val="00107E30"/>
    <w:rsid w:val="00110B05"/>
    <w:rsid w:val="00111123"/>
    <w:rsid w:val="00111B9B"/>
    <w:rsid w:val="00111DBC"/>
    <w:rsid w:val="00112553"/>
    <w:rsid w:val="001126AF"/>
    <w:rsid w:val="00112861"/>
    <w:rsid w:val="00112F70"/>
    <w:rsid w:val="00113359"/>
    <w:rsid w:val="00113666"/>
    <w:rsid w:val="00114719"/>
    <w:rsid w:val="001147D3"/>
    <w:rsid w:val="001156AB"/>
    <w:rsid w:val="00115AF8"/>
    <w:rsid w:val="001172FD"/>
    <w:rsid w:val="00122387"/>
    <w:rsid w:val="00122FCA"/>
    <w:rsid w:val="001238AB"/>
    <w:rsid w:val="00123F15"/>
    <w:rsid w:val="00124F80"/>
    <w:rsid w:val="0012590D"/>
    <w:rsid w:val="001267EB"/>
    <w:rsid w:val="00126C86"/>
    <w:rsid w:val="00126DB5"/>
    <w:rsid w:val="00127036"/>
    <w:rsid w:val="0013002E"/>
    <w:rsid w:val="00130042"/>
    <w:rsid w:val="00130CD3"/>
    <w:rsid w:val="00131B52"/>
    <w:rsid w:val="00131E5A"/>
    <w:rsid w:val="00132175"/>
    <w:rsid w:val="00132B92"/>
    <w:rsid w:val="00133F0D"/>
    <w:rsid w:val="001353C8"/>
    <w:rsid w:val="0013547E"/>
    <w:rsid w:val="00135983"/>
    <w:rsid w:val="00135A5C"/>
    <w:rsid w:val="00137E26"/>
    <w:rsid w:val="00140E40"/>
    <w:rsid w:val="00141E3E"/>
    <w:rsid w:val="00142685"/>
    <w:rsid w:val="0014344C"/>
    <w:rsid w:val="001453F3"/>
    <w:rsid w:val="001456CC"/>
    <w:rsid w:val="00145DF7"/>
    <w:rsid w:val="0014757F"/>
    <w:rsid w:val="0015011D"/>
    <w:rsid w:val="001504B5"/>
    <w:rsid w:val="00150A86"/>
    <w:rsid w:val="00152D28"/>
    <w:rsid w:val="0015352A"/>
    <w:rsid w:val="00153921"/>
    <w:rsid w:val="00153C4E"/>
    <w:rsid w:val="00153E11"/>
    <w:rsid w:val="00154734"/>
    <w:rsid w:val="00154FF4"/>
    <w:rsid w:val="00157280"/>
    <w:rsid w:val="00157D81"/>
    <w:rsid w:val="00162A31"/>
    <w:rsid w:val="00162CDC"/>
    <w:rsid w:val="00162FE0"/>
    <w:rsid w:val="001634E0"/>
    <w:rsid w:val="001636D6"/>
    <w:rsid w:val="00164D54"/>
    <w:rsid w:val="00164F44"/>
    <w:rsid w:val="00165982"/>
    <w:rsid w:val="0016604E"/>
    <w:rsid w:val="00167297"/>
    <w:rsid w:val="001704D0"/>
    <w:rsid w:val="0017052C"/>
    <w:rsid w:val="001716E2"/>
    <w:rsid w:val="001739E3"/>
    <w:rsid w:val="001749C5"/>
    <w:rsid w:val="00176417"/>
    <w:rsid w:val="001765FC"/>
    <w:rsid w:val="00176A9B"/>
    <w:rsid w:val="00180085"/>
    <w:rsid w:val="001801B0"/>
    <w:rsid w:val="00184926"/>
    <w:rsid w:val="00186C1E"/>
    <w:rsid w:val="00186CBA"/>
    <w:rsid w:val="001874F3"/>
    <w:rsid w:val="00187968"/>
    <w:rsid w:val="00191201"/>
    <w:rsid w:val="001913DF"/>
    <w:rsid w:val="00195E76"/>
    <w:rsid w:val="001A0F30"/>
    <w:rsid w:val="001A1A89"/>
    <w:rsid w:val="001A1C8C"/>
    <w:rsid w:val="001A228E"/>
    <w:rsid w:val="001A235A"/>
    <w:rsid w:val="001A3F44"/>
    <w:rsid w:val="001A53B2"/>
    <w:rsid w:val="001A6262"/>
    <w:rsid w:val="001A723E"/>
    <w:rsid w:val="001B0E3F"/>
    <w:rsid w:val="001B12EE"/>
    <w:rsid w:val="001B25FF"/>
    <w:rsid w:val="001B30A4"/>
    <w:rsid w:val="001B37C7"/>
    <w:rsid w:val="001B4F07"/>
    <w:rsid w:val="001B5783"/>
    <w:rsid w:val="001B7378"/>
    <w:rsid w:val="001B73E4"/>
    <w:rsid w:val="001C1C4A"/>
    <w:rsid w:val="001C2BF4"/>
    <w:rsid w:val="001C380F"/>
    <w:rsid w:val="001C602A"/>
    <w:rsid w:val="001C7169"/>
    <w:rsid w:val="001C7501"/>
    <w:rsid w:val="001C7D3B"/>
    <w:rsid w:val="001D0668"/>
    <w:rsid w:val="001D16FC"/>
    <w:rsid w:val="001D236B"/>
    <w:rsid w:val="001D3855"/>
    <w:rsid w:val="001D3ED0"/>
    <w:rsid w:val="001D40BA"/>
    <w:rsid w:val="001D4F2D"/>
    <w:rsid w:val="001D5567"/>
    <w:rsid w:val="001D5B84"/>
    <w:rsid w:val="001D64E1"/>
    <w:rsid w:val="001D67AB"/>
    <w:rsid w:val="001D680C"/>
    <w:rsid w:val="001E2A77"/>
    <w:rsid w:val="001E34BE"/>
    <w:rsid w:val="001E353A"/>
    <w:rsid w:val="001E358A"/>
    <w:rsid w:val="001E4010"/>
    <w:rsid w:val="001E407F"/>
    <w:rsid w:val="001E48B2"/>
    <w:rsid w:val="001E4B5E"/>
    <w:rsid w:val="001E5067"/>
    <w:rsid w:val="001E7B37"/>
    <w:rsid w:val="001E7CF6"/>
    <w:rsid w:val="001F14D2"/>
    <w:rsid w:val="001F1E91"/>
    <w:rsid w:val="001F43A7"/>
    <w:rsid w:val="001F4AEC"/>
    <w:rsid w:val="001F4DEC"/>
    <w:rsid w:val="001F5CA5"/>
    <w:rsid w:val="001F5D72"/>
    <w:rsid w:val="001F6A4B"/>
    <w:rsid w:val="001F74C4"/>
    <w:rsid w:val="001F76C1"/>
    <w:rsid w:val="001F77B0"/>
    <w:rsid w:val="001F7A16"/>
    <w:rsid w:val="001F7F4B"/>
    <w:rsid w:val="00200511"/>
    <w:rsid w:val="002005D3"/>
    <w:rsid w:val="002008E3"/>
    <w:rsid w:val="00200B74"/>
    <w:rsid w:val="00200DB6"/>
    <w:rsid w:val="00202FA5"/>
    <w:rsid w:val="002033F6"/>
    <w:rsid w:val="0020557E"/>
    <w:rsid w:val="00207AFA"/>
    <w:rsid w:val="00210770"/>
    <w:rsid w:val="00212032"/>
    <w:rsid w:val="0021263C"/>
    <w:rsid w:val="0021489F"/>
    <w:rsid w:val="00214D22"/>
    <w:rsid w:val="00214FB8"/>
    <w:rsid w:val="00215557"/>
    <w:rsid w:val="00215958"/>
    <w:rsid w:val="00215B0D"/>
    <w:rsid w:val="0021613D"/>
    <w:rsid w:val="00216A92"/>
    <w:rsid w:val="002172DA"/>
    <w:rsid w:val="002172F1"/>
    <w:rsid w:val="0022006D"/>
    <w:rsid w:val="00220896"/>
    <w:rsid w:val="00222256"/>
    <w:rsid w:val="00223CBF"/>
    <w:rsid w:val="0022479B"/>
    <w:rsid w:val="00225408"/>
    <w:rsid w:val="002263AC"/>
    <w:rsid w:val="002270B1"/>
    <w:rsid w:val="00230576"/>
    <w:rsid w:val="00231670"/>
    <w:rsid w:val="0023254D"/>
    <w:rsid w:val="00232954"/>
    <w:rsid w:val="00233948"/>
    <w:rsid w:val="002359FC"/>
    <w:rsid w:val="00236044"/>
    <w:rsid w:val="002369C0"/>
    <w:rsid w:val="0024031F"/>
    <w:rsid w:val="00242FA8"/>
    <w:rsid w:val="0024415C"/>
    <w:rsid w:val="00244E01"/>
    <w:rsid w:val="00244F19"/>
    <w:rsid w:val="00246426"/>
    <w:rsid w:val="002471C8"/>
    <w:rsid w:val="00247607"/>
    <w:rsid w:val="00247841"/>
    <w:rsid w:val="0025144D"/>
    <w:rsid w:val="00251E85"/>
    <w:rsid w:val="002530D4"/>
    <w:rsid w:val="002539AB"/>
    <w:rsid w:val="00254DDA"/>
    <w:rsid w:val="002555EC"/>
    <w:rsid w:val="00256CEF"/>
    <w:rsid w:val="00257113"/>
    <w:rsid w:val="002604CA"/>
    <w:rsid w:val="0026114E"/>
    <w:rsid w:val="0026205F"/>
    <w:rsid w:val="00262C63"/>
    <w:rsid w:val="00264205"/>
    <w:rsid w:val="00264B73"/>
    <w:rsid w:val="00265E84"/>
    <w:rsid w:val="00266111"/>
    <w:rsid w:val="00266493"/>
    <w:rsid w:val="002666AE"/>
    <w:rsid w:val="00266ABF"/>
    <w:rsid w:val="00267D0D"/>
    <w:rsid w:val="00267F2A"/>
    <w:rsid w:val="00271305"/>
    <w:rsid w:val="00272921"/>
    <w:rsid w:val="002771B9"/>
    <w:rsid w:val="00281F88"/>
    <w:rsid w:val="002825FC"/>
    <w:rsid w:val="0028309D"/>
    <w:rsid w:val="00284352"/>
    <w:rsid w:val="00287660"/>
    <w:rsid w:val="00287797"/>
    <w:rsid w:val="00287C02"/>
    <w:rsid w:val="00290CC9"/>
    <w:rsid w:val="00292366"/>
    <w:rsid w:val="00293146"/>
    <w:rsid w:val="0029347D"/>
    <w:rsid w:val="002938DD"/>
    <w:rsid w:val="00294216"/>
    <w:rsid w:val="00294955"/>
    <w:rsid w:val="00295595"/>
    <w:rsid w:val="00295672"/>
    <w:rsid w:val="002960E5"/>
    <w:rsid w:val="00296DE9"/>
    <w:rsid w:val="00297335"/>
    <w:rsid w:val="00297B62"/>
    <w:rsid w:val="002A0798"/>
    <w:rsid w:val="002A0C6D"/>
    <w:rsid w:val="002A1182"/>
    <w:rsid w:val="002A3E2C"/>
    <w:rsid w:val="002A5291"/>
    <w:rsid w:val="002A5CD6"/>
    <w:rsid w:val="002A5F56"/>
    <w:rsid w:val="002A7B96"/>
    <w:rsid w:val="002B071E"/>
    <w:rsid w:val="002B1219"/>
    <w:rsid w:val="002B1DCD"/>
    <w:rsid w:val="002B38D7"/>
    <w:rsid w:val="002B457C"/>
    <w:rsid w:val="002B4DE8"/>
    <w:rsid w:val="002B4F2D"/>
    <w:rsid w:val="002B511A"/>
    <w:rsid w:val="002B54C5"/>
    <w:rsid w:val="002B56E8"/>
    <w:rsid w:val="002B68B7"/>
    <w:rsid w:val="002B69E4"/>
    <w:rsid w:val="002C091A"/>
    <w:rsid w:val="002C2B8E"/>
    <w:rsid w:val="002C2C6B"/>
    <w:rsid w:val="002C3033"/>
    <w:rsid w:val="002C4033"/>
    <w:rsid w:val="002C46DA"/>
    <w:rsid w:val="002C4E99"/>
    <w:rsid w:val="002C6EC3"/>
    <w:rsid w:val="002C7F02"/>
    <w:rsid w:val="002D17E0"/>
    <w:rsid w:val="002D1A1F"/>
    <w:rsid w:val="002D25D5"/>
    <w:rsid w:val="002D2A7C"/>
    <w:rsid w:val="002D380D"/>
    <w:rsid w:val="002D3A03"/>
    <w:rsid w:val="002D6C7B"/>
    <w:rsid w:val="002D6EE6"/>
    <w:rsid w:val="002E1AA1"/>
    <w:rsid w:val="002E1AE3"/>
    <w:rsid w:val="002E4FE5"/>
    <w:rsid w:val="002E5657"/>
    <w:rsid w:val="002E64BD"/>
    <w:rsid w:val="002E6C5B"/>
    <w:rsid w:val="002E7111"/>
    <w:rsid w:val="002E7882"/>
    <w:rsid w:val="002F0013"/>
    <w:rsid w:val="002F111A"/>
    <w:rsid w:val="002F2D43"/>
    <w:rsid w:val="002F3536"/>
    <w:rsid w:val="002F658B"/>
    <w:rsid w:val="002F6D97"/>
    <w:rsid w:val="00300977"/>
    <w:rsid w:val="00300CB8"/>
    <w:rsid w:val="00301C64"/>
    <w:rsid w:val="0030201C"/>
    <w:rsid w:val="00302D89"/>
    <w:rsid w:val="0030448C"/>
    <w:rsid w:val="00306C08"/>
    <w:rsid w:val="00306D92"/>
    <w:rsid w:val="0031130E"/>
    <w:rsid w:val="00311521"/>
    <w:rsid w:val="00311FBF"/>
    <w:rsid w:val="003125FB"/>
    <w:rsid w:val="00313A11"/>
    <w:rsid w:val="003147A9"/>
    <w:rsid w:val="003158EC"/>
    <w:rsid w:val="00316EAF"/>
    <w:rsid w:val="00316FE8"/>
    <w:rsid w:val="003171D5"/>
    <w:rsid w:val="00317494"/>
    <w:rsid w:val="003175F2"/>
    <w:rsid w:val="0032028A"/>
    <w:rsid w:val="003202E2"/>
    <w:rsid w:val="00321389"/>
    <w:rsid w:val="003213EE"/>
    <w:rsid w:val="00323191"/>
    <w:rsid w:val="00323213"/>
    <w:rsid w:val="00323709"/>
    <w:rsid w:val="00323DFE"/>
    <w:rsid w:val="00324481"/>
    <w:rsid w:val="00324A49"/>
    <w:rsid w:val="0032581B"/>
    <w:rsid w:val="00327BD5"/>
    <w:rsid w:val="00327BF2"/>
    <w:rsid w:val="00332F74"/>
    <w:rsid w:val="00333906"/>
    <w:rsid w:val="00333FB4"/>
    <w:rsid w:val="00334E7A"/>
    <w:rsid w:val="00336C85"/>
    <w:rsid w:val="00340599"/>
    <w:rsid w:val="00340762"/>
    <w:rsid w:val="00340C47"/>
    <w:rsid w:val="00342729"/>
    <w:rsid w:val="0034317E"/>
    <w:rsid w:val="00345DC3"/>
    <w:rsid w:val="00346804"/>
    <w:rsid w:val="003468EB"/>
    <w:rsid w:val="00350717"/>
    <w:rsid w:val="00350CD4"/>
    <w:rsid w:val="00350E7D"/>
    <w:rsid w:val="0035283E"/>
    <w:rsid w:val="00352C37"/>
    <w:rsid w:val="003546DE"/>
    <w:rsid w:val="00354891"/>
    <w:rsid w:val="00355412"/>
    <w:rsid w:val="00357D8C"/>
    <w:rsid w:val="00361238"/>
    <w:rsid w:val="003612F5"/>
    <w:rsid w:val="0036273D"/>
    <w:rsid w:val="00362741"/>
    <w:rsid w:val="00362B80"/>
    <w:rsid w:val="00362FB5"/>
    <w:rsid w:val="0036328B"/>
    <w:rsid w:val="003639B2"/>
    <w:rsid w:val="00364049"/>
    <w:rsid w:val="00364B76"/>
    <w:rsid w:val="00366D5D"/>
    <w:rsid w:val="00366D61"/>
    <w:rsid w:val="003671B6"/>
    <w:rsid w:val="00367A0C"/>
    <w:rsid w:val="003704C1"/>
    <w:rsid w:val="003708E3"/>
    <w:rsid w:val="00372ABA"/>
    <w:rsid w:val="0037448D"/>
    <w:rsid w:val="00374B4D"/>
    <w:rsid w:val="00375473"/>
    <w:rsid w:val="00375F8B"/>
    <w:rsid w:val="00376B58"/>
    <w:rsid w:val="003771CD"/>
    <w:rsid w:val="00377370"/>
    <w:rsid w:val="003805F0"/>
    <w:rsid w:val="00380A14"/>
    <w:rsid w:val="00381472"/>
    <w:rsid w:val="003818D5"/>
    <w:rsid w:val="003824A9"/>
    <w:rsid w:val="00384044"/>
    <w:rsid w:val="00384435"/>
    <w:rsid w:val="00384E80"/>
    <w:rsid w:val="00384FD4"/>
    <w:rsid w:val="00387E74"/>
    <w:rsid w:val="00390671"/>
    <w:rsid w:val="003927A9"/>
    <w:rsid w:val="0039436E"/>
    <w:rsid w:val="00394651"/>
    <w:rsid w:val="00394C34"/>
    <w:rsid w:val="003954BF"/>
    <w:rsid w:val="0039557B"/>
    <w:rsid w:val="00396428"/>
    <w:rsid w:val="00396793"/>
    <w:rsid w:val="003967E4"/>
    <w:rsid w:val="00397791"/>
    <w:rsid w:val="003A1277"/>
    <w:rsid w:val="003A1775"/>
    <w:rsid w:val="003A1D56"/>
    <w:rsid w:val="003A2887"/>
    <w:rsid w:val="003A3101"/>
    <w:rsid w:val="003A3601"/>
    <w:rsid w:val="003A5080"/>
    <w:rsid w:val="003A5216"/>
    <w:rsid w:val="003A54B3"/>
    <w:rsid w:val="003A62D9"/>
    <w:rsid w:val="003A6454"/>
    <w:rsid w:val="003A7C18"/>
    <w:rsid w:val="003A7D15"/>
    <w:rsid w:val="003B06A4"/>
    <w:rsid w:val="003B11D6"/>
    <w:rsid w:val="003B2725"/>
    <w:rsid w:val="003B2E3C"/>
    <w:rsid w:val="003B3D83"/>
    <w:rsid w:val="003C05A6"/>
    <w:rsid w:val="003C0DF6"/>
    <w:rsid w:val="003C1C0C"/>
    <w:rsid w:val="003C31C9"/>
    <w:rsid w:val="003C3DDC"/>
    <w:rsid w:val="003C414E"/>
    <w:rsid w:val="003C41E3"/>
    <w:rsid w:val="003C46EB"/>
    <w:rsid w:val="003C4E02"/>
    <w:rsid w:val="003C6814"/>
    <w:rsid w:val="003C6E41"/>
    <w:rsid w:val="003D280C"/>
    <w:rsid w:val="003D3C1F"/>
    <w:rsid w:val="003D4032"/>
    <w:rsid w:val="003D4331"/>
    <w:rsid w:val="003D6078"/>
    <w:rsid w:val="003D730F"/>
    <w:rsid w:val="003D79A8"/>
    <w:rsid w:val="003D7C71"/>
    <w:rsid w:val="003D7CE6"/>
    <w:rsid w:val="003E040E"/>
    <w:rsid w:val="003E0494"/>
    <w:rsid w:val="003F0A2E"/>
    <w:rsid w:val="003F15E6"/>
    <w:rsid w:val="003F1B0E"/>
    <w:rsid w:val="003F1DB2"/>
    <w:rsid w:val="003F4271"/>
    <w:rsid w:val="003F4862"/>
    <w:rsid w:val="003F65D3"/>
    <w:rsid w:val="003F706F"/>
    <w:rsid w:val="003F7904"/>
    <w:rsid w:val="003F7B83"/>
    <w:rsid w:val="003F7D88"/>
    <w:rsid w:val="003F7DD7"/>
    <w:rsid w:val="004005CB"/>
    <w:rsid w:val="004006B0"/>
    <w:rsid w:val="00400EA9"/>
    <w:rsid w:val="00402460"/>
    <w:rsid w:val="0040297D"/>
    <w:rsid w:val="00403B93"/>
    <w:rsid w:val="00404252"/>
    <w:rsid w:val="00404846"/>
    <w:rsid w:val="00405811"/>
    <w:rsid w:val="00405B73"/>
    <w:rsid w:val="00405F15"/>
    <w:rsid w:val="00407433"/>
    <w:rsid w:val="00407754"/>
    <w:rsid w:val="00407E53"/>
    <w:rsid w:val="00410930"/>
    <w:rsid w:val="00411E75"/>
    <w:rsid w:val="004140B7"/>
    <w:rsid w:val="00414D0D"/>
    <w:rsid w:val="00414E33"/>
    <w:rsid w:val="00415B7C"/>
    <w:rsid w:val="0041608D"/>
    <w:rsid w:val="00416230"/>
    <w:rsid w:val="00416D02"/>
    <w:rsid w:val="00416E2C"/>
    <w:rsid w:val="00416F17"/>
    <w:rsid w:val="00417422"/>
    <w:rsid w:val="00417455"/>
    <w:rsid w:val="00417803"/>
    <w:rsid w:val="0042043A"/>
    <w:rsid w:val="00422923"/>
    <w:rsid w:val="00423318"/>
    <w:rsid w:val="00423611"/>
    <w:rsid w:val="004246E9"/>
    <w:rsid w:val="00427072"/>
    <w:rsid w:val="004279E9"/>
    <w:rsid w:val="00427C91"/>
    <w:rsid w:val="00431265"/>
    <w:rsid w:val="00431680"/>
    <w:rsid w:val="00432C56"/>
    <w:rsid w:val="00434262"/>
    <w:rsid w:val="00435206"/>
    <w:rsid w:val="00436401"/>
    <w:rsid w:val="004408D1"/>
    <w:rsid w:val="0044244A"/>
    <w:rsid w:val="004440AD"/>
    <w:rsid w:val="004444F1"/>
    <w:rsid w:val="00444DA7"/>
    <w:rsid w:val="004455D6"/>
    <w:rsid w:val="004461A0"/>
    <w:rsid w:val="00446D57"/>
    <w:rsid w:val="00446EE0"/>
    <w:rsid w:val="00447237"/>
    <w:rsid w:val="0045178C"/>
    <w:rsid w:val="00451D59"/>
    <w:rsid w:val="00453EEC"/>
    <w:rsid w:val="004542D6"/>
    <w:rsid w:val="004545F9"/>
    <w:rsid w:val="00455812"/>
    <w:rsid w:val="00455943"/>
    <w:rsid w:val="004560F8"/>
    <w:rsid w:val="00456199"/>
    <w:rsid w:val="00457DF9"/>
    <w:rsid w:val="00460FE9"/>
    <w:rsid w:val="0046210E"/>
    <w:rsid w:val="00463311"/>
    <w:rsid w:val="00464013"/>
    <w:rsid w:val="004658AC"/>
    <w:rsid w:val="00465C3C"/>
    <w:rsid w:val="00465C8B"/>
    <w:rsid w:val="004667C8"/>
    <w:rsid w:val="00467389"/>
    <w:rsid w:val="004701F7"/>
    <w:rsid w:val="00470533"/>
    <w:rsid w:val="004728BA"/>
    <w:rsid w:val="00474634"/>
    <w:rsid w:val="004753E4"/>
    <w:rsid w:val="00475B66"/>
    <w:rsid w:val="004768B5"/>
    <w:rsid w:val="0047741A"/>
    <w:rsid w:val="00477BEF"/>
    <w:rsid w:val="00481044"/>
    <w:rsid w:val="00481DA0"/>
    <w:rsid w:val="00482A82"/>
    <w:rsid w:val="00483877"/>
    <w:rsid w:val="004841F1"/>
    <w:rsid w:val="0048580E"/>
    <w:rsid w:val="00485A13"/>
    <w:rsid w:val="00486CFD"/>
    <w:rsid w:val="00487370"/>
    <w:rsid w:val="00487848"/>
    <w:rsid w:val="00490877"/>
    <w:rsid w:val="00490BC4"/>
    <w:rsid w:val="00490EFB"/>
    <w:rsid w:val="00491F49"/>
    <w:rsid w:val="00492613"/>
    <w:rsid w:val="00492E31"/>
    <w:rsid w:val="00493A35"/>
    <w:rsid w:val="00493D2A"/>
    <w:rsid w:val="00494581"/>
    <w:rsid w:val="0049487C"/>
    <w:rsid w:val="00494E46"/>
    <w:rsid w:val="00495B5A"/>
    <w:rsid w:val="004A02F2"/>
    <w:rsid w:val="004A0A6B"/>
    <w:rsid w:val="004A1273"/>
    <w:rsid w:val="004A2167"/>
    <w:rsid w:val="004A37F2"/>
    <w:rsid w:val="004A390B"/>
    <w:rsid w:val="004A3EF7"/>
    <w:rsid w:val="004A6226"/>
    <w:rsid w:val="004A6509"/>
    <w:rsid w:val="004A6F33"/>
    <w:rsid w:val="004A75F1"/>
    <w:rsid w:val="004B0043"/>
    <w:rsid w:val="004B00AE"/>
    <w:rsid w:val="004B047D"/>
    <w:rsid w:val="004B0881"/>
    <w:rsid w:val="004B4FBB"/>
    <w:rsid w:val="004B7399"/>
    <w:rsid w:val="004B7FA7"/>
    <w:rsid w:val="004C0123"/>
    <w:rsid w:val="004C3A19"/>
    <w:rsid w:val="004C4F2F"/>
    <w:rsid w:val="004C4F6B"/>
    <w:rsid w:val="004C6B3A"/>
    <w:rsid w:val="004C6CA8"/>
    <w:rsid w:val="004C7664"/>
    <w:rsid w:val="004D007F"/>
    <w:rsid w:val="004D1B30"/>
    <w:rsid w:val="004D3D84"/>
    <w:rsid w:val="004D4AA3"/>
    <w:rsid w:val="004D4E66"/>
    <w:rsid w:val="004D6036"/>
    <w:rsid w:val="004D6563"/>
    <w:rsid w:val="004E090D"/>
    <w:rsid w:val="004E0A88"/>
    <w:rsid w:val="004E0C66"/>
    <w:rsid w:val="004E1870"/>
    <w:rsid w:val="004E1B10"/>
    <w:rsid w:val="004E2986"/>
    <w:rsid w:val="004E2B23"/>
    <w:rsid w:val="004E2BDA"/>
    <w:rsid w:val="004E2E22"/>
    <w:rsid w:val="004E3AF2"/>
    <w:rsid w:val="004E3D0D"/>
    <w:rsid w:val="004E5B4D"/>
    <w:rsid w:val="004E717C"/>
    <w:rsid w:val="004E7913"/>
    <w:rsid w:val="004E7F11"/>
    <w:rsid w:val="004F04FB"/>
    <w:rsid w:val="004F09EB"/>
    <w:rsid w:val="004F0DF5"/>
    <w:rsid w:val="004F1203"/>
    <w:rsid w:val="004F1A6E"/>
    <w:rsid w:val="004F2295"/>
    <w:rsid w:val="004F30AB"/>
    <w:rsid w:val="004F392E"/>
    <w:rsid w:val="004F4AB4"/>
    <w:rsid w:val="004F5286"/>
    <w:rsid w:val="004F5B03"/>
    <w:rsid w:val="004F5FA0"/>
    <w:rsid w:val="004F6070"/>
    <w:rsid w:val="004F7BDC"/>
    <w:rsid w:val="004F7FD2"/>
    <w:rsid w:val="005005E7"/>
    <w:rsid w:val="005006C1"/>
    <w:rsid w:val="00501376"/>
    <w:rsid w:val="0050148F"/>
    <w:rsid w:val="00502700"/>
    <w:rsid w:val="00502B96"/>
    <w:rsid w:val="00502C68"/>
    <w:rsid w:val="0050363E"/>
    <w:rsid w:val="00503B35"/>
    <w:rsid w:val="00503B48"/>
    <w:rsid w:val="00505040"/>
    <w:rsid w:val="00505C9C"/>
    <w:rsid w:val="005064E1"/>
    <w:rsid w:val="00506A45"/>
    <w:rsid w:val="00506C23"/>
    <w:rsid w:val="00506EA5"/>
    <w:rsid w:val="00507282"/>
    <w:rsid w:val="00507A0A"/>
    <w:rsid w:val="00510315"/>
    <w:rsid w:val="00510F13"/>
    <w:rsid w:val="00513F7A"/>
    <w:rsid w:val="00514F81"/>
    <w:rsid w:val="00515441"/>
    <w:rsid w:val="00515E52"/>
    <w:rsid w:val="00516C70"/>
    <w:rsid w:val="00517ABD"/>
    <w:rsid w:val="0052345A"/>
    <w:rsid w:val="00523B05"/>
    <w:rsid w:val="00523B8B"/>
    <w:rsid w:val="00524A87"/>
    <w:rsid w:val="00525C4F"/>
    <w:rsid w:val="00527D19"/>
    <w:rsid w:val="005326F6"/>
    <w:rsid w:val="0053306C"/>
    <w:rsid w:val="00533F4B"/>
    <w:rsid w:val="005348E1"/>
    <w:rsid w:val="005350C0"/>
    <w:rsid w:val="00535CB5"/>
    <w:rsid w:val="005365CF"/>
    <w:rsid w:val="0054168D"/>
    <w:rsid w:val="0054198C"/>
    <w:rsid w:val="00542999"/>
    <w:rsid w:val="00542CDA"/>
    <w:rsid w:val="00542F36"/>
    <w:rsid w:val="00543AD8"/>
    <w:rsid w:val="00543DF6"/>
    <w:rsid w:val="00544980"/>
    <w:rsid w:val="00544F92"/>
    <w:rsid w:val="00545488"/>
    <w:rsid w:val="00545E37"/>
    <w:rsid w:val="0054636D"/>
    <w:rsid w:val="005474BE"/>
    <w:rsid w:val="005500A7"/>
    <w:rsid w:val="00551DE6"/>
    <w:rsid w:val="00551E24"/>
    <w:rsid w:val="00552A48"/>
    <w:rsid w:val="005545F5"/>
    <w:rsid w:val="005557A1"/>
    <w:rsid w:val="00556C21"/>
    <w:rsid w:val="00560536"/>
    <w:rsid w:val="00560E88"/>
    <w:rsid w:val="0056455B"/>
    <w:rsid w:val="00564A36"/>
    <w:rsid w:val="00564D89"/>
    <w:rsid w:val="00566283"/>
    <w:rsid w:val="0056764E"/>
    <w:rsid w:val="00567D29"/>
    <w:rsid w:val="00571D1E"/>
    <w:rsid w:val="00572E2D"/>
    <w:rsid w:val="00573205"/>
    <w:rsid w:val="005739F3"/>
    <w:rsid w:val="005758BA"/>
    <w:rsid w:val="005760FF"/>
    <w:rsid w:val="00576A3A"/>
    <w:rsid w:val="00576C46"/>
    <w:rsid w:val="00577EE5"/>
    <w:rsid w:val="0058110D"/>
    <w:rsid w:val="0058256C"/>
    <w:rsid w:val="00582610"/>
    <w:rsid w:val="005831DC"/>
    <w:rsid w:val="00583ACA"/>
    <w:rsid w:val="00584C2D"/>
    <w:rsid w:val="00584F8A"/>
    <w:rsid w:val="0058551B"/>
    <w:rsid w:val="00585537"/>
    <w:rsid w:val="005867A1"/>
    <w:rsid w:val="00586FBD"/>
    <w:rsid w:val="00587E37"/>
    <w:rsid w:val="005909AF"/>
    <w:rsid w:val="00597A27"/>
    <w:rsid w:val="005A06FF"/>
    <w:rsid w:val="005A0754"/>
    <w:rsid w:val="005A1175"/>
    <w:rsid w:val="005A21A9"/>
    <w:rsid w:val="005A2470"/>
    <w:rsid w:val="005A2CA1"/>
    <w:rsid w:val="005A37E9"/>
    <w:rsid w:val="005A42D5"/>
    <w:rsid w:val="005A45FB"/>
    <w:rsid w:val="005A5732"/>
    <w:rsid w:val="005A5D74"/>
    <w:rsid w:val="005A6A88"/>
    <w:rsid w:val="005A6B0B"/>
    <w:rsid w:val="005A6C34"/>
    <w:rsid w:val="005A75E7"/>
    <w:rsid w:val="005B001C"/>
    <w:rsid w:val="005B0612"/>
    <w:rsid w:val="005B1C34"/>
    <w:rsid w:val="005B1D92"/>
    <w:rsid w:val="005B2457"/>
    <w:rsid w:val="005B25D0"/>
    <w:rsid w:val="005B2E0A"/>
    <w:rsid w:val="005B2F44"/>
    <w:rsid w:val="005B3930"/>
    <w:rsid w:val="005B3F99"/>
    <w:rsid w:val="005B453D"/>
    <w:rsid w:val="005B5231"/>
    <w:rsid w:val="005B6B05"/>
    <w:rsid w:val="005B74E3"/>
    <w:rsid w:val="005C0F77"/>
    <w:rsid w:val="005C1312"/>
    <w:rsid w:val="005C2E0C"/>
    <w:rsid w:val="005C2F36"/>
    <w:rsid w:val="005C3193"/>
    <w:rsid w:val="005C42E8"/>
    <w:rsid w:val="005C611F"/>
    <w:rsid w:val="005C7DDC"/>
    <w:rsid w:val="005D0CB2"/>
    <w:rsid w:val="005D126B"/>
    <w:rsid w:val="005D13B5"/>
    <w:rsid w:val="005D1C8A"/>
    <w:rsid w:val="005D1E91"/>
    <w:rsid w:val="005D2975"/>
    <w:rsid w:val="005D2A17"/>
    <w:rsid w:val="005D2A1E"/>
    <w:rsid w:val="005D392C"/>
    <w:rsid w:val="005D4F8F"/>
    <w:rsid w:val="005D5055"/>
    <w:rsid w:val="005D5639"/>
    <w:rsid w:val="005D5955"/>
    <w:rsid w:val="005D5E4E"/>
    <w:rsid w:val="005D63A6"/>
    <w:rsid w:val="005D682A"/>
    <w:rsid w:val="005D6F6D"/>
    <w:rsid w:val="005D75F0"/>
    <w:rsid w:val="005E1256"/>
    <w:rsid w:val="005E3CAE"/>
    <w:rsid w:val="005E3CE8"/>
    <w:rsid w:val="005E4477"/>
    <w:rsid w:val="005E4865"/>
    <w:rsid w:val="005E5361"/>
    <w:rsid w:val="005E539D"/>
    <w:rsid w:val="005E6AE1"/>
    <w:rsid w:val="005E6CDA"/>
    <w:rsid w:val="005F2077"/>
    <w:rsid w:val="005F302E"/>
    <w:rsid w:val="005F4941"/>
    <w:rsid w:val="005F5954"/>
    <w:rsid w:val="005F6D6C"/>
    <w:rsid w:val="005F778A"/>
    <w:rsid w:val="005F7EA2"/>
    <w:rsid w:val="0060005A"/>
    <w:rsid w:val="00600C1D"/>
    <w:rsid w:val="0060118B"/>
    <w:rsid w:val="006013DC"/>
    <w:rsid w:val="00602045"/>
    <w:rsid w:val="00602304"/>
    <w:rsid w:val="00603208"/>
    <w:rsid w:val="00604023"/>
    <w:rsid w:val="00604BD8"/>
    <w:rsid w:val="006057CA"/>
    <w:rsid w:val="00605FC5"/>
    <w:rsid w:val="00606100"/>
    <w:rsid w:val="006065A1"/>
    <w:rsid w:val="00606BFA"/>
    <w:rsid w:val="00607C71"/>
    <w:rsid w:val="00607CFD"/>
    <w:rsid w:val="00610611"/>
    <w:rsid w:val="006120F7"/>
    <w:rsid w:val="00614F3E"/>
    <w:rsid w:val="00615D5C"/>
    <w:rsid w:val="00615DF6"/>
    <w:rsid w:val="00616C1B"/>
    <w:rsid w:val="00616D50"/>
    <w:rsid w:val="00617128"/>
    <w:rsid w:val="006173BA"/>
    <w:rsid w:val="0062084F"/>
    <w:rsid w:val="00620AAB"/>
    <w:rsid w:val="00621EB9"/>
    <w:rsid w:val="00622587"/>
    <w:rsid w:val="00622880"/>
    <w:rsid w:val="006239D5"/>
    <w:rsid w:val="00625A18"/>
    <w:rsid w:val="006262DE"/>
    <w:rsid w:val="006270C8"/>
    <w:rsid w:val="0062714A"/>
    <w:rsid w:val="006276EF"/>
    <w:rsid w:val="0063122F"/>
    <w:rsid w:val="00632EB8"/>
    <w:rsid w:val="006347B5"/>
    <w:rsid w:val="006354C1"/>
    <w:rsid w:val="00635E6A"/>
    <w:rsid w:val="00636D06"/>
    <w:rsid w:val="00637EB8"/>
    <w:rsid w:val="0064026D"/>
    <w:rsid w:val="006403DA"/>
    <w:rsid w:val="00641586"/>
    <w:rsid w:val="00642043"/>
    <w:rsid w:val="00642479"/>
    <w:rsid w:val="0064275C"/>
    <w:rsid w:val="006438A9"/>
    <w:rsid w:val="00644456"/>
    <w:rsid w:val="0064539F"/>
    <w:rsid w:val="00645783"/>
    <w:rsid w:val="00645DA7"/>
    <w:rsid w:val="00650A5F"/>
    <w:rsid w:val="0065161B"/>
    <w:rsid w:val="00651D18"/>
    <w:rsid w:val="00652539"/>
    <w:rsid w:val="00652D97"/>
    <w:rsid w:val="00655723"/>
    <w:rsid w:val="00657E49"/>
    <w:rsid w:val="006608BC"/>
    <w:rsid w:val="00661843"/>
    <w:rsid w:val="00661B53"/>
    <w:rsid w:val="00661FC8"/>
    <w:rsid w:val="006636FB"/>
    <w:rsid w:val="0066394C"/>
    <w:rsid w:val="00664716"/>
    <w:rsid w:val="0066477B"/>
    <w:rsid w:val="006647D8"/>
    <w:rsid w:val="0066664B"/>
    <w:rsid w:val="00666F21"/>
    <w:rsid w:val="00667FD3"/>
    <w:rsid w:val="0067029C"/>
    <w:rsid w:val="00670683"/>
    <w:rsid w:val="00670B2D"/>
    <w:rsid w:val="00670FF4"/>
    <w:rsid w:val="006714D2"/>
    <w:rsid w:val="0067214C"/>
    <w:rsid w:val="00673D2A"/>
    <w:rsid w:val="0067400C"/>
    <w:rsid w:val="006743CB"/>
    <w:rsid w:val="00674A15"/>
    <w:rsid w:val="0067542F"/>
    <w:rsid w:val="00676CB5"/>
    <w:rsid w:val="006800A9"/>
    <w:rsid w:val="00680B36"/>
    <w:rsid w:val="00681213"/>
    <w:rsid w:val="00681A0D"/>
    <w:rsid w:val="006822AE"/>
    <w:rsid w:val="00682421"/>
    <w:rsid w:val="00683549"/>
    <w:rsid w:val="00683746"/>
    <w:rsid w:val="00684356"/>
    <w:rsid w:val="00685312"/>
    <w:rsid w:val="006860E0"/>
    <w:rsid w:val="00691460"/>
    <w:rsid w:val="00691AAC"/>
    <w:rsid w:val="0069234E"/>
    <w:rsid w:val="006939AA"/>
    <w:rsid w:val="00693B09"/>
    <w:rsid w:val="006944DE"/>
    <w:rsid w:val="00694D4C"/>
    <w:rsid w:val="00694E3B"/>
    <w:rsid w:val="00695517"/>
    <w:rsid w:val="0069562E"/>
    <w:rsid w:val="006969ED"/>
    <w:rsid w:val="00696E5C"/>
    <w:rsid w:val="006970E3"/>
    <w:rsid w:val="006A0100"/>
    <w:rsid w:val="006A0DC3"/>
    <w:rsid w:val="006A0E60"/>
    <w:rsid w:val="006A11ED"/>
    <w:rsid w:val="006A3275"/>
    <w:rsid w:val="006A5C3E"/>
    <w:rsid w:val="006A6241"/>
    <w:rsid w:val="006A6436"/>
    <w:rsid w:val="006A78CB"/>
    <w:rsid w:val="006B0BCD"/>
    <w:rsid w:val="006B19FB"/>
    <w:rsid w:val="006B354F"/>
    <w:rsid w:val="006B501E"/>
    <w:rsid w:val="006B6196"/>
    <w:rsid w:val="006B7B79"/>
    <w:rsid w:val="006C0382"/>
    <w:rsid w:val="006C0C09"/>
    <w:rsid w:val="006C2040"/>
    <w:rsid w:val="006C24F9"/>
    <w:rsid w:val="006C41D3"/>
    <w:rsid w:val="006C43E0"/>
    <w:rsid w:val="006C6314"/>
    <w:rsid w:val="006C71B6"/>
    <w:rsid w:val="006D0318"/>
    <w:rsid w:val="006D1141"/>
    <w:rsid w:val="006D170B"/>
    <w:rsid w:val="006D3612"/>
    <w:rsid w:val="006D3D10"/>
    <w:rsid w:val="006D3F9E"/>
    <w:rsid w:val="006D4018"/>
    <w:rsid w:val="006D49A5"/>
    <w:rsid w:val="006D4DEF"/>
    <w:rsid w:val="006D5B7A"/>
    <w:rsid w:val="006D690E"/>
    <w:rsid w:val="006E016F"/>
    <w:rsid w:val="006E09ED"/>
    <w:rsid w:val="006E1802"/>
    <w:rsid w:val="006E1880"/>
    <w:rsid w:val="006E1EF5"/>
    <w:rsid w:val="006E21D2"/>
    <w:rsid w:val="006E2A35"/>
    <w:rsid w:val="006E3423"/>
    <w:rsid w:val="006E3B39"/>
    <w:rsid w:val="006E4E46"/>
    <w:rsid w:val="006E56C7"/>
    <w:rsid w:val="006E57D7"/>
    <w:rsid w:val="006E5D4B"/>
    <w:rsid w:val="006E6270"/>
    <w:rsid w:val="006E6BB8"/>
    <w:rsid w:val="006F0E18"/>
    <w:rsid w:val="006F1F75"/>
    <w:rsid w:val="006F1FC1"/>
    <w:rsid w:val="006F29AC"/>
    <w:rsid w:val="006F2A10"/>
    <w:rsid w:val="006F6B07"/>
    <w:rsid w:val="006F7F75"/>
    <w:rsid w:val="00700F2C"/>
    <w:rsid w:val="0070188B"/>
    <w:rsid w:val="0070276E"/>
    <w:rsid w:val="007031F5"/>
    <w:rsid w:val="007039E9"/>
    <w:rsid w:val="00703EDC"/>
    <w:rsid w:val="00703FEB"/>
    <w:rsid w:val="0070584D"/>
    <w:rsid w:val="0070603B"/>
    <w:rsid w:val="007068AE"/>
    <w:rsid w:val="00707C62"/>
    <w:rsid w:val="00710B3D"/>
    <w:rsid w:val="00710C89"/>
    <w:rsid w:val="007112E9"/>
    <w:rsid w:val="00711779"/>
    <w:rsid w:val="00711C62"/>
    <w:rsid w:val="00711F65"/>
    <w:rsid w:val="00711F76"/>
    <w:rsid w:val="0071218D"/>
    <w:rsid w:val="007130F0"/>
    <w:rsid w:val="007136C4"/>
    <w:rsid w:val="007138D4"/>
    <w:rsid w:val="00713AE4"/>
    <w:rsid w:val="00714622"/>
    <w:rsid w:val="0071469A"/>
    <w:rsid w:val="00715C07"/>
    <w:rsid w:val="00716F4F"/>
    <w:rsid w:val="00717842"/>
    <w:rsid w:val="00721136"/>
    <w:rsid w:val="007217F5"/>
    <w:rsid w:val="0072340A"/>
    <w:rsid w:val="00724670"/>
    <w:rsid w:val="00725DC5"/>
    <w:rsid w:val="00726B34"/>
    <w:rsid w:val="0072746B"/>
    <w:rsid w:val="00734E98"/>
    <w:rsid w:val="00735527"/>
    <w:rsid w:val="0073590F"/>
    <w:rsid w:val="007363B0"/>
    <w:rsid w:val="007363B4"/>
    <w:rsid w:val="007371F3"/>
    <w:rsid w:val="00737459"/>
    <w:rsid w:val="007378DA"/>
    <w:rsid w:val="00737C5C"/>
    <w:rsid w:val="007411A3"/>
    <w:rsid w:val="00742A32"/>
    <w:rsid w:val="00742FC4"/>
    <w:rsid w:val="007432A4"/>
    <w:rsid w:val="007460E7"/>
    <w:rsid w:val="00747C30"/>
    <w:rsid w:val="00747F6B"/>
    <w:rsid w:val="00750025"/>
    <w:rsid w:val="0075011C"/>
    <w:rsid w:val="00750A97"/>
    <w:rsid w:val="00750C2A"/>
    <w:rsid w:val="0075182D"/>
    <w:rsid w:val="00751E6F"/>
    <w:rsid w:val="0075287C"/>
    <w:rsid w:val="00753D22"/>
    <w:rsid w:val="00753F18"/>
    <w:rsid w:val="007548D0"/>
    <w:rsid w:val="007548E4"/>
    <w:rsid w:val="00755047"/>
    <w:rsid w:val="00755552"/>
    <w:rsid w:val="00756A25"/>
    <w:rsid w:val="007578F9"/>
    <w:rsid w:val="00757C45"/>
    <w:rsid w:val="00757DD0"/>
    <w:rsid w:val="00760C42"/>
    <w:rsid w:val="00760E5A"/>
    <w:rsid w:val="0076161D"/>
    <w:rsid w:val="00761D6F"/>
    <w:rsid w:val="00762448"/>
    <w:rsid w:val="00763CBA"/>
    <w:rsid w:val="0076432D"/>
    <w:rsid w:val="00764DA5"/>
    <w:rsid w:val="0076586A"/>
    <w:rsid w:val="00766CEC"/>
    <w:rsid w:val="007677B4"/>
    <w:rsid w:val="00767CAC"/>
    <w:rsid w:val="0077071D"/>
    <w:rsid w:val="0077139E"/>
    <w:rsid w:val="0077154F"/>
    <w:rsid w:val="00771B23"/>
    <w:rsid w:val="007724BC"/>
    <w:rsid w:val="00772823"/>
    <w:rsid w:val="00772B45"/>
    <w:rsid w:val="0077502B"/>
    <w:rsid w:val="007767A1"/>
    <w:rsid w:val="00781414"/>
    <w:rsid w:val="00781CFF"/>
    <w:rsid w:val="00782533"/>
    <w:rsid w:val="00782689"/>
    <w:rsid w:val="00782ECA"/>
    <w:rsid w:val="00783552"/>
    <w:rsid w:val="00783F69"/>
    <w:rsid w:val="00784615"/>
    <w:rsid w:val="00784C8D"/>
    <w:rsid w:val="0078524A"/>
    <w:rsid w:val="007855CF"/>
    <w:rsid w:val="0078595A"/>
    <w:rsid w:val="00785BCA"/>
    <w:rsid w:val="00785C94"/>
    <w:rsid w:val="0078660A"/>
    <w:rsid w:val="0079208C"/>
    <w:rsid w:val="00792F75"/>
    <w:rsid w:val="00793FE0"/>
    <w:rsid w:val="00795872"/>
    <w:rsid w:val="007A00F7"/>
    <w:rsid w:val="007A015D"/>
    <w:rsid w:val="007A0A39"/>
    <w:rsid w:val="007A10F0"/>
    <w:rsid w:val="007A13CA"/>
    <w:rsid w:val="007A19D6"/>
    <w:rsid w:val="007A2383"/>
    <w:rsid w:val="007A24A0"/>
    <w:rsid w:val="007A254D"/>
    <w:rsid w:val="007A2802"/>
    <w:rsid w:val="007A33DC"/>
    <w:rsid w:val="007A354A"/>
    <w:rsid w:val="007A397B"/>
    <w:rsid w:val="007A469F"/>
    <w:rsid w:val="007A4991"/>
    <w:rsid w:val="007A4A6C"/>
    <w:rsid w:val="007A5DF0"/>
    <w:rsid w:val="007A5FFA"/>
    <w:rsid w:val="007A6270"/>
    <w:rsid w:val="007A6E6E"/>
    <w:rsid w:val="007B1745"/>
    <w:rsid w:val="007B3D01"/>
    <w:rsid w:val="007B5856"/>
    <w:rsid w:val="007B5E48"/>
    <w:rsid w:val="007B641D"/>
    <w:rsid w:val="007B64EA"/>
    <w:rsid w:val="007B69C7"/>
    <w:rsid w:val="007B6ECB"/>
    <w:rsid w:val="007B7B18"/>
    <w:rsid w:val="007B7F3F"/>
    <w:rsid w:val="007C13D7"/>
    <w:rsid w:val="007C1869"/>
    <w:rsid w:val="007C1D00"/>
    <w:rsid w:val="007C2C14"/>
    <w:rsid w:val="007C2DF9"/>
    <w:rsid w:val="007C2E68"/>
    <w:rsid w:val="007C527D"/>
    <w:rsid w:val="007C54F0"/>
    <w:rsid w:val="007C70EE"/>
    <w:rsid w:val="007C72EA"/>
    <w:rsid w:val="007C7971"/>
    <w:rsid w:val="007C7DA8"/>
    <w:rsid w:val="007C7F0C"/>
    <w:rsid w:val="007D0383"/>
    <w:rsid w:val="007D0D05"/>
    <w:rsid w:val="007D1FCA"/>
    <w:rsid w:val="007D251C"/>
    <w:rsid w:val="007D3900"/>
    <w:rsid w:val="007D4A49"/>
    <w:rsid w:val="007D5C9A"/>
    <w:rsid w:val="007E012F"/>
    <w:rsid w:val="007E0350"/>
    <w:rsid w:val="007E0E6C"/>
    <w:rsid w:val="007E128A"/>
    <w:rsid w:val="007E1491"/>
    <w:rsid w:val="007E2CCB"/>
    <w:rsid w:val="007E34AB"/>
    <w:rsid w:val="007E3EFA"/>
    <w:rsid w:val="007E4539"/>
    <w:rsid w:val="007E45D9"/>
    <w:rsid w:val="007E4FB2"/>
    <w:rsid w:val="007E5008"/>
    <w:rsid w:val="007F1629"/>
    <w:rsid w:val="007F19BC"/>
    <w:rsid w:val="007F289D"/>
    <w:rsid w:val="007F462E"/>
    <w:rsid w:val="007F5196"/>
    <w:rsid w:val="007F615F"/>
    <w:rsid w:val="007F71C0"/>
    <w:rsid w:val="007F730A"/>
    <w:rsid w:val="00802D09"/>
    <w:rsid w:val="00803773"/>
    <w:rsid w:val="008040C6"/>
    <w:rsid w:val="008074D6"/>
    <w:rsid w:val="00807626"/>
    <w:rsid w:val="00807B5B"/>
    <w:rsid w:val="00807F5A"/>
    <w:rsid w:val="0081031B"/>
    <w:rsid w:val="00810455"/>
    <w:rsid w:val="00810546"/>
    <w:rsid w:val="0081071C"/>
    <w:rsid w:val="008107B5"/>
    <w:rsid w:val="008112CF"/>
    <w:rsid w:val="00811AAE"/>
    <w:rsid w:val="00811E28"/>
    <w:rsid w:val="008134CA"/>
    <w:rsid w:val="00813B6E"/>
    <w:rsid w:val="00814BD5"/>
    <w:rsid w:val="00814CD3"/>
    <w:rsid w:val="0081503B"/>
    <w:rsid w:val="008154AE"/>
    <w:rsid w:val="008155A3"/>
    <w:rsid w:val="0081614D"/>
    <w:rsid w:val="00817350"/>
    <w:rsid w:val="008207EE"/>
    <w:rsid w:val="0082164A"/>
    <w:rsid w:val="0082272C"/>
    <w:rsid w:val="008245A9"/>
    <w:rsid w:val="0082498E"/>
    <w:rsid w:val="0082517E"/>
    <w:rsid w:val="0082598C"/>
    <w:rsid w:val="00826073"/>
    <w:rsid w:val="00826F5E"/>
    <w:rsid w:val="008270C5"/>
    <w:rsid w:val="008270CB"/>
    <w:rsid w:val="008301C3"/>
    <w:rsid w:val="00830DE2"/>
    <w:rsid w:val="0083136B"/>
    <w:rsid w:val="0083171B"/>
    <w:rsid w:val="008331DB"/>
    <w:rsid w:val="0083335C"/>
    <w:rsid w:val="008365BB"/>
    <w:rsid w:val="00836AE6"/>
    <w:rsid w:val="00836D42"/>
    <w:rsid w:val="00837CBB"/>
    <w:rsid w:val="008403D9"/>
    <w:rsid w:val="008404E3"/>
    <w:rsid w:val="00841022"/>
    <w:rsid w:val="00841FF6"/>
    <w:rsid w:val="008432FD"/>
    <w:rsid w:val="008442EF"/>
    <w:rsid w:val="00844603"/>
    <w:rsid w:val="008449DE"/>
    <w:rsid w:val="00844BDD"/>
    <w:rsid w:val="008456D3"/>
    <w:rsid w:val="00845EAB"/>
    <w:rsid w:val="008475B7"/>
    <w:rsid w:val="00851BA1"/>
    <w:rsid w:val="008527E0"/>
    <w:rsid w:val="00853885"/>
    <w:rsid w:val="008551AD"/>
    <w:rsid w:val="008554C8"/>
    <w:rsid w:val="008557FB"/>
    <w:rsid w:val="00856E4E"/>
    <w:rsid w:val="00857240"/>
    <w:rsid w:val="00857BF4"/>
    <w:rsid w:val="00860793"/>
    <w:rsid w:val="00862976"/>
    <w:rsid w:val="00862992"/>
    <w:rsid w:val="00863954"/>
    <w:rsid w:val="008645BD"/>
    <w:rsid w:val="00864A43"/>
    <w:rsid w:val="0086584A"/>
    <w:rsid w:val="008660B1"/>
    <w:rsid w:val="008664B2"/>
    <w:rsid w:val="00867CB7"/>
    <w:rsid w:val="00871875"/>
    <w:rsid w:val="00874AA2"/>
    <w:rsid w:val="008757A9"/>
    <w:rsid w:val="00876570"/>
    <w:rsid w:val="00876828"/>
    <w:rsid w:val="0087737D"/>
    <w:rsid w:val="008773E5"/>
    <w:rsid w:val="00877C69"/>
    <w:rsid w:val="00880205"/>
    <w:rsid w:val="00881041"/>
    <w:rsid w:val="008818C6"/>
    <w:rsid w:val="00882AA3"/>
    <w:rsid w:val="00883338"/>
    <w:rsid w:val="00883672"/>
    <w:rsid w:val="008839CF"/>
    <w:rsid w:val="0088433E"/>
    <w:rsid w:val="00884EC2"/>
    <w:rsid w:val="00885356"/>
    <w:rsid w:val="00885792"/>
    <w:rsid w:val="00885A55"/>
    <w:rsid w:val="00885DCD"/>
    <w:rsid w:val="00886EFC"/>
    <w:rsid w:val="008910BD"/>
    <w:rsid w:val="008918A7"/>
    <w:rsid w:val="00893314"/>
    <w:rsid w:val="008936F0"/>
    <w:rsid w:val="00893F84"/>
    <w:rsid w:val="00896757"/>
    <w:rsid w:val="00896C05"/>
    <w:rsid w:val="00896F8A"/>
    <w:rsid w:val="00897144"/>
    <w:rsid w:val="00897988"/>
    <w:rsid w:val="00897BE6"/>
    <w:rsid w:val="008A04CC"/>
    <w:rsid w:val="008A0A46"/>
    <w:rsid w:val="008A0EA2"/>
    <w:rsid w:val="008A1993"/>
    <w:rsid w:val="008A1E8B"/>
    <w:rsid w:val="008A1F7A"/>
    <w:rsid w:val="008A1F9A"/>
    <w:rsid w:val="008A5424"/>
    <w:rsid w:val="008B0F2D"/>
    <w:rsid w:val="008B244C"/>
    <w:rsid w:val="008B3857"/>
    <w:rsid w:val="008B4EE7"/>
    <w:rsid w:val="008B6EDD"/>
    <w:rsid w:val="008B72EA"/>
    <w:rsid w:val="008C0052"/>
    <w:rsid w:val="008C112C"/>
    <w:rsid w:val="008C29E3"/>
    <w:rsid w:val="008C3916"/>
    <w:rsid w:val="008C6632"/>
    <w:rsid w:val="008D18A2"/>
    <w:rsid w:val="008D211C"/>
    <w:rsid w:val="008D2710"/>
    <w:rsid w:val="008D3DE5"/>
    <w:rsid w:val="008D3E80"/>
    <w:rsid w:val="008D4216"/>
    <w:rsid w:val="008D4A6D"/>
    <w:rsid w:val="008D5898"/>
    <w:rsid w:val="008D7E11"/>
    <w:rsid w:val="008E0750"/>
    <w:rsid w:val="008E1566"/>
    <w:rsid w:val="008E3993"/>
    <w:rsid w:val="008E71A7"/>
    <w:rsid w:val="008F016C"/>
    <w:rsid w:val="008F0340"/>
    <w:rsid w:val="008F092B"/>
    <w:rsid w:val="008F1642"/>
    <w:rsid w:val="008F18E5"/>
    <w:rsid w:val="008F192E"/>
    <w:rsid w:val="008F1B86"/>
    <w:rsid w:val="008F3CE6"/>
    <w:rsid w:val="008F4647"/>
    <w:rsid w:val="008F58FE"/>
    <w:rsid w:val="008F6602"/>
    <w:rsid w:val="008F6869"/>
    <w:rsid w:val="00900F16"/>
    <w:rsid w:val="009019FC"/>
    <w:rsid w:val="00901DB7"/>
    <w:rsid w:val="00902416"/>
    <w:rsid w:val="00902E02"/>
    <w:rsid w:val="00902E1C"/>
    <w:rsid w:val="0090318B"/>
    <w:rsid w:val="00903722"/>
    <w:rsid w:val="00903B40"/>
    <w:rsid w:val="00904092"/>
    <w:rsid w:val="009045A1"/>
    <w:rsid w:val="009050D4"/>
    <w:rsid w:val="009058E2"/>
    <w:rsid w:val="00905BD8"/>
    <w:rsid w:val="00906367"/>
    <w:rsid w:val="0090658B"/>
    <w:rsid w:val="00906655"/>
    <w:rsid w:val="00906794"/>
    <w:rsid w:val="00907994"/>
    <w:rsid w:val="009079CF"/>
    <w:rsid w:val="00907A03"/>
    <w:rsid w:val="0091047A"/>
    <w:rsid w:val="00910637"/>
    <w:rsid w:val="00911114"/>
    <w:rsid w:val="009124C4"/>
    <w:rsid w:val="00912DE0"/>
    <w:rsid w:val="009146A6"/>
    <w:rsid w:val="0091517A"/>
    <w:rsid w:val="009155F6"/>
    <w:rsid w:val="00915886"/>
    <w:rsid w:val="009168CA"/>
    <w:rsid w:val="0091706E"/>
    <w:rsid w:val="00917F59"/>
    <w:rsid w:val="00917FC6"/>
    <w:rsid w:val="00920CD2"/>
    <w:rsid w:val="00920FE7"/>
    <w:rsid w:val="009211CA"/>
    <w:rsid w:val="00922203"/>
    <w:rsid w:val="009230B3"/>
    <w:rsid w:val="00923195"/>
    <w:rsid w:val="00923596"/>
    <w:rsid w:val="0092451F"/>
    <w:rsid w:val="00924C4E"/>
    <w:rsid w:val="00925F4E"/>
    <w:rsid w:val="00926240"/>
    <w:rsid w:val="00926726"/>
    <w:rsid w:val="00926C39"/>
    <w:rsid w:val="00926C43"/>
    <w:rsid w:val="00931B87"/>
    <w:rsid w:val="00931F8A"/>
    <w:rsid w:val="009321C3"/>
    <w:rsid w:val="0093223D"/>
    <w:rsid w:val="00932E64"/>
    <w:rsid w:val="00932FC6"/>
    <w:rsid w:val="0093398B"/>
    <w:rsid w:val="0093554D"/>
    <w:rsid w:val="00937203"/>
    <w:rsid w:val="009374C3"/>
    <w:rsid w:val="0093758D"/>
    <w:rsid w:val="00940082"/>
    <w:rsid w:val="00941A5C"/>
    <w:rsid w:val="00942276"/>
    <w:rsid w:val="0094264B"/>
    <w:rsid w:val="009435A7"/>
    <w:rsid w:val="00943C91"/>
    <w:rsid w:val="00943D7F"/>
    <w:rsid w:val="00943E1A"/>
    <w:rsid w:val="00944189"/>
    <w:rsid w:val="00944601"/>
    <w:rsid w:val="0094464F"/>
    <w:rsid w:val="00944E91"/>
    <w:rsid w:val="00945538"/>
    <w:rsid w:val="009463BD"/>
    <w:rsid w:val="00947AD7"/>
    <w:rsid w:val="00947E54"/>
    <w:rsid w:val="00951A5D"/>
    <w:rsid w:val="00951DE2"/>
    <w:rsid w:val="00953203"/>
    <w:rsid w:val="00953891"/>
    <w:rsid w:val="00953D3C"/>
    <w:rsid w:val="009545BE"/>
    <w:rsid w:val="0095492B"/>
    <w:rsid w:val="00954E86"/>
    <w:rsid w:val="009550A6"/>
    <w:rsid w:val="009550E5"/>
    <w:rsid w:val="009577BC"/>
    <w:rsid w:val="009604DC"/>
    <w:rsid w:val="00960FB8"/>
    <w:rsid w:val="009611AB"/>
    <w:rsid w:val="009612B4"/>
    <w:rsid w:val="0096153E"/>
    <w:rsid w:val="00961B7A"/>
    <w:rsid w:val="00964515"/>
    <w:rsid w:val="00964BDF"/>
    <w:rsid w:val="0096506C"/>
    <w:rsid w:val="00965107"/>
    <w:rsid w:val="009670AB"/>
    <w:rsid w:val="009676A1"/>
    <w:rsid w:val="009701D3"/>
    <w:rsid w:val="00971708"/>
    <w:rsid w:val="00971821"/>
    <w:rsid w:val="00971872"/>
    <w:rsid w:val="00971D7B"/>
    <w:rsid w:val="00972D41"/>
    <w:rsid w:val="00973A77"/>
    <w:rsid w:val="00974323"/>
    <w:rsid w:val="0097719E"/>
    <w:rsid w:val="009807F9"/>
    <w:rsid w:val="00980A6A"/>
    <w:rsid w:val="00981DF7"/>
    <w:rsid w:val="009825B5"/>
    <w:rsid w:val="00982FA3"/>
    <w:rsid w:val="00983B85"/>
    <w:rsid w:val="00983E85"/>
    <w:rsid w:val="009867BD"/>
    <w:rsid w:val="00986FDE"/>
    <w:rsid w:val="0098718D"/>
    <w:rsid w:val="009871E1"/>
    <w:rsid w:val="009873E3"/>
    <w:rsid w:val="00987877"/>
    <w:rsid w:val="0099097B"/>
    <w:rsid w:val="00990B96"/>
    <w:rsid w:val="009921AC"/>
    <w:rsid w:val="00993F2C"/>
    <w:rsid w:val="00994B99"/>
    <w:rsid w:val="00994F71"/>
    <w:rsid w:val="009956F8"/>
    <w:rsid w:val="009968C5"/>
    <w:rsid w:val="00997188"/>
    <w:rsid w:val="009A032D"/>
    <w:rsid w:val="009A0B96"/>
    <w:rsid w:val="009A1560"/>
    <w:rsid w:val="009A23AD"/>
    <w:rsid w:val="009A2515"/>
    <w:rsid w:val="009A2A20"/>
    <w:rsid w:val="009A382A"/>
    <w:rsid w:val="009A450B"/>
    <w:rsid w:val="009A5B3A"/>
    <w:rsid w:val="009A60F0"/>
    <w:rsid w:val="009A673B"/>
    <w:rsid w:val="009A69EE"/>
    <w:rsid w:val="009A7187"/>
    <w:rsid w:val="009A76BE"/>
    <w:rsid w:val="009B02E7"/>
    <w:rsid w:val="009B0C5A"/>
    <w:rsid w:val="009B0E35"/>
    <w:rsid w:val="009B115B"/>
    <w:rsid w:val="009B166F"/>
    <w:rsid w:val="009B290B"/>
    <w:rsid w:val="009B3874"/>
    <w:rsid w:val="009B3BEC"/>
    <w:rsid w:val="009B42A6"/>
    <w:rsid w:val="009B4755"/>
    <w:rsid w:val="009B5C60"/>
    <w:rsid w:val="009C0226"/>
    <w:rsid w:val="009C03C3"/>
    <w:rsid w:val="009C1331"/>
    <w:rsid w:val="009C2089"/>
    <w:rsid w:val="009C252C"/>
    <w:rsid w:val="009C2F62"/>
    <w:rsid w:val="009C37BA"/>
    <w:rsid w:val="009C3C4E"/>
    <w:rsid w:val="009C6DB6"/>
    <w:rsid w:val="009C6FDF"/>
    <w:rsid w:val="009C7861"/>
    <w:rsid w:val="009D0866"/>
    <w:rsid w:val="009D178D"/>
    <w:rsid w:val="009D224A"/>
    <w:rsid w:val="009D29FC"/>
    <w:rsid w:val="009D3BD1"/>
    <w:rsid w:val="009D4671"/>
    <w:rsid w:val="009D51CA"/>
    <w:rsid w:val="009D5D59"/>
    <w:rsid w:val="009D7618"/>
    <w:rsid w:val="009E050E"/>
    <w:rsid w:val="009E0861"/>
    <w:rsid w:val="009E22F0"/>
    <w:rsid w:val="009E27E1"/>
    <w:rsid w:val="009E2CCA"/>
    <w:rsid w:val="009E2D53"/>
    <w:rsid w:val="009E3E64"/>
    <w:rsid w:val="009E460F"/>
    <w:rsid w:val="009E4E61"/>
    <w:rsid w:val="009E541C"/>
    <w:rsid w:val="009E583C"/>
    <w:rsid w:val="009E76B3"/>
    <w:rsid w:val="009E7A45"/>
    <w:rsid w:val="009F0E9C"/>
    <w:rsid w:val="009F2CB2"/>
    <w:rsid w:val="009F3CD2"/>
    <w:rsid w:val="009F4AC9"/>
    <w:rsid w:val="009F4BF9"/>
    <w:rsid w:val="009F4FFC"/>
    <w:rsid w:val="00A0044E"/>
    <w:rsid w:val="00A00725"/>
    <w:rsid w:val="00A01CBD"/>
    <w:rsid w:val="00A023AF"/>
    <w:rsid w:val="00A02D0F"/>
    <w:rsid w:val="00A03277"/>
    <w:rsid w:val="00A054C3"/>
    <w:rsid w:val="00A06951"/>
    <w:rsid w:val="00A10199"/>
    <w:rsid w:val="00A11126"/>
    <w:rsid w:val="00A1336D"/>
    <w:rsid w:val="00A1573F"/>
    <w:rsid w:val="00A16040"/>
    <w:rsid w:val="00A16DDC"/>
    <w:rsid w:val="00A2116C"/>
    <w:rsid w:val="00A2172A"/>
    <w:rsid w:val="00A22250"/>
    <w:rsid w:val="00A22DA1"/>
    <w:rsid w:val="00A22FDB"/>
    <w:rsid w:val="00A23154"/>
    <w:rsid w:val="00A248C0"/>
    <w:rsid w:val="00A263E3"/>
    <w:rsid w:val="00A30796"/>
    <w:rsid w:val="00A347C5"/>
    <w:rsid w:val="00A34FE0"/>
    <w:rsid w:val="00A3560B"/>
    <w:rsid w:val="00A362A5"/>
    <w:rsid w:val="00A37794"/>
    <w:rsid w:val="00A40362"/>
    <w:rsid w:val="00A40A3E"/>
    <w:rsid w:val="00A40AE9"/>
    <w:rsid w:val="00A40B38"/>
    <w:rsid w:val="00A426C1"/>
    <w:rsid w:val="00A42932"/>
    <w:rsid w:val="00A42BD0"/>
    <w:rsid w:val="00A43133"/>
    <w:rsid w:val="00A43778"/>
    <w:rsid w:val="00A442BA"/>
    <w:rsid w:val="00A44A17"/>
    <w:rsid w:val="00A460CB"/>
    <w:rsid w:val="00A461A3"/>
    <w:rsid w:val="00A46604"/>
    <w:rsid w:val="00A46CBB"/>
    <w:rsid w:val="00A47F77"/>
    <w:rsid w:val="00A47F9D"/>
    <w:rsid w:val="00A50143"/>
    <w:rsid w:val="00A5077C"/>
    <w:rsid w:val="00A50B53"/>
    <w:rsid w:val="00A50FD2"/>
    <w:rsid w:val="00A50FEE"/>
    <w:rsid w:val="00A537C7"/>
    <w:rsid w:val="00A54466"/>
    <w:rsid w:val="00A54DAE"/>
    <w:rsid w:val="00A54EBB"/>
    <w:rsid w:val="00A57457"/>
    <w:rsid w:val="00A57A1E"/>
    <w:rsid w:val="00A60F87"/>
    <w:rsid w:val="00A6244D"/>
    <w:rsid w:val="00A64479"/>
    <w:rsid w:val="00A65184"/>
    <w:rsid w:val="00A669BF"/>
    <w:rsid w:val="00A701B0"/>
    <w:rsid w:val="00A70C27"/>
    <w:rsid w:val="00A712CB"/>
    <w:rsid w:val="00A71ABB"/>
    <w:rsid w:val="00A72197"/>
    <w:rsid w:val="00A753CF"/>
    <w:rsid w:val="00A757F0"/>
    <w:rsid w:val="00A76481"/>
    <w:rsid w:val="00A76AD0"/>
    <w:rsid w:val="00A76CFC"/>
    <w:rsid w:val="00A77239"/>
    <w:rsid w:val="00A772AA"/>
    <w:rsid w:val="00A77589"/>
    <w:rsid w:val="00A80EEA"/>
    <w:rsid w:val="00A80F92"/>
    <w:rsid w:val="00A81D6A"/>
    <w:rsid w:val="00A82C8C"/>
    <w:rsid w:val="00A82E18"/>
    <w:rsid w:val="00A85B16"/>
    <w:rsid w:val="00A863C3"/>
    <w:rsid w:val="00A902A2"/>
    <w:rsid w:val="00A9069C"/>
    <w:rsid w:val="00A91B4E"/>
    <w:rsid w:val="00A9258F"/>
    <w:rsid w:val="00A93127"/>
    <w:rsid w:val="00A939AD"/>
    <w:rsid w:val="00A93CA5"/>
    <w:rsid w:val="00A94FCD"/>
    <w:rsid w:val="00A9576D"/>
    <w:rsid w:val="00A95CFB"/>
    <w:rsid w:val="00A96793"/>
    <w:rsid w:val="00AA1305"/>
    <w:rsid w:val="00AA159E"/>
    <w:rsid w:val="00AA1B22"/>
    <w:rsid w:val="00AA2445"/>
    <w:rsid w:val="00AA25DC"/>
    <w:rsid w:val="00AA2A6B"/>
    <w:rsid w:val="00AA2D3C"/>
    <w:rsid w:val="00AA40ED"/>
    <w:rsid w:val="00AA6017"/>
    <w:rsid w:val="00AA6EC4"/>
    <w:rsid w:val="00AA767E"/>
    <w:rsid w:val="00AA7F61"/>
    <w:rsid w:val="00AA7F87"/>
    <w:rsid w:val="00AB06F0"/>
    <w:rsid w:val="00AB0971"/>
    <w:rsid w:val="00AB09B4"/>
    <w:rsid w:val="00AB0C2E"/>
    <w:rsid w:val="00AB2ACE"/>
    <w:rsid w:val="00AB2BA2"/>
    <w:rsid w:val="00AB30E2"/>
    <w:rsid w:val="00AB3556"/>
    <w:rsid w:val="00AB44EE"/>
    <w:rsid w:val="00AB6BC8"/>
    <w:rsid w:val="00AC0CF0"/>
    <w:rsid w:val="00AC0E61"/>
    <w:rsid w:val="00AC11A4"/>
    <w:rsid w:val="00AC3AF5"/>
    <w:rsid w:val="00AC3E40"/>
    <w:rsid w:val="00AC59D9"/>
    <w:rsid w:val="00AC5BC8"/>
    <w:rsid w:val="00AC5D62"/>
    <w:rsid w:val="00AC61C9"/>
    <w:rsid w:val="00AC7E50"/>
    <w:rsid w:val="00AD0267"/>
    <w:rsid w:val="00AD106C"/>
    <w:rsid w:val="00AD12E3"/>
    <w:rsid w:val="00AD1F0E"/>
    <w:rsid w:val="00AD31B2"/>
    <w:rsid w:val="00AD328A"/>
    <w:rsid w:val="00AD480D"/>
    <w:rsid w:val="00AD595F"/>
    <w:rsid w:val="00AD6D40"/>
    <w:rsid w:val="00AD7B21"/>
    <w:rsid w:val="00AE049A"/>
    <w:rsid w:val="00AE0637"/>
    <w:rsid w:val="00AE21C1"/>
    <w:rsid w:val="00AE22AA"/>
    <w:rsid w:val="00AE2815"/>
    <w:rsid w:val="00AE2DF9"/>
    <w:rsid w:val="00AE2FF1"/>
    <w:rsid w:val="00AE5382"/>
    <w:rsid w:val="00AE5755"/>
    <w:rsid w:val="00AE5E8B"/>
    <w:rsid w:val="00AE6D0C"/>
    <w:rsid w:val="00AE73BD"/>
    <w:rsid w:val="00AE7C19"/>
    <w:rsid w:val="00AF05F7"/>
    <w:rsid w:val="00AF1311"/>
    <w:rsid w:val="00AF1F31"/>
    <w:rsid w:val="00AF254C"/>
    <w:rsid w:val="00AF30AE"/>
    <w:rsid w:val="00AF3C77"/>
    <w:rsid w:val="00AF4060"/>
    <w:rsid w:val="00AF60EF"/>
    <w:rsid w:val="00AF6FFB"/>
    <w:rsid w:val="00AF75C2"/>
    <w:rsid w:val="00B006A1"/>
    <w:rsid w:val="00B00814"/>
    <w:rsid w:val="00B02176"/>
    <w:rsid w:val="00B02BBB"/>
    <w:rsid w:val="00B050DC"/>
    <w:rsid w:val="00B05A21"/>
    <w:rsid w:val="00B0611D"/>
    <w:rsid w:val="00B0661D"/>
    <w:rsid w:val="00B068F6"/>
    <w:rsid w:val="00B069AA"/>
    <w:rsid w:val="00B07306"/>
    <w:rsid w:val="00B107C7"/>
    <w:rsid w:val="00B11555"/>
    <w:rsid w:val="00B11CF0"/>
    <w:rsid w:val="00B133DB"/>
    <w:rsid w:val="00B13971"/>
    <w:rsid w:val="00B139F8"/>
    <w:rsid w:val="00B14527"/>
    <w:rsid w:val="00B14778"/>
    <w:rsid w:val="00B20361"/>
    <w:rsid w:val="00B208BC"/>
    <w:rsid w:val="00B216FE"/>
    <w:rsid w:val="00B21A8E"/>
    <w:rsid w:val="00B21B04"/>
    <w:rsid w:val="00B21CD4"/>
    <w:rsid w:val="00B22808"/>
    <w:rsid w:val="00B238BE"/>
    <w:rsid w:val="00B23CAA"/>
    <w:rsid w:val="00B23D56"/>
    <w:rsid w:val="00B25A98"/>
    <w:rsid w:val="00B2624B"/>
    <w:rsid w:val="00B26E5B"/>
    <w:rsid w:val="00B275D2"/>
    <w:rsid w:val="00B27781"/>
    <w:rsid w:val="00B300B6"/>
    <w:rsid w:val="00B32693"/>
    <w:rsid w:val="00B36FF7"/>
    <w:rsid w:val="00B3796B"/>
    <w:rsid w:val="00B37C50"/>
    <w:rsid w:val="00B37F35"/>
    <w:rsid w:val="00B413E5"/>
    <w:rsid w:val="00B415A8"/>
    <w:rsid w:val="00B42784"/>
    <w:rsid w:val="00B42C26"/>
    <w:rsid w:val="00B43036"/>
    <w:rsid w:val="00B439B3"/>
    <w:rsid w:val="00B450F2"/>
    <w:rsid w:val="00B5167E"/>
    <w:rsid w:val="00B54F85"/>
    <w:rsid w:val="00B5564E"/>
    <w:rsid w:val="00B56FB0"/>
    <w:rsid w:val="00B57A7A"/>
    <w:rsid w:val="00B57ECB"/>
    <w:rsid w:val="00B60616"/>
    <w:rsid w:val="00B606C4"/>
    <w:rsid w:val="00B6087B"/>
    <w:rsid w:val="00B61995"/>
    <w:rsid w:val="00B61B82"/>
    <w:rsid w:val="00B637A9"/>
    <w:rsid w:val="00B645ED"/>
    <w:rsid w:val="00B6582C"/>
    <w:rsid w:val="00B66AE2"/>
    <w:rsid w:val="00B702DB"/>
    <w:rsid w:val="00B7189D"/>
    <w:rsid w:val="00B71D09"/>
    <w:rsid w:val="00B7276C"/>
    <w:rsid w:val="00B72A83"/>
    <w:rsid w:val="00B730DB"/>
    <w:rsid w:val="00B7391A"/>
    <w:rsid w:val="00B73998"/>
    <w:rsid w:val="00B739BB"/>
    <w:rsid w:val="00B745A1"/>
    <w:rsid w:val="00B74ECB"/>
    <w:rsid w:val="00B75B06"/>
    <w:rsid w:val="00B75D73"/>
    <w:rsid w:val="00B770F9"/>
    <w:rsid w:val="00B7744A"/>
    <w:rsid w:val="00B80224"/>
    <w:rsid w:val="00B8107A"/>
    <w:rsid w:val="00B82116"/>
    <w:rsid w:val="00B83BE4"/>
    <w:rsid w:val="00B84AD8"/>
    <w:rsid w:val="00B84F71"/>
    <w:rsid w:val="00B85131"/>
    <w:rsid w:val="00B85C26"/>
    <w:rsid w:val="00B86F49"/>
    <w:rsid w:val="00B90BAE"/>
    <w:rsid w:val="00B90FB7"/>
    <w:rsid w:val="00B912D2"/>
    <w:rsid w:val="00B92E9D"/>
    <w:rsid w:val="00B9335B"/>
    <w:rsid w:val="00B93B08"/>
    <w:rsid w:val="00B9495D"/>
    <w:rsid w:val="00B94CB2"/>
    <w:rsid w:val="00B94E78"/>
    <w:rsid w:val="00B955CF"/>
    <w:rsid w:val="00B96672"/>
    <w:rsid w:val="00B9698A"/>
    <w:rsid w:val="00B97353"/>
    <w:rsid w:val="00B9755E"/>
    <w:rsid w:val="00B9788A"/>
    <w:rsid w:val="00B97B70"/>
    <w:rsid w:val="00BA04DB"/>
    <w:rsid w:val="00BA1403"/>
    <w:rsid w:val="00BA14F1"/>
    <w:rsid w:val="00BA1E6A"/>
    <w:rsid w:val="00BA3DC2"/>
    <w:rsid w:val="00BA44DA"/>
    <w:rsid w:val="00BA4654"/>
    <w:rsid w:val="00BA49AE"/>
    <w:rsid w:val="00BA5629"/>
    <w:rsid w:val="00BA5B28"/>
    <w:rsid w:val="00BA7AAF"/>
    <w:rsid w:val="00BB010C"/>
    <w:rsid w:val="00BB020D"/>
    <w:rsid w:val="00BB0F19"/>
    <w:rsid w:val="00BB1356"/>
    <w:rsid w:val="00BB1C50"/>
    <w:rsid w:val="00BB22F4"/>
    <w:rsid w:val="00BB2843"/>
    <w:rsid w:val="00BB3DAA"/>
    <w:rsid w:val="00BB492D"/>
    <w:rsid w:val="00BB5667"/>
    <w:rsid w:val="00BB7538"/>
    <w:rsid w:val="00BB7547"/>
    <w:rsid w:val="00BC0891"/>
    <w:rsid w:val="00BC096C"/>
    <w:rsid w:val="00BC10C7"/>
    <w:rsid w:val="00BC23E8"/>
    <w:rsid w:val="00BC3C3C"/>
    <w:rsid w:val="00BC3EF8"/>
    <w:rsid w:val="00BC5178"/>
    <w:rsid w:val="00BC5B5B"/>
    <w:rsid w:val="00BC5BF2"/>
    <w:rsid w:val="00BC6461"/>
    <w:rsid w:val="00BC6887"/>
    <w:rsid w:val="00BC6C4B"/>
    <w:rsid w:val="00BC73B4"/>
    <w:rsid w:val="00BC74C6"/>
    <w:rsid w:val="00BD2667"/>
    <w:rsid w:val="00BD2751"/>
    <w:rsid w:val="00BD2A09"/>
    <w:rsid w:val="00BD3AF9"/>
    <w:rsid w:val="00BD3CE4"/>
    <w:rsid w:val="00BD415C"/>
    <w:rsid w:val="00BD422D"/>
    <w:rsid w:val="00BD46DA"/>
    <w:rsid w:val="00BD5D1F"/>
    <w:rsid w:val="00BD66C7"/>
    <w:rsid w:val="00BD6A50"/>
    <w:rsid w:val="00BD77D0"/>
    <w:rsid w:val="00BD7A5A"/>
    <w:rsid w:val="00BE04DA"/>
    <w:rsid w:val="00BE0B52"/>
    <w:rsid w:val="00BE33CC"/>
    <w:rsid w:val="00BE54B8"/>
    <w:rsid w:val="00BE597A"/>
    <w:rsid w:val="00BE5C91"/>
    <w:rsid w:val="00BF0AB1"/>
    <w:rsid w:val="00BF128F"/>
    <w:rsid w:val="00BF2689"/>
    <w:rsid w:val="00BF2CFF"/>
    <w:rsid w:val="00BF390C"/>
    <w:rsid w:val="00BF39D9"/>
    <w:rsid w:val="00BF3A46"/>
    <w:rsid w:val="00BF3C30"/>
    <w:rsid w:val="00BF4908"/>
    <w:rsid w:val="00BF524E"/>
    <w:rsid w:val="00BF6749"/>
    <w:rsid w:val="00BF7890"/>
    <w:rsid w:val="00BF78EA"/>
    <w:rsid w:val="00C00BA7"/>
    <w:rsid w:val="00C010D3"/>
    <w:rsid w:val="00C0144A"/>
    <w:rsid w:val="00C02A0E"/>
    <w:rsid w:val="00C02BBD"/>
    <w:rsid w:val="00C02C14"/>
    <w:rsid w:val="00C03819"/>
    <w:rsid w:val="00C03E3D"/>
    <w:rsid w:val="00C04F34"/>
    <w:rsid w:val="00C054A3"/>
    <w:rsid w:val="00C123F5"/>
    <w:rsid w:val="00C13A50"/>
    <w:rsid w:val="00C148CA"/>
    <w:rsid w:val="00C14DD6"/>
    <w:rsid w:val="00C15A73"/>
    <w:rsid w:val="00C169BE"/>
    <w:rsid w:val="00C20475"/>
    <w:rsid w:val="00C20512"/>
    <w:rsid w:val="00C21ABF"/>
    <w:rsid w:val="00C2222B"/>
    <w:rsid w:val="00C24535"/>
    <w:rsid w:val="00C27193"/>
    <w:rsid w:val="00C27E40"/>
    <w:rsid w:val="00C303CA"/>
    <w:rsid w:val="00C31109"/>
    <w:rsid w:val="00C31EA5"/>
    <w:rsid w:val="00C34989"/>
    <w:rsid w:val="00C35274"/>
    <w:rsid w:val="00C353CF"/>
    <w:rsid w:val="00C355D2"/>
    <w:rsid w:val="00C35BBD"/>
    <w:rsid w:val="00C35D74"/>
    <w:rsid w:val="00C3633A"/>
    <w:rsid w:val="00C36614"/>
    <w:rsid w:val="00C3671F"/>
    <w:rsid w:val="00C371CD"/>
    <w:rsid w:val="00C37388"/>
    <w:rsid w:val="00C37545"/>
    <w:rsid w:val="00C400DD"/>
    <w:rsid w:val="00C40421"/>
    <w:rsid w:val="00C40844"/>
    <w:rsid w:val="00C40DDE"/>
    <w:rsid w:val="00C4109E"/>
    <w:rsid w:val="00C42152"/>
    <w:rsid w:val="00C42C33"/>
    <w:rsid w:val="00C42DC0"/>
    <w:rsid w:val="00C454D8"/>
    <w:rsid w:val="00C466F9"/>
    <w:rsid w:val="00C47E9C"/>
    <w:rsid w:val="00C51131"/>
    <w:rsid w:val="00C513CF"/>
    <w:rsid w:val="00C52351"/>
    <w:rsid w:val="00C52584"/>
    <w:rsid w:val="00C5264B"/>
    <w:rsid w:val="00C52C7B"/>
    <w:rsid w:val="00C542BE"/>
    <w:rsid w:val="00C54343"/>
    <w:rsid w:val="00C54B8E"/>
    <w:rsid w:val="00C553BE"/>
    <w:rsid w:val="00C55F24"/>
    <w:rsid w:val="00C56B38"/>
    <w:rsid w:val="00C5722C"/>
    <w:rsid w:val="00C5777B"/>
    <w:rsid w:val="00C57C02"/>
    <w:rsid w:val="00C57E28"/>
    <w:rsid w:val="00C60ED3"/>
    <w:rsid w:val="00C6328E"/>
    <w:rsid w:val="00C637A9"/>
    <w:rsid w:val="00C63FFE"/>
    <w:rsid w:val="00C64394"/>
    <w:rsid w:val="00C64A82"/>
    <w:rsid w:val="00C65230"/>
    <w:rsid w:val="00C66136"/>
    <w:rsid w:val="00C6637D"/>
    <w:rsid w:val="00C6676B"/>
    <w:rsid w:val="00C6751A"/>
    <w:rsid w:val="00C70A27"/>
    <w:rsid w:val="00C713A3"/>
    <w:rsid w:val="00C7315A"/>
    <w:rsid w:val="00C7342F"/>
    <w:rsid w:val="00C748EB"/>
    <w:rsid w:val="00C75112"/>
    <w:rsid w:val="00C75F4A"/>
    <w:rsid w:val="00C7686F"/>
    <w:rsid w:val="00C76E16"/>
    <w:rsid w:val="00C77FA8"/>
    <w:rsid w:val="00C80CA8"/>
    <w:rsid w:val="00C8146F"/>
    <w:rsid w:val="00C81E0A"/>
    <w:rsid w:val="00C83501"/>
    <w:rsid w:val="00C83B7D"/>
    <w:rsid w:val="00C83D05"/>
    <w:rsid w:val="00C8595C"/>
    <w:rsid w:val="00C87961"/>
    <w:rsid w:val="00C87F57"/>
    <w:rsid w:val="00C903EC"/>
    <w:rsid w:val="00C92606"/>
    <w:rsid w:val="00C92F83"/>
    <w:rsid w:val="00C933A6"/>
    <w:rsid w:val="00C938BF"/>
    <w:rsid w:val="00C938DB"/>
    <w:rsid w:val="00C94B54"/>
    <w:rsid w:val="00C950F3"/>
    <w:rsid w:val="00C96EF1"/>
    <w:rsid w:val="00C97681"/>
    <w:rsid w:val="00CA1464"/>
    <w:rsid w:val="00CA2255"/>
    <w:rsid w:val="00CA2CAC"/>
    <w:rsid w:val="00CA30D4"/>
    <w:rsid w:val="00CA384C"/>
    <w:rsid w:val="00CA4514"/>
    <w:rsid w:val="00CA4AC5"/>
    <w:rsid w:val="00CA5598"/>
    <w:rsid w:val="00CA5C0D"/>
    <w:rsid w:val="00CA678F"/>
    <w:rsid w:val="00CB0BAD"/>
    <w:rsid w:val="00CB1F37"/>
    <w:rsid w:val="00CB3206"/>
    <w:rsid w:val="00CB3580"/>
    <w:rsid w:val="00CB4C59"/>
    <w:rsid w:val="00CB55D8"/>
    <w:rsid w:val="00CB5EC5"/>
    <w:rsid w:val="00CB65BB"/>
    <w:rsid w:val="00CB6F72"/>
    <w:rsid w:val="00CB793E"/>
    <w:rsid w:val="00CB7C57"/>
    <w:rsid w:val="00CB7E0B"/>
    <w:rsid w:val="00CC00A2"/>
    <w:rsid w:val="00CC026D"/>
    <w:rsid w:val="00CC0393"/>
    <w:rsid w:val="00CC06FF"/>
    <w:rsid w:val="00CC0C8F"/>
    <w:rsid w:val="00CC12BF"/>
    <w:rsid w:val="00CC26FF"/>
    <w:rsid w:val="00CC2904"/>
    <w:rsid w:val="00CC360B"/>
    <w:rsid w:val="00CC5387"/>
    <w:rsid w:val="00CC6360"/>
    <w:rsid w:val="00CC769D"/>
    <w:rsid w:val="00CD0396"/>
    <w:rsid w:val="00CD2074"/>
    <w:rsid w:val="00CD23E5"/>
    <w:rsid w:val="00CD2DAC"/>
    <w:rsid w:val="00CD2E26"/>
    <w:rsid w:val="00CD3FB0"/>
    <w:rsid w:val="00CD50EA"/>
    <w:rsid w:val="00CD5363"/>
    <w:rsid w:val="00CD744E"/>
    <w:rsid w:val="00CE03DB"/>
    <w:rsid w:val="00CE1E6A"/>
    <w:rsid w:val="00CE3312"/>
    <w:rsid w:val="00CE4C4D"/>
    <w:rsid w:val="00CE5468"/>
    <w:rsid w:val="00CE5470"/>
    <w:rsid w:val="00CE56A2"/>
    <w:rsid w:val="00CE5F3D"/>
    <w:rsid w:val="00CE6109"/>
    <w:rsid w:val="00CE6A90"/>
    <w:rsid w:val="00CE7482"/>
    <w:rsid w:val="00CF07AC"/>
    <w:rsid w:val="00CF0BF5"/>
    <w:rsid w:val="00CF0F5F"/>
    <w:rsid w:val="00CF1636"/>
    <w:rsid w:val="00CF3FED"/>
    <w:rsid w:val="00CF45AD"/>
    <w:rsid w:val="00CF4DFA"/>
    <w:rsid w:val="00CF6631"/>
    <w:rsid w:val="00D01CD5"/>
    <w:rsid w:val="00D01DD0"/>
    <w:rsid w:val="00D042F0"/>
    <w:rsid w:val="00D04EB1"/>
    <w:rsid w:val="00D0653B"/>
    <w:rsid w:val="00D072FD"/>
    <w:rsid w:val="00D07980"/>
    <w:rsid w:val="00D07A87"/>
    <w:rsid w:val="00D07D5C"/>
    <w:rsid w:val="00D10BA7"/>
    <w:rsid w:val="00D1192E"/>
    <w:rsid w:val="00D126DD"/>
    <w:rsid w:val="00D138A8"/>
    <w:rsid w:val="00D13B37"/>
    <w:rsid w:val="00D142CA"/>
    <w:rsid w:val="00D16046"/>
    <w:rsid w:val="00D16C79"/>
    <w:rsid w:val="00D16F20"/>
    <w:rsid w:val="00D172C7"/>
    <w:rsid w:val="00D2283D"/>
    <w:rsid w:val="00D22D0D"/>
    <w:rsid w:val="00D231F6"/>
    <w:rsid w:val="00D23280"/>
    <w:rsid w:val="00D257DB"/>
    <w:rsid w:val="00D25867"/>
    <w:rsid w:val="00D26314"/>
    <w:rsid w:val="00D2666D"/>
    <w:rsid w:val="00D30CE0"/>
    <w:rsid w:val="00D313F7"/>
    <w:rsid w:val="00D31D5B"/>
    <w:rsid w:val="00D321E0"/>
    <w:rsid w:val="00D331FA"/>
    <w:rsid w:val="00D3375B"/>
    <w:rsid w:val="00D3406B"/>
    <w:rsid w:val="00D3460A"/>
    <w:rsid w:val="00D353FB"/>
    <w:rsid w:val="00D3752F"/>
    <w:rsid w:val="00D377EC"/>
    <w:rsid w:val="00D42D2C"/>
    <w:rsid w:val="00D433FC"/>
    <w:rsid w:val="00D44F54"/>
    <w:rsid w:val="00D468E6"/>
    <w:rsid w:val="00D46F64"/>
    <w:rsid w:val="00D473C5"/>
    <w:rsid w:val="00D4790F"/>
    <w:rsid w:val="00D47CBE"/>
    <w:rsid w:val="00D52888"/>
    <w:rsid w:val="00D5295B"/>
    <w:rsid w:val="00D5345D"/>
    <w:rsid w:val="00D541F7"/>
    <w:rsid w:val="00D54564"/>
    <w:rsid w:val="00D55231"/>
    <w:rsid w:val="00D557CE"/>
    <w:rsid w:val="00D5643E"/>
    <w:rsid w:val="00D57597"/>
    <w:rsid w:val="00D60354"/>
    <w:rsid w:val="00D614DF"/>
    <w:rsid w:val="00D6285A"/>
    <w:rsid w:val="00D632A5"/>
    <w:rsid w:val="00D63CE9"/>
    <w:rsid w:val="00D6446C"/>
    <w:rsid w:val="00D64DC0"/>
    <w:rsid w:val="00D64DFB"/>
    <w:rsid w:val="00D67CBD"/>
    <w:rsid w:val="00D70D34"/>
    <w:rsid w:val="00D718E7"/>
    <w:rsid w:val="00D72AD0"/>
    <w:rsid w:val="00D73F19"/>
    <w:rsid w:val="00D7433A"/>
    <w:rsid w:val="00D744B9"/>
    <w:rsid w:val="00D74BB6"/>
    <w:rsid w:val="00D75895"/>
    <w:rsid w:val="00D7639D"/>
    <w:rsid w:val="00D76598"/>
    <w:rsid w:val="00D77B7E"/>
    <w:rsid w:val="00D826FA"/>
    <w:rsid w:val="00D829B1"/>
    <w:rsid w:val="00D82CF1"/>
    <w:rsid w:val="00D83E1D"/>
    <w:rsid w:val="00D84B34"/>
    <w:rsid w:val="00D84E0F"/>
    <w:rsid w:val="00D86F17"/>
    <w:rsid w:val="00D874E9"/>
    <w:rsid w:val="00D87A39"/>
    <w:rsid w:val="00D87CDC"/>
    <w:rsid w:val="00D90C74"/>
    <w:rsid w:val="00D91247"/>
    <w:rsid w:val="00D913C2"/>
    <w:rsid w:val="00D915D6"/>
    <w:rsid w:val="00D9166D"/>
    <w:rsid w:val="00D9167F"/>
    <w:rsid w:val="00D91DF3"/>
    <w:rsid w:val="00D91FC5"/>
    <w:rsid w:val="00D92FDD"/>
    <w:rsid w:val="00D932E0"/>
    <w:rsid w:val="00D933AB"/>
    <w:rsid w:val="00D9503E"/>
    <w:rsid w:val="00D9564D"/>
    <w:rsid w:val="00D96F65"/>
    <w:rsid w:val="00D97793"/>
    <w:rsid w:val="00D97996"/>
    <w:rsid w:val="00DA3055"/>
    <w:rsid w:val="00DA3313"/>
    <w:rsid w:val="00DA421F"/>
    <w:rsid w:val="00DA5221"/>
    <w:rsid w:val="00DA5241"/>
    <w:rsid w:val="00DA5981"/>
    <w:rsid w:val="00DB127E"/>
    <w:rsid w:val="00DB2DE8"/>
    <w:rsid w:val="00DB5A21"/>
    <w:rsid w:val="00DB5CB9"/>
    <w:rsid w:val="00DC0669"/>
    <w:rsid w:val="00DC35BA"/>
    <w:rsid w:val="00DC360F"/>
    <w:rsid w:val="00DC372A"/>
    <w:rsid w:val="00DD0DE4"/>
    <w:rsid w:val="00DD0F91"/>
    <w:rsid w:val="00DD503D"/>
    <w:rsid w:val="00DD56F6"/>
    <w:rsid w:val="00DD6C6C"/>
    <w:rsid w:val="00DD7503"/>
    <w:rsid w:val="00DE2B2B"/>
    <w:rsid w:val="00DE427A"/>
    <w:rsid w:val="00DE4738"/>
    <w:rsid w:val="00DE48B7"/>
    <w:rsid w:val="00DE4D49"/>
    <w:rsid w:val="00DE4E69"/>
    <w:rsid w:val="00DE50C1"/>
    <w:rsid w:val="00DE5AF5"/>
    <w:rsid w:val="00DE60E2"/>
    <w:rsid w:val="00DE72D2"/>
    <w:rsid w:val="00DE7454"/>
    <w:rsid w:val="00DE78A3"/>
    <w:rsid w:val="00DF0C9F"/>
    <w:rsid w:val="00DF11C7"/>
    <w:rsid w:val="00DF144E"/>
    <w:rsid w:val="00DF17B1"/>
    <w:rsid w:val="00DF279B"/>
    <w:rsid w:val="00DF4828"/>
    <w:rsid w:val="00DF4D70"/>
    <w:rsid w:val="00DF5A49"/>
    <w:rsid w:val="00DF7042"/>
    <w:rsid w:val="00DF7937"/>
    <w:rsid w:val="00DF7C97"/>
    <w:rsid w:val="00E00FF1"/>
    <w:rsid w:val="00E018F2"/>
    <w:rsid w:val="00E01FC1"/>
    <w:rsid w:val="00E02380"/>
    <w:rsid w:val="00E02733"/>
    <w:rsid w:val="00E039D7"/>
    <w:rsid w:val="00E03A63"/>
    <w:rsid w:val="00E05F44"/>
    <w:rsid w:val="00E07609"/>
    <w:rsid w:val="00E07CB9"/>
    <w:rsid w:val="00E10389"/>
    <w:rsid w:val="00E12078"/>
    <w:rsid w:val="00E13EC3"/>
    <w:rsid w:val="00E148DD"/>
    <w:rsid w:val="00E14941"/>
    <w:rsid w:val="00E156F4"/>
    <w:rsid w:val="00E16778"/>
    <w:rsid w:val="00E20867"/>
    <w:rsid w:val="00E20C03"/>
    <w:rsid w:val="00E22059"/>
    <w:rsid w:val="00E22A2D"/>
    <w:rsid w:val="00E23C17"/>
    <w:rsid w:val="00E24B99"/>
    <w:rsid w:val="00E251EB"/>
    <w:rsid w:val="00E256A2"/>
    <w:rsid w:val="00E25714"/>
    <w:rsid w:val="00E259A8"/>
    <w:rsid w:val="00E25C4E"/>
    <w:rsid w:val="00E26932"/>
    <w:rsid w:val="00E3102B"/>
    <w:rsid w:val="00E3186C"/>
    <w:rsid w:val="00E318C6"/>
    <w:rsid w:val="00E31C10"/>
    <w:rsid w:val="00E32099"/>
    <w:rsid w:val="00E326F7"/>
    <w:rsid w:val="00E3429E"/>
    <w:rsid w:val="00E3434E"/>
    <w:rsid w:val="00E34483"/>
    <w:rsid w:val="00E346FE"/>
    <w:rsid w:val="00E360DC"/>
    <w:rsid w:val="00E36B81"/>
    <w:rsid w:val="00E3754E"/>
    <w:rsid w:val="00E378BF"/>
    <w:rsid w:val="00E40206"/>
    <w:rsid w:val="00E40822"/>
    <w:rsid w:val="00E41BE5"/>
    <w:rsid w:val="00E4404C"/>
    <w:rsid w:val="00E44073"/>
    <w:rsid w:val="00E45B35"/>
    <w:rsid w:val="00E45E07"/>
    <w:rsid w:val="00E475A2"/>
    <w:rsid w:val="00E47DF1"/>
    <w:rsid w:val="00E5129A"/>
    <w:rsid w:val="00E516B6"/>
    <w:rsid w:val="00E51761"/>
    <w:rsid w:val="00E52945"/>
    <w:rsid w:val="00E537EC"/>
    <w:rsid w:val="00E54560"/>
    <w:rsid w:val="00E55070"/>
    <w:rsid w:val="00E55794"/>
    <w:rsid w:val="00E55880"/>
    <w:rsid w:val="00E55B64"/>
    <w:rsid w:val="00E55C9E"/>
    <w:rsid w:val="00E57974"/>
    <w:rsid w:val="00E6050D"/>
    <w:rsid w:val="00E61287"/>
    <w:rsid w:val="00E61628"/>
    <w:rsid w:val="00E618C2"/>
    <w:rsid w:val="00E62F06"/>
    <w:rsid w:val="00E644A7"/>
    <w:rsid w:val="00E6577A"/>
    <w:rsid w:val="00E659B6"/>
    <w:rsid w:val="00E66602"/>
    <w:rsid w:val="00E668B0"/>
    <w:rsid w:val="00E67621"/>
    <w:rsid w:val="00E67852"/>
    <w:rsid w:val="00E67BA6"/>
    <w:rsid w:val="00E70B27"/>
    <w:rsid w:val="00E72424"/>
    <w:rsid w:val="00E72A78"/>
    <w:rsid w:val="00E737F4"/>
    <w:rsid w:val="00E746D7"/>
    <w:rsid w:val="00E74FF9"/>
    <w:rsid w:val="00E7626A"/>
    <w:rsid w:val="00E7742F"/>
    <w:rsid w:val="00E7747A"/>
    <w:rsid w:val="00E779F0"/>
    <w:rsid w:val="00E81B15"/>
    <w:rsid w:val="00E81BC8"/>
    <w:rsid w:val="00E81F7C"/>
    <w:rsid w:val="00E826DE"/>
    <w:rsid w:val="00E8416B"/>
    <w:rsid w:val="00E85858"/>
    <w:rsid w:val="00E85E3E"/>
    <w:rsid w:val="00E86778"/>
    <w:rsid w:val="00E86798"/>
    <w:rsid w:val="00E86ACD"/>
    <w:rsid w:val="00E87147"/>
    <w:rsid w:val="00E87266"/>
    <w:rsid w:val="00E87520"/>
    <w:rsid w:val="00E8754D"/>
    <w:rsid w:val="00E8771D"/>
    <w:rsid w:val="00E87B8D"/>
    <w:rsid w:val="00E87C2F"/>
    <w:rsid w:val="00E90F0B"/>
    <w:rsid w:val="00E9167F"/>
    <w:rsid w:val="00E92124"/>
    <w:rsid w:val="00E9300C"/>
    <w:rsid w:val="00E93231"/>
    <w:rsid w:val="00E9330D"/>
    <w:rsid w:val="00E9394C"/>
    <w:rsid w:val="00E94577"/>
    <w:rsid w:val="00E948BE"/>
    <w:rsid w:val="00E95044"/>
    <w:rsid w:val="00E9530E"/>
    <w:rsid w:val="00E95590"/>
    <w:rsid w:val="00E9640A"/>
    <w:rsid w:val="00E9736F"/>
    <w:rsid w:val="00EA0081"/>
    <w:rsid w:val="00EA19B8"/>
    <w:rsid w:val="00EA1EA3"/>
    <w:rsid w:val="00EA2951"/>
    <w:rsid w:val="00EA2C9C"/>
    <w:rsid w:val="00EA2D40"/>
    <w:rsid w:val="00EA36C6"/>
    <w:rsid w:val="00EA618F"/>
    <w:rsid w:val="00EB1863"/>
    <w:rsid w:val="00EB3E3E"/>
    <w:rsid w:val="00EB4822"/>
    <w:rsid w:val="00EB5423"/>
    <w:rsid w:val="00EB5813"/>
    <w:rsid w:val="00EB59FC"/>
    <w:rsid w:val="00EB5F2F"/>
    <w:rsid w:val="00EB7967"/>
    <w:rsid w:val="00EC0469"/>
    <w:rsid w:val="00EC051B"/>
    <w:rsid w:val="00EC0B8B"/>
    <w:rsid w:val="00EC2594"/>
    <w:rsid w:val="00EC2B91"/>
    <w:rsid w:val="00EC3EB3"/>
    <w:rsid w:val="00EC46B7"/>
    <w:rsid w:val="00EC5358"/>
    <w:rsid w:val="00EC6342"/>
    <w:rsid w:val="00EC6B39"/>
    <w:rsid w:val="00EC6E2A"/>
    <w:rsid w:val="00EC7C08"/>
    <w:rsid w:val="00EC7ED1"/>
    <w:rsid w:val="00ED0929"/>
    <w:rsid w:val="00ED0E29"/>
    <w:rsid w:val="00ED1710"/>
    <w:rsid w:val="00ED1A4F"/>
    <w:rsid w:val="00ED2A53"/>
    <w:rsid w:val="00ED391B"/>
    <w:rsid w:val="00ED43B5"/>
    <w:rsid w:val="00ED4CFD"/>
    <w:rsid w:val="00ED5881"/>
    <w:rsid w:val="00ED616E"/>
    <w:rsid w:val="00ED6606"/>
    <w:rsid w:val="00ED72E6"/>
    <w:rsid w:val="00EE1372"/>
    <w:rsid w:val="00EE43CB"/>
    <w:rsid w:val="00EE4655"/>
    <w:rsid w:val="00EE4AAF"/>
    <w:rsid w:val="00EE4CB7"/>
    <w:rsid w:val="00EE617C"/>
    <w:rsid w:val="00EE65A8"/>
    <w:rsid w:val="00EE6680"/>
    <w:rsid w:val="00EE7001"/>
    <w:rsid w:val="00EF2A7E"/>
    <w:rsid w:val="00EF3CFA"/>
    <w:rsid w:val="00EF4725"/>
    <w:rsid w:val="00EF5E6C"/>
    <w:rsid w:val="00EF6A84"/>
    <w:rsid w:val="00EF703A"/>
    <w:rsid w:val="00EF71DB"/>
    <w:rsid w:val="00EF7432"/>
    <w:rsid w:val="00EF75D9"/>
    <w:rsid w:val="00F00575"/>
    <w:rsid w:val="00F01278"/>
    <w:rsid w:val="00F01E55"/>
    <w:rsid w:val="00F020DA"/>
    <w:rsid w:val="00F024FF"/>
    <w:rsid w:val="00F02AF3"/>
    <w:rsid w:val="00F05C30"/>
    <w:rsid w:val="00F06D7B"/>
    <w:rsid w:val="00F0790E"/>
    <w:rsid w:val="00F10BEE"/>
    <w:rsid w:val="00F11160"/>
    <w:rsid w:val="00F12032"/>
    <w:rsid w:val="00F121A8"/>
    <w:rsid w:val="00F122CB"/>
    <w:rsid w:val="00F12539"/>
    <w:rsid w:val="00F14A0A"/>
    <w:rsid w:val="00F158C6"/>
    <w:rsid w:val="00F17AF1"/>
    <w:rsid w:val="00F213D0"/>
    <w:rsid w:val="00F219BD"/>
    <w:rsid w:val="00F2274E"/>
    <w:rsid w:val="00F2519D"/>
    <w:rsid w:val="00F27E16"/>
    <w:rsid w:val="00F30A29"/>
    <w:rsid w:val="00F3140B"/>
    <w:rsid w:val="00F342E7"/>
    <w:rsid w:val="00F35938"/>
    <w:rsid w:val="00F35D24"/>
    <w:rsid w:val="00F35D61"/>
    <w:rsid w:val="00F372B5"/>
    <w:rsid w:val="00F41035"/>
    <w:rsid w:val="00F41238"/>
    <w:rsid w:val="00F427D4"/>
    <w:rsid w:val="00F42912"/>
    <w:rsid w:val="00F45852"/>
    <w:rsid w:val="00F472E2"/>
    <w:rsid w:val="00F4756F"/>
    <w:rsid w:val="00F47574"/>
    <w:rsid w:val="00F4778C"/>
    <w:rsid w:val="00F50B03"/>
    <w:rsid w:val="00F51B30"/>
    <w:rsid w:val="00F53889"/>
    <w:rsid w:val="00F53E82"/>
    <w:rsid w:val="00F5401F"/>
    <w:rsid w:val="00F543A1"/>
    <w:rsid w:val="00F577F8"/>
    <w:rsid w:val="00F57927"/>
    <w:rsid w:val="00F60EF4"/>
    <w:rsid w:val="00F6195E"/>
    <w:rsid w:val="00F61A72"/>
    <w:rsid w:val="00F62DE3"/>
    <w:rsid w:val="00F63053"/>
    <w:rsid w:val="00F632E8"/>
    <w:rsid w:val="00F63F67"/>
    <w:rsid w:val="00F648C5"/>
    <w:rsid w:val="00F65500"/>
    <w:rsid w:val="00F65DA0"/>
    <w:rsid w:val="00F66C8A"/>
    <w:rsid w:val="00F70170"/>
    <w:rsid w:val="00F71218"/>
    <w:rsid w:val="00F74FB7"/>
    <w:rsid w:val="00F75209"/>
    <w:rsid w:val="00F75625"/>
    <w:rsid w:val="00F75C69"/>
    <w:rsid w:val="00F75F7F"/>
    <w:rsid w:val="00F769AC"/>
    <w:rsid w:val="00F76CDA"/>
    <w:rsid w:val="00F76F1C"/>
    <w:rsid w:val="00F80371"/>
    <w:rsid w:val="00F807AF"/>
    <w:rsid w:val="00F80C58"/>
    <w:rsid w:val="00F82265"/>
    <w:rsid w:val="00F82845"/>
    <w:rsid w:val="00F840BF"/>
    <w:rsid w:val="00F84406"/>
    <w:rsid w:val="00F85344"/>
    <w:rsid w:val="00F85695"/>
    <w:rsid w:val="00F86297"/>
    <w:rsid w:val="00F912BF"/>
    <w:rsid w:val="00F9171A"/>
    <w:rsid w:val="00F94E3D"/>
    <w:rsid w:val="00F95504"/>
    <w:rsid w:val="00F967E7"/>
    <w:rsid w:val="00F96B3F"/>
    <w:rsid w:val="00F97987"/>
    <w:rsid w:val="00F97FF0"/>
    <w:rsid w:val="00FA0F6A"/>
    <w:rsid w:val="00FA1483"/>
    <w:rsid w:val="00FA1F9C"/>
    <w:rsid w:val="00FA218D"/>
    <w:rsid w:val="00FA2F64"/>
    <w:rsid w:val="00FA4FD9"/>
    <w:rsid w:val="00FA5244"/>
    <w:rsid w:val="00FA5D2F"/>
    <w:rsid w:val="00FA60EC"/>
    <w:rsid w:val="00FB017D"/>
    <w:rsid w:val="00FB05D6"/>
    <w:rsid w:val="00FB1181"/>
    <w:rsid w:val="00FB1682"/>
    <w:rsid w:val="00FB1D61"/>
    <w:rsid w:val="00FB1DDA"/>
    <w:rsid w:val="00FB202E"/>
    <w:rsid w:val="00FB22FB"/>
    <w:rsid w:val="00FB436B"/>
    <w:rsid w:val="00FB4569"/>
    <w:rsid w:val="00FB59B4"/>
    <w:rsid w:val="00FB5F82"/>
    <w:rsid w:val="00FB6125"/>
    <w:rsid w:val="00FC0A8E"/>
    <w:rsid w:val="00FC1F85"/>
    <w:rsid w:val="00FC3C09"/>
    <w:rsid w:val="00FC4F76"/>
    <w:rsid w:val="00FC52B7"/>
    <w:rsid w:val="00FC5685"/>
    <w:rsid w:val="00FC701A"/>
    <w:rsid w:val="00FD002A"/>
    <w:rsid w:val="00FD052B"/>
    <w:rsid w:val="00FD1D45"/>
    <w:rsid w:val="00FD2025"/>
    <w:rsid w:val="00FD25C7"/>
    <w:rsid w:val="00FD299E"/>
    <w:rsid w:val="00FD34F7"/>
    <w:rsid w:val="00FD359D"/>
    <w:rsid w:val="00FD4A5C"/>
    <w:rsid w:val="00FD6750"/>
    <w:rsid w:val="00FD6D0C"/>
    <w:rsid w:val="00FD7280"/>
    <w:rsid w:val="00FD75BD"/>
    <w:rsid w:val="00FE061D"/>
    <w:rsid w:val="00FE0D42"/>
    <w:rsid w:val="00FE13A6"/>
    <w:rsid w:val="00FE278B"/>
    <w:rsid w:val="00FE3066"/>
    <w:rsid w:val="00FE35FE"/>
    <w:rsid w:val="00FE373E"/>
    <w:rsid w:val="00FE4A31"/>
    <w:rsid w:val="00FE4B17"/>
    <w:rsid w:val="00FE4E8E"/>
    <w:rsid w:val="00FE5513"/>
    <w:rsid w:val="00FE648F"/>
    <w:rsid w:val="00FE7057"/>
    <w:rsid w:val="00FE7374"/>
    <w:rsid w:val="00FF0D63"/>
    <w:rsid w:val="00FF1F3B"/>
    <w:rsid w:val="00FF260F"/>
    <w:rsid w:val="00FF4DCC"/>
    <w:rsid w:val="00FF667A"/>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D535C3"/>
  <w15:chartTrackingRefBased/>
  <w15:docId w15:val="{CB8305EB-E49E-4847-8908-D53332A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3">
    <w:name w:val="heading 3"/>
    <w:basedOn w:val="Normal"/>
    <w:next w:val="Normal"/>
    <w:link w:val="Heading3Char"/>
    <w:uiPriority w:val="9"/>
    <w:unhideWhenUsed/>
    <w:qFormat/>
    <w:rsid w:val="006C41D3"/>
    <w:pPr>
      <w:keepNext/>
      <w:keepLines/>
      <w:spacing w:before="40" w:after="0"/>
      <w:ind w:firstLine="0"/>
      <w:jc w:val="left"/>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3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iPriority w:val="99"/>
    <w:semiHidden/>
    <w:unhideWhenUsed/>
    <w:rsid w:val="00010A20"/>
    <w:rPr>
      <w:rFonts w:eastAsia="Calibri"/>
      <w:sz w:val="20"/>
      <w:lang w:val="x-none" w:eastAsia="x-none"/>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link w:val="FootnoteText"/>
    <w:uiPriority w:val="99"/>
    <w:semiHidden/>
    <w:rsid w:val="00010A20"/>
    <w:rPr>
      <w:rFonts w:ascii="Times New Roman" w:hAnsi="Times New Roman"/>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
    <w:uiPriority w:val="99"/>
    <w:semiHidden/>
    <w:unhideWhenUsed/>
    <w:qFormat/>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rsid w:val="00CD2074"/>
    <w:pPr>
      <w:tabs>
        <w:tab w:val="center" w:pos="4153"/>
        <w:tab w:val="right" w:pos="8306"/>
      </w:tabs>
      <w:spacing w:after="0"/>
      <w:ind w:firstLine="0"/>
    </w:pPr>
    <w:rPr>
      <w:lang w:val="x-none" w:eastAsia="x-none"/>
    </w:rPr>
  </w:style>
  <w:style w:type="character" w:customStyle="1" w:styleId="HeaderChar">
    <w:name w:val="Header Char"/>
    <w:link w:val="Header"/>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 w:type="paragraph" w:styleId="EndnoteText">
    <w:name w:val="endnote text"/>
    <w:basedOn w:val="Normal"/>
    <w:link w:val="EndnoteTextChar"/>
    <w:uiPriority w:val="99"/>
    <w:unhideWhenUsed/>
    <w:rsid w:val="005A06FF"/>
    <w:pPr>
      <w:spacing w:after="0"/>
      <w:ind w:firstLine="0"/>
    </w:pPr>
    <w:rPr>
      <w:color w:val="333333"/>
      <w:sz w:val="20"/>
    </w:rPr>
  </w:style>
  <w:style w:type="character" w:customStyle="1" w:styleId="EndnoteTextChar">
    <w:name w:val="Endnote Text Char"/>
    <w:basedOn w:val="DefaultParagraphFont"/>
    <w:link w:val="EndnoteText"/>
    <w:uiPriority w:val="99"/>
    <w:rsid w:val="005A06FF"/>
    <w:rPr>
      <w:rFonts w:ascii="Times New Roman" w:eastAsia="Times New Roman" w:hAnsi="Times New Roman"/>
      <w:color w:val="333333"/>
      <w:lang w:val="lv-LV"/>
    </w:rPr>
  </w:style>
  <w:style w:type="character" w:styleId="EndnoteReference">
    <w:name w:val="endnote reference"/>
    <w:basedOn w:val="DefaultParagraphFont"/>
    <w:uiPriority w:val="99"/>
    <w:unhideWhenUsed/>
    <w:rsid w:val="005A06FF"/>
    <w:rPr>
      <w:vertAlign w:val="superscript"/>
    </w:rPr>
  </w:style>
  <w:style w:type="paragraph" w:styleId="NoSpacing">
    <w:name w:val="No Spacing"/>
    <w:uiPriority w:val="1"/>
    <w:qFormat/>
    <w:rsid w:val="00906655"/>
    <w:pPr>
      <w:suppressAutoHyphens/>
      <w:autoSpaceDN w:val="0"/>
      <w:textAlignment w:val="baseline"/>
    </w:pPr>
    <w:rPr>
      <w:sz w:val="22"/>
      <w:szCs w:val="22"/>
      <w:lang w:val="lv-LV"/>
    </w:rPr>
  </w:style>
  <w:style w:type="character" w:styleId="Emphasis">
    <w:name w:val="Emphasis"/>
    <w:basedOn w:val="DefaultParagraphFont"/>
    <w:uiPriority w:val="20"/>
    <w:qFormat/>
    <w:rsid w:val="005D4F8F"/>
    <w:rPr>
      <w:i/>
      <w:iCs/>
    </w:rPr>
  </w:style>
  <w:style w:type="paragraph" w:styleId="NormalWeb">
    <w:name w:val="Normal (Web)"/>
    <w:basedOn w:val="Normal"/>
    <w:uiPriority w:val="99"/>
    <w:semiHidden/>
    <w:unhideWhenUsed/>
    <w:rsid w:val="007C1D00"/>
    <w:pPr>
      <w:spacing w:before="100" w:beforeAutospacing="1" w:after="100" w:afterAutospacing="1"/>
      <w:ind w:firstLine="0"/>
      <w:jc w:val="left"/>
    </w:pPr>
    <w:rPr>
      <w:sz w:val="24"/>
      <w:szCs w:val="24"/>
      <w:lang w:eastAsia="lv-LV"/>
    </w:rPr>
  </w:style>
  <w:style w:type="character" w:customStyle="1" w:styleId="Heading3Char">
    <w:name w:val="Heading 3 Char"/>
    <w:basedOn w:val="DefaultParagraphFont"/>
    <w:link w:val="Heading3"/>
    <w:uiPriority w:val="9"/>
    <w:rsid w:val="006C41D3"/>
    <w:rPr>
      <w:rFonts w:asciiTheme="majorHAnsi" w:eastAsiaTheme="majorEastAsia" w:hAnsiTheme="majorHAnsi" w:cstheme="majorBidi"/>
      <w:color w:val="1F4D78" w:themeColor="accent1" w:themeShade="7F"/>
      <w:sz w:val="24"/>
      <w:szCs w:val="24"/>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C41D3"/>
    <w:rPr>
      <w:sz w:val="22"/>
      <w:szCs w:val="22"/>
      <w:lang w:val="lv-LV"/>
    </w:rPr>
  </w:style>
  <w:style w:type="character" w:customStyle="1" w:styleId="highlight">
    <w:name w:val="highlight"/>
    <w:basedOn w:val="DefaultParagraphFont"/>
    <w:rsid w:val="008C0052"/>
  </w:style>
  <w:style w:type="paragraph" w:customStyle="1" w:styleId="liknoteik">
    <w:name w:val="lik_noteik"/>
    <w:basedOn w:val="Normal"/>
    <w:rsid w:val="008C0052"/>
    <w:pPr>
      <w:spacing w:before="100" w:beforeAutospacing="1" w:after="100" w:afterAutospacing="1"/>
      <w:ind w:firstLine="0"/>
      <w:jc w:val="left"/>
    </w:pPr>
    <w:rPr>
      <w:sz w:val="24"/>
      <w:szCs w:val="24"/>
      <w:lang w:val="en-US"/>
    </w:rPr>
  </w:style>
  <w:style w:type="paragraph" w:customStyle="1" w:styleId="likdat">
    <w:name w:val="lik_dat"/>
    <w:basedOn w:val="Normal"/>
    <w:rsid w:val="008C0052"/>
    <w:pPr>
      <w:spacing w:before="100" w:beforeAutospacing="1" w:after="100" w:afterAutospacing="1"/>
      <w:ind w:firstLine="0"/>
      <w:jc w:val="left"/>
    </w:pPr>
    <w:rPr>
      <w:sz w:val="24"/>
      <w:szCs w:val="24"/>
      <w:lang w:val="en-US"/>
    </w:rPr>
  </w:style>
  <w:style w:type="paragraph" w:customStyle="1" w:styleId="tv213">
    <w:name w:val="tv213"/>
    <w:basedOn w:val="Normal"/>
    <w:rsid w:val="00E86ACD"/>
    <w:pPr>
      <w:spacing w:before="100" w:beforeAutospacing="1" w:after="100" w:afterAutospacing="1"/>
      <w:ind w:firstLine="0"/>
      <w:jc w:val="left"/>
    </w:pPr>
    <w:rPr>
      <w:sz w:val="24"/>
      <w:szCs w:val="24"/>
      <w:lang w:val="en-US"/>
    </w:rPr>
  </w:style>
  <w:style w:type="character" w:styleId="FollowedHyperlink">
    <w:name w:val="FollowedHyperlink"/>
    <w:basedOn w:val="DefaultParagraphFont"/>
    <w:uiPriority w:val="99"/>
    <w:semiHidden/>
    <w:unhideWhenUsed/>
    <w:rsid w:val="00B00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223832644">
      <w:bodyDiv w:val="1"/>
      <w:marLeft w:val="0"/>
      <w:marRight w:val="0"/>
      <w:marTop w:val="0"/>
      <w:marBottom w:val="0"/>
      <w:divBdr>
        <w:top w:val="none" w:sz="0" w:space="0" w:color="auto"/>
        <w:left w:val="none" w:sz="0" w:space="0" w:color="auto"/>
        <w:bottom w:val="none" w:sz="0" w:space="0" w:color="auto"/>
        <w:right w:val="none" w:sz="0" w:space="0" w:color="auto"/>
      </w:divBdr>
    </w:div>
    <w:div w:id="243345180">
      <w:bodyDiv w:val="1"/>
      <w:marLeft w:val="0"/>
      <w:marRight w:val="0"/>
      <w:marTop w:val="0"/>
      <w:marBottom w:val="0"/>
      <w:divBdr>
        <w:top w:val="none" w:sz="0" w:space="0" w:color="auto"/>
        <w:left w:val="none" w:sz="0" w:space="0" w:color="auto"/>
        <w:bottom w:val="none" w:sz="0" w:space="0" w:color="auto"/>
        <w:right w:val="none" w:sz="0" w:space="0" w:color="auto"/>
      </w:divBdr>
      <w:divsChild>
        <w:div w:id="575432822">
          <w:marLeft w:val="547"/>
          <w:marRight w:val="0"/>
          <w:marTop w:val="86"/>
          <w:marBottom w:val="0"/>
          <w:divBdr>
            <w:top w:val="none" w:sz="0" w:space="0" w:color="auto"/>
            <w:left w:val="none" w:sz="0" w:space="0" w:color="auto"/>
            <w:bottom w:val="none" w:sz="0" w:space="0" w:color="auto"/>
            <w:right w:val="none" w:sz="0" w:space="0" w:color="auto"/>
          </w:divBdr>
        </w:div>
        <w:div w:id="607739940">
          <w:marLeft w:val="547"/>
          <w:marRight w:val="0"/>
          <w:marTop w:val="86"/>
          <w:marBottom w:val="0"/>
          <w:divBdr>
            <w:top w:val="none" w:sz="0" w:space="0" w:color="auto"/>
            <w:left w:val="none" w:sz="0" w:space="0" w:color="auto"/>
            <w:bottom w:val="none" w:sz="0" w:space="0" w:color="auto"/>
            <w:right w:val="none" w:sz="0" w:space="0" w:color="auto"/>
          </w:divBdr>
        </w:div>
        <w:div w:id="1470828039">
          <w:marLeft w:val="547"/>
          <w:marRight w:val="0"/>
          <w:marTop w:val="86"/>
          <w:marBottom w:val="0"/>
          <w:divBdr>
            <w:top w:val="none" w:sz="0" w:space="0" w:color="auto"/>
            <w:left w:val="none" w:sz="0" w:space="0" w:color="auto"/>
            <w:bottom w:val="none" w:sz="0" w:space="0" w:color="auto"/>
            <w:right w:val="none" w:sz="0" w:space="0" w:color="auto"/>
          </w:divBdr>
        </w:div>
      </w:divsChild>
    </w:div>
    <w:div w:id="440272016">
      <w:bodyDiv w:val="1"/>
      <w:marLeft w:val="0"/>
      <w:marRight w:val="0"/>
      <w:marTop w:val="0"/>
      <w:marBottom w:val="0"/>
      <w:divBdr>
        <w:top w:val="none" w:sz="0" w:space="0" w:color="auto"/>
        <w:left w:val="none" w:sz="0" w:space="0" w:color="auto"/>
        <w:bottom w:val="none" w:sz="0" w:space="0" w:color="auto"/>
        <w:right w:val="none" w:sz="0" w:space="0" w:color="auto"/>
      </w:divBdr>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0063008">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640813410">
      <w:bodyDiv w:val="1"/>
      <w:marLeft w:val="0"/>
      <w:marRight w:val="0"/>
      <w:marTop w:val="0"/>
      <w:marBottom w:val="0"/>
      <w:divBdr>
        <w:top w:val="none" w:sz="0" w:space="0" w:color="auto"/>
        <w:left w:val="none" w:sz="0" w:space="0" w:color="auto"/>
        <w:bottom w:val="none" w:sz="0" w:space="0" w:color="auto"/>
        <w:right w:val="none" w:sz="0" w:space="0" w:color="auto"/>
      </w:divBdr>
    </w:div>
    <w:div w:id="648828897">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34855400">
      <w:bodyDiv w:val="1"/>
      <w:marLeft w:val="0"/>
      <w:marRight w:val="0"/>
      <w:marTop w:val="0"/>
      <w:marBottom w:val="0"/>
      <w:divBdr>
        <w:top w:val="none" w:sz="0" w:space="0" w:color="auto"/>
        <w:left w:val="none" w:sz="0" w:space="0" w:color="auto"/>
        <w:bottom w:val="none" w:sz="0" w:space="0" w:color="auto"/>
        <w:right w:val="none" w:sz="0" w:space="0" w:color="auto"/>
      </w:divBdr>
    </w:div>
    <w:div w:id="962541353">
      <w:bodyDiv w:val="1"/>
      <w:marLeft w:val="0"/>
      <w:marRight w:val="0"/>
      <w:marTop w:val="0"/>
      <w:marBottom w:val="0"/>
      <w:divBdr>
        <w:top w:val="none" w:sz="0" w:space="0" w:color="auto"/>
        <w:left w:val="none" w:sz="0" w:space="0" w:color="auto"/>
        <w:bottom w:val="none" w:sz="0" w:space="0" w:color="auto"/>
        <w:right w:val="none" w:sz="0" w:space="0" w:color="auto"/>
      </w:divBdr>
    </w:div>
    <w:div w:id="1096750826">
      <w:bodyDiv w:val="1"/>
      <w:marLeft w:val="0"/>
      <w:marRight w:val="0"/>
      <w:marTop w:val="0"/>
      <w:marBottom w:val="0"/>
      <w:divBdr>
        <w:top w:val="none" w:sz="0" w:space="0" w:color="auto"/>
        <w:left w:val="none" w:sz="0" w:space="0" w:color="auto"/>
        <w:bottom w:val="none" w:sz="0" w:space="0" w:color="auto"/>
        <w:right w:val="none" w:sz="0" w:space="0" w:color="auto"/>
      </w:divBdr>
      <w:divsChild>
        <w:div w:id="1122505647">
          <w:marLeft w:val="0"/>
          <w:marRight w:val="0"/>
          <w:marTop w:val="480"/>
          <w:marBottom w:val="240"/>
          <w:divBdr>
            <w:top w:val="none" w:sz="0" w:space="0" w:color="auto"/>
            <w:left w:val="none" w:sz="0" w:space="0" w:color="auto"/>
            <w:bottom w:val="none" w:sz="0" w:space="0" w:color="auto"/>
            <w:right w:val="none" w:sz="0" w:space="0" w:color="auto"/>
          </w:divBdr>
        </w:div>
        <w:div w:id="897204235">
          <w:marLeft w:val="0"/>
          <w:marRight w:val="0"/>
          <w:marTop w:val="0"/>
          <w:marBottom w:val="567"/>
          <w:divBdr>
            <w:top w:val="none" w:sz="0" w:space="0" w:color="auto"/>
            <w:left w:val="none" w:sz="0" w:space="0" w:color="auto"/>
            <w:bottom w:val="none" w:sz="0" w:space="0" w:color="auto"/>
            <w:right w:val="none" w:sz="0" w:space="0" w:color="auto"/>
          </w:divBdr>
        </w:div>
        <w:div w:id="313293233">
          <w:marLeft w:val="0"/>
          <w:marRight w:val="0"/>
          <w:marTop w:val="0"/>
          <w:marBottom w:val="567"/>
          <w:divBdr>
            <w:top w:val="none" w:sz="0" w:space="0" w:color="auto"/>
            <w:left w:val="none" w:sz="0" w:space="0" w:color="auto"/>
            <w:bottom w:val="none" w:sz="0" w:space="0" w:color="auto"/>
            <w:right w:val="none" w:sz="0" w:space="0" w:color="auto"/>
          </w:divBdr>
        </w:div>
        <w:div w:id="638850141">
          <w:marLeft w:val="0"/>
          <w:marRight w:val="0"/>
          <w:marTop w:val="0"/>
          <w:marBottom w:val="0"/>
          <w:divBdr>
            <w:top w:val="none" w:sz="0" w:space="0" w:color="auto"/>
            <w:left w:val="none" w:sz="0" w:space="0" w:color="auto"/>
            <w:bottom w:val="none" w:sz="0" w:space="0" w:color="auto"/>
            <w:right w:val="none" w:sz="0" w:space="0" w:color="auto"/>
          </w:divBdr>
        </w:div>
      </w:divsChild>
    </w:div>
    <w:div w:id="1103066548">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372533359">
      <w:bodyDiv w:val="1"/>
      <w:marLeft w:val="0"/>
      <w:marRight w:val="0"/>
      <w:marTop w:val="0"/>
      <w:marBottom w:val="0"/>
      <w:divBdr>
        <w:top w:val="none" w:sz="0" w:space="0" w:color="auto"/>
        <w:left w:val="none" w:sz="0" w:space="0" w:color="auto"/>
        <w:bottom w:val="none" w:sz="0" w:space="0" w:color="auto"/>
        <w:right w:val="none" w:sz="0" w:space="0" w:color="auto"/>
      </w:divBdr>
    </w:div>
    <w:div w:id="1386023159">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687826338">
      <w:bodyDiv w:val="1"/>
      <w:marLeft w:val="0"/>
      <w:marRight w:val="0"/>
      <w:marTop w:val="0"/>
      <w:marBottom w:val="0"/>
      <w:divBdr>
        <w:top w:val="none" w:sz="0" w:space="0" w:color="auto"/>
        <w:left w:val="none" w:sz="0" w:space="0" w:color="auto"/>
        <w:bottom w:val="none" w:sz="0" w:space="0" w:color="auto"/>
        <w:right w:val="none" w:sz="0" w:space="0" w:color="auto"/>
      </w:divBdr>
    </w:div>
    <w:div w:id="1696612772">
      <w:bodyDiv w:val="1"/>
      <w:marLeft w:val="0"/>
      <w:marRight w:val="0"/>
      <w:marTop w:val="0"/>
      <w:marBottom w:val="0"/>
      <w:divBdr>
        <w:top w:val="none" w:sz="0" w:space="0" w:color="auto"/>
        <w:left w:val="none" w:sz="0" w:space="0" w:color="auto"/>
        <w:bottom w:val="none" w:sz="0" w:space="0" w:color="auto"/>
        <w:right w:val="none" w:sz="0" w:space="0" w:color="auto"/>
      </w:divBdr>
    </w:div>
    <w:div w:id="1742602492">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37013235">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ne.Adijane@f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0965-par-valsts-budzetu-2020-gad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vgenija.Jalovecka@kas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5E-50CD-4D62-BD26-D2C53573AD30}">
  <ds:schemaRefs>
    <ds:schemaRef ds:uri="http://schemas.openxmlformats.org/officeDocument/2006/bibliography"/>
  </ds:schemaRefs>
</ds:datastoreItem>
</file>

<file path=customXml/itemProps2.xml><?xml version="1.0" encoding="utf-8"?>
<ds:datastoreItem xmlns:ds="http://schemas.openxmlformats.org/officeDocument/2006/customXml" ds:itemID="{5FE6C342-7175-40A1-956D-18B0CDBF6EA5}">
  <ds:schemaRefs>
    <ds:schemaRef ds:uri="http://schemas.openxmlformats.org/officeDocument/2006/bibliography"/>
  </ds:schemaRefs>
</ds:datastoreItem>
</file>

<file path=customXml/itemProps3.xml><?xml version="1.0" encoding="utf-8"?>
<ds:datastoreItem xmlns:ds="http://schemas.openxmlformats.org/officeDocument/2006/customXml" ds:itemID="{46C235E5-3D4F-4747-8D7C-F046B54FEAD5}">
  <ds:schemaRefs>
    <ds:schemaRef ds:uri="http://schemas.openxmlformats.org/officeDocument/2006/bibliography"/>
  </ds:schemaRefs>
</ds:datastoreItem>
</file>

<file path=customXml/itemProps4.xml><?xml version="1.0" encoding="utf-8"?>
<ds:datastoreItem xmlns:ds="http://schemas.openxmlformats.org/officeDocument/2006/customXml" ds:itemID="{82ADDA21-F946-45E9-B4ED-29AC557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4550</Words>
  <Characters>25940</Characters>
  <Application>Microsoft Office Word</Application>
  <DocSecurity>0</DocSecurity>
  <Lines>216</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pieejamiem finanšu resursiem valsts budžeta programmā "Līdzekļi neparedzētiem gadījumiem" Covid-19 ierobežošanas vienreizēju pasākumu finansēšanai 2021.gadā  un to izlietojumu, valsts parāda un plānotā deficīta līmeni"</vt:lpstr>
      <vt:lpstr>Vidēja termiņa makroekonomiskās attīstības un fiskālās politikas ietvars 2011. – 2013. gadam</vt:lpstr>
    </vt:vector>
  </TitlesOfParts>
  <Company>Finanšu ministrija</Company>
  <LinksUpToDate>false</LinksUpToDate>
  <CharactersWithSpaces>30430</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pieejamiem finanšu resursiem valsts budžeta programmā "Līdzekļi neparedzētiem gadījumiem" Covid-19 ierobežošanas vienreizēju pasākumu finansēšanai 2021.gadā  un to izlietojumu, valsts parāda un plānotā deficīta līmeni"</dc:title>
  <dc:subject>Informatīvais ziņojums</dc:subject>
  <dc:creator>Zane Adijāne</dc:creator>
  <cp:keywords/>
  <dc:description>Zane.Adijane@fm.gov.lv; 67095437</dc:description>
  <cp:lastModifiedBy>Zane Adijāne</cp:lastModifiedBy>
  <cp:revision>4</cp:revision>
  <cp:lastPrinted>2019-10-24T08:49:00Z</cp:lastPrinted>
  <dcterms:created xsi:type="dcterms:W3CDTF">2021-02-22T08:57:00Z</dcterms:created>
  <dcterms:modified xsi:type="dcterms:W3CDTF">2021-02-22T10:04:00Z</dcterms:modified>
</cp:coreProperties>
</file>