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A9FF" w14:textId="77777777" w:rsidR="0012265E" w:rsidRDefault="0012265E" w:rsidP="0012265E">
      <w:pPr>
        <w:pStyle w:val="naisnod"/>
        <w:spacing w:before="0" w:after="0"/>
        <w:ind w:firstLine="720"/>
        <w:rPr>
          <w:sz w:val="28"/>
          <w:szCs w:val="28"/>
        </w:rPr>
      </w:pPr>
      <w:r w:rsidRPr="00712B66">
        <w:rPr>
          <w:sz w:val="28"/>
          <w:szCs w:val="28"/>
        </w:rPr>
        <w:t>Izziņa par atzinumos sniegtajiem iebildumiem</w:t>
      </w:r>
      <w:r>
        <w:rPr>
          <w:sz w:val="28"/>
          <w:szCs w:val="28"/>
        </w:rPr>
        <w:t xml:space="preserve"> </w:t>
      </w:r>
    </w:p>
    <w:p w14:paraId="2D2381B1" w14:textId="77777777" w:rsidR="0012265E" w:rsidRPr="00712B66" w:rsidRDefault="0012265E" w:rsidP="0012265E">
      <w:pPr>
        <w:pStyle w:val="naisnod"/>
        <w:spacing w:before="0" w:after="0"/>
        <w:ind w:firstLine="720"/>
        <w:rPr>
          <w:sz w:val="28"/>
          <w:szCs w:val="28"/>
        </w:rPr>
      </w:pPr>
    </w:p>
    <w:tbl>
      <w:tblPr>
        <w:tblW w:w="0" w:type="auto"/>
        <w:jc w:val="center"/>
        <w:tblLook w:val="00A0" w:firstRow="1" w:lastRow="0" w:firstColumn="1" w:lastColumn="0" w:noHBand="0" w:noVBand="0"/>
      </w:tblPr>
      <w:tblGrid>
        <w:gridCol w:w="10188"/>
      </w:tblGrid>
      <w:tr w:rsidR="0012265E" w:rsidRPr="00712B66" w14:paraId="6D57BBD0" w14:textId="77777777" w:rsidTr="002B2E28">
        <w:trPr>
          <w:jc w:val="center"/>
        </w:trPr>
        <w:tc>
          <w:tcPr>
            <w:tcW w:w="10188" w:type="dxa"/>
            <w:tcBorders>
              <w:bottom w:val="single" w:sz="6" w:space="0" w:color="000000"/>
            </w:tcBorders>
          </w:tcPr>
          <w:p w14:paraId="46332610" w14:textId="77777777" w:rsidR="0012265E" w:rsidRDefault="0012265E" w:rsidP="002B2E28">
            <w:pPr>
              <w:ind w:firstLine="720"/>
              <w:jc w:val="center"/>
            </w:pPr>
            <w:r>
              <w:t>par informatīvo ziņojumu</w:t>
            </w:r>
          </w:p>
          <w:p w14:paraId="33480795" w14:textId="77777777" w:rsidR="0012265E" w:rsidRPr="00712B66" w:rsidRDefault="0012265E" w:rsidP="002B2E28">
            <w:pPr>
              <w:ind w:firstLine="720"/>
              <w:jc w:val="center"/>
            </w:pPr>
            <w:r>
              <w:t>“Informatīvais ziņojums par Kohēzijas politikas Eiropas Savienības fondu investīciju aktualitātēm līdz 2021. gada 1. februārim (pusgada ziņojums)”</w:t>
            </w:r>
          </w:p>
        </w:tc>
      </w:tr>
    </w:tbl>
    <w:p w14:paraId="59CD0EDA" w14:textId="77777777" w:rsidR="0012265E" w:rsidRPr="00712B66" w:rsidRDefault="0012265E" w:rsidP="0012265E">
      <w:pPr>
        <w:pStyle w:val="naisc"/>
        <w:spacing w:before="0" w:after="0"/>
        <w:ind w:firstLine="1080"/>
      </w:pPr>
      <w:r w:rsidRPr="00712B66">
        <w:t>(dokumenta veids un nosaukums)</w:t>
      </w:r>
    </w:p>
    <w:p w14:paraId="2ABF9770" w14:textId="77777777" w:rsidR="0012265E" w:rsidRPr="00712B66" w:rsidRDefault="0012265E" w:rsidP="0012265E">
      <w:pPr>
        <w:pStyle w:val="naisf"/>
        <w:spacing w:before="0" w:after="0"/>
        <w:ind w:firstLine="720"/>
      </w:pPr>
    </w:p>
    <w:p w14:paraId="13218027" w14:textId="77777777" w:rsidR="0012265E" w:rsidRPr="00712B66" w:rsidRDefault="0012265E" w:rsidP="0012265E">
      <w:pPr>
        <w:pStyle w:val="naisf"/>
        <w:spacing w:before="0" w:after="0"/>
        <w:ind w:firstLine="0"/>
        <w:rPr>
          <w:b/>
        </w:rPr>
      </w:pPr>
      <w:r w:rsidRPr="00712B66">
        <w:rPr>
          <w:b/>
        </w:rPr>
        <w:t>I. Jautājumi, par kuriem saskaņošanā vienošanās nav panākta</w:t>
      </w:r>
    </w:p>
    <w:p w14:paraId="073E1131" w14:textId="77777777" w:rsidR="0012265E" w:rsidRPr="00712B66" w:rsidRDefault="0012265E" w:rsidP="0012265E">
      <w:pPr>
        <w:pStyle w:val="naisf"/>
        <w:spacing w:before="0" w:after="0"/>
        <w:ind w:firstLine="720"/>
      </w:pPr>
    </w:p>
    <w:tbl>
      <w:tblPr>
        <w:tblW w:w="144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3"/>
        <w:gridCol w:w="3969"/>
        <w:gridCol w:w="2977"/>
        <w:gridCol w:w="2551"/>
        <w:gridCol w:w="1793"/>
      </w:tblGrid>
      <w:tr w:rsidR="0012265E" w:rsidRPr="009F0CAB" w14:paraId="1047E09F" w14:textId="77777777" w:rsidTr="009F0CAB">
        <w:tc>
          <w:tcPr>
            <w:tcW w:w="708" w:type="dxa"/>
            <w:tcBorders>
              <w:top w:val="single" w:sz="6" w:space="0" w:color="000000"/>
              <w:left w:val="single" w:sz="6" w:space="0" w:color="000000"/>
              <w:bottom w:val="single" w:sz="6" w:space="0" w:color="000000"/>
              <w:right w:val="single" w:sz="6" w:space="0" w:color="000000"/>
            </w:tcBorders>
            <w:vAlign w:val="center"/>
          </w:tcPr>
          <w:p w14:paraId="7326410A" w14:textId="77777777" w:rsidR="0012265E" w:rsidRPr="009F0CAB" w:rsidRDefault="0012265E" w:rsidP="00DB2EEF">
            <w:pPr>
              <w:pStyle w:val="naisc"/>
              <w:spacing w:before="0" w:after="0"/>
            </w:pPr>
            <w:r w:rsidRPr="009F0CAB">
              <w:t>Nr. p. k.</w:t>
            </w:r>
          </w:p>
        </w:tc>
        <w:tc>
          <w:tcPr>
            <w:tcW w:w="2403" w:type="dxa"/>
            <w:tcBorders>
              <w:top w:val="single" w:sz="6" w:space="0" w:color="000000"/>
              <w:left w:val="single" w:sz="6" w:space="0" w:color="000000"/>
              <w:bottom w:val="single" w:sz="6" w:space="0" w:color="000000"/>
              <w:right w:val="single" w:sz="6" w:space="0" w:color="000000"/>
            </w:tcBorders>
            <w:vAlign w:val="center"/>
          </w:tcPr>
          <w:p w14:paraId="1D9A1E56" w14:textId="77777777" w:rsidR="0012265E" w:rsidRPr="009F0CAB" w:rsidRDefault="0012265E" w:rsidP="00DB2EEF">
            <w:pPr>
              <w:pStyle w:val="naisc"/>
              <w:spacing w:before="0" w:after="0"/>
              <w:ind w:firstLine="12"/>
            </w:pPr>
            <w:r w:rsidRPr="009F0CAB">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3C8A8CE7" w14:textId="77777777" w:rsidR="0012265E" w:rsidRPr="009F0CAB" w:rsidRDefault="0012265E" w:rsidP="00DB2EEF">
            <w:pPr>
              <w:pStyle w:val="naisc"/>
              <w:spacing w:before="0" w:after="0"/>
              <w:ind w:right="3"/>
            </w:pPr>
            <w:r w:rsidRPr="009F0CAB">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A4C5495" w14:textId="77777777" w:rsidR="0012265E" w:rsidRPr="009F0CAB" w:rsidRDefault="0012265E" w:rsidP="00DB2EEF">
            <w:pPr>
              <w:pStyle w:val="naisc"/>
              <w:spacing w:before="0" w:after="0"/>
              <w:ind w:firstLine="21"/>
            </w:pPr>
            <w:r w:rsidRPr="009F0CAB">
              <w:t>Atbildīgās ministrijas pamatojums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4D55A9BA" w14:textId="77777777" w:rsidR="0012265E" w:rsidRPr="009F0CAB" w:rsidRDefault="0012265E" w:rsidP="00DB2EEF">
            <w:pPr>
              <w:jc w:val="center"/>
            </w:pPr>
            <w:r w:rsidRPr="009F0CAB">
              <w:t>Atzinuma sniedzēja uzturētais iebildums, ja tas atšķiras no atzinumā norādītā iebilduma pamatojuma</w:t>
            </w:r>
          </w:p>
        </w:tc>
        <w:tc>
          <w:tcPr>
            <w:tcW w:w="1793" w:type="dxa"/>
            <w:tcBorders>
              <w:top w:val="single" w:sz="4" w:space="0" w:color="auto"/>
              <w:left w:val="single" w:sz="4" w:space="0" w:color="auto"/>
              <w:bottom w:val="single" w:sz="4" w:space="0" w:color="auto"/>
            </w:tcBorders>
            <w:vAlign w:val="center"/>
          </w:tcPr>
          <w:p w14:paraId="6A5D16FD" w14:textId="77777777" w:rsidR="0012265E" w:rsidRPr="009F0CAB" w:rsidRDefault="0012265E" w:rsidP="00DB2EEF">
            <w:pPr>
              <w:jc w:val="center"/>
            </w:pPr>
            <w:r w:rsidRPr="009F0CAB">
              <w:t>Projekta attiecīgā punkta (panta) galīgā redakcija</w:t>
            </w:r>
          </w:p>
        </w:tc>
      </w:tr>
      <w:tr w:rsidR="0012265E" w:rsidRPr="009F0CAB" w14:paraId="41D79E7A" w14:textId="77777777" w:rsidTr="009F0CAB">
        <w:tc>
          <w:tcPr>
            <w:tcW w:w="708" w:type="dxa"/>
            <w:tcBorders>
              <w:top w:val="single" w:sz="6" w:space="0" w:color="000000"/>
              <w:left w:val="single" w:sz="6" w:space="0" w:color="000000"/>
              <w:bottom w:val="single" w:sz="6" w:space="0" w:color="000000"/>
              <w:right w:val="single" w:sz="6" w:space="0" w:color="000000"/>
            </w:tcBorders>
          </w:tcPr>
          <w:p w14:paraId="3080FF24" w14:textId="77777777" w:rsidR="0012265E" w:rsidRPr="009F0CAB" w:rsidRDefault="0012265E" w:rsidP="00817AC3">
            <w:pPr>
              <w:pStyle w:val="naisc"/>
              <w:spacing w:before="0" w:after="0"/>
            </w:pPr>
            <w:r w:rsidRPr="009F0CAB">
              <w:t>1</w:t>
            </w:r>
          </w:p>
        </w:tc>
        <w:tc>
          <w:tcPr>
            <w:tcW w:w="2403" w:type="dxa"/>
            <w:tcBorders>
              <w:top w:val="single" w:sz="6" w:space="0" w:color="000000"/>
              <w:left w:val="single" w:sz="6" w:space="0" w:color="000000"/>
              <w:bottom w:val="single" w:sz="6" w:space="0" w:color="000000"/>
              <w:right w:val="single" w:sz="6" w:space="0" w:color="000000"/>
            </w:tcBorders>
          </w:tcPr>
          <w:p w14:paraId="5FC8D793" w14:textId="77777777" w:rsidR="0012265E" w:rsidRPr="009F0CAB" w:rsidRDefault="0012265E" w:rsidP="00817AC3">
            <w:pPr>
              <w:pStyle w:val="naisc"/>
              <w:spacing w:before="0" w:after="0"/>
              <w:ind w:firstLine="24"/>
            </w:pPr>
            <w:r w:rsidRPr="009F0CAB">
              <w:t>2</w:t>
            </w:r>
          </w:p>
        </w:tc>
        <w:tc>
          <w:tcPr>
            <w:tcW w:w="3969" w:type="dxa"/>
            <w:tcBorders>
              <w:top w:val="single" w:sz="6" w:space="0" w:color="000000"/>
              <w:left w:val="single" w:sz="6" w:space="0" w:color="000000"/>
              <w:bottom w:val="single" w:sz="6" w:space="0" w:color="000000"/>
              <w:right w:val="single" w:sz="6" w:space="0" w:color="000000"/>
            </w:tcBorders>
          </w:tcPr>
          <w:p w14:paraId="370317E4" w14:textId="77777777" w:rsidR="0012265E" w:rsidRPr="009F0CAB" w:rsidRDefault="0012265E" w:rsidP="00817AC3">
            <w:pPr>
              <w:pStyle w:val="naisc"/>
              <w:spacing w:before="0" w:after="0"/>
            </w:pPr>
            <w:r w:rsidRPr="009F0CAB">
              <w:t>3</w:t>
            </w:r>
          </w:p>
        </w:tc>
        <w:tc>
          <w:tcPr>
            <w:tcW w:w="2977" w:type="dxa"/>
            <w:tcBorders>
              <w:top w:val="single" w:sz="6" w:space="0" w:color="000000"/>
              <w:left w:val="single" w:sz="6" w:space="0" w:color="000000"/>
              <w:bottom w:val="single" w:sz="6" w:space="0" w:color="000000"/>
              <w:right w:val="single" w:sz="6" w:space="0" w:color="000000"/>
            </w:tcBorders>
          </w:tcPr>
          <w:p w14:paraId="0CB8587A" w14:textId="77777777" w:rsidR="0012265E" w:rsidRPr="009F0CAB" w:rsidRDefault="0012265E" w:rsidP="00817AC3">
            <w:pPr>
              <w:pStyle w:val="naisc"/>
              <w:spacing w:before="0" w:after="0"/>
            </w:pPr>
            <w:r w:rsidRPr="009F0CAB">
              <w:t>4</w:t>
            </w:r>
          </w:p>
        </w:tc>
        <w:tc>
          <w:tcPr>
            <w:tcW w:w="2551" w:type="dxa"/>
            <w:tcBorders>
              <w:top w:val="single" w:sz="4" w:space="0" w:color="auto"/>
              <w:left w:val="single" w:sz="4" w:space="0" w:color="auto"/>
              <w:bottom w:val="single" w:sz="4" w:space="0" w:color="auto"/>
              <w:right w:val="single" w:sz="4" w:space="0" w:color="auto"/>
            </w:tcBorders>
          </w:tcPr>
          <w:p w14:paraId="17270136" w14:textId="77777777" w:rsidR="0012265E" w:rsidRPr="009F0CAB" w:rsidRDefault="0012265E" w:rsidP="00817AC3">
            <w:pPr>
              <w:jc w:val="center"/>
            </w:pPr>
            <w:r w:rsidRPr="009F0CAB">
              <w:t>5</w:t>
            </w:r>
          </w:p>
        </w:tc>
        <w:tc>
          <w:tcPr>
            <w:tcW w:w="1793" w:type="dxa"/>
            <w:tcBorders>
              <w:top w:val="single" w:sz="4" w:space="0" w:color="auto"/>
              <w:left w:val="single" w:sz="4" w:space="0" w:color="auto"/>
              <w:bottom w:val="single" w:sz="4" w:space="0" w:color="auto"/>
            </w:tcBorders>
          </w:tcPr>
          <w:p w14:paraId="4E6633A2" w14:textId="77777777" w:rsidR="0012265E" w:rsidRPr="009F0CAB" w:rsidRDefault="0012265E" w:rsidP="00817AC3">
            <w:pPr>
              <w:jc w:val="center"/>
            </w:pPr>
            <w:r w:rsidRPr="009F0CAB">
              <w:t>6</w:t>
            </w:r>
          </w:p>
        </w:tc>
      </w:tr>
      <w:tr w:rsidR="0012265E" w:rsidRPr="009F0CAB" w14:paraId="6E587862" w14:textId="77777777" w:rsidTr="009F0CAB">
        <w:tc>
          <w:tcPr>
            <w:tcW w:w="708" w:type="dxa"/>
            <w:tcBorders>
              <w:left w:val="single" w:sz="6" w:space="0" w:color="000000"/>
              <w:bottom w:val="single" w:sz="4" w:space="0" w:color="auto"/>
              <w:right w:val="single" w:sz="6" w:space="0" w:color="000000"/>
            </w:tcBorders>
          </w:tcPr>
          <w:p w14:paraId="07E772E2" w14:textId="00521CFE" w:rsidR="0012265E" w:rsidRPr="009F0CAB" w:rsidRDefault="00E813F3" w:rsidP="00E813F3">
            <w:pPr>
              <w:pStyle w:val="naisc"/>
              <w:spacing w:before="0" w:after="0"/>
              <w:jc w:val="left"/>
            </w:pPr>
            <w:r w:rsidRPr="009F0CAB">
              <w:t>1.</w:t>
            </w:r>
          </w:p>
        </w:tc>
        <w:tc>
          <w:tcPr>
            <w:tcW w:w="2403" w:type="dxa"/>
            <w:tcBorders>
              <w:left w:val="single" w:sz="6" w:space="0" w:color="000000"/>
              <w:bottom w:val="single" w:sz="4" w:space="0" w:color="auto"/>
              <w:right w:val="single" w:sz="6" w:space="0" w:color="000000"/>
            </w:tcBorders>
          </w:tcPr>
          <w:p w14:paraId="552F034B" w14:textId="502E88B6" w:rsidR="0012265E" w:rsidRPr="009F0CAB" w:rsidRDefault="00E813F3" w:rsidP="00DB2EEF">
            <w:pPr>
              <w:pStyle w:val="naisc"/>
              <w:spacing w:before="0" w:after="0"/>
              <w:jc w:val="both"/>
            </w:pPr>
            <w:r w:rsidRPr="009F0CAB">
              <w:rPr>
                <w:rFonts w:eastAsia="Calibri"/>
                <w:lang w:eastAsia="en-US"/>
              </w:rPr>
              <w:t>Informatīvā ziņojuma 5.sadaļa “</w:t>
            </w:r>
            <w:r w:rsidRPr="009F0CAB">
              <w:t>Priekšlikumi MK lēmumiem</w:t>
            </w:r>
            <w:r w:rsidRPr="009F0CAB">
              <w:rPr>
                <w:rFonts w:eastAsia="Calibri"/>
                <w:lang w:eastAsia="en-US"/>
              </w:rPr>
              <w:t xml:space="preserve">”  un </w:t>
            </w:r>
            <w:proofErr w:type="spellStart"/>
            <w:r w:rsidRPr="009F0CAB">
              <w:rPr>
                <w:rFonts w:eastAsia="Calibri"/>
                <w:lang w:eastAsia="en-US"/>
              </w:rPr>
              <w:t>protokollēmums</w:t>
            </w:r>
            <w:proofErr w:type="spellEnd"/>
          </w:p>
        </w:tc>
        <w:tc>
          <w:tcPr>
            <w:tcW w:w="3969" w:type="dxa"/>
            <w:tcBorders>
              <w:left w:val="single" w:sz="6" w:space="0" w:color="000000"/>
              <w:bottom w:val="single" w:sz="4" w:space="0" w:color="auto"/>
              <w:right w:val="single" w:sz="6" w:space="0" w:color="000000"/>
            </w:tcBorders>
          </w:tcPr>
          <w:p w14:paraId="11D00E50" w14:textId="518DE183" w:rsidR="00876336" w:rsidRPr="009F0CAB" w:rsidRDefault="00876336" w:rsidP="00DB2EEF">
            <w:pPr>
              <w:jc w:val="both"/>
              <w:rPr>
                <w:b/>
                <w:color w:val="000000"/>
              </w:rPr>
            </w:pPr>
            <w:r w:rsidRPr="009F0CAB">
              <w:rPr>
                <w:b/>
                <w:color w:val="000000"/>
              </w:rPr>
              <w:t>24.02.2020</w:t>
            </w:r>
          </w:p>
          <w:p w14:paraId="285D119D" w14:textId="2925F9A6" w:rsidR="00876336" w:rsidRPr="009F0CAB" w:rsidRDefault="00876336" w:rsidP="00DB2EEF">
            <w:pPr>
              <w:jc w:val="both"/>
              <w:rPr>
                <w:b/>
                <w:color w:val="000000"/>
              </w:rPr>
            </w:pPr>
            <w:r w:rsidRPr="009F0CAB">
              <w:rPr>
                <w:b/>
                <w:color w:val="000000"/>
              </w:rPr>
              <w:t>Iebildums</w:t>
            </w:r>
          </w:p>
          <w:p w14:paraId="56373332" w14:textId="6AB1050B" w:rsidR="00876336" w:rsidRPr="009F0CAB" w:rsidRDefault="00876336" w:rsidP="00DB2EEF">
            <w:pPr>
              <w:spacing w:after="240"/>
              <w:jc w:val="both"/>
              <w:rPr>
                <w:b/>
                <w:color w:val="000000"/>
              </w:rPr>
            </w:pPr>
            <w:r w:rsidRPr="009F0CAB">
              <w:rPr>
                <w:b/>
                <w:color w:val="000000"/>
              </w:rPr>
              <w:t>Satiksmes ministrija (SM)</w:t>
            </w:r>
          </w:p>
          <w:p w14:paraId="2D63BB2C" w14:textId="15075AE8" w:rsidR="00876336" w:rsidRPr="009F0CAB" w:rsidRDefault="00876336" w:rsidP="00DB2EEF">
            <w:pPr>
              <w:spacing w:after="120"/>
              <w:jc w:val="both"/>
              <w:rPr>
                <w:color w:val="000000"/>
              </w:rPr>
            </w:pPr>
            <w:r w:rsidRPr="009F0CAB">
              <w:rPr>
                <w:color w:val="000000"/>
              </w:rPr>
              <w:t>Vēršam uzmanību, ka atbilstoši Ministru kabineta 2019.gada 23.aprīļa uzdevumam</w:t>
            </w:r>
            <w:r w:rsidRPr="009F0CAB">
              <w:rPr>
                <w:color w:val="000000"/>
                <w:vertAlign w:val="superscript"/>
              </w:rPr>
              <w:footnoteReference w:customMarkFollows="1" w:id="1"/>
              <w:t>[1]</w:t>
            </w:r>
            <w:r w:rsidRPr="009F0CAB">
              <w:rPr>
                <w:color w:val="000000"/>
              </w:rPr>
              <w:t xml:space="preserve"> un atsaucoties uz Finanšu ministrijas kā Eiropas Savienības struktūrfondu un Kohēzijas fonda (turpmāk – ES fondi) 2014. – 2020.gada plānošanas perioda vadošās iestādes 2019.gada 5.maija elektroniskā pasta sūtījumu “Par priekšlikumu iesniegšanu snieguma rezerves finansējuma tālākai </w:t>
            </w:r>
            <w:r w:rsidRPr="009F0CAB">
              <w:rPr>
                <w:color w:val="000000"/>
              </w:rPr>
              <w:lastRenderedPageBreak/>
              <w:t>izmantošanai”, Satiksmes ministrija kā ES fondu atbildīga iestāde, ievērojot vadošās iestādes sniegtos norādījumus, jau 2019.gada 4.jūlijā</w:t>
            </w:r>
            <w:r w:rsidRPr="009F0CAB">
              <w:rPr>
                <w:color w:val="000000"/>
                <w:vertAlign w:val="superscript"/>
              </w:rPr>
              <w:footnoteReference w:customMarkFollows="1" w:id="2"/>
              <w:t>[2]</w:t>
            </w:r>
            <w:r w:rsidRPr="009F0CAB">
              <w:rPr>
                <w:color w:val="000000"/>
              </w:rPr>
              <w:t>,  iesniedzot vadošajai iestādei koncentrētu, argumentētu pamatojumu snieguma rezerves, kā arī  finansējuma atlikumu tālākai izmantošanai, paredzēja, ka specifiskā atbalsta mērķa 6.1.5. “Valsts galveno autoceļu segu pārbūve, nestspējas palielināšana” un 6.3.1. “Palielināt reģionālo mobilitāti, uzlabojot valsts reģionālo autoceļu kvalitāti” finansējuma atlikumi ir novirzāmi papildu projektu īstenošanai, ņemot vērā kopējās infrastruktūras attīstības vajadzības.</w:t>
            </w:r>
          </w:p>
          <w:p w14:paraId="66104399" w14:textId="77777777" w:rsidR="00876336" w:rsidRPr="009F0CAB" w:rsidRDefault="00876336" w:rsidP="00DB2EEF">
            <w:pPr>
              <w:spacing w:after="120"/>
              <w:ind w:firstLine="720"/>
              <w:jc w:val="both"/>
              <w:rPr>
                <w:color w:val="000000"/>
              </w:rPr>
            </w:pPr>
            <w:r w:rsidRPr="009F0CAB">
              <w:rPr>
                <w:color w:val="000000"/>
              </w:rPr>
              <w:t xml:space="preserve">Atzīmējams, ka, lai gan ES fondu finansējums dod nozīmīgu ieguldījumu šo specifisko atbalsta mērķu rezultatīvu rādītāju sasniegšanā, tas ir atkarīgs ne tikai no ES fondu finansējuma, bet arī no citu darbību veikšanas un investīcijām, t.sk. valsts budžeta ieguldījumiem, lai sasniegtu noteiktos politikas rezultātus. Līdz ar to, Partnerības līgums paredz, ka no ES fondiem plānotās investīcijas ceļu infrastruktūrā tiks papildinātas </w:t>
            </w:r>
            <w:r w:rsidRPr="009F0CAB">
              <w:rPr>
                <w:color w:val="000000"/>
              </w:rPr>
              <w:lastRenderedPageBreak/>
              <w:t xml:space="preserve">nacionālā finansējuma ietvaros, t.i. ar valsts budžeta atbalstu. </w:t>
            </w:r>
          </w:p>
          <w:p w14:paraId="18FE42C4" w14:textId="77777777" w:rsidR="00876336" w:rsidRPr="009F0CAB" w:rsidRDefault="00876336" w:rsidP="00DB2EEF">
            <w:pPr>
              <w:spacing w:after="120"/>
              <w:ind w:firstLine="720"/>
              <w:jc w:val="both"/>
              <w:rPr>
                <w:color w:val="000000"/>
              </w:rPr>
            </w:pPr>
            <w:r w:rsidRPr="009F0CAB">
              <w:rPr>
                <w:color w:val="000000"/>
              </w:rPr>
              <w:t>Saskaņā ar informatīvo ziņojumu "Par priekšlikumiem valsts budžeta ieņēmumiem un izdevumiem 2021.gadam un ietvaram 2021.-2023.gadam" ir samazināta</w:t>
            </w:r>
            <w:r w:rsidRPr="009F0CAB">
              <w:rPr>
                <w:color w:val="000000"/>
                <w:vertAlign w:val="superscript"/>
              </w:rPr>
              <w:footnoteReference w:customMarkFollows="1" w:id="3"/>
              <w:t>[3]</w:t>
            </w:r>
            <w:r w:rsidRPr="009F0CAB">
              <w:rPr>
                <w:color w:val="000000"/>
              </w:rPr>
              <w:t xml:space="preserve"> dotācija no vispārējiem ieņēmumiem un izdevumus pamatkapitāla veidošanai Satiksmes ministrijas budžeta apakšprogrammā 23.06.00 "Valsts autoceļu uzturēšana un atjaunošana" 2021.gadam </w:t>
            </w:r>
            <w:r w:rsidRPr="009F0CAB">
              <w:rPr>
                <w:color w:val="000000"/>
              </w:rPr>
              <w:br/>
              <w:t xml:space="preserve">50 milj. </w:t>
            </w:r>
            <w:proofErr w:type="spellStart"/>
            <w:r w:rsidRPr="009F0CAB">
              <w:rPr>
                <w:i/>
                <w:iCs/>
                <w:color w:val="000000"/>
              </w:rPr>
              <w:t>euro</w:t>
            </w:r>
            <w:proofErr w:type="spellEnd"/>
            <w:r w:rsidRPr="009F0CAB">
              <w:rPr>
                <w:i/>
                <w:iCs/>
                <w:color w:val="000000"/>
              </w:rPr>
              <w:t xml:space="preserve"> </w:t>
            </w:r>
            <w:r w:rsidRPr="009F0CAB">
              <w:rPr>
                <w:color w:val="000000"/>
              </w:rPr>
              <w:t> apmērā, vienlaikus nodrošinot, ka Satiksmes ministrijai valsts autoceļu atjaunošanai sākot no 2021.gada ir pieejams finansējums no Eiropas Atveseļošanas un noturības mehānisma (RRF), finansējuma Kohēzijas politikai 2014.-2020.gada plānošanas periodā (</w:t>
            </w:r>
            <w:proofErr w:type="spellStart"/>
            <w:r w:rsidRPr="009F0CAB">
              <w:rPr>
                <w:color w:val="000000"/>
              </w:rPr>
              <w:t>React</w:t>
            </w:r>
            <w:proofErr w:type="spellEnd"/>
            <w:r w:rsidRPr="009F0CAB">
              <w:rPr>
                <w:color w:val="000000"/>
              </w:rPr>
              <w:t xml:space="preserve">-EU), citu finanšu instrumentu vai valsts budžeta ieņēmumu ietvaros. </w:t>
            </w:r>
          </w:p>
          <w:p w14:paraId="6D54082E" w14:textId="77777777" w:rsidR="00876336" w:rsidRPr="009F0CAB" w:rsidRDefault="00876336" w:rsidP="00DB2EEF">
            <w:pPr>
              <w:spacing w:after="120"/>
              <w:ind w:firstLine="720"/>
              <w:jc w:val="both"/>
              <w:rPr>
                <w:color w:val="000000"/>
              </w:rPr>
            </w:pPr>
            <w:r w:rsidRPr="009F0CAB">
              <w:rPr>
                <w:color w:val="000000"/>
              </w:rPr>
              <w:t xml:space="preserve">Ņemot vērā iepriekšējos gados nepietiekamo valsts budžeta finansējumu valsts autoceļu atjaunošanā, kas kopumā nozīmē noteikto politikas rezultātu sasniegšanas samazinājumu, turpmākais  finansējuma samazinājums </w:t>
            </w:r>
            <w:r w:rsidRPr="009F0CAB">
              <w:rPr>
                <w:color w:val="000000"/>
              </w:rPr>
              <w:lastRenderedPageBreak/>
              <w:t>šo negatīvo ietekmi uz rezultatīvu rādītāju sasniegšanu tikai pastiprinās.</w:t>
            </w:r>
          </w:p>
          <w:p w14:paraId="4BCAC8A4" w14:textId="77777777" w:rsidR="00876336" w:rsidRPr="009F0CAB" w:rsidRDefault="00876336" w:rsidP="00DB2EEF">
            <w:pPr>
              <w:spacing w:after="120"/>
              <w:ind w:firstLine="720"/>
              <w:jc w:val="both"/>
              <w:rPr>
                <w:color w:val="000000"/>
              </w:rPr>
            </w:pPr>
            <w:r w:rsidRPr="009F0CAB">
              <w:rPr>
                <w:color w:val="000000"/>
              </w:rPr>
              <w:t>Sekmīgu valsts galveno un reģionālo autoceļu projektu, kam ir būtiska nozīme valsts autoceļu infrastruktūras attīstībā,  īstenošanas rezultātā ir radies ietaupījums, kuru, ņemot vērā kopējās identificētās infrastruktūras attīstības vajadzības, ir iespējams novirzīt papildu projektu ar augstu ieviešanas gatavības pakāpi īstenošanai, tādējādi sekmējot infrastruktūras attīstību.</w:t>
            </w:r>
          </w:p>
          <w:p w14:paraId="079E411F" w14:textId="2CCBC913" w:rsidR="0012265E" w:rsidRPr="009F0CAB" w:rsidRDefault="00876336" w:rsidP="00DB2EEF">
            <w:pPr>
              <w:spacing w:after="120"/>
              <w:ind w:firstLine="720"/>
              <w:jc w:val="both"/>
              <w:rPr>
                <w:color w:val="000000"/>
              </w:rPr>
            </w:pPr>
            <w:r w:rsidRPr="009F0CAB">
              <w:rPr>
                <w:color w:val="000000"/>
              </w:rPr>
              <w:t xml:space="preserve">Ievērojot iepriekš minēto, aicinām papildināt </w:t>
            </w:r>
            <w:proofErr w:type="spellStart"/>
            <w:r w:rsidRPr="009F0CAB">
              <w:rPr>
                <w:color w:val="000000"/>
              </w:rPr>
              <w:t>protokollēmuma</w:t>
            </w:r>
            <w:proofErr w:type="spellEnd"/>
            <w:r w:rsidRPr="009F0CAB">
              <w:rPr>
                <w:color w:val="000000"/>
              </w:rPr>
              <w:t xml:space="preserve"> projektu ar punktu, kas paredz piešķirt Satiksmes ministrijai tiesības esošus un turpmākus specifiskā atbalsta mērķa 6.1.5. “Valsts galveno autoceļu segu pārbūve, nestspējas palielināšana” un 6.3.1. “Palielināt reģionālo mobilitāti, uzlabojot valsts reģionālo autoceļu kvalitāti” finansējuma atlikumus izmantot papildu projektu īstenošanai.</w:t>
            </w:r>
          </w:p>
        </w:tc>
        <w:tc>
          <w:tcPr>
            <w:tcW w:w="2977" w:type="dxa"/>
            <w:tcBorders>
              <w:left w:val="single" w:sz="6" w:space="0" w:color="000000"/>
              <w:bottom w:val="single" w:sz="4" w:space="0" w:color="auto"/>
              <w:right w:val="single" w:sz="6" w:space="0" w:color="000000"/>
            </w:tcBorders>
          </w:tcPr>
          <w:p w14:paraId="357B95F6" w14:textId="766AE0DC" w:rsidR="00BC502F" w:rsidRPr="009F0CAB" w:rsidRDefault="00573211" w:rsidP="00DB2EEF">
            <w:pPr>
              <w:spacing w:after="160" w:line="259" w:lineRule="auto"/>
              <w:jc w:val="both"/>
            </w:pPr>
            <w:r w:rsidRPr="009F0CAB">
              <w:lastRenderedPageBreak/>
              <w:t xml:space="preserve">2019.gada 11.oktobrī MK </w:t>
            </w:r>
            <w:r w:rsidR="00AA4946" w:rsidRPr="009F0CAB">
              <w:t xml:space="preserve">sēdē izskatīja informatīvo ziņojumu “Informatīvais ziņojums "Par Eiropas Savienības struktūrfondu un Kohēzijas fonda 2014.–2020.gada plānošanas perioda darbības programmas "Izaugsme un nodarbinātība" snieguma ietvarā noteikto mērķu sasniegšanas progresu un snieguma rezerves finansējuma tālāku </w:t>
            </w:r>
            <w:r w:rsidR="00AA4946" w:rsidRPr="009F0CAB">
              <w:lastRenderedPageBreak/>
              <w:t xml:space="preserve">izmantošanu" un atbilstoši protokola Nr.47 3.§ 9.punktam </w:t>
            </w:r>
            <w:r w:rsidRPr="009F0CAB">
              <w:t>lēma</w:t>
            </w:r>
            <w:r w:rsidR="00AA4946" w:rsidRPr="009F0CAB">
              <w:t xml:space="preserve"> t.sk.</w:t>
            </w:r>
            <w:r w:rsidRPr="009F0CAB">
              <w:t xml:space="preserve"> atbalstīt </w:t>
            </w:r>
            <w:r w:rsidRPr="009F0CAB">
              <w:rPr>
                <w:b/>
                <w:bCs/>
              </w:rPr>
              <w:t>6.1.5. un 6.3.1. SAM snieguma rezerves finansējuma izmantošanu</w:t>
            </w:r>
            <w:r w:rsidRPr="009F0CAB">
              <w:t xml:space="preserve"> (faktiski tiesības izmantot rezerves finansējumu pirms EK lēmuma MK atļāva SM jau </w:t>
            </w:r>
            <w:r w:rsidR="00AA4946" w:rsidRPr="009F0CAB">
              <w:t xml:space="preserve">2018. </w:t>
            </w:r>
            <w:r w:rsidR="00654185" w:rsidRPr="009F0CAB">
              <w:t xml:space="preserve">gada </w:t>
            </w:r>
            <w:r w:rsidR="00AA4946" w:rsidRPr="009F0CAB">
              <w:t>8. maijā atbilstoši sēdes protokola Nr.</w:t>
            </w:r>
            <w:r w:rsidR="00654185" w:rsidRPr="009F0CAB">
              <w:t>23 12.§ 2.punktam</w:t>
            </w:r>
            <w:r w:rsidR="00AA4946" w:rsidRPr="009F0CAB">
              <w:t xml:space="preserve"> </w:t>
            </w:r>
            <w:r w:rsidRPr="009F0CAB">
              <w:t xml:space="preserve">un </w:t>
            </w:r>
            <w:r w:rsidR="00654185" w:rsidRPr="009F0CAB">
              <w:t>2018. gada 19. jūnijā atbilstoši sēdes protokola Nr.29 23.§ 2.punktam</w:t>
            </w:r>
            <w:r w:rsidRPr="009F0CAB">
              <w:t>), kā arī papildu finansējuma pārdali 6.1.5 SAM.</w:t>
            </w:r>
          </w:p>
          <w:p w14:paraId="18BA6518" w14:textId="2F177AC6" w:rsidR="00573211" w:rsidRPr="009F0CAB" w:rsidRDefault="00573211" w:rsidP="00DB2EEF">
            <w:pPr>
              <w:spacing w:after="160" w:line="259" w:lineRule="auto"/>
              <w:jc w:val="both"/>
            </w:pPr>
            <w:r w:rsidRPr="009F0CAB">
              <w:t>2020.</w:t>
            </w:r>
            <w:r w:rsidR="00BC502F" w:rsidRPr="009F0CAB">
              <w:t>g</w:t>
            </w:r>
            <w:r w:rsidRPr="009F0CAB">
              <w:t xml:space="preserve">ada 22.septembrī  MK </w:t>
            </w:r>
            <w:r w:rsidR="00654185" w:rsidRPr="009F0CAB">
              <w:t xml:space="preserve">atbilstoši sēdes protokola Nr.55 30§ 2.1. un 2.2. punktiem </w:t>
            </w:r>
            <w:r w:rsidRPr="009F0CAB">
              <w:t xml:space="preserve">lēma, ka ietaupījumus projektā, kas rodas pēc visu projektā plānoto darbību īstenošanas, neatbilstoši veiktos izdevumus un vienošanās/līgumu par projekta īstenošanu laušanas </w:t>
            </w:r>
            <w:r w:rsidRPr="009F0CAB">
              <w:lastRenderedPageBreak/>
              <w:t>rezultātā atbrīvoto finansējumu nepārdala citiem projektiem vai jaunām projekta darbībām. Izņēmumi iespējami ar atsevišķu MK lēmumu, ko nepieciešamības gadījumā attiecīgā nozares ministrija sagatavo un iesniedz MK lēmuma pieņemšanai, ja vien MK nav šādu lēmumu jau pieņēmis.</w:t>
            </w:r>
          </w:p>
          <w:p w14:paraId="4F6E0C7E" w14:textId="7356825B" w:rsidR="00573211" w:rsidRPr="009F0CAB" w:rsidRDefault="00573211" w:rsidP="00DB2EEF">
            <w:pPr>
              <w:spacing w:after="160" w:line="259" w:lineRule="auto"/>
              <w:jc w:val="both"/>
              <w:rPr>
                <w:b/>
              </w:rPr>
            </w:pPr>
            <w:r w:rsidRPr="009F0CAB">
              <w:rPr>
                <w:b/>
              </w:rPr>
              <w:t>FM uzskata, ka SM piedāvājums ir pretrunā iepriekš Ministru kabinetā pieņemtajiem lēmumiem</w:t>
            </w:r>
            <w:r w:rsidR="00684CA3">
              <w:rPr>
                <w:b/>
              </w:rPr>
              <w:t xml:space="preserve">, kā arī </w:t>
            </w:r>
            <w:r w:rsidR="00684CA3" w:rsidRPr="00684CA3">
              <w:rPr>
                <w:b/>
              </w:rPr>
              <w:t>SM sniegtais pamatojums nenorāda uz atbrīvotā finansējuma izlietošanas nepieciešamību ES fondu mērķu/rādītāju sasniegšanai</w:t>
            </w:r>
            <w:r w:rsidR="00684CA3">
              <w:rPr>
                <w:b/>
              </w:rPr>
              <w:t xml:space="preserve">, </w:t>
            </w:r>
            <w:r w:rsidRPr="009F0CAB">
              <w:rPr>
                <w:b/>
              </w:rPr>
              <w:t xml:space="preserve">bet FM neiebilst šo jautājumu izskatīt Ministru kabineta sēdē attiecīgā konceptuāla lēmuma pieņemšanai. </w:t>
            </w:r>
          </w:p>
          <w:p w14:paraId="5D34F2D0" w14:textId="43978BD1" w:rsidR="00876336" w:rsidRPr="009F0CAB" w:rsidRDefault="00876336" w:rsidP="00DB2EEF">
            <w:pPr>
              <w:spacing w:after="160" w:line="259" w:lineRule="auto"/>
              <w:jc w:val="both"/>
            </w:pPr>
          </w:p>
        </w:tc>
        <w:tc>
          <w:tcPr>
            <w:tcW w:w="2551" w:type="dxa"/>
            <w:tcBorders>
              <w:top w:val="single" w:sz="4" w:space="0" w:color="auto"/>
              <w:left w:val="single" w:sz="4" w:space="0" w:color="auto"/>
              <w:bottom w:val="single" w:sz="4" w:space="0" w:color="auto"/>
              <w:right w:val="single" w:sz="4" w:space="0" w:color="auto"/>
            </w:tcBorders>
          </w:tcPr>
          <w:p w14:paraId="53540A60" w14:textId="77777777" w:rsidR="0012265E" w:rsidRPr="009F0CAB" w:rsidRDefault="0012265E" w:rsidP="00DB2EEF">
            <w:pPr>
              <w:jc w:val="both"/>
            </w:pPr>
          </w:p>
        </w:tc>
        <w:tc>
          <w:tcPr>
            <w:tcW w:w="1793" w:type="dxa"/>
            <w:tcBorders>
              <w:top w:val="single" w:sz="4" w:space="0" w:color="auto"/>
              <w:left w:val="single" w:sz="4" w:space="0" w:color="auto"/>
              <w:bottom w:val="single" w:sz="4" w:space="0" w:color="auto"/>
            </w:tcBorders>
          </w:tcPr>
          <w:p w14:paraId="5A1EE588" w14:textId="77777777" w:rsidR="0012265E" w:rsidRPr="009F0CAB" w:rsidRDefault="0012265E" w:rsidP="00DB2EEF">
            <w:pPr>
              <w:jc w:val="both"/>
            </w:pPr>
          </w:p>
        </w:tc>
      </w:tr>
      <w:tr w:rsidR="0012265E" w:rsidRPr="009F0CAB" w14:paraId="6703ED1D" w14:textId="77777777" w:rsidTr="009F0CAB">
        <w:tc>
          <w:tcPr>
            <w:tcW w:w="708" w:type="dxa"/>
            <w:tcBorders>
              <w:left w:val="single" w:sz="6" w:space="0" w:color="000000"/>
              <w:bottom w:val="single" w:sz="4" w:space="0" w:color="auto"/>
              <w:right w:val="single" w:sz="6" w:space="0" w:color="000000"/>
            </w:tcBorders>
          </w:tcPr>
          <w:p w14:paraId="530F299B" w14:textId="77777777" w:rsidR="0012265E" w:rsidRPr="009F0CAB" w:rsidRDefault="0012265E" w:rsidP="002B2E28">
            <w:pPr>
              <w:pStyle w:val="naisc"/>
              <w:spacing w:before="0" w:after="0"/>
              <w:ind w:firstLine="720"/>
              <w:jc w:val="both"/>
            </w:pPr>
          </w:p>
        </w:tc>
        <w:tc>
          <w:tcPr>
            <w:tcW w:w="2403" w:type="dxa"/>
            <w:tcBorders>
              <w:left w:val="single" w:sz="6" w:space="0" w:color="000000"/>
              <w:bottom w:val="single" w:sz="4" w:space="0" w:color="auto"/>
              <w:right w:val="single" w:sz="6" w:space="0" w:color="000000"/>
            </w:tcBorders>
          </w:tcPr>
          <w:p w14:paraId="07BC0FA1" w14:textId="77777777" w:rsidR="0012265E" w:rsidRPr="009F0CAB" w:rsidRDefault="0012265E" w:rsidP="00DB2EEF">
            <w:pPr>
              <w:pStyle w:val="naisc"/>
              <w:spacing w:before="0" w:after="0"/>
              <w:ind w:firstLine="720"/>
              <w:jc w:val="both"/>
            </w:pPr>
          </w:p>
        </w:tc>
        <w:tc>
          <w:tcPr>
            <w:tcW w:w="3969" w:type="dxa"/>
            <w:tcBorders>
              <w:left w:val="single" w:sz="6" w:space="0" w:color="000000"/>
              <w:bottom w:val="single" w:sz="4" w:space="0" w:color="auto"/>
              <w:right w:val="single" w:sz="6" w:space="0" w:color="000000"/>
            </w:tcBorders>
          </w:tcPr>
          <w:p w14:paraId="54B051AE" w14:textId="77777777" w:rsidR="0012265E" w:rsidRPr="009F0CAB" w:rsidRDefault="0012265E" w:rsidP="00DB2EEF">
            <w:pPr>
              <w:pStyle w:val="naisc"/>
              <w:spacing w:before="0" w:after="0"/>
              <w:ind w:firstLine="720"/>
              <w:jc w:val="both"/>
            </w:pPr>
          </w:p>
        </w:tc>
        <w:tc>
          <w:tcPr>
            <w:tcW w:w="2977" w:type="dxa"/>
            <w:tcBorders>
              <w:left w:val="single" w:sz="6" w:space="0" w:color="000000"/>
              <w:bottom w:val="single" w:sz="4" w:space="0" w:color="auto"/>
              <w:right w:val="single" w:sz="6" w:space="0" w:color="000000"/>
            </w:tcBorders>
          </w:tcPr>
          <w:p w14:paraId="0B3A50EA" w14:textId="77777777" w:rsidR="0012265E" w:rsidRPr="009F0CAB" w:rsidRDefault="0012265E" w:rsidP="00DB2EEF">
            <w:pPr>
              <w:pStyle w:val="naisc"/>
              <w:spacing w:before="0" w:after="0"/>
              <w:ind w:firstLine="720"/>
              <w:jc w:val="both"/>
            </w:pPr>
          </w:p>
        </w:tc>
        <w:tc>
          <w:tcPr>
            <w:tcW w:w="2551" w:type="dxa"/>
            <w:tcBorders>
              <w:top w:val="single" w:sz="4" w:space="0" w:color="auto"/>
              <w:left w:val="single" w:sz="4" w:space="0" w:color="auto"/>
              <w:bottom w:val="single" w:sz="4" w:space="0" w:color="auto"/>
              <w:right w:val="single" w:sz="4" w:space="0" w:color="auto"/>
            </w:tcBorders>
          </w:tcPr>
          <w:p w14:paraId="573EC62C" w14:textId="77777777" w:rsidR="0012265E" w:rsidRPr="009F0CAB" w:rsidRDefault="0012265E" w:rsidP="00DB2EEF">
            <w:pPr>
              <w:jc w:val="both"/>
            </w:pPr>
          </w:p>
        </w:tc>
        <w:tc>
          <w:tcPr>
            <w:tcW w:w="1793" w:type="dxa"/>
            <w:tcBorders>
              <w:top w:val="single" w:sz="4" w:space="0" w:color="auto"/>
              <w:left w:val="single" w:sz="4" w:space="0" w:color="auto"/>
              <w:bottom w:val="single" w:sz="4" w:space="0" w:color="auto"/>
              <w:right w:val="single" w:sz="4" w:space="0" w:color="auto"/>
            </w:tcBorders>
          </w:tcPr>
          <w:p w14:paraId="1E45636C" w14:textId="77777777" w:rsidR="0012265E" w:rsidRPr="009F0CAB" w:rsidRDefault="0012265E" w:rsidP="00DB2EEF">
            <w:pPr>
              <w:jc w:val="both"/>
            </w:pPr>
          </w:p>
        </w:tc>
      </w:tr>
    </w:tbl>
    <w:p w14:paraId="1CAC6B4C" w14:textId="77777777" w:rsidR="0012265E" w:rsidRPr="00712B66" w:rsidRDefault="0012265E" w:rsidP="0012265E">
      <w:pPr>
        <w:pStyle w:val="naisf"/>
        <w:spacing w:before="0" w:after="0"/>
        <w:ind w:firstLine="0"/>
      </w:pPr>
    </w:p>
    <w:tbl>
      <w:tblPr>
        <w:tblW w:w="14317" w:type="dxa"/>
        <w:tblLook w:val="00A0" w:firstRow="1" w:lastRow="0" w:firstColumn="1" w:lastColumn="0" w:noHBand="0" w:noVBand="0"/>
      </w:tblPr>
      <w:tblGrid>
        <w:gridCol w:w="6345"/>
        <w:gridCol w:w="1203"/>
        <w:gridCol w:w="6769"/>
      </w:tblGrid>
      <w:tr w:rsidR="0012265E" w:rsidRPr="00C4137C" w14:paraId="1D8B2ADB" w14:textId="77777777" w:rsidTr="009F0CAB">
        <w:tc>
          <w:tcPr>
            <w:tcW w:w="6345" w:type="dxa"/>
          </w:tcPr>
          <w:p w14:paraId="1D9CFC75" w14:textId="77777777" w:rsidR="0012265E" w:rsidRPr="00C4137C" w:rsidRDefault="0012265E" w:rsidP="002B2E28">
            <w:pPr>
              <w:pStyle w:val="naisf"/>
              <w:spacing w:before="0" w:after="0"/>
              <w:ind w:firstLine="0"/>
            </w:pPr>
            <w:r w:rsidRPr="00C4137C">
              <w:t>Datums</w:t>
            </w:r>
          </w:p>
        </w:tc>
        <w:tc>
          <w:tcPr>
            <w:tcW w:w="7972" w:type="dxa"/>
            <w:gridSpan w:val="2"/>
            <w:tcBorders>
              <w:bottom w:val="single" w:sz="4" w:space="0" w:color="auto"/>
            </w:tcBorders>
          </w:tcPr>
          <w:p w14:paraId="2A8DD0AC" w14:textId="697E304C" w:rsidR="0012265E" w:rsidRPr="00C4137C" w:rsidRDefault="0012265E" w:rsidP="002B2E28">
            <w:pPr>
              <w:pStyle w:val="NormalWeb"/>
              <w:spacing w:before="0" w:beforeAutospacing="0" w:after="0" w:afterAutospacing="0"/>
              <w:ind w:firstLine="720"/>
            </w:pPr>
            <w:r w:rsidRPr="00C4137C">
              <w:t xml:space="preserve">2021. gada </w:t>
            </w:r>
            <w:r w:rsidR="00E813F3" w:rsidRPr="00C4137C">
              <w:t>24</w:t>
            </w:r>
            <w:r w:rsidRPr="00C4137C">
              <w:t>. februāris</w:t>
            </w:r>
          </w:p>
        </w:tc>
      </w:tr>
      <w:tr w:rsidR="0012265E" w:rsidRPr="00C4137C" w14:paraId="6F4C266B" w14:textId="77777777" w:rsidTr="009F0CAB">
        <w:trPr>
          <w:trHeight w:val="81"/>
        </w:trPr>
        <w:tc>
          <w:tcPr>
            <w:tcW w:w="6345" w:type="dxa"/>
          </w:tcPr>
          <w:p w14:paraId="7EF7DB43" w14:textId="77777777" w:rsidR="0012265E" w:rsidRPr="00C4137C" w:rsidRDefault="0012265E" w:rsidP="002B2E28">
            <w:pPr>
              <w:pStyle w:val="naisf"/>
              <w:spacing w:before="0" w:after="0"/>
              <w:ind w:firstLine="0"/>
              <w:rPr>
                <w:sz w:val="16"/>
                <w:szCs w:val="16"/>
              </w:rPr>
            </w:pPr>
          </w:p>
        </w:tc>
        <w:tc>
          <w:tcPr>
            <w:tcW w:w="7972" w:type="dxa"/>
            <w:gridSpan w:val="2"/>
            <w:tcBorders>
              <w:top w:val="single" w:sz="4" w:space="0" w:color="auto"/>
            </w:tcBorders>
          </w:tcPr>
          <w:p w14:paraId="05A39307" w14:textId="77777777" w:rsidR="0012265E" w:rsidRPr="00C4137C" w:rsidRDefault="0012265E" w:rsidP="002B2E28">
            <w:pPr>
              <w:pStyle w:val="NormalWeb"/>
              <w:spacing w:before="0" w:beforeAutospacing="0" w:after="0" w:afterAutospacing="0"/>
              <w:ind w:firstLine="720"/>
            </w:pPr>
          </w:p>
        </w:tc>
      </w:tr>
      <w:tr w:rsidR="0012265E" w:rsidRPr="00C4137C" w14:paraId="4BE824D1" w14:textId="77777777" w:rsidTr="009F0CAB">
        <w:tc>
          <w:tcPr>
            <w:tcW w:w="6345" w:type="dxa"/>
          </w:tcPr>
          <w:p w14:paraId="576ABD86" w14:textId="77777777" w:rsidR="0012265E" w:rsidRPr="00C4137C" w:rsidRDefault="0012265E" w:rsidP="002B2E28">
            <w:pPr>
              <w:pStyle w:val="naiskr"/>
              <w:spacing w:before="0" w:after="0"/>
            </w:pPr>
            <w:r w:rsidRPr="00C4137C">
              <w:t>Saskaņošanas dalībnieki</w:t>
            </w:r>
          </w:p>
        </w:tc>
        <w:tc>
          <w:tcPr>
            <w:tcW w:w="7972" w:type="dxa"/>
            <w:gridSpan w:val="2"/>
          </w:tcPr>
          <w:p w14:paraId="34F591D3" w14:textId="32CD2F0A" w:rsidR="0012265E" w:rsidRPr="00C4137C" w:rsidRDefault="00702AEE" w:rsidP="000C5D96">
            <w:pPr>
              <w:pStyle w:val="BodyText"/>
              <w:spacing w:after="0"/>
              <w:rPr>
                <w:color w:val="FF0000"/>
                <w:szCs w:val="24"/>
              </w:rPr>
            </w:pPr>
            <w:r w:rsidRPr="00C4137C">
              <w:rPr>
                <w:szCs w:val="24"/>
              </w:rPr>
              <w:t>Ekonomikas ministrija, Izglītības un zinātnes ministrija, Labklājības ministrija, Vides aizsardzības un reģionālās attīstības ministrija,  Tieslietu ministrijas, Ārlietu ministrija, Satiksmes ministrija.</w:t>
            </w:r>
          </w:p>
        </w:tc>
      </w:tr>
      <w:tr w:rsidR="0012265E" w:rsidRPr="00C4137C" w14:paraId="0100256E" w14:textId="77777777" w:rsidTr="009F0CAB">
        <w:trPr>
          <w:trHeight w:val="285"/>
        </w:trPr>
        <w:tc>
          <w:tcPr>
            <w:tcW w:w="6345" w:type="dxa"/>
          </w:tcPr>
          <w:p w14:paraId="03090A40" w14:textId="77777777" w:rsidR="0012265E" w:rsidRPr="00C4137C" w:rsidRDefault="0012265E" w:rsidP="002B2E28">
            <w:pPr>
              <w:pStyle w:val="naiskr"/>
              <w:spacing w:before="0" w:after="0"/>
            </w:pPr>
          </w:p>
        </w:tc>
        <w:tc>
          <w:tcPr>
            <w:tcW w:w="1203" w:type="dxa"/>
          </w:tcPr>
          <w:p w14:paraId="0CDAD880" w14:textId="77777777" w:rsidR="0012265E" w:rsidRPr="00C4137C" w:rsidRDefault="0012265E" w:rsidP="002B2E28">
            <w:pPr>
              <w:pStyle w:val="naiskr"/>
              <w:spacing w:before="0" w:after="0"/>
              <w:ind w:firstLine="720"/>
            </w:pPr>
          </w:p>
        </w:tc>
        <w:tc>
          <w:tcPr>
            <w:tcW w:w="6769" w:type="dxa"/>
          </w:tcPr>
          <w:p w14:paraId="42B0502A" w14:textId="77777777" w:rsidR="0012265E" w:rsidRPr="00C4137C" w:rsidRDefault="0012265E" w:rsidP="002B2E28">
            <w:pPr>
              <w:pStyle w:val="naiskr"/>
              <w:spacing w:before="0" w:after="0"/>
              <w:ind w:firstLine="12"/>
            </w:pPr>
          </w:p>
        </w:tc>
      </w:tr>
    </w:tbl>
    <w:p w14:paraId="7DA8B0C5" w14:textId="77777777" w:rsidR="0012265E" w:rsidRDefault="0012265E" w:rsidP="0012265E">
      <w:pPr>
        <w:pStyle w:val="naisf"/>
        <w:spacing w:before="0" w:after="0"/>
        <w:ind w:firstLine="0"/>
      </w:pPr>
      <w:r>
        <w:rPr>
          <w:b/>
        </w:rPr>
        <w:br w:type="page"/>
      </w:r>
      <w:r w:rsidRPr="00712B66">
        <w:rPr>
          <w:b/>
        </w:rPr>
        <w:lastRenderedPageBreak/>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4B925E2B" w14:textId="77777777" w:rsidR="0012265E" w:rsidRPr="00A9333C" w:rsidRDefault="0012265E" w:rsidP="0012265E">
      <w:pPr>
        <w:jc w:val="both"/>
      </w:pPr>
    </w:p>
    <w:tbl>
      <w:tblPr>
        <w:tblpPr w:leftFromText="180" w:rightFromText="180" w:vertAnchor="text" w:horzAnchor="margin" w:tblpX="-459" w:tblpY="-94"/>
        <w:tblW w:w="14304" w:type="dxa"/>
        <w:tblLook w:val="00A0" w:firstRow="1" w:lastRow="0" w:firstColumn="1" w:lastColumn="0" w:noHBand="0" w:noVBand="0"/>
      </w:tblPr>
      <w:tblGrid>
        <w:gridCol w:w="6683"/>
        <w:gridCol w:w="2604"/>
        <w:gridCol w:w="5017"/>
      </w:tblGrid>
      <w:tr w:rsidR="000C5D96" w:rsidRPr="000C5D96" w14:paraId="2767F586" w14:textId="77777777" w:rsidTr="002B2E28">
        <w:trPr>
          <w:trHeight w:val="212"/>
        </w:trPr>
        <w:tc>
          <w:tcPr>
            <w:tcW w:w="6683" w:type="dxa"/>
            <w:tcBorders>
              <w:bottom w:val="single" w:sz="4" w:space="0" w:color="auto"/>
            </w:tcBorders>
          </w:tcPr>
          <w:p w14:paraId="49336C84" w14:textId="77777777" w:rsidR="0012265E" w:rsidRPr="000C5D96" w:rsidRDefault="0012265E" w:rsidP="002B2E28">
            <w:pPr>
              <w:pStyle w:val="naiskr"/>
              <w:spacing w:before="0" w:after="0"/>
              <w:jc w:val="both"/>
            </w:pPr>
            <w:r w:rsidRPr="000C5D96">
              <w:t>Saskaņošanas dalībnieki izskatīja šādu ministriju (citu institūciju) iebildumus</w:t>
            </w:r>
          </w:p>
        </w:tc>
        <w:tc>
          <w:tcPr>
            <w:tcW w:w="2604" w:type="dxa"/>
            <w:tcBorders>
              <w:bottom w:val="single" w:sz="4" w:space="0" w:color="auto"/>
            </w:tcBorders>
          </w:tcPr>
          <w:p w14:paraId="54D6D613" w14:textId="77777777" w:rsidR="0012265E" w:rsidRPr="000C5D96" w:rsidRDefault="0012265E" w:rsidP="002B2E28">
            <w:pPr>
              <w:pStyle w:val="naiskr"/>
              <w:spacing w:before="0" w:after="0"/>
              <w:ind w:firstLine="720"/>
              <w:jc w:val="both"/>
            </w:pPr>
          </w:p>
        </w:tc>
        <w:tc>
          <w:tcPr>
            <w:tcW w:w="5017" w:type="dxa"/>
            <w:tcBorders>
              <w:bottom w:val="single" w:sz="4" w:space="0" w:color="auto"/>
            </w:tcBorders>
          </w:tcPr>
          <w:p w14:paraId="50DF73BD" w14:textId="11FB7E3D" w:rsidR="0012265E" w:rsidRPr="000C5D96" w:rsidRDefault="00702AEE" w:rsidP="000C5D96">
            <w:pPr>
              <w:pStyle w:val="BodyText"/>
              <w:spacing w:after="0"/>
              <w:rPr>
                <w:szCs w:val="24"/>
              </w:rPr>
            </w:pPr>
            <w:r w:rsidRPr="000C5D96">
              <w:rPr>
                <w:szCs w:val="24"/>
              </w:rPr>
              <w:t xml:space="preserve">Ekonomikas ministrija, </w:t>
            </w:r>
            <w:r w:rsidRPr="00AD22CC">
              <w:rPr>
                <w:szCs w:val="24"/>
              </w:rPr>
              <w:t>Izglītības un zinātnes ministrija, Labklājības ministrija, Vides aizsardzības un reģionālās attīstības ministrija,  Tieslietu ministrijas.</w:t>
            </w:r>
          </w:p>
        </w:tc>
      </w:tr>
      <w:tr w:rsidR="000C5D96" w:rsidRPr="000C5D96" w14:paraId="5CFD7293" w14:textId="77777777" w:rsidTr="002B2E28">
        <w:trPr>
          <w:trHeight w:val="346"/>
        </w:trPr>
        <w:tc>
          <w:tcPr>
            <w:tcW w:w="6683" w:type="dxa"/>
            <w:tcBorders>
              <w:top w:val="single" w:sz="4" w:space="0" w:color="auto"/>
            </w:tcBorders>
          </w:tcPr>
          <w:p w14:paraId="5A42E3AE" w14:textId="77777777" w:rsidR="0012265E" w:rsidRPr="000C5D96" w:rsidRDefault="0012265E" w:rsidP="002B2E28">
            <w:pPr>
              <w:pStyle w:val="naiskr"/>
              <w:spacing w:before="0" w:after="0"/>
              <w:ind w:firstLine="720"/>
              <w:jc w:val="both"/>
            </w:pPr>
            <w:r w:rsidRPr="000C5D96">
              <w:t xml:space="preserve"> </w:t>
            </w:r>
          </w:p>
        </w:tc>
        <w:tc>
          <w:tcPr>
            <w:tcW w:w="7621" w:type="dxa"/>
            <w:gridSpan w:val="2"/>
          </w:tcPr>
          <w:p w14:paraId="5325676C" w14:textId="77777777" w:rsidR="0012265E" w:rsidRPr="000C5D96" w:rsidRDefault="0012265E" w:rsidP="002B2E28">
            <w:pPr>
              <w:pStyle w:val="NormalWeb"/>
              <w:spacing w:before="0" w:beforeAutospacing="0" w:after="0" w:afterAutospacing="0"/>
              <w:ind w:firstLine="720"/>
              <w:jc w:val="both"/>
            </w:pPr>
          </w:p>
        </w:tc>
      </w:tr>
      <w:tr w:rsidR="000C5D96" w:rsidRPr="000C5D96" w14:paraId="533370FA" w14:textId="77777777" w:rsidTr="002B2E28">
        <w:trPr>
          <w:trHeight w:val="346"/>
        </w:trPr>
        <w:tc>
          <w:tcPr>
            <w:tcW w:w="14304" w:type="dxa"/>
            <w:gridSpan w:val="3"/>
          </w:tcPr>
          <w:p w14:paraId="0221512A" w14:textId="77777777" w:rsidR="0012265E" w:rsidRPr="000C5D96" w:rsidRDefault="0012265E" w:rsidP="002B2E28">
            <w:pPr>
              <w:pStyle w:val="naisc"/>
              <w:spacing w:before="0" w:after="0"/>
              <w:ind w:left="4820" w:firstLine="720"/>
              <w:jc w:val="both"/>
            </w:pPr>
          </w:p>
        </w:tc>
      </w:tr>
      <w:tr w:rsidR="000C5D96" w:rsidRPr="000C5D96" w14:paraId="289D9CEA" w14:textId="77777777" w:rsidTr="002B2E28">
        <w:trPr>
          <w:trHeight w:val="620"/>
        </w:trPr>
        <w:tc>
          <w:tcPr>
            <w:tcW w:w="6683" w:type="dxa"/>
            <w:tcBorders>
              <w:bottom w:val="single" w:sz="4" w:space="0" w:color="auto"/>
            </w:tcBorders>
          </w:tcPr>
          <w:p w14:paraId="778213EA" w14:textId="77777777" w:rsidR="0012265E" w:rsidRPr="000C5D96" w:rsidRDefault="0012265E" w:rsidP="002B2E28">
            <w:pPr>
              <w:pStyle w:val="naiskr"/>
              <w:spacing w:before="0" w:after="0"/>
              <w:jc w:val="both"/>
            </w:pPr>
            <w:r w:rsidRPr="000C5D96">
              <w:t>Ministrijas (citas institūcijas), kuras nav ieradušās uz sanāksmi vai kuras nav atbildējušas uz uzaicinājumu piedalīties elektroniskajā saskaņošanā</w:t>
            </w:r>
          </w:p>
        </w:tc>
        <w:tc>
          <w:tcPr>
            <w:tcW w:w="7621" w:type="dxa"/>
            <w:gridSpan w:val="2"/>
            <w:tcBorders>
              <w:bottom w:val="single" w:sz="4" w:space="0" w:color="auto"/>
            </w:tcBorders>
          </w:tcPr>
          <w:p w14:paraId="5442FAD5" w14:textId="77777777" w:rsidR="0012265E" w:rsidRPr="000C5D96" w:rsidRDefault="0012265E" w:rsidP="002B2E28">
            <w:pPr>
              <w:pStyle w:val="naiskr"/>
              <w:spacing w:before="0" w:after="0"/>
              <w:ind w:right="4726" w:firstLine="554"/>
              <w:jc w:val="right"/>
            </w:pPr>
            <w:r w:rsidRPr="000C5D96">
              <w:t>-</w:t>
            </w:r>
          </w:p>
        </w:tc>
      </w:tr>
      <w:tr w:rsidR="000C5D96" w:rsidRPr="000C5D96" w14:paraId="7D34BF1A" w14:textId="77777777" w:rsidTr="002B2E28">
        <w:trPr>
          <w:trHeight w:val="205"/>
        </w:trPr>
        <w:tc>
          <w:tcPr>
            <w:tcW w:w="6683" w:type="dxa"/>
            <w:tcBorders>
              <w:top w:val="single" w:sz="4" w:space="0" w:color="auto"/>
            </w:tcBorders>
          </w:tcPr>
          <w:p w14:paraId="41998730" w14:textId="77777777" w:rsidR="0012265E" w:rsidRPr="000C5D96" w:rsidRDefault="0012265E" w:rsidP="002B2E28">
            <w:pPr>
              <w:pStyle w:val="naiskr"/>
              <w:spacing w:before="0" w:after="0"/>
              <w:ind w:firstLine="720"/>
              <w:jc w:val="both"/>
            </w:pPr>
            <w:r w:rsidRPr="000C5D96">
              <w:t xml:space="preserve"> </w:t>
            </w:r>
          </w:p>
        </w:tc>
        <w:tc>
          <w:tcPr>
            <w:tcW w:w="7621" w:type="dxa"/>
            <w:gridSpan w:val="2"/>
            <w:tcBorders>
              <w:top w:val="single" w:sz="4" w:space="0" w:color="auto"/>
            </w:tcBorders>
          </w:tcPr>
          <w:p w14:paraId="39E40F89" w14:textId="77777777" w:rsidR="0012265E" w:rsidRPr="000C5D96" w:rsidRDefault="0012265E" w:rsidP="002B2E28">
            <w:pPr>
              <w:pStyle w:val="naiskr"/>
              <w:spacing w:before="0" w:after="0"/>
              <w:ind w:firstLine="720"/>
              <w:jc w:val="both"/>
            </w:pPr>
          </w:p>
        </w:tc>
      </w:tr>
      <w:tr w:rsidR="000C5D96" w:rsidRPr="000C5D96" w14:paraId="68583866" w14:textId="77777777" w:rsidTr="002B2E28">
        <w:trPr>
          <w:trHeight w:val="224"/>
        </w:trPr>
        <w:tc>
          <w:tcPr>
            <w:tcW w:w="6683" w:type="dxa"/>
          </w:tcPr>
          <w:p w14:paraId="6B943B75" w14:textId="77777777" w:rsidR="0012265E" w:rsidRPr="000C5D96" w:rsidRDefault="0012265E" w:rsidP="002B2E28">
            <w:pPr>
              <w:pStyle w:val="naiskr"/>
              <w:spacing w:before="0" w:after="0"/>
              <w:ind w:firstLine="720"/>
              <w:jc w:val="both"/>
            </w:pPr>
            <w:r w:rsidRPr="000C5D96">
              <w:t xml:space="preserve"> </w:t>
            </w:r>
          </w:p>
        </w:tc>
        <w:tc>
          <w:tcPr>
            <w:tcW w:w="7621" w:type="dxa"/>
            <w:gridSpan w:val="2"/>
          </w:tcPr>
          <w:p w14:paraId="30B9F0D0" w14:textId="77777777" w:rsidR="0012265E" w:rsidRPr="000C5D96" w:rsidRDefault="0012265E" w:rsidP="002B2E28">
            <w:pPr>
              <w:pStyle w:val="naiskr"/>
              <w:spacing w:before="0" w:after="0"/>
              <w:ind w:firstLine="720"/>
              <w:jc w:val="both"/>
            </w:pPr>
          </w:p>
        </w:tc>
      </w:tr>
    </w:tbl>
    <w:p w14:paraId="1B787CEB" w14:textId="77777777" w:rsidR="0012265E" w:rsidRDefault="0012265E" w:rsidP="0012265E">
      <w:pPr>
        <w:jc w:val="both"/>
      </w:pPr>
    </w:p>
    <w:p w14:paraId="785D115E" w14:textId="77777777" w:rsidR="0012265E" w:rsidRPr="00712B66" w:rsidRDefault="0012265E" w:rsidP="0012265E">
      <w:pPr>
        <w:jc w:val="center"/>
        <w:rPr>
          <w:b/>
        </w:rPr>
      </w:pPr>
      <w:r w:rsidRPr="00712B66">
        <w:rPr>
          <w:b/>
        </w:rPr>
        <w:t>II. Jautājumi, par kuriem saskaņošanā vienošan</w:t>
      </w:r>
      <w:r>
        <w:rPr>
          <w:b/>
        </w:rPr>
        <w:t>ā</w:t>
      </w:r>
      <w:r w:rsidRPr="00712B66">
        <w:rPr>
          <w:b/>
        </w:rPr>
        <w:t>s ir panākta</w:t>
      </w:r>
    </w:p>
    <w:p w14:paraId="257046B9" w14:textId="77777777" w:rsidR="0012265E" w:rsidRPr="00712B66" w:rsidRDefault="0012265E" w:rsidP="0012265E">
      <w:pPr>
        <w:pStyle w:val="naisf"/>
        <w:spacing w:before="0" w:after="0"/>
        <w:ind w:firstLine="720"/>
      </w:pPr>
    </w:p>
    <w:tbl>
      <w:tblPr>
        <w:tblW w:w="14318"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3"/>
        <w:gridCol w:w="2146"/>
        <w:gridCol w:w="328"/>
        <w:gridCol w:w="3896"/>
        <w:gridCol w:w="2283"/>
        <w:gridCol w:w="1939"/>
        <w:gridCol w:w="2733"/>
      </w:tblGrid>
      <w:tr w:rsidR="009F0CAB" w:rsidRPr="009F0CAB" w14:paraId="64A3BF22" w14:textId="77777777" w:rsidTr="007F29E6">
        <w:tc>
          <w:tcPr>
            <w:tcW w:w="993" w:type="dxa"/>
            <w:tcBorders>
              <w:top w:val="single" w:sz="6" w:space="0" w:color="000000"/>
              <w:left w:val="single" w:sz="6" w:space="0" w:color="000000"/>
              <w:bottom w:val="single" w:sz="6" w:space="0" w:color="000000"/>
              <w:right w:val="single" w:sz="6" w:space="0" w:color="000000"/>
            </w:tcBorders>
            <w:vAlign w:val="center"/>
          </w:tcPr>
          <w:p w14:paraId="5F55FF8C" w14:textId="77777777" w:rsidR="0012265E" w:rsidRPr="009F0CAB" w:rsidRDefault="0012265E" w:rsidP="00DB2EEF">
            <w:pPr>
              <w:pStyle w:val="naisc"/>
              <w:spacing w:before="0" w:after="0"/>
            </w:pPr>
            <w:r w:rsidRPr="009F0CAB">
              <w:t>Nr. p. k.</w:t>
            </w:r>
          </w:p>
        </w:tc>
        <w:tc>
          <w:tcPr>
            <w:tcW w:w="2146" w:type="dxa"/>
            <w:tcBorders>
              <w:top w:val="single" w:sz="6" w:space="0" w:color="000000"/>
              <w:left w:val="single" w:sz="6" w:space="0" w:color="000000"/>
              <w:bottom w:val="single" w:sz="6" w:space="0" w:color="000000"/>
              <w:right w:val="single" w:sz="6" w:space="0" w:color="000000"/>
            </w:tcBorders>
            <w:vAlign w:val="center"/>
          </w:tcPr>
          <w:p w14:paraId="01397D9F" w14:textId="77777777" w:rsidR="0012265E" w:rsidRPr="009F0CAB" w:rsidRDefault="0012265E" w:rsidP="00DB2EEF">
            <w:pPr>
              <w:pStyle w:val="naisc"/>
              <w:spacing w:before="0" w:after="0"/>
              <w:ind w:firstLine="12"/>
            </w:pPr>
            <w:r w:rsidRPr="009F0CAB">
              <w:t>Saskaņošanai nosūtītā projekta redakcija (konkrēta punkta (panta) redakcija)</w:t>
            </w:r>
          </w:p>
        </w:tc>
        <w:tc>
          <w:tcPr>
            <w:tcW w:w="4224" w:type="dxa"/>
            <w:gridSpan w:val="2"/>
            <w:tcBorders>
              <w:top w:val="single" w:sz="6" w:space="0" w:color="000000"/>
              <w:left w:val="single" w:sz="6" w:space="0" w:color="000000"/>
              <w:bottom w:val="single" w:sz="6" w:space="0" w:color="000000"/>
              <w:right w:val="single" w:sz="6" w:space="0" w:color="000000"/>
            </w:tcBorders>
            <w:vAlign w:val="center"/>
          </w:tcPr>
          <w:p w14:paraId="1594F57C" w14:textId="77777777" w:rsidR="0012265E" w:rsidRPr="009F0CAB" w:rsidRDefault="0012265E" w:rsidP="00DB2EEF">
            <w:pPr>
              <w:pStyle w:val="naisc"/>
              <w:spacing w:before="0" w:after="0"/>
              <w:ind w:right="3"/>
            </w:pPr>
            <w:r w:rsidRPr="009F0CAB">
              <w:t>Atzinumā norādītais ministrijas (citas institūcijas) iebildums, kā arī saskaņošanā papildus izteiktais iebildums par projekta konkrēto punktu (pantu)</w:t>
            </w:r>
          </w:p>
        </w:tc>
        <w:tc>
          <w:tcPr>
            <w:tcW w:w="4222" w:type="dxa"/>
            <w:gridSpan w:val="2"/>
            <w:tcBorders>
              <w:top w:val="single" w:sz="6" w:space="0" w:color="000000"/>
              <w:left w:val="single" w:sz="6" w:space="0" w:color="000000"/>
              <w:bottom w:val="single" w:sz="6" w:space="0" w:color="000000"/>
              <w:right w:val="single" w:sz="6" w:space="0" w:color="000000"/>
            </w:tcBorders>
            <w:vAlign w:val="center"/>
          </w:tcPr>
          <w:p w14:paraId="0E9A5CC9" w14:textId="77777777" w:rsidR="0012265E" w:rsidRPr="009F0CAB" w:rsidRDefault="0012265E" w:rsidP="00DB2EEF">
            <w:pPr>
              <w:pStyle w:val="naisc"/>
              <w:spacing w:before="0" w:after="0"/>
              <w:ind w:firstLine="21"/>
            </w:pPr>
            <w:r w:rsidRPr="009F0CAB">
              <w:t>Atbildīgās ministrijas norāde par to, ka iebildums ir ņemts vērā, vai informācija par saskaņošanā panākto alternatīvo risinājumu</w:t>
            </w:r>
          </w:p>
        </w:tc>
        <w:tc>
          <w:tcPr>
            <w:tcW w:w="2733" w:type="dxa"/>
            <w:tcBorders>
              <w:top w:val="single" w:sz="4" w:space="0" w:color="auto"/>
              <w:left w:val="single" w:sz="4" w:space="0" w:color="auto"/>
              <w:bottom w:val="single" w:sz="4" w:space="0" w:color="auto"/>
            </w:tcBorders>
            <w:vAlign w:val="center"/>
          </w:tcPr>
          <w:p w14:paraId="52E6359E" w14:textId="77777777" w:rsidR="0012265E" w:rsidRPr="009F0CAB" w:rsidRDefault="0012265E" w:rsidP="00DB2EEF">
            <w:pPr>
              <w:jc w:val="center"/>
            </w:pPr>
            <w:r w:rsidRPr="009F0CAB">
              <w:t>Projekta attiecīgā punkta (panta) galīgā redakcija</w:t>
            </w:r>
          </w:p>
        </w:tc>
      </w:tr>
      <w:tr w:rsidR="009F0CAB" w:rsidRPr="009F0CAB" w14:paraId="2AF42230" w14:textId="77777777" w:rsidTr="007F29E6">
        <w:trPr>
          <w:trHeight w:val="329"/>
        </w:trPr>
        <w:tc>
          <w:tcPr>
            <w:tcW w:w="993" w:type="dxa"/>
            <w:tcBorders>
              <w:top w:val="single" w:sz="6" w:space="0" w:color="000000"/>
              <w:left w:val="single" w:sz="6" w:space="0" w:color="000000"/>
              <w:bottom w:val="single" w:sz="6" w:space="0" w:color="000000"/>
              <w:right w:val="single" w:sz="6" w:space="0" w:color="000000"/>
            </w:tcBorders>
            <w:vAlign w:val="center"/>
          </w:tcPr>
          <w:p w14:paraId="78E85D81" w14:textId="77777777" w:rsidR="0012265E" w:rsidRPr="009F0CAB" w:rsidRDefault="0012265E" w:rsidP="002B2E28">
            <w:pPr>
              <w:pStyle w:val="naisc"/>
              <w:spacing w:before="0" w:after="0"/>
            </w:pPr>
            <w:r w:rsidRPr="009F0CAB">
              <w:t>1</w:t>
            </w:r>
          </w:p>
        </w:tc>
        <w:tc>
          <w:tcPr>
            <w:tcW w:w="2146" w:type="dxa"/>
            <w:tcBorders>
              <w:top w:val="single" w:sz="6" w:space="0" w:color="000000"/>
              <w:left w:val="single" w:sz="6" w:space="0" w:color="000000"/>
              <w:bottom w:val="single" w:sz="6" w:space="0" w:color="000000"/>
              <w:right w:val="single" w:sz="6" w:space="0" w:color="000000"/>
            </w:tcBorders>
            <w:vAlign w:val="center"/>
          </w:tcPr>
          <w:p w14:paraId="05581C1F" w14:textId="77777777" w:rsidR="0012265E" w:rsidRPr="009F0CAB" w:rsidRDefault="0012265E" w:rsidP="002B2E28">
            <w:pPr>
              <w:pStyle w:val="naisc"/>
              <w:spacing w:before="0" w:after="0"/>
              <w:ind w:firstLine="1"/>
            </w:pPr>
            <w:r w:rsidRPr="009F0CAB">
              <w:t>2</w:t>
            </w:r>
          </w:p>
        </w:tc>
        <w:tc>
          <w:tcPr>
            <w:tcW w:w="4224" w:type="dxa"/>
            <w:gridSpan w:val="2"/>
            <w:tcBorders>
              <w:top w:val="single" w:sz="6" w:space="0" w:color="000000"/>
              <w:left w:val="single" w:sz="6" w:space="0" w:color="000000"/>
              <w:bottom w:val="single" w:sz="6" w:space="0" w:color="000000"/>
              <w:right w:val="single" w:sz="6" w:space="0" w:color="000000"/>
            </w:tcBorders>
            <w:vAlign w:val="center"/>
          </w:tcPr>
          <w:p w14:paraId="203B874A" w14:textId="77777777" w:rsidR="0012265E" w:rsidRPr="009F0CAB" w:rsidRDefault="0012265E" w:rsidP="002B2E28">
            <w:pPr>
              <w:pStyle w:val="naisc"/>
              <w:spacing w:before="0" w:after="0"/>
              <w:ind w:firstLine="1"/>
            </w:pPr>
            <w:r w:rsidRPr="009F0CAB">
              <w:t>3</w:t>
            </w:r>
          </w:p>
        </w:tc>
        <w:tc>
          <w:tcPr>
            <w:tcW w:w="4222" w:type="dxa"/>
            <w:gridSpan w:val="2"/>
            <w:tcBorders>
              <w:top w:val="single" w:sz="6" w:space="0" w:color="000000"/>
              <w:left w:val="single" w:sz="6" w:space="0" w:color="000000"/>
              <w:bottom w:val="single" w:sz="6" w:space="0" w:color="000000"/>
              <w:right w:val="single" w:sz="6" w:space="0" w:color="000000"/>
            </w:tcBorders>
            <w:vAlign w:val="center"/>
          </w:tcPr>
          <w:p w14:paraId="26C1D3F0" w14:textId="77777777" w:rsidR="0012265E" w:rsidRPr="009F0CAB" w:rsidRDefault="0012265E" w:rsidP="002B2E28">
            <w:pPr>
              <w:pStyle w:val="naisc"/>
              <w:spacing w:before="0" w:after="0"/>
              <w:ind w:firstLine="1"/>
            </w:pPr>
            <w:r w:rsidRPr="009F0CAB">
              <w:t>4</w:t>
            </w:r>
          </w:p>
        </w:tc>
        <w:tc>
          <w:tcPr>
            <w:tcW w:w="2733" w:type="dxa"/>
            <w:tcBorders>
              <w:top w:val="single" w:sz="4" w:space="0" w:color="auto"/>
              <w:left w:val="single" w:sz="4" w:space="0" w:color="auto"/>
              <w:bottom w:val="single" w:sz="4" w:space="0" w:color="auto"/>
            </w:tcBorders>
            <w:vAlign w:val="center"/>
          </w:tcPr>
          <w:p w14:paraId="74EC5E8C" w14:textId="77777777" w:rsidR="0012265E" w:rsidRPr="009F0CAB" w:rsidRDefault="0012265E" w:rsidP="002B2E28">
            <w:pPr>
              <w:ind w:firstLine="1"/>
              <w:jc w:val="center"/>
            </w:pPr>
            <w:r w:rsidRPr="009F0CAB">
              <w:t>5</w:t>
            </w:r>
          </w:p>
        </w:tc>
      </w:tr>
      <w:tr w:rsidR="009F0CAB" w:rsidRPr="009F0CAB" w14:paraId="599FAA3A" w14:textId="77777777" w:rsidTr="007F29E6">
        <w:trPr>
          <w:trHeight w:val="329"/>
        </w:trPr>
        <w:tc>
          <w:tcPr>
            <w:tcW w:w="993" w:type="dxa"/>
            <w:tcBorders>
              <w:left w:val="single" w:sz="6" w:space="0" w:color="000000"/>
              <w:bottom w:val="single" w:sz="4" w:space="0" w:color="auto"/>
              <w:right w:val="single" w:sz="6" w:space="0" w:color="000000"/>
            </w:tcBorders>
          </w:tcPr>
          <w:p w14:paraId="369EEA8F" w14:textId="77777777" w:rsidR="00A73AEA" w:rsidRPr="009F0CAB" w:rsidRDefault="00A73AEA" w:rsidP="00A73AEA">
            <w:pPr>
              <w:pStyle w:val="naisc"/>
              <w:numPr>
                <w:ilvl w:val="0"/>
                <w:numId w:val="2"/>
              </w:numPr>
              <w:tabs>
                <w:tab w:val="left" w:pos="327"/>
              </w:tabs>
              <w:spacing w:before="0" w:after="0"/>
              <w:jc w:val="both"/>
            </w:pPr>
          </w:p>
        </w:tc>
        <w:tc>
          <w:tcPr>
            <w:tcW w:w="2146" w:type="dxa"/>
            <w:tcBorders>
              <w:left w:val="single" w:sz="6" w:space="0" w:color="000000"/>
              <w:bottom w:val="single" w:sz="4" w:space="0" w:color="auto"/>
              <w:right w:val="single" w:sz="6" w:space="0" w:color="000000"/>
            </w:tcBorders>
          </w:tcPr>
          <w:p w14:paraId="09994E96" w14:textId="1B6ECEB2" w:rsidR="00A73AEA" w:rsidRPr="009F0CAB" w:rsidRDefault="00A73AEA" w:rsidP="00DB2EEF">
            <w:pPr>
              <w:pStyle w:val="naisc"/>
              <w:spacing w:before="0" w:after="0"/>
              <w:jc w:val="both"/>
              <w:rPr>
                <w:rFonts w:eastAsia="Calibri"/>
                <w:lang w:eastAsia="en-US"/>
              </w:rPr>
            </w:pPr>
            <w:r w:rsidRPr="009F0CAB">
              <w:rPr>
                <w:rFonts w:eastAsia="Calibri"/>
                <w:lang w:eastAsia="en-US"/>
              </w:rPr>
              <w:t xml:space="preserve">Informatīvā ziņojuma 1. sadaļas </w:t>
            </w:r>
            <w:r w:rsidRPr="009F0CAB">
              <w:t>“</w:t>
            </w:r>
            <w:r w:rsidRPr="009F0CAB">
              <w:rPr>
                <w:iCs/>
              </w:rPr>
              <w:t>Kopsavilkums</w:t>
            </w:r>
            <w:r w:rsidRPr="009F0CAB">
              <w:t>” attēlu Nr.2. “</w:t>
            </w:r>
            <w:r w:rsidRPr="009F0CAB">
              <w:rPr>
                <w:iCs/>
              </w:rPr>
              <w:t xml:space="preserve">EEZ/Norvēģijas </w:t>
            </w:r>
            <w:proofErr w:type="spellStart"/>
            <w:r w:rsidRPr="009F0CAB">
              <w:rPr>
                <w:iCs/>
              </w:rPr>
              <w:t>grantu</w:t>
            </w:r>
            <w:proofErr w:type="spellEnd"/>
            <w:r w:rsidRPr="009F0CAB">
              <w:rPr>
                <w:iCs/>
              </w:rPr>
              <w:t xml:space="preserve"> investīciju kopsavilkums līdz 2021. gada februārim</w:t>
            </w:r>
            <w:r w:rsidRPr="009F0CAB">
              <w:t>”</w:t>
            </w:r>
          </w:p>
        </w:tc>
        <w:tc>
          <w:tcPr>
            <w:tcW w:w="4224" w:type="dxa"/>
            <w:gridSpan w:val="2"/>
            <w:tcBorders>
              <w:left w:val="single" w:sz="6" w:space="0" w:color="000000"/>
              <w:bottom w:val="single" w:sz="4" w:space="0" w:color="auto"/>
              <w:right w:val="single" w:sz="6" w:space="0" w:color="000000"/>
            </w:tcBorders>
            <w:shd w:val="clear" w:color="auto" w:fill="auto"/>
          </w:tcPr>
          <w:p w14:paraId="730CDD04" w14:textId="2520171A" w:rsidR="00A73AEA" w:rsidRPr="009F0CAB" w:rsidRDefault="00057B22" w:rsidP="00DB2EEF">
            <w:pPr>
              <w:widowControl w:val="0"/>
              <w:jc w:val="both"/>
              <w:rPr>
                <w:b/>
              </w:rPr>
            </w:pPr>
            <w:r w:rsidRPr="009F0CAB">
              <w:rPr>
                <w:b/>
              </w:rPr>
              <w:t>Iebildums</w:t>
            </w:r>
          </w:p>
          <w:p w14:paraId="5947F59E" w14:textId="7A823E86" w:rsidR="00DA2A08" w:rsidRPr="009F0CAB" w:rsidRDefault="00DA2A08" w:rsidP="00DB2EEF">
            <w:pPr>
              <w:widowControl w:val="0"/>
              <w:spacing w:after="240"/>
              <w:jc w:val="both"/>
              <w:rPr>
                <w:b/>
              </w:rPr>
            </w:pPr>
            <w:r w:rsidRPr="009F0CAB">
              <w:rPr>
                <w:b/>
              </w:rPr>
              <w:t>Vides aizsardzības un reģionālās attīstības ministrija (VARAM)</w:t>
            </w:r>
          </w:p>
          <w:p w14:paraId="358A09B2" w14:textId="7BC98B4E" w:rsidR="00DA2A08" w:rsidRPr="009F0CAB" w:rsidRDefault="00DA2A08" w:rsidP="00DB2EEF">
            <w:pPr>
              <w:tabs>
                <w:tab w:val="right" w:pos="2127"/>
                <w:tab w:val="left" w:pos="2410"/>
                <w:tab w:val="right" w:leader="underscore" w:pos="4820"/>
              </w:tabs>
              <w:spacing w:after="240"/>
              <w:jc w:val="both"/>
            </w:pPr>
            <w:r w:rsidRPr="009F0CAB">
              <w:t xml:space="preserve"> - </w:t>
            </w:r>
            <w:r w:rsidR="00ED4836" w:rsidRPr="009F0CAB">
              <w:t>Lūdzam precizēt informatīvā ziņojuma 1.sadaļas “</w:t>
            </w:r>
            <w:r w:rsidR="00ED4836" w:rsidRPr="009F0CAB">
              <w:rPr>
                <w:iCs/>
              </w:rPr>
              <w:t>Kopsavilkums</w:t>
            </w:r>
            <w:r w:rsidR="00ED4836" w:rsidRPr="009F0CAB">
              <w:t>” attēlu Nr.2. “</w:t>
            </w:r>
            <w:r w:rsidR="00ED4836" w:rsidRPr="009F0CAB">
              <w:rPr>
                <w:iCs/>
              </w:rPr>
              <w:t xml:space="preserve">EEZ/Norvēģijas </w:t>
            </w:r>
            <w:proofErr w:type="spellStart"/>
            <w:r w:rsidR="00ED4836" w:rsidRPr="009F0CAB">
              <w:rPr>
                <w:iCs/>
              </w:rPr>
              <w:t>grantu</w:t>
            </w:r>
            <w:proofErr w:type="spellEnd"/>
            <w:r w:rsidR="00ED4836" w:rsidRPr="009F0CAB">
              <w:rPr>
                <w:iCs/>
              </w:rPr>
              <w:t xml:space="preserve"> investīciju kopsavilkums līdz 2021. gada februārim</w:t>
            </w:r>
            <w:r w:rsidR="00ED4836" w:rsidRPr="009F0CAB">
              <w:t>”, izmantojot vienādu pieeju visā grafikā, jo pašreiz  “</w:t>
            </w:r>
            <w:r w:rsidR="00ED4836" w:rsidRPr="009F0CAB">
              <w:rPr>
                <w:i/>
                <w:iCs/>
              </w:rPr>
              <w:t>*Grants 85%</w:t>
            </w:r>
            <w:r w:rsidR="00ED4836" w:rsidRPr="009F0CAB">
              <w:t xml:space="preserve">” norādīts tikai pie </w:t>
            </w:r>
            <w:r w:rsidR="00ED4836" w:rsidRPr="009F0CAB">
              <w:lastRenderedPageBreak/>
              <w:t>“</w:t>
            </w:r>
            <w:r w:rsidR="00ED4836" w:rsidRPr="009F0CAB">
              <w:rPr>
                <w:i/>
                <w:iCs/>
              </w:rPr>
              <w:t>Noslēgušies 2 atklātie konkursi</w:t>
            </w:r>
            <w:r w:rsidR="00ED4836" w:rsidRPr="009F0CAB">
              <w:t>” , bet tam būtu jāparādās arī attēla sadaļās “</w:t>
            </w:r>
            <w:r w:rsidR="00ED4836" w:rsidRPr="009F0CAB">
              <w:rPr>
                <w:i/>
                <w:iCs/>
              </w:rPr>
              <w:t>visi 6 programmu līgumu parakstīti</w:t>
            </w:r>
            <w:r w:rsidR="00ED4836" w:rsidRPr="009F0CAB">
              <w:t>” un “</w:t>
            </w:r>
            <w:r w:rsidR="00ED4836" w:rsidRPr="009F0CAB">
              <w:rPr>
                <w:i/>
                <w:iCs/>
              </w:rPr>
              <w:t>uzsākti 10 iepriekš noteiktie projekti</w:t>
            </w:r>
            <w:r w:rsidR="00ED4836" w:rsidRPr="009F0CAB">
              <w:t>”.</w:t>
            </w:r>
          </w:p>
          <w:p w14:paraId="596893C7" w14:textId="602DA213" w:rsidR="00DA2A08" w:rsidRPr="009F0CAB" w:rsidRDefault="00DA2A08" w:rsidP="00DB2EEF">
            <w:pPr>
              <w:tabs>
                <w:tab w:val="right" w:pos="2127"/>
                <w:tab w:val="left" w:pos="2410"/>
                <w:tab w:val="right" w:leader="underscore" w:pos="4820"/>
              </w:tabs>
              <w:jc w:val="both"/>
            </w:pPr>
            <w:r w:rsidRPr="009F0CAB">
              <w:t xml:space="preserve">- </w:t>
            </w:r>
            <w:r w:rsidR="00ED4836" w:rsidRPr="009F0CAB">
              <w:t>Lūdzam precizēt informatīvā ziņojuma 1.sadaļas “</w:t>
            </w:r>
            <w:r w:rsidR="00ED4836" w:rsidRPr="009F0CAB">
              <w:rPr>
                <w:iCs/>
              </w:rPr>
              <w:t>Kopsavilkums</w:t>
            </w:r>
            <w:r w:rsidR="00ED4836" w:rsidRPr="009F0CAB">
              <w:t>” attēlu Nr.2 “</w:t>
            </w:r>
            <w:r w:rsidR="00ED4836" w:rsidRPr="009F0CAB">
              <w:rPr>
                <w:iCs/>
              </w:rPr>
              <w:t xml:space="preserve">EEZ/Norvēģijas </w:t>
            </w:r>
            <w:proofErr w:type="spellStart"/>
            <w:r w:rsidR="00ED4836" w:rsidRPr="009F0CAB">
              <w:rPr>
                <w:iCs/>
              </w:rPr>
              <w:t>grantu</w:t>
            </w:r>
            <w:proofErr w:type="spellEnd"/>
            <w:r w:rsidR="00ED4836" w:rsidRPr="009F0CAB">
              <w:rPr>
                <w:iCs/>
              </w:rPr>
              <w:t xml:space="preserve"> investīciju kopsavilkums līdz 2021. gada februārim</w:t>
            </w:r>
            <w:r w:rsidR="00ED4836" w:rsidRPr="009F0CAB">
              <w:t xml:space="preserve">”, norādot </w:t>
            </w:r>
            <w:r w:rsidR="00ED4836" w:rsidRPr="009F0CAB">
              <w:rPr>
                <w:i/>
                <w:iCs/>
              </w:rPr>
              <w:t>Klimata pārmaiņu mazināšanai</w:t>
            </w:r>
            <w:r w:rsidR="00ED4836" w:rsidRPr="009F0CAB">
              <w:t xml:space="preserve"> 2 uzsāktos iepriekš noteiktos projektus, jo Zemkopības ministrijas projekta līgums tika parakstīts 2021.gada 27. janvārī.</w:t>
            </w:r>
          </w:p>
        </w:tc>
        <w:tc>
          <w:tcPr>
            <w:tcW w:w="4222" w:type="dxa"/>
            <w:gridSpan w:val="2"/>
            <w:tcBorders>
              <w:left w:val="single" w:sz="6" w:space="0" w:color="000000"/>
              <w:bottom w:val="single" w:sz="4" w:space="0" w:color="auto"/>
              <w:right w:val="single" w:sz="6" w:space="0" w:color="000000"/>
            </w:tcBorders>
            <w:shd w:val="clear" w:color="auto" w:fill="auto"/>
          </w:tcPr>
          <w:p w14:paraId="1BFA177B" w14:textId="2E42B202" w:rsidR="000D447A" w:rsidRPr="00AD22CC" w:rsidRDefault="00AD22CC" w:rsidP="00DB2EEF">
            <w:pPr>
              <w:pStyle w:val="naisc"/>
              <w:spacing w:before="0" w:after="0"/>
              <w:jc w:val="both"/>
              <w:rPr>
                <w:b/>
              </w:rPr>
            </w:pPr>
            <w:r>
              <w:rPr>
                <w:b/>
              </w:rPr>
              <w:lastRenderedPageBreak/>
              <w:t>Ņemts vērā.</w:t>
            </w:r>
          </w:p>
        </w:tc>
        <w:tc>
          <w:tcPr>
            <w:tcW w:w="2733" w:type="dxa"/>
            <w:tcBorders>
              <w:top w:val="single" w:sz="4" w:space="0" w:color="auto"/>
              <w:left w:val="single" w:sz="4" w:space="0" w:color="auto"/>
              <w:bottom w:val="single" w:sz="4" w:space="0" w:color="auto"/>
            </w:tcBorders>
            <w:shd w:val="clear" w:color="auto" w:fill="auto"/>
          </w:tcPr>
          <w:p w14:paraId="64638985" w14:textId="19E96B05" w:rsidR="00A73AEA" w:rsidRPr="009F0CAB" w:rsidRDefault="000D447A" w:rsidP="00DB2EEF">
            <w:pPr>
              <w:jc w:val="both"/>
            </w:pPr>
            <w:r w:rsidRPr="009F0CAB">
              <w:t xml:space="preserve">Precizēts attēls Nr.2 “EEZ/Norvēģijas </w:t>
            </w:r>
            <w:proofErr w:type="spellStart"/>
            <w:r w:rsidRPr="009F0CAB">
              <w:t>grantu</w:t>
            </w:r>
            <w:proofErr w:type="spellEnd"/>
            <w:r w:rsidRPr="009F0CAB">
              <w:t xml:space="preserve"> investīciju kopsavilkums līdz 2021. gada februārim”.</w:t>
            </w:r>
          </w:p>
        </w:tc>
      </w:tr>
      <w:tr w:rsidR="009F0CAB" w:rsidRPr="009F0CAB" w14:paraId="414BBB8F" w14:textId="77777777" w:rsidTr="007F29E6">
        <w:trPr>
          <w:trHeight w:val="329"/>
        </w:trPr>
        <w:tc>
          <w:tcPr>
            <w:tcW w:w="993" w:type="dxa"/>
            <w:tcBorders>
              <w:left w:val="single" w:sz="6" w:space="0" w:color="000000"/>
              <w:bottom w:val="single" w:sz="4" w:space="0" w:color="auto"/>
              <w:right w:val="single" w:sz="6" w:space="0" w:color="000000"/>
            </w:tcBorders>
          </w:tcPr>
          <w:p w14:paraId="1058AED6" w14:textId="77777777" w:rsidR="002D30EC" w:rsidRPr="009F0CAB" w:rsidRDefault="002D30EC" w:rsidP="00DB2EEF">
            <w:pPr>
              <w:pStyle w:val="naisc"/>
              <w:numPr>
                <w:ilvl w:val="0"/>
                <w:numId w:val="2"/>
              </w:numPr>
              <w:tabs>
                <w:tab w:val="left" w:pos="327"/>
              </w:tabs>
              <w:spacing w:before="0" w:after="0"/>
              <w:jc w:val="both"/>
            </w:pPr>
          </w:p>
        </w:tc>
        <w:tc>
          <w:tcPr>
            <w:tcW w:w="2146" w:type="dxa"/>
            <w:tcBorders>
              <w:left w:val="single" w:sz="6" w:space="0" w:color="000000"/>
              <w:bottom w:val="single" w:sz="4" w:space="0" w:color="auto"/>
              <w:right w:val="single" w:sz="6" w:space="0" w:color="000000"/>
            </w:tcBorders>
          </w:tcPr>
          <w:p w14:paraId="35380DBA" w14:textId="686B7741" w:rsidR="002D30EC" w:rsidRPr="009F0CAB" w:rsidRDefault="002D30EC" w:rsidP="00DB2EEF">
            <w:pPr>
              <w:pStyle w:val="naisc"/>
              <w:spacing w:before="0" w:after="0"/>
              <w:jc w:val="both"/>
              <w:rPr>
                <w:rFonts w:eastAsia="Calibri"/>
                <w:lang w:eastAsia="en-US"/>
              </w:rPr>
            </w:pPr>
            <w:r w:rsidRPr="009F0CAB">
              <w:rPr>
                <w:rFonts w:eastAsia="Calibri"/>
                <w:lang w:eastAsia="en-US"/>
              </w:rPr>
              <w:t>Informatīvā ziņojuma 2. sadaļas “</w:t>
            </w:r>
            <w:r w:rsidRPr="009F0CAB">
              <w:rPr>
                <w:iCs/>
              </w:rPr>
              <w:t>2014. - 2020. gada plānošanas perioda ES fondu īstenošana</w:t>
            </w:r>
            <w:r w:rsidRPr="009F0CAB">
              <w:t>”</w:t>
            </w:r>
          </w:p>
        </w:tc>
        <w:tc>
          <w:tcPr>
            <w:tcW w:w="4224" w:type="dxa"/>
            <w:gridSpan w:val="2"/>
            <w:tcBorders>
              <w:left w:val="single" w:sz="6" w:space="0" w:color="000000"/>
              <w:bottom w:val="single" w:sz="4" w:space="0" w:color="auto"/>
              <w:right w:val="single" w:sz="6" w:space="0" w:color="000000"/>
            </w:tcBorders>
            <w:shd w:val="clear" w:color="auto" w:fill="auto"/>
          </w:tcPr>
          <w:p w14:paraId="3A85F0F1" w14:textId="295D8218" w:rsidR="002D30EC" w:rsidRPr="009F0CAB" w:rsidRDefault="00057B22" w:rsidP="00DB2EEF">
            <w:pPr>
              <w:widowControl w:val="0"/>
              <w:jc w:val="both"/>
              <w:rPr>
                <w:b/>
              </w:rPr>
            </w:pPr>
            <w:r w:rsidRPr="009F0CAB">
              <w:rPr>
                <w:b/>
              </w:rPr>
              <w:t>Iebildums</w:t>
            </w:r>
          </w:p>
          <w:p w14:paraId="05A50E2B" w14:textId="77777777" w:rsidR="002D30EC" w:rsidRPr="009F0CAB" w:rsidRDefault="002D30EC" w:rsidP="00DB2EEF">
            <w:pPr>
              <w:widowControl w:val="0"/>
              <w:spacing w:after="240"/>
              <w:jc w:val="both"/>
              <w:rPr>
                <w:b/>
              </w:rPr>
            </w:pPr>
            <w:r w:rsidRPr="009F0CAB">
              <w:rPr>
                <w:b/>
              </w:rPr>
              <w:t>Labklājības ministrija (LM)</w:t>
            </w:r>
          </w:p>
          <w:p w14:paraId="575FE0E6" w14:textId="20B7C2CD" w:rsidR="002D30EC" w:rsidRPr="009F0CAB" w:rsidRDefault="002D30EC" w:rsidP="00DB2EEF">
            <w:pPr>
              <w:widowControl w:val="0"/>
              <w:jc w:val="both"/>
            </w:pPr>
            <w:r w:rsidRPr="009F0CAB">
              <w:t>Lūdzam precizēt informatīvā ziņojuma 2.sadaļā “</w:t>
            </w:r>
            <w:bookmarkStart w:id="0" w:name="_Toc63429670"/>
            <w:bookmarkStart w:id="1" w:name="_Toc47608814"/>
            <w:r w:rsidRPr="009F0CAB">
              <w:rPr>
                <w:bCs/>
              </w:rPr>
              <w:t>2014. - 2020. gada plānošanas perioda ES fondu īstenošana</w:t>
            </w:r>
            <w:bookmarkEnd w:id="0"/>
            <w:bookmarkEnd w:id="1"/>
            <w:r w:rsidRPr="009F0CAB">
              <w:t xml:space="preserve">” ietverto </w:t>
            </w:r>
            <w:r w:rsidRPr="009F0CAB">
              <w:rPr>
                <w:iCs/>
              </w:rPr>
              <w:t>informāciju par LM pārziņas projektos ieviestajiem atbalsta pasākumiem Covid-19 pandēmijas seku mazināšanai</w:t>
            </w:r>
            <w:r w:rsidRPr="009F0CAB">
              <w:t>,</w:t>
            </w:r>
            <w:r w:rsidRPr="009F0CAB">
              <w:rPr>
                <w:iCs/>
              </w:rPr>
              <w:t xml:space="preserve"> </w:t>
            </w:r>
            <w:r w:rsidRPr="009F0CAB">
              <w:t>ietverot norādi šādā redakcijā: “</w:t>
            </w:r>
            <w:r w:rsidRPr="009F0CAB">
              <w:rPr>
                <w:i/>
                <w:iCs/>
              </w:rPr>
              <w:t xml:space="preserve">Tā, piemēram, LM plāno rosināt izmaiņas subsidētās nodarbinātības projekta atbalstāmo darbību īstenošanas nosacījumos un saturā, kā arī ierosināt finanšu ietaupījuma pārdali starp LM pārziņas specifiskā atbalsta mērķiem/pasākumiem, jo 2020. gada rudenī ir būtiski samazinājusies uzņēmumu/ darba devēju ekonomiskā aktivitāte un spēja uzturēt esošās un izveidot jaunas, ilgtspējīgas darba vietas bezdarbniekiem, jo īpaši </w:t>
            </w:r>
            <w:r w:rsidRPr="009F0CAB">
              <w:rPr>
                <w:i/>
                <w:iCs/>
              </w:rPr>
              <w:lastRenderedPageBreak/>
              <w:t xml:space="preserve">Covid-19 pandēmijas visvairāk skartajās pakalpojumu nozarēs, kā ietekmē samazinājies pieprasījums pēc subsidēto darba vietu bezdarbniekiem pasākuma. Vienlaikus Covid-19 pandēmijas ietekmē turpina pieaugt bezdarbs un norisinās arī ekonomikas pārstrukturizēšanās, tādējādi arī turpmāk ir nepieciešami ieguldījumi </w:t>
            </w:r>
            <w:proofErr w:type="spellStart"/>
            <w:r w:rsidRPr="009F0CAB">
              <w:rPr>
                <w:i/>
                <w:iCs/>
              </w:rPr>
              <w:t>pārkvalifikācijas</w:t>
            </w:r>
            <w:proofErr w:type="spellEnd"/>
            <w:r w:rsidRPr="009F0CAB">
              <w:rPr>
                <w:i/>
                <w:iCs/>
              </w:rPr>
              <w:t xml:space="preserve"> un prasmju pilnveides pasākumos. Tādēļ ir būtiska minēto atbalsta pasākumu īstenošanas turpināšana 2022. un 2023.gadā iepriekš īstenotajā apmērā (vidēji 13 MEUR/gadā), t.sk. rodot papildu finansējumu (no </w:t>
            </w:r>
            <w:proofErr w:type="spellStart"/>
            <w:r w:rsidRPr="009F0CAB">
              <w:rPr>
                <w:i/>
                <w:iCs/>
              </w:rPr>
              <w:t>React</w:t>
            </w:r>
            <w:proofErr w:type="spellEnd"/>
            <w:r w:rsidRPr="009F0CAB">
              <w:rPr>
                <w:i/>
                <w:iCs/>
              </w:rPr>
              <w:t>-EU un pārdalot no LM pārziņas 9.1.1.1.pasākuma</w:t>
            </w:r>
            <w:r w:rsidRPr="009F0CAB">
              <w:t>¹</w:t>
            </w:r>
            <w:r w:rsidRPr="009F0CAB">
              <w:rPr>
                <w:i/>
                <w:iCs/>
              </w:rPr>
              <w:t>) atbalsta nepārtrauktības nodrošināšanai</w:t>
            </w:r>
            <w:r w:rsidRPr="009F0CAB">
              <w:t xml:space="preserve">. </w:t>
            </w:r>
            <w:r w:rsidRPr="009F0CAB">
              <w:rPr>
                <w:i/>
                <w:iCs/>
              </w:rPr>
              <w:t xml:space="preserve">Lai nodrošinātu finanšu pārdales no 9. uz 7. prioritāro virzienu, nepieciešams rosināt darbības programmas “Izaugsme un nodarbinātība” (turpmāk - DP) grozījumus (izmaiņas plānots virzīt ar nākamajiem DP grozījumiem, kas ietvers </w:t>
            </w:r>
            <w:proofErr w:type="spellStart"/>
            <w:r w:rsidRPr="009F0CAB">
              <w:rPr>
                <w:i/>
                <w:iCs/>
              </w:rPr>
              <w:t>React</w:t>
            </w:r>
            <w:proofErr w:type="spellEnd"/>
            <w:r w:rsidRPr="009F0CAB">
              <w:rPr>
                <w:i/>
                <w:iCs/>
              </w:rPr>
              <w:t>-EU finansējuma pieejamību), kā arī grozījumus LM pārziņas Ministru kabineta noteikumos par 7.1.1.SAM</w:t>
            </w:r>
            <w:r w:rsidRPr="009F0CAB">
              <w:rPr>
                <w:rFonts w:eastAsia="Calibri"/>
              </w:rPr>
              <w:t>²</w:t>
            </w:r>
            <w:r w:rsidRPr="009F0CAB">
              <w:rPr>
                <w:i/>
                <w:iCs/>
              </w:rPr>
              <w:t xml:space="preserve"> un 9.1.1.1.pasākuma īstenošanu (vienlaikus vai pēc atbilstošiem grozījumiem DP).</w:t>
            </w:r>
            <w:r w:rsidRPr="009F0CAB">
              <w:t>”;</w:t>
            </w:r>
          </w:p>
          <w:p w14:paraId="23170A16" w14:textId="77777777" w:rsidR="0045278F" w:rsidRPr="009F0CAB" w:rsidRDefault="0045278F" w:rsidP="00DB2EEF">
            <w:pPr>
              <w:widowControl w:val="0"/>
              <w:spacing w:after="240"/>
              <w:jc w:val="both"/>
              <w:rPr>
                <w:b/>
              </w:rPr>
            </w:pPr>
            <w:r w:rsidRPr="009F0CAB">
              <w:rPr>
                <w:b/>
              </w:rPr>
              <w:t>________________________</w:t>
            </w:r>
          </w:p>
          <w:p w14:paraId="2F6DD8BC" w14:textId="7455786F" w:rsidR="002D30EC" w:rsidRPr="009F0CAB" w:rsidRDefault="002D30EC" w:rsidP="00DB2EEF">
            <w:pPr>
              <w:widowControl w:val="0"/>
              <w:jc w:val="both"/>
              <w:rPr>
                <w:i/>
              </w:rPr>
            </w:pPr>
            <w:r w:rsidRPr="009F0CAB">
              <w:rPr>
                <w:i/>
              </w:rPr>
              <w:t>¹9.1.1.1.pasākums “Subsidētās darbavietas nelabvēlīgākā situācijā esošiem bezdarbniekiem”</w:t>
            </w:r>
          </w:p>
          <w:p w14:paraId="42736513" w14:textId="5D463D3B" w:rsidR="002D30EC" w:rsidRPr="009F0CAB" w:rsidRDefault="002D30EC" w:rsidP="00DB2EEF">
            <w:pPr>
              <w:widowControl w:val="0"/>
              <w:jc w:val="both"/>
              <w:rPr>
                <w:b/>
              </w:rPr>
            </w:pPr>
            <w:r w:rsidRPr="009F0CAB">
              <w:rPr>
                <w:rFonts w:eastAsia="Calibri"/>
                <w:i/>
              </w:rPr>
              <w:lastRenderedPageBreak/>
              <w:t>²</w:t>
            </w:r>
            <w:r w:rsidRPr="009F0CAB">
              <w:rPr>
                <w:i/>
              </w:rPr>
              <w:t>7.1.1.specifiskais atbalsta mērķis “Paaugstināt bezdarbnieku kvalifikāciju un prasmes atbilstoši darba tirgus pieprasījumam”</w:t>
            </w:r>
          </w:p>
        </w:tc>
        <w:tc>
          <w:tcPr>
            <w:tcW w:w="4222" w:type="dxa"/>
            <w:gridSpan w:val="2"/>
            <w:tcBorders>
              <w:left w:val="single" w:sz="6" w:space="0" w:color="000000"/>
              <w:bottom w:val="single" w:sz="4" w:space="0" w:color="auto"/>
              <w:right w:val="single" w:sz="6" w:space="0" w:color="000000"/>
            </w:tcBorders>
            <w:shd w:val="clear" w:color="auto" w:fill="auto"/>
          </w:tcPr>
          <w:p w14:paraId="5FF94ED6" w14:textId="1F09D22B" w:rsidR="00A46CDA" w:rsidRPr="00AD22CC" w:rsidRDefault="00A46CDA" w:rsidP="00DB2EEF">
            <w:pPr>
              <w:pStyle w:val="naisc"/>
              <w:spacing w:before="0" w:after="0"/>
              <w:jc w:val="both"/>
              <w:rPr>
                <w:b/>
              </w:rPr>
            </w:pPr>
            <w:r w:rsidRPr="00AD22CC">
              <w:rPr>
                <w:b/>
              </w:rPr>
              <w:lastRenderedPageBreak/>
              <w:t>Ņemts vērā</w:t>
            </w:r>
            <w:r w:rsidR="00AD22CC">
              <w:rPr>
                <w:b/>
              </w:rPr>
              <w:t>.</w:t>
            </w:r>
          </w:p>
        </w:tc>
        <w:tc>
          <w:tcPr>
            <w:tcW w:w="2733" w:type="dxa"/>
            <w:tcBorders>
              <w:top w:val="single" w:sz="4" w:space="0" w:color="auto"/>
              <w:left w:val="single" w:sz="4" w:space="0" w:color="auto"/>
              <w:bottom w:val="single" w:sz="4" w:space="0" w:color="auto"/>
            </w:tcBorders>
            <w:shd w:val="clear" w:color="auto" w:fill="auto"/>
          </w:tcPr>
          <w:p w14:paraId="2C89AA3E" w14:textId="77777777" w:rsidR="002D30EC" w:rsidRPr="009F0CAB" w:rsidRDefault="00A46CDA" w:rsidP="00DB2EEF">
            <w:pPr>
              <w:jc w:val="both"/>
            </w:pPr>
            <w:r w:rsidRPr="009F0CAB">
              <w:t>Skatīt precizēto informatīvā ziņojuma 2.sadaļu “</w:t>
            </w:r>
            <w:r w:rsidRPr="009F0CAB">
              <w:rPr>
                <w:bCs/>
              </w:rPr>
              <w:t>2014. - 2020. gada plānošanas perioda ES fondu īstenošana</w:t>
            </w:r>
            <w:r w:rsidRPr="009F0CAB">
              <w:t>”</w:t>
            </w:r>
            <w:r w:rsidR="000F629E" w:rsidRPr="009F0CAB">
              <w:t>.</w:t>
            </w:r>
          </w:p>
          <w:p w14:paraId="7A5245C6" w14:textId="6501CE4D" w:rsidR="000F629E" w:rsidRPr="009F0CAB" w:rsidRDefault="000F629E" w:rsidP="00DB2EEF">
            <w:pPr>
              <w:jc w:val="both"/>
            </w:pPr>
            <w:r w:rsidRPr="009F0CAB">
              <w:t>Redakcija saskaņota ar LM 16.02.2021.</w:t>
            </w:r>
          </w:p>
        </w:tc>
      </w:tr>
      <w:tr w:rsidR="009F0CAB" w:rsidRPr="009F0CAB" w14:paraId="20640DE8" w14:textId="77777777" w:rsidTr="007F29E6">
        <w:trPr>
          <w:trHeight w:val="329"/>
        </w:trPr>
        <w:tc>
          <w:tcPr>
            <w:tcW w:w="993" w:type="dxa"/>
            <w:tcBorders>
              <w:left w:val="single" w:sz="6" w:space="0" w:color="000000"/>
              <w:bottom w:val="single" w:sz="4" w:space="0" w:color="auto"/>
              <w:right w:val="single" w:sz="6" w:space="0" w:color="000000"/>
            </w:tcBorders>
          </w:tcPr>
          <w:p w14:paraId="7322D73B" w14:textId="6DEE6198" w:rsidR="007F29E6" w:rsidRPr="009F0CAB" w:rsidRDefault="007F29E6" w:rsidP="00A73AEA">
            <w:pPr>
              <w:pStyle w:val="naisc"/>
              <w:numPr>
                <w:ilvl w:val="0"/>
                <w:numId w:val="2"/>
              </w:numPr>
              <w:tabs>
                <w:tab w:val="left" w:pos="327"/>
              </w:tabs>
              <w:spacing w:before="0" w:after="0"/>
              <w:jc w:val="both"/>
            </w:pPr>
          </w:p>
          <w:p w14:paraId="6D230159" w14:textId="77777777" w:rsidR="00560CD9" w:rsidRPr="009F0CAB" w:rsidRDefault="00560CD9" w:rsidP="007F29E6"/>
        </w:tc>
        <w:tc>
          <w:tcPr>
            <w:tcW w:w="2146" w:type="dxa"/>
            <w:tcBorders>
              <w:left w:val="single" w:sz="6" w:space="0" w:color="000000"/>
              <w:bottom w:val="single" w:sz="4" w:space="0" w:color="auto"/>
              <w:right w:val="single" w:sz="6" w:space="0" w:color="000000"/>
            </w:tcBorders>
          </w:tcPr>
          <w:p w14:paraId="1AA7F064" w14:textId="3EE11071" w:rsidR="00560CD9" w:rsidRPr="009F0CAB" w:rsidRDefault="00560CD9" w:rsidP="00DB2EEF">
            <w:pPr>
              <w:pStyle w:val="naisc"/>
              <w:spacing w:before="0" w:after="0"/>
              <w:jc w:val="both"/>
              <w:rPr>
                <w:rFonts w:eastAsia="Calibri"/>
                <w:lang w:eastAsia="en-US"/>
              </w:rPr>
            </w:pPr>
            <w:r w:rsidRPr="009F0CAB">
              <w:rPr>
                <w:rFonts w:eastAsia="Calibri"/>
                <w:lang w:eastAsia="en-US"/>
              </w:rPr>
              <w:t>Informatīvā ziņojuma 2. sadaļas “</w:t>
            </w:r>
            <w:r w:rsidRPr="009F0CAB">
              <w:rPr>
                <w:iCs/>
              </w:rPr>
              <w:t>2014. - 2020. gada plānošanas perioda ES fondu īstenošana</w:t>
            </w:r>
            <w:r w:rsidRPr="009F0CAB">
              <w:t>”</w:t>
            </w:r>
          </w:p>
        </w:tc>
        <w:tc>
          <w:tcPr>
            <w:tcW w:w="4224" w:type="dxa"/>
            <w:gridSpan w:val="2"/>
            <w:tcBorders>
              <w:left w:val="single" w:sz="6" w:space="0" w:color="000000"/>
              <w:bottom w:val="single" w:sz="4" w:space="0" w:color="auto"/>
              <w:right w:val="single" w:sz="6" w:space="0" w:color="000000"/>
            </w:tcBorders>
            <w:shd w:val="clear" w:color="auto" w:fill="auto"/>
          </w:tcPr>
          <w:p w14:paraId="25EDAB17" w14:textId="4B5A0A30" w:rsidR="00560CD9" w:rsidRPr="009F0CAB" w:rsidRDefault="00057B22" w:rsidP="00DB2EEF">
            <w:pPr>
              <w:widowControl w:val="0"/>
              <w:jc w:val="both"/>
              <w:rPr>
                <w:b/>
              </w:rPr>
            </w:pPr>
            <w:r w:rsidRPr="009F0CAB">
              <w:rPr>
                <w:b/>
              </w:rPr>
              <w:t>Iebildums</w:t>
            </w:r>
          </w:p>
          <w:p w14:paraId="3E66197E" w14:textId="77777777" w:rsidR="00560CD9" w:rsidRPr="009F0CAB" w:rsidRDefault="00560CD9" w:rsidP="00DB2EEF">
            <w:pPr>
              <w:widowControl w:val="0"/>
              <w:spacing w:after="240"/>
              <w:jc w:val="both"/>
              <w:rPr>
                <w:b/>
              </w:rPr>
            </w:pPr>
            <w:r w:rsidRPr="009F0CAB">
              <w:rPr>
                <w:b/>
              </w:rPr>
              <w:t>LM</w:t>
            </w:r>
          </w:p>
          <w:p w14:paraId="37BDECD8" w14:textId="0D5D03A8" w:rsidR="00560CD9" w:rsidRPr="009F0CAB" w:rsidRDefault="00560CD9" w:rsidP="00DB2EEF">
            <w:pPr>
              <w:widowControl w:val="0"/>
              <w:jc w:val="both"/>
              <w:rPr>
                <w:b/>
              </w:rPr>
            </w:pPr>
            <w:r w:rsidRPr="009F0CAB">
              <w:t>Lūdzam precizēt informatīvā ziņojuma 2.sadaļā “</w:t>
            </w:r>
            <w:r w:rsidRPr="009F0CAB">
              <w:rPr>
                <w:bCs/>
              </w:rPr>
              <w:t>2014. - 2020. gada plānošanas perioda ES fondu īstenošana</w:t>
            </w:r>
            <w:r w:rsidRPr="009F0CAB">
              <w:t xml:space="preserve">” ietverto </w:t>
            </w:r>
            <w:r w:rsidRPr="009F0CAB">
              <w:rPr>
                <w:iCs/>
              </w:rPr>
              <w:t>informāciju par ierobežojumu atcelšanu tehniskās palīdzības projektiem atbrīvotā finansējuma pārdalei projektiem vai jaunām projekta darbībām</w:t>
            </w:r>
            <w:r w:rsidRPr="009F0CAB">
              <w:t xml:space="preserve">, papildinot, ka </w:t>
            </w:r>
            <w:r w:rsidRPr="009F0CAB">
              <w:rPr>
                <w:i/>
              </w:rPr>
              <w:t xml:space="preserve">pēc lēmuma pieņemšanas par </w:t>
            </w:r>
            <w:proofErr w:type="spellStart"/>
            <w:r w:rsidRPr="009F0CAB">
              <w:rPr>
                <w:i/>
              </w:rPr>
              <w:t>React</w:t>
            </w:r>
            <w:proofErr w:type="spellEnd"/>
            <w:r w:rsidRPr="009F0CAB">
              <w:rPr>
                <w:i/>
              </w:rPr>
              <w:t xml:space="preserve">-EU Eiropas Savienības (turpmāk – ES) finansējuma sadalījumu tiks pārskatīta ierobežojumu turpmāka attiecināšana arī uz citiem ES fondu ieguldījumu prioritārajiem virzieniem. Elastība finanšu pārvaldībā ir svarīga arī LM pārziņas projektiem 7. un 9.prioritārā virzienā, kuru ietvaros, lai operatīvi reaģētu uz mainīgajiem apstākļiem, LM ir </w:t>
            </w:r>
            <w:proofErr w:type="spellStart"/>
            <w:r w:rsidRPr="009F0CAB">
              <w:rPr>
                <w:i/>
              </w:rPr>
              <w:t>saskārusies</w:t>
            </w:r>
            <w:proofErr w:type="spellEnd"/>
            <w:r w:rsidRPr="009F0CAB">
              <w:rPr>
                <w:i/>
              </w:rPr>
              <w:t xml:space="preserve"> ar nepieciešamību operatīvi pārskatīt īstenoto pasākumu Covid-19 seku mazināšanai un nelabvēlīgākā situācijā esošu personu atbalsta sniegšanai nosacījumus un tiem paredzēto finansējumu.</w:t>
            </w:r>
          </w:p>
        </w:tc>
        <w:tc>
          <w:tcPr>
            <w:tcW w:w="4222" w:type="dxa"/>
            <w:gridSpan w:val="2"/>
            <w:tcBorders>
              <w:left w:val="single" w:sz="6" w:space="0" w:color="000000"/>
              <w:bottom w:val="single" w:sz="4" w:space="0" w:color="auto"/>
              <w:right w:val="single" w:sz="6" w:space="0" w:color="000000"/>
            </w:tcBorders>
            <w:shd w:val="clear" w:color="auto" w:fill="auto"/>
          </w:tcPr>
          <w:p w14:paraId="3FD55C2A" w14:textId="77777777" w:rsidR="00491837" w:rsidRPr="00AD22CC" w:rsidRDefault="00491837" w:rsidP="00DB2EEF">
            <w:pPr>
              <w:pStyle w:val="naisc"/>
              <w:spacing w:before="0" w:after="0"/>
              <w:jc w:val="both"/>
              <w:rPr>
                <w:b/>
              </w:rPr>
            </w:pPr>
            <w:r w:rsidRPr="00AD22CC">
              <w:rPr>
                <w:b/>
              </w:rPr>
              <w:t>Ņemts vērā</w:t>
            </w:r>
            <w:r w:rsidR="00B440CF" w:rsidRPr="00AD22CC">
              <w:rPr>
                <w:b/>
              </w:rPr>
              <w:t>.</w:t>
            </w:r>
          </w:p>
          <w:p w14:paraId="0C33DD02" w14:textId="773D7C6A" w:rsidR="00B440CF" w:rsidRPr="009F0CAB" w:rsidRDefault="00B440CF" w:rsidP="00DB2EEF">
            <w:pPr>
              <w:pStyle w:val="naisc"/>
              <w:spacing w:before="0" w:after="0"/>
              <w:jc w:val="both"/>
            </w:pPr>
            <w:r w:rsidRPr="009F0CAB">
              <w:t>Redakcija saskaņota ar LM 16.02.2021.</w:t>
            </w:r>
          </w:p>
        </w:tc>
        <w:tc>
          <w:tcPr>
            <w:tcW w:w="2733" w:type="dxa"/>
            <w:tcBorders>
              <w:top w:val="single" w:sz="4" w:space="0" w:color="auto"/>
              <w:left w:val="single" w:sz="4" w:space="0" w:color="auto"/>
              <w:bottom w:val="single" w:sz="4" w:space="0" w:color="auto"/>
            </w:tcBorders>
            <w:shd w:val="clear" w:color="auto" w:fill="auto"/>
          </w:tcPr>
          <w:p w14:paraId="04F69274" w14:textId="66E57319" w:rsidR="00560CD9" w:rsidRPr="009F0CAB" w:rsidRDefault="00491837" w:rsidP="00DB2EEF">
            <w:pPr>
              <w:jc w:val="both"/>
            </w:pPr>
            <w:r w:rsidRPr="009F0CAB">
              <w:t>Skatīt precizēto informatīvā ziņojuma 2.sadaļu “</w:t>
            </w:r>
            <w:r w:rsidRPr="009F0CAB">
              <w:rPr>
                <w:bCs/>
              </w:rPr>
              <w:t>2014. - 2020. gada plānošanas perioda ES fondu īstenošana</w:t>
            </w:r>
            <w:r w:rsidRPr="009F0CAB">
              <w:t>”</w:t>
            </w:r>
            <w:r w:rsidR="000F629E" w:rsidRPr="009F0CAB">
              <w:t>.</w:t>
            </w:r>
          </w:p>
          <w:p w14:paraId="3CB25498" w14:textId="71000426" w:rsidR="000F629E" w:rsidRPr="009F0CAB" w:rsidRDefault="000F629E" w:rsidP="00DB2EEF">
            <w:pPr>
              <w:jc w:val="both"/>
            </w:pPr>
          </w:p>
        </w:tc>
      </w:tr>
      <w:tr w:rsidR="009F0CAB" w:rsidRPr="009F0CAB" w14:paraId="1A91A3C5" w14:textId="77777777" w:rsidTr="007F29E6">
        <w:trPr>
          <w:trHeight w:val="329"/>
        </w:trPr>
        <w:tc>
          <w:tcPr>
            <w:tcW w:w="993" w:type="dxa"/>
            <w:tcBorders>
              <w:left w:val="single" w:sz="6" w:space="0" w:color="000000"/>
              <w:bottom w:val="single" w:sz="4" w:space="0" w:color="auto"/>
              <w:right w:val="single" w:sz="6" w:space="0" w:color="000000"/>
            </w:tcBorders>
          </w:tcPr>
          <w:p w14:paraId="4B6B24FC" w14:textId="77777777" w:rsidR="00343D54" w:rsidRPr="009F0CAB" w:rsidRDefault="00343D54" w:rsidP="00A73AEA">
            <w:pPr>
              <w:pStyle w:val="naisc"/>
              <w:numPr>
                <w:ilvl w:val="0"/>
                <w:numId w:val="2"/>
              </w:numPr>
              <w:tabs>
                <w:tab w:val="left" w:pos="327"/>
              </w:tabs>
              <w:spacing w:before="0" w:after="0"/>
              <w:jc w:val="both"/>
            </w:pPr>
          </w:p>
        </w:tc>
        <w:tc>
          <w:tcPr>
            <w:tcW w:w="2146" w:type="dxa"/>
            <w:tcBorders>
              <w:left w:val="single" w:sz="6" w:space="0" w:color="000000"/>
              <w:bottom w:val="single" w:sz="4" w:space="0" w:color="auto"/>
              <w:right w:val="single" w:sz="6" w:space="0" w:color="000000"/>
            </w:tcBorders>
          </w:tcPr>
          <w:p w14:paraId="6876A818" w14:textId="7C976DB3" w:rsidR="00343D54" w:rsidRPr="009F0CAB" w:rsidRDefault="00343D54" w:rsidP="00DB2EEF">
            <w:pPr>
              <w:pStyle w:val="naisc"/>
              <w:spacing w:before="0" w:after="0"/>
              <w:jc w:val="both"/>
              <w:rPr>
                <w:rFonts w:eastAsia="Calibri"/>
                <w:lang w:eastAsia="en-US"/>
              </w:rPr>
            </w:pPr>
            <w:r w:rsidRPr="009F0CAB">
              <w:rPr>
                <w:rFonts w:eastAsia="Calibri"/>
                <w:lang w:eastAsia="en-US"/>
              </w:rPr>
              <w:t>Informatīvā ziņojuma 2. sadaļas “</w:t>
            </w:r>
            <w:r w:rsidRPr="009F0CAB">
              <w:rPr>
                <w:iCs/>
              </w:rPr>
              <w:t xml:space="preserve">2014. - 2020. gada </w:t>
            </w:r>
            <w:r w:rsidRPr="009F0CAB">
              <w:rPr>
                <w:iCs/>
              </w:rPr>
              <w:lastRenderedPageBreak/>
              <w:t>plānošanas perioda ES fondu īstenošana</w:t>
            </w:r>
            <w:r w:rsidRPr="009F0CAB">
              <w:t>”</w:t>
            </w:r>
          </w:p>
        </w:tc>
        <w:tc>
          <w:tcPr>
            <w:tcW w:w="4224" w:type="dxa"/>
            <w:gridSpan w:val="2"/>
            <w:tcBorders>
              <w:left w:val="single" w:sz="6" w:space="0" w:color="000000"/>
              <w:bottom w:val="single" w:sz="4" w:space="0" w:color="auto"/>
              <w:right w:val="single" w:sz="6" w:space="0" w:color="000000"/>
            </w:tcBorders>
            <w:shd w:val="clear" w:color="auto" w:fill="auto"/>
          </w:tcPr>
          <w:p w14:paraId="4FC0BDC2" w14:textId="77777777" w:rsidR="00343D54" w:rsidRPr="009F0CAB" w:rsidRDefault="00343D54" w:rsidP="00DB2EEF">
            <w:pPr>
              <w:widowControl w:val="0"/>
              <w:jc w:val="both"/>
              <w:rPr>
                <w:b/>
              </w:rPr>
            </w:pPr>
            <w:r w:rsidRPr="009F0CAB">
              <w:rPr>
                <w:b/>
              </w:rPr>
              <w:lastRenderedPageBreak/>
              <w:t>Iebildums</w:t>
            </w:r>
          </w:p>
          <w:p w14:paraId="303C9132" w14:textId="726C25D4" w:rsidR="00343D54" w:rsidRPr="009F0CAB" w:rsidRDefault="00343D54" w:rsidP="00DB2EEF">
            <w:pPr>
              <w:widowControl w:val="0"/>
              <w:spacing w:after="240"/>
              <w:jc w:val="both"/>
              <w:rPr>
                <w:b/>
              </w:rPr>
            </w:pPr>
            <w:r w:rsidRPr="009F0CAB">
              <w:rPr>
                <w:b/>
              </w:rPr>
              <w:t>Izglītības un zinātnes ministrija</w:t>
            </w:r>
            <w:r w:rsidR="0087019C" w:rsidRPr="009F0CAB">
              <w:rPr>
                <w:b/>
              </w:rPr>
              <w:t xml:space="preserve"> (IZM)</w:t>
            </w:r>
          </w:p>
          <w:p w14:paraId="2B1B84AD" w14:textId="1E9AFD37" w:rsidR="00343D54" w:rsidRPr="009F0CAB" w:rsidRDefault="00343D54" w:rsidP="00DB2EEF">
            <w:pPr>
              <w:widowControl w:val="0"/>
              <w:jc w:val="both"/>
              <w:rPr>
                <w:b/>
              </w:rPr>
            </w:pPr>
            <w:r w:rsidRPr="009F0CAB">
              <w:t xml:space="preserve">Lūdzam informatīvā ziņojuma 2.sadaļā </w:t>
            </w:r>
            <w:r w:rsidRPr="009F0CAB">
              <w:lastRenderedPageBreak/>
              <w:t>„2014. - 2020. gada plānošanas perioda ES fondu īstenošana” precizēt ierakstu par Ministru kabineta 2020. gada 22. septembra lēmumu par atbrīvotā finansējuma turpmāko izmantošanu jaunām projekta darbībām, svītrojot vārdus „t.i. jāatstāj neizmantots”, ievērojot, ka tas nepamatoti sašaurina minētajā Ministru kabineta lēmumā noteikto.</w:t>
            </w:r>
          </w:p>
        </w:tc>
        <w:tc>
          <w:tcPr>
            <w:tcW w:w="4222" w:type="dxa"/>
            <w:gridSpan w:val="2"/>
            <w:tcBorders>
              <w:left w:val="single" w:sz="6" w:space="0" w:color="000000"/>
              <w:bottom w:val="single" w:sz="4" w:space="0" w:color="auto"/>
              <w:right w:val="single" w:sz="6" w:space="0" w:color="000000"/>
            </w:tcBorders>
            <w:shd w:val="clear" w:color="auto" w:fill="auto"/>
          </w:tcPr>
          <w:p w14:paraId="59BDA029" w14:textId="44D766F0" w:rsidR="003055B3" w:rsidRPr="00AD22CC" w:rsidRDefault="003055B3" w:rsidP="00DB2EEF">
            <w:pPr>
              <w:pStyle w:val="naisc"/>
              <w:spacing w:before="0" w:after="0"/>
              <w:jc w:val="both"/>
              <w:rPr>
                <w:b/>
                <w:highlight w:val="yellow"/>
              </w:rPr>
            </w:pPr>
            <w:r w:rsidRPr="00AD22CC">
              <w:rPr>
                <w:b/>
              </w:rPr>
              <w:lastRenderedPageBreak/>
              <w:t>Ņemts vērā</w:t>
            </w:r>
            <w:r w:rsidR="00AD22CC">
              <w:rPr>
                <w:b/>
              </w:rPr>
              <w:t>.</w:t>
            </w:r>
          </w:p>
        </w:tc>
        <w:tc>
          <w:tcPr>
            <w:tcW w:w="2733" w:type="dxa"/>
            <w:tcBorders>
              <w:top w:val="single" w:sz="4" w:space="0" w:color="auto"/>
              <w:left w:val="single" w:sz="4" w:space="0" w:color="auto"/>
              <w:bottom w:val="single" w:sz="4" w:space="0" w:color="auto"/>
            </w:tcBorders>
            <w:shd w:val="clear" w:color="auto" w:fill="auto"/>
          </w:tcPr>
          <w:p w14:paraId="5AB63164" w14:textId="24BA4C89" w:rsidR="00343D54" w:rsidRPr="009F0CAB" w:rsidRDefault="003055B3" w:rsidP="00DB2EEF">
            <w:pPr>
              <w:jc w:val="both"/>
            </w:pPr>
            <w:r w:rsidRPr="009F0CAB">
              <w:t xml:space="preserve">Skatīt precizēto informatīvā ziņojuma 2.sadaļu „2014. - 2020. </w:t>
            </w:r>
            <w:r w:rsidRPr="009F0CAB">
              <w:lastRenderedPageBreak/>
              <w:t>gada plānošanas perioda ES fondu īstenošana”</w:t>
            </w:r>
            <w:r w:rsidR="00DB2EEF">
              <w:t>.</w:t>
            </w:r>
          </w:p>
        </w:tc>
      </w:tr>
      <w:tr w:rsidR="009F0CAB" w:rsidRPr="009F0CAB" w14:paraId="1C0A8F76" w14:textId="77777777" w:rsidTr="007F29E6">
        <w:trPr>
          <w:trHeight w:val="329"/>
        </w:trPr>
        <w:tc>
          <w:tcPr>
            <w:tcW w:w="993" w:type="dxa"/>
            <w:tcBorders>
              <w:left w:val="single" w:sz="6" w:space="0" w:color="000000"/>
              <w:bottom w:val="single" w:sz="4" w:space="0" w:color="auto"/>
              <w:right w:val="single" w:sz="6" w:space="0" w:color="000000"/>
            </w:tcBorders>
          </w:tcPr>
          <w:p w14:paraId="2A5233A9" w14:textId="50EEAFC5" w:rsidR="00A73AEA" w:rsidRPr="009F0CAB" w:rsidRDefault="00A73AEA" w:rsidP="00A73AEA">
            <w:pPr>
              <w:pStyle w:val="naisc"/>
              <w:numPr>
                <w:ilvl w:val="0"/>
                <w:numId w:val="2"/>
              </w:numPr>
              <w:tabs>
                <w:tab w:val="left" w:pos="327"/>
              </w:tabs>
              <w:spacing w:before="0" w:after="0"/>
              <w:jc w:val="both"/>
            </w:pPr>
          </w:p>
        </w:tc>
        <w:tc>
          <w:tcPr>
            <w:tcW w:w="2146" w:type="dxa"/>
            <w:tcBorders>
              <w:left w:val="single" w:sz="6" w:space="0" w:color="000000"/>
              <w:bottom w:val="single" w:sz="4" w:space="0" w:color="auto"/>
              <w:right w:val="single" w:sz="6" w:space="0" w:color="000000"/>
            </w:tcBorders>
          </w:tcPr>
          <w:p w14:paraId="2E94B25D" w14:textId="1767B429" w:rsidR="00A73AEA" w:rsidRPr="009F0CAB" w:rsidRDefault="00A73AEA" w:rsidP="00DB2EEF">
            <w:pPr>
              <w:pStyle w:val="naisc"/>
              <w:spacing w:before="0" w:after="0"/>
              <w:jc w:val="both"/>
              <w:rPr>
                <w:rFonts w:eastAsia="Calibri"/>
                <w:lang w:eastAsia="en-US"/>
              </w:rPr>
            </w:pPr>
            <w:r w:rsidRPr="009F0CAB">
              <w:rPr>
                <w:rFonts w:eastAsia="Calibri"/>
                <w:lang w:eastAsia="en-US"/>
              </w:rPr>
              <w:t>Informatīvā ziņojuma 2. sadaļas “</w:t>
            </w:r>
            <w:r w:rsidRPr="009F0CAB">
              <w:rPr>
                <w:iCs/>
              </w:rPr>
              <w:t>2014. - 2020. gada plānošanas perioda ES fondu īstenošana</w:t>
            </w:r>
            <w:r w:rsidRPr="009F0CAB">
              <w:t xml:space="preserve">” </w:t>
            </w:r>
            <w:proofErr w:type="spellStart"/>
            <w:r w:rsidRPr="009F0CAB">
              <w:t>apakšsadaļas</w:t>
            </w:r>
            <w:proofErr w:type="spellEnd"/>
            <w:r w:rsidRPr="009F0CAB">
              <w:t xml:space="preserve"> “</w:t>
            </w:r>
            <w:r w:rsidRPr="009F0CAB">
              <w:rPr>
                <w:iCs/>
              </w:rPr>
              <w:t>2020. gada un 2021. gada janvāra projektu ieviešanas plānu izpilde</w:t>
            </w:r>
            <w:r w:rsidRPr="009F0CAB">
              <w:rPr>
                <w:rFonts w:eastAsia="Calibri"/>
                <w:lang w:eastAsia="en-US"/>
              </w:rPr>
              <w:t>”</w:t>
            </w:r>
          </w:p>
        </w:tc>
        <w:tc>
          <w:tcPr>
            <w:tcW w:w="4224" w:type="dxa"/>
            <w:gridSpan w:val="2"/>
            <w:tcBorders>
              <w:left w:val="single" w:sz="6" w:space="0" w:color="000000"/>
              <w:bottom w:val="single" w:sz="4" w:space="0" w:color="auto"/>
              <w:right w:val="single" w:sz="6" w:space="0" w:color="000000"/>
            </w:tcBorders>
            <w:shd w:val="clear" w:color="auto" w:fill="auto"/>
          </w:tcPr>
          <w:p w14:paraId="1E7754D2" w14:textId="362927ED" w:rsidR="00A73AEA" w:rsidRPr="009F0CAB" w:rsidRDefault="00057B22" w:rsidP="00DB2EEF">
            <w:pPr>
              <w:widowControl w:val="0"/>
              <w:jc w:val="both"/>
              <w:rPr>
                <w:b/>
              </w:rPr>
            </w:pPr>
            <w:r w:rsidRPr="009F0CAB">
              <w:rPr>
                <w:b/>
              </w:rPr>
              <w:t>Iebildums</w:t>
            </w:r>
          </w:p>
          <w:p w14:paraId="38F552FE" w14:textId="6DE9C1A2" w:rsidR="00DA2A08" w:rsidRPr="009F0CAB" w:rsidRDefault="00DA2A08" w:rsidP="00DB2EEF">
            <w:pPr>
              <w:widowControl w:val="0"/>
              <w:spacing w:after="240"/>
              <w:jc w:val="both"/>
              <w:rPr>
                <w:b/>
              </w:rPr>
            </w:pPr>
            <w:r w:rsidRPr="009F0CAB">
              <w:rPr>
                <w:b/>
              </w:rPr>
              <w:t>VARAM</w:t>
            </w:r>
          </w:p>
          <w:p w14:paraId="198B56B4" w14:textId="04E7382B" w:rsidR="00A73AEA" w:rsidRPr="009F0CAB" w:rsidRDefault="00ED4836" w:rsidP="00DB2EEF">
            <w:pPr>
              <w:tabs>
                <w:tab w:val="right" w:pos="2127"/>
                <w:tab w:val="left" w:pos="2410"/>
                <w:tab w:val="right" w:leader="underscore" w:pos="4820"/>
              </w:tabs>
              <w:jc w:val="both"/>
            </w:pPr>
            <w:r w:rsidRPr="009F0CAB">
              <w:t>Lūdzam papildināt informatīvā ziņojuma 2.sadaļas “</w:t>
            </w:r>
            <w:r w:rsidRPr="009F0CAB">
              <w:rPr>
                <w:iCs/>
              </w:rPr>
              <w:t>2014. - 2020. gada plānošanas perioda ES fondu īstenošana</w:t>
            </w:r>
            <w:r w:rsidRPr="009F0CAB">
              <w:t xml:space="preserve">” </w:t>
            </w:r>
            <w:proofErr w:type="spellStart"/>
            <w:r w:rsidRPr="009F0CAB">
              <w:t>apakšsadaļas</w:t>
            </w:r>
            <w:proofErr w:type="spellEnd"/>
            <w:r w:rsidRPr="009F0CAB">
              <w:t xml:space="preserve"> “</w:t>
            </w:r>
            <w:r w:rsidRPr="009F0CAB">
              <w:rPr>
                <w:iCs/>
              </w:rPr>
              <w:t>2020. gada un 2021. gada janvāra projektu ieviešanas plānu izpilde</w:t>
            </w:r>
            <w:r w:rsidRPr="009F0CAB">
              <w:t>” 4.rindkopu aiz teikuma “</w:t>
            </w:r>
            <w:r w:rsidRPr="009F0CAB">
              <w:rPr>
                <w:iCs/>
              </w:rPr>
              <w:t>Par projektiem, kuriem CFLA nespēs identificēt izņēmuma gadījumu, tiks uzsākta komunikācija ar atbildīgajām iestādēm, lai izvērtētu projekta nozīmīgumu, neizpildes iemeslus un lemtu par atbalsta samazinājumu vai virzību uz MK rosinot nesamazināt atbalsta summu</w:t>
            </w:r>
            <w:r w:rsidRPr="009F0CAB">
              <w:t>” ar teikumu “</w:t>
            </w:r>
            <w:r w:rsidRPr="009F0CAB">
              <w:rPr>
                <w:i/>
                <w:iCs/>
              </w:rPr>
              <w:t>Savukārt attiecībā uz minētajiem 30 projektiem, kuru kavējumi nav pamatojami ar MK noteikumu Nr. 784 51.</w:t>
            </w:r>
            <w:r w:rsidRPr="009F0CAB">
              <w:rPr>
                <w:i/>
                <w:iCs/>
                <w:vertAlign w:val="superscript"/>
              </w:rPr>
              <w:t>1</w:t>
            </w:r>
            <w:r w:rsidRPr="009F0CAB">
              <w:rPr>
                <w:i/>
                <w:iCs/>
              </w:rPr>
              <w:t xml:space="preserve"> punktā un 51.</w:t>
            </w:r>
            <w:r w:rsidRPr="009F0CAB">
              <w:rPr>
                <w:i/>
                <w:iCs/>
                <w:vertAlign w:val="superscript"/>
              </w:rPr>
              <w:t>4</w:t>
            </w:r>
            <w:r w:rsidRPr="009F0CAB">
              <w:rPr>
                <w:i/>
                <w:iCs/>
              </w:rPr>
              <w:t xml:space="preserve"> 1. - 6. apakšpunktā uzskaitītajiem izņēmuma gadījumiem, bet par kuriem AI ir sniegušas informāciju VI un SI to norādītajā termiņā 2021. gada </w:t>
            </w:r>
            <w:r w:rsidRPr="009F0CAB">
              <w:rPr>
                <w:i/>
                <w:iCs/>
              </w:rPr>
              <w:lastRenderedPageBreak/>
              <w:t>februārī, ka saskata iepriekšminēto izņēmumu gadījumu piemērošanu, piemērot izņēmuma gadījumus.”</w:t>
            </w:r>
          </w:p>
        </w:tc>
        <w:tc>
          <w:tcPr>
            <w:tcW w:w="4222" w:type="dxa"/>
            <w:gridSpan w:val="2"/>
            <w:tcBorders>
              <w:left w:val="single" w:sz="6" w:space="0" w:color="000000"/>
              <w:bottom w:val="single" w:sz="4" w:space="0" w:color="auto"/>
              <w:right w:val="single" w:sz="6" w:space="0" w:color="000000"/>
            </w:tcBorders>
            <w:shd w:val="clear" w:color="auto" w:fill="auto"/>
          </w:tcPr>
          <w:p w14:paraId="4407C4D4" w14:textId="77777777" w:rsidR="00B440CF" w:rsidRPr="009F0CAB" w:rsidRDefault="00762C30" w:rsidP="00DB2EEF">
            <w:pPr>
              <w:pStyle w:val="naisc"/>
              <w:spacing w:before="0" w:after="0"/>
              <w:jc w:val="both"/>
            </w:pPr>
            <w:r w:rsidRPr="009F0CAB">
              <w:rPr>
                <w:b/>
              </w:rPr>
              <w:lastRenderedPageBreak/>
              <w:t xml:space="preserve">Ņemts </w:t>
            </w:r>
            <w:r w:rsidRPr="00AD22CC">
              <w:rPr>
                <w:b/>
              </w:rPr>
              <w:t>vērā pēc būtības.</w:t>
            </w:r>
          </w:p>
          <w:p w14:paraId="118A04B8" w14:textId="744B0FD5" w:rsidR="00A73AEA" w:rsidRPr="009F0CAB" w:rsidRDefault="00762C30" w:rsidP="00DB2EEF">
            <w:pPr>
              <w:pStyle w:val="naisc"/>
              <w:spacing w:before="0" w:after="0"/>
              <w:jc w:val="both"/>
            </w:pPr>
            <w:r w:rsidRPr="009F0CAB">
              <w:t>Informatīvais ziņojums papildināts ar vispārīgu informāciju par gadījumiem, par kuriem jālemj MK ar atsauci uz pielikumiem ar detalizētu informāciju.</w:t>
            </w:r>
          </w:p>
        </w:tc>
        <w:tc>
          <w:tcPr>
            <w:tcW w:w="2733" w:type="dxa"/>
            <w:tcBorders>
              <w:top w:val="single" w:sz="4" w:space="0" w:color="auto"/>
              <w:left w:val="single" w:sz="4" w:space="0" w:color="auto"/>
              <w:bottom w:val="single" w:sz="4" w:space="0" w:color="auto"/>
            </w:tcBorders>
            <w:shd w:val="clear" w:color="auto" w:fill="auto"/>
          </w:tcPr>
          <w:p w14:paraId="76E3CBB3" w14:textId="70D8514F" w:rsidR="00A73AEA" w:rsidRPr="009F0CAB" w:rsidRDefault="00762C30" w:rsidP="00DB2EEF">
            <w:pPr>
              <w:jc w:val="both"/>
            </w:pPr>
            <w:r w:rsidRPr="009F0CAB">
              <w:t xml:space="preserve">Skatīt precizētu informatīvā ziņojuma </w:t>
            </w:r>
            <w:r w:rsidRPr="009F0CAB">
              <w:rPr>
                <w:rFonts w:eastAsiaTheme="minorHAnsi"/>
              </w:rPr>
              <w:t>2. sadaļu</w:t>
            </w:r>
            <w:r w:rsidR="009B746F" w:rsidRPr="009F0CAB">
              <w:rPr>
                <w:rFonts w:eastAsiaTheme="minorHAnsi"/>
              </w:rPr>
              <w:t xml:space="preserve"> </w:t>
            </w:r>
            <w:r w:rsidR="009B746F" w:rsidRPr="009F0CAB">
              <w:t>„2014. - 2020. gada plānošanas perioda ES fondu īstenošana”</w:t>
            </w:r>
            <w:r w:rsidRPr="009F0CAB">
              <w:rPr>
                <w:rFonts w:eastAsiaTheme="minorHAnsi"/>
              </w:rPr>
              <w:t>,</w:t>
            </w:r>
            <w:r w:rsidRPr="009F0CAB">
              <w:t xml:space="preserve"> attiecīgos pielikumus un </w:t>
            </w:r>
            <w:r w:rsidRPr="009F0CAB">
              <w:rPr>
                <w:rFonts w:eastAsiaTheme="minorHAnsi"/>
              </w:rPr>
              <w:t xml:space="preserve"> </w:t>
            </w:r>
            <w:proofErr w:type="spellStart"/>
            <w:r w:rsidRPr="009F0CAB">
              <w:rPr>
                <w:rFonts w:eastAsiaTheme="minorHAnsi"/>
              </w:rPr>
              <w:t>protokollēmuma</w:t>
            </w:r>
            <w:proofErr w:type="spellEnd"/>
            <w:r w:rsidRPr="009F0CAB">
              <w:rPr>
                <w:rFonts w:eastAsiaTheme="minorHAnsi"/>
              </w:rPr>
              <w:t xml:space="preserve"> projekta 5. punktu.</w:t>
            </w:r>
          </w:p>
        </w:tc>
      </w:tr>
      <w:tr w:rsidR="009F0CAB" w:rsidRPr="009F0CAB" w14:paraId="1DD119F4" w14:textId="77777777" w:rsidTr="007F29E6">
        <w:trPr>
          <w:trHeight w:val="329"/>
        </w:trPr>
        <w:tc>
          <w:tcPr>
            <w:tcW w:w="993" w:type="dxa"/>
            <w:tcBorders>
              <w:left w:val="single" w:sz="6" w:space="0" w:color="000000"/>
              <w:bottom w:val="single" w:sz="4" w:space="0" w:color="auto"/>
              <w:right w:val="single" w:sz="6" w:space="0" w:color="000000"/>
            </w:tcBorders>
          </w:tcPr>
          <w:p w14:paraId="51F89AC7" w14:textId="77777777" w:rsidR="00FB47EB" w:rsidRPr="009F0CAB" w:rsidRDefault="00FB47EB" w:rsidP="00FA062A">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49569344" w14:textId="69F941F4" w:rsidR="00FB47EB" w:rsidRPr="009F0CAB" w:rsidRDefault="00FB47EB" w:rsidP="00DB2EEF">
            <w:pPr>
              <w:pStyle w:val="naisc"/>
              <w:spacing w:before="0" w:after="0"/>
              <w:jc w:val="both"/>
              <w:rPr>
                <w:rFonts w:eastAsia="Calibri"/>
                <w:lang w:eastAsia="en-US"/>
              </w:rPr>
            </w:pPr>
            <w:r w:rsidRPr="009F0CAB">
              <w:rPr>
                <w:rFonts w:eastAsia="Calibri"/>
                <w:lang w:eastAsia="en-US"/>
              </w:rPr>
              <w:t>Informatīvā ziņojuma 2. sadaļas “</w:t>
            </w:r>
            <w:r w:rsidRPr="009F0CAB">
              <w:rPr>
                <w:iCs/>
              </w:rPr>
              <w:t>2014. - 2020. gada plānošanas perioda ES fondu īstenošana</w:t>
            </w:r>
            <w:r w:rsidRPr="009F0CAB">
              <w:t xml:space="preserve">” </w:t>
            </w:r>
            <w:proofErr w:type="spellStart"/>
            <w:r w:rsidRPr="009F0CAB">
              <w:t>apakšsadaļas</w:t>
            </w:r>
            <w:proofErr w:type="spellEnd"/>
            <w:r w:rsidRPr="009F0CAB">
              <w:t xml:space="preserve"> “</w:t>
            </w:r>
            <w:r w:rsidRPr="009F0CAB">
              <w:rPr>
                <w:iCs/>
              </w:rPr>
              <w:t>2020. gada un 2021. gada janvāra projektu ieviešanas plānu izpilde</w:t>
            </w:r>
            <w:r w:rsidRPr="009F0CAB">
              <w:rPr>
                <w:rFonts w:eastAsia="Calibri"/>
                <w:lang w:eastAsia="en-US"/>
              </w:rPr>
              <w:t>”</w:t>
            </w:r>
          </w:p>
        </w:tc>
        <w:tc>
          <w:tcPr>
            <w:tcW w:w="4224" w:type="dxa"/>
            <w:gridSpan w:val="2"/>
            <w:tcBorders>
              <w:left w:val="single" w:sz="6" w:space="0" w:color="000000"/>
              <w:bottom w:val="single" w:sz="4" w:space="0" w:color="auto"/>
              <w:right w:val="single" w:sz="6" w:space="0" w:color="000000"/>
            </w:tcBorders>
            <w:shd w:val="clear" w:color="auto" w:fill="auto"/>
          </w:tcPr>
          <w:p w14:paraId="7D50FD04" w14:textId="10A2BB15" w:rsidR="00FB47EB" w:rsidRPr="009F0CAB" w:rsidRDefault="00057B22" w:rsidP="00DB2EEF">
            <w:pPr>
              <w:widowControl w:val="0"/>
              <w:jc w:val="both"/>
              <w:rPr>
                <w:b/>
              </w:rPr>
            </w:pPr>
            <w:r w:rsidRPr="009F0CAB">
              <w:rPr>
                <w:b/>
              </w:rPr>
              <w:t>Iebildums</w:t>
            </w:r>
          </w:p>
          <w:p w14:paraId="50FB9E19" w14:textId="7A00D6CD" w:rsidR="00FB47EB" w:rsidRPr="009F0CAB" w:rsidRDefault="00FB47EB" w:rsidP="00DB2EEF">
            <w:pPr>
              <w:widowControl w:val="0"/>
              <w:spacing w:after="240"/>
              <w:jc w:val="both"/>
              <w:rPr>
                <w:b/>
              </w:rPr>
            </w:pPr>
            <w:r w:rsidRPr="009F0CAB">
              <w:rPr>
                <w:b/>
              </w:rPr>
              <w:t>LM</w:t>
            </w:r>
          </w:p>
          <w:p w14:paraId="6F83D82F" w14:textId="0257B703" w:rsidR="00FB47EB" w:rsidRPr="009F0CAB" w:rsidRDefault="00FB47EB" w:rsidP="00DB2EEF">
            <w:pPr>
              <w:widowControl w:val="0"/>
              <w:jc w:val="both"/>
              <w:rPr>
                <w:i/>
              </w:rPr>
            </w:pPr>
            <w:r w:rsidRPr="009F0CAB">
              <w:rPr>
                <w:i/>
              </w:rPr>
              <w:t xml:space="preserve">Lūdzam papildināt informatīvā ziņojuma 2.sadaļas “2014. - 2020. gada plānošanas perioda ES fondu īstenošana” </w:t>
            </w:r>
            <w:proofErr w:type="spellStart"/>
            <w:r w:rsidRPr="009F0CAB">
              <w:rPr>
                <w:i/>
              </w:rPr>
              <w:t>apakšsadaļu</w:t>
            </w:r>
            <w:proofErr w:type="spellEnd"/>
            <w:r w:rsidRPr="009F0CAB">
              <w:rPr>
                <w:i/>
              </w:rPr>
              <w:t xml:space="preserve"> “</w:t>
            </w:r>
            <w:bookmarkStart w:id="2" w:name="_Toc63429673"/>
            <w:r w:rsidRPr="009F0CAB">
              <w:rPr>
                <w:bCs/>
                <w:i/>
              </w:rPr>
              <w:t>2020. gada un 2021. gada janvāra projektu ieviešanas plānu izpilde</w:t>
            </w:r>
            <w:bookmarkEnd w:id="2"/>
            <w:r w:rsidRPr="009F0CAB">
              <w:rPr>
                <w:i/>
              </w:rPr>
              <w:t xml:space="preserve">” un </w:t>
            </w:r>
            <w:proofErr w:type="spellStart"/>
            <w:r w:rsidRPr="009F0CAB">
              <w:rPr>
                <w:i/>
              </w:rPr>
              <w:t>protokollēmuma</w:t>
            </w:r>
            <w:proofErr w:type="spellEnd"/>
            <w:r w:rsidRPr="009F0CAB">
              <w:rPr>
                <w:i/>
              </w:rPr>
              <w:t xml:space="preserve"> projektu ar informāciju par šādiem LM pārziņas </w:t>
            </w:r>
            <w:r w:rsidRPr="009F0CAB">
              <w:rPr>
                <w:i/>
                <w:iCs/>
              </w:rPr>
              <w:t>projektiem, kuru ietvaros identificētas nobīdes maksājumu pieprasījumu grafiku izpildē 2020.gadā</w:t>
            </w:r>
            <w:r w:rsidRPr="009F0CAB">
              <w:rPr>
                <w:i/>
              </w:rPr>
              <w:t>:</w:t>
            </w:r>
          </w:p>
          <w:p w14:paraId="30096F7F" w14:textId="62C1D5E3" w:rsidR="00FB47EB" w:rsidRPr="009F0CAB" w:rsidRDefault="00FB47EB" w:rsidP="00DB2EEF">
            <w:pPr>
              <w:widowControl w:val="0"/>
              <w:numPr>
                <w:ilvl w:val="1"/>
                <w:numId w:val="3"/>
              </w:numPr>
              <w:ind w:left="438" w:firstLine="0"/>
              <w:jc w:val="both"/>
              <w:rPr>
                <w:i/>
              </w:rPr>
            </w:pPr>
            <w:r w:rsidRPr="009F0CAB">
              <w:rPr>
                <w:i/>
              </w:rPr>
              <w:t xml:space="preserve">Vecumnieku novada domes projekts Nr.9.3.1.1/18/I/020 “Dienas aprūpes centra izveidošana Vecumnieku novadā personām ar garīga rakstura un bērniem ar funkcionāliem traucējumiem” – </w:t>
            </w:r>
            <w:bookmarkStart w:id="3" w:name="_Hlk32220469"/>
            <w:r w:rsidRPr="009F0CAB">
              <w:rPr>
                <w:i/>
              </w:rPr>
              <w:t xml:space="preserve">minētā projekta ietvaros 2020.gadā iesniegti maksājumi par 37 741 </w:t>
            </w:r>
            <w:proofErr w:type="spellStart"/>
            <w:r w:rsidRPr="009F0CAB">
              <w:rPr>
                <w:i/>
                <w:iCs/>
              </w:rPr>
              <w:t>euro</w:t>
            </w:r>
            <w:proofErr w:type="spellEnd"/>
            <w:r w:rsidRPr="009F0CAB">
              <w:rPr>
                <w:i/>
              </w:rPr>
              <w:t xml:space="preserve"> jeb 36,52% no plānotā. Saskaņā ar MK noteikumu Nr.784</w:t>
            </w:r>
            <w:r w:rsidRPr="009F0CAB">
              <w:rPr>
                <w:i/>
                <w:vertAlign w:val="superscript"/>
              </w:rPr>
              <w:t>3</w:t>
            </w:r>
            <w:r w:rsidRPr="009F0CAB">
              <w:rPr>
                <w:i/>
              </w:rPr>
              <w:t xml:space="preserve"> 51.</w:t>
            </w:r>
            <w:r w:rsidRPr="009F0CAB">
              <w:rPr>
                <w:i/>
                <w:vertAlign w:val="superscript"/>
              </w:rPr>
              <w:t>3</w:t>
            </w:r>
            <w:r w:rsidRPr="009F0CAB">
              <w:rPr>
                <w:i/>
              </w:rPr>
              <w:t xml:space="preserve"> punktu projektam būtu jāsamazina finansējums par 39 774 </w:t>
            </w:r>
            <w:proofErr w:type="spellStart"/>
            <w:r w:rsidRPr="009F0CAB">
              <w:rPr>
                <w:i/>
                <w:iCs/>
              </w:rPr>
              <w:t>euro</w:t>
            </w:r>
            <w:proofErr w:type="spellEnd"/>
            <w:r w:rsidRPr="009F0CAB">
              <w:rPr>
                <w:i/>
              </w:rPr>
              <w:t xml:space="preserve">. Plāna izpildes novirzi lielāku par 25% finansējuma saņēmējs skaidro </w:t>
            </w:r>
            <w:bookmarkEnd w:id="3"/>
            <w:r w:rsidRPr="009F0CAB">
              <w:rPr>
                <w:i/>
              </w:rPr>
              <w:t xml:space="preserve">ar to, ka finansējuma saņēmējs ir kļūdījies sākotnējos aprēķinos attiecībā uz attiecināmo/neattiecināmo izmaksu </w:t>
            </w:r>
            <w:r w:rsidRPr="009F0CAB">
              <w:rPr>
                <w:i/>
              </w:rPr>
              <w:lastRenderedPageBreak/>
              <w:t xml:space="preserve">sadalījumu. Tādējādi, lai arī </w:t>
            </w:r>
            <w:proofErr w:type="spellStart"/>
            <w:r w:rsidRPr="009F0CAB">
              <w:rPr>
                <w:i/>
              </w:rPr>
              <w:t>būvlīgumā</w:t>
            </w:r>
            <w:proofErr w:type="spellEnd"/>
            <w:r w:rsidRPr="009F0CAB">
              <w:rPr>
                <w:i/>
              </w:rPr>
              <w:t xml:space="preserve"> noteiktie darbi tika īstenoti atbilstoši darbu grafikam un līgumsummas apmaksa notika saskaņā ar apstiprināto naudas plūsmas grafiku, attiecināmā finansējuma apguve nav izpilda sākotnēji plānotajā apmērā;</w:t>
            </w:r>
          </w:p>
          <w:p w14:paraId="75072EAE" w14:textId="77777777" w:rsidR="00FB47EB" w:rsidRPr="009F0CAB" w:rsidRDefault="00FB47EB" w:rsidP="00DB2EEF">
            <w:pPr>
              <w:widowControl w:val="0"/>
              <w:numPr>
                <w:ilvl w:val="1"/>
                <w:numId w:val="3"/>
              </w:numPr>
              <w:ind w:left="438" w:firstLine="0"/>
              <w:jc w:val="both"/>
              <w:rPr>
                <w:i/>
              </w:rPr>
            </w:pPr>
            <w:r w:rsidRPr="009F0CAB">
              <w:rPr>
                <w:i/>
              </w:rPr>
              <w:t xml:space="preserve">Rēzeknes pilsētas domes projekts Nr.9.3.1.1/18/I/050 “Pakalpojumu infrastruktūras attīstība </w:t>
            </w:r>
            <w:proofErr w:type="spellStart"/>
            <w:r w:rsidRPr="009F0CAB">
              <w:rPr>
                <w:i/>
              </w:rPr>
              <w:t>deinstitucionalizācijas</w:t>
            </w:r>
            <w:proofErr w:type="spellEnd"/>
            <w:r w:rsidRPr="009F0CAB">
              <w:rPr>
                <w:i/>
              </w:rPr>
              <w:t xml:space="preserve"> plānu īstenošanai Rēzeknes pilsētas pašvaldībā” – minētā projekta ietvaros 2020.gadā iesniegti maksājumi par 561 235 </w:t>
            </w:r>
            <w:proofErr w:type="spellStart"/>
            <w:r w:rsidRPr="009F0CAB">
              <w:rPr>
                <w:i/>
                <w:iCs/>
              </w:rPr>
              <w:t>euro</w:t>
            </w:r>
            <w:proofErr w:type="spellEnd"/>
            <w:r w:rsidRPr="009F0CAB">
              <w:rPr>
                <w:i/>
              </w:rPr>
              <w:t xml:space="preserve"> jeb 45,78% no plānotā. Saskaņā ar MK noteikumu Nr.784 51.</w:t>
            </w:r>
            <w:r w:rsidRPr="009F0CAB">
              <w:rPr>
                <w:i/>
                <w:vertAlign w:val="superscript"/>
              </w:rPr>
              <w:t>3</w:t>
            </w:r>
            <w:r w:rsidRPr="009F0CAB">
              <w:rPr>
                <w:i/>
              </w:rPr>
              <w:t xml:space="preserve"> punktu projektam būtu jāsamazina finansējums par 358 162 </w:t>
            </w:r>
            <w:proofErr w:type="spellStart"/>
            <w:r w:rsidRPr="009F0CAB">
              <w:rPr>
                <w:i/>
                <w:iCs/>
              </w:rPr>
              <w:t>euro</w:t>
            </w:r>
            <w:proofErr w:type="spellEnd"/>
            <w:r w:rsidRPr="009F0CAB">
              <w:rPr>
                <w:i/>
              </w:rPr>
              <w:t xml:space="preserve">. Plāna izpildes novirzi lielāku par 25% finansējuma saņēmējs skaidro ar to, ka Rēzeknes pilsētas pašvaldības izsludinātais iepirkums “Ēkas Atbrīvošanas alejā 147a, Rēzeknē pārbūve un pieguļošās teritorijas labiekārtošanas būvdarbi”, ID Nr.RPD_2020/84_ERAF sākotnēji noslēdzās bez rezultāta, jo potenciālo pretendentu piedāvātās līgumcenas neatbilda finansējuma saņēmēja sākotnēji plānotajam novirzāmo izmaksu apmēram – iepirkums tika </w:t>
            </w:r>
            <w:r w:rsidRPr="009F0CAB">
              <w:rPr>
                <w:i/>
              </w:rPr>
              <w:lastRenderedPageBreak/>
              <w:t xml:space="preserve">pārtraukts finansējuma saņēmēja rīcības rezultātā, lai tādējādi panāktu efektīvāku projekta finanšu līdzekļu izlietojumu. </w:t>
            </w:r>
          </w:p>
          <w:p w14:paraId="2F96B75B" w14:textId="203EB30E" w:rsidR="00FB47EB" w:rsidRPr="009F0CAB" w:rsidRDefault="00FB47EB" w:rsidP="00DB2EEF">
            <w:pPr>
              <w:jc w:val="both"/>
              <w:rPr>
                <w:i/>
              </w:rPr>
            </w:pPr>
            <w:r w:rsidRPr="009F0CAB">
              <w:rPr>
                <w:i/>
              </w:rPr>
              <w:t>Ņemot vērā, ka 9.3.1.1.pasākuma</w:t>
            </w:r>
            <w:r w:rsidRPr="009F0CAB">
              <w:rPr>
                <w:i/>
                <w:vertAlign w:val="superscript"/>
              </w:rPr>
              <w:t>4</w:t>
            </w:r>
            <w:r w:rsidRPr="009F0CAB">
              <w:rPr>
                <w:i/>
              </w:rPr>
              <w:t xml:space="preserve"> projekti ir ar īpašu tautsaimniecības nozīmi un disciplīnas sankciju piemērošana var negatīvi ietekmēt to īstenošanu, jo īpaši projektu mērķa grupas personu (cilvēki ar garīga rakstura traucējumiem, bērni ar funkcionāliem traucējumiem un </w:t>
            </w:r>
            <w:proofErr w:type="spellStart"/>
            <w:r w:rsidRPr="009F0CAB">
              <w:rPr>
                <w:i/>
              </w:rPr>
              <w:t>ārpusģimenes</w:t>
            </w:r>
            <w:proofErr w:type="spellEnd"/>
            <w:r w:rsidRPr="009F0CAB">
              <w:rPr>
                <w:i/>
              </w:rPr>
              <w:t xml:space="preserve"> aprūpē esoši bērni), kas ir vismazāk aizsargātākās sabiedrības grupas, iespējas saņemt pakalpojumus, nav pieļaujama projektiem pieejamā finansējuma samazināšana. Tādējādi ir svarīgi, lai MK attiecībā uz iepriekš minētajiem projektiem lemtu par MK noteikumu Nr.784 51.</w:t>
            </w:r>
            <w:r w:rsidRPr="009F0CAB">
              <w:rPr>
                <w:i/>
                <w:vertAlign w:val="superscript"/>
              </w:rPr>
              <w:t>4</w:t>
            </w:r>
            <w:r w:rsidRPr="009F0CAB">
              <w:rPr>
                <w:i/>
              </w:rPr>
              <w:t xml:space="preserve"> 7. apakšpunkta piemērošanu; </w:t>
            </w:r>
          </w:p>
          <w:p w14:paraId="67A7D507" w14:textId="52E05773" w:rsidR="00FB47EB" w:rsidRPr="009F0CAB" w:rsidRDefault="00FB47EB" w:rsidP="00DB2EEF">
            <w:pPr>
              <w:widowControl w:val="0"/>
              <w:spacing w:after="240"/>
              <w:jc w:val="both"/>
              <w:rPr>
                <w:b/>
              </w:rPr>
            </w:pPr>
            <w:r w:rsidRPr="009F0CAB">
              <w:rPr>
                <w:b/>
              </w:rPr>
              <w:t>________________________</w:t>
            </w:r>
          </w:p>
          <w:p w14:paraId="08B2B422" w14:textId="1D3440CE" w:rsidR="00FB47EB" w:rsidRPr="009F0CAB" w:rsidRDefault="00FB47EB" w:rsidP="00DB2EEF">
            <w:pPr>
              <w:widowControl w:val="0"/>
              <w:jc w:val="both"/>
              <w:rPr>
                <w:i/>
              </w:rPr>
            </w:pPr>
            <w:r w:rsidRPr="009F0CAB">
              <w:rPr>
                <w:i/>
              </w:rPr>
              <w:t>³ MK 2014.gada 16.decembra noteikumi Nr. 784 “Kārtība, kādā Eiropas Savienības struktūrfondu un Kohēzijas fonda vadībā iesaistītās institūcijas nodrošina plānošanas dokumentu sagatavošanu un šo fondu ieviešanu 2014.–2020. gada plānošanas periodā”</w:t>
            </w:r>
          </w:p>
          <w:p w14:paraId="195C82C7" w14:textId="626D54C2" w:rsidR="00FB47EB" w:rsidRPr="009F0CAB" w:rsidRDefault="00FB47EB" w:rsidP="00DB2EEF">
            <w:pPr>
              <w:widowControl w:val="0"/>
              <w:jc w:val="both"/>
              <w:rPr>
                <w:b/>
                <w:i/>
              </w:rPr>
            </w:pPr>
            <w:r w:rsidRPr="009F0CAB">
              <w:rPr>
                <w:i/>
                <w:vertAlign w:val="superscript"/>
              </w:rPr>
              <w:t>4</w:t>
            </w:r>
            <w:r w:rsidRPr="009F0CAB">
              <w:rPr>
                <w:i/>
              </w:rPr>
              <w:t xml:space="preserve">9.3.1.1. pasākums “Pakalpojumu infrastruktūras attīstība </w:t>
            </w:r>
            <w:proofErr w:type="spellStart"/>
            <w:r w:rsidRPr="009F0CAB">
              <w:rPr>
                <w:i/>
              </w:rPr>
              <w:t>deinstitucionalizācijas</w:t>
            </w:r>
            <w:proofErr w:type="spellEnd"/>
            <w:r w:rsidRPr="009F0CAB">
              <w:rPr>
                <w:i/>
              </w:rPr>
              <w:t xml:space="preserve"> plānu </w:t>
            </w:r>
            <w:r w:rsidRPr="009F0CAB">
              <w:rPr>
                <w:i/>
              </w:rPr>
              <w:lastRenderedPageBreak/>
              <w:t>īstenošanai”</w:t>
            </w:r>
          </w:p>
        </w:tc>
        <w:tc>
          <w:tcPr>
            <w:tcW w:w="4222" w:type="dxa"/>
            <w:gridSpan w:val="2"/>
            <w:tcBorders>
              <w:left w:val="single" w:sz="6" w:space="0" w:color="000000"/>
              <w:bottom w:val="single" w:sz="4" w:space="0" w:color="auto"/>
              <w:right w:val="single" w:sz="6" w:space="0" w:color="000000"/>
            </w:tcBorders>
            <w:shd w:val="clear" w:color="auto" w:fill="auto"/>
          </w:tcPr>
          <w:p w14:paraId="094529EA" w14:textId="77777777" w:rsidR="00AD22CC" w:rsidRDefault="00762C30" w:rsidP="00DB2EEF">
            <w:pPr>
              <w:pStyle w:val="naisc"/>
              <w:spacing w:before="0" w:after="0"/>
              <w:jc w:val="both"/>
            </w:pPr>
            <w:r w:rsidRPr="009F0CAB">
              <w:rPr>
                <w:b/>
              </w:rPr>
              <w:lastRenderedPageBreak/>
              <w:t>Ņemts vērā pēc būtības</w:t>
            </w:r>
            <w:r w:rsidRPr="009F0CAB">
              <w:t xml:space="preserve">. </w:t>
            </w:r>
          </w:p>
          <w:p w14:paraId="0D11D56D" w14:textId="7A682AF6" w:rsidR="00FB47EB" w:rsidRPr="009F0CAB" w:rsidRDefault="00762C30" w:rsidP="00DB2EEF">
            <w:pPr>
              <w:pStyle w:val="naisc"/>
              <w:spacing w:before="0" w:after="0"/>
              <w:jc w:val="both"/>
            </w:pPr>
            <w:r w:rsidRPr="009F0CAB">
              <w:t>Informatīvais ziņojums papildināts ar vispārīgu informāciju par gadījumiem, par kuriem jālemj MK ar atsauci uz pielikumiem ar detalizētu informāciju.</w:t>
            </w:r>
          </w:p>
        </w:tc>
        <w:tc>
          <w:tcPr>
            <w:tcW w:w="2733" w:type="dxa"/>
            <w:tcBorders>
              <w:top w:val="single" w:sz="4" w:space="0" w:color="auto"/>
              <w:left w:val="single" w:sz="4" w:space="0" w:color="auto"/>
              <w:bottom w:val="single" w:sz="4" w:space="0" w:color="auto"/>
            </w:tcBorders>
            <w:shd w:val="clear" w:color="auto" w:fill="auto"/>
          </w:tcPr>
          <w:p w14:paraId="003574DE" w14:textId="5BEEF115" w:rsidR="00FB47EB" w:rsidRPr="009F0CAB" w:rsidRDefault="00762C30" w:rsidP="00DB2EEF">
            <w:pPr>
              <w:jc w:val="both"/>
            </w:pPr>
            <w:r w:rsidRPr="009F0CAB">
              <w:t xml:space="preserve">Skatīt precizētu informatīvā ziņojuma </w:t>
            </w:r>
            <w:r w:rsidRPr="009F0CAB">
              <w:rPr>
                <w:rFonts w:eastAsiaTheme="minorHAnsi"/>
              </w:rPr>
              <w:t>2. sadaļu</w:t>
            </w:r>
            <w:r w:rsidR="009B746F" w:rsidRPr="009F0CAB">
              <w:rPr>
                <w:rFonts w:eastAsiaTheme="minorHAnsi"/>
              </w:rPr>
              <w:t xml:space="preserve"> </w:t>
            </w:r>
            <w:r w:rsidR="009B746F" w:rsidRPr="009F0CAB">
              <w:t>„2014. - 2020. gada plānošanas perioda ES fondu īstenošana”</w:t>
            </w:r>
            <w:r w:rsidRPr="009F0CAB">
              <w:rPr>
                <w:rFonts w:eastAsiaTheme="minorHAnsi"/>
              </w:rPr>
              <w:t>,</w:t>
            </w:r>
            <w:r w:rsidRPr="009F0CAB">
              <w:t xml:space="preserve"> attiecīgos pielikumus un </w:t>
            </w:r>
            <w:r w:rsidRPr="009F0CAB">
              <w:rPr>
                <w:rFonts w:eastAsiaTheme="minorHAnsi"/>
              </w:rPr>
              <w:t xml:space="preserve"> </w:t>
            </w:r>
            <w:proofErr w:type="spellStart"/>
            <w:r w:rsidRPr="009F0CAB">
              <w:rPr>
                <w:rFonts w:eastAsiaTheme="minorHAnsi"/>
              </w:rPr>
              <w:t>protokollēmuma</w:t>
            </w:r>
            <w:proofErr w:type="spellEnd"/>
            <w:r w:rsidRPr="009F0CAB">
              <w:rPr>
                <w:rFonts w:eastAsiaTheme="minorHAnsi"/>
              </w:rPr>
              <w:t xml:space="preserve"> projekta 5. punktu.</w:t>
            </w:r>
          </w:p>
        </w:tc>
      </w:tr>
      <w:tr w:rsidR="009F0CAB" w:rsidRPr="009F0CAB" w14:paraId="10AB578F" w14:textId="77777777" w:rsidTr="007F29E6">
        <w:trPr>
          <w:trHeight w:val="329"/>
        </w:trPr>
        <w:tc>
          <w:tcPr>
            <w:tcW w:w="993" w:type="dxa"/>
            <w:tcBorders>
              <w:left w:val="single" w:sz="6" w:space="0" w:color="000000"/>
              <w:bottom w:val="single" w:sz="4" w:space="0" w:color="auto"/>
              <w:right w:val="single" w:sz="6" w:space="0" w:color="000000"/>
            </w:tcBorders>
          </w:tcPr>
          <w:p w14:paraId="48B444C7" w14:textId="77777777" w:rsidR="00FA062A" w:rsidRPr="009F0CAB" w:rsidRDefault="00FA062A" w:rsidP="00FA062A">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46BF58A4" w14:textId="1BBFE7DE" w:rsidR="00FA062A" w:rsidRPr="009F0CAB" w:rsidRDefault="00FA062A" w:rsidP="00DB2EEF">
            <w:pPr>
              <w:pStyle w:val="naisc"/>
              <w:spacing w:before="0" w:after="0"/>
              <w:jc w:val="both"/>
              <w:rPr>
                <w:rFonts w:eastAsia="Calibri"/>
                <w:lang w:eastAsia="en-US"/>
              </w:rPr>
            </w:pPr>
            <w:r w:rsidRPr="009F0CAB">
              <w:rPr>
                <w:rFonts w:eastAsia="Calibri"/>
                <w:lang w:eastAsia="en-US"/>
              </w:rPr>
              <w:t>Informatīvā ziņojuma 2. sadaļas “</w:t>
            </w:r>
            <w:r w:rsidRPr="009F0CAB">
              <w:rPr>
                <w:iCs/>
              </w:rPr>
              <w:t>2014. - 2020. gada plānošanas perioda ES fondu īstenošana</w:t>
            </w:r>
            <w:r w:rsidRPr="009F0CAB">
              <w:t xml:space="preserve">” </w:t>
            </w:r>
            <w:proofErr w:type="spellStart"/>
            <w:r w:rsidRPr="009F0CAB">
              <w:t>apakšsadaļas</w:t>
            </w:r>
            <w:proofErr w:type="spellEnd"/>
            <w:r w:rsidRPr="009F0CAB">
              <w:t xml:space="preserve"> “</w:t>
            </w:r>
            <w:r w:rsidRPr="009F0CAB">
              <w:rPr>
                <w:iCs/>
              </w:rPr>
              <w:t>2020. gada un 2021. gada janvāra projektu ieviešanas plānu izpilde</w:t>
            </w:r>
            <w:r w:rsidRPr="009F0CAB">
              <w:rPr>
                <w:rFonts w:eastAsia="Calibri"/>
                <w:lang w:eastAsia="en-US"/>
              </w:rPr>
              <w:t xml:space="preserve">” un </w:t>
            </w:r>
            <w:proofErr w:type="spellStart"/>
            <w:r w:rsidRPr="009F0CAB">
              <w:rPr>
                <w:rFonts w:eastAsia="Calibri"/>
                <w:lang w:eastAsia="en-US"/>
              </w:rPr>
              <w:t>protokollēmums</w:t>
            </w:r>
            <w:proofErr w:type="spellEnd"/>
          </w:p>
        </w:tc>
        <w:tc>
          <w:tcPr>
            <w:tcW w:w="4224" w:type="dxa"/>
            <w:gridSpan w:val="2"/>
            <w:tcBorders>
              <w:left w:val="single" w:sz="6" w:space="0" w:color="000000"/>
              <w:bottom w:val="single" w:sz="4" w:space="0" w:color="auto"/>
              <w:right w:val="single" w:sz="6" w:space="0" w:color="000000"/>
            </w:tcBorders>
            <w:shd w:val="clear" w:color="auto" w:fill="auto"/>
          </w:tcPr>
          <w:p w14:paraId="390047F8" w14:textId="77777777" w:rsidR="00FA062A" w:rsidRPr="009F0CAB" w:rsidRDefault="00FA062A" w:rsidP="00DB2EEF">
            <w:pPr>
              <w:widowControl w:val="0"/>
              <w:jc w:val="both"/>
              <w:rPr>
                <w:b/>
              </w:rPr>
            </w:pPr>
            <w:r w:rsidRPr="009F0CAB">
              <w:rPr>
                <w:b/>
              </w:rPr>
              <w:t>Iebildums</w:t>
            </w:r>
          </w:p>
          <w:p w14:paraId="5AD5B502" w14:textId="77777777" w:rsidR="00FA062A" w:rsidRPr="009F0CAB" w:rsidRDefault="00FA062A" w:rsidP="00DB2EEF">
            <w:pPr>
              <w:widowControl w:val="0"/>
              <w:spacing w:after="240"/>
              <w:jc w:val="both"/>
              <w:rPr>
                <w:b/>
              </w:rPr>
            </w:pPr>
            <w:r w:rsidRPr="009F0CAB">
              <w:rPr>
                <w:b/>
              </w:rPr>
              <w:t>LM</w:t>
            </w:r>
          </w:p>
          <w:p w14:paraId="538DE53E" w14:textId="77777777" w:rsidR="00FA062A" w:rsidRPr="009F0CAB" w:rsidRDefault="00FA062A" w:rsidP="00DB2EEF">
            <w:pPr>
              <w:widowControl w:val="0"/>
              <w:jc w:val="both"/>
            </w:pPr>
            <w:r w:rsidRPr="009F0CAB">
              <w:t xml:space="preserve">Lūdzam papildināt informatīvo ziņojumu un </w:t>
            </w:r>
            <w:proofErr w:type="spellStart"/>
            <w:r w:rsidRPr="009F0CAB">
              <w:t>protokollēmuma</w:t>
            </w:r>
            <w:proofErr w:type="spellEnd"/>
            <w:r w:rsidRPr="009F0CAB">
              <w:t xml:space="preserve"> projekta 5.punktu, </w:t>
            </w:r>
            <w:r w:rsidRPr="009F0CAB">
              <w:rPr>
                <w:i/>
                <w:iCs/>
              </w:rPr>
              <w:t>atļaujot sadarbības iestādei pagarināt vairāk par sešiem mēnešiem šādus LM pārziņas projektus</w:t>
            </w:r>
            <w:r w:rsidRPr="009F0CAB">
              <w:t>:</w:t>
            </w:r>
          </w:p>
          <w:p w14:paraId="05A05B5C" w14:textId="77777777" w:rsidR="00FA062A" w:rsidRPr="009F0CAB" w:rsidRDefault="00FA062A" w:rsidP="00DB2EEF">
            <w:pPr>
              <w:widowControl w:val="0"/>
              <w:numPr>
                <w:ilvl w:val="1"/>
                <w:numId w:val="5"/>
              </w:numPr>
              <w:ind w:left="296" w:firstLine="0"/>
              <w:jc w:val="both"/>
            </w:pPr>
            <w:bookmarkStart w:id="4" w:name="_Hlk64300454"/>
            <w:r w:rsidRPr="009F0CAB">
              <w:rPr>
                <w:i/>
                <w:iCs/>
              </w:rPr>
              <w:t>Nodarbinātības valsts aģentūras projektu Nr. 7.1.2.2/16/I/001 “Darba tirgus prognozēšanas sistēmas pilnveide”, kura ietvaros plānots pagarināt termiņu par astoņiem mēnešiem, proti, līdz 2022.gada 31.augustam</w:t>
            </w:r>
            <w:bookmarkEnd w:id="4"/>
            <w:r w:rsidRPr="009F0CAB">
              <w:rPr>
                <w:i/>
                <w:iCs/>
              </w:rPr>
              <w:t xml:space="preserve"> (šobrīd – 2021.gada 31.decembris). </w:t>
            </w:r>
            <w:r w:rsidRPr="009F0CAB">
              <w:t xml:space="preserve">Minētais termiņa pagarinājums nepieciešams, lai apzinātu ilgstošās ārkārtējās situācijas un Covid-19 pandēmijas rezultātā radītās krīzes ietekmi uz darba tirgus situāciju kopumā, kā arī nodrošinātu iespēju operatīvi aktualizēt gan īstermiņa, gan vidējā un ilgtermiņa darba tirgus prognozes. Projekta ietvaros plānots ieviest jaunu aktivitāte - četras </w:t>
            </w:r>
            <w:proofErr w:type="spellStart"/>
            <w:r w:rsidRPr="009F0CAB">
              <w:t>ekspress</w:t>
            </w:r>
            <w:proofErr w:type="spellEnd"/>
            <w:r w:rsidRPr="009F0CAB">
              <w:t xml:space="preserve"> aptaujas, kas tiks īstenotas periodā līdz  2022.gada 31.augustam, secīgi, veicot vienu </w:t>
            </w:r>
            <w:proofErr w:type="spellStart"/>
            <w:r w:rsidRPr="009F0CAB">
              <w:t>ekspress</w:t>
            </w:r>
            <w:proofErr w:type="spellEnd"/>
            <w:r w:rsidRPr="009F0CAB">
              <w:t xml:space="preserve"> aptauju ceturksnī. </w:t>
            </w:r>
            <w:proofErr w:type="spellStart"/>
            <w:r w:rsidRPr="009F0CAB">
              <w:t>Ekspress</w:t>
            </w:r>
            <w:proofErr w:type="spellEnd"/>
            <w:r w:rsidRPr="009F0CAB">
              <w:t xml:space="preserve"> aptaujas tiks veiktas par aktuālajiem darba tirgus jautājumiem</w:t>
            </w:r>
            <w:r w:rsidRPr="009F0CAB">
              <w:rPr>
                <w:vertAlign w:val="superscript"/>
              </w:rPr>
              <w:t>5</w:t>
            </w:r>
            <w:r w:rsidRPr="009F0CAB">
              <w:t xml:space="preserve">, tādējādi sniedzot precīzāku ieskatu gan par </w:t>
            </w:r>
            <w:r w:rsidRPr="009F0CAB">
              <w:lastRenderedPageBreak/>
              <w:t xml:space="preserve">darba tirgus situāciju gan attiecībā uz pandēmijas ietekmi, gan attiecībā uz citiem ilgāka termiņa darba tirgus izaicinājumiem un nodrošinās projekta mērķa, pamatotu un tautsaimniecības vajadzībām atbilstošu lēmumu pieņemšanu </w:t>
            </w:r>
            <w:proofErr w:type="spellStart"/>
            <w:r w:rsidRPr="009F0CAB">
              <w:t>rīcībpolitikas</w:t>
            </w:r>
            <w:proofErr w:type="spellEnd"/>
            <w:r w:rsidRPr="009F0CAB">
              <w:t xml:space="preserve"> izstrādei un ieviešanai, sasniegšanu. Minētais veicinās kvalitatīvu pakalpojumu sniegšanu bezdarbniekiem un darba meklētājiem, kas mazinās krīzes izraisītās sekas nodarbinātības jomā kopumā un veicinās gan bezdarbnieku ātrāku atgriešanos darba tirgū </w:t>
            </w:r>
            <w:proofErr w:type="spellStart"/>
            <w:r w:rsidRPr="009F0CAB">
              <w:t>pēckrīzes</w:t>
            </w:r>
            <w:proofErr w:type="spellEnd"/>
            <w:r w:rsidRPr="009F0CAB">
              <w:t xml:space="preserve"> periodā, gan arī iespēju darba devējiem piesaistīt atbilstošas kvalifikācijas darbiniekus. Darbība tiks nodrošināta šobrīd projektam pieejamā finansējuma ietvaros, novirzot finansējumu 53 500 </w:t>
            </w:r>
            <w:proofErr w:type="spellStart"/>
            <w:r w:rsidRPr="009F0CAB">
              <w:rPr>
                <w:i/>
                <w:iCs/>
              </w:rPr>
              <w:t>euro</w:t>
            </w:r>
            <w:proofErr w:type="spellEnd"/>
            <w:r w:rsidRPr="009F0CAB">
              <w:t xml:space="preserve"> apmērā; </w:t>
            </w:r>
          </w:p>
          <w:p w14:paraId="73DD981C" w14:textId="77777777" w:rsidR="00FA062A" w:rsidRPr="009F0CAB" w:rsidRDefault="00FA062A" w:rsidP="00DB2EEF">
            <w:pPr>
              <w:widowControl w:val="0"/>
              <w:numPr>
                <w:ilvl w:val="1"/>
                <w:numId w:val="5"/>
              </w:numPr>
              <w:ind w:left="296" w:firstLine="0"/>
              <w:jc w:val="both"/>
            </w:pPr>
            <w:r w:rsidRPr="009F0CAB">
              <w:rPr>
                <w:i/>
                <w:iCs/>
              </w:rPr>
              <w:t xml:space="preserve">LM </w:t>
            </w:r>
            <w:bookmarkStart w:id="5" w:name="_Hlk64300477"/>
            <w:r w:rsidRPr="009F0CAB">
              <w:rPr>
                <w:i/>
                <w:iCs/>
              </w:rPr>
              <w:t>projektu Nr. 9.1.1.3/15/I/001 “Atbalsts sociālajai uzņēmējdarbībai”, kura ietvaros plānots pagarināt termiņu par sešiem mēnešiem, proti, līdz 2023.gada 30.jūnijam</w:t>
            </w:r>
            <w:bookmarkEnd w:id="5"/>
            <w:r w:rsidRPr="009F0CAB">
              <w:rPr>
                <w:i/>
                <w:iCs/>
              </w:rPr>
              <w:t xml:space="preserve"> (šobrīd - 2022.gada 31.decembris).</w:t>
            </w:r>
            <w:r w:rsidRPr="009F0CAB">
              <w:t xml:space="preserve">  Minētais termiņa pagarinājums nepieciešams, lai sabiedrības veselības krīzes apstākļos atbalstītu projekta mērķa grupas – proti, nodarbinātu sociālās atstumtības riskam pakļauto iedzīvotāju grupas, </w:t>
            </w:r>
            <w:r w:rsidRPr="009F0CAB">
              <w:lastRenderedPageBreak/>
              <w:t xml:space="preserve">personas ar invaliditāti un personu ar garīga rakstura traucējumiem, kā arī ilgstošos bezdarbniekus, gados vecākus bezdarbniekus (vecāki par 54 gadiem), bezdarbniekus, kuriem ir apgādājamie, un bezdarbniekus ar invaliditāti, kā arī saglabātu izveidoto sociālo uzņēmumu ekosistēmu. 2021.gada sākumā tika identificēts būtisks uzņēmumu skaita pieaugums, kas pieteicās sociālā uzņēmuma statusam, kā arī attiecīgi finanšu atbalstam (piemēram, 2020.gadā mēnesī tika saņemti vidēji 5 pieteikumi, bet 2021.gada janvārī – 14). Tāpat arī saņemti 72 pieteikumi sociālās uzņēmējdarbības uzsācēju ideju konkursam, no kuriem 20 labākajiem no š.g. aprīļa tiks nodrošinātas konsultācijas, lai viņi 2021.gadā varētu pieteikties finanšu atbalstam.  Tādējādi, ņemot vērā projekta sadarbības partnera (ALTUM) uzņemtās līgumsaistības un vērtēšanai saņemtos biznesa plānus, </w:t>
            </w:r>
            <w:proofErr w:type="spellStart"/>
            <w:r w:rsidRPr="009F0CAB">
              <w:t>grantiem</w:t>
            </w:r>
            <w:proofErr w:type="spellEnd"/>
            <w:r w:rsidRPr="009F0CAB">
              <w:t xml:space="preserve"> pieejamais  finansējums ir izsmelts un 2021.gada februārī jāpārtrauc atbalsta piešķiršana sociālajiem uzņēmumiem. Minētā, kā arī vienmērīgas pārejas uz 2021.- 2027.gada plānošanas periodā plānotajiem atbalsta instrumentiem sociālajiem uzņēmumiem, kas varētu </w:t>
            </w:r>
            <w:r w:rsidRPr="009F0CAB">
              <w:lastRenderedPageBreak/>
              <w:t xml:space="preserve">būt pieejami tikai 2023.gadā, nodrošināšanai  9.1.1.3.pasākuma projekta īstenošanai nepieciešams papildu finansējums indikatīvi 2 081 000  </w:t>
            </w:r>
            <w:proofErr w:type="spellStart"/>
            <w:r w:rsidRPr="009F0CAB">
              <w:rPr>
                <w:i/>
                <w:iCs/>
              </w:rPr>
              <w:t>euro</w:t>
            </w:r>
            <w:proofErr w:type="spellEnd"/>
            <w:r w:rsidRPr="009F0CAB">
              <w:t xml:space="preserve"> apmērā, ko plānots piesaistīt, veicot iekšējas pārdales LM pārziņas 9.1.1.specifiskā atbalsta mērķa</w:t>
            </w:r>
            <w:r w:rsidRPr="009F0CAB">
              <w:rPr>
                <w:vertAlign w:val="superscript"/>
              </w:rPr>
              <w:t>6</w:t>
            </w:r>
            <w:r w:rsidRPr="009F0CAB">
              <w:t xml:space="preserve"> ietvaros. Projekta īstenošanas termiņa pagarinājums, piesaistot papildu finansējumu, ļaus nodrošināt atbalsta piešķiršanu sociālajiem uzņēmumiem (t.sk. konsultētajiem sociālās uzņēmējdarbības uzsācējiem) līdz 2021.gada 3.- 4.ceturksnim, kā arī nodrošināt biznesa plānu pilnīgu īstenošanu, ņemot vērā, ka uzņēmumu darbības ierobežojumi Covid-19 izraisītās pandēmijas dēļ var pagarināt arī sociālo uzņēmumu biznesa plānu īstenošanas periodu.</w:t>
            </w:r>
          </w:p>
          <w:p w14:paraId="17215326" w14:textId="77777777" w:rsidR="00FA062A" w:rsidRPr="009F0CAB" w:rsidRDefault="00FA062A" w:rsidP="00DB2EEF">
            <w:pPr>
              <w:jc w:val="both"/>
            </w:pPr>
            <w:r w:rsidRPr="009F0CAB">
              <w:t xml:space="preserve">Attiecībā uz atzinuma 4.punktā minēto LM plāno tuvākajā laikā ierosināt atbilstošus grozījumus pārziņas MK noteikumos par attiecīgā pasākuma īstenošanu.  </w:t>
            </w:r>
          </w:p>
          <w:p w14:paraId="747F9EB6" w14:textId="77777777" w:rsidR="00FA062A" w:rsidRPr="009F0CAB" w:rsidRDefault="00FA062A" w:rsidP="00DB2EEF">
            <w:pPr>
              <w:widowControl w:val="0"/>
              <w:spacing w:after="240"/>
              <w:jc w:val="both"/>
              <w:rPr>
                <w:b/>
              </w:rPr>
            </w:pPr>
            <w:r w:rsidRPr="009F0CAB">
              <w:rPr>
                <w:b/>
              </w:rPr>
              <w:t>________________________</w:t>
            </w:r>
          </w:p>
          <w:p w14:paraId="5EF89803" w14:textId="77777777" w:rsidR="00FA062A" w:rsidRPr="009F0CAB" w:rsidRDefault="00FA062A" w:rsidP="00DB2EEF">
            <w:pPr>
              <w:widowControl w:val="0"/>
              <w:jc w:val="both"/>
              <w:rPr>
                <w:rStyle w:val="FootnoteReference"/>
              </w:rPr>
            </w:pPr>
            <w:r w:rsidRPr="009F0CAB">
              <w:rPr>
                <w:rStyle w:val="FootnoteReference"/>
              </w:rPr>
              <w:t>5</w:t>
            </w:r>
            <w:r w:rsidRPr="009F0CAB">
              <w:t xml:space="preserve"> Indikatīvi iezīmētas sekojošas aptauju tēmas - 1. Darba devējiem nepieciešamās prasmes; 2. Tehnoloģiju ietekme uz darbaspēka nepieciešamību; 3. Trešo valstu pilsoņu piesaiste darba tirgū; 4. Darbaspēka piesaiste.</w:t>
            </w:r>
          </w:p>
          <w:p w14:paraId="35B856F5" w14:textId="01EC9A83" w:rsidR="00FA062A" w:rsidRPr="009F0CAB" w:rsidRDefault="00FA062A" w:rsidP="00DB2EEF">
            <w:pPr>
              <w:widowControl w:val="0"/>
              <w:jc w:val="both"/>
              <w:rPr>
                <w:b/>
              </w:rPr>
            </w:pPr>
            <w:r w:rsidRPr="009F0CAB">
              <w:rPr>
                <w:rStyle w:val="FootnoteReference"/>
              </w:rPr>
              <w:lastRenderedPageBreak/>
              <w:t>6</w:t>
            </w:r>
            <w:r w:rsidRPr="009F0CAB">
              <w:t>9.1.1.specifiskais atbalsta mērķis “Palielināt nelabvēlīgākā situācijā esošu bezdarbnieku iekļaušanos darba tirgū”</w:t>
            </w:r>
          </w:p>
        </w:tc>
        <w:tc>
          <w:tcPr>
            <w:tcW w:w="4222" w:type="dxa"/>
            <w:gridSpan w:val="2"/>
            <w:tcBorders>
              <w:left w:val="single" w:sz="6" w:space="0" w:color="000000"/>
              <w:bottom w:val="single" w:sz="4" w:space="0" w:color="auto"/>
              <w:right w:val="single" w:sz="6" w:space="0" w:color="000000"/>
            </w:tcBorders>
            <w:shd w:val="clear" w:color="auto" w:fill="auto"/>
          </w:tcPr>
          <w:p w14:paraId="7219882F" w14:textId="741C1DB7" w:rsidR="00224C5C" w:rsidRPr="009F0CAB" w:rsidRDefault="008D56FC" w:rsidP="00DB2EEF">
            <w:pPr>
              <w:pStyle w:val="naisc"/>
              <w:spacing w:before="0" w:after="0"/>
              <w:jc w:val="both"/>
            </w:pPr>
            <w:r w:rsidRPr="009F0CAB">
              <w:rPr>
                <w:b/>
                <w:bCs/>
              </w:rPr>
              <w:lastRenderedPageBreak/>
              <w:t>Ņemts vērā</w:t>
            </w:r>
            <w:r w:rsidRPr="009F0CAB">
              <w:t xml:space="preserve"> attiecībā uz informāc</w:t>
            </w:r>
            <w:r w:rsidR="00224C5C" w:rsidRPr="009F0CAB">
              <w:t>ijas papildināšanu ziņojumā</w:t>
            </w:r>
            <w:r w:rsidRPr="009F0CAB">
              <w:rPr>
                <w:b/>
              </w:rPr>
              <w:t>.</w:t>
            </w:r>
            <w:r w:rsidRPr="009F0CAB">
              <w:t xml:space="preserve"> </w:t>
            </w:r>
            <w:r w:rsidR="00224C5C" w:rsidRPr="009F0CAB">
              <w:t xml:space="preserve">LM atsauc iebildumu attiecībā </w:t>
            </w:r>
            <w:r w:rsidR="00AD22CC">
              <w:t xml:space="preserve">uz </w:t>
            </w:r>
            <w:proofErr w:type="spellStart"/>
            <w:r w:rsidR="00224C5C" w:rsidRPr="009F0CAB">
              <w:t>protokollēmuma</w:t>
            </w:r>
            <w:proofErr w:type="spellEnd"/>
            <w:r w:rsidR="00224C5C" w:rsidRPr="009F0CAB">
              <w:t xml:space="preserve"> 5. punkta papildināšanu, lai lēmumu par projektu </w:t>
            </w:r>
            <w:r w:rsidR="00252967" w:rsidRPr="009F0CAB">
              <w:t xml:space="preserve">termiņu </w:t>
            </w:r>
            <w:r w:rsidR="00224C5C" w:rsidRPr="009F0CAB">
              <w:t>pagarinājumu pieņemtu MK. Minē</w:t>
            </w:r>
            <w:r w:rsidR="00252967" w:rsidRPr="009F0CAB">
              <w:t>tā</w:t>
            </w:r>
            <w:r w:rsidR="00224C5C" w:rsidRPr="009F0CAB">
              <w:t xml:space="preserve"> sakarā informācija par projektiem Nr.  7.1.2.2/16/I/001 “Darba tirgus prognozēšanas sistēmas pilnveide” un Nr. 9.1.1.3/15/I/001 “Atbalsts sociālajai uzņēmējdarbībai” netiek iekļauta informatīvā ziņojuma  pielikumā </w:t>
            </w:r>
            <w:r w:rsidR="00224C5C" w:rsidRPr="009F0CAB">
              <w:rPr>
                <w:bCs/>
              </w:rPr>
              <w:t>“Priekšlikumi projektu ieviešanas termiņu pagarinājumiem”</w:t>
            </w:r>
            <w:r w:rsidR="00224C5C" w:rsidRPr="009F0CAB">
              <w:t>, jo sākotnēji ir nepieciešami MK noteikumu grozījumi, kas ļautu pagarināt projektus līdz ierosinātajiem termiņiem.</w:t>
            </w:r>
          </w:p>
          <w:p w14:paraId="588A761F" w14:textId="77777777" w:rsidR="00224C5C" w:rsidRPr="009F0CAB" w:rsidRDefault="00224C5C" w:rsidP="00DB2EEF">
            <w:pPr>
              <w:jc w:val="both"/>
              <w:rPr>
                <w:lang w:eastAsia="en-US"/>
              </w:rPr>
            </w:pPr>
          </w:p>
          <w:p w14:paraId="7BECC480" w14:textId="0F330B2F" w:rsidR="008B2F95" w:rsidRPr="009F0CAB" w:rsidRDefault="00B440CF" w:rsidP="00DB2EEF">
            <w:pPr>
              <w:pStyle w:val="naisc"/>
              <w:spacing w:before="0" w:after="0"/>
              <w:jc w:val="both"/>
              <w:rPr>
                <w:highlight w:val="yellow"/>
              </w:rPr>
            </w:pPr>
            <w:r w:rsidRPr="009F0CAB">
              <w:t>Redakcija saskaņota ar LM 17.02.2021.</w:t>
            </w:r>
          </w:p>
        </w:tc>
        <w:tc>
          <w:tcPr>
            <w:tcW w:w="2733" w:type="dxa"/>
            <w:tcBorders>
              <w:top w:val="single" w:sz="4" w:space="0" w:color="auto"/>
              <w:left w:val="single" w:sz="4" w:space="0" w:color="auto"/>
              <w:bottom w:val="single" w:sz="4" w:space="0" w:color="auto"/>
            </w:tcBorders>
            <w:shd w:val="clear" w:color="auto" w:fill="auto"/>
          </w:tcPr>
          <w:p w14:paraId="583636CC" w14:textId="74491A85" w:rsidR="008D56FC" w:rsidRPr="009F0CAB" w:rsidRDefault="008D56FC" w:rsidP="00DB2EEF">
            <w:pPr>
              <w:jc w:val="both"/>
            </w:pPr>
            <w:r w:rsidRPr="009F0CAB">
              <w:t>Skatīt precizēto informatīvā ziņojuma 2.sadaļu “</w:t>
            </w:r>
            <w:r w:rsidRPr="009F0CAB">
              <w:rPr>
                <w:bCs/>
              </w:rPr>
              <w:t>2014. - 2020. gada plānošanas perioda ES fondu īstenošana</w:t>
            </w:r>
            <w:r w:rsidRPr="009F0CAB">
              <w:t xml:space="preserve">” </w:t>
            </w:r>
            <w:r w:rsidR="00DB2EEF">
              <w:t>.</w:t>
            </w:r>
          </w:p>
          <w:p w14:paraId="453B57FD" w14:textId="48733F25" w:rsidR="00FA062A" w:rsidRPr="009F0CAB" w:rsidRDefault="00FA062A" w:rsidP="00DB2EEF">
            <w:pPr>
              <w:jc w:val="both"/>
            </w:pPr>
          </w:p>
        </w:tc>
      </w:tr>
      <w:tr w:rsidR="009F0CAB" w:rsidRPr="009F0CAB" w14:paraId="14E3CC52" w14:textId="77777777" w:rsidTr="007F29E6">
        <w:trPr>
          <w:trHeight w:val="329"/>
        </w:trPr>
        <w:tc>
          <w:tcPr>
            <w:tcW w:w="993" w:type="dxa"/>
            <w:tcBorders>
              <w:left w:val="single" w:sz="6" w:space="0" w:color="000000"/>
              <w:bottom w:val="single" w:sz="4" w:space="0" w:color="auto"/>
              <w:right w:val="single" w:sz="6" w:space="0" w:color="000000"/>
            </w:tcBorders>
          </w:tcPr>
          <w:p w14:paraId="57318F60" w14:textId="77777777" w:rsidR="00FA062A" w:rsidRPr="009F0CAB" w:rsidRDefault="00FA062A" w:rsidP="00DB2EEF">
            <w:pPr>
              <w:pStyle w:val="naisc"/>
              <w:numPr>
                <w:ilvl w:val="0"/>
                <w:numId w:val="2"/>
              </w:numPr>
              <w:tabs>
                <w:tab w:val="left" w:pos="327"/>
              </w:tabs>
              <w:spacing w:before="0" w:after="0"/>
              <w:jc w:val="both"/>
            </w:pPr>
          </w:p>
        </w:tc>
        <w:tc>
          <w:tcPr>
            <w:tcW w:w="2146" w:type="dxa"/>
            <w:tcBorders>
              <w:left w:val="single" w:sz="6" w:space="0" w:color="000000"/>
              <w:bottom w:val="single" w:sz="4" w:space="0" w:color="auto"/>
              <w:right w:val="single" w:sz="6" w:space="0" w:color="000000"/>
            </w:tcBorders>
          </w:tcPr>
          <w:p w14:paraId="23563842" w14:textId="4F05967C" w:rsidR="00FA062A" w:rsidRPr="009F0CAB" w:rsidRDefault="00FA062A" w:rsidP="00DB2EEF">
            <w:pPr>
              <w:pStyle w:val="naisc"/>
              <w:spacing w:before="0" w:after="0"/>
              <w:jc w:val="both"/>
              <w:rPr>
                <w:rFonts w:eastAsia="Calibri"/>
                <w:lang w:eastAsia="en-US"/>
              </w:rPr>
            </w:pPr>
            <w:r w:rsidRPr="009F0CAB">
              <w:rPr>
                <w:rFonts w:eastAsia="Calibri"/>
                <w:lang w:eastAsia="en-US"/>
              </w:rPr>
              <w:t>Informatīvā ziņojuma 2. sadaļas “2020. gada un 2021. gada janvāra projektu ieviešanas plānu izpilde”</w:t>
            </w:r>
            <w:r w:rsidR="00970453" w:rsidRPr="009F0CAB">
              <w:rPr>
                <w:rFonts w:eastAsia="Calibri"/>
                <w:lang w:eastAsia="en-US"/>
              </w:rPr>
              <w:t xml:space="preserve">, </w:t>
            </w:r>
            <w:r w:rsidR="002C4F86" w:rsidRPr="009F0CAB">
              <w:rPr>
                <w:rFonts w:eastAsia="Calibri"/>
                <w:lang w:eastAsia="en-US"/>
              </w:rPr>
              <w:t>5.sadaļa “</w:t>
            </w:r>
            <w:r w:rsidR="002C4F86" w:rsidRPr="009F0CAB">
              <w:t>Priekšlikumi MK lēmumiem</w:t>
            </w:r>
            <w:r w:rsidR="002C4F86" w:rsidRPr="009F0CAB">
              <w:rPr>
                <w:rFonts w:eastAsia="Calibri"/>
                <w:lang w:eastAsia="en-US"/>
              </w:rPr>
              <w:t xml:space="preserve">” </w:t>
            </w:r>
            <w:r w:rsidR="00970453" w:rsidRPr="009F0CAB">
              <w:rPr>
                <w:rFonts w:eastAsia="Calibri"/>
                <w:lang w:eastAsia="en-US"/>
              </w:rPr>
              <w:t xml:space="preserve"> un </w:t>
            </w:r>
            <w:proofErr w:type="spellStart"/>
            <w:r w:rsidR="00970453" w:rsidRPr="009F0CAB">
              <w:rPr>
                <w:rFonts w:eastAsia="Calibri"/>
                <w:lang w:eastAsia="en-US"/>
              </w:rPr>
              <w:t>protokollēmums</w:t>
            </w:r>
            <w:proofErr w:type="spellEnd"/>
          </w:p>
        </w:tc>
        <w:tc>
          <w:tcPr>
            <w:tcW w:w="4224" w:type="dxa"/>
            <w:gridSpan w:val="2"/>
            <w:tcBorders>
              <w:left w:val="single" w:sz="6" w:space="0" w:color="000000"/>
              <w:bottom w:val="single" w:sz="4" w:space="0" w:color="auto"/>
              <w:right w:val="single" w:sz="6" w:space="0" w:color="000000"/>
            </w:tcBorders>
            <w:shd w:val="clear" w:color="auto" w:fill="auto"/>
          </w:tcPr>
          <w:p w14:paraId="2B208C9B" w14:textId="77777777" w:rsidR="00FA062A" w:rsidRPr="009F0CAB" w:rsidRDefault="00FA062A" w:rsidP="00DB2EEF">
            <w:pPr>
              <w:widowControl w:val="0"/>
              <w:jc w:val="both"/>
              <w:rPr>
                <w:b/>
              </w:rPr>
            </w:pPr>
            <w:r w:rsidRPr="009F0CAB">
              <w:rPr>
                <w:b/>
              </w:rPr>
              <w:t xml:space="preserve">Iebildums </w:t>
            </w:r>
          </w:p>
          <w:p w14:paraId="266A3577" w14:textId="3EE0BCFA" w:rsidR="00FA062A" w:rsidRPr="009F0CAB" w:rsidRDefault="00FA062A" w:rsidP="00DB2EEF">
            <w:pPr>
              <w:widowControl w:val="0"/>
              <w:spacing w:after="240"/>
              <w:jc w:val="both"/>
              <w:rPr>
                <w:b/>
              </w:rPr>
            </w:pPr>
            <w:r w:rsidRPr="009F0CAB">
              <w:rPr>
                <w:b/>
              </w:rPr>
              <w:t>Tieslietu ministrija (TM)</w:t>
            </w:r>
          </w:p>
          <w:p w14:paraId="2BD9C5EE" w14:textId="77777777" w:rsidR="00FA062A" w:rsidRPr="009F0CAB" w:rsidRDefault="00FA062A" w:rsidP="00DB2EEF">
            <w:pPr>
              <w:jc w:val="both"/>
            </w:pPr>
            <w:r w:rsidRPr="009F0CAB">
              <w:t>Vēršam uzmanību, ka Finanšu ministrijas informatīvajā ziņojumā par Kohēzijas politikas Eiropas Savienības fondu investīciju aktualitātēm līdz 2021.</w:t>
            </w:r>
            <w:r w:rsidRPr="009F0CAB">
              <w:rPr>
                <w:i/>
                <w:iCs/>
              </w:rPr>
              <w:t> </w:t>
            </w:r>
            <w:r w:rsidRPr="009F0CAB">
              <w:t>gada 1.</w:t>
            </w:r>
            <w:r w:rsidRPr="009F0CAB">
              <w:rPr>
                <w:i/>
                <w:iCs/>
              </w:rPr>
              <w:t> </w:t>
            </w:r>
            <w:r w:rsidRPr="009F0CAB">
              <w:t xml:space="preserve">februārim (pusgada ziņojums) 20. lapā minēts, ka 30 projektiem kavējumi nav pamatojami ar </w:t>
            </w:r>
            <w:r w:rsidRPr="009F0CAB">
              <w:rPr>
                <w:i/>
                <w:iCs/>
              </w:rPr>
              <w:t>Ministru kabineta 2014.  gada 16. decembra noteikumu Nr.  784 "Kārtība, kādā Eiropas Savienības struktūrfondu un Kohēzijas fonda vadībā iesaistītās institūcijas nodrošina plānošanas dokumentu sagatavošanu un šo fondu ieviešanu 2014.–2020.gada plānošanas periodā"</w:t>
            </w:r>
            <w:r w:rsidRPr="009F0CAB">
              <w:t xml:space="preserve"> (turpmāk – MK noteikumi Nr.</w:t>
            </w:r>
            <w:r w:rsidRPr="009F0CAB">
              <w:rPr>
                <w:i/>
                <w:iCs/>
              </w:rPr>
              <w:t> </w:t>
            </w:r>
            <w:r w:rsidRPr="009F0CAB">
              <w:t>784) 51.</w:t>
            </w:r>
            <w:r w:rsidRPr="009F0CAB">
              <w:rPr>
                <w:vertAlign w:val="superscript"/>
              </w:rPr>
              <w:t>1</w:t>
            </w:r>
            <w:r w:rsidRPr="009F0CAB">
              <w:rPr>
                <w:i/>
                <w:iCs/>
              </w:rPr>
              <w:t> </w:t>
            </w:r>
            <w:r w:rsidRPr="009F0CAB">
              <w:t>punktā un 51.</w:t>
            </w:r>
            <w:r w:rsidRPr="009F0CAB">
              <w:rPr>
                <w:vertAlign w:val="superscript"/>
              </w:rPr>
              <w:t>4</w:t>
            </w:r>
            <w:r w:rsidRPr="009F0CAB">
              <w:t xml:space="preserve">1.-6. apakšpunktā uzskaitītajiem izņēmuma gadījumiem, to starpā saskaņā ar tabulu </w:t>
            </w:r>
            <w:r w:rsidRPr="009F0CAB">
              <w:rPr>
                <w:i/>
                <w:iCs/>
              </w:rPr>
              <w:t>"Projektos plānoto maksājumu pieprasījumu iesniegšanas plānu līdz 2021. gada 1. janvārim izpilde"</w:t>
            </w:r>
            <w:r w:rsidRPr="009F0CAB">
              <w:rPr>
                <w:rStyle w:val="FootnoteReference"/>
              </w:rPr>
              <w:footnoteReference w:id="4"/>
            </w:r>
            <w:r w:rsidRPr="009F0CAB">
              <w:t xml:space="preserve"> ir arī Tieslietu ministrijas īstenotais projekts Nr. 2.2.1.1/19/I/006 </w:t>
            </w:r>
            <w:r w:rsidRPr="009F0CAB">
              <w:rPr>
                <w:i/>
                <w:iCs/>
              </w:rPr>
              <w:t xml:space="preserve">"Jaunas Eiropas Savienības tiesību aktu pārņemšanas un </w:t>
            </w:r>
            <w:r w:rsidRPr="009F0CAB">
              <w:rPr>
                <w:i/>
                <w:iCs/>
              </w:rPr>
              <w:lastRenderedPageBreak/>
              <w:t>ieviešanas kontroles informācijas sistēmas izstrāde un ieviešana (ESTAPIKS2)"</w:t>
            </w:r>
            <w:r w:rsidRPr="009F0CAB">
              <w:t xml:space="preserve"> (turpmāk – Projekts).</w:t>
            </w:r>
          </w:p>
          <w:p w14:paraId="581D2983" w14:textId="77777777" w:rsidR="00FA062A" w:rsidRPr="009F0CAB" w:rsidRDefault="00FA062A" w:rsidP="00DB2EEF">
            <w:pPr>
              <w:ind w:firstLine="709"/>
              <w:jc w:val="both"/>
            </w:pPr>
            <w:r w:rsidRPr="009F0CAB">
              <w:t xml:space="preserve">Ziņojuma projektā minēts, ka šiem projektiem CFLA veiks padziļinātu izpēti, kā arī tabulā </w:t>
            </w:r>
            <w:r w:rsidRPr="009F0CAB">
              <w:rPr>
                <w:i/>
                <w:iCs/>
              </w:rPr>
              <w:t>"Projektos plānoto maksājumu pieprasījumu iesniegšanas plānu līdz 2021. gada 1. janvārim izpilde"</w:t>
            </w:r>
            <w:r w:rsidRPr="009F0CAB">
              <w:t xml:space="preserve"> nav norādīts, kāds izņēmuma gadījums MK noteikumu Nr. 784 izpratnē Projektam ir piemērojams. Informējam, ka, lai novērstu nepietiekama finansējuma riskus, Tieslietu ministrija 2020.</w:t>
            </w:r>
            <w:r w:rsidRPr="009F0CAB">
              <w:rPr>
                <w:i/>
                <w:iCs/>
              </w:rPr>
              <w:t> </w:t>
            </w:r>
            <w:r w:rsidRPr="009F0CAB">
              <w:t>gada 25.</w:t>
            </w:r>
            <w:r w:rsidRPr="009F0CAB">
              <w:rPr>
                <w:i/>
                <w:iCs/>
              </w:rPr>
              <w:t> </w:t>
            </w:r>
            <w:r w:rsidRPr="009F0CAB">
              <w:t>septembrī Vides aizsardzības un reģionālās attīstības ministrijai (turpmāk – VARAM) kā Eiropas Savienības fondu atbildīgajai iestādei par 2014.-2020. gada plānošanas perioda darbības programmas "Izaugsme un nodarbinātība" specifisko atbalsta mērķi 2.2.1. nosūtīja vēstuli Nr.21-33.13/3097, kurā pamatoja nepieciešamību piemērot MK noteikumu Nr.</w:t>
            </w:r>
            <w:r w:rsidRPr="009F0CAB">
              <w:rPr>
                <w:i/>
                <w:iCs/>
              </w:rPr>
              <w:t> </w:t>
            </w:r>
            <w:r w:rsidRPr="009F0CAB">
              <w:t>784 51.</w:t>
            </w:r>
            <w:r w:rsidRPr="009F0CAB">
              <w:rPr>
                <w:vertAlign w:val="superscript"/>
              </w:rPr>
              <w:t>4</w:t>
            </w:r>
            <w:r w:rsidRPr="009F0CAB">
              <w:t>7.</w:t>
            </w:r>
            <w:r w:rsidRPr="009F0CAB">
              <w:rPr>
                <w:i/>
                <w:iCs/>
              </w:rPr>
              <w:t> </w:t>
            </w:r>
            <w:r w:rsidRPr="009F0CAB">
              <w:t>apakšpunktā minēto izņēmuma gadījumu un atļaut pārdalīt 2020. gadā neapgūto finansējumu uz 2021.</w:t>
            </w:r>
            <w:r w:rsidRPr="009F0CAB">
              <w:rPr>
                <w:i/>
                <w:iCs/>
              </w:rPr>
              <w:t> </w:t>
            </w:r>
            <w:r w:rsidRPr="009F0CAB">
              <w:t>gadu. VARAM 2020.</w:t>
            </w:r>
            <w:r w:rsidRPr="009F0CAB">
              <w:rPr>
                <w:i/>
                <w:iCs/>
              </w:rPr>
              <w:t> </w:t>
            </w:r>
            <w:r w:rsidRPr="009F0CAB">
              <w:t>gada 2.</w:t>
            </w:r>
            <w:r w:rsidRPr="009F0CAB">
              <w:rPr>
                <w:i/>
                <w:iCs/>
              </w:rPr>
              <w:t> </w:t>
            </w:r>
            <w:r w:rsidRPr="009F0CAB">
              <w:t xml:space="preserve">novembrī nosūtīja vēstuli Nr. 4-4/9736, kurā lūdza Finanšu ministrijai nākamajā pusgada informatīvajā ziņojumā par Kohēzijas politikas Eiropas Savienības fondu investīciju aktualitātēm iekļaut iepriekš minēto Tieslietu ministrijas skaidrojumu, vienlaikus Ministru </w:t>
            </w:r>
            <w:r w:rsidRPr="009F0CAB">
              <w:lastRenderedPageBreak/>
              <w:t xml:space="preserve">kabineta </w:t>
            </w:r>
            <w:proofErr w:type="spellStart"/>
            <w:r w:rsidRPr="009F0CAB">
              <w:t>protokollēmuma</w:t>
            </w:r>
            <w:proofErr w:type="spellEnd"/>
            <w:r w:rsidRPr="009F0CAB">
              <w:t xml:space="preserve"> projektā iekļaujot priekšlikumu attiecībā uz Projektu piemērot Ministru kabineta 2014.</w:t>
            </w:r>
            <w:r w:rsidRPr="009F0CAB">
              <w:rPr>
                <w:i/>
                <w:iCs/>
              </w:rPr>
              <w:t> </w:t>
            </w:r>
            <w:r w:rsidRPr="009F0CAB">
              <w:t>gada 16.</w:t>
            </w:r>
            <w:r w:rsidRPr="009F0CAB">
              <w:rPr>
                <w:i/>
                <w:iCs/>
              </w:rPr>
              <w:t> </w:t>
            </w:r>
            <w:r w:rsidRPr="009F0CAB">
              <w:t>decembra noteikumu Nr.</w:t>
            </w:r>
            <w:r w:rsidRPr="009F0CAB">
              <w:rPr>
                <w:i/>
                <w:iCs/>
              </w:rPr>
              <w:t> </w:t>
            </w:r>
            <w:r w:rsidRPr="009F0CAB">
              <w:t>784 51.</w:t>
            </w:r>
            <w:r w:rsidRPr="009F0CAB">
              <w:rPr>
                <w:vertAlign w:val="superscript"/>
              </w:rPr>
              <w:t xml:space="preserve">4 </w:t>
            </w:r>
            <w:r w:rsidRPr="009F0CAB">
              <w:t>7.</w:t>
            </w:r>
            <w:r w:rsidRPr="009F0CAB">
              <w:rPr>
                <w:i/>
                <w:iCs/>
              </w:rPr>
              <w:t> </w:t>
            </w:r>
            <w:r w:rsidRPr="009F0CAB">
              <w:t>apakšpunktā noteikto izņēmumu.</w:t>
            </w:r>
          </w:p>
          <w:p w14:paraId="4584FE72" w14:textId="77777777" w:rsidR="008B2F95" w:rsidRPr="009F0CAB" w:rsidRDefault="008B2F95" w:rsidP="00DB2EEF">
            <w:pPr>
              <w:jc w:val="both"/>
            </w:pPr>
            <w:r w:rsidRPr="009F0CAB">
              <w:t>Ņemot vērā to, ka Projektā finansējums nepieciešams projekta rezultātu un mērķu sasniegšanai 2021.</w:t>
            </w:r>
            <w:r w:rsidRPr="009F0CAB">
              <w:rPr>
                <w:i/>
                <w:iCs/>
              </w:rPr>
              <w:t> </w:t>
            </w:r>
            <w:r w:rsidRPr="009F0CAB">
              <w:t xml:space="preserve">gada ietvaros, </w:t>
            </w:r>
            <w:r w:rsidRPr="009F0CAB">
              <w:rPr>
                <w:u w:val="single"/>
              </w:rPr>
              <w:t xml:space="preserve">lūdzam </w:t>
            </w:r>
            <w:proofErr w:type="spellStart"/>
            <w:r w:rsidRPr="009F0CAB">
              <w:rPr>
                <w:u w:val="single"/>
              </w:rPr>
              <w:t>protokollēmuma</w:t>
            </w:r>
            <w:proofErr w:type="spellEnd"/>
            <w:r w:rsidRPr="009F0CAB">
              <w:rPr>
                <w:u w:val="single"/>
              </w:rPr>
              <w:t xml:space="preserve"> projektā iekļaut priekšlikumu - Projektam piemērot Ministru kabineta 2014.</w:t>
            </w:r>
            <w:r w:rsidRPr="009F0CAB">
              <w:rPr>
                <w:i/>
                <w:iCs/>
                <w:u w:val="single"/>
              </w:rPr>
              <w:t> </w:t>
            </w:r>
            <w:r w:rsidRPr="009F0CAB">
              <w:rPr>
                <w:u w:val="single"/>
              </w:rPr>
              <w:t>gada 16.</w:t>
            </w:r>
            <w:r w:rsidRPr="009F0CAB">
              <w:rPr>
                <w:i/>
                <w:iCs/>
                <w:u w:val="single"/>
              </w:rPr>
              <w:t> </w:t>
            </w:r>
            <w:r w:rsidRPr="009F0CAB">
              <w:rPr>
                <w:u w:val="single"/>
              </w:rPr>
              <w:t>decembra noteikumu Nr. 784  51.</w:t>
            </w:r>
            <w:r w:rsidRPr="009F0CAB">
              <w:rPr>
                <w:u w:val="single"/>
                <w:vertAlign w:val="superscript"/>
              </w:rPr>
              <w:t xml:space="preserve">4 </w:t>
            </w:r>
            <w:r w:rsidRPr="009F0CAB">
              <w:rPr>
                <w:u w:val="single"/>
              </w:rPr>
              <w:t>7. apakšpunktā noteikto izņēmumu.</w:t>
            </w:r>
          </w:p>
          <w:p w14:paraId="3DB90269" w14:textId="1F8F50D8" w:rsidR="008B2F95" w:rsidRPr="009F0CAB" w:rsidRDefault="008B2F95" w:rsidP="00DB2EEF">
            <w:pPr>
              <w:ind w:firstLine="709"/>
              <w:jc w:val="both"/>
            </w:pPr>
          </w:p>
        </w:tc>
        <w:tc>
          <w:tcPr>
            <w:tcW w:w="4222" w:type="dxa"/>
            <w:gridSpan w:val="2"/>
            <w:tcBorders>
              <w:left w:val="single" w:sz="6" w:space="0" w:color="000000"/>
              <w:bottom w:val="single" w:sz="4" w:space="0" w:color="auto"/>
              <w:right w:val="single" w:sz="6" w:space="0" w:color="000000"/>
            </w:tcBorders>
            <w:shd w:val="clear" w:color="auto" w:fill="auto"/>
          </w:tcPr>
          <w:p w14:paraId="388B6DFB" w14:textId="77777777" w:rsidR="00B440CF" w:rsidRPr="009F0CAB" w:rsidRDefault="00762C30" w:rsidP="00DB2EEF">
            <w:pPr>
              <w:pStyle w:val="naisc"/>
              <w:spacing w:before="0" w:after="0"/>
              <w:jc w:val="both"/>
            </w:pPr>
            <w:r w:rsidRPr="009F0CAB">
              <w:rPr>
                <w:b/>
              </w:rPr>
              <w:lastRenderedPageBreak/>
              <w:t>Ņemts vērā pēc būtības</w:t>
            </w:r>
            <w:r w:rsidRPr="009F0CAB">
              <w:t>.</w:t>
            </w:r>
          </w:p>
          <w:p w14:paraId="7D9E4617" w14:textId="79AD5057" w:rsidR="008B2F95" w:rsidRPr="009F0CAB" w:rsidRDefault="00762C30" w:rsidP="00DB2EEF">
            <w:pPr>
              <w:pStyle w:val="naisc"/>
              <w:spacing w:before="0" w:after="0"/>
              <w:jc w:val="both"/>
              <w:rPr>
                <w:highlight w:val="yellow"/>
              </w:rPr>
            </w:pPr>
            <w:r w:rsidRPr="009F0CAB">
              <w:t>Informatīvais ziņojums papildināts ar vispārīgu informāciju par gadījumiem, par kuriem jālemj MK ar atsauci uz pielikumiem ar detalizētu informāciju.</w:t>
            </w:r>
          </w:p>
        </w:tc>
        <w:tc>
          <w:tcPr>
            <w:tcW w:w="2733" w:type="dxa"/>
            <w:tcBorders>
              <w:top w:val="single" w:sz="4" w:space="0" w:color="auto"/>
              <w:left w:val="single" w:sz="4" w:space="0" w:color="auto"/>
              <w:bottom w:val="single" w:sz="4" w:space="0" w:color="auto"/>
            </w:tcBorders>
            <w:shd w:val="clear" w:color="auto" w:fill="auto"/>
          </w:tcPr>
          <w:p w14:paraId="3BF3D94A" w14:textId="40B2D3F1" w:rsidR="00FA062A" w:rsidRPr="009F0CAB" w:rsidRDefault="00762C30" w:rsidP="00DB2EEF">
            <w:pPr>
              <w:jc w:val="both"/>
            </w:pPr>
            <w:r w:rsidRPr="009F0CAB">
              <w:t xml:space="preserve">Skatīt precizētu informatīvā ziņojuma </w:t>
            </w:r>
            <w:r w:rsidRPr="009F0CAB">
              <w:rPr>
                <w:rFonts w:eastAsiaTheme="minorHAnsi"/>
              </w:rPr>
              <w:t>2. sadaļu</w:t>
            </w:r>
            <w:r w:rsidR="009B746F" w:rsidRPr="009F0CAB">
              <w:rPr>
                <w:rFonts w:eastAsiaTheme="minorHAnsi"/>
              </w:rPr>
              <w:t xml:space="preserve"> </w:t>
            </w:r>
            <w:r w:rsidR="009B746F" w:rsidRPr="009F0CAB">
              <w:t>„2014. - 2020. gada plānošanas perioda ES fondu īstenošana”</w:t>
            </w:r>
            <w:r w:rsidRPr="009F0CAB">
              <w:rPr>
                <w:rFonts w:eastAsiaTheme="minorHAnsi"/>
              </w:rPr>
              <w:t>,</w:t>
            </w:r>
            <w:r w:rsidRPr="009F0CAB">
              <w:t xml:space="preserve"> attiecīgos pielikumus un </w:t>
            </w:r>
            <w:r w:rsidRPr="009F0CAB">
              <w:rPr>
                <w:rFonts w:eastAsiaTheme="minorHAnsi"/>
              </w:rPr>
              <w:t xml:space="preserve"> </w:t>
            </w:r>
            <w:proofErr w:type="spellStart"/>
            <w:r w:rsidRPr="009F0CAB">
              <w:rPr>
                <w:rFonts w:eastAsiaTheme="minorHAnsi"/>
              </w:rPr>
              <w:t>protokollēmuma</w:t>
            </w:r>
            <w:proofErr w:type="spellEnd"/>
            <w:r w:rsidRPr="009F0CAB">
              <w:rPr>
                <w:rFonts w:eastAsiaTheme="minorHAnsi"/>
              </w:rPr>
              <w:t xml:space="preserve"> projekta 5. punktu.</w:t>
            </w:r>
          </w:p>
        </w:tc>
      </w:tr>
      <w:tr w:rsidR="009F0CAB" w:rsidRPr="009F0CAB" w14:paraId="6B0B4DA7" w14:textId="77777777" w:rsidTr="007F29E6">
        <w:trPr>
          <w:trHeight w:val="329"/>
        </w:trPr>
        <w:tc>
          <w:tcPr>
            <w:tcW w:w="993" w:type="dxa"/>
            <w:tcBorders>
              <w:left w:val="single" w:sz="6" w:space="0" w:color="000000"/>
              <w:bottom w:val="single" w:sz="4" w:space="0" w:color="auto"/>
              <w:right w:val="single" w:sz="6" w:space="0" w:color="000000"/>
            </w:tcBorders>
          </w:tcPr>
          <w:p w14:paraId="523773BF" w14:textId="77777777" w:rsidR="00FA062A" w:rsidRPr="009F0CAB" w:rsidRDefault="00FA062A" w:rsidP="00DB2EEF">
            <w:pPr>
              <w:pStyle w:val="naisc"/>
              <w:numPr>
                <w:ilvl w:val="0"/>
                <w:numId w:val="2"/>
              </w:numPr>
              <w:tabs>
                <w:tab w:val="left" w:pos="327"/>
              </w:tabs>
              <w:spacing w:before="0" w:after="0"/>
              <w:ind w:left="0" w:firstLine="0"/>
              <w:jc w:val="both"/>
            </w:pPr>
          </w:p>
        </w:tc>
        <w:tc>
          <w:tcPr>
            <w:tcW w:w="2146" w:type="dxa"/>
            <w:tcBorders>
              <w:left w:val="single" w:sz="6" w:space="0" w:color="000000"/>
              <w:bottom w:val="single" w:sz="4" w:space="0" w:color="auto"/>
              <w:right w:val="single" w:sz="6" w:space="0" w:color="000000"/>
            </w:tcBorders>
          </w:tcPr>
          <w:p w14:paraId="346046AC" w14:textId="6B1399E0" w:rsidR="00FA062A" w:rsidRPr="009F0CAB" w:rsidRDefault="00FA062A" w:rsidP="00DB2EEF">
            <w:pPr>
              <w:pStyle w:val="naisc"/>
              <w:spacing w:before="0" w:after="0"/>
              <w:jc w:val="both"/>
              <w:rPr>
                <w:rFonts w:eastAsia="Calibri"/>
                <w:lang w:eastAsia="en-US"/>
              </w:rPr>
            </w:pPr>
            <w:r w:rsidRPr="009F0CAB">
              <w:t>Informatīvā ziņojuma 3.sadaļa “</w:t>
            </w:r>
            <w:r w:rsidRPr="009F0CAB">
              <w:rPr>
                <w:iCs/>
              </w:rPr>
              <w:t xml:space="preserve">EEZ/Norvēģijas </w:t>
            </w:r>
            <w:proofErr w:type="spellStart"/>
            <w:r w:rsidRPr="009F0CAB">
              <w:rPr>
                <w:iCs/>
              </w:rPr>
              <w:t>grantu</w:t>
            </w:r>
            <w:proofErr w:type="spellEnd"/>
            <w:r w:rsidRPr="009F0CAB">
              <w:rPr>
                <w:iCs/>
              </w:rPr>
              <w:t xml:space="preserve"> investīciju progress</w:t>
            </w:r>
            <w:r w:rsidRPr="009F0CAB">
              <w:rPr>
                <w:iCs/>
                <w:vertAlign w:val="superscript"/>
              </w:rPr>
              <w:t>57</w:t>
            </w:r>
            <w:r w:rsidRPr="009F0CAB">
              <w:t xml:space="preserve">” tabula Nr. 2. </w:t>
            </w:r>
          </w:p>
        </w:tc>
        <w:tc>
          <w:tcPr>
            <w:tcW w:w="4224" w:type="dxa"/>
            <w:gridSpan w:val="2"/>
            <w:tcBorders>
              <w:left w:val="single" w:sz="6" w:space="0" w:color="000000"/>
              <w:bottom w:val="single" w:sz="4" w:space="0" w:color="auto"/>
              <w:right w:val="single" w:sz="6" w:space="0" w:color="000000"/>
            </w:tcBorders>
            <w:shd w:val="clear" w:color="auto" w:fill="auto"/>
          </w:tcPr>
          <w:p w14:paraId="37843991" w14:textId="2FAA775C" w:rsidR="00FA062A" w:rsidRPr="009F0CAB" w:rsidRDefault="00FA062A" w:rsidP="00DB2EEF">
            <w:pPr>
              <w:widowControl w:val="0"/>
              <w:jc w:val="both"/>
              <w:rPr>
                <w:b/>
              </w:rPr>
            </w:pPr>
            <w:r w:rsidRPr="009F0CAB">
              <w:rPr>
                <w:b/>
              </w:rPr>
              <w:t>Iebildums</w:t>
            </w:r>
          </w:p>
          <w:p w14:paraId="7CAC4844" w14:textId="77777777" w:rsidR="00FA062A" w:rsidRPr="009F0CAB" w:rsidRDefault="00FA062A" w:rsidP="00DB2EEF">
            <w:pPr>
              <w:widowControl w:val="0"/>
              <w:spacing w:after="240"/>
              <w:jc w:val="both"/>
              <w:rPr>
                <w:b/>
              </w:rPr>
            </w:pPr>
            <w:r w:rsidRPr="009F0CAB">
              <w:rPr>
                <w:b/>
              </w:rPr>
              <w:t>VARAM</w:t>
            </w:r>
          </w:p>
          <w:p w14:paraId="6C83F79E" w14:textId="28DDA3DB" w:rsidR="00FA062A" w:rsidRPr="009F0CAB" w:rsidRDefault="00FA062A" w:rsidP="00DB2EEF">
            <w:pPr>
              <w:tabs>
                <w:tab w:val="right" w:pos="2127"/>
                <w:tab w:val="left" w:pos="2410"/>
                <w:tab w:val="right" w:leader="underscore" w:pos="4820"/>
              </w:tabs>
              <w:jc w:val="both"/>
            </w:pPr>
            <w:r w:rsidRPr="009F0CAB">
              <w:t>Lūdzam precizēt informatīvā ziņojuma 3.sadaļas “</w:t>
            </w:r>
            <w:r w:rsidRPr="009F0CAB">
              <w:rPr>
                <w:iCs/>
              </w:rPr>
              <w:t xml:space="preserve">EEZ/Norvēģijas </w:t>
            </w:r>
            <w:proofErr w:type="spellStart"/>
            <w:r w:rsidRPr="009F0CAB">
              <w:rPr>
                <w:iCs/>
              </w:rPr>
              <w:t>grantu</w:t>
            </w:r>
            <w:proofErr w:type="spellEnd"/>
            <w:r w:rsidRPr="009F0CAB">
              <w:rPr>
                <w:iCs/>
              </w:rPr>
              <w:t xml:space="preserve"> investīciju progress</w:t>
            </w:r>
            <w:r w:rsidRPr="009F0CAB">
              <w:rPr>
                <w:iCs/>
                <w:vertAlign w:val="superscript"/>
              </w:rPr>
              <w:t>57</w:t>
            </w:r>
            <w:r w:rsidRPr="009F0CAB">
              <w:t>” tabulas Nr. 2. “</w:t>
            </w:r>
            <w:r w:rsidRPr="009F0CAB">
              <w:rPr>
                <w:iCs/>
              </w:rPr>
              <w:t xml:space="preserve">EEZ/Norvēģijas </w:t>
            </w:r>
            <w:proofErr w:type="spellStart"/>
            <w:r w:rsidRPr="009F0CAB">
              <w:rPr>
                <w:iCs/>
              </w:rPr>
              <w:t>grantu</w:t>
            </w:r>
            <w:proofErr w:type="spellEnd"/>
            <w:r w:rsidRPr="009F0CAB">
              <w:rPr>
                <w:iCs/>
              </w:rPr>
              <w:t xml:space="preserve"> konkursu rezultāti līdz 2021. gada februārim, </w:t>
            </w:r>
            <w:proofErr w:type="spellStart"/>
            <w:r w:rsidRPr="009F0CAB">
              <w:rPr>
                <w:iCs/>
              </w:rPr>
              <w:t>donorvalstu</w:t>
            </w:r>
            <w:proofErr w:type="spellEnd"/>
            <w:r w:rsidRPr="009F0CAB">
              <w:rPr>
                <w:iCs/>
              </w:rPr>
              <w:t xml:space="preserve"> finansējums 85% un valsts budžeta līdzfinansējums 15%, milj. </w:t>
            </w:r>
            <w:proofErr w:type="spellStart"/>
            <w:r w:rsidRPr="009F0CAB">
              <w:rPr>
                <w:iCs/>
              </w:rPr>
              <w:t>euro</w:t>
            </w:r>
            <w:proofErr w:type="spellEnd"/>
            <w:r w:rsidRPr="009F0CAB">
              <w:t>” 3.kolonnas nosaukumu, aizstājot vārdu “</w:t>
            </w:r>
            <w:r w:rsidRPr="009F0CAB">
              <w:rPr>
                <w:i/>
                <w:iCs/>
              </w:rPr>
              <w:t>projektu</w:t>
            </w:r>
            <w:r w:rsidRPr="009F0CAB">
              <w:t>” ar vārdu “</w:t>
            </w:r>
            <w:r w:rsidRPr="009F0CAB">
              <w:rPr>
                <w:i/>
                <w:iCs/>
              </w:rPr>
              <w:t>iesniegumu</w:t>
            </w:r>
            <w:r w:rsidRPr="009F0CAB">
              <w:t>”</w:t>
            </w:r>
          </w:p>
        </w:tc>
        <w:tc>
          <w:tcPr>
            <w:tcW w:w="4222" w:type="dxa"/>
            <w:gridSpan w:val="2"/>
            <w:tcBorders>
              <w:left w:val="single" w:sz="6" w:space="0" w:color="000000"/>
              <w:bottom w:val="single" w:sz="4" w:space="0" w:color="auto"/>
              <w:right w:val="single" w:sz="6" w:space="0" w:color="000000"/>
            </w:tcBorders>
            <w:shd w:val="clear" w:color="auto" w:fill="auto"/>
          </w:tcPr>
          <w:p w14:paraId="1DBF5F03" w14:textId="43D1B1B6" w:rsidR="001A0FD1" w:rsidRPr="009F0CAB" w:rsidRDefault="001A0FD1" w:rsidP="00DB2EEF">
            <w:pPr>
              <w:pStyle w:val="naisc"/>
              <w:spacing w:before="0" w:after="0"/>
              <w:jc w:val="both"/>
              <w:rPr>
                <w:b/>
                <w:bCs/>
              </w:rPr>
            </w:pPr>
            <w:r w:rsidRPr="009F0CAB">
              <w:rPr>
                <w:b/>
                <w:bCs/>
              </w:rPr>
              <w:t>Ņemts vērā.</w:t>
            </w:r>
          </w:p>
        </w:tc>
        <w:tc>
          <w:tcPr>
            <w:tcW w:w="2733" w:type="dxa"/>
            <w:tcBorders>
              <w:top w:val="single" w:sz="4" w:space="0" w:color="auto"/>
              <w:left w:val="single" w:sz="4" w:space="0" w:color="auto"/>
              <w:bottom w:val="single" w:sz="4" w:space="0" w:color="auto"/>
            </w:tcBorders>
            <w:shd w:val="clear" w:color="auto" w:fill="auto"/>
          </w:tcPr>
          <w:p w14:paraId="6549037B" w14:textId="091B5DE2" w:rsidR="00FA062A" w:rsidRPr="009F0CAB" w:rsidRDefault="001A0FD1" w:rsidP="00DB2EEF">
            <w:pPr>
              <w:jc w:val="both"/>
            </w:pPr>
            <w:r w:rsidRPr="009F0CAB">
              <w:t>Precizēta tabula.</w:t>
            </w:r>
          </w:p>
        </w:tc>
      </w:tr>
      <w:tr w:rsidR="009F0CAB" w:rsidRPr="009F0CAB" w14:paraId="09D21941" w14:textId="77777777" w:rsidTr="007F29E6">
        <w:trPr>
          <w:trHeight w:val="329"/>
        </w:trPr>
        <w:tc>
          <w:tcPr>
            <w:tcW w:w="993" w:type="dxa"/>
            <w:tcBorders>
              <w:left w:val="single" w:sz="6" w:space="0" w:color="000000"/>
              <w:bottom w:val="single" w:sz="4" w:space="0" w:color="auto"/>
              <w:right w:val="single" w:sz="6" w:space="0" w:color="000000"/>
            </w:tcBorders>
          </w:tcPr>
          <w:p w14:paraId="7E720C95" w14:textId="77777777" w:rsidR="009B746F" w:rsidRPr="009F0CAB" w:rsidRDefault="009B746F" w:rsidP="009B746F">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7859B8DF" w14:textId="5AD91CC5" w:rsidR="009B746F" w:rsidRPr="009F0CAB" w:rsidRDefault="009B746F" w:rsidP="00DB2EEF">
            <w:pPr>
              <w:pStyle w:val="naisc"/>
              <w:spacing w:before="0" w:after="0"/>
              <w:jc w:val="both"/>
            </w:pPr>
            <w:r w:rsidRPr="009F0CAB">
              <w:rPr>
                <w:rFonts w:eastAsia="Calibri"/>
                <w:lang w:eastAsia="en-US"/>
              </w:rPr>
              <w:t>Informatīvā ziņojuma 4. sadaļa “ES fondu 2021.–2027. gada plānošanas periods”</w:t>
            </w:r>
          </w:p>
        </w:tc>
        <w:tc>
          <w:tcPr>
            <w:tcW w:w="4224" w:type="dxa"/>
            <w:gridSpan w:val="2"/>
            <w:tcBorders>
              <w:left w:val="single" w:sz="6" w:space="0" w:color="000000"/>
              <w:bottom w:val="single" w:sz="4" w:space="0" w:color="auto"/>
              <w:right w:val="single" w:sz="6" w:space="0" w:color="000000"/>
            </w:tcBorders>
            <w:shd w:val="clear" w:color="auto" w:fill="auto"/>
          </w:tcPr>
          <w:p w14:paraId="1A63111F" w14:textId="6B11E91E" w:rsidR="009B746F" w:rsidRPr="009F0CAB" w:rsidRDefault="009B746F" w:rsidP="00DB2EEF">
            <w:pPr>
              <w:tabs>
                <w:tab w:val="right" w:pos="2127"/>
                <w:tab w:val="left" w:pos="2410"/>
                <w:tab w:val="right" w:leader="underscore" w:pos="4820"/>
              </w:tabs>
              <w:jc w:val="both"/>
              <w:rPr>
                <w:b/>
              </w:rPr>
            </w:pPr>
            <w:r w:rsidRPr="009F0CAB">
              <w:rPr>
                <w:b/>
              </w:rPr>
              <w:t>Iebildums</w:t>
            </w:r>
          </w:p>
          <w:p w14:paraId="63AD840D" w14:textId="4C1DCC95" w:rsidR="009B746F" w:rsidRPr="009F0CAB" w:rsidRDefault="009B746F" w:rsidP="00DB2EEF">
            <w:pPr>
              <w:tabs>
                <w:tab w:val="right" w:pos="2127"/>
                <w:tab w:val="left" w:pos="2410"/>
                <w:tab w:val="right" w:leader="underscore" w:pos="4820"/>
              </w:tabs>
              <w:spacing w:after="240"/>
              <w:jc w:val="both"/>
              <w:rPr>
                <w:b/>
              </w:rPr>
            </w:pPr>
            <w:r w:rsidRPr="009F0CAB">
              <w:rPr>
                <w:b/>
              </w:rPr>
              <w:t>VARAM</w:t>
            </w:r>
          </w:p>
          <w:p w14:paraId="2043FA41" w14:textId="7C69E2D2" w:rsidR="009B746F" w:rsidRPr="009F0CAB" w:rsidRDefault="009B746F" w:rsidP="00DB2EEF">
            <w:pPr>
              <w:tabs>
                <w:tab w:val="right" w:pos="2127"/>
                <w:tab w:val="left" w:pos="2410"/>
                <w:tab w:val="right" w:leader="underscore" w:pos="4820"/>
              </w:tabs>
              <w:jc w:val="both"/>
            </w:pPr>
            <w:r w:rsidRPr="009F0CAB">
              <w:t>Lūdzam papildināt informatīvā ziņojuma 4.sadaļu “</w:t>
            </w:r>
            <w:r w:rsidRPr="009F0CAB">
              <w:rPr>
                <w:iCs/>
              </w:rPr>
              <w:t>Investīcijas 2021. - 2027. gada plānošanas periodā</w:t>
            </w:r>
            <w:r w:rsidRPr="009F0CAB">
              <w:t xml:space="preserve">” ar informāciju par Taisnīgas pārkārtošanās teritoriālā plāna </w:t>
            </w:r>
            <w:r w:rsidRPr="009F0CAB">
              <w:lastRenderedPageBreak/>
              <w:t xml:space="preserve">izstrādi, izsakot minētās sadaļas 1.rindkopu šādā redakcijā: </w:t>
            </w:r>
          </w:p>
          <w:p w14:paraId="6AE4596A" w14:textId="708C28E7" w:rsidR="009B746F" w:rsidRPr="009F0CAB" w:rsidRDefault="009B746F" w:rsidP="00DB2EEF">
            <w:pPr>
              <w:widowControl w:val="0"/>
              <w:spacing w:after="240"/>
              <w:jc w:val="both"/>
              <w:rPr>
                <w:b/>
              </w:rPr>
            </w:pPr>
            <w:r w:rsidRPr="009F0CAB">
              <w:t>“</w:t>
            </w:r>
            <w:r w:rsidRPr="009F0CAB">
              <w:rPr>
                <w:i/>
                <w:iCs/>
              </w:rPr>
              <w:t>Sadarbībā ar atbildīgajām nozaru ministrijām joprojām norit darbs pie ES fondu 2021. – 2027. gada plānošanas perioda darbības programmas izstrādes. 2020. gadā otrajā pusē notikušas atkārtotas diskusijas ar EK par plānotajām investīcijām. Lai nodrošinātu sabiedrības līdzdalību FM no 2020. gada 10. augusta līdz 10. septembrim organizēja darbības programmas publisko apspriešanu, kuras ietvaros notika arī tiešsaistes diskusijas par katru politikas mērķi, iepazīstinot sociālos un sadarbības partnerus un sabiedrību ar plānotajām investīcijām. Vienlaikus notiek darbs pie darbības programmā paredzēto</w:t>
            </w:r>
            <w:r w:rsidRPr="009F0CAB">
              <w:rPr>
                <w:i/>
                <w:iCs/>
                <w:vertAlign w:val="superscript"/>
              </w:rPr>
              <w:t>66</w:t>
            </w:r>
            <w:r w:rsidRPr="009F0CAB">
              <w:rPr>
                <w:i/>
                <w:iCs/>
              </w:rPr>
              <w:t xml:space="preserve"> Taisnīgās pārkārtošanās fonda investīciju ieviešanas sagatavošanas, lai atbalstītu reģionus, ko ietekmēs pāreja uz </w:t>
            </w:r>
            <w:proofErr w:type="spellStart"/>
            <w:r w:rsidRPr="009F0CAB">
              <w:rPr>
                <w:i/>
                <w:iCs/>
              </w:rPr>
              <w:t>klimatneitralitāti</w:t>
            </w:r>
            <w:proofErr w:type="spellEnd"/>
            <w:r w:rsidRPr="009F0CAB">
              <w:rPr>
                <w:i/>
                <w:iCs/>
              </w:rPr>
              <w:t>.  Sociālie partneri, plānošanas reģioni un pašvaldību organizācijas piedalās VARAM izveidotajā Taisnīgas pārkārtošanās teritoriālā plāna</w:t>
            </w:r>
            <w:r w:rsidRPr="009F0CAB">
              <w:rPr>
                <w:i/>
                <w:iCs/>
                <w:vertAlign w:val="superscript"/>
              </w:rPr>
              <w:t>67</w:t>
            </w:r>
            <w:r w:rsidRPr="009F0CAB">
              <w:rPr>
                <w:i/>
                <w:iCs/>
              </w:rPr>
              <w:t xml:space="preserve"> izstrādes darba grupā, 2020.gada 26.novembrī notika diskusijas ES fondu Uzraudzības komitejā (apakškomitejas formātā) un 2020.gada decembrī notika plāna projekta sabiedriskā apspriešana. Taisnīgas pārkārtošanās teritoriālais plāns tiks iekļauts darbības programmā </w:t>
            </w:r>
            <w:r w:rsidRPr="009F0CAB">
              <w:rPr>
                <w:i/>
                <w:iCs/>
              </w:rPr>
              <w:lastRenderedPageBreak/>
              <w:t>kā viens no investīcijas un transformācijas virzienus pamatojošiem pielikumiem. Savukārt 2021. gada 7. janvārī notika FM organizētā tematiskā diskusija, lai ar sociālajiem un sadarbības partneriem, t.sk. nozares ekspertiem</w:t>
            </w:r>
            <w:r w:rsidRPr="009F0CAB">
              <w:rPr>
                <w:i/>
                <w:iCs/>
                <w:vertAlign w:val="superscript"/>
              </w:rPr>
              <w:t>68</w:t>
            </w:r>
            <w:r w:rsidRPr="009F0CAB">
              <w:rPr>
                <w:i/>
                <w:iCs/>
              </w:rPr>
              <w:t>, pārrunātu Finanšu instrumentu sākotnējo (tirgus nepilnību) novērtējumu un ieguldījumus finanšu instrumentu veidā ES fondu 2021. – 2027.gada plānošanas periodā</w:t>
            </w:r>
            <w:r w:rsidRPr="009F0CAB">
              <w:rPr>
                <w:i/>
                <w:iCs/>
                <w:vertAlign w:val="superscript"/>
              </w:rPr>
              <w:t>69</w:t>
            </w:r>
            <w:r w:rsidRPr="009F0CAB">
              <w:t xml:space="preserve">.                       </w:t>
            </w:r>
            <w:r w:rsidRPr="009F0CAB">
              <w:rPr>
                <w:b/>
              </w:rPr>
              <w:t>________________________</w:t>
            </w:r>
          </w:p>
          <w:p w14:paraId="5547347D" w14:textId="77777777" w:rsidR="009B746F" w:rsidRPr="009F0CAB" w:rsidRDefault="009B746F" w:rsidP="00DB2EEF">
            <w:pPr>
              <w:pStyle w:val="ListParagraph"/>
              <w:tabs>
                <w:tab w:val="right" w:pos="2127"/>
                <w:tab w:val="left" w:pos="2410"/>
                <w:tab w:val="right" w:leader="underscore" w:pos="4820"/>
              </w:tabs>
              <w:spacing w:after="0" w:line="240" w:lineRule="auto"/>
              <w:ind w:left="296"/>
              <w:jc w:val="both"/>
              <w:rPr>
                <w:rFonts w:ascii="Times New Roman" w:hAnsi="Times New Roman"/>
                <w:i/>
                <w:sz w:val="24"/>
                <w:szCs w:val="24"/>
              </w:rPr>
            </w:pPr>
            <w:r w:rsidRPr="009F0CAB">
              <w:rPr>
                <w:rFonts w:ascii="Times New Roman" w:hAnsi="Times New Roman"/>
                <w:i/>
                <w:sz w:val="24"/>
                <w:szCs w:val="24"/>
                <w:vertAlign w:val="superscript"/>
              </w:rPr>
              <w:t>66</w:t>
            </w:r>
            <w:r w:rsidRPr="009F0CAB">
              <w:rPr>
                <w:rFonts w:ascii="Times New Roman" w:hAnsi="Times New Roman"/>
                <w:i/>
                <w:sz w:val="24"/>
                <w:szCs w:val="24"/>
              </w:rPr>
              <w:t xml:space="preserve">Taisnīgas pārkārtošanās fonda investīciju pasākumu ieviešana tiek plānota darbības programmas 6. politikas mērķa “Pāreja uz </w:t>
            </w:r>
            <w:proofErr w:type="spellStart"/>
            <w:r w:rsidRPr="009F0CAB">
              <w:rPr>
                <w:rFonts w:ascii="Times New Roman" w:hAnsi="Times New Roman"/>
                <w:i/>
                <w:sz w:val="24"/>
                <w:szCs w:val="24"/>
              </w:rPr>
              <w:t>klimatneitralitāti</w:t>
            </w:r>
            <w:proofErr w:type="spellEnd"/>
            <w:r w:rsidRPr="009F0CAB">
              <w:rPr>
                <w:rFonts w:ascii="Times New Roman" w:hAnsi="Times New Roman"/>
                <w:i/>
                <w:sz w:val="24"/>
                <w:szCs w:val="24"/>
              </w:rPr>
              <w:t xml:space="preserve">" 6.1.1.specifiskā atbalsta mērķa “Pārejas uz </w:t>
            </w:r>
            <w:proofErr w:type="spellStart"/>
            <w:r w:rsidRPr="009F0CAB">
              <w:rPr>
                <w:rFonts w:ascii="Times New Roman" w:hAnsi="Times New Roman"/>
                <w:i/>
                <w:sz w:val="24"/>
                <w:szCs w:val="24"/>
              </w:rPr>
              <w:t>klimatneitralitāti</w:t>
            </w:r>
            <w:proofErr w:type="spellEnd"/>
            <w:r w:rsidRPr="009F0CAB">
              <w:rPr>
                <w:rFonts w:ascii="Times New Roman" w:hAnsi="Times New Roman"/>
                <w:i/>
                <w:sz w:val="24"/>
                <w:szCs w:val="24"/>
              </w:rPr>
              <w:t xml:space="preserve"> radīto ekonomisko, sociālo un vides seku mazināšana visvairāk skartajos reģionos” ietvaros.</w:t>
            </w:r>
          </w:p>
          <w:p w14:paraId="25162FE2" w14:textId="05DC5A5E" w:rsidR="009B746F" w:rsidRPr="009F0CAB" w:rsidRDefault="009B746F" w:rsidP="00DB2EEF">
            <w:pPr>
              <w:pStyle w:val="ListParagraph"/>
              <w:tabs>
                <w:tab w:val="right" w:pos="2127"/>
                <w:tab w:val="left" w:pos="2410"/>
                <w:tab w:val="right" w:leader="underscore" w:pos="4820"/>
              </w:tabs>
              <w:spacing w:after="0" w:line="240" w:lineRule="auto"/>
              <w:ind w:left="296"/>
              <w:jc w:val="both"/>
              <w:rPr>
                <w:rFonts w:ascii="Times New Roman" w:hAnsi="Times New Roman"/>
                <w:i/>
                <w:iCs/>
                <w:sz w:val="24"/>
                <w:szCs w:val="24"/>
              </w:rPr>
            </w:pPr>
            <w:r w:rsidRPr="009F0CAB">
              <w:rPr>
                <w:rFonts w:ascii="Times New Roman" w:hAnsi="Times New Roman"/>
                <w:i/>
                <w:iCs/>
                <w:sz w:val="24"/>
                <w:szCs w:val="24"/>
                <w:vertAlign w:val="superscript"/>
              </w:rPr>
              <w:t>67</w:t>
            </w:r>
            <w:r w:rsidRPr="009F0CAB">
              <w:rPr>
                <w:rFonts w:ascii="Times New Roman" w:hAnsi="Times New Roman"/>
                <w:i/>
                <w:iCs/>
                <w:sz w:val="24"/>
                <w:szCs w:val="24"/>
              </w:rPr>
              <w:t xml:space="preserve">Plāns tiek izstrādāts, jo tā sagatavošanu paredz Taisnīgas pārkārtošanās fonda regulas priekšlikuma (pieejams: https://eur-lex.europa.eu/legal-content/LV/TXT/?uri=CELEX:52020PC0022) 6. un 7. pants, kas nosaka to, ka Taisnīgas pārkārtošanās fonda investīcijas ir jāpamato taisnīgas pārkārtošanās teritoriālajā plānā, t.sk. Plānā ietvertajai informācijai </w:t>
            </w:r>
            <w:r w:rsidRPr="009F0CAB">
              <w:rPr>
                <w:rFonts w:ascii="Times New Roman" w:hAnsi="Times New Roman"/>
                <w:i/>
                <w:iCs/>
                <w:sz w:val="24"/>
                <w:szCs w:val="24"/>
              </w:rPr>
              <w:lastRenderedPageBreak/>
              <w:t>jāpamato to teritoriju noteikšanu, kuras pārkārtošanās process skars vissmagāk, kā arī attiecīgajam Plānam jābūt saskaņā ar dalībvalsts nacionālo enerģētikas un klimata plānu.”</w:t>
            </w:r>
          </w:p>
        </w:tc>
        <w:tc>
          <w:tcPr>
            <w:tcW w:w="4222" w:type="dxa"/>
            <w:gridSpan w:val="2"/>
            <w:tcBorders>
              <w:left w:val="single" w:sz="6" w:space="0" w:color="000000"/>
              <w:bottom w:val="single" w:sz="4" w:space="0" w:color="auto"/>
              <w:right w:val="single" w:sz="6" w:space="0" w:color="000000"/>
            </w:tcBorders>
            <w:shd w:val="clear" w:color="auto" w:fill="auto"/>
          </w:tcPr>
          <w:p w14:paraId="5F37C817" w14:textId="284DC6C6" w:rsidR="009B746F" w:rsidRPr="009F0CAB" w:rsidRDefault="009B746F" w:rsidP="00DB2EEF">
            <w:pPr>
              <w:pStyle w:val="naisc"/>
              <w:spacing w:before="0" w:after="0"/>
              <w:jc w:val="both"/>
              <w:rPr>
                <w:b/>
                <w:bCs/>
              </w:rPr>
            </w:pPr>
            <w:r w:rsidRPr="009F0CAB">
              <w:rPr>
                <w:b/>
                <w:bCs/>
              </w:rPr>
              <w:lastRenderedPageBreak/>
              <w:t>Ņemts vērā</w:t>
            </w:r>
            <w:r w:rsidR="00AD22CC">
              <w:rPr>
                <w:b/>
                <w:bCs/>
              </w:rPr>
              <w:t>.</w:t>
            </w:r>
          </w:p>
        </w:tc>
        <w:tc>
          <w:tcPr>
            <w:tcW w:w="2733" w:type="dxa"/>
            <w:tcBorders>
              <w:top w:val="single" w:sz="4" w:space="0" w:color="auto"/>
              <w:left w:val="single" w:sz="4" w:space="0" w:color="auto"/>
              <w:bottom w:val="single" w:sz="4" w:space="0" w:color="auto"/>
            </w:tcBorders>
            <w:shd w:val="clear" w:color="auto" w:fill="auto"/>
          </w:tcPr>
          <w:p w14:paraId="7A041622" w14:textId="36DFAAEA" w:rsidR="009B746F" w:rsidRPr="009F0CAB" w:rsidRDefault="009B746F" w:rsidP="00DB2EEF">
            <w:pPr>
              <w:jc w:val="both"/>
            </w:pPr>
            <w:r w:rsidRPr="009F0CAB">
              <w:t>Skatīt precizējumus informatīvā ziņojuma 4. sadaļā “Investīcijas 2021. – 2027. gada plānošanas periodā”</w:t>
            </w:r>
            <w:r w:rsidR="00DB2EEF">
              <w:t>.</w:t>
            </w:r>
          </w:p>
        </w:tc>
      </w:tr>
      <w:tr w:rsidR="009F0CAB" w:rsidRPr="009F0CAB" w14:paraId="47C5EDD0" w14:textId="77777777" w:rsidTr="007F29E6">
        <w:trPr>
          <w:trHeight w:val="329"/>
        </w:trPr>
        <w:tc>
          <w:tcPr>
            <w:tcW w:w="993" w:type="dxa"/>
            <w:tcBorders>
              <w:left w:val="single" w:sz="6" w:space="0" w:color="000000"/>
              <w:bottom w:val="single" w:sz="4" w:space="0" w:color="auto"/>
              <w:right w:val="single" w:sz="6" w:space="0" w:color="000000"/>
            </w:tcBorders>
          </w:tcPr>
          <w:p w14:paraId="6DAD988A" w14:textId="77777777" w:rsidR="009B746F" w:rsidRPr="009F0CAB" w:rsidRDefault="009B746F" w:rsidP="009B746F">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37C1D52D" w14:textId="53179ABA" w:rsidR="009B746F" w:rsidRPr="009F0CAB" w:rsidRDefault="009B746F" w:rsidP="00DB2EEF">
            <w:pPr>
              <w:pStyle w:val="naisc"/>
              <w:spacing w:before="0" w:after="0"/>
              <w:jc w:val="both"/>
              <w:rPr>
                <w:rFonts w:eastAsia="Calibri"/>
                <w:lang w:eastAsia="en-US"/>
              </w:rPr>
            </w:pPr>
            <w:r w:rsidRPr="009F0CAB">
              <w:rPr>
                <w:rFonts w:eastAsia="Calibri"/>
                <w:lang w:eastAsia="en-US"/>
              </w:rPr>
              <w:t>Informatīvā ziņojuma 4. sadaļa “ES fondu 2021.–2027. gada plānošanas periods”</w:t>
            </w:r>
          </w:p>
        </w:tc>
        <w:tc>
          <w:tcPr>
            <w:tcW w:w="4224" w:type="dxa"/>
            <w:gridSpan w:val="2"/>
            <w:tcBorders>
              <w:left w:val="single" w:sz="6" w:space="0" w:color="000000"/>
              <w:bottom w:val="single" w:sz="4" w:space="0" w:color="auto"/>
              <w:right w:val="single" w:sz="6" w:space="0" w:color="000000"/>
            </w:tcBorders>
            <w:shd w:val="clear" w:color="auto" w:fill="auto"/>
          </w:tcPr>
          <w:p w14:paraId="5A1DCE70" w14:textId="395A0CDB" w:rsidR="009B746F" w:rsidRPr="009F0CAB" w:rsidRDefault="009B746F" w:rsidP="00DB2EEF">
            <w:pPr>
              <w:tabs>
                <w:tab w:val="right" w:pos="2127"/>
                <w:tab w:val="left" w:pos="2410"/>
                <w:tab w:val="right" w:leader="underscore" w:pos="4820"/>
              </w:tabs>
              <w:jc w:val="both"/>
              <w:rPr>
                <w:b/>
              </w:rPr>
            </w:pPr>
            <w:r w:rsidRPr="009F0CAB">
              <w:rPr>
                <w:b/>
              </w:rPr>
              <w:t>Iebildums</w:t>
            </w:r>
          </w:p>
          <w:p w14:paraId="3EC0E084" w14:textId="77777777" w:rsidR="009B746F" w:rsidRPr="009F0CAB" w:rsidRDefault="009B746F" w:rsidP="00DB2EEF">
            <w:pPr>
              <w:tabs>
                <w:tab w:val="right" w:pos="2127"/>
                <w:tab w:val="left" w:pos="2410"/>
                <w:tab w:val="right" w:leader="underscore" w:pos="4820"/>
              </w:tabs>
              <w:spacing w:after="240"/>
              <w:jc w:val="both"/>
              <w:rPr>
                <w:b/>
              </w:rPr>
            </w:pPr>
            <w:r w:rsidRPr="009F0CAB">
              <w:rPr>
                <w:b/>
              </w:rPr>
              <w:t>VARAM</w:t>
            </w:r>
          </w:p>
          <w:p w14:paraId="51CFFF31" w14:textId="2F1ECE87" w:rsidR="009B746F" w:rsidRPr="009F0CAB" w:rsidRDefault="009B746F" w:rsidP="00DB2EEF">
            <w:pPr>
              <w:tabs>
                <w:tab w:val="right" w:pos="2127"/>
                <w:tab w:val="left" w:pos="2410"/>
                <w:tab w:val="right" w:leader="underscore" w:pos="4820"/>
              </w:tabs>
              <w:jc w:val="both"/>
              <w:rPr>
                <w:i/>
                <w:iCs/>
              </w:rPr>
            </w:pPr>
            <w:r w:rsidRPr="009F0CAB">
              <w:t>Lūdzam papildināt informatīvā ziņojuma 4.sadaļas “</w:t>
            </w:r>
            <w:r w:rsidRPr="009F0CAB">
              <w:rPr>
                <w:i/>
                <w:iCs/>
              </w:rPr>
              <w:t>Investīcijas 2021. - 2027. gada plānošanas periodā</w:t>
            </w:r>
            <w:r w:rsidRPr="009F0CAB">
              <w:t>” 3.rindkopu ar vārdu “</w:t>
            </w:r>
            <w:r w:rsidRPr="009F0CAB">
              <w:rPr>
                <w:i/>
                <w:iCs/>
              </w:rPr>
              <w:t>laika</w:t>
            </w:r>
            <w:r w:rsidRPr="009F0CAB">
              <w:t>” aiz vārdiem “</w:t>
            </w:r>
            <w:r w:rsidRPr="009F0CAB">
              <w:rPr>
                <w:i/>
                <w:iCs/>
              </w:rPr>
              <w:t>no tās atkarīga darbības programmas iesniegšana EK un tālākais</w:t>
            </w:r>
            <w:r w:rsidRPr="009F0CAB">
              <w:t>” un 7.rindkopu ar teikumu “</w:t>
            </w:r>
            <w:r w:rsidRPr="009F0CAB">
              <w:rPr>
                <w:i/>
                <w:iCs/>
              </w:rPr>
              <w:t>Vienlaikus Finanšu ministrijai sadarbībā ar nozaru ministrijām līdz 2021.gada 30.aprīlim uzdots veikt ANM plāna ieviešanas administratīvā sloga novērtējumu un sagatavot risinājumus papildu izmaksu segšanai</w:t>
            </w:r>
            <w:r w:rsidRPr="009F0CAB">
              <w:rPr>
                <w:i/>
                <w:iCs/>
                <w:vertAlign w:val="superscript"/>
              </w:rPr>
              <w:t>8</w:t>
            </w:r>
            <w:r w:rsidRPr="009F0CAB">
              <w:t xml:space="preserve"> aiz teikuma “</w:t>
            </w:r>
            <w:r w:rsidRPr="009F0CAB">
              <w:rPr>
                <w:i/>
                <w:iCs/>
              </w:rPr>
              <w:t>Attiecīgais regulējums Likumā par budžetu un finanšu vadību ļaus pēc iespējas operatīvāk izstrādāt nepieciešamo tiesisko regulējumu MK noteikumu veidā ANM pasākumu īstenošanai Latvijā</w:t>
            </w:r>
            <w:r w:rsidRPr="009F0CAB">
              <w:t>.”</w:t>
            </w:r>
            <w:r w:rsidRPr="009F0CAB">
              <w:rPr>
                <w:i/>
                <w:iCs/>
                <w:vertAlign w:val="superscript"/>
              </w:rPr>
              <w:t>.</w:t>
            </w:r>
            <w:r w:rsidRPr="009F0CAB">
              <w:t xml:space="preserve"> un zemsvītras atsauci .</w:t>
            </w:r>
          </w:p>
          <w:p w14:paraId="7BB22692" w14:textId="77777777" w:rsidR="009B746F" w:rsidRPr="009F0CAB" w:rsidRDefault="009B746F" w:rsidP="00DB2EEF">
            <w:pPr>
              <w:widowControl w:val="0"/>
              <w:spacing w:after="240"/>
              <w:jc w:val="both"/>
              <w:rPr>
                <w:b/>
              </w:rPr>
            </w:pPr>
            <w:r w:rsidRPr="009F0CAB">
              <w:rPr>
                <w:b/>
              </w:rPr>
              <w:t>________________________</w:t>
            </w:r>
          </w:p>
          <w:p w14:paraId="221C00AF" w14:textId="2F7C6D7E" w:rsidR="009B746F" w:rsidRPr="009F0CAB" w:rsidRDefault="009B746F" w:rsidP="00DB2EEF">
            <w:pPr>
              <w:pStyle w:val="ListParagraph"/>
              <w:tabs>
                <w:tab w:val="right" w:pos="2127"/>
                <w:tab w:val="left" w:pos="2410"/>
                <w:tab w:val="right" w:leader="underscore" w:pos="4820"/>
              </w:tabs>
              <w:spacing w:after="0" w:line="240" w:lineRule="auto"/>
              <w:ind w:left="0"/>
              <w:jc w:val="both"/>
              <w:rPr>
                <w:rFonts w:ascii="Times New Roman" w:hAnsi="Times New Roman"/>
                <w:sz w:val="24"/>
                <w:szCs w:val="24"/>
              </w:rPr>
            </w:pPr>
            <w:bookmarkStart w:id="6" w:name="_Hlk64291337"/>
            <w:r w:rsidRPr="009F0CAB">
              <w:rPr>
                <w:rFonts w:ascii="Times New Roman" w:hAnsi="Times New Roman"/>
                <w:i/>
                <w:iCs/>
                <w:sz w:val="24"/>
                <w:szCs w:val="24"/>
                <w:vertAlign w:val="superscript"/>
              </w:rPr>
              <w:t>80</w:t>
            </w:r>
            <w:r w:rsidRPr="009F0CAB">
              <w:rPr>
                <w:rFonts w:ascii="Times New Roman" w:hAnsi="Times New Roman"/>
                <w:i/>
                <w:iCs/>
                <w:sz w:val="24"/>
                <w:szCs w:val="24"/>
              </w:rPr>
              <w:t xml:space="preserve">MK 2021. gada 4.februāra sēdes </w:t>
            </w:r>
            <w:proofErr w:type="spellStart"/>
            <w:r w:rsidRPr="009F0CAB">
              <w:rPr>
                <w:rFonts w:ascii="Times New Roman" w:hAnsi="Times New Roman"/>
                <w:i/>
                <w:iCs/>
                <w:sz w:val="24"/>
                <w:szCs w:val="24"/>
              </w:rPr>
              <w:t>protokollēmuma</w:t>
            </w:r>
            <w:proofErr w:type="spellEnd"/>
            <w:r w:rsidRPr="009F0CAB">
              <w:rPr>
                <w:rFonts w:ascii="Times New Roman" w:hAnsi="Times New Roman"/>
                <w:i/>
                <w:iCs/>
                <w:sz w:val="24"/>
                <w:szCs w:val="24"/>
              </w:rPr>
              <w:t xml:space="preserve"> Nr.12, 27.§ “Informatīvais ziņojums "Par Eiropas Savienības Atveseļošanas un noturības mehānisma plāna projektu"” 10. punkts.”</w:t>
            </w:r>
            <w:r w:rsidRPr="009F0CAB">
              <w:rPr>
                <w:rFonts w:ascii="Times New Roman" w:hAnsi="Times New Roman"/>
                <w:sz w:val="24"/>
                <w:szCs w:val="24"/>
              </w:rPr>
              <w:t xml:space="preserve"> </w:t>
            </w:r>
            <w:bookmarkEnd w:id="6"/>
          </w:p>
        </w:tc>
        <w:tc>
          <w:tcPr>
            <w:tcW w:w="4222" w:type="dxa"/>
            <w:gridSpan w:val="2"/>
            <w:tcBorders>
              <w:left w:val="single" w:sz="6" w:space="0" w:color="000000"/>
              <w:bottom w:val="single" w:sz="4" w:space="0" w:color="auto"/>
              <w:right w:val="single" w:sz="6" w:space="0" w:color="000000"/>
            </w:tcBorders>
            <w:shd w:val="clear" w:color="auto" w:fill="auto"/>
          </w:tcPr>
          <w:p w14:paraId="2752EB2E" w14:textId="6427D2F1" w:rsidR="009B746F" w:rsidRPr="009F0CAB" w:rsidRDefault="009B746F" w:rsidP="00DB2EEF">
            <w:pPr>
              <w:pStyle w:val="naisc"/>
              <w:spacing w:before="0" w:after="0"/>
              <w:jc w:val="both"/>
              <w:rPr>
                <w:b/>
                <w:bCs/>
              </w:rPr>
            </w:pPr>
            <w:r w:rsidRPr="009F0CAB">
              <w:rPr>
                <w:b/>
                <w:bCs/>
              </w:rPr>
              <w:t>Ņemts vērā</w:t>
            </w:r>
            <w:r w:rsidR="00AD22CC">
              <w:rPr>
                <w:b/>
                <w:bCs/>
              </w:rPr>
              <w:t>.</w:t>
            </w:r>
          </w:p>
        </w:tc>
        <w:tc>
          <w:tcPr>
            <w:tcW w:w="2733" w:type="dxa"/>
            <w:tcBorders>
              <w:top w:val="single" w:sz="4" w:space="0" w:color="auto"/>
              <w:left w:val="single" w:sz="4" w:space="0" w:color="auto"/>
              <w:bottom w:val="single" w:sz="4" w:space="0" w:color="auto"/>
            </w:tcBorders>
            <w:shd w:val="clear" w:color="auto" w:fill="auto"/>
          </w:tcPr>
          <w:p w14:paraId="331500A1" w14:textId="5054AD44" w:rsidR="009B746F" w:rsidRPr="009F0CAB" w:rsidRDefault="009B746F" w:rsidP="00DB2EEF">
            <w:pPr>
              <w:jc w:val="both"/>
            </w:pPr>
            <w:r w:rsidRPr="009F0CAB">
              <w:t>Skatīt precizējumus informatīvā ziņojuma 4. sadaļā “Investīcijas 2021. – 2027. gada plānošanas periodā”</w:t>
            </w:r>
            <w:r w:rsidR="00DB2EEF">
              <w:t>.</w:t>
            </w:r>
          </w:p>
        </w:tc>
      </w:tr>
      <w:tr w:rsidR="009F0CAB" w:rsidRPr="009F0CAB" w14:paraId="4959A7FD" w14:textId="77777777" w:rsidTr="007F29E6">
        <w:trPr>
          <w:trHeight w:val="329"/>
        </w:trPr>
        <w:tc>
          <w:tcPr>
            <w:tcW w:w="993" w:type="dxa"/>
            <w:tcBorders>
              <w:left w:val="single" w:sz="6" w:space="0" w:color="000000"/>
              <w:bottom w:val="single" w:sz="4" w:space="0" w:color="auto"/>
              <w:right w:val="single" w:sz="6" w:space="0" w:color="000000"/>
            </w:tcBorders>
          </w:tcPr>
          <w:p w14:paraId="22686D75" w14:textId="77777777" w:rsidR="00FA062A" w:rsidRPr="009F0CAB" w:rsidRDefault="00FA062A" w:rsidP="00FA062A">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1B3BF115" w14:textId="3C740FEA" w:rsidR="00FA062A" w:rsidRPr="009F0CAB" w:rsidRDefault="00FA062A" w:rsidP="00DB2EEF">
            <w:pPr>
              <w:pStyle w:val="naisc"/>
              <w:spacing w:before="0" w:after="0"/>
              <w:jc w:val="both"/>
              <w:rPr>
                <w:rFonts w:eastAsia="Calibri"/>
                <w:lang w:eastAsia="en-US"/>
              </w:rPr>
            </w:pPr>
            <w:r w:rsidRPr="009F0CAB">
              <w:rPr>
                <w:rFonts w:eastAsia="Calibri"/>
                <w:lang w:eastAsia="en-US"/>
              </w:rPr>
              <w:t>Informatīvā ziņojuma 4. sadaļa “ES fondu 2021.–2027. gada plānošanas periods”</w:t>
            </w:r>
          </w:p>
        </w:tc>
        <w:tc>
          <w:tcPr>
            <w:tcW w:w="4224" w:type="dxa"/>
            <w:gridSpan w:val="2"/>
            <w:tcBorders>
              <w:left w:val="single" w:sz="6" w:space="0" w:color="000000"/>
              <w:bottom w:val="single" w:sz="4" w:space="0" w:color="auto"/>
              <w:right w:val="single" w:sz="6" w:space="0" w:color="000000"/>
            </w:tcBorders>
            <w:shd w:val="clear" w:color="auto" w:fill="auto"/>
          </w:tcPr>
          <w:p w14:paraId="439DE5B7" w14:textId="23C0C81B" w:rsidR="00FA062A" w:rsidRPr="009F0CAB" w:rsidRDefault="00FA062A" w:rsidP="00DB2EEF">
            <w:pPr>
              <w:tabs>
                <w:tab w:val="right" w:pos="2127"/>
                <w:tab w:val="left" w:pos="2410"/>
                <w:tab w:val="right" w:leader="underscore" w:pos="4820"/>
              </w:tabs>
              <w:jc w:val="both"/>
              <w:rPr>
                <w:b/>
              </w:rPr>
            </w:pPr>
            <w:r w:rsidRPr="009F0CAB">
              <w:rPr>
                <w:b/>
              </w:rPr>
              <w:t>Iebildums</w:t>
            </w:r>
          </w:p>
          <w:p w14:paraId="0DE0817B" w14:textId="77777777" w:rsidR="00FA062A" w:rsidRPr="009F0CAB" w:rsidRDefault="00FA062A" w:rsidP="00DB2EEF">
            <w:pPr>
              <w:tabs>
                <w:tab w:val="right" w:pos="2127"/>
                <w:tab w:val="left" w:pos="2410"/>
                <w:tab w:val="right" w:leader="underscore" w:pos="4820"/>
              </w:tabs>
              <w:spacing w:after="240"/>
              <w:jc w:val="both"/>
              <w:rPr>
                <w:b/>
              </w:rPr>
            </w:pPr>
            <w:r w:rsidRPr="009F0CAB">
              <w:rPr>
                <w:b/>
              </w:rPr>
              <w:t>VARAM</w:t>
            </w:r>
          </w:p>
          <w:p w14:paraId="659C625B" w14:textId="79DB02A5" w:rsidR="00FA062A" w:rsidRPr="009F0CAB" w:rsidRDefault="00FA062A" w:rsidP="00DB2EEF">
            <w:pPr>
              <w:tabs>
                <w:tab w:val="right" w:pos="2127"/>
                <w:tab w:val="left" w:pos="2410"/>
                <w:tab w:val="right" w:leader="underscore" w:pos="4820"/>
              </w:tabs>
              <w:jc w:val="both"/>
            </w:pPr>
            <w:r w:rsidRPr="009F0CAB">
              <w:t>Lūdzam precizēt informatīvā ziņojuma 4.sadaļas “</w:t>
            </w:r>
            <w:r w:rsidRPr="009F0CAB">
              <w:rPr>
                <w:iCs/>
              </w:rPr>
              <w:t>Investīcijas 2021. - 2027. gada plānošanas periodā</w:t>
            </w:r>
            <w:r w:rsidRPr="009F0CAB">
              <w:t>” 4.rindkopu, aizstājot vārdus “</w:t>
            </w:r>
            <w:r w:rsidRPr="009F0CAB">
              <w:rPr>
                <w:i/>
                <w:iCs/>
              </w:rPr>
              <w:t>ir kavēta</w:t>
            </w:r>
            <w:r w:rsidRPr="009F0CAB">
              <w:t>” ar vārdiem “</w:t>
            </w:r>
            <w:r w:rsidRPr="009F0CAB">
              <w:rPr>
                <w:i/>
                <w:iCs/>
              </w:rPr>
              <w:t>nav pabeigta</w:t>
            </w:r>
            <w:r w:rsidRPr="009F0CAB">
              <w:t>”, jo plānošanas dokuments “</w:t>
            </w:r>
            <w:proofErr w:type="spellStart"/>
            <w:r w:rsidRPr="009F0CAB">
              <w:rPr>
                <w:i/>
                <w:iCs/>
              </w:rPr>
              <w:t>Natura</w:t>
            </w:r>
            <w:proofErr w:type="spellEnd"/>
            <w:r w:rsidRPr="009F0CAB">
              <w:rPr>
                <w:i/>
                <w:iCs/>
              </w:rPr>
              <w:t xml:space="preserve"> 2000 teritoriju prioritāro rīcību programma 2021.–2027.gadam (VARAM)</w:t>
            </w:r>
            <w:r w:rsidRPr="009F0CAB">
              <w:t xml:space="preserve">” nav minēts MK 2019. gada 20. augusta sēdes </w:t>
            </w:r>
            <w:proofErr w:type="spellStart"/>
            <w:r w:rsidRPr="009F0CAB">
              <w:t>protokollēmuma</w:t>
            </w:r>
            <w:proofErr w:type="spellEnd"/>
            <w:r w:rsidRPr="009F0CAB">
              <w:t xml:space="preserve"> Nr.35, 19.§ “Informatīvais ziņojums “Par Eiropas Reģionālās attīstības fonda, Eiropas Sociālā fonda plus un Kohēzijas fonda ieviešanu 2021.–2027. gadā Latvijā”” 1.pielikumā ilgstošo diskusiju dēļ par šī dokumenta iekļaušanu ieguldījumu priekšnosacījumu sarakstā.</w:t>
            </w:r>
          </w:p>
        </w:tc>
        <w:tc>
          <w:tcPr>
            <w:tcW w:w="4222" w:type="dxa"/>
            <w:gridSpan w:val="2"/>
            <w:tcBorders>
              <w:left w:val="single" w:sz="6" w:space="0" w:color="000000"/>
              <w:bottom w:val="single" w:sz="4" w:space="0" w:color="auto"/>
              <w:right w:val="single" w:sz="6" w:space="0" w:color="000000"/>
            </w:tcBorders>
            <w:shd w:val="clear" w:color="auto" w:fill="auto"/>
          </w:tcPr>
          <w:p w14:paraId="3B7631F3" w14:textId="451F7054" w:rsidR="00FA062A" w:rsidRPr="00AD22CC" w:rsidRDefault="00FA062A" w:rsidP="00DB2EEF">
            <w:pPr>
              <w:pStyle w:val="naisc"/>
              <w:spacing w:before="0" w:after="0"/>
              <w:jc w:val="both"/>
              <w:rPr>
                <w:b/>
              </w:rPr>
            </w:pPr>
            <w:r w:rsidRPr="00AD22CC">
              <w:rPr>
                <w:b/>
              </w:rPr>
              <w:t>Ņemts vērā.</w:t>
            </w:r>
          </w:p>
        </w:tc>
        <w:tc>
          <w:tcPr>
            <w:tcW w:w="2733" w:type="dxa"/>
            <w:tcBorders>
              <w:top w:val="single" w:sz="4" w:space="0" w:color="auto"/>
              <w:left w:val="single" w:sz="4" w:space="0" w:color="auto"/>
              <w:bottom w:val="single" w:sz="4" w:space="0" w:color="auto"/>
            </w:tcBorders>
            <w:shd w:val="clear" w:color="auto" w:fill="auto"/>
          </w:tcPr>
          <w:p w14:paraId="4066F88A" w14:textId="44A26174" w:rsidR="00FA062A" w:rsidRPr="009F0CAB" w:rsidRDefault="00B440CF" w:rsidP="00DB2EEF">
            <w:pPr>
              <w:jc w:val="both"/>
            </w:pPr>
            <w:r w:rsidRPr="009F0CAB">
              <w:t>Skatīt precizējumus informatīvā ziņojuma 4. sadaļā “</w:t>
            </w:r>
            <w:bookmarkStart w:id="7" w:name="_Toc64293356"/>
            <w:r w:rsidRPr="009F0CAB">
              <w:t>Investīcijas 2021. – 2027. gada plānošanas periodā</w:t>
            </w:r>
            <w:bookmarkEnd w:id="7"/>
            <w:r w:rsidRPr="009F0CAB">
              <w:t>”</w:t>
            </w:r>
            <w:r w:rsidR="00AD22CC">
              <w:t>.</w:t>
            </w:r>
          </w:p>
        </w:tc>
      </w:tr>
      <w:tr w:rsidR="009F0CAB" w:rsidRPr="009F0CAB" w14:paraId="22BB89D7" w14:textId="77777777" w:rsidTr="007F29E6">
        <w:trPr>
          <w:trHeight w:val="329"/>
        </w:trPr>
        <w:tc>
          <w:tcPr>
            <w:tcW w:w="993" w:type="dxa"/>
            <w:tcBorders>
              <w:left w:val="single" w:sz="6" w:space="0" w:color="000000"/>
              <w:bottom w:val="single" w:sz="4" w:space="0" w:color="auto"/>
              <w:right w:val="single" w:sz="6" w:space="0" w:color="000000"/>
            </w:tcBorders>
          </w:tcPr>
          <w:p w14:paraId="5799EF6C" w14:textId="77777777" w:rsidR="00FA062A" w:rsidRPr="009F0CAB" w:rsidRDefault="00FA062A" w:rsidP="00FA062A">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4782E24B" w14:textId="392772D0" w:rsidR="00FA062A" w:rsidRPr="009F0CAB" w:rsidRDefault="00FA062A" w:rsidP="00DB2EEF">
            <w:pPr>
              <w:pStyle w:val="naisc"/>
              <w:spacing w:before="0" w:after="0"/>
              <w:jc w:val="both"/>
              <w:rPr>
                <w:rFonts w:eastAsia="Calibri"/>
                <w:lang w:eastAsia="en-US"/>
              </w:rPr>
            </w:pPr>
            <w:r w:rsidRPr="009F0CAB">
              <w:rPr>
                <w:rFonts w:eastAsia="Calibri"/>
                <w:lang w:eastAsia="en-US"/>
              </w:rPr>
              <w:t>Informatīvā ziņojuma 4. sadaļa “ES fondu 2021.–2027. gada plānošanas periods”</w:t>
            </w:r>
          </w:p>
        </w:tc>
        <w:tc>
          <w:tcPr>
            <w:tcW w:w="4224" w:type="dxa"/>
            <w:gridSpan w:val="2"/>
            <w:tcBorders>
              <w:left w:val="single" w:sz="6" w:space="0" w:color="000000"/>
              <w:bottom w:val="single" w:sz="4" w:space="0" w:color="auto"/>
              <w:right w:val="single" w:sz="6" w:space="0" w:color="000000"/>
            </w:tcBorders>
            <w:shd w:val="clear" w:color="auto" w:fill="auto"/>
          </w:tcPr>
          <w:p w14:paraId="7EDFB9CA" w14:textId="72F98CF7" w:rsidR="00FA062A" w:rsidRPr="009F0CAB" w:rsidRDefault="00FA062A" w:rsidP="00DB2EEF">
            <w:pPr>
              <w:tabs>
                <w:tab w:val="right" w:pos="2127"/>
                <w:tab w:val="left" w:pos="2410"/>
                <w:tab w:val="right" w:leader="underscore" w:pos="4820"/>
              </w:tabs>
              <w:jc w:val="both"/>
              <w:rPr>
                <w:b/>
              </w:rPr>
            </w:pPr>
            <w:r w:rsidRPr="009F0CAB">
              <w:rPr>
                <w:b/>
              </w:rPr>
              <w:t>Iebildums</w:t>
            </w:r>
          </w:p>
          <w:p w14:paraId="56EC94D3" w14:textId="393158BA" w:rsidR="00FA062A" w:rsidRPr="009F0CAB" w:rsidRDefault="00FA062A" w:rsidP="00DB2EEF">
            <w:pPr>
              <w:tabs>
                <w:tab w:val="right" w:pos="2127"/>
                <w:tab w:val="left" w:pos="2410"/>
                <w:tab w:val="right" w:leader="underscore" w:pos="4820"/>
              </w:tabs>
              <w:spacing w:after="240"/>
              <w:jc w:val="both"/>
              <w:rPr>
                <w:b/>
              </w:rPr>
            </w:pPr>
            <w:r w:rsidRPr="009F0CAB">
              <w:rPr>
                <w:b/>
              </w:rPr>
              <w:t>LM</w:t>
            </w:r>
          </w:p>
          <w:p w14:paraId="028BEDCA" w14:textId="03437F33" w:rsidR="00FA062A" w:rsidRPr="009F0CAB" w:rsidRDefault="00FA062A" w:rsidP="00DB2EEF">
            <w:pPr>
              <w:widowControl w:val="0"/>
              <w:jc w:val="both"/>
              <w:rPr>
                <w:i/>
                <w:iCs/>
              </w:rPr>
            </w:pPr>
            <w:r w:rsidRPr="009F0CAB">
              <w:t>Lūdzam papildināt informatīvā ziņojuma sadaļā “</w:t>
            </w:r>
            <w:bookmarkStart w:id="8" w:name="_Toc63429678"/>
            <w:bookmarkStart w:id="9" w:name="_Toc46158951"/>
            <w:bookmarkStart w:id="10" w:name="_Toc47608816"/>
            <w:r w:rsidRPr="009F0CAB">
              <w:t>Investīcijas 2021. - 2027.gada plānošanas periodā</w:t>
            </w:r>
            <w:bookmarkEnd w:id="8"/>
            <w:bookmarkEnd w:id="9"/>
            <w:bookmarkEnd w:id="10"/>
            <w:r w:rsidRPr="009F0CAB">
              <w:t>” ietverto informāciju ar norādi šādā redakcijā “</w:t>
            </w:r>
            <w:r w:rsidRPr="009F0CAB">
              <w:rPr>
                <w:i/>
                <w:iCs/>
              </w:rPr>
              <w:t xml:space="preserve">LM saredz, ka atbildība par horizontālā principa </w:t>
            </w:r>
            <w:bookmarkStart w:id="11" w:name="_Hlk64481502"/>
            <w:r w:rsidRPr="009F0CAB">
              <w:rPr>
                <w:i/>
                <w:iCs/>
              </w:rPr>
              <w:t xml:space="preserve">“Vienlīdzība, iekļaušana un </w:t>
            </w:r>
            <w:proofErr w:type="spellStart"/>
            <w:r w:rsidRPr="009F0CAB">
              <w:rPr>
                <w:i/>
                <w:iCs/>
              </w:rPr>
              <w:t>nediskriminācija</w:t>
            </w:r>
            <w:proofErr w:type="spellEnd"/>
            <w:r w:rsidRPr="009F0CAB">
              <w:rPr>
                <w:i/>
                <w:iCs/>
              </w:rPr>
              <w:t>”</w:t>
            </w:r>
            <w:bookmarkEnd w:id="11"/>
            <w:r w:rsidRPr="009F0CAB">
              <w:rPr>
                <w:i/>
                <w:iCs/>
              </w:rPr>
              <w:t xml:space="preserve"> koordinēšanu 2021. - 2027.gada plānošanas periodā” nacionālā līmenī tiek deleģēta LM, kas, lai to nodrošinātu, sadarbosies ar līdzatbildīgajām ministrijām (Kultūras ministriju, Tieslietu ministriju). Atbilstoši </w:t>
            </w:r>
            <w:r w:rsidRPr="009F0CAB">
              <w:rPr>
                <w:i/>
                <w:iCs/>
              </w:rPr>
              <w:lastRenderedPageBreak/>
              <w:t xml:space="preserve">regulā noteiktajām ES fondu īstenošanā līdztekus vienlīdzīgu iespēju, dzimumu līdztiesības  un </w:t>
            </w:r>
            <w:proofErr w:type="spellStart"/>
            <w:r w:rsidRPr="009F0CAB">
              <w:rPr>
                <w:i/>
                <w:iCs/>
              </w:rPr>
              <w:t>nediskriminācijas</w:t>
            </w:r>
            <w:proofErr w:type="spellEnd"/>
            <w:r w:rsidRPr="009F0CAB">
              <w:rPr>
                <w:i/>
                <w:iCs/>
              </w:rPr>
              <w:t xml:space="preserve"> principiem, tiks ņemti vērā ES </w:t>
            </w:r>
            <w:proofErr w:type="spellStart"/>
            <w:r w:rsidRPr="009F0CAB">
              <w:rPr>
                <w:i/>
                <w:iCs/>
              </w:rPr>
              <w:t>Pamattiesību</w:t>
            </w:r>
            <w:proofErr w:type="spellEnd"/>
            <w:r w:rsidRPr="009F0CAB">
              <w:rPr>
                <w:i/>
                <w:iCs/>
              </w:rPr>
              <w:t xml:space="preserve"> hartā noteiktās tiesības un principi.</w:t>
            </w:r>
          </w:p>
          <w:p w14:paraId="4D2E203F" w14:textId="77777777" w:rsidR="00FA062A" w:rsidRPr="009F0CAB" w:rsidRDefault="00FA062A" w:rsidP="00DB2EEF">
            <w:pPr>
              <w:jc w:val="both"/>
              <w:rPr>
                <w:i/>
                <w:iCs/>
              </w:rPr>
            </w:pPr>
            <w:r w:rsidRPr="009F0CAB">
              <w:rPr>
                <w:i/>
                <w:iCs/>
              </w:rPr>
              <w:t xml:space="preserve">Tādējādi tiktu izmantota LM kompetence vienlīdzīgu iespēju politikas plānošanas un koordinēšanas jomā, gan uzkrātā pieredze, koordinējot horizontālā principa “Vienlīdzīgas iespējas” īstenošanu 2007.–2013. un 2014.–2020.gada ES fondu plānošanas periodā, kā arī nodrošināta visaptveroša un izvērsta horizontālā principa koordinēšana un atbalsta pasākumu īstenošana. </w:t>
            </w:r>
          </w:p>
          <w:p w14:paraId="7D97DDC3" w14:textId="77777777" w:rsidR="00FA062A" w:rsidRPr="009F0CAB" w:rsidRDefault="00FA062A" w:rsidP="00DB2EEF">
            <w:pPr>
              <w:jc w:val="both"/>
              <w:rPr>
                <w:i/>
                <w:iCs/>
              </w:rPr>
            </w:pPr>
            <w:r w:rsidRPr="009F0CAB">
              <w:rPr>
                <w:i/>
                <w:iCs/>
              </w:rPr>
              <w:t xml:space="preserve">Horizontālā principa “Vienlīdzība, iekļaušana un </w:t>
            </w:r>
            <w:proofErr w:type="spellStart"/>
            <w:r w:rsidRPr="009F0CAB">
              <w:rPr>
                <w:i/>
                <w:iCs/>
              </w:rPr>
              <w:t>nediskriminācija</w:t>
            </w:r>
            <w:proofErr w:type="spellEnd"/>
            <w:r w:rsidRPr="009F0CAB">
              <w:rPr>
                <w:i/>
                <w:iCs/>
              </w:rPr>
              <w:t xml:space="preserve">” koordinēšana ietvers šādus </w:t>
            </w:r>
            <w:proofErr w:type="spellStart"/>
            <w:r w:rsidRPr="009F0CAB">
              <w:rPr>
                <w:i/>
                <w:iCs/>
              </w:rPr>
              <w:t>pamatsoļus</w:t>
            </w:r>
            <w:proofErr w:type="spellEnd"/>
            <w:r w:rsidRPr="009F0CAB">
              <w:rPr>
                <w:i/>
                <w:iCs/>
              </w:rPr>
              <w:t xml:space="preserve"> katrā ES fondu programmu cikla posmā: </w:t>
            </w:r>
          </w:p>
          <w:p w14:paraId="4623809E" w14:textId="77777777" w:rsidR="00FA062A" w:rsidRPr="009F0CAB" w:rsidRDefault="00FA062A" w:rsidP="00DB2EEF">
            <w:pPr>
              <w:ind w:left="426"/>
              <w:jc w:val="both"/>
              <w:rPr>
                <w:i/>
                <w:iCs/>
              </w:rPr>
            </w:pPr>
            <w:r w:rsidRPr="009F0CAB">
              <w:rPr>
                <w:i/>
                <w:iCs/>
              </w:rPr>
              <w:t xml:space="preserve">a) programmu sagatavošana (plānošana): horizontālā principa “Vienlīdzība, iekļaušana un </w:t>
            </w:r>
            <w:proofErr w:type="spellStart"/>
            <w:r w:rsidRPr="009F0CAB">
              <w:rPr>
                <w:i/>
                <w:iCs/>
              </w:rPr>
              <w:t>nediskriminācija</w:t>
            </w:r>
            <w:proofErr w:type="spellEnd"/>
            <w:r w:rsidRPr="009F0CAB">
              <w:rPr>
                <w:i/>
                <w:iCs/>
              </w:rPr>
              <w:t xml:space="preserve">” koordinējošā institūcija izvērtēs plānošanas dokumentu atbilstību horizontālajiem principiem, atbilstošos gadījumos ierosinot plānoto pasākumu papildināšanu ar specifiskām aktivitātēm, lai nodrošinātu horizontālā principa integrēšanu DP; </w:t>
            </w:r>
          </w:p>
          <w:p w14:paraId="5B0A1420" w14:textId="77777777" w:rsidR="00FA062A" w:rsidRPr="009F0CAB" w:rsidRDefault="00FA062A" w:rsidP="00DB2EEF">
            <w:pPr>
              <w:ind w:left="426"/>
              <w:jc w:val="both"/>
              <w:rPr>
                <w:i/>
                <w:iCs/>
              </w:rPr>
            </w:pPr>
            <w:r w:rsidRPr="009F0CAB">
              <w:rPr>
                <w:i/>
                <w:iCs/>
              </w:rPr>
              <w:lastRenderedPageBreak/>
              <w:t xml:space="preserve">b) dzimumu līdztiesības, vienlīdzīgu iespēju un </w:t>
            </w:r>
            <w:proofErr w:type="spellStart"/>
            <w:r w:rsidRPr="009F0CAB">
              <w:rPr>
                <w:i/>
                <w:iCs/>
              </w:rPr>
              <w:t>nediskriminācijas</w:t>
            </w:r>
            <w:proofErr w:type="spellEnd"/>
            <w:r w:rsidRPr="009F0CAB">
              <w:rPr>
                <w:i/>
                <w:iCs/>
              </w:rPr>
              <w:t xml:space="preserve"> jomā katram DP pasākumam tiks veikta plānoto darbību analīze no dzimumu, vecumu, invaliditātes u.c. perspektīvām, atbilstošos gadījumos tiks noteikti sasniedzamie mērķi vienlīdzīgu iespēju nodrošināšanai, kas vērsti uz identificēto atšķirību vai nevienlīdzības mazināšanu;</w:t>
            </w:r>
          </w:p>
          <w:p w14:paraId="2CB2EA97" w14:textId="77777777" w:rsidR="00FA062A" w:rsidRPr="009F0CAB" w:rsidRDefault="00FA062A" w:rsidP="00DB2EEF">
            <w:pPr>
              <w:ind w:left="426"/>
              <w:jc w:val="both"/>
              <w:rPr>
                <w:i/>
                <w:iCs/>
              </w:rPr>
            </w:pPr>
            <w:r w:rsidRPr="009F0CAB">
              <w:rPr>
                <w:i/>
                <w:iCs/>
              </w:rPr>
              <w:t>c) programmu īstenošanas (ieviešanas) un projektu atlases procesu organizācijā horizontālo principu integrēšanas aktivitātes ietvers: (i) specifisku projektu atlases kritēriju noteikšanu, (ii) tiesību aktu projektu atbilstības horizontālajiem principiem izvērtēšanu, (iii) konsultāciju un metodiska atbalsta sniegšanu ES fondu projektu pieteicējiem, īstenotājiem, vērtētājiem un ES fondu vadībā un kontrolē iesaistītajām institūcijām;</w:t>
            </w:r>
          </w:p>
          <w:p w14:paraId="03302BD8" w14:textId="2C451D6B" w:rsidR="00FA062A" w:rsidRPr="009F0CAB" w:rsidRDefault="00FA062A" w:rsidP="00DB2EEF">
            <w:pPr>
              <w:ind w:left="426"/>
              <w:jc w:val="both"/>
            </w:pPr>
            <w:r w:rsidRPr="009F0CAB">
              <w:rPr>
                <w:i/>
                <w:iCs/>
              </w:rPr>
              <w:t xml:space="preserve">d) programmu uzraudzība un izvērtēšana: (i) uzraudzības komitejās tiks iesaistīts horizontālo principu “Vienlīdzība, iekļaušana un </w:t>
            </w:r>
            <w:proofErr w:type="spellStart"/>
            <w:r w:rsidRPr="009F0CAB">
              <w:rPr>
                <w:i/>
                <w:iCs/>
              </w:rPr>
              <w:t>nediskriminācija</w:t>
            </w:r>
            <w:proofErr w:type="spellEnd"/>
            <w:r w:rsidRPr="009F0CAB">
              <w:rPr>
                <w:i/>
                <w:iCs/>
              </w:rPr>
              <w:t xml:space="preserve">” koordinējošās institūcijas pārstāvis un nevalstisko organizāciju pārstāvji, lai sniegtu viedokli par vienlīdzīgu iespēju un </w:t>
            </w:r>
            <w:proofErr w:type="spellStart"/>
            <w:r w:rsidRPr="009F0CAB">
              <w:rPr>
                <w:i/>
                <w:iCs/>
              </w:rPr>
              <w:t>nediskriminācijas</w:t>
            </w:r>
            <w:proofErr w:type="spellEnd"/>
            <w:r w:rsidRPr="009F0CAB">
              <w:rPr>
                <w:i/>
                <w:iCs/>
              </w:rPr>
              <w:t xml:space="preserve"> aspektiem, (ii) DP īstenošanas pārskati ietvers </w:t>
            </w:r>
            <w:r w:rsidRPr="009F0CAB">
              <w:rPr>
                <w:i/>
                <w:iCs/>
              </w:rPr>
              <w:lastRenderedPageBreak/>
              <w:t xml:space="preserve">informāciju par horizontālā principa īstenošanu, (iii) </w:t>
            </w:r>
            <w:proofErr w:type="spellStart"/>
            <w:r w:rsidRPr="009F0CAB">
              <w:rPr>
                <w:i/>
                <w:iCs/>
              </w:rPr>
              <w:t>izvērtējumi</w:t>
            </w:r>
            <w:proofErr w:type="spellEnd"/>
            <w:r w:rsidRPr="009F0CAB">
              <w:rPr>
                <w:i/>
                <w:iCs/>
              </w:rPr>
              <w:t xml:space="preserve"> par vienlīdzīgu iespēju principu piemērošanu tiks veikti atbilstoši ES fondu regulējumā noteiktajām prasībām</w:t>
            </w:r>
            <w:r w:rsidRPr="009F0CAB">
              <w:t>.”</w:t>
            </w:r>
          </w:p>
        </w:tc>
        <w:tc>
          <w:tcPr>
            <w:tcW w:w="4222" w:type="dxa"/>
            <w:gridSpan w:val="2"/>
            <w:tcBorders>
              <w:left w:val="single" w:sz="6" w:space="0" w:color="000000"/>
              <w:bottom w:val="single" w:sz="4" w:space="0" w:color="auto"/>
              <w:right w:val="single" w:sz="6" w:space="0" w:color="000000"/>
            </w:tcBorders>
            <w:shd w:val="clear" w:color="auto" w:fill="auto"/>
          </w:tcPr>
          <w:p w14:paraId="6A0EB3B7" w14:textId="4CDAE2F4" w:rsidR="00D67A07" w:rsidRPr="009F0CAB" w:rsidRDefault="003973DF" w:rsidP="00DB2EEF">
            <w:pPr>
              <w:pStyle w:val="naisc"/>
              <w:spacing w:before="0" w:after="0"/>
              <w:jc w:val="both"/>
              <w:rPr>
                <w:b/>
                <w:bCs/>
              </w:rPr>
            </w:pPr>
            <w:r w:rsidRPr="009F0CAB">
              <w:rPr>
                <w:b/>
                <w:bCs/>
              </w:rPr>
              <w:lastRenderedPageBreak/>
              <w:t>Ņemts vērā.</w:t>
            </w:r>
            <w:r w:rsidR="00D67A07" w:rsidRPr="009F0CAB">
              <w:rPr>
                <w:b/>
                <w:bCs/>
              </w:rPr>
              <w:t xml:space="preserve"> </w:t>
            </w:r>
          </w:p>
        </w:tc>
        <w:tc>
          <w:tcPr>
            <w:tcW w:w="2733" w:type="dxa"/>
            <w:tcBorders>
              <w:top w:val="single" w:sz="4" w:space="0" w:color="auto"/>
              <w:left w:val="single" w:sz="4" w:space="0" w:color="auto"/>
              <w:bottom w:val="single" w:sz="4" w:space="0" w:color="auto"/>
            </w:tcBorders>
            <w:shd w:val="clear" w:color="auto" w:fill="auto"/>
          </w:tcPr>
          <w:p w14:paraId="511160CD" w14:textId="510B8265" w:rsidR="00FA062A" w:rsidRPr="009F0CAB" w:rsidRDefault="004A3269" w:rsidP="00DB2EEF">
            <w:pPr>
              <w:jc w:val="both"/>
            </w:pPr>
            <w:r w:rsidRPr="009F0CAB">
              <w:t>Skatīt precizējumus informatīvā ziņojuma 4. sadaļā “Investīcijas 2021. – 2027. gada plānošanas periodā”.</w:t>
            </w:r>
          </w:p>
        </w:tc>
      </w:tr>
      <w:tr w:rsidR="009F0CAB" w:rsidRPr="009F0CAB" w14:paraId="69B5C8FC" w14:textId="77777777" w:rsidTr="007F29E6">
        <w:trPr>
          <w:trHeight w:val="329"/>
        </w:trPr>
        <w:tc>
          <w:tcPr>
            <w:tcW w:w="993" w:type="dxa"/>
            <w:tcBorders>
              <w:left w:val="single" w:sz="6" w:space="0" w:color="000000"/>
              <w:bottom w:val="single" w:sz="4" w:space="0" w:color="auto"/>
              <w:right w:val="single" w:sz="6" w:space="0" w:color="000000"/>
            </w:tcBorders>
          </w:tcPr>
          <w:p w14:paraId="275532C7" w14:textId="77777777" w:rsidR="00FA062A" w:rsidRPr="009F0CAB" w:rsidRDefault="00FA062A" w:rsidP="00FA062A">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0A89BB3C" w14:textId="2BA63A17" w:rsidR="00FA062A" w:rsidRPr="009F0CAB" w:rsidRDefault="00FA062A" w:rsidP="00DB2EEF">
            <w:pPr>
              <w:pStyle w:val="naisc"/>
              <w:spacing w:before="0" w:after="0"/>
              <w:jc w:val="both"/>
              <w:rPr>
                <w:rFonts w:eastAsia="Calibri"/>
                <w:lang w:eastAsia="en-US"/>
              </w:rPr>
            </w:pPr>
            <w:r w:rsidRPr="009F0CAB">
              <w:rPr>
                <w:rFonts w:eastAsia="Calibri"/>
                <w:lang w:eastAsia="en-US"/>
              </w:rPr>
              <w:t>Informatīvā ziņojuma 4. sadaļa “ES fondu 2021.–2027. gada plānošanas periods”</w:t>
            </w:r>
          </w:p>
        </w:tc>
        <w:tc>
          <w:tcPr>
            <w:tcW w:w="4224" w:type="dxa"/>
            <w:gridSpan w:val="2"/>
            <w:tcBorders>
              <w:left w:val="single" w:sz="6" w:space="0" w:color="000000"/>
              <w:bottom w:val="single" w:sz="4" w:space="0" w:color="auto"/>
              <w:right w:val="single" w:sz="6" w:space="0" w:color="000000"/>
            </w:tcBorders>
            <w:shd w:val="clear" w:color="auto" w:fill="auto"/>
          </w:tcPr>
          <w:p w14:paraId="2B69C0DE" w14:textId="5C37268F" w:rsidR="00FA062A" w:rsidRPr="009F0CAB" w:rsidRDefault="00FA062A" w:rsidP="00DB2EEF">
            <w:pPr>
              <w:tabs>
                <w:tab w:val="right" w:pos="2127"/>
                <w:tab w:val="left" w:pos="2410"/>
                <w:tab w:val="right" w:leader="underscore" w:pos="4820"/>
              </w:tabs>
              <w:jc w:val="both"/>
              <w:rPr>
                <w:b/>
              </w:rPr>
            </w:pPr>
            <w:r w:rsidRPr="009F0CAB">
              <w:rPr>
                <w:b/>
              </w:rPr>
              <w:t>Iebildums</w:t>
            </w:r>
          </w:p>
          <w:p w14:paraId="36EF01F1" w14:textId="77777777" w:rsidR="00FA062A" w:rsidRPr="009F0CAB" w:rsidRDefault="00FA062A" w:rsidP="00DB2EEF">
            <w:pPr>
              <w:tabs>
                <w:tab w:val="right" w:pos="2127"/>
                <w:tab w:val="left" w:pos="2410"/>
                <w:tab w:val="right" w:leader="underscore" w:pos="4820"/>
              </w:tabs>
              <w:spacing w:after="240"/>
              <w:jc w:val="both"/>
              <w:rPr>
                <w:b/>
              </w:rPr>
            </w:pPr>
            <w:r w:rsidRPr="009F0CAB">
              <w:rPr>
                <w:b/>
              </w:rPr>
              <w:t>LM</w:t>
            </w:r>
          </w:p>
          <w:p w14:paraId="27DD3C1B" w14:textId="77777777" w:rsidR="00FA062A" w:rsidRPr="009F0CAB" w:rsidRDefault="00FA062A" w:rsidP="00DB2EEF">
            <w:pPr>
              <w:widowControl w:val="0"/>
              <w:jc w:val="both"/>
            </w:pPr>
            <w:r w:rsidRPr="009F0CAB">
              <w:t xml:space="preserve">Lūdzam precizēt informatīvā ziņojuma sadaļā “Investīcijas 2021. - 2027.gada plānošanas periodā” ietverto </w:t>
            </w:r>
            <w:r w:rsidRPr="009F0CAB">
              <w:rPr>
                <w:i/>
                <w:iCs/>
              </w:rPr>
              <w:t>tabulu Nr.3. “2021. – 2027.gada plānošanas perioda ieguldījumu priekšnosacījumu izpildei nepieciešamie nozaru politikas dokumenti, kas vēl nav apstiprināti”</w:t>
            </w:r>
            <w:r w:rsidRPr="009F0CAB">
              <w:t>, attiecībā uz Bērnu, jaunatnes un ģimenes attīstības pamatnostādnēm 2021.–2027.gadam kā atbildīgo norādot LM, nevis Tieslietu ministriju</w:t>
            </w:r>
          </w:p>
          <w:p w14:paraId="06928260" w14:textId="77777777" w:rsidR="002416D7" w:rsidRPr="009F0CAB" w:rsidRDefault="002416D7" w:rsidP="00DB2EEF">
            <w:pPr>
              <w:widowControl w:val="0"/>
              <w:jc w:val="both"/>
            </w:pPr>
          </w:p>
          <w:p w14:paraId="09863E9C" w14:textId="77777777" w:rsidR="002416D7" w:rsidRPr="009F0CAB" w:rsidRDefault="002416D7" w:rsidP="00DB2EEF">
            <w:pPr>
              <w:widowControl w:val="0"/>
              <w:jc w:val="both"/>
              <w:rPr>
                <w:b/>
              </w:rPr>
            </w:pPr>
            <w:r w:rsidRPr="009F0CAB">
              <w:rPr>
                <w:b/>
              </w:rPr>
              <w:t>TM</w:t>
            </w:r>
          </w:p>
          <w:p w14:paraId="60E0B673" w14:textId="09D2B7C3" w:rsidR="002416D7" w:rsidRPr="009F0CAB" w:rsidRDefault="002416D7" w:rsidP="00DB2EEF">
            <w:pPr>
              <w:widowControl w:val="0"/>
              <w:jc w:val="both"/>
              <w:rPr>
                <w:b/>
              </w:rPr>
            </w:pPr>
            <w:r w:rsidRPr="009F0CAB">
              <w:t>Norādīt Labklājības ministriju kā atbildīgo ministriju.</w:t>
            </w:r>
          </w:p>
        </w:tc>
        <w:tc>
          <w:tcPr>
            <w:tcW w:w="4222" w:type="dxa"/>
            <w:gridSpan w:val="2"/>
            <w:tcBorders>
              <w:left w:val="single" w:sz="6" w:space="0" w:color="000000"/>
              <w:bottom w:val="single" w:sz="4" w:space="0" w:color="auto"/>
              <w:right w:val="single" w:sz="6" w:space="0" w:color="000000"/>
            </w:tcBorders>
            <w:shd w:val="clear" w:color="auto" w:fill="auto"/>
          </w:tcPr>
          <w:p w14:paraId="27C448D3" w14:textId="5B952C16" w:rsidR="00FA062A" w:rsidRPr="009F0CAB" w:rsidRDefault="00AD22CC" w:rsidP="00DB2EEF">
            <w:pPr>
              <w:pStyle w:val="naisc"/>
              <w:spacing w:before="0" w:after="0"/>
              <w:jc w:val="both"/>
              <w:rPr>
                <w:b/>
                <w:bCs/>
              </w:rPr>
            </w:pPr>
            <w:r>
              <w:rPr>
                <w:b/>
                <w:bCs/>
              </w:rPr>
              <w:t>Ņemts vērā.</w:t>
            </w:r>
          </w:p>
        </w:tc>
        <w:tc>
          <w:tcPr>
            <w:tcW w:w="2733" w:type="dxa"/>
            <w:tcBorders>
              <w:top w:val="single" w:sz="4" w:space="0" w:color="auto"/>
              <w:left w:val="single" w:sz="4" w:space="0" w:color="auto"/>
              <w:bottom w:val="single" w:sz="4" w:space="0" w:color="auto"/>
            </w:tcBorders>
            <w:shd w:val="clear" w:color="auto" w:fill="auto"/>
          </w:tcPr>
          <w:p w14:paraId="302A8179" w14:textId="57608953" w:rsidR="00FA062A" w:rsidRPr="009F0CAB" w:rsidRDefault="00B6695F" w:rsidP="00DB2EEF">
            <w:pPr>
              <w:jc w:val="both"/>
            </w:pPr>
            <w:r w:rsidRPr="009F0CAB">
              <w:t>S</w:t>
            </w:r>
            <w:r w:rsidR="002C09B2" w:rsidRPr="009F0CAB">
              <w:t>katīt precizējumus informatīvā ziņojuma 4. sadaļā “</w:t>
            </w:r>
            <w:r w:rsidR="00B440CF" w:rsidRPr="009F0CAB">
              <w:t>Investīcijas 2021. – 2027. gada plānošanas periodā</w:t>
            </w:r>
            <w:r w:rsidR="002C09B2" w:rsidRPr="009F0CAB">
              <w:t>”</w:t>
            </w:r>
            <w:r w:rsidR="00AD22CC">
              <w:t>.</w:t>
            </w:r>
          </w:p>
        </w:tc>
      </w:tr>
      <w:tr w:rsidR="009F0CAB" w:rsidRPr="009F0CAB" w14:paraId="5F1C915C" w14:textId="77777777" w:rsidTr="007F29E6">
        <w:trPr>
          <w:trHeight w:val="329"/>
        </w:trPr>
        <w:tc>
          <w:tcPr>
            <w:tcW w:w="993" w:type="dxa"/>
            <w:tcBorders>
              <w:left w:val="single" w:sz="6" w:space="0" w:color="000000"/>
              <w:bottom w:val="single" w:sz="4" w:space="0" w:color="auto"/>
              <w:right w:val="single" w:sz="6" w:space="0" w:color="000000"/>
            </w:tcBorders>
          </w:tcPr>
          <w:p w14:paraId="09BD14B9" w14:textId="77777777" w:rsidR="005D07A7" w:rsidRPr="009F0CAB" w:rsidRDefault="005D07A7" w:rsidP="00DB2EEF">
            <w:pPr>
              <w:pStyle w:val="naisc"/>
              <w:numPr>
                <w:ilvl w:val="0"/>
                <w:numId w:val="2"/>
              </w:numPr>
              <w:tabs>
                <w:tab w:val="left" w:pos="327"/>
              </w:tabs>
              <w:spacing w:before="0"/>
              <w:ind w:left="0" w:firstLine="0"/>
              <w:jc w:val="both"/>
            </w:pPr>
          </w:p>
        </w:tc>
        <w:tc>
          <w:tcPr>
            <w:tcW w:w="2146" w:type="dxa"/>
            <w:tcBorders>
              <w:left w:val="single" w:sz="6" w:space="0" w:color="000000"/>
              <w:bottom w:val="single" w:sz="4" w:space="0" w:color="auto"/>
              <w:right w:val="single" w:sz="6" w:space="0" w:color="000000"/>
            </w:tcBorders>
          </w:tcPr>
          <w:p w14:paraId="35D0B7F4" w14:textId="549257B9" w:rsidR="005D07A7" w:rsidRPr="009F0CAB" w:rsidRDefault="005D07A7" w:rsidP="00DB2EEF">
            <w:pPr>
              <w:pStyle w:val="naisc"/>
              <w:spacing w:before="0"/>
              <w:jc w:val="both"/>
              <w:rPr>
                <w:rFonts w:eastAsia="Calibri"/>
                <w:lang w:eastAsia="en-US"/>
              </w:rPr>
            </w:pPr>
            <w:r w:rsidRPr="009F0CAB">
              <w:rPr>
                <w:rFonts w:eastAsia="Calibri"/>
                <w:lang w:eastAsia="en-US"/>
              </w:rPr>
              <w:t>Informatīvā ziņojuma 4. sadaļa “ES fondu 2021.–2027. gada plānošanas periods”, 5.sadaļa “</w:t>
            </w:r>
            <w:r w:rsidRPr="009F0CAB">
              <w:t xml:space="preserve">Priekšlikumi MK </w:t>
            </w:r>
            <w:r w:rsidRPr="009F0CAB">
              <w:lastRenderedPageBreak/>
              <w:t>lēmumiem</w:t>
            </w:r>
            <w:r w:rsidRPr="009F0CAB">
              <w:rPr>
                <w:rFonts w:eastAsia="Calibri"/>
                <w:lang w:eastAsia="en-US"/>
              </w:rPr>
              <w:t xml:space="preserve">”  un </w:t>
            </w:r>
            <w:proofErr w:type="spellStart"/>
            <w:r w:rsidRPr="009F0CAB">
              <w:rPr>
                <w:rFonts w:eastAsia="Calibri"/>
                <w:lang w:eastAsia="en-US"/>
              </w:rPr>
              <w:t>protokollēmums</w:t>
            </w:r>
            <w:proofErr w:type="spellEnd"/>
          </w:p>
        </w:tc>
        <w:tc>
          <w:tcPr>
            <w:tcW w:w="4224" w:type="dxa"/>
            <w:gridSpan w:val="2"/>
            <w:tcBorders>
              <w:left w:val="single" w:sz="6" w:space="0" w:color="000000"/>
              <w:bottom w:val="single" w:sz="4" w:space="0" w:color="auto"/>
              <w:right w:val="single" w:sz="6" w:space="0" w:color="000000"/>
            </w:tcBorders>
            <w:shd w:val="clear" w:color="auto" w:fill="auto"/>
          </w:tcPr>
          <w:p w14:paraId="2FE5CFDE" w14:textId="77777777" w:rsidR="005D07A7" w:rsidRPr="009F0CAB" w:rsidRDefault="005D07A7" w:rsidP="00DB2EEF">
            <w:pPr>
              <w:widowControl w:val="0"/>
              <w:jc w:val="both"/>
              <w:rPr>
                <w:b/>
              </w:rPr>
            </w:pPr>
            <w:r w:rsidRPr="009F0CAB">
              <w:rPr>
                <w:b/>
              </w:rPr>
              <w:lastRenderedPageBreak/>
              <w:t>Iebildums</w:t>
            </w:r>
          </w:p>
          <w:p w14:paraId="1E64316C" w14:textId="77777777" w:rsidR="005D07A7" w:rsidRPr="009F0CAB" w:rsidRDefault="005D07A7" w:rsidP="00DB2EEF">
            <w:pPr>
              <w:widowControl w:val="0"/>
              <w:spacing w:after="240"/>
              <w:jc w:val="both"/>
              <w:rPr>
                <w:b/>
              </w:rPr>
            </w:pPr>
            <w:r w:rsidRPr="009F0CAB">
              <w:rPr>
                <w:b/>
              </w:rPr>
              <w:t>Ekonomikas ministrija</w:t>
            </w:r>
          </w:p>
          <w:p w14:paraId="04C8B170" w14:textId="77777777" w:rsidR="005D07A7" w:rsidRPr="009F0CAB" w:rsidRDefault="005D07A7" w:rsidP="00DB2EEF">
            <w:pPr>
              <w:spacing w:before="120"/>
              <w:jc w:val="both"/>
              <w:rPr>
                <w:lang w:eastAsia="en-US"/>
              </w:rPr>
            </w:pPr>
            <w:r w:rsidRPr="009F0CAB">
              <w:t xml:space="preserve">Informatīvajā ziņojumā ir sniegta informācija par EK definēto priekšnosacījumu izpildi un turpmākie uzdevumi nozaru ministrijām. Informējam, ka Ministru kabinets 2021.gada 16.februārī ar </w:t>
            </w:r>
            <w:hyperlink r:id="rId8" w:history="1">
              <w:r w:rsidRPr="009F0CAB">
                <w:rPr>
                  <w:rStyle w:val="Hyperlink"/>
                  <w:color w:val="auto"/>
                </w:rPr>
                <w:t>rīkojumu Nr.93</w:t>
              </w:r>
            </w:hyperlink>
            <w:r w:rsidRPr="009F0CAB">
              <w:t xml:space="preserve"> </w:t>
            </w:r>
            <w:r w:rsidRPr="009F0CAB">
              <w:lastRenderedPageBreak/>
              <w:t>apstiprināja N</w:t>
            </w:r>
            <w:r w:rsidRPr="009F0CAB">
              <w:rPr>
                <w:b/>
                <w:bCs/>
                <w:shd w:val="clear" w:color="auto" w:fill="FFFFFF"/>
              </w:rPr>
              <w:t xml:space="preserve">acionālās industriālās politikas pamatnostādnes 2021.-2027.gadam. </w:t>
            </w:r>
            <w:r w:rsidRPr="009F0CAB">
              <w:rPr>
                <w:shd w:val="clear" w:color="auto" w:fill="FFFFFF"/>
              </w:rPr>
              <w:t>Līdz ar to uz Ekonomikas ministriju neattiecas informatīvajā ziņojumā noteiktais MK lēmumā plānotais uzdevums 6.punktā par “</w:t>
            </w:r>
            <w:r w:rsidRPr="009F0CAB">
              <w:t>ES fondu 2021. – 2027. gada plānošanas perioda kavēto ieguldījumu priekšnosacījumu – politikas plānošanas dokumenti – izpildi”</w:t>
            </w:r>
            <w:r w:rsidRPr="009F0CAB">
              <w:rPr>
                <w:shd w:val="clear" w:color="auto" w:fill="FFFFFF"/>
              </w:rPr>
              <w:t>. Lūdzam svītrot Ekonomikas ministriju un pievienot</w:t>
            </w:r>
            <w:r w:rsidRPr="009F0CAB">
              <w:t xml:space="preserve"> Tabulā Nr.3 atsauci uz Ministru kabineta 2021.gada 16.februāra rīkojumu Nr.93. </w:t>
            </w:r>
          </w:p>
          <w:p w14:paraId="224BC7D1" w14:textId="77777777" w:rsidR="005D07A7" w:rsidRPr="009F0CAB" w:rsidRDefault="005D07A7" w:rsidP="00DB2EEF">
            <w:pPr>
              <w:spacing w:before="120"/>
              <w:jc w:val="both"/>
            </w:pPr>
            <w:r w:rsidRPr="009F0CAB">
              <w:t xml:space="preserve">Ņemot vērā atzinuma 1.punktā minēto, lūdzam svītrot </w:t>
            </w:r>
            <w:proofErr w:type="spellStart"/>
            <w:r w:rsidRPr="009F0CAB">
              <w:t>protokollēmuma</w:t>
            </w:r>
            <w:proofErr w:type="spellEnd"/>
            <w:r w:rsidRPr="009F0CAB">
              <w:t xml:space="preserve"> 7.punktā vārdus “Ekonomikas ministrijai”.</w:t>
            </w:r>
          </w:p>
          <w:p w14:paraId="232DCEB4" w14:textId="77777777" w:rsidR="005D07A7" w:rsidRPr="009F0CAB" w:rsidRDefault="005D07A7" w:rsidP="00DB2EEF">
            <w:pPr>
              <w:tabs>
                <w:tab w:val="right" w:pos="2127"/>
                <w:tab w:val="left" w:pos="2410"/>
                <w:tab w:val="right" w:leader="underscore" w:pos="4820"/>
              </w:tabs>
              <w:jc w:val="both"/>
              <w:rPr>
                <w:b/>
              </w:rPr>
            </w:pPr>
          </w:p>
        </w:tc>
        <w:tc>
          <w:tcPr>
            <w:tcW w:w="4222" w:type="dxa"/>
            <w:gridSpan w:val="2"/>
            <w:tcBorders>
              <w:left w:val="single" w:sz="6" w:space="0" w:color="000000"/>
              <w:bottom w:val="single" w:sz="4" w:space="0" w:color="auto"/>
              <w:right w:val="single" w:sz="6" w:space="0" w:color="000000"/>
            </w:tcBorders>
            <w:shd w:val="clear" w:color="auto" w:fill="auto"/>
          </w:tcPr>
          <w:p w14:paraId="2F5F98AC" w14:textId="33506BED" w:rsidR="005D07A7" w:rsidRPr="009F0CAB" w:rsidRDefault="00E11B90" w:rsidP="00DB2EEF">
            <w:pPr>
              <w:pStyle w:val="naisc"/>
              <w:spacing w:before="0"/>
              <w:jc w:val="both"/>
            </w:pPr>
            <w:r w:rsidRPr="009F0CAB">
              <w:rPr>
                <w:b/>
                <w:bCs/>
              </w:rPr>
              <w:lastRenderedPageBreak/>
              <w:t>Ņemts vērā</w:t>
            </w:r>
            <w:r w:rsidR="00AD22CC">
              <w:t>.</w:t>
            </w:r>
          </w:p>
        </w:tc>
        <w:tc>
          <w:tcPr>
            <w:tcW w:w="2733" w:type="dxa"/>
            <w:tcBorders>
              <w:top w:val="single" w:sz="4" w:space="0" w:color="auto"/>
              <w:left w:val="single" w:sz="4" w:space="0" w:color="auto"/>
              <w:bottom w:val="single" w:sz="4" w:space="0" w:color="auto"/>
            </w:tcBorders>
            <w:shd w:val="clear" w:color="auto" w:fill="auto"/>
          </w:tcPr>
          <w:p w14:paraId="3D35EAB8" w14:textId="0898C028" w:rsidR="005D07A7" w:rsidRPr="009F0CAB" w:rsidRDefault="00E11B90" w:rsidP="00DB2EEF">
            <w:pPr>
              <w:spacing w:after="75"/>
              <w:jc w:val="both"/>
              <w:rPr>
                <w:rFonts w:eastAsia="Calibri"/>
                <w:lang w:eastAsia="en-US"/>
              </w:rPr>
            </w:pPr>
            <w:r w:rsidRPr="009F0CAB">
              <w:rPr>
                <w:rFonts w:eastAsia="Calibri"/>
                <w:lang w:eastAsia="en-US"/>
              </w:rPr>
              <w:t>Sk</w:t>
            </w:r>
            <w:r w:rsidR="00B440CF" w:rsidRPr="009F0CAB">
              <w:rPr>
                <w:rFonts w:eastAsia="Calibri"/>
                <w:lang w:eastAsia="en-US"/>
              </w:rPr>
              <w:t xml:space="preserve">atīt </w:t>
            </w:r>
            <w:r w:rsidRPr="009F0CAB">
              <w:rPr>
                <w:rFonts w:eastAsia="Calibri"/>
                <w:lang w:eastAsia="en-US"/>
              </w:rPr>
              <w:t>precizēto informatīvā ziņojuma 4. sadaļu “</w:t>
            </w:r>
            <w:r w:rsidR="00B440CF" w:rsidRPr="009F0CAB">
              <w:t>Investīcijas 2021. – 2027. gada plānošanas periodā</w:t>
            </w:r>
            <w:r w:rsidRPr="009F0CAB">
              <w:rPr>
                <w:rFonts w:eastAsia="Calibri"/>
                <w:lang w:eastAsia="en-US"/>
              </w:rPr>
              <w:t>”, 5.sadaļ</w:t>
            </w:r>
            <w:r w:rsidR="00B440CF" w:rsidRPr="009F0CAB">
              <w:rPr>
                <w:rFonts w:eastAsia="Calibri"/>
                <w:lang w:eastAsia="en-US"/>
              </w:rPr>
              <w:t>u</w:t>
            </w:r>
            <w:r w:rsidRPr="009F0CAB">
              <w:rPr>
                <w:rFonts w:eastAsia="Calibri"/>
                <w:lang w:eastAsia="en-US"/>
              </w:rPr>
              <w:t xml:space="preserve"> “</w:t>
            </w:r>
            <w:r w:rsidRPr="009F0CAB">
              <w:t>Priekšlikumi MK lēmumiem</w:t>
            </w:r>
            <w:r w:rsidRPr="009F0CAB">
              <w:rPr>
                <w:rFonts w:eastAsia="Calibri"/>
                <w:lang w:eastAsia="en-US"/>
              </w:rPr>
              <w:t xml:space="preserve">”  un </w:t>
            </w:r>
            <w:proofErr w:type="spellStart"/>
            <w:r w:rsidRPr="009F0CAB">
              <w:rPr>
                <w:rFonts w:eastAsia="Calibri"/>
                <w:lang w:eastAsia="en-US"/>
              </w:rPr>
              <w:t>protokollēmumu</w:t>
            </w:r>
            <w:proofErr w:type="spellEnd"/>
            <w:r w:rsidR="00AD22CC">
              <w:rPr>
                <w:rFonts w:eastAsia="Calibri"/>
                <w:lang w:eastAsia="en-US"/>
              </w:rPr>
              <w:t>.</w:t>
            </w:r>
          </w:p>
          <w:p w14:paraId="0170CAB1" w14:textId="43520927" w:rsidR="00E11B90" w:rsidRPr="009F0CAB" w:rsidRDefault="00E11B90" w:rsidP="00DB2EEF">
            <w:pPr>
              <w:spacing w:after="75"/>
              <w:jc w:val="both"/>
              <w:rPr>
                <w:rFonts w:eastAsia="Calibri"/>
                <w:lang w:eastAsia="en-US"/>
              </w:rPr>
            </w:pPr>
          </w:p>
        </w:tc>
      </w:tr>
      <w:tr w:rsidR="009F0CAB" w:rsidRPr="009F0CAB" w14:paraId="1DB91815" w14:textId="77777777" w:rsidTr="007F29E6">
        <w:trPr>
          <w:trHeight w:val="329"/>
        </w:trPr>
        <w:tc>
          <w:tcPr>
            <w:tcW w:w="993" w:type="dxa"/>
            <w:tcBorders>
              <w:left w:val="single" w:sz="6" w:space="0" w:color="000000"/>
              <w:bottom w:val="single" w:sz="4" w:space="0" w:color="auto"/>
              <w:right w:val="single" w:sz="6" w:space="0" w:color="000000"/>
            </w:tcBorders>
          </w:tcPr>
          <w:p w14:paraId="4E875814" w14:textId="77777777" w:rsidR="005D07A7" w:rsidRPr="009F0CAB" w:rsidRDefault="005D07A7" w:rsidP="005D07A7">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394ADAEC" w14:textId="2192237A" w:rsidR="005D07A7" w:rsidRPr="009F0CAB" w:rsidRDefault="005D07A7" w:rsidP="00DB2EEF">
            <w:pPr>
              <w:pStyle w:val="naisc"/>
              <w:spacing w:before="0" w:after="0"/>
              <w:jc w:val="both"/>
              <w:rPr>
                <w:rFonts w:eastAsia="Calibri"/>
                <w:lang w:eastAsia="en-US"/>
              </w:rPr>
            </w:pPr>
            <w:r w:rsidRPr="009F0CAB">
              <w:rPr>
                <w:rFonts w:eastAsia="Calibri"/>
                <w:lang w:eastAsia="en-US"/>
              </w:rPr>
              <w:t>5.sadaļa “</w:t>
            </w:r>
            <w:r w:rsidRPr="009F0CAB">
              <w:t>Priekšlikumi MK lēmumiem</w:t>
            </w:r>
            <w:r w:rsidRPr="009F0CAB">
              <w:rPr>
                <w:rFonts w:eastAsia="Calibri"/>
                <w:lang w:eastAsia="en-US"/>
              </w:rPr>
              <w:t xml:space="preserve">”  un </w:t>
            </w:r>
            <w:proofErr w:type="spellStart"/>
            <w:r w:rsidRPr="009F0CAB">
              <w:rPr>
                <w:rFonts w:eastAsia="Calibri"/>
                <w:lang w:eastAsia="en-US"/>
              </w:rPr>
              <w:t>protokollēmums</w:t>
            </w:r>
            <w:proofErr w:type="spellEnd"/>
          </w:p>
        </w:tc>
        <w:tc>
          <w:tcPr>
            <w:tcW w:w="4224" w:type="dxa"/>
            <w:gridSpan w:val="2"/>
            <w:tcBorders>
              <w:left w:val="single" w:sz="6" w:space="0" w:color="000000"/>
              <w:bottom w:val="single" w:sz="4" w:space="0" w:color="auto"/>
              <w:right w:val="single" w:sz="6" w:space="0" w:color="000000"/>
            </w:tcBorders>
            <w:shd w:val="clear" w:color="auto" w:fill="auto"/>
          </w:tcPr>
          <w:p w14:paraId="20D490A7" w14:textId="77777777" w:rsidR="005D07A7" w:rsidRPr="009F0CAB" w:rsidRDefault="005D07A7" w:rsidP="00DB2EEF">
            <w:pPr>
              <w:widowControl w:val="0"/>
              <w:jc w:val="both"/>
              <w:rPr>
                <w:b/>
              </w:rPr>
            </w:pPr>
            <w:r w:rsidRPr="009F0CAB">
              <w:rPr>
                <w:b/>
              </w:rPr>
              <w:t>Iebildums</w:t>
            </w:r>
          </w:p>
          <w:p w14:paraId="15BE2831" w14:textId="77777777" w:rsidR="005D07A7" w:rsidRPr="009F0CAB" w:rsidRDefault="005D07A7" w:rsidP="00DB2EEF">
            <w:pPr>
              <w:widowControl w:val="0"/>
              <w:spacing w:after="240"/>
              <w:jc w:val="both"/>
              <w:rPr>
                <w:b/>
              </w:rPr>
            </w:pPr>
            <w:r w:rsidRPr="009F0CAB">
              <w:rPr>
                <w:b/>
              </w:rPr>
              <w:t>VARAM</w:t>
            </w:r>
          </w:p>
          <w:p w14:paraId="3B18AB41" w14:textId="77777777" w:rsidR="005D07A7" w:rsidRPr="009F0CAB" w:rsidRDefault="005D07A7" w:rsidP="00DB2EEF">
            <w:pPr>
              <w:tabs>
                <w:tab w:val="right" w:pos="2127"/>
                <w:tab w:val="left" w:pos="2410"/>
                <w:tab w:val="right" w:leader="underscore" w:pos="4820"/>
              </w:tabs>
              <w:jc w:val="both"/>
            </w:pPr>
            <w:r w:rsidRPr="009F0CAB">
              <w:t xml:space="preserve">Lūdzam papildināt </w:t>
            </w:r>
            <w:proofErr w:type="spellStart"/>
            <w:r w:rsidRPr="009F0CAB">
              <w:t>protokollēmuma</w:t>
            </w:r>
            <w:proofErr w:type="spellEnd"/>
            <w:r w:rsidRPr="009F0CAB">
              <w:t xml:space="preserve"> projektu ar jaunu punktu, kas noteiks izņēmuma gadījuma atbalstīšanu šajā ziņojumā minētajiem 30 projektiem, par kuriem atbildīgās iestādes jau ir sniegušas viedokli par izņēmuma gadījumu piemērošanu saskaņā ar MK noteikumu Nr.784 51.četri </w:t>
            </w:r>
            <w:proofErr w:type="spellStart"/>
            <w:r w:rsidRPr="009F0CAB">
              <w:t>prim</w:t>
            </w:r>
            <w:proofErr w:type="spellEnd"/>
            <w:r w:rsidRPr="009F0CAB">
              <w:t xml:space="preserve"> 7.apakšpunktu sadarbības un vadošajai iestādei. Atbilstoši lūdzam papildināt informatīvo ziņojumu ar pielikumu, kurā būtu ietverti pieminētie projekti. Ierosinām izteikt </w:t>
            </w:r>
            <w:proofErr w:type="spellStart"/>
            <w:r w:rsidRPr="009F0CAB">
              <w:lastRenderedPageBreak/>
              <w:t>protokollēmuma</w:t>
            </w:r>
            <w:proofErr w:type="spellEnd"/>
            <w:r w:rsidRPr="009F0CAB">
              <w:t xml:space="preserve"> projekta jaunu punktu šādā redakcijā:</w:t>
            </w:r>
          </w:p>
          <w:p w14:paraId="07BD598B" w14:textId="3C6EB315" w:rsidR="005D07A7" w:rsidRPr="009F0CAB" w:rsidRDefault="005D07A7" w:rsidP="00DB2EEF">
            <w:pPr>
              <w:widowControl w:val="0"/>
              <w:jc w:val="both"/>
              <w:rPr>
                <w:b/>
              </w:rPr>
            </w:pPr>
            <w:r w:rsidRPr="009F0CAB">
              <w:t>“</w:t>
            </w:r>
            <w:r w:rsidRPr="009F0CAB">
              <w:rPr>
                <w:i/>
                <w:iCs/>
              </w:rPr>
              <w:t xml:space="preserve">X. Ņemot vērā informatīvā ziņojumā sniegto informāciju, saskaņā ar Ministru kabineta 2014.gada 16.decembra noteikumu Nr.784 "Kārtība, kādā Eiropas Savienības struktūrfondu un Kohēzijas fonda vadībā iesaistītās institūcijas nodrošina plānošanas dokumentu sagatavošanu un šo fondu ieviešanu 2014.- 2020.gada plānošanas periodā" 51.četri </w:t>
            </w:r>
            <w:proofErr w:type="spellStart"/>
            <w:r w:rsidRPr="009F0CAB">
              <w:rPr>
                <w:i/>
                <w:iCs/>
              </w:rPr>
              <w:t>prim</w:t>
            </w:r>
            <w:proofErr w:type="spellEnd"/>
            <w:r w:rsidRPr="009F0CAB">
              <w:rPr>
                <w:i/>
                <w:iCs/>
              </w:rPr>
              <w:t xml:space="preserve"> punkta 7.apakšpunktu atbalstīt atsevišķu izņēmuma gadījumu piemērošanu un atļaut Centrālajai finanšu un līgumu aģentūrai nesamazināt Eiropas Savienības fonda un valsts budžeta līdzfinansējumu projektiem, kas iekļauti informatīvā ziņojuma pielikumā</w:t>
            </w:r>
            <w:r w:rsidRPr="009F0CAB">
              <w:t>.”</w:t>
            </w:r>
          </w:p>
        </w:tc>
        <w:tc>
          <w:tcPr>
            <w:tcW w:w="4222" w:type="dxa"/>
            <w:gridSpan w:val="2"/>
            <w:tcBorders>
              <w:left w:val="single" w:sz="6" w:space="0" w:color="000000"/>
              <w:bottom w:val="single" w:sz="4" w:space="0" w:color="auto"/>
              <w:right w:val="single" w:sz="6" w:space="0" w:color="000000"/>
            </w:tcBorders>
            <w:shd w:val="clear" w:color="auto" w:fill="auto"/>
          </w:tcPr>
          <w:p w14:paraId="0620D9C1" w14:textId="0D122BFD" w:rsidR="005D07A7" w:rsidRPr="009F0CAB" w:rsidRDefault="005D07A7" w:rsidP="00DB2EEF">
            <w:pPr>
              <w:pStyle w:val="naisc"/>
              <w:spacing w:before="0" w:after="0"/>
              <w:jc w:val="both"/>
              <w:rPr>
                <w:b/>
                <w:bCs/>
                <w:highlight w:val="yellow"/>
              </w:rPr>
            </w:pPr>
            <w:r w:rsidRPr="009F0CAB">
              <w:rPr>
                <w:b/>
                <w:bCs/>
              </w:rPr>
              <w:lastRenderedPageBreak/>
              <w:t>Ņemts vērā</w:t>
            </w:r>
            <w:r w:rsidR="00AD22CC">
              <w:rPr>
                <w:b/>
                <w:bCs/>
              </w:rPr>
              <w:t>.</w:t>
            </w:r>
          </w:p>
        </w:tc>
        <w:tc>
          <w:tcPr>
            <w:tcW w:w="2733" w:type="dxa"/>
            <w:tcBorders>
              <w:top w:val="single" w:sz="4" w:space="0" w:color="auto"/>
              <w:left w:val="single" w:sz="4" w:space="0" w:color="auto"/>
              <w:bottom w:val="single" w:sz="4" w:space="0" w:color="auto"/>
            </w:tcBorders>
            <w:shd w:val="clear" w:color="auto" w:fill="auto"/>
          </w:tcPr>
          <w:p w14:paraId="354E73B1" w14:textId="4797C9BA" w:rsidR="005D07A7" w:rsidRPr="009F0CAB" w:rsidRDefault="005D07A7" w:rsidP="00DB2EEF">
            <w:pPr>
              <w:jc w:val="both"/>
            </w:pPr>
            <w:r w:rsidRPr="009F0CAB">
              <w:t xml:space="preserve">Skatīt precizēto  </w:t>
            </w:r>
            <w:r w:rsidR="00B440CF" w:rsidRPr="009F0CAB">
              <w:rPr>
                <w:rFonts w:eastAsia="Calibri"/>
                <w:lang w:eastAsia="en-US"/>
              </w:rPr>
              <w:t xml:space="preserve">informatīvā ziņojuma 5.sadaļu </w:t>
            </w:r>
            <w:r w:rsidR="00B440CF" w:rsidRPr="009F0CAB">
              <w:t>“Priekšlikumi MK lēmumiem”</w:t>
            </w:r>
            <w:r w:rsidR="009B746F" w:rsidRPr="009F0CAB">
              <w:t xml:space="preserve">, attiecīgus pielikumus un </w:t>
            </w:r>
            <w:proofErr w:type="spellStart"/>
            <w:r w:rsidRPr="009F0CAB">
              <w:rPr>
                <w:rFonts w:eastAsia="Calibri"/>
                <w:lang w:eastAsia="en-US"/>
              </w:rPr>
              <w:t>protokollēmuma</w:t>
            </w:r>
            <w:proofErr w:type="spellEnd"/>
            <w:r w:rsidRPr="009F0CAB">
              <w:rPr>
                <w:rFonts w:eastAsia="Calibri"/>
                <w:lang w:eastAsia="en-US"/>
              </w:rPr>
              <w:t xml:space="preserve"> projekt</w:t>
            </w:r>
            <w:r w:rsidR="009B746F" w:rsidRPr="009F0CAB">
              <w:rPr>
                <w:rFonts w:eastAsia="Calibri"/>
                <w:lang w:eastAsia="en-US"/>
              </w:rPr>
              <w:t>a</w:t>
            </w:r>
            <w:r w:rsidRPr="009F0CAB">
              <w:rPr>
                <w:rFonts w:eastAsia="Calibri"/>
                <w:lang w:eastAsia="en-US"/>
              </w:rPr>
              <w:t xml:space="preserve"> </w:t>
            </w:r>
            <w:r w:rsidRPr="009F0CAB">
              <w:t xml:space="preserve"> 5. punktu.</w:t>
            </w:r>
          </w:p>
        </w:tc>
      </w:tr>
      <w:tr w:rsidR="009F0CAB" w:rsidRPr="009F0CAB" w14:paraId="17C658F4" w14:textId="77777777" w:rsidTr="007F29E6">
        <w:trPr>
          <w:trHeight w:val="329"/>
        </w:trPr>
        <w:tc>
          <w:tcPr>
            <w:tcW w:w="993" w:type="dxa"/>
            <w:tcBorders>
              <w:left w:val="single" w:sz="6" w:space="0" w:color="000000"/>
              <w:bottom w:val="single" w:sz="4" w:space="0" w:color="auto"/>
              <w:right w:val="single" w:sz="6" w:space="0" w:color="000000"/>
            </w:tcBorders>
          </w:tcPr>
          <w:p w14:paraId="2445F6DF" w14:textId="77777777" w:rsidR="005D07A7" w:rsidRPr="009F0CAB" w:rsidRDefault="005D07A7" w:rsidP="005D07A7">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2B1CA0D5" w14:textId="0752EBF7" w:rsidR="005D07A7" w:rsidRPr="009F0CAB" w:rsidRDefault="005D07A7" w:rsidP="00DB2EEF">
            <w:pPr>
              <w:pStyle w:val="naisc"/>
              <w:spacing w:before="0" w:after="0"/>
              <w:jc w:val="both"/>
              <w:rPr>
                <w:rFonts w:eastAsia="Calibri"/>
                <w:lang w:eastAsia="en-US"/>
              </w:rPr>
            </w:pPr>
            <w:r w:rsidRPr="009F0CAB">
              <w:rPr>
                <w:rFonts w:eastAsia="Calibri"/>
                <w:lang w:eastAsia="en-US"/>
              </w:rPr>
              <w:t>5.sadaļa “</w:t>
            </w:r>
            <w:r w:rsidRPr="009F0CAB">
              <w:t>Priekšlikumi MK lēmumiem</w:t>
            </w:r>
            <w:r w:rsidRPr="009F0CAB">
              <w:rPr>
                <w:rFonts w:eastAsia="Calibri"/>
                <w:lang w:eastAsia="en-US"/>
              </w:rPr>
              <w:t xml:space="preserve">” un </w:t>
            </w:r>
            <w:proofErr w:type="spellStart"/>
            <w:r w:rsidRPr="009F0CAB">
              <w:rPr>
                <w:rFonts w:eastAsia="Calibri"/>
                <w:lang w:eastAsia="en-US"/>
              </w:rPr>
              <w:t>protokollēmums</w:t>
            </w:r>
            <w:proofErr w:type="spellEnd"/>
          </w:p>
        </w:tc>
        <w:tc>
          <w:tcPr>
            <w:tcW w:w="4224" w:type="dxa"/>
            <w:gridSpan w:val="2"/>
            <w:tcBorders>
              <w:left w:val="single" w:sz="6" w:space="0" w:color="000000"/>
              <w:bottom w:val="single" w:sz="4" w:space="0" w:color="auto"/>
              <w:right w:val="single" w:sz="6" w:space="0" w:color="000000"/>
            </w:tcBorders>
            <w:shd w:val="clear" w:color="auto" w:fill="auto"/>
          </w:tcPr>
          <w:p w14:paraId="0E13A1F9" w14:textId="5663349D" w:rsidR="005D07A7" w:rsidRPr="009F0CAB" w:rsidRDefault="005D07A7" w:rsidP="00DB2EEF">
            <w:pPr>
              <w:widowControl w:val="0"/>
              <w:jc w:val="both"/>
              <w:rPr>
                <w:b/>
              </w:rPr>
            </w:pPr>
            <w:r w:rsidRPr="009F0CAB">
              <w:rPr>
                <w:b/>
              </w:rPr>
              <w:t>Iebildums</w:t>
            </w:r>
          </w:p>
          <w:p w14:paraId="0759F74E" w14:textId="67C4A491" w:rsidR="005D07A7" w:rsidRPr="009F0CAB" w:rsidRDefault="005D07A7" w:rsidP="00DB2EEF">
            <w:pPr>
              <w:widowControl w:val="0"/>
              <w:jc w:val="both"/>
              <w:rPr>
                <w:b/>
              </w:rPr>
            </w:pPr>
            <w:r w:rsidRPr="009F0CAB">
              <w:rPr>
                <w:b/>
              </w:rPr>
              <w:t>TM</w:t>
            </w:r>
          </w:p>
          <w:p w14:paraId="1D8D9920" w14:textId="77777777" w:rsidR="005D07A7" w:rsidRPr="009F0CAB" w:rsidRDefault="005D07A7" w:rsidP="00DB2EEF">
            <w:pPr>
              <w:widowControl w:val="0"/>
              <w:jc w:val="both"/>
            </w:pPr>
          </w:p>
          <w:p w14:paraId="0452C5DD" w14:textId="4162D389" w:rsidR="005D07A7" w:rsidRPr="009F0CAB" w:rsidRDefault="005D07A7" w:rsidP="00DB2EEF">
            <w:pPr>
              <w:widowControl w:val="0"/>
              <w:jc w:val="both"/>
            </w:pPr>
            <w:r w:rsidRPr="009F0CAB">
              <w:t xml:space="preserve">Lūdzam </w:t>
            </w:r>
            <w:proofErr w:type="spellStart"/>
            <w:r w:rsidRPr="009F0CAB">
              <w:t>protokollēmuma</w:t>
            </w:r>
            <w:proofErr w:type="spellEnd"/>
            <w:r w:rsidRPr="009F0CAB">
              <w:t xml:space="preserve"> projekta 7. punktu un ziņojuma projekta 6. punktu (38.lp.) papildināt ar nosacījumu, ka arī Tieslietu ministrija nodrošina Eiropas Savienības fondu 2021. – 2027. gada plānošanas perioda kavēto ieguldījumu priekšnosacījumu – politikas plānošanas dokumenti - izpildi.</w:t>
            </w:r>
          </w:p>
        </w:tc>
        <w:tc>
          <w:tcPr>
            <w:tcW w:w="4222" w:type="dxa"/>
            <w:gridSpan w:val="2"/>
            <w:tcBorders>
              <w:left w:val="single" w:sz="6" w:space="0" w:color="000000"/>
              <w:bottom w:val="single" w:sz="4" w:space="0" w:color="auto"/>
              <w:right w:val="single" w:sz="6" w:space="0" w:color="000000"/>
            </w:tcBorders>
            <w:shd w:val="clear" w:color="auto" w:fill="auto"/>
          </w:tcPr>
          <w:p w14:paraId="767D6D23" w14:textId="45325C13" w:rsidR="005D07A7" w:rsidRPr="00AD22CC" w:rsidRDefault="005D07A7" w:rsidP="00DB2EEF">
            <w:pPr>
              <w:pStyle w:val="naisc"/>
              <w:spacing w:before="0" w:after="0"/>
              <w:jc w:val="both"/>
              <w:rPr>
                <w:b/>
              </w:rPr>
            </w:pPr>
            <w:r w:rsidRPr="00AD22CC">
              <w:rPr>
                <w:b/>
              </w:rPr>
              <w:t>Ņemts vērā</w:t>
            </w:r>
            <w:r w:rsidR="00AD22CC">
              <w:rPr>
                <w:b/>
              </w:rPr>
              <w:t>.</w:t>
            </w:r>
          </w:p>
        </w:tc>
        <w:tc>
          <w:tcPr>
            <w:tcW w:w="2733" w:type="dxa"/>
            <w:tcBorders>
              <w:top w:val="single" w:sz="4" w:space="0" w:color="auto"/>
              <w:left w:val="single" w:sz="4" w:space="0" w:color="auto"/>
              <w:bottom w:val="single" w:sz="4" w:space="0" w:color="auto"/>
            </w:tcBorders>
            <w:shd w:val="clear" w:color="auto" w:fill="auto"/>
          </w:tcPr>
          <w:p w14:paraId="44D0C29A" w14:textId="51FE86A3" w:rsidR="005D07A7" w:rsidRPr="009F0CAB" w:rsidRDefault="005D07A7" w:rsidP="00DB2EEF">
            <w:pPr>
              <w:jc w:val="both"/>
            </w:pPr>
            <w:r w:rsidRPr="009F0CAB">
              <w:t xml:space="preserve">Skatīt precizējumus MK </w:t>
            </w:r>
            <w:proofErr w:type="spellStart"/>
            <w:r w:rsidRPr="009F0CAB">
              <w:t>protokollēmuma</w:t>
            </w:r>
            <w:proofErr w:type="spellEnd"/>
            <w:r w:rsidRPr="009F0CAB">
              <w:t xml:space="preserve"> 7. punktā un ziņojuma 5. sadaļ</w:t>
            </w:r>
            <w:r w:rsidR="009F1907" w:rsidRPr="009F0CAB">
              <w:t>ā</w:t>
            </w:r>
            <w:r w:rsidRPr="009F0CAB">
              <w:t xml:space="preserve"> “Priekšlikumi MK lēmumiem”.</w:t>
            </w:r>
          </w:p>
        </w:tc>
      </w:tr>
      <w:tr w:rsidR="009F0CAB" w:rsidRPr="009F0CAB" w14:paraId="064C2F05" w14:textId="77777777" w:rsidTr="007F29E6">
        <w:trPr>
          <w:trHeight w:val="329"/>
        </w:trPr>
        <w:tc>
          <w:tcPr>
            <w:tcW w:w="993" w:type="dxa"/>
            <w:tcBorders>
              <w:left w:val="single" w:sz="6" w:space="0" w:color="000000"/>
              <w:bottom w:val="single" w:sz="4" w:space="0" w:color="auto"/>
              <w:right w:val="single" w:sz="6" w:space="0" w:color="000000"/>
            </w:tcBorders>
          </w:tcPr>
          <w:p w14:paraId="5809B840" w14:textId="77777777" w:rsidR="009B746F" w:rsidRPr="009F0CAB" w:rsidRDefault="009B746F" w:rsidP="009B746F">
            <w:pPr>
              <w:pStyle w:val="naisc"/>
              <w:numPr>
                <w:ilvl w:val="0"/>
                <w:numId w:val="2"/>
              </w:numPr>
              <w:tabs>
                <w:tab w:val="left" w:pos="327"/>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07EE43EC" w14:textId="2C7FFE59" w:rsidR="009B746F" w:rsidRPr="009F0CAB" w:rsidRDefault="009B746F" w:rsidP="00DB2EEF">
            <w:pPr>
              <w:pStyle w:val="naisc"/>
              <w:spacing w:before="0" w:after="0"/>
              <w:jc w:val="both"/>
              <w:rPr>
                <w:rFonts w:eastAsia="Calibri"/>
                <w:lang w:eastAsia="en-US"/>
              </w:rPr>
            </w:pPr>
            <w:r w:rsidRPr="009F0CAB">
              <w:rPr>
                <w:rFonts w:eastAsia="Calibri"/>
                <w:lang w:eastAsia="en-US"/>
              </w:rPr>
              <w:t>5.sadaļa “</w:t>
            </w:r>
            <w:r w:rsidRPr="009F0CAB">
              <w:t>Priekšlikumi MK lēmumiem</w:t>
            </w:r>
            <w:r w:rsidRPr="009F0CAB">
              <w:rPr>
                <w:rFonts w:eastAsia="Calibri"/>
                <w:lang w:eastAsia="en-US"/>
              </w:rPr>
              <w:t>”</w:t>
            </w:r>
          </w:p>
        </w:tc>
        <w:tc>
          <w:tcPr>
            <w:tcW w:w="4224" w:type="dxa"/>
            <w:gridSpan w:val="2"/>
            <w:tcBorders>
              <w:left w:val="single" w:sz="6" w:space="0" w:color="000000"/>
              <w:bottom w:val="single" w:sz="4" w:space="0" w:color="auto"/>
              <w:right w:val="single" w:sz="6" w:space="0" w:color="000000"/>
            </w:tcBorders>
            <w:shd w:val="clear" w:color="auto" w:fill="auto"/>
          </w:tcPr>
          <w:p w14:paraId="5D580B42" w14:textId="59164200" w:rsidR="009B746F" w:rsidRPr="009F0CAB" w:rsidRDefault="009B746F" w:rsidP="00DB2EEF">
            <w:pPr>
              <w:widowControl w:val="0"/>
              <w:jc w:val="both"/>
              <w:rPr>
                <w:b/>
              </w:rPr>
            </w:pPr>
            <w:r w:rsidRPr="009F0CAB">
              <w:rPr>
                <w:b/>
              </w:rPr>
              <w:t>Iebildums</w:t>
            </w:r>
          </w:p>
          <w:p w14:paraId="044D359B" w14:textId="5468339A" w:rsidR="009B746F" w:rsidRPr="009F0CAB" w:rsidRDefault="009B746F" w:rsidP="00DB2EEF">
            <w:pPr>
              <w:widowControl w:val="0"/>
              <w:spacing w:after="240"/>
              <w:jc w:val="both"/>
              <w:rPr>
                <w:b/>
              </w:rPr>
            </w:pPr>
            <w:r w:rsidRPr="009F0CAB">
              <w:rPr>
                <w:b/>
              </w:rPr>
              <w:t>LM</w:t>
            </w:r>
          </w:p>
          <w:p w14:paraId="6480E959" w14:textId="634F705D" w:rsidR="009B746F" w:rsidRPr="009F0CAB" w:rsidRDefault="009B746F" w:rsidP="00DB2EEF">
            <w:pPr>
              <w:widowControl w:val="0"/>
              <w:jc w:val="both"/>
              <w:rPr>
                <w:bCs/>
              </w:rPr>
            </w:pPr>
            <w:r w:rsidRPr="009F0CAB">
              <w:t xml:space="preserve">Lūdzam precizēt informatīvā ziņojuma </w:t>
            </w:r>
            <w:r w:rsidRPr="009F0CAB">
              <w:lastRenderedPageBreak/>
              <w:t xml:space="preserve">noslēgumā ietverto </w:t>
            </w:r>
            <w:r w:rsidRPr="009F0CAB">
              <w:rPr>
                <w:i/>
                <w:iCs/>
              </w:rPr>
              <w:t>kopsavilkumu par virzītajiem lēmumiem</w:t>
            </w:r>
            <w:r w:rsidRPr="009F0CAB">
              <w:t xml:space="preserve">, novēršot tehnisku neprecizitāti par valsts pārvaldes iestāžu neatbilstoši veikto izdevumu </w:t>
            </w:r>
            <w:proofErr w:type="spellStart"/>
            <w:r w:rsidRPr="009F0CAB">
              <w:t>kopapmēru</w:t>
            </w:r>
            <w:proofErr w:type="spellEnd"/>
            <w:r w:rsidRPr="009F0CAB">
              <w:t xml:space="preserve">, kuru plānots </w:t>
            </w:r>
            <w:r w:rsidRPr="009F0CAB">
              <w:rPr>
                <w:bCs/>
              </w:rPr>
              <w:t xml:space="preserve">attiecināt uz DP piešķirtām valsts budžeta </w:t>
            </w:r>
            <w:proofErr w:type="spellStart"/>
            <w:r w:rsidRPr="009F0CAB">
              <w:rPr>
                <w:bCs/>
              </w:rPr>
              <w:t>virssaistībām</w:t>
            </w:r>
            <w:proofErr w:type="spellEnd"/>
            <w:r w:rsidRPr="009F0CAB">
              <w:rPr>
                <w:bCs/>
              </w:rPr>
              <w:t xml:space="preserve"> (šobrīd norādīts, ka minētais finansējums veido 19 689,57 </w:t>
            </w:r>
            <w:proofErr w:type="spellStart"/>
            <w:r w:rsidRPr="009F0CAB">
              <w:rPr>
                <w:bCs/>
                <w:i/>
                <w:iCs/>
              </w:rPr>
              <w:t>euro</w:t>
            </w:r>
            <w:proofErr w:type="spellEnd"/>
            <w:r w:rsidRPr="009F0CAB">
              <w:rPr>
                <w:bCs/>
              </w:rPr>
              <w:t xml:space="preserve">, tomēr atbilstoši informatīvajā ziņojumā norādītai informācijai – tas ir finansējums, kas attiecināms uz Nodarbinātības valsts aģentūras īstenoto projektu Nr. 9.1.1.2/15/I/001 “Atbalsts ilgstošajiem bezdarbniekiem”). </w:t>
            </w:r>
          </w:p>
          <w:p w14:paraId="503A96F2" w14:textId="77777777" w:rsidR="009B746F" w:rsidRPr="009F0CAB" w:rsidRDefault="009B746F" w:rsidP="00DB2EEF">
            <w:pPr>
              <w:pStyle w:val="CommentText"/>
              <w:jc w:val="both"/>
              <w:rPr>
                <w:rFonts w:cs="Times New Roman"/>
                <w:sz w:val="24"/>
                <w:szCs w:val="24"/>
              </w:rPr>
            </w:pPr>
          </w:p>
          <w:p w14:paraId="717710FA" w14:textId="7690A7D4" w:rsidR="009B746F" w:rsidRPr="009F0CAB" w:rsidRDefault="009B746F" w:rsidP="00DB2EEF">
            <w:pPr>
              <w:pStyle w:val="CommentText"/>
              <w:jc w:val="both"/>
              <w:rPr>
                <w:rFonts w:eastAsia="Times New Roman" w:cs="Times New Roman"/>
                <w:b/>
                <w:sz w:val="24"/>
                <w:szCs w:val="24"/>
                <w:lang w:eastAsia="lv-LV"/>
              </w:rPr>
            </w:pPr>
            <w:r w:rsidRPr="009F0CAB">
              <w:rPr>
                <w:rFonts w:eastAsia="Times New Roman" w:cs="Times New Roman"/>
                <w:b/>
                <w:sz w:val="24"/>
                <w:szCs w:val="24"/>
                <w:lang w:eastAsia="lv-LV"/>
              </w:rPr>
              <w:t>Ārlietu ministrija:</w:t>
            </w:r>
          </w:p>
          <w:p w14:paraId="20E69135" w14:textId="72BDABDC" w:rsidR="009B746F" w:rsidRPr="009F0CAB" w:rsidRDefault="009B746F" w:rsidP="00DB2EEF">
            <w:pPr>
              <w:pStyle w:val="CommentText"/>
              <w:jc w:val="both"/>
              <w:rPr>
                <w:rFonts w:eastAsia="Times New Roman" w:cs="Times New Roman"/>
                <w:bCs/>
                <w:sz w:val="24"/>
                <w:szCs w:val="24"/>
                <w:lang w:eastAsia="lv-LV"/>
              </w:rPr>
            </w:pPr>
            <w:r w:rsidRPr="009F0CAB">
              <w:rPr>
                <w:rFonts w:eastAsia="Times New Roman" w:cs="Times New Roman"/>
                <w:bCs/>
                <w:sz w:val="24"/>
                <w:szCs w:val="24"/>
                <w:lang w:eastAsia="lv-LV"/>
              </w:rPr>
              <w:t>Lūgums precizēt kopējo summu.</w:t>
            </w:r>
          </w:p>
          <w:p w14:paraId="79969532" w14:textId="77777777" w:rsidR="009B746F" w:rsidRPr="009F0CAB" w:rsidRDefault="009B746F" w:rsidP="00DB2EEF">
            <w:pPr>
              <w:widowControl w:val="0"/>
              <w:jc w:val="both"/>
              <w:rPr>
                <w:bCs/>
              </w:rPr>
            </w:pPr>
          </w:p>
          <w:p w14:paraId="5AB071F3" w14:textId="0F059710" w:rsidR="009B746F" w:rsidRPr="009F0CAB" w:rsidRDefault="009B746F" w:rsidP="00DB2EEF">
            <w:pPr>
              <w:widowControl w:val="0"/>
              <w:jc w:val="both"/>
              <w:rPr>
                <w:bCs/>
              </w:rPr>
            </w:pPr>
          </w:p>
        </w:tc>
        <w:tc>
          <w:tcPr>
            <w:tcW w:w="4222" w:type="dxa"/>
            <w:gridSpan w:val="2"/>
            <w:tcBorders>
              <w:left w:val="single" w:sz="6" w:space="0" w:color="000000"/>
              <w:bottom w:val="single" w:sz="4" w:space="0" w:color="auto"/>
              <w:right w:val="single" w:sz="6" w:space="0" w:color="000000"/>
            </w:tcBorders>
            <w:shd w:val="clear" w:color="auto" w:fill="auto"/>
          </w:tcPr>
          <w:p w14:paraId="5B788CF1" w14:textId="77777777" w:rsidR="009B746F" w:rsidRPr="009F0CAB" w:rsidRDefault="009B746F" w:rsidP="00DB2EEF">
            <w:pPr>
              <w:pStyle w:val="naisc"/>
              <w:spacing w:before="0" w:after="0"/>
              <w:jc w:val="both"/>
              <w:rPr>
                <w:b/>
                <w:bCs/>
              </w:rPr>
            </w:pPr>
            <w:r w:rsidRPr="009F0CAB">
              <w:rPr>
                <w:b/>
                <w:bCs/>
              </w:rPr>
              <w:lastRenderedPageBreak/>
              <w:t>Ņemts vērā.</w:t>
            </w:r>
          </w:p>
          <w:p w14:paraId="3E10607A" w14:textId="454D5BB9" w:rsidR="009B746F" w:rsidRPr="009F0CAB" w:rsidRDefault="009B746F" w:rsidP="00DB2EEF">
            <w:pPr>
              <w:pStyle w:val="naisc"/>
              <w:spacing w:before="0" w:after="0"/>
              <w:jc w:val="both"/>
            </w:pPr>
            <w:r w:rsidRPr="009F0CAB">
              <w:t xml:space="preserve">Ņemot vērā izziņas 12. punktā iekļauto priekšlikumu t.i.,  informācija par projekta Nr. </w:t>
            </w:r>
            <w:r w:rsidRPr="009F0CAB">
              <w:rPr>
                <w:bCs/>
              </w:rPr>
              <w:t xml:space="preserve">Nr. 9.1.1.2/15/I/001 “Atbalsts </w:t>
            </w:r>
            <w:r w:rsidRPr="009F0CAB">
              <w:rPr>
                <w:bCs/>
              </w:rPr>
              <w:lastRenderedPageBreak/>
              <w:t xml:space="preserve">ilgstošajiem bezdarbniekiem” neatbilstību dzēsta no ziņojuma, attiecīgi ziņojuma noslēgumā minētā vērtība precizēta uz </w:t>
            </w:r>
            <w:r w:rsidRPr="009F0CAB">
              <w:t xml:space="preserve">7 343,77 </w:t>
            </w:r>
            <w:proofErr w:type="spellStart"/>
            <w:r w:rsidRPr="009F0CAB">
              <w:rPr>
                <w:i/>
              </w:rPr>
              <w:t>euro</w:t>
            </w:r>
            <w:proofErr w:type="spellEnd"/>
            <w:r w:rsidRPr="009F0CAB">
              <w:rPr>
                <w:i/>
              </w:rPr>
              <w:t>.</w:t>
            </w:r>
          </w:p>
        </w:tc>
        <w:tc>
          <w:tcPr>
            <w:tcW w:w="2733" w:type="dxa"/>
            <w:tcBorders>
              <w:top w:val="single" w:sz="4" w:space="0" w:color="auto"/>
              <w:left w:val="single" w:sz="4" w:space="0" w:color="auto"/>
              <w:bottom w:val="single" w:sz="4" w:space="0" w:color="auto"/>
            </w:tcBorders>
            <w:shd w:val="clear" w:color="auto" w:fill="auto"/>
          </w:tcPr>
          <w:p w14:paraId="15520310" w14:textId="4571E59B" w:rsidR="009B746F" w:rsidRPr="009F0CAB" w:rsidRDefault="009B746F" w:rsidP="00DB2EEF">
            <w:pPr>
              <w:pStyle w:val="Default"/>
              <w:shd w:val="clear" w:color="auto" w:fill="FFFFFF" w:themeFill="background1"/>
              <w:tabs>
                <w:tab w:val="left" w:pos="0"/>
              </w:tabs>
              <w:spacing w:before="0" w:after="0" w:line="240" w:lineRule="auto"/>
              <w:rPr>
                <w:color w:val="auto"/>
              </w:rPr>
            </w:pPr>
            <w:r w:rsidRPr="009F0CAB">
              <w:rPr>
                <w:color w:val="auto"/>
              </w:rPr>
              <w:lastRenderedPageBreak/>
              <w:t xml:space="preserve">Skatīt precizējumus MK </w:t>
            </w:r>
            <w:proofErr w:type="spellStart"/>
            <w:r w:rsidRPr="009F0CAB">
              <w:rPr>
                <w:color w:val="auto"/>
              </w:rPr>
              <w:t>protokollēmumā</w:t>
            </w:r>
            <w:proofErr w:type="spellEnd"/>
            <w:r w:rsidRPr="009F0CAB">
              <w:rPr>
                <w:color w:val="auto"/>
              </w:rPr>
              <w:t xml:space="preserve"> un ziņojuma 5. sadaļā </w:t>
            </w:r>
            <w:r w:rsidRPr="009F0CAB">
              <w:rPr>
                <w:color w:val="auto"/>
              </w:rPr>
              <w:lastRenderedPageBreak/>
              <w:t>“Priekšlikumi MK lēmumiem”.</w:t>
            </w:r>
          </w:p>
        </w:tc>
      </w:tr>
      <w:tr w:rsidR="009F0CAB" w:rsidRPr="009F0CAB" w14:paraId="2DAFE69F" w14:textId="77777777" w:rsidTr="007F29E6">
        <w:trPr>
          <w:trHeight w:val="329"/>
        </w:trPr>
        <w:tc>
          <w:tcPr>
            <w:tcW w:w="993" w:type="dxa"/>
            <w:tcBorders>
              <w:left w:val="single" w:sz="6" w:space="0" w:color="000000"/>
              <w:bottom w:val="single" w:sz="4" w:space="0" w:color="auto"/>
              <w:right w:val="single" w:sz="6" w:space="0" w:color="000000"/>
            </w:tcBorders>
          </w:tcPr>
          <w:p w14:paraId="1410D844" w14:textId="6DB7588C" w:rsidR="005D07A7" w:rsidRPr="009F0CAB" w:rsidRDefault="005D07A7" w:rsidP="005D07A7">
            <w:pPr>
              <w:pStyle w:val="naisc"/>
              <w:numPr>
                <w:ilvl w:val="0"/>
                <w:numId w:val="2"/>
              </w:numPr>
              <w:tabs>
                <w:tab w:val="left" w:pos="314"/>
              </w:tabs>
              <w:spacing w:before="0" w:after="0"/>
              <w:ind w:left="0" w:firstLine="0"/>
              <w:jc w:val="right"/>
            </w:pPr>
          </w:p>
        </w:tc>
        <w:tc>
          <w:tcPr>
            <w:tcW w:w="2146" w:type="dxa"/>
            <w:tcBorders>
              <w:left w:val="single" w:sz="6" w:space="0" w:color="000000"/>
              <w:bottom w:val="single" w:sz="4" w:space="0" w:color="auto"/>
              <w:right w:val="single" w:sz="6" w:space="0" w:color="000000"/>
            </w:tcBorders>
          </w:tcPr>
          <w:p w14:paraId="6545708F" w14:textId="16E795A7" w:rsidR="005D07A7" w:rsidRPr="009F0CAB" w:rsidRDefault="005D07A7" w:rsidP="00DB2EEF">
            <w:pPr>
              <w:pStyle w:val="naisc"/>
              <w:spacing w:before="0" w:after="0"/>
              <w:jc w:val="both"/>
              <w:rPr>
                <w:rFonts w:eastAsia="Calibri"/>
                <w:lang w:eastAsia="en-US"/>
              </w:rPr>
            </w:pPr>
            <w:r w:rsidRPr="009F0CAB">
              <w:t>Informatīvā ziņojuma pielikums Nr. 1 “</w:t>
            </w:r>
            <w:r w:rsidRPr="009F0CAB">
              <w:rPr>
                <w:iCs/>
              </w:rPr>
              <w:t>Covid-19 seku mazināšanai piešķirto līdzekļu progress ES fondu 2014.-2020. gada plānošanas perioda darbības programmas "Izaugsme un nodarbinātība" ietvaros</w:t>
            </w:r>
            <w:r w:rsidRPr="009F0CAB">
              <w:t>”</w:t>
            </w:r>
          </w:p>
        </w:tc>
        <w:tc>
          <w:tcPr>
            <w:tcW w:w="4224" w:type="dxa"/>
            <w:gridSpan w:val="2"/>
            <w:tcBorders>
              <w:left w:val="single" w:sz="6" w:space="0" w:color="000000"/>
              <w:bottom w:val="single" w:sz="4" w:space="0" w:color="auto"/>
              <w:right w:val="single" w:sz="6" w:space="0" w:color="000000"/>
            </w:tcBorders>
            <w:shd w:val="clear" w:color="auto" w:fill="auto"/>
          </w:tcPr>
          <w:p w14:paraId="19A0372D" w14:textId="3D53B915" w:rsidR="005D07A7" w:rsidRPr="009F0CAB" w:rsidRDefault="005D07A7" w:rsidP="00DB2EEF">
            <w:pPr>
              <w:pStyle w:val="naisc"/>
              <w:spacing w:before="0" w:after="0"/>
              <w:jc w:val="both"/>
              <w:rPr>
                <w:b/>
              </w:rPr>
            </w:pPr>
            <w:r w:rsidRPr="009F0CAB">
              <w:rPr>
                <w:b/>
              </w:rPr>
              <w:t>Iebildums</w:t>
            </w:r>
          </w:p>
          <w:p w14:paraId="410C001C" w14:textId="77777777" w:rsidR="005D07A7" w:rsidRPr="009F0CAB" w:rsidRDefault="005D07A7" w:rsidP="00DB2EEF">
            <w:pPr>
              <w:pStyle w:val="naisc"/>
              <w:spacing w:before="0"/>
              <w:jc w:val="both"/>
              <w:rPr>
                <w:b/>
              </w:rPr>
            </w:pPr>
            <w:r w:rsidRPr="009F0CAB">
              <w:rPr>
                <w:b/>
              </w:rPr>
              <w:t>VARAM</w:t>
            </w:r>
          </w:p>
          <w:p w14:paraId="33FBFF35" w14:textId="2F5267EF" w:rsidR="005D07A7" w:rsidRPr="009F0CAB" w:rsidRDefault="005D07A7" w:rsidP="00DB2EEF">
            <w:pPr>
              <w:tabs>
                <w:tab w:val="right" w:pos="2127"/>
                <w:tab w:val="left" w:pos="2410"/>
                <w:tab w:val="right" w:leader="underscore" w:pos="4820"/>
              </w:tabs>
              <w:jc w:val="both"/>
            </w:pPr>
            <w:r w:rsidRPr="009F0CAB">
              <w:t>Lūdzam papildināt informatīvā ziņojuma 1.pielikumā “</w:t>
            </w:r>
            <w:r w:rsidRPr="009F0CAB">
              <w:rPr>
                <w:iCs/>
              </w:rPr>
              <w:t>Covid-19 seku mazināšanai piešķirto līdzekļu progress ES fondu 2014.-2020. gada plānošanas perioda darbības programmas "Izaugsme un nodarbinātība" ietvaros</w:t>
            </w:r>
            <w:r w:rsidRPr="009F0CAB">
              <w:t>” informāciju par specifiskā atbalsta mērķa pasākumu 5.2.1.2, papildinot kolonnu “</w:t>
            </w:r>
            <w:r w:rsidRPr="009F0CAB">
              <w:rPr>
                <w:iCs/>
              </w:rPr>
              <w:t>Informācija par MK noteikumu un ieviešanas progresa statusu</w:t>
            </w:r>
            <w:r w:rsidRPr="009F0CAB">
              <w:t>” ar skaidrojumu šādā redakcijā “</w:t>
            </w:r>
            <w:r w:rsidRPr="009F0CAB">
              <w:rPr>
                <w:i/>
                <w:iCs/>
              </w:rPr>
              <w:t xml:space="preserve">Kopā atklātā projektu iesniegumu atlasē pieprasīts Kohēzijas fonda finansējums </w:t>
            </w:r>
            <w:r w:rsidRPr="009F0CAB">
              <w:rPr>
                <w:i/>
                <w:iCs/>
              </w:rPr>
              <w:lastRenderedPageBreak/>
              <w:t>29,7 milj. eiro apmērā. Savukārt kolonnā “Iesniegto projektu/iesniegto līguma grozījumu finansējums” ir norādīts potenciāli apstiprināmo projektu apjoms, kas ir indikatīvs, jo precīzs finansējuma apjoms varēs tiks norādīts atbilstoši aktuālajiem datiem pēc projektu iesniegumu vērtēšanas pabeigšanas</w:t>
            </w:r>
            <w:r w:rsidRPr="009F0CAB">
              <w:t>.”</w:t>
            </w:r>
          </w:p>
        </w:tc>
        <w:tc>
          <w:tcPr>
            <w:tcW w:w="4222" w:type="dxa"/>
            <w:gridSpan w:val="2"/>
            <w:tcBorders>
              <w:left w:val="single" w:sz="6" w:space="0" w:color="000000"/>
              <w:bottom w:val="single" w:sz="4" w:space="0" w:color="auto"/>
              <w:right w:val="single" w:sz="6" w:space="0" w:color="000000"/>
            </w:tcBorders>
            <w:shd w:val="clear" w:color="auto" w:fill="auto"/>
          </w:tcPr>
          <w:p w14:paraId="657A6540" w14:textId="4D90E101" w:rsidR="005D07A7" w:rsidRPr="009F0CAB" w:rsidRDefault="005D07A7" w:rsidP="00DB2EEF">
            <w:pPr>
              <w:pStyle w:val="naisc"/>
              <w:spacing w:before="0" w:after="0"/>
              <w:jc w:val="both"/>
              <w:rPr>
                <w:b/>
                <w:bCs/>
              </w:rPr>
            </w:pPr>
            <w:r w:rsidRPr="009F0CAB">
              <w:rPr>
                <w:b/>
                <w:bCs/>
              </w:rPr>
              <w:lastRenderedPageBreak/>
              <w:t>Ņemts vērā</w:t>
            </w:r>
            <w:r w:rsidR="00AD22CC">
              <w:rPr>
                <w:b/>
                <w:bCs/>
              </w:rPr>
              <w:t>.</w:t>
            </w:r>
          </w:p>
        </w:tc>
        <w:tc>
          <w:tcPr>
            <w:tcW w:w="2733" w:type="dxa"/>
            <w:tcBorders>
              <w:top w:val="single" w:sz="4" w:space="0" w:color="auto"/>
              <w:left w:val="single" w:sz="4" w:space="0" w:color="auto"/>
              <w:bottom w:val="single" w:sz="4" w:space="0" w:color="auto"/>
            </w:tcBorders>
            <w:shd w:val="clear" w:color="auto" w:fill="auto"/>
          </w:tcPr>
          <w:p w14:paraId="238B2FA7" w14:textId="6796655F" w:rsidR="005D07A7" w:rsidRPr="009F0CAB" w:rsidRDefault="005D07A7" w:rsidP="00DB2EEF">
            <w:pPr>
              <w:jc w:val="both"/>
            </w:pPr>
            <w:r w:rsidRPr="009F0CAB">
              <w:t>Skatīt papildinājumu 1.pielikumā “</w:t>
            </w:r>
            <w:r w:rsidRPr="009F0CAB">
              <w:rPr>
                <w:iCs/>
              </w:rPr>
              <w:t>Covid-19 seku mazināšanai piešķirto līdzekļu progress ES fondu 2014.-2020. gada plānošanas perioda darbības programmas "Izaugsme un nodarbinātība" ietvaros</w:t>
            </w:r>
            <w:r w:rsidRPr="009F0CAB">
              <w:t>”</w:t>
            </w:r>
            <w:r w:rsidR="00AD22CC">
              <w:t>.</w:t>
            </w:r>
          </w:p>
        </w:tc>
      </w:tr>
      <w:tr w:rsidR="009F0CAB" w:rsidRPr="009F0CAB" w14:paraId="4E60C04F" w14:textId="77777777" w:rsidTr="000E347E">
        <w:tblPrEx>
          <w:tblBorders>
            <w:top w:val="none" w:sz="0" w:space="0" w:color="auto"/>
            <w:left w:val="none" w:sz="0" w:space="0" w:color="auto"/>
            <w:bottom w:val="none" w:sz="0" w:space="0" w:color="auto"/>
            <w:right w:val="none" w:sz="0" w:space="0" w:color="auto"/>
          </w:tblBorders>
        </w:tblPrEx>
        <w:trPr>
          <w:gridAfter w:val="2"/>
          <w:wAfter w:w="4672" w:type="dxa"/>
        </w:trPr>
        <w:tc>
          <w:tcPr>
            <w:tcW w:w="3467" w:type="dxa"/>
            <w:gridSpan w:val="3"/>
          </w:tcPr>
          <w:p w14:paraId="576BF952" w14:textId="77777777" w:rsidR="00735425" w:rsidRPr="009F0CAB" w:rsidRDefault="00735425" w:rsidP="00735425">
            <w:pPr>
              <w:pStyle w:val="naiskr"/>
              <w:spacing w:before="0" w:after="0"/>
              <w:jc w:val="both"/>
            </w:pPr>
          </w:p>
          <w:p w14:paraId="64489062" w14:textId="77777777" w:rsidR="00735425" w:rsidRPr="009F0CAB" w:rsidRDefault="00735425" w:rsidP="00735425">
            <w:pPr>
              <w:pStyle w:val="naiskr"/>
              <w:spacing w:before="0" w:after="0"/>
              <w:jc w:val="both"/>
            </w:pPr>
            <w:r w:rsidRPr="009F0CAB">
              <w:t>Atbildīgā amatpersona</w:t>
            </w:r>
          </w:p>
        </w:tc>
        <w:tc>
          <w:tcPr>
            <w:tcW w:w="6179" w:type="dxa"/>
            <w:gridSpan w:val="2"/>
          </w:tcPr>
          <w:p w14:paraId="4ED7F863" w14:textId="77777777" w:rsidR="00735425" w:rsidRPr="009F0CAB" w:rsidRDefault="00735425" w:rsidP="00735425">
            <w:pPr>
              <w:pStyle w:val="naiskr"/>
              <w:spacing w:before="0" w:after="0"/>
              <w:ind w:firstLine="720"/>
              <w:jc w:val="both"/>
            </w:pPr>
            <w:r w:rsidRPr="009F0CAB">
              <w:t xml:space="preserve"> </w:t>
            </w:r>
          </w:p>
        </w:tc>
      </w:tr>
      <w:tr w:rsidR="009F0CAB" w:rsidRPr="009F0CAB" w14:paraId="0724BE6D" w14:textId="77777777" w:rsidTr="000E347E">
        <w:tblPrEx>
          <w:tblBorders>
            <w:top w:val="none" w:sz="0" w:space="0" w:color="auto"/>
            <w:left w:val="none" w:sz="0" w:space="0" w:color="auto"/>
            <w:bottom w:val="none" w:sz="0" w:space="0" w:color="auto"/>
            <w:right w:val="none" w:sz="0" w:space="0" w:color="auto"/>
          </w:tblBorders>
        </w:tblPrEx>
        <w:trPr>
          <w:gridAfter w:val="2"/>
          <w:wAfter w:w="4672" w:type="dxa"/>
        </w:trPr>
        <w:tc>
          <w:tcPr>
            <w:tcW w:w="3467" w:type="dxa"/>
            <w:gridSpan w:val="3"/>
          </w:tcPr>
          <w:p w14:paraId="70BE8870" w14:textId="77777777" w:rsidR="00735425" w:rsidRPr="009F0CAB" w:rsidRDefault="00735425" w:rsidP="00735425">
            <w:pPr>
              <w:pStyle w:val="naiskr"/>
              <w:spacing w:before="0" w:after="0"/>
              <w:ind w:firstLine="720"/>
              <w:jc w:val="both"/>
            </w:pPr>
          </w:p>
        </w:tc>
        <w:tc>
          <w:tcPr>
            <w:tcW w:w="6179" w:type="dxa"/>
            <w:gridSpan w:val="2"/>
            <w:tcBorders>
              <w:top w:val="single" w:sz="6" w:space="0" w:color="000000"/>
            </w:tcBorders>
          </w:tcPr>
          <w:p w14:paraId="5885268C" w14:textId="77777777" w:rsidR="00735425" w:rsidRPr="009F0CAB" w:rsidRDefault="00735425" w:rsidP="00735425">
            <w:pPr>
              <w:pStyle w:val="naisc"/>
              <w:spacing w:before="0" w:after="0"/>
              <w:ind w:firstLine="720"/>
              <w:jc w:val="both"/>
            </w:pPr>
            <w:r w:rsidRPr="009F0CAB">
              <w:t>(paraksts*)</w:t>
            </w:r>
          </w:p>
        </w:tc>
      </w:tr>
    </w:tbl>
    <w:p w14:paraId="27AA0EDA" w14:textId="77777777" w:rsidR="0012265E" w:rsidRDefault="0012265E" w:rsidP="0012265E">
      <w:pPr>
        <w:pStyle w:val="naisf"/>
        <w:spacing w:before="0" w:after="0"/>
        <w:ind w:firstLine="720"/>
      </w:pPr>
    </w:p>
    <w:p w14:paraId="5AD52C1E" w14:textId="77777777" w:rsidR="0012265E" w:rsidRPr="00712B66" w:rsidRDefault="0012265E" w:rsidP="0012265E">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3F0A6E5D" w14:textId="406DD753" w:rsidR="0012265E" w:rsidRPr="00712B66" w:rsidRDefault="00DB2EEF" w:rsidP="005D04BB">
      <w:pPr>
        <w:pStyle w:val="naisf"/>
        <w:spacing w:after="0"/>
        <w:ind w:firstLine="0"/>
      </w:pPr>
      <w:r>
        <w:t>Līva Jirgensone</w:t>
      </w:r>
    </w:p>
    <w:tbl>
      <w:tblPr>
        <w:tblW w:w="0" w:type="auto"/>
        <w:tblLook w:val="00A0" w:firstRow="1" w:lastRow="0" w:firstColumn="1" w:lastColumn="0" w:noHBand="0" w:noVBand="0"/>
      </w:tblPr>
      <w:tblGrid>
        <w:gridCol w:w="8268"/>
      </w:tblGrid>
      <w:tr w:rsidR="0012265E" w:rsidRPr="00712B66" w14:paraId="319514E0" w14:textId="77777777" w:rsidTr="002B2E28">
        <w:tc>
          <w:tcPr>
            <w:tcW w:w="8268" w:type="dxa"/>
            <w:tcBorders>
              <w:top w:val="single" w:sz="4" w:space="0" w:color="000000"/>
            </w:tcBorders>
          </w:tcPr>
          <w:p w14:paraId="0E38BC1B" w14:textId="77777777" w:rsidR="0012265E" w:rsidRPr="00712B66" w:rsidRDefault="0012265E" w:rsidP="002B2E28">
            <w:pPr>
              <w:jc w:val="both"/>
            </w:pPr>
            <w:r>
              <w:t>(</w:t>
            </w:r>
            <w:r w:rsidRPr="00712B66">
              <w:t xml:space="preserve">par projektu atbildīgās amatpersonas </w:t>
            </w:r>
            <w:r>
              <w:t xml:space="preserve">vārds un </w:t>
            </w:r>
            <w:r w:rsidRPr="00712B66">
              <w:t>uzvārds</w:t>
            </w:r>
            <w:r>
              <w:t>)</w:t>
            </w:r>
          </w:p>
        </w:tc>
      </w:tr>
      <w:tr w:rsidR="0012265E" w:rsidRPr="00712B66" w14:paraId="48DB4032" w14:textId="77777777" w:rsidTr="002B2E28">
        <w:tc>
          <w:tcPr>
            <w:tcW w:w="8268" w:type="dxa"/>
            <w:tcBorders>
              <w:bottom w:val="single" w:sz="4" w:space="0" w:color="000000"/>
            </w:tcBorders>
          </w:tcPr>
          <w:p w14:paraId="3594E0A2" w14:textId="77777777" w:rsidR="00DB2EEF" w:rsidRDefault="00DB2EEF" w:rsidP="005D04BB">
            <w:pPr>
              <w:spacing w:before="240"/>
              <w:jc w:val="both"/>
            </w:pPr>
            <w:r>
              <w:t xml:space="preserve">Finanšu ministrijas ES fondu investīciju pārvaldības departamenta </w:t>
            </w:r>
          </w:p>
          <w:p w14:paraId="3F4EB0A3" w14:textId="2B7A700F" w:rsidR="0012265E" w:rsidRPr="00712B66" w:rsidRDefault="00DB2EEF" w:rsidP="00DB2EEF">
            <w:pPr>
              <w:jc w:val="both"/>
            </w:pPr>
            <w:r>
              <w:t>ES fondu investīciju ziņojumu nodaļas vecākā eksperte</w:t>
            </w:r>
          </w:p>
        </w:tc>
      </w:tr>
      <w:tr w:rsidR="0012265E" w:rsidRPr="00712B66" w14:paraId="48989387" w14:textId="77777777" w:rsidTr="002B2E28">
        <w:tc>
          <w:tcPr>
            <w:tcW w:w="8268" w:type="dxa"/>
            <w:tcBorders>
              <w:top w:val="single" w:sz="4" w:space="0" w:color="000000"/>
            </w:tcBorders>
          </w:tcPr>
          <w:p w14:paraId="1E3A95FB" w14:textId="77777777" w:rsidR="0012265E" w:rsidRPr="00712B66" w:rsidRDefault="0012265E" w:rsidP="002B2E28">
            <w:pPr>
              <w:jc w:val="both"/>
            </w:pPr>
            <w:bookmarkStart w:id="12" w:name="_GoBack" w:colFirst="1" w:colLast="1"/>
            <w:r>
              <w:t>(</w:t>
            </w:r>
            <w:r w:rsidRPr="00712B66">
              <w:t>amats</w:t>
            </w:r>
            <w:r>
              <w:t>)</w:t>
            </w:r>
          </w:p>
        </w:tc>
      </w:tr>
      <w:tr w:rsidR="0012265E" w:rsidRPr="00712B66" w14:paraId="2FD98625" w14:textId="77777777" w:rsidTr="002B2E28">
        <w:tc>
          <w:tcPr>
            <w:tcW w:w="8268" w:type="dxa"/>
            <w:tcBorders>
              <w:bottom w:val="single" w:sz="4" w:space="0" w:color="000000"/>
            </w:tcBorders>
          </w:tcPr>
          <w:p w14:paraId="2060779D" w14:textId="16020A8B" w:rsidR="0012265E" w:rsidRPr="00712B66" w:rsidRDefault="00DB2EEF" w:rsidP="005D04BB">
            <w:pPr>
              <w:spacing w:before="240"/>
              <w:jc w:val="both"/>
            </w:pPr>
            <w:r w:rsidRPr="00DB2EEF">
              <w:t>67095599</w:t>
            </w:r>
          </w:p>
        </w:tc>
      </w:tr>
      <w:bookmarkEnd w:id="12"/>
      <w:tr w:rsidR="0012265E" w:rsidRPr="00712B66" w14:paraId="50205B75" w14:textId="77777777" w:rsidTr="002B2E28">
        <w:tc>
          <w:tcPr>
            <w:tcW w:w="8268" w:type="dxa"/>
            <w:tcBorders>
              <w:top w:val="single" w:sz="4" w:space="0" w:color="000000"/>
            </w:tcBorders>
          </w:tcPr>
          <w:p w14:paraId="46FC178D" w14:textId="77777777" w:rsidR="0012265E" w:rsidRPr="00712B66" w:rsidRDefault="0012265E" w:rsidP="002B2E28">
            <w:pPr>
              <w:jc w:val="both"/>
            </w:pPr>
            <w:r>
              <w:t>(</w:t>
            </w:r>
            <w:r w:rsidRPr="00712B66">
              <w:t>tālruņa un faksa numurs</w:t>
            </w:r>
            <w:r>
              <w:t>)</w:t>
            </w:r>
          </w:p>
        </w:tc>
      </w:tr>
      <w:tr w:rsidR="0012265E" w:rsidRPr="00712B66" w14:paraId="287FB791" w14:textId="77777777" w:rsidTr="002B2E28">
        <w:tc>
          <w:tcPr>
            <w:tcW w:w="8268" w:type="dxa"/>
            <w:tcBorders>
              <w:bottom w:val="single" w:sz="4" w:space="0" w:color="000000"/>
            </w:tcBorders>
          </w:tcPr>
          <w:p w14:paraId="04616C2D" w14:textId="61039130" w:rsidR="0012265E" w:rsidRPr="00712B66" w:rsidRDefault="005938FC" w:rsidP="005D04BB">
            <w:pPr>
              <w:spacing w:before="240"/>
              <w:jc w:val="both"/>
            </w:pPr>
            <w:hyperlink r:id="rId9" w:history="1">
              <w:r w:rsidR="005D04BB" w:rsidRPr="00F00EAC">
                <w:rPr>
                  <w:rStyle w:val="Hyperlink"/>
                  <w:color w:val="000000" w:themeColor="text1"/>
                </w:rPr>
                <w:t>liva.jirgensone@fm.gov.lv</w:t>
              </w:r>
            </w:hyperlink>
            <w:r w:rsidR="005D04BB" w:rsidRPr="00F00EAC">
              <w:rPr>
                <w:color w:val="000000" w:themeColor="text1"/>
              </w:rPr>
              <w:t xml:space="preserve"> </w:t>
            </w:r>
          </w:p>
        </w:tc>
      </w:tr>
      <w:tr w:rsidR="0012265E" w:rsidRPr="00712B66" w14:paraId="34979454" w14:textId="77777777" w:rsidTr="002B2E28">
        <w:tc>
          <w:tcPr>
            <w:tcW w:w="8268" w:type="dxa"/>
            <w:tcBorders>
              <w:top w:val="single" w:sz="4" w:space="0" w:color="000000"/>
            </w:tcBorders>
          </w:tcPr>
          <w:p w14:paraId="46B1F883" w14:textId="77777777" w:rsidR="0012265E" w:rsidRPr="00712B66" w:rsidRDefault="0012265E" w:rsidP="002B2E28">
            <w:pPr>
              <w:jc w:val="both"/>
            </w:pPr>
            <w:r>
              <w:t>(</w:t>
            </w:r>
            <w:r w:rsidRPr="00712B66">
              <w:t>e-pasta adrese</w:t>
            </w:r>
            <w:r>
              <w:t>)</w:t>
            </w:r>
          </w:p>
        </w:tc>
      </w:tr>
    </w:tbl>
    <w:p w14:paraId="36223315" w14:textId="77777777" w:rsidR="0012265E" w:rsidRDefault="0012265E" w:rsidP="0012265E">
      <w:pPr>
        <w:pStyle w:val="naisf"/>
        <w:spacing w:before="0" w:after="0"/>
        <w:ind w:firstLine="0"/>
        <w:rPr>
          <w:sz w:val="28"/>
          <w:szCs w:val="28"/>
        </w:rPr>
      </w:pPr>
    </w:p>
    <w:p w14:paraId="590E7AEE" w14:textId="77777777" w:rsidR="006558A3" w:rsidRDefault="006558A3"/>
    <w:sectPr w:rsidR="006558A3" w:rsidSect="0012265E">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5282" w14:textId="77777777" w:rsidR="004362B7" w:rsidRDefault="00AF4946">
      <w:r>
        <w:separator/>
      </w:r>
    </w:p>
  </w:endnote>
  <w:endnote w:type="continuationSeparator" w:id="0">
    <w:p w14:paraId="70323717" w14:textId="77777777" w:rsidR="004362B7" w:rsidRDefault="00AF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Times New Roman"/>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F65D" w14:textId="07E1E8D3" w:rsidR="00561D3C" w:rsidRPr="00712DD4" w:rsidRDefault="00712DD4" w:rsidP="00712DD4">
    <w:pPr>
      <w:pStyle w:val="Footer"/>
    </w:pPr>
    <w:r w:rsidRPr="00712DD4">
      <w:rPr>
        <w:sz w:val="20"/>
        <w:szCs w:val="20"/>
      </w:rPr>
      <w:t>FMizz_19022021_ES_fondi.docx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C709" w14:textId="5EFFB9C5" w:rsidR="006455E7" w:rsidRPr="00712DD4" w:rsidRDefault="00712DD4" w:rsidP="005444C4">
    <w:pPr>
      <w:pStyle w:val="Footer"/>
      <w:rPr>
        <w:sz w:val="20"/>
      </w:rPr>
    </w:pPr>
    <w:r w:rsidRPr="00712DD4">
      <w:rPr>
        <w:sz w:val="20"/>
      </w:rPr>
      <w:t>FMizz_19022021_ES_fondi.docx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CF2F" w14:textId="77777777" w:rsidR="004362B7" w:rsidRDefault="00AF4946">
      <w:r>
        <w:separator/>
      </w:r>
    </w:p>
  </w:footnote>
  <w:footnote w:type="continuationSeparator" w:id="0">
    <w:p w14:paraId="65835CB7" w14:textId="77777777" w:rsidR="004362B7" w:rsidRDefault="00AF4946">
      <w:r>
        <w:continuationSeparator/>
      </w:r>
    </w:p>
  </w:footnote>
  <w:footnote w:id="1">
    <w:p w14:paraId="78465E92" w14:textId="77777777" w:rsidR="00876336" w:rsidRDefault="00876336" w:rsidP="00876336">
      <w:pPr>
        <w:rPr>
          <w:sz w:val="20"/>
          <w:szCs w:val="20"/>
        </w:rPr>
      </w:pPr>
      <w:r>
        <w:rPr>
          <w:rStyle w:val="FootnoteReference"/>
        </w:rPr>
        <w:t>[1]</w:t>
      </w:r>
      <w:r>
        <w:t xml:space="preserve"> </w:t>
      </w:r>
      <w:r>
        <w:rPr>
          <w:sz w:val="20"/>
          <w:szCs w:val="20"/>
        </w:rPr>
        <w:t xml:space="preserve">Ministru kabineta 2019.gada 23.aprīļa sēdes </w:t>
      </w:r>
      <w:proofErr w:type="spellStart"/>
      <w:r>
        <w:rPr>
          <w:sz w:val="20"/>
          <w:szCs w:val="20"/>
        </w:rPr>
        <w:t>protokollēmums</w:t>
      </w:r>
      <w:proofErr w:type="spellEnd"/>
      <w:r>
        <w:rPr>
          <w:sz w:val="20"/>
          <w:szCs w:val="20"/>
        </w:rPr>
        <w:t xml:space="preserve"> Nr.21 23.§ “Informatīvais ziņojums “Par Kohēzijas politikas Eiropas Savienības fondu investīciju aktualitātēm līdz 2018.gada 31.decembrim un 2019.gada februāra ikmēneša operatīvā informācija””.</w:t>
      </w:r>
    </w:p>
  </w:footnote>
  <w:footnote w:id="2">
    <w:p w14:paraId="3EA70465" w14:textId="77777777" w:rsidR="00876336" w:rsidRDefault="00876336" w:rsidP="00876336">
      <w:pPr>
        <w:pStyle w:val="FootnoteText"/>
        <w:rPr>
          <w:rFonts w:ascii="Times New Roman" w:hAnsi="Times New Roman"/>
          <w:lang w:val="lv-LV"/>
        </w:rPr>
      </w:pPr>
      <w:r>
        <w:rPr>
          <w:rStyle w:val="FootnoteReference"/>
          <w:rFonts w:ascii="Times New Roman" w:hAnsi="Times New Roman"/>
          <w:lang w:val="lv-LV"/>
        </w:rPr>
        <w:t>[2]</w:t>
      </w:r>
      <w:r>
        <w:rPr>
          <w:rFonts w:ascii="Times New Roman" w:hAnsi="Times New Roman"/>
          <w:lang w:val="lv-LV"/>
        </w:rPr>
        <w:t xml:space="preserve"> Satiksmes ministrijai 2019.gada 4.jūlija elektroniskā pasta sūtījums.</w:t>
      </w:r>
    </w:p>
  </w:footnote>
  <w:footnote w:id="3">
    <w:p w14:paraId="28606C30" w14:textId="77777777" w:rsidR="00876336" w:rsidRDefault="00876336" w:rsidP="00876336">
      <w:pPr>
        <w:pStyle w:val="FootnoteText"/>
        <w:rPr>
          <w:rFonts w:ascii="Times New Roman" w:hAnsi="Times New Roman"/>
          <w:lang w:val="lv-LV"/>
        </w:rPr>
      </w:pPr>
      <w:r>
        <w:rPr>
          <w:rStyle w:val="FootnoteReference"/>
          <w:lang w:val="lv-LV"/>
        </w:rPr>
        <w:t>[3]</w:t>
      </w:r>
      <w:r>
        <w:rPr>
          <w:lang w:val="lv-LV"/>
        </w:rPr>
        <w:t xml:space="preserve"> </w:t>
      </w:r>
      <w:r>
        <w:rPr>
          <w:rFonts w:ascii="Times New Roman" w:hAnsi="Times New Roman"/>
          <w:lang w:val="lv-LV"/>
        </w:rPr>
        <w:t>Ministru kabineta 2020.gada 22.septembra sēdes protokols Nr.55  (38.§ 32.punkts)</w:t>
      </w:r>
    </w:p>
  </w:footnote>
  <w:footnote w:id="4">
    <w:p w14:paraId="25EFE3A5" w14:textId="77777777" w:rsidR="00FA062A" w:rsidRPr="00241C9B" w:rsidRDefault="00FA062A" w:rsidP="007B1411">
      <w:pPr>
        <w:rPr>
          <w:sz w:val="28"/>
          <w:szCs w:val="28"/>
        </w:rPr>
      </w:pPr>
      <w:r>
        <w:rPr>
          <w:rStyle w:val="FootnoteReference"/>
        </w:rPr>
        <w:footnoteRef/>
      </w:r>
      <w:r>
        <w:t xml:space="preserve"> </w:t>
      </w:r>
      <w:r w:rsidRPr="006D09D7">
        <w:rPr>
          <w:sz w:val="20"/>
          <w:szCs w:val="20"/>
        </w:rPr>
        <w:t>Detāla informācija ir pieejama ES fondu tīmekļa vietnē ES fondi 2014 - 2020 → Ieviešana → Ieviešanas plāni un to izpilde → 2020→”2. Projektu iesniegšanas plānu izpilde ierobežotas projektu iesniegšanas atlašu projektiem un maksājumu pieprasījumu iesniegšanas plānu izpilde” → XII mēnesis → ”Maksājumu pieprasījumu izpilde” →https://www.esfondi.lv/2020.gads.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C22" w14:textId="77777777" w:rsidR="006455E7" w:rsidRDefault="000E34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BAEFB" w14:textId="77777777" w:rsidR="006455E7" w:rsidRDefault="00593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168A" w14:textId="0F3862D3" w:rsidR="006455E7" w:rsidRDefault="000E347E" w:rsidP="000E3CA1">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938FC">
      <w:rPr>
        <w:rStyle w:val="PageNumber"/>
        <w:noProof/>
      </w:rPr>
      <w:t>30</w:t>
    </w:r>
    <w:r>
      <w:rPr>
        <w:rStyle w:val="PageNumber"/>
      </w:rPr>
      <w:fldChar w:fldCharType="end"/>
    </w:r>
  </w:p>
  <w:p w14:paraId="09ADA166" w14:textId="77777777" w:rsidR="006455E7" w:rsidRDefault="00593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2CDB"/>
    <w:multiLevelType w:val="hybridMultilevel"/>
    <w:tmpl w:val="3CCEF64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6240"/>
    <w:multiLevelType w:val="hybridMultilevel"/>
    <w:tmpl w:val="A2F655AE"/>
    <w:lvl w:ilvl="0" w:tplc="099634E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1">
    <w:nsid w:val="15225BA4"/>
    <w:multiLevelType w:val="hybridMultilevel"/>
    <w:tmpl w:val="974E2278"/>
    <w:lvl w:ilvl="0" w:tplc="F3E43746">
      <w:start w:val="1"/>
      <w:numFmt w:val="decimal"/>
      <w:lvlText w:val="%1."/>
      <w:lvlJc w:val="left"/>
      <w:pPr>
        <w:ind w:left="1080" w:hanging="360"/>
      </w:pPr>
      <w:rPr>
        <w:rFonts w:hint="default"/>
      </w:rPr>
    </w:lvl>
    <w:lvl w:ilvl="1" w:tplc="E9E23CD6">
      <w:start w:val="1"/>
      <w:numFmt w:val="lowerLetter"/>
      <w:lvlText w:val="%2."/>
      <w:lvlJc w:val="left"/>
      <w:pPr>
        <w:ind w:left="1800" w:hanging="360"/>
      </w:pPr>
    </w:lvl>
    <w:lvl w:ilvl="2" w:tplc="4E8CDD16" w:tentative="1">
      <w:start w:val="1"/>
      <w:numFmt w:val="lowerRoman"/>
      <w:lvlText w:val="%3."/>
      <w:lvlJc w:val="right"/>
      <w:pPr>
        <w:ind w:left="2520" w:hanging="180"/>
      </w:pPr>
    </w:lvl>
    <w:lvl w:ilvl="3" w:tplc="41BC5B30" w:tentative="1">
      <w:start w:val="1"/>
      <w:numFmt w:val="decimal"/>
      <w:lvlText w:val="%4."/>
      <w:lvlJc w:val="left"/>
      <w:pPr>
        <w:ind w:left="3240" w:hanging="360"/>
      </w:pPr>
    </w:lvl>
    <w:lvl w:ilvl="4" w:tplc="DCD227C6" w:tentative="1">
      <w:start w:val="1"/>
      <w:numFmt w:val="lowerLetter"/>
      <w:lvlText w:val="%5."/>
      <w:lvlJc w:val="left"/>
      <w:pPr>
        <w:ind w:left="3960" w:hanging="360"/>
      </w:pPr>
    </w:lvl>
    <w:lvl w:ilvl="5" w:tplc="39467E0E" w:tentative="1">
      <w:start w:val="1"/>
      <w:numFmt w:val="lowerRoman"/>
      <w:lvlText w:val="%6."/>
      <w:lvlJc w:val="right"/>
      <w:pPr>
        <w:ind w:left="4680" w:hanging="180"/>
      </w:pPr>
    </w:lvl>
    <w:lvl w:ilvl="6" w:tplc="7A3AA090" w:tentative="1">
      <w:start w:val="1"/>
      <w:numFmt w:val="decimal"/>
      <w:lvlText w:val="%7."/>
      <w:lvlJc w:val="left"/>
      <w:pPr>
        <w:ind w:left="5400" w:hanging="360"/>
      </w:pPr>
    </w:lvl>
    <w:lvl w:ilvl="7" w:tplc="49825EBA" w:tentative="1">
      <w:start w:val="1"/>
      <w:numFmt w:val="lowerLetter"/>
      <w:lvlText w:val="%8."/>
      <w:lvlJc w:val="left"/>
      <w:pPr>
        <w:ind w:left="6120" w:hanging="360"/>
      </w:pPr>
    </w:lvl>
    <w:lvl w:ilvl="8" w:tplc="7FE0171C" w:tentative="1">
      <w:start w:val="1"/>
      <w:numFmt w:val="lowerRoman"/>
      <w:lvlText w:val="%9."/>
      <w:lvlJc w:val="right"/>
      <w:pPr>
        <w:ind w:left="6840" w:hanging="180"/>
      </w:pPr>
    </w:lvl>
  </w:abstractNum>
  <w:abstractNum w:abstractNumId="3" w15:restartNumberingAfterBreak="0">
    <w:nsid w:val="1A19547B"/>
    <w:multiLevelType w:val="hybridMultilevel"/>
    <w:tmpl w:val="81700910"/>
    <w:lvl w:ilvl="0" w:tplc="5DD2DDE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74A6B15"/>
    <w:multiLevelType w:val="hybridMultilevel"/>
    <w:tmpl w:val="E2AC8F3C"/>
    <w:lvl w:ilvl="0" w:tplc="2426464A">
      <w:start w:val="1"/>
      <w:numFmt w:val="decimal"/>
      <w:lvlText w:val="%1."/>
      <w:lvlJc w:val="left"/>
      <w:pPr>
        <w:ind w:left="720" w:hanging="360"/>
      </w:pPr>
      <w:rPr>
        <w:rFonts w:ascii="Times New Roman" w:eastAsia="Calibri" w:hAnsi="Times New Roman" w:cs="Times New Roman"/>
        <w:i w:val="0"/>
        <w:iCs w:val="0"/>
      </w:rPr>
    </w:lvl>
    <w:lvl w:ilvl="1" w:tplc="7324C9EC">
      <w:start w:val="1"/>
      <w:numFmt w:val="lowerLetter"/>
      <w:lvlText w:val="%2)"/>
      <w:lvlJc w:val="left"/>
      <w:pPr>
        <w:ind w:left="1440" w:hanging="360"/>
      </w:pPr>
      <w:rPr>
        <w:rFonts w:ascii="Times New Roman" w:eastAsia="Calibr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8975D11"/>
    <w:multiLevelType w:val="hybridMultilevel"/>
    <w:tmpl w:val="E2AC8F3C"/>
    <w:lvl w:ilvl="0" w:tplc="2426464A">
      <w:start w:val="1"/>
      <w:numFmt w:val="decimal"/>
      <w:lvlText w:val="%1."/>
      <w:lvlJc w:val="left"/>
      <w:pPr>
        <w:ind w:left="720" w:hanging="360"/>
      </w:pPr>
      <w:rPr>
        <w:rFonts w:ascii="Times New Roman" w:eastAsia="Calibri" w:hAnsi="Times New Roman" w:cs="Times New Roman"/>
        <w:i w:val="0"/>
        <w:iCs w:val="0"/>
      </w:rPr>
    </w:lvl>
    <w:lvl w:ilvl="1" w:tplc="7324C9EC">
      <w:start w:val="1"/>
      <w:numFmt w:val="lowerLetter"/>
      <w:lvlText w:val="%2)"/>
      <w:lvlJc w:val="left"/>
      <w:pPr>
        <w:ind w:left="1440" w:hanging="360"/>
      </w:pPr>
      <w:rPr>
        <w:rFonts w:ascii="Times New Roman" w:eastAsia="Calibr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6F543D"/>
    <w:multiLevelType w:val="hybridMultilevel"/>
    <w:tmpl w:val="D34A4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8740B6"/>
    <w:multiLevelType w:val="hybridMultilevel"/>
    <w:tmpl w:val="E2AC8F3C"/>
    <w:lvl w:ilvl="0" w:tplc="2426464A">
      <w:start w:val="1"/>
      <w:numFmt w:val="decimal"/>
      <w:lvlText w:val="%1."/>
      <w:lvlJc w:val="left"/>
      <w:pPr>
        <w:ind w:left="720" w:hanging="360"/>
      </w:pPr>
      <w:rPr>
        <w:rFonts w:ascii="Times New Roman" w:eastAsia="Calibri" w:hAnsi="Times New Roman" w:cs="Times New Roman"/>
        <w:i w:val="0"/>
        <w:iCs w:val="0"/>
      </w:rPr>
    </w:lvl>
    <w:lvl w:ilvl="1" w:tplc="7324C9EC">
      <w:start w:val="1"/>
      <w:numFmt w:val="lowerLetter"/>
      <w:lvlText w:val="%2)"/>
      <w:lvlJc w:val="left"/>
      <w:pPr>
        <w:ind w:left="1440" w:hanging="360"/>
      </w:pPr>
      <w:rPr>
        <w:rFonts w:ascii="Times New Roman" w:eastAsia="Calibr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CF10231"/>
    <w:multiLevelType w:val="hybridMultilevel"/>
    <w:tmpl w:val="215C26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DBA6D98"/>
    <w:multiLevelType w:val="hybridMultilevel"/>
    <w:tmpl w:val="E2AC8F3C"/>
    <w:lvl w:ilvl="0" w:tplc="2426464A">
      <w:start w:val="1"/>
      <w:numFmt w:val="decimal"/>
      <w:lvlText w:val="%1."/>
      <w:lvlJc w:val="left"/>
      <w:pPr>
        <w:ind w:left="720" w:hanging="360"/>
      </w:pPr>
      <w:rPr>
        <w:rFonts w:ascii="Times New Roman" w:eastAsia="Calibri" w:hAnsi="Times New Roman" w:cs="Times New Roman"/>
        <w:i w:val="0"/>
        <w:iCs w:val="0"/>
      </w:rPr>
    </w:lvl>
    <w:lvl w:ilvl="1" w:tplc="7324C9EC">
      <w:start w:val="1"/>
      <w:numFmt w:val="lowerLetter"/>
      <w:lvlText w:val="%2)"/>
      <w:lvlJc w:val="left"/>
      <w:pPr>
        <w:ind w:left="1440" w:hanging="360"/>
      </w:pPr>
      <w:rPr>
        <w:rFonts w:ascii="Times New Roman" w:eastAsia="Calibr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26040E6"/>
    <w:multiLevelType w:val="hybridMultilevel"/>
    <w:tmpl w:val="F8929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037A2"/>
    <w:multiLevelType w:val="hybridMultilevel"/>
    <w:tmpl w:val="C23C10FA"/>
    <w:lvl w:ilvl="0" w:tplc="B748C63C">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CF55008"/>
    <w:multiLevelType w:val="multilevel"/>
    <w:tmpl w:val="5B263EF6"/>
    <w:lvl w:ilvl="0">
      <w:start w:val="1"/>
      <w:numFmt w:val="decimal"/>
      <w:lvlText w:val="%1."/>
      <w:lvlJc w:val="left"/>
      <w:pPr>
        <w:ind w:left="786"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3" w15:restartNumberingAfterBreak="0">
    <w:nsid w:val="7D922E9E"/>
    <w:multiLevelType w:val="hybridMultilevel"/>
    <w:tmpl w:val="E2AC8F3C"/>
    <w:lvl w:ilvl="0" w:tplc="2426464A">
      <w:start w:val="1"/>
      <w:numFmt w:val="decimal"/>
      <w:lvlText w:val="%1."/>
      <w:lvlJc w:val="left"/>
      <w:pPr>
        <w:ind w:left="720" w:hanging="360"/>
      </w:pPr>
      <w:rPr>
        <w:rFonts w:ascii="Times New Roman" w:eastAsia="Calibri" w:hAnsi="Times New Roman" w:cs="Times New Roman"/>
        <w:i w:val="0"/>
        <w:iCs w:val="0"/>
      </w:rPr>
    </w:lvl>
    <w:lvl w:ilvl="1" w:tplc="7324C9EC">
      <w:start w:val="1"/>
      <w:numFmt w:val="lowerLetter"/>
      <w:lvlText w:val="%2)"/>
      <w:lvlJc w:val="left"/>
      <w:pPr>
        <w:ind w:left="1440" w:hanging="360"/>
      </w:pPr>
      <w:rPr>
        <w:rFonts w:ascii="Times New Roman" w:eastAsia="Calibr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5"/>
  </w:num>
  <w:num w:numId="5">
    <w:abstractNumId w:val="4"/>
  </w:num>
  <w:num w:numId="6">
    <w:abstractNumId w:val="13"/>
  </w:num>
  <w:num w:numId="7">
    <w:abstractNumId w:val="7"/>
  </w:num>
  <w:num w:numId="8">
    <w:abstractNumId w:val="9"/>
  </w:num>
  <w:num w:numId="9">
    <w:abstractNumId w:val="2"/>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5E"/>
    <w:rsid w:val="000203B6"/>
    <w:rsid w:val="00025D44"/>
    <w:rsid w:val="00057B22"/>
    <w:rsid w:val="00092A4A"/>
    <w:rsid w:val="000B6BAA"/>
    <w:rsid w:val="000C5D96"/>
    <w:rsid w:val="000D447A"/>
    <w:rsid w:val="000E347E"/>
    <w:rsid w:val="000F629E"/>
    <w:rsid w:val="00100AD3"/>
    <w:rsid w:val="00117B7A"/>
    <w:rsid w:val="0012265E"/>
    <w:rsid w:val="001546F7"/>
    <w:rsid w:val="00160DB2"/>
    <w:rsid w:val="001876EA"/>
    <w:rsid w:val="001A0FD1"/>
    <w:rsid w:val="001A7966"/>
    <w:rsid w:val="001C07E5"/>
    <w:rsid w:val="001E0831"/>
    <w:rsid w:val="00224C5C"/>
    <w:rsid w:val="002301C5"/>
    <w:rsid w:val="00237451"/>
    <w:rsid w:val="002416D7"/>
    <w:rsid w:val="00252967"/>
    <w:rsid w:val="002770E7"/>
    <w:rsid w:val="002C09B2"/>
    <w:rsid w:val="002C4F86"/>
    <w:rsid w:val="002D30EC"/>
    <w:rsid w:val="002D78C0"/>
    <w:rsid w:val="002E00EB"/>
    <w:rsid w:val="003055B3"/>
    <w:rsid w:val="00343D54"/>
    <w:rsid w:val="00362B0C"/>
    <w:rsid w:val="003973DF"/>
    <w:rsid w:val="003B4B2C"/>
    <w:rsid w:val="003D123E"/>
    <w:rsid w:val="003D37F0"/>
    <w:rsid w:val="003E32DC"/>
    <w:rsid w:val="00425919"/>
    <w:rsid w:val="00430CE6"/>
    <w:rsid w:val="004362B7"/>
    <w:rsid w:val="00441D42"/>
    <w:rsid w:val="004454E1"/>
    <w:rsid w:val="0045278F"/>
    <w:rsid w:val="00476674"/>
    <w:rsid w:val="00491837"/>
    <w:rsid w:val="004918EA"/>
    <w:rsid w:val="0049223C"/>
    <w:rsid w:val="00492B6D"/>
    <w:rsid w:val="00493141"/>
    <w:rsid w:val="004A3269"/>
    <w:rsid w:val="004A5EA0"/>
    <w:rsid w:val="004B6531"/>
    <w:rsid w:val="004B68E4"/>
    <w:rsid w:val="00511503"/>
    <w:rsid w:val="00560CD9"/>
    <w:rsid w:val="00573211"/>
    <w:rsid w:val="00582731"/>
    <w:rsid w:val="005938FC"/>
    <w:rsid w:val="005B086B"/>
    <w:rsid w:val="005B4741"/>
    <w:rsid w:val="005D04BB"/>
    <w:rsid w:val="005D07A7"/>
    <w:rsid w:val="005E6761"/>
    <w:rsid w:val="00642F5E"/>
    <w:rsid w:val="00654185"/>
    <w:rsid w:val="006558A3"/>
    <w:rsid w:val="00673F90"/>
    <w:rsid w:val="00684899"/>
    <w:rsid w:val="00684CA3"/>
    <w:rsid w:val="0069674D"/>
    <w:rsid w:val="006A08D0"/>
    <w:rsid w:val="006F0E66"/>
    <w:rsid w:val="00702AEE"/>
    <w:rsid w:val="00712DD4"/>
    <w:rsid w:val="0073444B"/>
    <w:rsid w:val="00735425"/>
    <w:rsid w:val="00762C30"/>
    <w:rsid w:val="00796BB1"/>
    <w:rsid w:val="007B1411"/>
    <w:rsid w:val="007E0CA4"/>
    <w:rsid w:val="007E4D4B"/>
    <w:rsid w:val="007F29E6"/>
    <w:rsid w:val="00811D5C"/>
    <w:rsid w:val="00817AC3"/>
    <w:rsid w:val="00840FD5"/>
    <w:rsid w:val="0087019C"/>
    <w:rsid w:val="00876336"/>
    <w:rsid w:val="008B2F95"/>
    <w:rsid w:val="008D56FC"/>
    <w:rsid w:val="008F6254"/>
    <w:rsid w:val="008F7AE4"/>
    <w:rsid w:val="00902F46"/>
    <w:rsid w:val="00970453"/>
    <w:rsid w:val="00990699"/>
    <w:rsid w:val="009A4DC6"/>
    <w:rsid w:val="009A5586"/>
    <w:rsid w:val="009B4A72"/>
    <w:rsid w:val="009B746F"/>
    <w:rsid w:val="009F0CAB"/>
    <w:rsid w:val="009F11D0"/>
    <w:rsid w:val="009F1907"/>
    <w:rsid w:val="00A017DE"/>
    <w:rsid w:val="00A06983"/>
    <w:rsid w:val="00A07D6A"/>
    <w:rsid w:val="00A120E1"/>
    <w:rsid w:val="00A22F6B"/>
    <w:rsid w:val="00A26DC2"/>
    <w:rsid w:val="00A41616"/>
    <w:rsid w:val="00A46CDA"/>
    <w:rsid w:val="00A73AEA"/>
    <w:rsid w:val="00A82C75"/>
    <w:rsid w:val="00A90D15"/>
    <w:rsid w:val="00AA0B5F"/>
    <w:rsid w:val="00AA4946"/>
    <w:rsid w:val="00AD22CC"/>
    <w:rsid w:val="00AD2A5B"/>
    <w:rsid w:val="00AD3B36"/>
    <w:rsid w:val="00AE5C5F"/>
    <w:rsid w:val="00AF4946"/>
    <w:rsid w:val="00B03687"/>
    <w:rsid w:val="00B0462C"/>
    <w:rsid w:val="00B120BE"/>
    <w:rsid w:val="00B14491"/>
    <w:rsid w:val="00B440CF"/>
    <w:rsid w:val="00B6695F"/>
    <w:rsid w:val="00BA5752"/>
    <w:rsid w:val="00BB6CC9"/>
    <w:rsid w:val="00BC502F"/>
    <w:rsid w:val="00BD38D5"/>
    <w:rsid w:val="00BD6368"/>
    <w:rsid w:val="00BE0953"/>
    <w:rsid w:val="00BF288C"/>
    <w:rsid w:val="00C4137C"/>
    <w:rsid w:val="00CD6A61"/>
    <w:rsid w:val="00CE1D1A"/>
    <w:rsid w:val="00CE7038"/>
    <w:rsid w:val="00D17C42"/>
    <w:rsid w:val="00D27A76"/>
    <w:rsid w:val="00D445F4"/>
    <w:rsid w:val="00D66097"/>
    <w:rsid w:val="00D67A07"/>
    <w:rsid w:val="00D826D6"/>
    <w:rsid w:val="00D8356B"/>
    <w:rsid w:val="00D919F8"/>
    <w:rsid w:val="00DA2A08"/>
    <w:rsid w:val="00DA32D0"/>
    <w:rsid w:val="00DB2EEF"/>
    <w:rsid w:val="00DE4F83"/>
    <w:rsid w:val="00E11B90"/>
    <w:rsid w:val="00E200A7"/>
    <w:rsid w:val="00E34F75"/>
    <w:rsid w:val="00E813F3"/>
    <w:rsid w:val="00EA2D7E"/>
    <w:rsid w:val="00EA3F68"/>
    <w:rsid w:val="00EB5A6B"/>
    <w:rsid w:val="00ED4836"/>
    <w:rsid w:val="00ED5188"/>
    <w:rsid w:val="00F00EAC"/>
    <w:rsid w:val="00F55EA7"/>
    <w:rsid w:val="00FA062A"/>
    <w:rsid w:val="00FB47E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A806"/>
  <w15:chartTrackingRefBased/>
  <w15:docId w15:val="{C0F3A0EC-FEB1-4526-9A7B-AC7EA3E3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265E"/>
    <w:pPr>
      <w:spacing w:before="100" w:beforeAutospacing="1" w:after="100" w:afterAutospacing="1"/>
    </w:pPr>
  </w:style>
  <w:style w:type="paragraph" w:customStyle="1" w:styleId="naisf">
    <w:name w:val="naisf"/>
    <w:basedOn w:val="Normal"/>
    <w:rsid w:val="0012265E"/>
    <w:pPr>
      <w:spacing w:before="75" w:after="75"/>
      <w:ind w:firstLine="375"/>
      <w:jc w:val="both"/>
    </w:pPr>
  </w:style>
  <w:style w:type="paragraph" w:customStyle="1" w:styleId="naisnod">
    <w:name w:val="naisnod"/>
    <w:basedOn w:val="Normal"/>
    <w:uiPriority w:val="99"/>
    <w:rsid w:val="0012265E"/>
    <w:pPr>
      <w:spacing w:before="150" w:after="150"/>
      <w:jc w:val="center"/>
    </w:pPr>
    <w:rPr>
      <w:b/>
      <w:bCs/>
    </w:rPr>
  </w:style>
  <w:style w:type="paragraph" w:customStyle="1" w:styleId="naiskr">
    <w:name w:val="naiskr"/>
    <w:basedOn w:val="Normal"/>
    <w:rsid w:val="0012265E"/>
    <w:pPr>
      <w:spacing w:before="75" w:after="75"/>
    </w:pPr>
  </w:style>
  <w:style w:type="paragraph" w:customStyle="1" w:styleId="naisc">
    <w:name w:val="naisc"/>
    <w:basedOn w:val="Normal"/>
    <w:uiPriority w:val="99"/>
    <w:rsid w:val="0012265E"/>
    <w:pPr>
      <w:spacing w:before="75" w:after="75"/>
      <w:jc w:val="center"/>
    </w:pPr>
  </w:style>
  <w:style w:type="paragraph" w:styleId="Header">
    <w:name w:val="header"/>
    <w:basedOn w:val="Normal"/>
    <w:link w:val="HeaderChar"/>
    <w:uiPriority w:val="99"/>
    <w:rsid w:val="0012265E"/>
    <w:pPr>
      <w:tabs>
        <w:tab w:val="center" w:pos="4153"/>
        <w:tab w:val="right" w:pos="8306"/>
      </w:tabs>
    </w:pPr>
  </w:style>
  <w:style w:type="character" w:customStyle="1" w:styleId="HeaderChar">
    <w:name w:val="Header Char"/>
    <w:basedOn w:val="DefaultParagraphFont"/>
    <w:link w:val="Header"/>
    <w:uiPriority w:val="99"/>
    <w:rsid w:val="0012265E"/>
    <w:rPr>
      <w:rFonts w:ascii="Times New Roman" w:eastAsia="Times New Roman" w:hAnsi="Times New Roman" w:cs="Times New Roman"/>
      <w:sz w:val="24"/>
      <w:szCs w:val="24"/>
      <w:lang w:eastAsia="lv-LV"/>
    </w:rPr>
  </w:style>
  <w:style w:type="character" w:styleId="PageNumber">
    <w:name w:val="page number"/>
    <w:uiPriority w:val="99"/>
    <w:rsid w:val="0012265E"/>
    <w:rPr>
      <w:rFonts w:cs="Times New Roman"/>
    </w:rPr>
  </w:style>
  <w:style w:type="paragraph" w:styleId="Footer">
    <w:name w:val="footer"/>
    <w:basedOn w:val="Normal"/>
    <w:link w:val="FooterChar"/>
    <w:uiPriority w:val="99"/>
    <w:rsid w:val="0012265E"/>
    <w:pPr>
      <w:tabs>
        <w:tab w:val="center" w:pos="4153"/>
        <w:tab w:val="right" w:pos="8306"/>
      </w:tabs>
    </w:pPr>
  </w:style>
  <w:style w:type="character" w:customStyle="1" w:styleId="FooterChar">
    <w:name w:val="Footer Char"/>
    <w:basedOn w:val="DefaultParagraphFont"/>
    <w:link w:val="Footer"/>
    <w:uiPriority w:val="99"/>
    <w:rsid w:val="0012265E"/>
    <w:rPr>
      <w:rFonts w:ascii="Times New Roman" w:eastAsia="Times New Roman" w:hAnsi="Times New Roman" w:cs="Times New Roman"/>
      <w:sz w:val="24"/>
      <w:szCs w:val="24"/>
      <w:lang w:eastAsia="lv-LV"/>
    </w:rPr>
  </w:style>
  <w:style w:type="paragraph" w:styleId="NoSpacing">
    <w:name w:val="No Spacing"/>
    <w:uiPriority w:val="1"/>
    <w:qFormat/>
    <w:rsid w:val="0012265E"/>
    <w:pPr>
      <w:spacing w:after="0" w:line="240" w:lineRule="auto"/>
    </w:pPr>
    <w:rPr>
      <w:rFonts w:ascii="Calibri" w:eastAsia="Calibri" w:hAnsi="Calibri" w:cs="DokChampa"/>
    </w:rPr>
  </w:style>
  <w:style w:type="paragraph" w:styleId="ListParagraph">
    <w:name w:val="List Paragraph"/>
    <w:basedOn w:val="Normal"/>
    <w:uiPriority w:val="34"/>
    <w:qFormat/>
    <w:rsid w:val="006F0E66"/>
    <w:pPr>
      <w:widowControl w:val="0"/>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semiHidden/>
    <w:unhideWhenUsed/>
    <w:rsid w:val="00673F90"/>
    <w:rPr>
      <w:sz w:val="20"/>
      <w:szCs w:val="20"/>
    </w:rPr>
  </w:style>
  <w:style w:type="character" w:customStyle="1" w:styleId="EndnoteTextChar">
    <w:name w:val="Endnote Text Char"/>
    <w:basedOn w:val="DefaultParagraphFont"/>
    <w:link w:val="EndnoteText"/>
    <w:uiPriority w:val="99"/>
    <w:semiHidden/>
    <w:rsid w:val="00673F90"/>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73F90"/>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2D30EC"/>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2D30EC"/>
    <w:rPr>
      <w:rFonts w:ascii="Calibri" w:eastAsia="Calibri" w:hAnsi="Calibri" w:cs="Times New Roman"/>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2D30EC"/>
    <w:rPr>
      <w:vertAlign w:val="superscript"/>
    </w:rPr>
  </w:style>
  <w:style w:type="character" w:styleId="PlaceholderText">
    <w:name w:val="Placeholder Text"/>
    <w:basedOn w:val="DefaultParagraphFont"/>
    <w:uiPriority w:val="99"/>
    <w:semiHidden/>
    <w:rsid w:val="002D30EC"/>
    <w:rPr>
      <w:color w:val="808080"/>
    </w:rPr>
  </w:style>
  <w:style w:type="character" w:customStyle="1" w:styleId="Hyperlink1">
    <w:name w:val="Hyperlink1"/>
    <w:basedOn w:val="DefaultParagraphFont"/>
    <w:uiPriority w:val="99"/>
    <w:unhideWhenUsed/>
    <w:rsid w:val="003D123E"/>
    <w:rPr>
      <w:color w:val="0563C1"/>
      <w:u w:val="single"/>
    </w:rPr>
  </w:style>
  <w:style w:type="character" w:styleId="Hyperlink">
    <w:name w:val="Hyperlink"/>
    <w:basedOn w:val="DefaultParagraphFont"/>
    <w:uiPriority w:val="99"/>
    <w:unhideWhenUsed/>
    <w:rsid w:val="003D123E"/>
    <w:rPr>
      <w:color w:val="0563C1" w:themeColor="hyperlink"/>
      <w:u w:val="single"/>
    </w:rPr>
  </w:style>
  <w:style w:type="paragraph" w:styleId="BalloonText">
    <w:name w:val="Balloon Text"/>
    <w:basedOn w:val="Normal"/>
    <w:link w:val="BalloonTextChar"/>
    <w:uiPriority w:val="99"/>
    <w:semiHidden/>
    <w:unhideWhenUsed/>
    <w:rsid w:val="009A5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86"/>
    <w:rPr>
      <w:rFonts w:ascii="Segoe UI" w:eastAsia="Times New Roman" w:hAnsi="Segoe UI" w:cs="Segoe UI"/>
      <w:sz w:val="18"/>
      <w:szCs w:val="18"/>
      <w:lang w:eastAsia="lv-LV"/>
    </w:rPr>
  </w:style>
  <w:style w:type="paragraph" w:styleId="CommentText">
    <w:name w:val="annotation text"/>
    <w:basedOn w:val="Normal"/>
    <w:link w:val="CommentTextChar"/>
    <w:uiPriority w:val="99"/>
    <w:unhideWhenUsed/>
    <w:rsid w:val="009A5586"/>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9A5586"/>
    <w:rPr>
      <w:rFonts w:ascii="Times New Roman" w:hAnsi="Times New Roman"/>
      <w:sz w:val="20"/>
      <w:szCs w:val="20"/>
    </w:rPr>
  </w:style>
  <w:style w:type="paragraph" w:customStyle="1" w:styleId="Default">
    <w:name w:val="Default"/>
    <w:rsid w:val="007F29E6"/>
    <w:pPr>
      <w:autoSpaceDE w:val="0"/>
      <w:autoSpaceDN w:val="0"/>
      <w:adjustRightInd w:val="0"/>
      <w:spacing w:before="120" w:after="120" w:line="360" w:lineRule="auto"/>
      <w:jc w:val="both"/>
    </w:pPr>
    <w:rPr>
      <w:rFonts w:ascii="Times New Roman" w:eastAsia="Calibri" w:hAnsi="Times New Roman" w:cs="Times New Roman"/>
      <w:color w:val="000000"/>
      <w:sz w:val="24"/>
      <w:szCs w:val="24"/>
      <w:lang w:eastAsia="lv-LV"/>
    </w:rPr>
  </w:style>
  <w:style w:type="character" w:styleId="CommentReference">
    <w:name w:val="annotation reference"/>
    <w:basedOn w:val="DefaultParagraphFont"/>
    <w:uiPriority w:val="99"/>
    <w:semiHidden/>
    <w:unhideWhenUsed/>
    <w:rsid w:val="00EA2D7E"/>
    <w:rPr>
      <w:sz w:val="16"/>
      <w:szCs w:val="16"/>
    </w:rPr>
  </w:style>
  <w:style w:type="paragraph" w:styleId="CommentSubject">
    <w:name w:val="annotation subject"/>
    <w:basedOn w:val="CommentText"/>
    <w:next w:val="CommentText"/>
    <w:link w:val="CommentSubjectChar"/>
    <w:uiPriority w:val="99"/>
    <w:semiHidden/>
    <w:unhideWhenUsed/>
    <w:rsid w:val="00EA2D7E"/>
    <w:rPr>
      <w:rFonts w:eastAsia="Times New Roman" w:cs="Times New Roman"/>
      <w:b/>
      <w:bCs/>
      <w:lang w:eastAsia="lv-LV"/>
    </w:rPr>
  </w:style>
  <w:style w:type="character" w:customStyle="1" w:styleId="CommentSubjectChar">
    <w:name w:val="Comment Subject Char"/>
    <w:basedOn w:val="CommentTextChar"/>
    <w:link w:val="CommentSubject"/>
    <w:uiPriority w:val="99"/>
    <w:semiHidden/>
    <w:rsid w:val="00EA2D7E"/>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CE7038"/>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AE5C5F"/>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uiPriority w:val="99"/>
    <w:unhideWhenUsed/>
    <w:rsid w:val="00702AEE"/>
    <w:pPr>
      <w:spacing w:after="120"/>
      <w:jc w:val="both"/>
    </w:pPr>
    <w:rPr>
      <w:szCs w:val="20"/>
      <w:lang w:eastAsia="en-US"/>
    </w:rPr>
  </w:style>
  <w:style w:type="character" w:customStyle="1" w:styleId="BodyTextChar">
    <w:name w:val="Body Text Char"/>
    <w:basedOn w:val="DefaultParagraphFont"/>
    <w:link w:val="BodyText"/>
    <w:uiPriority w:val="99"/>
    <w:rsid w:val="00702AEE"/>
    <w:rPr>
      <w:rFonts w:ascii="Times New Roman" w:eastAsia="Times New Roman" w:hAnsi="Times New Roman" w:cs="Times New Roman"/>
      <w:sz w:val="24"/>
      <w:szCs w:val="20"/>
    </w:rPr>
  </w:style>
  <w:style w:type="paragraph" w:styleId="Revision">
    <w:name w:val="Revision"/>
    <w:hidden/>
    <w:uiPriority w:val="99"/>
    <w:semiHidden/>
    <w:rsid w:val="009F0CA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2502">
      <w:bodyDiv w:val="1"/>
      <w:marLeft w:val="0"/>
      <w:marRight w:val="0"/>
      <w:marTop w:val="0"/>
      <w:marBottom w:val="0"/>
      <w:divBdr>
        <w:top w:val="none" w:sz="0" w:space="0" w:color="auto"/>
        <w:left w:val="none" w:sz="0" w:space="0" w:color="auto"/>
        <w:bottom w:val="none" w:sz="0" w:space="0" w:color="auto"/>
        <w:right w:val="none" w:sz="0" w:space="0" w:color="auto"/>
      </w:divBdr>
    </w:div>
    <w:div w:id="219561713">
      <w:bodyDiv w:val="1"/>
      <w:marLeft w:val="0"/>
      <w:marRight w:val="0"/>
      <w:marTop w:val="0"/>
      <w:marBottom w:val="0"/>
      <w:divBdr>
        <w:top w:val="none" w:sz="0" w:space="0" w:color="auto"/>
        <w:left w:val="none" w:sz="0" w:space="0" w:color="auto"/>
        <w:bottom w:val="none" w:sz="0" w:space="0" w:color="auto"/>
        <w:right w:val="none" w:sz="0" w:space="0" w:color="auto"/>
      </w:divBdr>
    </w:div>
    <w:div w:id="586113299">
      <w:bodyDiv w:val="1"/>
      <w:marLeft w:val="0"/>
      <w:marRight w:val="0"/>
      <w:marTop w:val="0"/>
      <w:marBottom w:val="0"/>
      <w:divBdr>
        <w:top w:val="none" w:sz="0" w:space="0" w:color="auto"/>
        <w:left w:val="none" w:sz="0" w:space="0" w:color="auto"/>
        <w:bottom w:val="none" w:sz="0" w:space="0" w:color="auto"/>
        <w:right w:val="none" w:sz="0" w:space="0" w:color="auto"/>
      </w:divBdr>
    </w:div>
    <w:div w:id="625893507">
      <w:bodyDiv w:val="1"/>
      <w:marLeft w:val="0"/>
      <w:marRight w:val="0"/>
      <w:marTop w:val="0"/>
      <w:marBottom w:val="0"/>
      <w:divBdr>
        <w:top w:val="none" w:sz="0" w:space="0" w:color="auto"/>
        <w:left w:val="none" w:sz="0" w:space="0" w:color="auto"/>
        <w:bottom w:val="none" w:sz="0" w:space="0" w:color="auto"/>
        <w:right w:val="none" w:sz="0" w:space="0" w:color="auto"/>
      </w:divBdr>
    </w:div>
    <w:div w:id="656029523">
      <w:bodyDiv w:val="1"/>
      <w:marLeft w:val="0"/>
      <w:marRight w:val="0"/>
      <w:marTop w:val="0"/>
      <w:marBottom w:val="0"/>
      <w:divBdr>
        <w:top w:val="none" w:sz="0" w:space="0" w:color="auto"/>
        <w:left w:val="none" w:sz="0" w:space="0" w:color="auto"/>
        <w:bottom w:val="none" w:sz="0" w:space="0" w:color="auto"/>
        <w:right w:val="none" w:sz="0" w:space="0" w:color="auto"/>
      </w:divBdr>
    </w:div>
    <w:div w:id="876241445">
      <w:bodyDiv w:val="1"/>
      <w:marLeft w:val="0"/>
      <w:marRight w:val="0"/>
      <w:marTop w:val="0"/>
      <w:marBottom w:val="0"/>
      <w:divBdr>
        <w:top w:val="none" w:sz="0" w:space="0" w:color="auto"/>
        <w:left w:val="none" w:sz="0" w:space="0" w:color="auto"/>
        <w:bottom w:val="none" w:sz="0" w:space="0" w:color="auto"/>
        <w:right w:val="none" w:sz="0" w:space="0" w:color="auto"/>
      </w:divBdr>
    </w:div>
    <w:div w:id="995642667">
      <w:bodyDiv w:val="1"/>
      <w:marLeft w:val="0"/>
      <w:marRight w:val="0"/>
      <w:marTop w:val="0"/>
      <w:marBottom w:val="0"/>
      <w:divBdr>
        <w:top w:val="none" w:sz="0" w:space="0" w:color="auto"/>
        <w:left w:val="none" w:sz="0" w:space="0" w:color="auto"/>
        <w:bottom w:val="none" w:sz="0" w:space="0" w:color="auto"/>
        <w:right w:val="none" w:sz="0" w:space="0" w:color="auto"/>
      </w:divBdr>
    </w:div>
    <w:div w:id="2128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48929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jirgenson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C2FA-C4AB-41C9-843B-754CE9C5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30</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Par informatīvā ziņojuma projektu „Informatīvais ziņojums par Kohēzijas politikas Eiropas Savienības fondu investīciju aktualitātēm līdz 2021. gada 1.februārim</vt:lpstr>
    </vt:vector>
  </TitlesOfParts>
  <Company>Finanšu ministrija</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projektu „Informatīvais ziņojums par Kohēzijas politikas Eiropas Savienības fondu investīciju aktualitātēm līdz 2021. gada 1.februārim</dc:title>
  <dc:subject>Izziņa</dc:subject>
  <dc:creator>liva.jirgensone@fm.gov.lv</dc:creator>
  <cp:keywords/>
  <dc:description>Jirgensone 67095599_x000d_
liva.jirgensone@fm.gov.lv</dc:description>
  <cp:lastModifiedBy>Līva Jirgensone</cp:lastModifiedBy>
  <cp:revision>123</cp:revision>
  <dcterms:created xsi:type="dcterms:W3CDTF">2021-02-10T06:26:00Z</dcterms:created>
  <dcterms:modified xsi:type="dcterms:W3CDTF">2021-02-26T10:59:00Z</dcterms:modified>
</cp:coreProperties>
</file>