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w:t>
      </w:r>
      <w:r w:rsidR="00591494">
        <w:rPr>
          <w:rFonts w:ascii="Times New Roman" w:hAnsi="Times New Roman" w:cs="Times New Roman"/>
          <w:b/>
          <w:sz w:val="28"/>
          <w:szCs w:val="24"/>
          <w:lang w:eastAsia="lv-LV"/>
        </w:rPr>
        <w:t>“</w:t>
      </w:r>
      <w:r w:rsidR="00591494" w:rsidRPr="00591494">
        <w:rPr>
          <w:rFonts w:ascii="Times New Roman" w:hAnsi="Times New Roman" w:cs="Times New Roman"/>
          <w:b/>
          <w:sz w:val="28"/>
          <w:szCs w:val="24"/>
          <w:lang w:eastAsia="lv-LV"/>
        </w:rPr>
        <w:t>Par grozījum</w:t>
      </w:r>
      <w:r w:rsidR="00756018">
        <w:rPr>
          <w:rFonts w:ascii="Times New Roman" w:hAnsi="Times New Roman" w:cs="Times New Roman"/>
          <w:b/>
          <w:sz w:val="28"/>
          <w:szCs w:val="24"/>
          <w:lang w:eastAsia="lv-LV"/>
        </w:rPr>
        <w:t>iem</w:t>
      </w:r>
      <w:r w:rsidR="00591494" w:rsidRPr="00591494">
        <w:rPr>
          <w:rFonts w:ascii="Times New Roman" w:hAnsi="Times New Roman" w:cs="Times New Roman"/>
          <w:b/>
          <w:sz w:val="28"/>
          <w:szCs w:val="24"/>
          <w:lang w:eastAsia="lv-LV"/>
        </w:rPr>
        <w:t xml:space="preserve"> Ministru kabineta 2020. gada 25. novembra rīkojumā Nr. 697 </w:t>
      </w:r>
      <w:r>
        <w:rPr>
          <w:rFonts w:ascii="Times New Roman" w:hAnsi="Times New Roman" w:cs="Times New Roman"/>
          <w:b/>
          <w:sz w:val="28"/>
          <w:szCs w:val="24"/>
          <w:lang w:eastAsia="lv-LV"/>
        </w:rPr>
        <w:t>“Par finanšu līdzekļu piešķiršanu no valsts budžeta programmas “Līdzekļi neparedzētiem gadījumiem””</w:t>
      </w:r>
      <w:r w:rsidR="00591494">
        <w:rPr>
          <w:rFonts w:ascii="Times New Roman" w:hAnsi="Times New Roman" w:cs="Times New Roman"/>
          <w:b/>
          <w:sz w:val="28"/>
          <w:szCs w:val="24"/>
          <w:lang w:eastAsia="lv-LV"/>
        </w:rPr>
        <w:t>”</w:t>
      </w:r>
      <w:r>
        <w:rPr>
          <w:rFonts w:ascii="Times New Roman" w:hAnsi="Times New Roman" w:cs="Times New Roman"/>
          <w:b/>
          <w:sz w:val="28"/>
          <w:szCs w:val="24"/>
          <w:lang w:eastAsia="lv-LV"/>
        </w:rPr>
        <w:t xml:space="preserve"> </w:t>
      </w:r>
      <w:r w:rsidR="00894C55" w:rsidRPr="00EC6E12">
        <w:rPr>
          <w:rFonts w:ascii="Times New Roman" w:hAnsi="Times New Roman" w:cs="Times New Roman"/>
          <w:b/>
          <w:sz w:val="28"/>
          <w:szCs w:val="24"/>
          <w:lang w:eastAsia="lv-LV"/>
        </w:rPr>
        <w:t>sākotnējās ietekmes novērtējuma ziņojums (anotācija)</w:t>
      </w:r>
    </w:p>
    <w:p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rsidR="006F193F" w:rsidRPr="00714300" w:rsidRDefault="00756018" w:rsidP="006F193F">
            <w:pPr>
              <w:ind w:left="107" w:right="109"/>
              <w:jc w:val="both"/>
            </w:pPr>
            <w:r w:rsidRPr="00C930A2">
              <w:rPr>
                <w:iCs/>
              </w:rPr>
              <w:t xml:space="preserve"> Saskaņā ar Ministru kabineta 2009. gada 15. decembra instrukcijas Nr. 19 "Tiesību akta projekta sākotnējās ietekmes izvērtēšanas kārtība" 5.</w:t>
            </w:r>
            <w:r w:rsidRPr="002C129B">
              <w:rPr>
                <w:iCs/>
                <w:vertAlign w:val="superscript"/>
              </w:rPr>
              <w:t>1</w:t>
            </w:r>
            <w:r w:rsidRPr="00C930A2">
              <w:rPr>
                <w:iCs/>
              </w:rPr>
              <w:t> apakšpunktu anotācijas kopsavilkums nav aizpildāms.</w:t>
            </w:r>
          </w:p>
        </w:tc>
      </w:tr>
    </w:tbl>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rsidTr="0079260F">
        <w:tc>
          <w:tcPr>
            <w:tcW w:w="9356" w:type="dxa"/>
            <w:gridSpan w:val="3"/>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Tr="00BF1442">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Borders>
              <w:bottom w:val="nil"/>
            </w:tcBorders>
          </w:tcPr>
          <w:p w:rsidR="00BF1442" w:rsidRDefault="000A57A0" w:rsidP="00BF1442">
            <w:pPr>
              <w:ind w:right="109" w:firstLine="604"/>
              <w:jc w:val="both"/>
              <w:rPr>
                <w:rFonts w:eastAsiaTheme="minorHAnsi"/>
              </w:rPr>
            </w:pPr>
            <w:r w:rsidRPr="000A57A0">
              <w:rPr>
                <w:rFonts w:eastAsiaTheme="minorHAnsi"/>
              </w:rPr>
              <w:t xml:space="preserve">Ministru kabineta rīkojuma projekts </w:t>
            </w:r>
            <w:r w:rsidR="00EB3546">
              <w:rPr>
                <w:rFonts w:eastAsiaTheme="minorHAnsi"/>
              </w:rPr>
              <w:t>“</w:t>
            </w:r>
            <w:r w:rsidR="00EB3546" w:rsidRPr="00EB3546">
              <w:rPr>
                <w:rFonts w:eastAsiaTheme="minorHAnsi"/>
              </w:rPr>
              <w:t>Par grozījum</w:t>
            </w:r>
            <w:r w:rsidR="00756018">
              <w:rPr>
                <w:rFonts w:eastAsiaTheme="minorHAnsi"/>
              </w:rPr>
              <w:t>iem</w:t>
            </w:r>
            <w:r w:rsidR="00EB3546" w:rsidRPr="00EB3546">
              <w:rPr>
                <w:rFonts w:eastAsiaTheme="minorHAnsi"/>
              </w:rPr>
              <w:t xml:space="preserve"> Ministru kabineta 2020. gada 25. novembra rīkojumā Nr. 697 </w:t>
            </w:r>
            <w:r w:rsidRPr="000A57A0">
              <w:rPr>
                <w:rFonts w:eastAsiaTheme="minorHAnsi"/>
              </w:rPr>
              <w:t>“Par finanšu līdzekļu piešķiršanu no valsts budžeta programmas “Līdzekļi neparedzētiem gadījumiem””</w:t>
            </w:r>
            <w:r w:rsidR="00EB3546">
              <w:rPr>
                <w:rFonts w:eastAsiaTheme="minorHAnsi"/>
              </w:rPr>
              <w:t>”</w:t>
            </w:r>
            <w:r w:rsidRPr="000A57A0">
              <w:rPr>
                <w:rFonts w:eastAsiaTheme="minorHAnsi"/>
              </w:rPr>
              <w:t xml:space="preserve"> (turpmāk – rīkojuma projekts) izstrādāts</w:t>
            </w:r>
            <w:r w:rsidR="00E24133">
              <w:rPr>
                <w:rFonts w:eastAsiaTheme="minorHAnsi"/>
              </w:rPr>
              <w:t>:</w:t>
            </w:r>
            <w:r w:rsidR="00BF1442">
              <w:rPr>
                <w:rFonts w:eastAsiaTheme="minorHAnsi"/>
              </w:rPr>
              <w:t xml:space="preserve"> </w:t>
            </w:r>
          </w:p>
          <w:p w:rsidR="00BF1442" w:rsidRDefault="00BF1442" w:rsidP="00BF1442">
            <w:pPr>
              <w:ind w:right="109" w:firstLine="604"/>
              <w:jc w:val="both"/>
              <w:rPr>
                <w:rFonts w:eastAsiaTheme="minorHAnsi"/>
              </w:rPr>
            </w:pPr>
            <w:r>
              <w:rPr>
                <w:rFonts w:eastAsiaTheme="minorHAnsi"/>
              </w:rPr>
              <w:t xml:space="preserve">1) </w:t>
            </w:r>
            <w:r w:rsidRPr="00BF1442">
              <w:rPr>
                <w:rFonts w:eastAsiaTheme="minorHAnsi"/>
              </w:rPr>
              <w:t>lai precizētu</w:t>
            </w:r>
            <w:r w:rsidR="004357A1">
              <w:t xml:space="preserve"> </w:t>
            </w:r>
            <w:r w:rsidR="004357A1" w:rsidRPr="004357A1">
              <w:rPr>
                <w:rFonts w:eastAsiaTheme="minorHAnsi"/>
              </w:rPr>
              <w:t>Ministru kabineta 2020. gada 25. novembra rīkojumā Nr. 697 “Par finanšu līdzekļu piešķiršanu no valsts budžeta programmas “Līdzekļi neparedzētiem gadījumiem””</w:t>
            </w:r>
            <w:r w:rsidR="004357A1">
              <w:t xml:space="preserve"> </w:t>
            </w:r>
            <w:r w:rsidR="004357A1" w:rsidRPr="004357A1">
              <w:rPr>
                <w:rFonts w:eastAsiaTheme="minorHAnsi"/>
              </w:rPr>
              <w:t xml:space="preserve">(turpmāk – rīkojums Nr. 697) </w:t>
            </w:r>
            <w:r w:rsidRPr="00BF1442">
              <w:rPr>
                <w:rFonts w:eastAsiaTheme="minorHAnsi"/>
              </w:rPr>
              <w:t xml:space="preserve">no valsts budžeta programmas 02.00.00 "Līdzekļi neparedzētiem gadījumiem" </w:t>
            </w:r>
            <w:proofErr w:type="spellStart"/>
            <w:r w:rsidRPr="00BF1442">
              <w:rPr>
                <w:rFonts w:eastAsiaTheme="minorHAnsi"/>
              </w:rPr>
              <w:t>Iekšlietu</w:t>
            </w:r>
            <w:proofErr w:type="spellEnd"/>
            <w:r w:rsidRPr="00BF1442">
              <w:rPr>
                <w:rFonts w:eastAsiaTheme="minorHAnsi"/>
              </w:rPr>
              <w:t xml:space="preserve"> ministrijai piešķiramā finansējum</w:t>
            </w:r>
            <w:r>
              <w:rPr>
                <w:rFonts w:eastAsiaTheme="minorHAnsi"/>
              </w:rPr>
              <w:t>a apmēr</w:t>
            </w:r>
            <w:r w:rsidRPr="00BF1442">
              <w:rPr>
                <w:rFonts w:eastAsiaTheme="minorHAnsi"/>
              </w:rPr>
              <w:t xml:space="preserve">u, </w:t>
            </w:r>
            <w:r>
              <w:rPr>
                <w:rFonts w:eastAsiaTheme="minorHAnsi"/>
              </w:rPr>
              <w:t xml:space="preserve">kas paredzēts, </w:t>
            </w:r>
            <w:r w:rsidRPr="00BF1442">
              <w:rPr>
                <w:rFonts w:eastAsiaTheme="minorHAnsi"/>
              </w:rPr>
              <w:t xml:space="preserve">lai nodrošinātu piemaksas no 2020. gada 1. oktobra līdz 2020. gada 30. novembrim </w:t>
            </w:r>
            <w:proofErr w:type="spellStart"/>
            <w:r w:rsidRPr="00BF1442">
              <w:rPr>
                <w:rFonts w:eastAsiaTheme="minorHAnsi"/>
              </w:rPr>
              <w:t>Iekšlietu</w:t>
            </w:r>
            <w:proofErr w:type="spellEnd"/>
            <w:r w:rsidRPr="00BF1442">
              <w:rPr>
                <w:rFonts w:eastAsiaTheme="minorHAnsi"/>
              </w:rPr>
              <w:t xml:space="preserve"> ministrijas padotības iestāžu amatpersonām ar speciālajām dienesta pakāpēm (turpmāk – amatpersona) par darbu paaugstināta riska un slodzes apstākļos sabiedrības veselības apdraudējuma situācijā saistībā ar Covid-19 uz</w:t>
            </w:r>
            <w:r>
              <w:rPr>
                <w:rFonts w:eastAsiaTheme="minorHAnsi"/>
              </w:rPr>
              <w:t>liesmojumu un tā seku novēršanu</w:t>
            </w:r>
            <w:r w:rsidR="0089556B">
              <w:rPr>
                <w:rFonts w:eastAsiaTheme="minorHAnsi"/>
              </w:rPr>
              <w:t xml:space="preserve">. Finansējuma apmērs precizējams atbilstoši </w:t>
            </w:r>
            <w:r w:rsidR="00445045" w:rsidRPr="00445045">
              <w:rPr>
                <w:rFonts w:eastAsiaTheme="minorHAnsi"/>
              </w:rPr>
              <w:t xml:space="preserve">Valsts policijas un Valsts robežsardzes </w:t>
            </w:r>
            <w:r w:rsidR="0089556B">
              <w:rPr>
                <w:rFonts w:eastAsiaTheme="minorHAnsi"/>
              </w:rPr>
              <w:t xml:space="preserve">veiktajiem aprēķiniem </w:t>
            </w:r>
            <w:r w:rsidR="00445045">
              <w:rPr>
                <w:rFonts w:eastAsiaTheme="minorHAnsi"/>
              </w:rPr>
              <w:t xml:space="preserve">par faktiski nepieciešamo finansējumu </w:t>
            </w:r>
            <w:r w:rsidR="0089556B">
              <w:rPr>
                <w:rFonts w:eastAsiaTheme="minorHAnsi"/>
              </w:rPr>
              <w:t xml:space="preserve">2020.gada oktobrī un novembrī </w:t>
            </w:r>
            <w:proofErr w:type="spellStart"/>
            <w:r w:rsidR="0089556B">
              <w:rPr>
                <w:rFonts w:eastAsiaTheme="minorHAnsi"/>
              </w:rPr>
              <w:t>Covid</w:t>
            </w:r>
            <w:proofErr w:type="spellEnd"/>
            <w:r w:rsidR="0089556B">
              <w:rPr>
                <w:rFonts w:eastAsiaTheme="minorHAnsi"/>
              </w:rPr>
              <w:t xml:space="preserve"> seku novēršanā iesaistīto amatpersonu </w:t>
            </w:r>
            <w:r w:rsidR="00445045">
              <w:rPr>
                <w:rFonts w:eastAsiaTheme="minorHAnsi"/>
              </w:rPr>
              <w:t>piemaksām</w:t>
            </w:r>
            <w:r w:rsidR="0089556B">
              <w:rPr>
                <w:rFonts w:eastAsiaTheme="minorHAnsi"/>
              </w:rPr>
              <w:t xml:space="preserve">; </w:t>
            </w:r>
            <w:r w:rsidR="00445045">
              <w:rPr>
                <w:rFonts w:eastAsiaTheme="minorHAnsi"/>
              </w:rPr>
              <w:t xml:space="preserve"> </w:t>
            </w:r>
          </w:p>
          <w:p w:rsidR="00842113" w:rsidRPr="00E24133" w:rsidRDefault="00BF1442" w:rsidP="009B1DC6">
            <w:pPr>
              <w:ind w:right="109" w:firstLine="604"/>
              <w:jc w:val="both"/>
              <w:rPr>
                <w:rFonts w:eastAsiaTheme="minorHAnsi"/>
              </w:rPr>
            </w:pPr>
            <w:r>
              <w:rPr>
                <w:rFonts w:eastAsiaTheme="minorHAnsi"/>
              </w:rPr>
              <w:t>2</w:t>
            </w:r>
            <w:r w:rsidR="00E24133">
              <w:rPr>
                <w:rFonts w:eastAsiaTheme="minorHAnsi"/>
              </w:rPr>
              <w:t xml:space="preserve">) </w:t>
            </w:r>
            <w:r w:rsidR="00EB3546">
              <w:rPr>
                <w:rFonts w:eastAsiaTheme="minorHAnsi"/>
              </w:rPr>
              <w:t>lai precizētu un noteiktu samērīg</w:t>
            </w:r>
            <w:r w:rsidR="00673F7D">
              <w:rPr>
                <w:rFonts w:eastAsiaTheme="minorHAnsi"/>
              </w:rPr>
              <w:t>u</w:t>
            </w:r>
            <w:r w:rsidR="00EB3546">
              <w:rPr>
                <w:rFonts w:eastAsiaTheme="minorHAnsi"/>
              </w:rPr>
              <w:t xml:space="preserve"> piemaksas</w:t>
            </w:r>
            <w:r w:rsidR="00582857">
              <w:rPr>
                <w:rFonts w:eastAsiaTheme="minorHAnsi"/>
              </w:rPr>
              <w:t xml:space="preserve"> </w:t>
            </w:r>
            <w:r w:rsidR="004C20DE">
              <w:rPr>
                <w:rFonts w:eastAsiaTheme="minorHAnsi"/>
              </w:rPr>
              <w:t xml:space="preserve">maksimālo ierobežojumu </w:t>
            </w:r>
            <w:r w:rsidR="00EB3546" w:rsidRPr="00EB3546">
              <w:rPr>
                <w:rFonts w:eastAsiaTheme="minorHAnsi"/>
              </w:rPr>
              <w:t>amatpersonā</w:t>
            </w:r>
            <w:r w:rsidR="00EB3546">
              <w:rPr>
                <w:rFonts w:eastAsiaTheme="minorHAnsi"/>
              </w:rPr>
              <w:t xml:space="preserve">m, kuras </w:t>
            </w:r>
            <w:r w:rsidR="00400BD0">
              <w:rPr>
                <w:rFonts w:eastAsiaTheme="minorHAnsi"/>
              </w:rPr>
              <w:t xml:space="preserve">veic dienesta </w:t>
            </w:r>
            <w:r w:rsidR="00582857">
              <w:rPr>
                <w:rFonts w:eastAsiaTheme="minorHAnsi"/>
              </w:rPr>
              <w:t>pienākumus</w:t>
            </w:r>
            <w:r w:rsidR="00400BD0" w:rsidRPr="00400BD0">
              <w:rPr>
                <w:rFonts w:eastAsiaTheme="minorHAnsi"/>
              </w:rPr>
              <w:t xml:space="preserve"> paaugstināta riska un slodzes apstākļos sabiedrības veselības apdraudējumā saistībā ar  Covid-19 uzliesmojumu un seku novēršanu</w:t>
            </w:r>
            <w:r w:rsidR="00673F7D">
              <w:rPr>
                <w:rFonts w:eastAsiaTheme="minorHAnsi"/>
              </w:rPr>
              <w:t xml:space="preserve">, nodrošinot </w:t>
            </w:r>
            <w:r w:rsidR="004C20DE" w:rsidRPr="004C20DE">
              <w:rPr>
                <w:rFonts w:eastAsiaTheme="minorHAnsi"/>
              </w:rPr>
              <w:t>Valsts kontrole</w:t>
            </w:r>
            <w:r w:rsidR="00E24133">
              <w:rPr>
                <w:rFonts w:eastAsiaTheme="minorHAnsi"/>
              </w:rPr>
              <w:t xml:space="preserve">s ieteikumus saistībā ar </w:t>
            </w:r>
            <w:r w:rsidR="004C20DE" w:rsidRPr="004C20DE">
              <w:rPr>
                <w:rFonts w:eastAsiaTheme="minorHAnsi"/>
              </w:rPr>
              <w:t>starpziņojumā “</w:t>
            </w:r>
            <w:proofErr w:type="spellStart"/>
            <w:r w:rsidR="004C20DE" w:rsidRPr="004C20DE">
              <w:rPr>
                <w:rFonts w:eastAsiaTheme="minorHAnsi"/>
              </w:rPr>
              <w:t>Iekšlietu</w:t>
            </w:r>
            <w:proofErr w:type="spellEnd"/>
            <w:r w:rsidR="004C20DE" w:rsidRPr="004C20DE">
              <w:rPr>
                <w:rFonts w:eastAsiaTheme="minorHAnsi"/>
              </w:rPr>
              <w:t xml:space="preserve"> nozares amatpersonu, kuras bijušas tieši iesaistītas </w:t>
            </w:r>
            <w:proofErr w:type="spellStart"/>
            <w:r w:rsidR="004C20DE" w:rsidRPr="004C20DE">
              <w:rPr>
                <w:rFonts w:eastAsiaTheme="minorHAnsi"/>
              </w:rPr>
              <w:t>Covid</w:t>
            </w:r>
            <w:proofErr w:type="spellEnd"/>
            <w:r w:rsidR="004C20DE" w:rsidRPr="004C20DE">
              <w:rPr>
                <w:rFonts w:eastAsiaTheme="minorHAnsi"/>
              </w:rPr>
              <w:t>–19 izplatības ierobežošanā, piemaksām papildus piešķirtā finansējuma izlietojums” (Nr.2.4.1-12/2020) norādīt</w:t>
            </w:r>
            <w:r w:rsidR="00E24133">
              <w:rPr>
                <w:rFonts w:eastAsiaTheme="minorHAnsi"/>
              </w:rPr>
              <w:t xml:space="preserve">o par </w:t>
            </w:r>
            <w:r w:rsidR="00E24133" w:rsidRPr="004C20DE">
              <w:rPr>
                <w:rFonts w:eastAsiaTheme="minorHAnsi"/>
              </w:rPr>
              <w:t>piemaks</w:t>
            </w:r>
            <w:r w:rsidR="00E24133">
              <w:rPr>
                <w:rFonts w:eastAsiaTheme="minorHAnsi"/>
              </w:rPr>
              <w:t>u</w:t>
            </w:r>
            <w:r w:rsidR="00E24133" w:rsidRPr="004C20DE">
              <w:rPr>
                <w:rFonts w:eastAsiaTheme="minorHAnsi"/>
              </w:rPr>
              <w:t xml:space="preserve"> </w:t>
            </w:r>
            <w:r w:rsidR="00E24133">
              <w:rPr>
                <w:rFonts w:eastAsiaTheme="minorHAnsi"/>
              </w:rPr>
              <w:t xml:space="preserve">taisnīgu aprēķināšanu </w:t>
            </w:r>
            <w:r w:rsidR="00E24133" w:rsidRPr="004C20DE">
              <w:rPr>
                <w:rFonts w:eastAsiaTheme="minorHAnsi"/>
              </w:rPr>
              <w:t>visām amatpersonām atbilstoši</w:t>
            </w:r>
            <w:r w:rsidR="00E24133">
              <w:rPr>
                <w:rFonts w:eastAsiaTheme="minorHAnsi"/>
              </w:rPr>
              <w:t xml:space="preserve"> to</w:t>
            </w:r>
            <w:r w:rsidR="00E24133" w:rsidRPr="004C20DE">
              <w:rPr>
                <w:rFonts w:eastAsiaTheme="minorHAnsi"/>
              </w:rPr>
              <w:t xml:space="preserve"> ieguldījumam</w:t>
            </w:r>
            <w:r w:rsidR="00E24133">
              <w:rPr>
                <w:rFonts w:eastAsiaTheme="minorHAnsi"/>
              </w:rPr>
              <w:t>.</w:t>
            </w:r>
          </w:p>
        </w:tc>
      </w:tr>
      <w:tr w:rsidR="00B656B6" w:rsidRPr="00B656B6" w:rsidTr="0079260F">
        <w:tc>
          <w:tcPr>
            <w:tcW w:w="568" w:type="dxa"/>
          </w:tcPr>
          <w:p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79260F" w:rsidRDefault="0079260F" w:rsidP="00152501">
            <w:pPr>
              <w:jc w:val="center"/>
            </w:pPr>
          </w:p>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Default="00485E78" w:rsidP="00485E78"/>
          <w:p w:rsidR="00485E78" w:rsidRPr="00485E78" w:rsidRDefault="00485E78" w:rsidP="00485E78">
            <w:pPr>
              <w:jc w:val="center"/>
            </w:pPr>
          </w:p>
        </w:tc>
        <w:tc>
          <w:tcPr>
            <w:tcW w:w="7229" w:type="dxa"/>
          </w:tcPr>
          <w:p w:rsidR="00BF1442" w:rsidRPr="00B656B6" w:rsidRDefault="00D6529A" w:rsidP="00834B90">
            <w:pPr>
              <w:ind w:right="109"/>
              <w:jc w:val="both"/>
            </w:pPr>
            <w:r w:rsidRPr="00B656B6">
              <w:lastRenderedPageBreak/>
              <w:t xml:space="preserve">     </w:t>
            </w:r>
            <w:r w:rsidR="00C92448" w:rsidRPr="00B656B6">
              <w:t>Šobrīd atbilstoši</w:t>
            </w:r>
            <w:r w:rsidR="009B1ECE" w:rsidRPr="00B656B6">
              <w:t xml:space="preserve"> </w:t>
            </w:r>
            <w:r w:rsidR="00C92448" w:rsidRPr="00B656B6">
              <w:t>rīkojum</w:t>
            </w:r>
            <w:r w:rsidR="009B1ECE" w:rsidRPr="00B656B6">
              <w:t>am</w:t>
            </w:r>
            <w:r w:rsidR="00C92448" w:rsidRPr="00B656B6">
              <w:t xml:space="preserve"> Nr. 697</w:t>
            </w:r>
            <w:r w:rsidR="00343B60" w:rsidRPr="00B656B6">
              <w:t xml:space="preserve"> </w:t>
            </w:r>
            <w:r w:rsidR="00106F75" w:rsidRPr="00B656B6">
              <w:t>paredzēts</w:t>
            </w:r>
            <w:r w:rsidR="00834B90" w:rsidRPr="00B656B6">
              <w:t xml:space="preserve"> no valsts budžeta programmas 02.00.00 "Līdzekļi neparedzētiem gadījumiem" piešķirt </w:t>
            </w:r>
            <w:proofErr w:type="spellStart"/>
            <w:r w:rsidR="00834B90" w:rsidRPr="00B656B6">
              <w:t>Iekšlietu</w:t>
            </w:r>
            <w:proofErr w:type="spellEnd"/>
            <w:r w:rsidR="00834B90" w:rsidRPr="00B656B6">
              <w:t xml:space="preserve"> ministrijai finansējumu, kas nepārsniedz 704 513 </w:t>
            </w:r>
            <w:proofErr w:type="spellStart"/>
            <w:r w:rsidR="00834B90" w:rsidRPr="00B656B6">
              <w:rPr>
                <w:i/>
              </w:rPr>
              <w:t>euro</w:t>
            </w:r>
            <w:proofErr w:type="spellEnd"/>
            <w:r w:rsidR="00834B90" w:rsidRPr="00B656B6">
              <w:t>, lai nodrošinātu piemaksas no 2020. gada 1. oktobra līdz 2020. gada 30. novembrim amatpersonām par darbu paaugstināta riska un slodzes apstākļos sabiedrības veselības apdraudējuma situācijā saistībā ar Covid-19 uz</w:t>
            </w:r>
            <w:r w:rsidR="00060A70" w:rsidRPr="00B656B6">
              <w:t>liesmojumu un tā seku novēršanu</w:t>
            </w:r>
            <w:r w:rsidR="00343B60" w:rsidRPr="00B656B6">
              <w:t>.</w:t>
            </w:r>
          </w:p>
          <w:p w:rsidR="00343B60" w:rsidRPr="00B656B6" w:rsidRDefault="00343B60" w:rsidP="00834B90">
            <w:pPr>
              <w:ind w:right="109"/>
              <w:jc w:val="both"/>
            </w:pPr>
            <w:r w:rsidRPr="00B656B6">
              <w:t xml:space="preserve">Valsts policija un Valsts robežsardze ir veikusi aprēķinus par faktiski nepieciešamo finansējumu, lai nodrošinātu piemaksu izmaksu  amatpersonām atbilstoši to iesaistes laikam </w:t>
            </w:r>
            <w:proofErr w:type="spellStart"/>
            <w:r w:rsidRPr="00B656B6">
              <w:t>Covid</w:t>
            </w:r>
            <w:proofErr w:type="spellEnd"/>
            <w:r w:rsidRPr="00B656B6">
              <w:t xml:space="preserve"> apdraudējuma un  seku novēršanā 2020.gada oktobrī un novembrī. Saskaņā ar veiktajiem aprēķiniem iestādēm papildu nepieciešamā finansējuma kopsumma </w:t>
            </w:r>
            <w:r w:rsidR="00C85993" w:rsidRPr="00B656B6">
              <w:t xml:space="preserve">ir </w:t>
            </w:r>
            <w:r w:rsidRPr="00B656B6">
              <w:t xml:space="preserve"> </w:t>
            </w:r>
            <w:r w:rsidR="00C85993" w:rsidRPr="00B656B6">
              <w:lastRenderedPageBreak/>
              <w:t xml:space="preserve">701 393 </w:t>
            </w:r>
            <w:proofErr w:type="spellStart"/>
            <w:r w:rsidR="00C85993" w:rsidRPr="00B656B6">
              <w:rPr>
                <w:i/>
              </w:rPr>
              <w:t>euro</w:t>
            </w:r>
            <w:proofErr w:type="spellEnd"/>
            <w:r w:rsidR="00C85993" w:rsidRPr="00B656B6">
              <w:t xml:space="preserve">, tajā skaitā, Valsts policijai 203 321 </w:t>
            </w:r>
            <w:proofErr w:type="spellStart"/>
            <w:r w:rsidR="00C85993" w:rsidRPr="00B656B6">
              <w:rPr>
                <w:i/>
              </w:rPr>
              <w:t>euro</w:t>
            </w:r>
            <w:proofErr w:type="spellEnd"/>
            <w:r w:rsidR="00C85993" w:rsidRPr="00B656B6">
              <w:t xml:space="preserve"> un Valsts robežsardzei 498 072 </w:t>
            </w:r>
            <w:proofErr w:type="spellStart"/>
            <w:r w:rsidR="00C85993" w:rsidRPr="00B656B6">
              <w:rPr>
                <w:i/>
              </w:rPr>
              <w:t>euro</w:t>
            </w:r>
            <w:proofErr w:type="spellEnd"/>
            <w:r w:rsidR="007E4484" w:rsidRPr="00B656B6">
              <w:t>.</w:t>
            </w:r>
          </w:p>
          <w:p w:rsidR="00343B60" w:rsidRPr="00B656B6" w:rsidRDefault="0098149E" w:rsidP="00834B90">
            <w:pPr>
              <w:ind w:right="109"/>
              <w:jc w:val="both"/>
            </w:pPr>
            <w:r w:rsidRPr="00B656B6">
              <w:t xml:space="preserve">Ievērojot minēto, ir nepieciešams precizēt rīkojumā Nr. 697 </w:t>
            </w:r>
            <w:proofErr w:type="spellStart"/>
            <w:r w:rsidRPr="00B656B6">
              <w:t>Iekšlietu</w:t>
            </w:r>
            <w:proofErr w:type="spellEnd"/>
            <w:r w:rsidRPr="00B656B6">
              <w:t xml:space="preserve"> ministrijai piešķiramā finansējuma apmēru atbilstoši faktiski nepieciešamajam.</w:t>
            </w:r>
          </w:p>
          <w:p w:rsidR="002E64FA" w:rsidRPr="00B656B6" w:rsidRDefault="002E64FA" w:rsidP="00834B90">
            <w:pPr>
              <w:ind w:right="109"/>
              <w:jc w:val="both"/>
            </w:pPr>
            <w:proofErr w:type="spellStart"/>
            <w:r w:rsidRPr="00B656B6">
              <w:t>Iekšlietu</w:t>
            </w:r>
            <w:proofErr w:type="spellEnd"/>
            <w:r w:rsidRPr="00B656B6">
              <w:t xml:space="preserve"> ministrija anotācijas pielikumā pievieno pārskatus ar detalizētu aprēķinu par nepieciešamo finansējumu piemaksām, līdz ar to uzdevums par </w:t>
            </w:r>
            <w:r w:rsidR="004E10D8" w:rsidRPr="00B656B6">
              <w:t>pārskatu</w:t>
            </w:r>
            <w:r w:rsidRPr="00B656B6">
              <w:t xml:space="preserve"> iesniegšanu ir izpildīts un nepieciešams svītrot rīkojuma Nr. 697 7.punktu.</w:t>
            </w:r>
            <w:r w:rsidR="007F3857" w:rsidRPr="00B656B6">
              <w:t xml:space="preserve"> Saeimas Budžeta un finanšu (nodokļu) komisija ir izskatījusi jautājumu par finansējuma piešķiršanu un atbalstījusi.</w:t>
            </w:r>
          </w:p>
          <w:p w:rsidR="00434A76" w:rsidRPr="00B656B6" w:rsidRDefault="00D6529A" w:rsidP="003864FA">
            <w:pPr>
              <w:ind w:right="109"/>
              <w:jc w:val="both"/>
            </w:pPr>
            <w:r w:rsidRPr="00B656B6">
              <w:t xml:space="preserve">      </w:t>
            </w:r>
            <w:r w:rsidR="002E4F80" w:rsidRPr="00B656B6">
              <w:t>Rīkojumā Nr. 697</w:t>
            </w:r>
            <w:r w:rsidR="00060A70" w:rsidRPr="00B656B6">
              <w:t xml:space="preserve"> paredzēts, ka </w:t>
            </w:r>
            <w:r w:rsidR="002E4F80" w:rsidRPr="00B656B6">
              <w:t xml:space="preserve">amatpersonu </w:t>
            </w:r>
            <w:r w:rsidR="00060A70" w:rsidRPr="00B656B6">
              <w:t>piemaks</w:t>
            </w:r>
            <w:r w:rsidR="002E4F80" w:rsidRPr="00B656B6">
              <w:t>u</w:t>
            </w:r>
            <w:r w:rsidR="00060A70" w:rsidRPr="00B656B6">
              <w:t xml:space="preserve"> noteikšanā</w:t>
            </w:r>
            <w:r w:rsidR="00434A76" w:rsidRPr="00B656B6">
              <w:t xml:space="preserve"> ievēro šādus kritērijus:</w:t>
            </w:r>
          </w:p>
          <w:p w:rsidR="00434A76" w:rsidRPr="00B656B6" w:rsidRDefault="00C757EE" w:rsidP="003864FA">
            <w:pPr>
              <w:jc w:val="both"/>
            </w:pPr>
            <w:r w:rsidRPr="00B656B6">
              <w:t>1)</w:t>
            </w:r>
            <w:r w:rsidR="00434A76" w:rsidRPr="00B656B6">
              <w:t xml:space="preserve"> amatpersona ir tiešā un uzskaitāmi pierādāmā saskarē ar Covid-19 inficētām vai iespējami inficētām personām vai ir iesaistīta testēšanas procesā;</w:t>
            </w:r>
          </w:p>
          <w:p w:rsidR="00434A76" w:rsidRPr="00B656B6" w:rsidRDefault="00C757EE" w:rsidP="003864FA">
            <w:pPr>
              <w:jc w:val="both"/>
            </w:pPr>
            <w:r w:rsidRPr="00B656B6">
              <w:t>2)</w:t>
            </w:r>
            <w:r w:rsidR="00434A76" w:rsidRPr="00B656B6">
              <w:t xml:space="preserve"> amatpersona ir tiešā un uzskaitāmi pierādāmā saskarē ar Covid-19 riska grupas pacientiem, kuriem nav apstiprināta slimība, bet ir jāievēro karantīna vai </w:t>
            </w:r>
            <w:proofErr w:type="spellStart"/>
            <w:r w:rsidR="00434A76" w:rsidRPr="00B656B6">
              <w:t>pašizolācija</w:t>
            </w:r>
            <w:proofErr w:type="spellEnd"/>
            <w:r w:rsidR="00434A76" w:rsidRPr="00B656B6">
              <w:t>.</w:t>
            </w:r>
          </w:p>
          <w:p w:rsidR="00434A76" w:rsidRPr="00B656B6" w:rsidRDefault="00060A70" w:rsidP="003864FA">
            <w:pPr>
              <w:jc w:val="both"/>
            </w:pPr>
            <w:r w:rsidRPr="00B656B6">
              <w:t>Kā arī noteikts, ka</w:t>
            </w:r>
            <w:r w:rsidR="00434A76" w:rsidRPr="00B656B6">
              <w:t xml:space="preserve"> piemaksu aprēķina no amatpersonai noteiktās stundas algas likmes, ņemot vērā arī uzskaitīto amatpersonas iesaistes vai saskares stundu skaitu, bet tās apmērs nedrīkst pārsniegt 20 procentus no amatpersonai noteiktās mēnešalgas.</w:t>
            </w:r>
          </w:p>
          <w:p w:rsidR="00FE37D4" w:rsidRPr="00B656B6" w:rsidRDefault="00EC2129" w:rsidP="003864FA">
            <w:pPr>
              <w:jc w:val="both"/>
            </w:pPr>
            <w:r w:rsidRPr="00B656B6">
              <w:t xml:space="preserve">Pamatojoties uz rīkojuma Nr. 697 5.punktā noteikto pilnvarojumu </w:t>
            </w:r>
            <w:proofErr w:type="spellStart"/>
            <w:r w:rsidRPr="00B656B6">
              <w:t>iekšlietu</w:t>
            </w:r>
            <w:proofErr w:type="spellEnd"/>
            <w:r w:rsidRPr="00B656B6">
              <w:t xml:space="preserve"> ministr</w:t>
            </w:r>
            <w:r w:rsidR="00C757EE" w:rsidRPr="00B656B6">
              <w:t>am</w:t>
            </w:r>
            <w:r w:rsidRPr="00B656B6">
              <w:t xml:space="preserve"> noteikt piemaksas apmēra aprēķināšanas kārtību, </w:t>
            </w:r>
            <w:r w:rsidR="00097B2F" w:rsidRPr="00B656B6">
              <w:t xml:space="preserve">ir izdots </w:t>
            </w:r>
            <w:proofErr w:type="spellStart"/>
            <w:r w:rsidR="00097B2F" w:rsidRPr="00B656B6">
              <w:t>Iekšlietu</w:t>
            </w:r>
            <w:proofErr w:type="spellEnd"/>
            <w:r w:rsidR="00097B2F" w:rsidRPr="00B656B6">
              <w:t xml:space="preserve"> ministrijas 2020.gada </w:t>
            </w:r>
            <w:r w:rsidR="00932116" w:rsidRPr="00B656B6">
              <w:t>30.novembra rīkojums Nr. 1-12/1324</w:t>
            </w:r>
            <w:r w:rsidR="00097B2F" w:rsidRPr="00B656B6">
              <w:t xml:space="preserve"> “</w:t>
            </w:r>
            <w:r w:rsidR="00E921F3" w:rsidRPr="00B656B6">
              <w:t>Par piemaksas par darbu paaugstināta riska un slodzes apstākļos noteikšanu”</w:t>
            </w:r>
            <w:r w:rsidR="00627A63" w:rsidRPr="00B656B6">
              <w:t>.</w:t>
            </w:r>
            <w:r w:rsidR="003864FA" w:rsidRPr="00B656B6">
              <w:t xml:space="preserve"> Rīkojumā paredzēts, ka piemaksu aprēķina, ņemot vērā amatpersonas iesaistes laiku, viņai noteikto stundas algas likmi un piemaksas apmēru ierobežojošo koeficientu, ko nosaka ar iestādes </w:t>
            </w:r>
            <w:r w:rsidR="00156E64" w:rsidRPr="00B656B6">
              <w:t xml:space="preserve">(Valsts policijas vai Valsts robežsardzes) </w:t>
            </w:r>
            <w:r w:rsidR="003864FA" w:rsidRPr="00B656B6">
              <w:t>vadītāja pavēli, izvērtējot amatpersonas iesaistes raksturu atka</w:t>
            </w:r>
            <w:r w:rsidR="003721D6" w:rsidRPr="00B656B6">
              <w:t>rībā no iesaistes riska pakāpes</w:t>
            </w:r>
            <w:r w:rsidR="003864FA" w:rsidRPr="00B656B6">
              <w:t>. Vienlaikus paredzēts, ka izpildās nosacījums, ka aprēķinātā piemaksa nepārsniedz 20 procentus no amatpersonai noteiktās mēnešalgas</w:t>
            </w:r>
            <w:r w:rsidR="00FE37D4" w:rsidRPr="00B656B6">
              <w:t>. Tā kā</w:t>
            </w:r>
            <w:r w:rsidR="00C714EC" w:rsidRPr="00B656B6">
              <w:t xml:space="preserve"> Valsts policijā un Valsts robežsardzē ievērojamai daļai amatpersonu mēnešalgas apmērs nesasniedz 1000 </w:t>
            </w:r>
            <w:proofErr w:type="spellStart"/>
            <w:r w:rsidR="00C714EC" w:rsidRPr="00B656B6">
              <w:rPr>
                <w:i/>
              </w:rPr>
              <w:t>euro</w:t>
            </w:r>
            <w:proofErr w:type="spellEnd"/>
            <w:r w:rsidR="00C714EC" w:rsidRPr="00B656B6">
              <w:t xml:space="preserve"> mēnesī, </w:t>
            </w:r>
            <w:r w:rsidR="00216C63" w:rsidRPr="00B656B6">
              <w:t xml:space="preserve">maksimālās piemaksas apmērs pie 20% ierobežojuma ir 200 </w:t>
            </w:r>
            <w:proofErr w:type="spellStart"/>
            <w:r w:rsidR="00216C63" w:rsidRPr="00B656B6">
              <w:rPr>
                <w:i/>
              </w:rPr>
              <w:t>euro</w:t>
            </w:r>
            <w:proofErr w:type="spellEnd"/>
            <w:r w:rsidR="00216C63" w:rsidRPr="00B656B6">
              <w:t xml:space="preserve"> (bruto, kopā ar darba devēja valsts sociālās apdrošināšanas iemaksām).</w:t>
            </w:r>
          </w:p>
          <w:p w:rsidR="008579DA" w:rsidRPr="00B656B6" w:rsidRDefault="009D63DD" w:rsidP="008579DA">
            <w:pPr>
              <w:jc w:val="both"/>
            </w:pPr>
            <w:r w:rsidRPr="00B656B6">
              <w:t>Lai noteiktu samērīgu piemaksas maksimālo ierobežojumu amatpersonām un nodrošinātu Valsts kontroles ieteikumus par piemaksu taisnīgu aprēķināšanu visām amatpersonām atbilstoši to ieguldījumam, kas uzsvērts  starpziņojumā “</w:t>
            </w:r>
            <w:proofErr w:type="spellStart"/>
            <w:r w:rsidRPr="00B656B6">
              <w:t>Iekšlietu</w:t>
            </w:r>
            <w:proofErr w:type="spellEnd"/>
            <w:r w:rsidRPr="00B656B6">
              <w:t xml:space="preserve"> nozares amatpersonu, kuras bijušas tieši iesaistītas </w:t>
            </w:r>
            <w:proofErr w:type="spellStart"/>
            <w:r w:rsidRPr="00B656B6">
              <w:t>Covid</w:t>
            </w:r>
            <w:proofErr w:type="spellEnd"/>
            <w:r w:rsidRPr="00B656B6">
              <w:t xml:space="preserve">–19 izplatības ierobežošanā, piemaksām papildus piešķirtā finansējuma izlietojums” (Nr.2.4.1-12/2020), nepieciešams precizēt rīkojumā Nr. 697 noteikto </w:t>
            </w:r>
            <w:r w:rsidR="002C7A28" w:rsidRPr="00B656B6">
              <w:t xml:space="preserve">piemaksas ierobežojumu - 20 procenti no amatpersonai noteiktās mēnešalgas, nosakot to </w:t>
            </w:r>
            <w:r w:rsidR="00C714EC" w:rsidRPr="00B656B6">
              <w:t>75</w:t>
            </w:r>
            <w:r w:rsidR="008143B0" w:rsidRPr="00B656B6">
              <w:t xml:space="preserve"> procentu apmērā no amatpersonai noteiktās stundas algas likmes</w:t>
            </w:r>
            <w:r w:rsidR="00437F2A" w:rsidRPr="00B656B6">
              <w:t xml:space="preserve">, kas būtu </w:t>
            </w:r>
            <w:r w:rsidR="008143B0" w:rsidRPr="00B656B6">
              <w:t xml:space="preserve">atbilstošs ierobežojums summētā darba laika veicējiem un </w:t>
            </w:r>
            <w:r w:rsidR="00437F2A" w:rsidRPr="00B656B6">
              <w:t>samērojam</w:t>
            </w:r>
            <w:r w:rsidR="008143B0" w:rsidRPr="00B656B6">
              <w:t>s</w:t>
            </w:r>
            <w:r w:rsidR="00437F2A" w:rsidRPr="00B656B6">
              <w:t xml:space="preserve"> arī ar citām profesiju grupām noteiktajām piemaksām</w:t>
            </w:r>
            <w:r w:rsidR="003B215A" w:rsidRPr="00B656B6">
              <w:t xml:space="preserve"> (ārstniecības personas)  vai naudas balvu izmaksām (Valsts probācijas dienestam)</w:t>
            </w:r>
            <w:r w:rsidR="00437F2A" w:rsidRPr="00B656B6">
              <w:t>.</w:t>
            </w:r>
            <w:r w:rsidR="008579DA" w:rsidRPr="00B656B6">
              <w:t xml:space="preserve"> Ierobežojuma noteikšana </w:t>
            </w:r>
            <w:r w:rsidR="003B215A" w:rsidRPr="00B656B6">
              <w:t xml:space="preserve">tieši attiecībā uz </w:t>
            </w:r>
            <w:r w:rsidR="008579DA" w:rsidRPr="00B656B6">
              <w:t>stundas algas likmi</w:t>
            </w:r>
            <w:r w:rsidR="003B215A" w:rsidRPr="00B656B6">
              <w:t>, nevis mēnešalgas apmēru</w:t>
            </w:r>
            <w:r w:rsidR="008579DA" w:rsidRPr="00B656B6">
              <w:t xml:space="preserve"> pamatoja</w:t>
            </w:r>
            <w:r w:rsidR="003B215A" w:rsidRPr="00B656B6">
              <w:t>ma</w:t>
            </w:r>
            <w:r w:rsidR="008579DA" w:rsidRPr="00B656B6">
              <w:t xml:space="preserve"> ar  amatperson</w:t>
            </w:r>
            <w:r w:rsidR="00251769" w:rsidRPr="00B656B6">
              <w:t>u</w:t>
            </w:r>
            <w:r w:rsidR="001903C7" w:rsidRPr="00B656B6">
              <w:t xml:space="preserve"> </w:t>
            </w:r>
            <w:r w:rsidR="003B215A" w:rsidRPr="00B656B6">
              <w:t xml:space="preserve">iesaistes un </w:t>
            </w:r>
            <w:r w:rsidR="001903C7" w:rsidRPr="00B656B6">
              <w:t>darba laika specifiku -</w:t>
            </w:r>
            <w:r w:rsidR="008579DA" w:rsidRPr="00B656B6">
              <w:t xml:space="preserve"> summēt</w:t>
            </w:r>
            <w:r w:rsidR="001903C7" w:rsidRPr="00B656B6">
              <w:t>o</w:t>
            </w:r>
            <w:r w:rsidR="008579DA" w:rsidRPr="00B656B6">
              <w:t xml:space="preserve"> </w:t>
            </w:r>
            <w:r w:rsidR="008579DA" w:rsidRPr="00B656B6">
              <w:lastRenderedPageBreak/>
              <w:t>dienesta pienākumu izpildes laik</w:t>
            </w:r>
            <w:r w:rsidR="001903C7" w:rsidRPr="00B656B6">
              <w:t xml:space="preserve">u, </w:t>
            </w:r>
            <w:r w:rsidR="008579DA" w:rsidRPr="00B656B6">
              <w:t>kas nozīmē, ka, ievērojot amatpersonām noteikto dežūru grafiku, amatpersonas nostrādātais laiks kalendāra mēnesī var pārsniegt vai arī nesasniegt normāla darba laika stundu skaitu attiecīgajā mēnesī</w:t>
            </w:r>
            <w:r w:rsidR="003B215A" w:rsidRPr="00B656B6">
              <w:t>, kā arī amatpersonas ar Covid-19 ierobežošanu saistītos uzdevumos nav iesaistītas pastāvīgi (kā tas ir mediķiem), tās veic arī citus dienesta pienākumus</w:t>
            </w:r>
            <w:r w:rsidR="008579DA" w:rsidRPr="00B656B6">
              <w:t>.</w:t>
            </w:r>
            <w:r w:rsidR="003B215A" w:rsidRPr="00B656B6">
              <w:t xml:space="preserve"> Vienlaicīgi risks inficēties ir augsts.</w:t>
            </w:r>
          </w:p>
          <w:p w:rsidR="00807EC8" w:rsidRPr="00B656B6" w:rsidRDefault="00C02AE6" w:rsidP="00807EC8">
            <w:pPr>
              <w:pStyle w:val="tv213"/>
              <w:tabs>
                <w:tab w:val="left" w:pos="426"/>
              </w:tabs>
              <w:spacing w:before="0" w:beforeAutospacing="0" w:after="0" w:afterAutospacing="0"/>
              <w:ind w:left="360"/>
              <w:jc w:val="both"/>
              <w:rPr>
                <w:b/>
              </w:rPr>
            </w:pPr>
            <w:r w:rsidRPr="00B656B6">
              <w:rPr>
                <w:b/>
              </w:rPr>
              <w:t>Rīkojuma projekts paredz</w:t>
            </w:r>
            <w:r w:rsidR="00807EC8" w:rsidRPr="00B656B6">
              <w:rPr>
                <w:b/>
              </w:rPr>
              <w:t>:</w:t>
            </w:r>
          </w:p>
          <w:p w:rsidR="00C56F4E" w:rsidRPr="00B656B6" w:rsidRDefault="00D55747" w:rsidP="00D55747">
            <w:pPr>
              <w:pStyle w:val="tv213"/>
              <w:tabs>
                <w:tab w:val="left" w:pos="426"/>
              </w:tabs>
              <w:spacing w:before="0" w:beforeAutospacing="0" w:after="0" w:afterAutospacing="0"/>
              <w:ind w:firstLine="567"/>
              <w:jc w:val="both"/>
            </w:pPr>
            <w:r w:rsidRPr="00B656B6">
              <w:t xml:space="preserve">1. </w:t>
            </w:r>
            <w:r w:rsidR="00D84D02" w:rsidRPr="00B656B6">
              <w:t>P</w:t>
            </w:r>
            <w:r w:rsidR="00165A55" w:rsidRPr="00B656B6">
              <w:t xml:space="preserve">recizēt </w:t>
            </w:r>
            <w:proofErr w:type="spellStart"/>
            <w:r w:rsidR="00165A55" w:rsidRPr="00B656B6">
              <w:t>Iekšlietu</w:t>
            </w:r>
            <w:proofErr w:type="spellEnd"/>
            <w:r w:rsidR="00165A55" w:rsidRPr="00B656B6">
              <w:t xml:space="preserve"> ministrijai piešķiramā finansējuma apmēru, nosakot to </w:t>
            </w:r>
            <w:r w:rsidR="00C81396" w:rsidRPr="00B656B6">
              <w:t xml:space="preserve">701 393 </w:t>
            </w:r>
            <w:proofErr w:type="spellStart"/>
            <w:r w:rsidR="00C81396" w:rsidRPr="00B656B6">
              <w:rPr>
                <w:i/>
              </w:rPr>
              <w:t>euro</w:t>
            </w:r>
            <w:proofErr w:type="spellEnd"/>
            <w:r w:rsidR="00C81396" w:rsidRPr="00B656B6">
              <w:t xml:space="preserve">, tai skaitā, Valsts policijai 203 321 </w:t>
            </w:r>
            <w:proofErr w:type="spellStart"/>
            <w:r w:rsidR="00C81396" w:rsidRPr="00B656B6">
              <w:rPr>
                <w:i/>
              </w:rPr>
              <w:t>euro</w:t>
            </w:r>
            <w:proofErr w:type="spellEnd"/>
            <w:r w:rsidR="00C81396" w:rsidRPr="00B656B6">
              <w:t xml:space="preserve"> un Valsts robežsardzei 498 072 </w:t>
            </w:r>
            <w:proofErr w:type="spellStart"/>
            <w:r w:rsidR="00C81396" w:rsidRPr="00B656B6">
              <w:rPr>
                <w:i/>
              </w:rPr>
              <w:t>euro</w:t>
            </w:r>
            <w:proofErr w:type="spellEnd"/>
            <w:r w:rsidR="00C81396" w:rsidRPr="00B656B6">
              <w:t>,</w:t>
            </w:r>
            <w:r w:rsidR="00C56F4E" w:rsidRPr="00B656B6">
              <w:t xml:space="preserve"> lai nodrošinātu piemaksas no 2020. gada 1. oktobra līdz 2020. gada 30. novembrim amatpersonām ar speciālajām dienesta pakāpēm (turpmāk – amatpersona) par darbu paaugstināta riska un slodzes apstākļos sabiedrības veselības apdraudējuma situācijā saistībā ar Covid-19 uzliesmojumu un tā seku novēršanu.</w:t>
            </w:r>
          </w:p>
          <w:p w:rsidR="00B40D44" w:rsidRPr="00B656B6" w:rsidRDefault="00D84D02" w:rsidP="00E25C6C">
            <w:pPr>
              <w:pStyle w:val="tv213"/>
              <w:tabs>
                <w:tab w:val="left" w:pos="426"/>
              </w:tabs>
              <w:spacing w:before="0" w:beforeAutospacing="0" w:after="0" w:afterAutospacing="0"/>
              <w:ind w:firstLine="567"/>
              <w:jc w:val="both"/>
            </w:pPr>
            <w:r w:rsidRPr="00B656B6">
              <w:t>2. Precizēt amatpersonu p</w:t>
            </w:r>
            <w:r w:rsidR="00D55747" w:rsidRPr="00B656B6">
              <w:t xml:space="preserve">iemaksu </w:t>
            </w:r>
            <w:r w:rsidRPr="00B656B6">
              <w:t xml:space="preserve">ierobežojumu, nosakot, ka tās apmērs par vienu stundu </w:t>
            </w:r>
            <w:r w:rsidR="003B215A" w:rsidRPr="00B656B6">
              <w:t xml:space="preserve">ir </w:t>
            </w:r>
            <w:r w:rsidR="00E25C6C" w:rsidRPr="00B656B6">
              <w:t>75</w:t>
            </w:r>
            <w:r w:rsidRPr="00B656B6">
              <w:t xml:space="preserve"> procent</w:t>
            </w:r>
            <w:r w:rsidR="003B215A" w:rsidRPr="00B656B6">
              <w:t>i</w:t>
            </w:r>
            <w:r w:rsidRPr="00B656B6">
              <w:t xml:space="preserve"> no amatpersonai noteiktās stundas algas likmes</w:t>
            </w:r>
            <w:r w:rsidR="003B215A" w:rsidRPr="00B656B6">
              <w:t>, ievērojot noteiktos kritērijus un uzskaitīto amatpersonas iesaistes vai saskares stundu skaitu</w:t>
            </w:r>
            <w:r w:rsidRPr="00B656B6">
              <w:t>.</w:t>
            </w:r>
          </w:p>
          <w:p w:rsidR="00F666D4" w:rsidRPr="00B656B6" w:rsidRDefault="00F666D4" w:rsidP="00E25C6C">
            <w:pPr>
              <w:pStyle w:val="tv213"/>
              <w:tabs>
                <w:tab w:val="left" w:pos="426"/>
              </w:tabs>
              <w:spacing w:before="0" w:beforeAutospacing="0" w:after="0" w:afterAutospacing="0"/>
              <w:ind w:firstLine="567"/>
              <w:jc w:val="both"/>
            </w:pPr>
            <w:r w:rsidRPr="00B656B6">
              <w:t>3. Precizēt rīkojuma Nr. 697 2.</w:t>
            </w:r>
            <w:r w:rsidR="00B6564D" w:rsidRPr="00B656B6">
              <w:t xml:space="preserve"> un 6. </w:t>
            </w:r>
            <w:r w:rsidRPr="00B656B6">
              <w:t>punktu, svītrojot vārdus: “atbilstoši faktiski nepieciešamajam apmēram, kas nepārsniedz šā rīkojuma 1. punktā noteikto apmēru”.</w:t>
            </w:r>
          </w:p>
          <w:p w:rsidR="00570C2D" w:rsidRPr="00B656B6" w:rsidRDefault="00F666D4" w:rsidP="00E25C6C">
            <w:pPr>
              <w:pStyle w:val="tv213"/>
              <w:tabs>
                <w:tab w:val="left" w:pos="426"/>
              </w:tabs>
              <w:spacing w:before="0" w:beforeAutospacing="0" w:after="0" w:afterAutospacing="0"/>
              <w:ind w:firstLine="567"/>
              <w:jc w:val="both"/>
            </w:pPr>
            <w:r w:rsidRPr="00B656B6">
              <w:t>4</w:t>
            </w:r>
            <w:r w:rsidR="00570C2D" w:rsidRPr="00B656B6">
              <w:t>. Svītrot rīkojuma Nr. 697 7.</w:t>
            </w:r>
            <w:r w:rsidR="00B6564D" w:rsidRPr="00B656B6">
              <w:t xml:space="preserve"> </w:t>
            </w:r>
            <w:r w:rsidR="00570C2D" w:rsidRPr="00B656B6">
              <w:t xml:space="preserve">punktu, kas paredz </w:t>
            </w:r>
            <w:proofErr w:type="spellStart"/>
            <w:r w:rsidR="00570C2D" w:rsidRPr="00B656B6">
              <w:t>Iekšlietu</w:t>
            </w:r>
            <w:proofErr w:type="spellEnd"/>
            <w:r w:rsidR="00570C2D" w:rsidRPr="00B656B6">
              <w:t xml:space="preserve"> ministrijai sagatavot un </w:t>
            </w:r>
            <w:proofErr w:type="spellStart"/>
            <w:r w:rsidR="00570C2D" w:rsidRPr="00B656B6">
              <w:t>iekšlietu</w:t>
            </w:r>
            <w:proofErr w:type="spellEnd"/>
            <w:r w:rsidR="00570C2D" w:rsidRPr="00B656B6">
              <w:t xml:space="preserve"> ministram līdz 2021. gada 1. februārim iesniegt Ministru kabinetā pārskatu par šā rīkojuma 1. punktā minētā finansējuma faktisko izlietojumu.</w:t>
            </w:r>
          </w:p>
          <w:p w:rsidR="003B215A" w:rsidRPr="00B656B6" w:rsidRDefault="003B215A">
            <w:pPr>
              <w:pStyle w:val="tv213"/>
              <w:tabs>
                <w:tab w:val="left" w:pos="426"/>
              </w:tabs>
              <w:spacing w:before="0" w:beforeAutospacing="0" w:after="0" w:afterAutospacing="0"/>
              <w:ind w:firstLine="567"/>
              <w:jc w:val="both"/>
            </w:pPr>
            <w:r w:rsidRPr="00B656B6">
              <w:t>Rīkojuma projekts nodrošinās taisnīgu attieksmi pret amatpersonām. Tiks ņemtas vērā arī amatpersonu dienesta pienākumu izpildes specifika.</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rsidR="00130487" w:rsidRPr="00FC7F88" w:rsidRDefault="00EB5771" w:rsidP="00CD36FE">
            <w:pPr>
              <w:pStyle w:val="NoSpacing"/>
              <w:jc w:val="both"/>
              <w:rPr>
                <w:rFonts w:ascii="Times New Roman" w:hAnsi="Times New Roman" w:cs="Times New Roman"/>
                <w:sz w:val="24"/>
                <w:szCs w:val="24"/>
                <w:lang w:eastAsia="lv-LV"/>
              </w:rPr>
            </w:pPr>
            <w:proofErr w:type="spellStart"/>
            <w:r>
              <w:rPr>
                <w:rFonts w:ascii="Times New Roman" w:hAnsi="Times New Roman" w:cs="Times New Roman"/>
                <w:sz w:val="24"/>
                <w:szCs w:val="24"/>
              </w:rPr>
              <w:t>Iekšlietu</w:t>
            </w:r>
            <w:proofErr w:type="spellEnd"/>
            <w:r>
              <w:rPr>
                <w:rFonts w:ascii="Times New Roman" w:hAnsi="Times New Roman" w:cs="Times New Roman"/>
                <w:sz w:val="24"/>
                <w:szCs w:val="24"/>
              </w:rPr>
              <w:t xml:space="preserve"> </w:t>
            </w:r>
            <w:r w:rsidR="00FC7F88" w:rsidRPr="00FC7F88">
              <w:rPr>
                <w:rFonts w:ascii="Times New Roman" w:hAnsi="Times New Roman" w:cs="Times New Roman"/>
                <w:sz w:val="24"/>
                <w:szCs w:val="24"/>
              </w:rPr>
              <w:t>ministrija</w:t>
            </w:r>
            <w:r w:rsidR="004C69C7">
              <w:rPr>
                <w:rFonts w:ascii="Times New Roman" w:hAnsi="Times New Roman" w:cs="Times New Roman"/>
                <w:sz w:val="24"/>
                <w:szCs w:val="24"/>
              </w:rPr>
              <w:t>, Valsts policija, Valsts robežsardze.</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Tr="006936E5">
        <w:tc>
          <w:tcPr>
            <w:tcW w:w="9356" w:type="dxa"/>
          </w:tcPr>
          <w:p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rsidTr="006936E5">
        <w:tc>
          <w:tcPr>
            <w:tcW w:w="9356" w:type="dxa"/>
          </w:tcPr>
          <w:p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rsidTr="006936E5">
        <w:tc>
          <w:tcPr>
            <w:tcW w:w="9356" w:type="dxa"/>
            <w:gridSpan w:val="8"/>
          </w:tcPr>
          <w:p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rsidTr="007533E7">
        <w:tc>
          <w:tcPr>
            <w:tcW w:w="1702" w:type="dxa"/>
            <w:vMerge w:val="restart"/>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vAlign w:val="center"/>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5394" w:type="dxa"/>
            <w:gridSpan w:val="5"/>
          </w:tcPr>
          <w:p w:rsidR="00842AD1" w:rsidRDefault="00842AD1" w:rsidP="007533E7">
            <w:pPr>
              <w:pStyle w:val="NoSpacing"/>
              <w:jc w:val="center"/>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rsidTr="007533E7">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rsidR="00842AD1" w:rsidRDefault="00842AD1" w:rsidP="007533E7">
            <w:pPr>
              <w:pStyle w:val="NoSpacing"/>
              <w:jc w:val="center"/>
              <w:rPr>
                <w:rFonts w:ascii="Times New Roman" w:hAnsi="Times New Roman" w:cs="Times New Roman"/>
                <w:iCs/>
                <w:sz w:val="24"/>
                <w:szCs w:val="24"/>
                <w:lang w:eastAsia="lv-LV"/>
              </w:rPr>
            </w:pPr>
          </w:p>
        </w:tc>
        <w:tc>
          <w:tcPr>
            <w:tcW w:w="2134" w:type="dxa"/>
            <w:gridSpan w:val="2"/>
            <w:vAlign w:val="center"/>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33589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1984" w:type="dxa"/>
            <w:gridSpan w:val="2"/>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276" w:type="dxa"/>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r>
      <w:tr w:rsidR="006E71F7" w:rsidTr="006936E5">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saskaņā ar valsts budžetu </w:t>
            </w:r>
            <w:r w:rsidRPr="00EC6E12">
              <w:rPr>
                <w:rFonts w:ascii="Times New Roman" w:hAnsi="Times New Roman" w:cs="Times New Roman"/>
                <w:iCs/>
                <w:sz w:val="24"/>
                <w:szCs w:val="24"/>
                <w:lang w:eastAsia="lv-LV"/>
              </w:rPr>
              <w:lastRenderedPageBreak/>
              <w:t>kārtējam gadam</w:t>
            </w:r>
          </w:p>
        </w:tc>
        <w:tc>
          <w:tcPr>
            <w:tcW w:w="1268"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 xml:space="preserve">izmaiņas kārtējā gadā, salīdzinot </w:t>
            </w:r>
            <w:r w:rsidRPr="00EC6E12">
              <w:rPr>
                <w:rFonts w:ascii="Times New Roman" w:hAnsi="Times New Roman" w:cs="Times New Roman"/>
                <w:iCs/>
                <w:sz w:val="24"/>
                <w:szCs w:val="24"/>
                <w:lang w:eastAsia="lv-LV"/>
              </w:rPr>
              <w:lastRenderedPageBreak/>
              <w:t>ar valsts budžetu kārtējam gadam</w:t>
            </w:r>
          </w:p>
        </w:tc>
        <w:tc>
          <w:tcPr>
            <w:tcW w:w="1000"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 xml:space="preserve">saskaņā ar vidēja termiņa </w:t>
            </w:r>
            <w:r w:rsidRPr="00EC6E12">
              <w:rPr>
                <w:rFonts w:ascii="Times New Roman" w:hAnsi="Times New Roman" w:cs="Times New Roman"/>
                <w:iCs/>
                <w:sz w:val="24"/>
                <w:szCs w:val="24"/>
                <w:lang w:eastAsia="lv-LV"/>
              </w:rPr>
              <w:lastRenderedPageBreak/>
              <w:t>budžeta ietvaru</w:t>
            </w:r>
          </w:p>
        </w:tc>
        <w:tc>
          <w:tcPr>
            <w:tcW w:w="1134"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w:t>
            </w:r>
            <w:r w:rsidRPr="00EC6E12">
              <w:rPr>
                <w:rFonts w:ascii="Times New Roman" w:hAnsi="Times New Roman" w:cs="Times New Roman"/>
                <w:iCs/>
                <w:sz w:val="24"/>
                <w:szCs w:val="24"/>
                <w:lang w:eastAsia="lv-LV"/>
              </w:rPr>
              <w:lastRenderedPageBreak/>
              <w:t xml:space="preserve">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 xml:space="preserve">saskaņā ar vidēja termiņa </w:t>
            </w:r>
            <w:r w:rsidRPr="00EC6E12">
              <w:rPr>
                <w:rFonts w:ascii="Times New Roman" w:hAnsi="Times New Roman" w:cs="Times New Roman"/>
                <w:iCs/>
                <w:sz w:val="24"/>
                <w:szCs w:val="24"/>
                <w:lang w:eastAsia="lv-LV"/>
              </w:rPr>
              <w:lastRenderedPageBreak/>
              <w:t>budžeta ietvaru</w:t>
            </w:r>
          </w:p>
        </w:tc>
        <w:tc>
          <w:tcPr>
            <w:tcW w:w="992" w:type="dxa"/>
          </w:tcPr>
          <w:p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lastRenderedPageBreak/>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lastRenderedPageBreak/>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C9634E">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w:t>
            </w:r>
            <w:r w:rsidRPr="00EC6E12">
              <w:rPr>
                <w:rFonts w:ascii="Times New Roman" w:hAnsi="Times New Roman" w:cs="Times New Roman"/>
                <w:iCs/>
                <w:sz w:val="24"/>
                <w:szCs w:val="24"/>
                <w:lang w:eastAsia="lv-LV"/>
              </w:rPr>
              <w:lastRenderedPageBreak/>
              <w:t xml:space="preserve">termiņa budžeta ietvaru </w:t>
            </w:r>
            <w:r w:rsidR="00037CA6">
              <w:rPr>
                <w:rFonts w:ascii="Times New Roman" w:hAnsi="Times New Roman" w:cs="Times New Roman"/>
                <w:iCs/>
                <w:sz w:val="24"/>
                <w:szCs w:val="24"/>
                <w:lang w:eastAsia="lv-LV"/>
              </w:rPr>
              <w:t>202</w:t>
            </w:r>
            <w:r w:rsidR="0004685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rsidTr="006936E5">
        <w:tc>
          <w:tcPr>
            <w:tcW w:w="170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lastRenderedPageBreak/>
              <w:t>1</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2</w:t>
            </w:r>
          </w:p>
        </w:tc>
        <w:tc>
          <w:tcPr>
            <w:tcW w:w="1268"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3</w:t>
            </w:r>
          </w:p>
        </w:tc>
        <w:tc>
          <w:tcPr>
            <w:tcW w:w="1000"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4</w:t>
            </w:r>
          </w:p>
        </w:tc>
        <w:tc>
          <w:tcPr>
            <w:tcW w:w="1134"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5</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6</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7</w:t>
            </w:r>
          </w:p>
        </w:tc>
        <w:tc>
          <w:tcPr>
            <w:tcW w:w="1276"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8</w:t>
            </w:r>
          </w:p>
        </w:tc>
      </w:tr>
      <w:tr w:rsidR="006C12A6" w:rsidTr="002074A4">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2074A4">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936E5">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rsidR="006C12A6" w:rsidRPr="001C797C" w:rsidRDefault="006C12A6" w:rsidP="007533E7">
            <w:pPr>
              <w:jc w:val="center"/>
            </w:pPr>
            <w:r w:rsidRPr="001C797C">
              <w:rPr>
                <w:iCs/>
              </w:rPr>
              <w:t>0</w:t>
            </w:r>
          </w:p>
        </w:tc>
        <w:tc>
          <w:tcPr>
            <w:tcW w:w="1268" w:type="dxa"/>
            <w:shd w:val="clear" w:color="auto" w:fill="auto"/>
            <w:vAlign w:val="center"/>
          </w:tcPr>
          <w:p w:rsidR="006C12A6" w:rsidRPr="005C73E3" w:rsidRDefault="00C30FB2" w:rsidP="00C30FB2">
            <w:pPr>
              <w:pStyle w:val="NoSpacing"/>
              <w:jc w:val="center"/>
              <w:rPr>
                <w:rFonts w:ascii="Times New Roman" w:hAnsi="Times New Roman" w:cs="Times New Roman"/>
                <w:iCs/>
                <w:highlight w:val="yellow"/>
                <w:lang w:eastAsia="lv-LV"/>
              </w:rPr>
            </w:pPr>
            <w:r w:rsidRPr="005C73E3">
              <w:rPr>
                <w:rFonts w:ascii="Times New Roman" w:hAnsi="Times New Roman" w:cs="Times New Roman"/>
                <w:iCs/>
                <w:lang w:eastAsia="lv-LV"/>
              </w:rPr>
              <w:t>701 393</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rsidR="006C12A6" w:rsidRPr="001C797C" w:rsidRDefault="006C12A6" w:rsidP="007533E7">
            <w:pPr>
              <w:jc w:val="center"/>
            </w:pPr>
            <w:r w:rsidRPr="001C797C">
              <w:rPr>
                <w:iCs/>
              </w:rPr>
              <w:t>0</w:t>
            </w:r>
          </w:p>
        </w:tc>
        <w:tc>
          <w:tcPr>
            <w:tcW w:w="1268" w:type="dxa"/>
            <w:shd w:val="clear" w:color="auto" w:fill="auto"/>
            <w:vAlign w:val="center"/>
          </w:tcPr>
          <w:p w:rsidR="006C12A6" w:rsidRPr="005C73E3" w:rsidRDefault="00C30FB2" w:rsidP="00C30FB2">
            <w:pPr>
              <w:pStyle w:val="NoSpacing"/>
              <w:jc w:val="center"/>
              <w:rPr>
                <w:rFonts w:ascii="Times New Roman" w:hAnsi="Times New Roman" w:cs="Times New Roman"/>
                <w:iCs/>
                <w:highlight w:val="yellow"/>
                <w:lang w:eastAsia="lv-LV"/>
              </w:rPr>
            </w:pPr>
            <w:r w:rsidRPr="005C73E3">
              <w:rPr>
                <w:rFonts w:ascii="Times New Roman" w:hAnsi="Times New Roman" w:cs="Times New Roman"/>
                <w:iCs/>
                <w:lang w:eastAsia="lv-LV"/>
              </w:rPr>
              <w:t>701 393</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tc>
          <w:tcPr>
            <w:tcW w:w="1702" w:type="dxa"/>
            <w:vAlign w:val="center"/>
          </w:tcPr>
          <w:p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B47986" w:rsidRPr="005A6B47" w:rsidRDefault="00B47986" w:rsidP="007533E7">
            <w:pPr>
              <w:pStyle w:val="NoSpacing"/>
              <w:jc w:val="center"/>
              <w:rPr>
                <w:rFonts w:ascii="Times New Roman" w:hAnsi="Times New Roman" w:cs="Times New Roman"/>
                <w:iCs/>
                <w:lang w:eastAsia="lv-LV"/>
              </w:rPr>
            </w:pPr>
            <w:r w:rsidRPr="005A6B47">
              <w:rPr>
                <w:rFonts w:ascii="Times New Roman" w:hAnsi="Times New Roman" w:cs="Times New Roman"/>
                <w:iCs/>
                <w:lang w:eastAsia="lv-LV"/>
              </w:rPr>
              <w:t>0</w:t>
            </w:r>
          </w:p>
        </w:tc>
        <w:tc>
          <w:tcPr>
            <w:tcW w:w="1000"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tc>
          <w:tcPr>
            <w:tcW w:w="1702" w:type="dxa"/>
            <w:vAlign w:val="center"/>
          </w:tcPr>
          <w:p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B47986" w:rsidRPr="005A6B47" w:rsidRDefault="00B47986" w:rsidP="007533E7">
            <w:pPr>
              <w:pStyle w:val="NoSpacing"/>
              <w:jc w:val="center"/>
              <w:rPr>
                <w:rFonts w:ascii="Times New Roman" w:hAnsi="Times New Roman" w:cs="Times New Roman"/>
                <w:iCs/>
                <w:lang w:eastAsia="lv-LV"/>
              </w:rPr>
            </w:pPr>
            <w:r w:rsidRPr="005A6B47">
              <w:rPr>
                <w:rFonts w:ascii="Times New Roman" w:hAnsi="Times New Roman" w:cs="Times New Roman"/>
                <w:iCs/>
                <w:lang w:eastAsia="lv-LV"/>
              </w:rPr>
              <w:t>0</w:t>
            </w:r>
          </w:p>
        </w:tc>
        <w:tc>
          <w:tcPr>
            <w:tcW w:w="1000"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5A6B47" w:rsidRDefault="006A3697" w:rsidP="007533E7">
            <w:pPr>
              <w:pStyle w:val="NoSpacing"/>
              <w:jc w:val="center"/>
              <w:rPr>
                <w:rFonts w:ascii="Times New Roman" w:hAnsi="Times New Roman" w:cs="Times New Roman"/>
                <w:iCs/>
                <w:highlight w:val="yellow"/>
                <w:lang w:eastAsia="lv-LV"/>
              </w:rPr>
            </w:pPr>
            <w:r w:rsidRPr="005C73E3">
              <w:rPr>
                <w:rFonts w:ascii="Times New Roman" w:hAnsi="Times New Roman" w:cs="Times New Roman"/>
                <w:iCs/>
                <w:lang w:eastAsia="lv-LV"/>
              </w:rPr>
              <w:t>-</w:t>
            </w:r>
            <w:r w:rsidR="00C30FB2" w:rsidRPr="005C73E3">
              <w:rPr>
                <w:rFonts w:ascii="Times New Roman" w:hAnsi="Times New Roman" w:cs="Times New Roman"/>
                <w:iCs/>
                <w:lang w:eastAsia="lv-LV"/>
              </w:rPr>
              <w:t>701 393</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5A6B47" w:rsidRDefault="00C30FB2" w:rsidP="007533E7">
            <w:pPr>
              <w:pStyle w:val="NoSpacing"/>
              <w:jc w:val="center"/>
              <w:rPr>
                <w:rFonts w:ascii="Times New Roman" w:hAnsi="Times New Roman" w:cs="Times New Roman"/>
                <w:iCs/>
                <w:highlight w:val="yellow"/>
                <w:lang w:eastAsia="lv-LV"/>
              </w:rPr>
            </w:pPr>
            <w:r w:rsidRPr="005C73E3">
              <w:rPr>
                <w:rFonts w:ascii="Times New Roman" w:hAnsi="Times New Roman" w:cs="Times New Roman"/>
                <w:iCs/>
                <w:lang w:eastAsia="lv-LV"/>
              </w:rPr>
              <w:t>-701 393</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5A6B47" w:rsidRDefault="00F530FE" w:rsidP="007533E7">
            <w:pPr>
              <w:pStyle w:val="NoSpacing"/>
              <w:jc w:val="center"/>
              <w:rPr>
                <w:rFonts w:ascii="Times New Roman" w:hAnsi="Times New Roman" w:cs="Times New Roman"/>
                <w:iCs/>
                <w:lang w:eastAsia="lv-LV"/>
              </w:rPr>
            </w:pPr>
            <w:r w:rsidRPr="005A6B47">
              <w:rPr>
                <w:rFonts w:ascii="Times New Roman" w:hAnsi="Times New Roman" w:cs="Times New Roman"/>
                <w:iCs/>
                <w:lang w:eastAsia="lv-LV"/>
              </w:rPr>
              <w:t>0</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5A6B47" w:rsidRDefault="00F530FE" w:rsidP="007533E7">
            <w:pPr>
              <w:pStyle w:val="NoSpacing"/>
              <w:jc w:val="center"/>
              <w:rPr>
                <w:rFonts w:ascii="Times New Roman" w:hAnsi="Times New Roman" w:cs="Times New Roman"/>
                <w:iCs/>
                <w:lang w:eastAsia="lv-LV"/>
              </w:rPr>
            </w:pPr>
            <w:r w:rsidRPr="005A6B47">
              <w:rPr>
                <w:rFonts w:ascii="Times New Roman" w:hAnsi="Times New Roman" w:cs="Times New Roman"/>
                <w:iCs/>
                <w:lang w:eastAsia="lv-LV"/>
              </w:rPr>
              <w:t>0</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rsidR="00F530FE" w:rsidRPr="005A6B47" w:rsidRDefault="00C30FB2" w:rsidP="007533E7">
            <w:pPr>
              <w:pStyle w:val="NoSpacing"/>
              <w:jc w:val="center"/>
              <w:rPr>
                <w:rFonts w:ascii="Times New Roman" w:hAnsi="Times New Roman" w:cs="Times New Roman"/>
                <w:iCs/>
                <w:lang w:eastAsia="lv-LV"/>
              </w:rPr>
            </w:pPr>
            <w:r w:rsidRPr="005C73E3">
              <w:rPr>
                <w:rFonts w:ascii="Times New Roman" w:hAnsi="Times New Roman" w:cs="Times New Roman"/>
                <w:iCs/>
                <w:lang w:eastAsia="lv-LV"/>
              </w:rPr>
              <w:t>701 393</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5. Precizēta finansiālā ietekme</w:t>
            </w:r>
          </w:p>
        </w:tc>
        <w:tc>
          <w:tcPr>
            <w:tcW w:w="992" w:type="dxa"/>
            <w:vMerge w:val="restart"/>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9547D2">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rsidR="00991AFF" w:rsidRDefault="00AA2ED0" w:rsidP="00A70ED5">
            <w:pPr>
              <w:pStyle w:val="tv213"/>
              <w:tabs>
                <w:tab w:val="left" w:pos="709"/>
              </w:tabs>
              <w:spacing w:before="0" w:beforeAutospacing="0" w:after="0" w:afterAutospacing="0"/>
              <w:ind w:left="360" w:hanging="324"/>
              <w:jc w:val="both"/>
              <w:rPr>
                <w:i/>
                <w:shd w:val="clear" w:color="auto" w:fill="FFFFFF"/>
              </w:rPr>
            </w:pPr>
            <w:r>
              <w:rPr>
                <w:b/>
                <w:shd w:val="clear" w:color="auto" w:fill="FFFFFF"/>
              </w:rPr>
              <w:t>N</w:t>
            </w:r>
            <w:r w:rsidR="009553AA" w:rsidRPr="00BB0426">
              <w:rPr>
                <w:b/>
                <w:shd w:val="clear" w:color="auto" w:fill="FFFFFF"/>
              </w:rPr>
              <w:t xml:space="preserve">epieciešamais finansējums </w:t>
            </w:r>
            <w:proofErr w:type="spellStart"/>
            <w:r w:rsidR="00A70ED5" w:rsidRPr="00A70ED5">
              <w:rPr>
                <w:b/>
                <w:bCs/>
                <w:color w:val="000000"/>
                <w:lang w:val="en-US" w:eastAsia="en-US"/>
              </w:rPr>
              <w:t>kopā</w:t>
            </w:r>
            <w:proofErr w:type="spellEnd"/>
            <w:r w:rsidR="00A70ED5" w:rsidRPr="00A70ED5">
              <w:rPr>
                <w:b/>
                <w:bCs/>
                <w:color w:val="000000"/>
                <w:lang w:val="en-US" w:eastAsia="en-US"/>
              </w:rPr>
              <w:t xml:space="preserve"> </w:t>
            </w:r>
            <w:proofErr w:type="spellStart"/>
            <w:r w:rsidR="00A70ED5" w:rsidRPr="00A70ED5">
              <w:rPr>
                <w:b/>
                <w:bCs/>
                <w:color w:val="000000"/>
                <w:lang w:val="en-US" w:eastAsia="en-US"/>
              </w:rPr>
              <w:t>ar</w:t>
            </w:r>
            <w:proofErr w:type="spellEnd"/>
            <w:r w:rsidR="00A70ED5" w:rsidRPr="00A70ED5">
              <w:rPr>
                <w:b/>
                <w:bCs/>
                <w:color w:val="000000"/>
                <w:lang w:val="en-US" w:eastAsia="en-US"/>
              </w:rPr>
              <w:t xml:space="preserve"> DD VSAOI</w:t>
            </w:r>
            <w:r w:rsidR="00A70ED5">
              <w:rPr>
                <w:b/>
                <w:shd w:val="clear" w:color="auto" w:fill="FFFFFF"/>
              </w:rPr>
              <w:t xml:space="preserve">  </w:t>
            </w:r>
            <w:r w:rsidR="002F6367">
              <w:rPr>
                <w:b/>
                <w:shd w:val="clear" w:color="auto" w:fill="FFFFFF"/>
              </w:rPr>
              <w:t xml:space="preserve">2020.gadā laika periodā no 1.oktobra līdz 30.novembrim </w:t>
            </w:r>
            <w:r w:rsidR="009553AA" w:rsidRPr="00BB0426">
              <w:rPr>
                <w:b/>
                <w:shd w:val="clear" w:color="auto" w:fill="FFFFFF"/>
              </w:rPr>
              <w:t>– KOPĀ</w:t>
            </w:r>
            <w:r w:rsidR="002506DA" w:rsidRPr="00BB0426">
              <w:rPr>
                <w:b/>
                <w:shd w:val="clear" w:color="auto" w:fill="FFFFFF"/>
              </w:rPr>
              <w:t xml:space="preserve">: </w:t>
            </w:r>
            <w:r w:rsidR="006A3697">
              <w:rPr>
                <w:b/>
                <w:shd w:val="clear" w:color="auto" w:fill="FFFFFF"/>
              </w:rPr>
              <w:t> </w:t>
            </w:r>
            <w:r w:rsidR="002F2E4E">
              <w:rPr>
                <w:i/>
                <w:shd w:val="clear" w:color="auto" w:fill="FFFFFF"/>
              </w:rPr>
              <w:t xml:space="preserve"> </w:t>
            </w:r>
          </w:p>
          <w:tbl>
            <w:tblPr>
              <w:tblW w:w="6380" w:type="dxa"/>
              <w:tblLayout w:type="fixed"/>
              <w:tblLook w:val="04A0" w:firstRow="1" w:lastRow="0" w:firstColumn="1" w:lastColumn="0" w:noHBand="0" w:noVBand="1"/>
            </w:tblPr>
            <w:tblGrid>
              <w:gridCol w:w="2425"/>
              <w:gridCol w:w="2205"/>
              <w:gridCol w:w="1750"/>
            </w:tblGrid>
            <w:tr w:rsidR="00A70ED5" w:rsidRPr="00A70ED5" w:rsidTr="00A70ED5">
              <w:trPr>
                <w:trHeight w:val="312"/>
              </w:trPr>
              <w:tc>
                <w:tcPr>
                  <w:tcW w:w="2425" w:type="dxa"/>
                  <w:tcBorders>
                    <w:top w:val="nil"/>
                    <w:left w:val="nil"/>
                    <w:bottom w:val="nil"/>
                    <w:right w:val="nil"/>
                  </w:tcBorders>
                  <w:shd w:val="clear" w:color="auto" w:fill="auto"/>
                  <w:noWrap/>
                  <w:vAlign w:val="bottom"/>
                  <w:hideMark/>
                </w:tcPr>
                <w:p w:rsidR="00A70ED5" w:rsidRPr="00A70ED5" w:rsidRDefault="00A70ED5" w:rsidP="00A70ED5">
                  <w:pPr>
                    <w:rPr>
                      <w:b/>
                      <w:bCs/>
                      <w:color w:val="000000"/>
                      <w:lang w:val="en-US" w:eastAsia="en-US"/>
                    </w:rPr>
                  </w:pPr>
                  <w:proofErr w:type="spellStart"/>
                  <w:r w:rsidRPr="00A70ED5">
                    <w:rPr>
                      <w:b/>
                      <w:bCs/>
                      <w:color w:val="000000"/>
                      <w:lang w:val="en-US" w:eastAsia="en-US"/>
                    </w:rPr>
                    <w:t>Valsts</w:t>
                  </w:r>
                  <w:proofErr w:type="spellEnd"/>
                  <w:r w:rsidRPr="00A70ED5">
                    <w:rPr>
                      <w:b/>
                      <w:bCs/>
                      <w:color w:val="000000"/>
                      <w:lang w:val="en-US" w:eastAsia="en-US"/>
                    </w:rPr>
                    <w:t xml:space="preserve"> </w:t>
                  </w:r>
                  <w:proofErr w:type="spellStart"/>
                  <w:r w:rsidRPr="00A70ED5">
                    <w:rPr>
                      <w:b/>
                      <w:bCs/>
                      <w:color w:val="000000"/>
                      <w:lang w:val="en-US" w:eastAsia="en-US"/>
                    </w:rPr>
                    <w:t>policija</w:t>
                  </w:r>
                  <w:proofErr w:type="spellEnd"/>
                </w:p>
              </w:tc>
              <w:tc>
                <w:tcPr>
                  <w:tcW w:w="2205" w:type="dxa"/>
                  <w:tcBorders>
                    <w:top w:val="nil"/>
                    <w:left w:val="nil"/>
                    <w:bottom w:val="nil"/>
                    <w:right w:val="nil"/>
                  </w:tcBorders>
                  <w:shd w:val="clear" w:color="auto" w:fill="auto"/>
                  <w:noWrap/>
                  <w:vAlign w:val="bottom"/>
                  <w:hideMark/>
                </w:tcPr>
                <w:p w:rsidR="00A70ED5" w:rsidRPr="00A70ED5" w:rsidRDefault="00A70ED5" w:rsidP="00A70ED5">
                  <w:pPr>
                    <w:rPr>
                      <w:b/>
                      <w:bCs/>
                      <w:color w:val="000000"/>
                      <w:lang w:val="en-US" w:eastAsia="en-US"/>
                    </w:rPr>
                  </w:pPr>
                </w:p>
              </w:tc>
              <w:tc>
                <w:tcPr>
                  <w:tcW w:w="1750" w:type="dxa"/>
                  <w:tcBorders>
                    <w:top w:val="nil"/>
                    <w:left w:val="nil"/>
                    <w:bottom w:val="nil"/>
                    <w:right w:val="nil"/>
                  </w:tcBorders>
                  <w:shd w:val="clear" w:color="auto" w:fill="auto"/>
                  <w:noWrap/>
                  <w:vAlign w:val="bottom"/>
                  <w:hideMark/>
                </w:tcPr>
                <w:p w:rsidR="00A70ED5" w:rsidRPr="00A70ED5" w:rsidRDefault="00A70ED5" w:rsidP="00A70ED5">
                  <w:pPr>
                    <w:rPr>
                      <w:sz w:val="20"/>
                      <w:szCs w:val="20"/>
                      <w:lang w:val="en-US" w:eastAsia="en-US"/>
                    </w:rPr>
                  </w:pPr>
                </w:p>
              </w:tc>
            </w:tr>
            <w:tr w:rsidR="00A70ED5" w:rsidRPr="00A70ED5" w:rsidTr="00A70ED5">
              <w:trPr>
                <w:trHeight w:val="28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ED5" w:rsidRPr="00A70ED5" w:rsidRDefault="00A70ED5" w:rsidP="00A70ED5">
                  <w:pPr>
                    <w:rPr>
                      <w:color w:val="000000"/>
                      <w:sz w:val="22"/>
                      <w:szCs w:val="22"/>
                      <w:lang w:val="en-US" w:eastAsia="en-US"/>
                    </w:rPr>
                  </w:pPr>
                  <w:r w:rsidRPr="00A70ED5">
                    <w:rPr>
                      <w:color w:val="000000"/>
                      <w:sz w:val="22"/>
                      <w:szCs w:val="22"/>
                      <w:lang w:val="en-US" w:eastAsia="en-US"/>
                    </w:rPr>
                    <w:t> </w:t>
                  </w:r>
                </w:p>
              </w:tc>
              <w:tc>
                <w:tcPr>
                  <w:tcW w:w="2205" w:type="dxa"/>
                  <w:tcBorders>
                    <w:top w:val="single" w:sz="4" w:space="0" w:color="auto"/>
                    <w:left w:val="nil"/>
                    <w:bottom w:val="single" w:sz="4" w:space="0" w:color="auto"/>
                    <w:right w:val="single" w:sz="4" w:space="0" w:color="auto"/>
                  </w:tcBorders>
                  <w:shd w:val="clear" w:color="auto" w:fill="auto"/>
                  <w:noWrap/>
                  <w:vAlign w:val="bottom"/>
                  <w:hideMark/>
                </w:tcPr>
                <w:p w:rsidR="00A70ED5" w:rsidRPr="00A70ED5" w:rsidRDefault="00A70ED5" w:rsidP="00A70ED5">
                  <w:pPr>
                    <w:rPr>
                      <w:color w:val="000000"/>
                      <w:sz w:val="22"/>
                      <w:szCs w:val="22"/>
                      <w:lang w:val="en-US" w:eastAsia="en-US"/>
                    </w:rPr>
                  </w:pPr>
                  <w:proofErr w:type="spellStart"/>
                  <w:r w:rsidRPr="00A70ED5">
                    <w:rPr>
                      <w:color w:val="000000"/>
                      <w:sz w:val="22"/>
                      <w:szCs w:val="22"/>
                      <w:lang w:val="en-US" w:eastAsia="en-US"/>
                    </w:rPr>
                    <w:t>Amatpersonu</w:t>
                  </w:r>
                  <w:proofErr w:type="spellEnd"/>
                  <w:r w:rsidRPr="00A70ED5">
                    <w:rPr>
                      <w:color w:val="000000"/>
                      <w:sz w:val="22"/>
                      <w:szCs w:val="22"/>
                      <w:lang w:val="en-US" w:eastAsia="en-US"/>
                    </w:rPr>
                    <w:t xml:space="preserve"> </w:t>
                  </w:r>
                  <w:proofErr w:type="spellStart"/>
                  <w:r w:rsidRPr="00A70ED5">
                    <w:rPr>
                      <w:color w:val="000000"/>
                      <w:sz w:val="22"/>
                      <w:szCs w:val="22"/>
                      <w:lang w:val="en-US" w:eastAsia="en-US"/>
                    </w:rPr>
                    <w:t>skaits</w:t>
                  </w:r>
                  <w:proofErr w:type="spellEnd"/>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A70ED5" w:rsidRPr="00A70ED5" w:rsidRDefault="00A70ED5" w:rsidP="00A70ED5">
                  <w:pPr>
                    <w:rPr>
                      <w:color w:val="000000"/>
                      <w:sz w:val="22"/>
                      <w:szCs w:val="22"/>
                      <w:lang w:val="en-US" w:eastAsia="en-US"/>
                    </w:rPr>
                  </w:pPr>
                  <w:proofErr w:type="spellStart"/>
                  <w:r w:rsidRPr="00A70ED5">
                    <w:rPr>
                      <w:color w:val="000000"/>
                      <w:sz w:val="22"/>
                      <w:szCs w:val="22"/>
                      <w:lang w:val="en-US" w:eastAsia="en-US"/>
                    </w:rPr>
                    <w:t>Atlīdzībai</w:t>
                  </w:r>
                  <w:proofErr w:type="spellEnd"/>
                  <w:r w:rsidRPr="00A70ED5">
                    <w:rPr>
                      <w:color w:val="000000"/>
                      <w:sz w:val="22"/>
                      <w:szCs w:val="22"/>
                      <w:lang w:val="en-US" w:eastAsia="en-US"/>
                    </w:rPr>
                    <w:t xml:space="preserve">, </w:t>
                  </w:r>
                  <w:r w:rsidRPr="005C73E3">
                    <w:rPr>
                      <w:i/>
                      <w:color w:val="000000"/>
                      <w:sz w:val="22"/>
                      <w:szCs w:val="22"/>
                      <w:lang w:val="en-US" w:eastAsia="en-US"/>
                    </w:rPr>
                    <w:t>euro</w:t>
                  </w:r>
                </w:p>
              </w:tc>
            </w:tr>
            <w:tr w:rsidR="00A70ED5" w:rsidRPr="00A70ED5" w:rsidTr="00A70ED5">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70ED5" w:rsidRPr="00A70ED5" w:rsidRDefault="00A70ED5" w:rsidP="00A70ED5">
                  <w:pPr>
                    <w:rPr>
                      <w:color w:val="000000"/>
                      <w:sz w:val="22"/>
                      <w:szCs w:val="22"/>
                      <w:lang w:val="en-US" w:eastAsia="en-US"/>
                    </w:rPr>
                  </w:pPr>
                  <w:r w:rsidRPr="00A70ED5">
                    <w:rPr>
                      <w:color w:val="000000"/>
                      <w:sz w:val="22"/>
                      <w:szCs w:val="22"/>
                      <w:lang w:val="en-US" w:eastAsia="en-US"/>
                    </w:rPr>
                    <w:t xml:space="preserve">2020.gada </w:t>
                  </w:r>
                  <w:proofErr w:type="spellStart"/>
                  <w:r w:rsidRPr="00A70ED5">
                    <w:rPr>
                      <w:color w:val="000000"/>
                      <w:sz w:val="22"/>
                      <w:szCs w:val="22"/>
                      <w:lang w:val="en-US" w:eastAsia="en-US"/>
                    </w:rPr>
                    <w:t>oktobris</w:t>
                  </w:r>
                  <w:proofErr w:type="spellEnd"/>
                </w:p>
              </w:tc>
              <w:tc>
                <w:tcPr>
                  <w:tcW w:w="2205" w:type="dxa"/>
                  <w:tcBorders>
                    <w:top w:val="nil"/>
                    <w:left w:val="nil"/>
                    <w:bottom w:val="single" w:sz="4" w:space="0" w:color="auto"/>
                    <w:right w:val="single" w:sz="4" w:space="0" w:color="auto"/>
                  </w:tcBorders>
                  <w:shd w:val="clear" w:color="auto" w:fill="auto"/>
                  <w:noWrap/>
                  <w:vAlign w:val="bottom"/>
                  <w:hideMark/>
                </w:tcPr>
                <w:p w:rsidR="00A70ED5" w:rsidRPr="00A70ED5" w:rsidRDefault="00A70ED5" w:rsidP="00A70ED5">
                  <w:pPr>
                    <w:jc w:val="right"/>
                    <w:rPr>
                      <w:color w:val="000000"/>
                      <w:sz w:val="22"/>
                      <w:szCs w:val="22"/>
                      <w:lang w:val="en-US" w:eastAsia="en-US"/>
                    </w:rPr>
                  </w:pPr>
                  <w:r w:rsidRPr="00A70ED5">
                    <w:rPr>
                      <w:color w:val="000000"/>
                      <w:sz w:val="22"/>
                      <w:szCs w:val="22"/>
                      <w:lang w:val="en-US" w:eastAsia="en-US"/>
                    </w:rPr>
                    <w:t>355</w:t>
                  </w:r>
                </w:p>
              </w:tc>
              <w:tc>
                <w:tcPr>
                  <w:tcW w:w="1750" w:type="dxa"/>
                  <w:tcBorders>
                    <w:top w:val="nil"/>
                    <w:left w:val="nil"/>
                    <w:bottom w:val="single" w:sz="4" w:space="0" w:color="auto"/>
                    <w:right w:val="single" w:sz="4" w:space="0" w:color="auto"/>
                  </w:tcBorders>
                  <w:shd w:val="clear" w:color="auto" w:fill="auto"/>
                  <w:noWrap/>
                  <w:vAlign w:val="bottom"/>
                  <w:hideMark/>
                </w:tcPr>
                <w:p w:rsidR="00A70ED5" w:rsidRPr="00A70ED5" w:rsidRDefault="00A70ED5" w:rsidP="00A70ED5">
                  <w:pPr>
                    <w:jc w:val="right"/>
                    <w:rPr>
                      <w:color w:val="000000"/>
                      <w:sz w:val="22"/>
                      <w:szCs w:val="22"/>
                      <w:lang w:val="en-US" w:eastAsia="en-US"/>
                    </w:rPr>
                  </w:pPr>
                  <w:r w:rsidRPr="00A70ED5">
                    <w:rPr>
                      <w:color w:val="000000"/>
                      <w:sz w:val="22"/>
                      <w:szCs w:val="22"/>
                      <w:lang w:val="en-US" w:eastAsia="en-US"/>
                    </w:rPr>
                    <w:t>80 999</w:t>
                  </w:r>
                </w:p>
              </w:tc>
            </w:tr>
            <w:tr w:rsidR="00A70ED5" w:rsidRPr="00A70ED5" w:rsidTr="00A70ED5">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70ED5" w:rsidRPr="00A70ED5" w:rsidRDefault="00A70ED5" w:rsidP="00A70ED5">
                  <w:pPr>
                    <w:rPr>
                      <w:color w:val="000000"/>
                      <w:sz w:val="22"/>
                      <w:szCs w:val="22"/>
                      <w:lang w:val="en-US" w:eastAsia="en-US"/>
                    </w:rPr>
                  </w:pPr>
                  <w:r w:rsidRPr="00A70ED5">
                    <w:rPr>
                      <w:color w:val="000000"/>
                      <w:sz w:val="22"/>
                      <w:szCs w:val="22"/>
                      <w:lang w:val="en-US" w:eastAsia="en-US"/>
                    </w:rPr>
                    <w:t xml:space="preserve">2020.gada </w:t>
                  </w:r>
                  <w:proofErr w:type="spellStart"/>
                  <w:r w:rsidRPr="00A70ED5">
                    <w:rPr>
                      <w:color w:val="000000"/>
                      <w:sz w:val="22"/>
                      <w:szCs w:val="22"/>
                      <w:lang w:val="en-US" w:eastAsia="en-US"/>
                    </w:rPr>
                    <w:t>novembris</w:t>
                  </w:r>
                  <w:proofErr w:type="spellEnd"/>
                </w:p>
              </w:tc>
              <w:tc>
                <w:tcPr>
                  <w:tcW w:w="2205" w:type="dxa"/>
                  <w:tcBorders>
                    <w:top w:val="nil"/>
                    <w:left w:val="nil"/>
                    <w:bottom w:val="single" w:sz="4" w:space="0" w:color="auto"/>
                    <w:right w:val="single" w:sz="4" w:space="0" w:color="auto"/>
                  </w:tcBorders>
                  <w:shd w:val="clear" w:color="auto" w:fill="auto"/>
                  <w:noWrap/>
                  <w:vAlign w:val="bottom"/>
                  <w:hideMark/>
                </w:tcPr>
                <w:p w:rsidR="00A70ED5" w:rsidRPr="00A70ED5" w:rsidRDefault="00A70ED5" w:rsidP="00A70ED5">
                  <w:pPr>
                    <w:jc w:val="right"/>
                    <w:rPr>
                      <w:color w:val="000000"/>
                      <w:sz w:val="22"/>
                      <w:szCs w:val="22"/>
                      <w:lang w:val="en-US" w:eastAsia="en-US"/>
                    </w:rPr>
                  </w:pPr>
                  <w:r w:rsidRPr="00A70ED5">
                    <w:rPr>
                      <w:color w:val="000000"/>
                      <w:sz w:val="22"/>
                      <w:szCs w:val="22"/>
                      <w:lang w:val="en-US" w:eastAsia="en-US"/>
                    </w:rPr>
                    <w:t>1080</w:t>
                  </w:r>
                </w:p>
              </w:tc>
              <w:tc>
                <w:tcPr>
                  <w:tcW w:w="1750" w:type="dxa"/>
                  <w:tcBorders>
                    <w:top w:val="nil"/>
                    <w:left w:val="nil"/>
                    <w:bottom w:val="single" w:sz="4" w:space="0" w:color="auto"/>
                    <w:right w:val="single" w:sz="4" w:space="0" w:color="auto"/>
                  </w:tcBorders>
                  <w:shd w:val="clear" w:color="auto" w:fill="auto"/>
                  <w:noWrap/>
                  <w:vAlign w:val="bottom"/>
                  <w:hideMark/>
                </w:tcPr>
                <w:p w:rsidR="00A70ED5" w:rsidRPr="00A70ED5" w:rsidRDefault="00A70ED5" w:rsidP="00A70ED5">
                  <w:pPr>
                    <w:jc w:val="right"/>
                    <w:rPr>
                      <w:color w:val="000000"/>
                      <w:sz w:val="22"/>
                      <w:szCs w:val="22"/>
                      <w:lang w:val="en-US" w:eastAsia="en-US"/>
                    </w:rPr>
                  </w:pPr>
                  <w:r w:rsidRPr="00A70ED5">
                    <w:rPr>
                      <w:color w:val="000000"/>
                      <w:sz w:val="22"/>
                      <w:szCs w:val="22"/>
                      <w:lang w:val="en-US" w:eastAsia="en-US"/>
                    </w:rPr>
                    <w:t>122 322</w:t>
                  </w:r>
                </w:p>
              </w:tc>
            </w:tr>
            <w:tr w:rsidR="00A70ED5" w:rsidRPr="00A70ED5" w:rsidTr="00A70ED5">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70ED5" w:rsidRPr="00A70ED5" w:rsidRDefault="00A70ED5" w:rsidP="00A70ED5">
                  <w:pPr>
                    <w:rPr>
                      <w:color w:val="000000"/>
                      <w:sz w:val="22"/>
                      <w:szCs w:val="22"/>
                      <w:lang w:val="en-US" w:eastAsia="en-US"/>
                    </w:rPr>
                  </w:pPr>
                  <w:proofErr w:type="spellStart"/>
                  <w:r w:rsidRPr="00A70ED5">
                    <w:rPr>
                      <w:color w:val="000000"/>
                      <w:sz w:val="22"/>
                      <w:szCs w:val="22"/>
                      <w:lang w:val="en-US" w:eastAsia="en-US"/>
                    </w:rPr>
                    <w:t>Kopā</w:t>
                  </w:r>
                  <w:proofErr w:type="spellEnd"/>
                </w:p>
              </w:tc>
              <w:tc>
                <w:tcPr>
                  <w:tcW w:w="2205" w:type="dxa"/>
                  <w:tcBorders>
                    <w:top w:val="nil"/>
                    <w:left w:val="nil"/>
                    <w:bottom w:val="single" w:sz="4" w:space="0" w:color="auto"/>
                    <w:right w:val="single" w:sz="4" w:space="0" w:color="auto"/>
                  </w:tcBorders>
                  <w:shd w:val="clear" w:color="auto" w:fill="auto"/>
                  <w:noWrap/>
                  <w:vAlign w:val="bottom"/>
                  <w:hideMark/>
                </w:tcPr>
                <w:p w:rsidR="00A70ED5" w:rsidRPr="00A70ED5" w:rsidRDefault="00A70ED5" w:rsidP="00A70ED5">
                  <w:pPr>
                    <w:rPr>
                      <w:color w:val="000000"/>
                      <w:sz w:val="22"/>
                      <w:szCs w:val="22"/>
                      <w:lang w:val="en-US" w:eastAsia="en-US"/>
                    </w:rPr>
                  </w:pPr>
                  <w:r w:rsidRPr="00A70ED5">
                    <w:rPr>
                      <w:color w:val="000000"/>
                      <w:sz w:val="22"/>
                      <w:szCs w:val="22"/>
                      <w:lang w:val="en-US" w:eastAsia="en-US"/>
                    </w:rPr>
                    <w:t> </w:t>
                  </w:r>
                </w:p>
              </w:tc>
              <w:tc>
                <w:tcPr>
                  <w:tcW w:w="1750" w:type="dxa"/>
                  <w:tcBorders>
                    <w:top w:val="nil"/>
                    <w:left w:val="nil"/>
                    <w:bottom w:val="single" w:sz="4" w:space="0" w:color="auto"/>
                    <w:right w:val="single" w:sz="4" w:space="0" w:color="auto"/>
                  </w:tcBorders>
                  <w:shd w:val="clear" w:color="auto" w:fill="auto"/>
                  <w:noWrap/>
                  <w:vAlign w:val="bottom"/>
                  <w:hideMark/>
                </w:tcPr>
                <w:p w:rsidR="00A70ED5" w:rsidRPr="00A70ED5" w:rsidRDefault="00A70ED5" w:rsidP="00A70ED5">
                  <w:pPr>
                    <w:jc w:val="right"/>
                    <w:rPr>
                      <w:color w:val="000000"/>
                      <w:sz w:val="22"/>
                      <w:szCs w:val="22"/>
                      <w:lang w:val="en-US" w:eastAsia="en-US"/>
                    </w:rPr>
                  </w:pPr>
                  <w:r w:rsidRPr="00A70ED5">
                    <w:rPr>
                      <w:color w:val="000000"/>
                      <w:sz w:val="22"/>
                      <w:szCs w:val="22"/>
                      <w:lang w:val="en-US" w:eastAsia="en-US"/>
                    </w:rPr>
                    <w:t>203 321</w:t>
                  </w:r>
                </w:p>
              </w:tc>
            </w:tr>
            <w:tr w:rsidR="00A70ED5" w:rsidRPr="00A70ED5" w:rsidTr="00A70ED5">
              <w:trPr>
                <w:trHeight w:val="288"/>
              </w:trPr>
              <w:tc>
                <w:tcPr>
                  <w:tcW w:w="2425" w:type="dxa"/>
                  <w:tcBorders>
                    <w:top w:val="nil"/>
                    <w:left w:val="nil"/>
                    <w:bottom w:val="nil"/>
                    <w:right w:val="nil"/>
                  </w:tcBorders>
                  <w:shd w:val="clear" w:color="auto" w:fill="auto"/>
                  <w:noWrap/>
                  <w:vAlign w:val="bottom"/>
                  <w:hideMark/>
                </w:tcPr>
                <w:p w:rsidR="00A70ED5" w:rsidRPr="00A70ED5" w:rsidRDefault="00A70ED5" w:rsidP="00A70ED5">
                  <w:pPr>
                    <w:jc w:val="right"/>
                    <w:rPr>
                      <w:color w:val="000000"/>
                      <w:sz w:val="22"/>
                      <w:szCs w:val="22"/>
                      <w:lang w:val="en-US" w:eastAsia="en-US"/>
                    </w:rPr>
                  </w:pPr>
                </w:p>
              </w:tc>
              <w:tc>
                <w:tcPr>
                  <w:tcW w:w="2205" w:type="dxa"/>
                  <w:tcBorders>
                    <w:top w:val="nil"/>
                    <w:left w:val="nil"/>
                    <w:bottom w:val="nil"/>
                    <w:right w:val="nil"/>
                  </w:tcBorders>
                  <w:shd w:val="clear" w:color="auto" w:fill="auto"/>
                  <w:noWrap/>
                  <w:vAlign w:val="bottom"/>
                  <w:hideMark/>
                </w:tcPr>
                <w:p w:rsidR="00A70ED5" w:rsidRPr="00A70ED5" w:rsidRDefault="00A70ED5" w:rsidP="00A70ED5">
                  <w:pPr>
                    <w:rPr>
                      <w:sz w:val="20"/>
                      <w:szCs w:val="20"/>
                      <w:lang w:val="en-US" w:eastAsia="en-US"/>
                    </w:rPr>
                  </w:pPr>
                </w:p>
              </w:tc>
              <w:tc>
                <w:tcPr>
                  <w:tcW w:w="1750" w:type="dxa"/>
                  <w:tcBorders>
                    <w:top w:val="nil"/>
                    <w:left w:val="nil"/>
                    <w:bottom w:val="nil"/>
                    <w:right w:val="nil"/>
                  </w:tcBorders>
                  <w:shd w:val="clear" w:color="auto" w:fill="auto"/>
                  <w:noWrap/>
                  <w:vAlign w:val="bottom"/>
                  <w:hideMark/>
                </w:tcPr>
                <w:p w:rsidR="00A70ED5" w:rsidRPr="00A70ED5" w:rsidRDefault="00A70ED5" w:rsidP="00A70ED5">
                  <w:pPr>
                    <w:rPr>
                      <w:sz w:val="20"/>
                      <w:szCs w:val="20"/>
                      <w:lang w:val="en-US" w:eastAsia="en-US"/>
                    </w:rPr>
                  </w:pPr>
                </w:p>
              </w:tc>
            </w:tr>
            <w:tr w:rsidR="00A70ED5" w:rsidRPr="00A70ED5" w:rsidTr="00A70ED5">
              <w:trPr>
                <w:trHeight w:val="312"/>
              </w:trPr>
              <w:tc>
                <w:tcPr>
                  <w:tcW w:w="2425" w:type="dxa"/>
                  <w:tcBorders>
                    <w:top w:val="nil"/>
                    <w:left w:val="nil"/>
                    <w:bottom w:val="nil"/>
                    <w:right w:val="nil"/>
                  </w:tcBorders>
                  <w:shd w:val="clear" w:color="auto" w:fill="auto"/>
                  <w:noWrap/>
                  <w:vAlign w:val="bottom"/>
                  <w:hideMark/>
                </w:tcPr>
                <w:p w:rsidR="00A70ED5" w:rsidRPr="00A70ED5" w:rsidRDefault="00A70ED5" w:rsidP="00A70ED5">
                  <w:pPr>
                    <w:rPr>
                      <w:b/>
                      <w:bCs/>
                      <w:color w:val="000000"/>
                      <w:lang w:val="en-US" w:eastAsia="en-US"/>
                    </w:rPr>
                  </w:pPr>
                  <w:proofErr w:type="spellStart"/>
                  <w:r w:rsidRPr="00A70ED5">
                    <w:rPr>
                      <w:b/>
                      <w:bCs/>
                      <w:color w:val="000000"/>
                      <w:lang w:val="en-US" w:eastAsia="en-US"/>
                    </w:rPr>
                    <w:t>Valsts</w:t>
                  </w:r>
                  <w:proofErr w:type="spellEnd"/>
                  <w:r w:rsidRPr="00A70ED5">
                    <w:rPr>
                      <w:b/>
                      <w:bCs/>
                      <w:color w:val="000000"/>
                      <w:lang w:val="en-US" w:eastAsia="en-US"/>
                    </w:rPr>
                    <w:t xml:space="preserve"> </w:t>
                  </w:r>
                  <w:proofErr w:type="spellStart"/>
                  <w:r w:rsidRPr="00A70ED5">
                    <w:rPr>
                      <w:b/>
                      <w:bCs/>
                      <w:color w:val="000000"/>
                      <w:lang w:val="en-US" w:eastAsia="en-US"/>
                    </w:rPr>
                    <w:t>robežsardze</w:t>
                  </w:r>
                  <w:proofErr w:type="spellEnd"/>
                </w:p>
              </w:tc>
              <w:tc>
                <w:tcPr>
                  <w:tcW w:w="2205" w:type="dxa"/>
                  <w:tcBorders>
                    <w:top w:val="nil"/>
                    <w:left w:val="nil"/>
                    <w:bottom w:val="nil"/>
                    <w:right w:val="nil"/>
                  </w:tcBorders>
                  <w:shd w:val="clear" w:color="auto" w:fill="auto"/>
                  <w:noWrap/>
                  <w:vAlign w:val="bottom"/>
                  <w:hideMark/>
                </w:tcPr>
                <w:p w:rsidR="00A70ED5" w:rsidRPr="00A70ED5" w:rsidRDefault="00A70ED5" w:rsidP="00A70ED5">
                  <w:pPr>
                    <w:rPr>
                      <w:b/>
                      <w:bCs/>
                      <w:color w:val="000000"/>
                      <w:lang w:val="en-US" w:eastAsia="en-US"/>
                    </w:rPr>
                  </w:pPr>
                </w:p>
              </w:tc>
              <w:tc>
                <w:tcPr>
                  <w:tcW w:w="1750" w:type="dxa"/>
                  <w:tcBorders>
                    <w:top w:val="nil"/>
                    <w:left w:val="nil"/>
                    <w:bottom w:val="nil"/>
                    <w:right w:val="nil"/>
                  </w:tcBorders>
                  <w:shd w:val="clear" w:color="auto" w:fill="auto"/>
                  <w:noWrap/>
                  <w:vAlign w:val="bottom"/>
                  <w:hideMark/>
                </w:tcPr>
                <w:p w:rsidR="00A70ED5" w:rsidRPr="00A70ED5" w:rsidRDefault="00A70ED5" w:rsidP="00A70ED5">
                  <w:pPr>
                    <w:rPr>
                      <w:sz w:val="20"/>
                      <w:szCs w:val="20"/>
                      <w:lang w:val="en-US" w:eastAsia="en-US"/>
                    </w:rPr>
                  </w:pPr>
                </w:p>
              </w:tc>
            </w:tr>
            <w:tr w:rsidR="00A70ED5" w:rsidRPr="00A70ED5" w:rsidTr="00A70ED5">
              <w:trPr>
                <w:trHeight w:val="3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ED5" w:rsidRPr="00A70ED5" w:rsidRDefault="00A70ED5" w:rsidP="00A70ED5">
                  <w:pPr>
                    <w:rPr>
                      <w:color w:val="000000"/>
                      <w:sz w:val="22"/>
                      <w:szCs w:val="22"/>
                      <w:lang w:val="en-US" w:eastAsia="en-US"/>
                    </w:rPr>
                  </w:pPr>
                  <w:r w:rsidRPr="00A70ED5">
                    <w:rPr>
                      <w:color w:val="000000"/>
                      <w:sz w:val="22"/>
                      <w:szCs w:val="22"/>
                      <w:lang w:val="en-US" w:eastAsia="en-US"/>
                    </w:rPr>
                    <w:t> </w:t>
                  </w:r>
                </w:p>
              </w:tc>
              <w:tc>
                <w:tcPr>
                  <w:tcW w:w="2205" w:type="dxa"/>
                  <w:tcBorders>
                    <w:top w:val="single" w:sz="4" w:space="0" w:color="auto"/>
                    <w:left w:val="nil"/>
                    <w:bottom w:val="single" w:sz="4" w:space="0" w:color="auto"/>
                    <w:right w:val="single" w:sz="4" w:space="0" w:color="auto"/>
                  </w:tcBorders>
                  <w:shd w:val="clear" w:color="auto" w:fill="auto"/>
                  <w:noWrap/>
                  <w:vAlign w:val="bottom"/>
                  <w:hideMark/>
                </w:tcPr>
                <w:p w:rsidR="00A70ED5" w:rsidRPr="00A70ED5" w:rsidRDefault="00A70ED5" w:rsidP="00A70ED5">
                  <w:pPr>
                    <w:rPr>
                      <w:color w:val="000000"/>
                      <w:sz w:val="22"/>
                      <w:szCs w:val="22"/>
                      <w:lang w:val="en-US" w:eastAsia="en-US"/>
                    </w:rPr>
                  </w:pPr>
                  <w:proofErr w:type="spellStart"/>
                  <w:r w:rsidRPr="00A70ED5">
                    <w:rPr>
                      <w:color w:val="000000"/>
                      <w:sz w:val="22"/>
                      <w:szCs w:val="22"/>
                      <w:lang w:val="en-US" w:eastAsia="en-US"/>
                    </w:rPr>
                    <w:t>Amatpersonu</w:t>
                  </w:r>
                  <w:proofErr w:type="spellEnd"/>
                  <w:r w:rsidRPr="00A70ED5">
                    <w:rPr>
                      <w:color w:val="000000"/>
                      <w:sz w:val="22"/>
                      <w:szCs w:val="22"/>
                      <w:lang w:val="en-US" w:eastAsia="en-US"/>
                    </w:rPr>
                    <w:t xml:space="preserve"> </w:t>
                  </w:r>
                  <w:proofErr w:type="spellStart"/>
                  <w:r w:rsidRPr="00A70ED5">
                    <w:rPr>
                      <w:color w:val="000000"/>
                      <w:sz w:val="22"/>
                      <w:szCs w:val="22"/>
                      <w:lang w:val="en-US" w:eastAsia="en-US"/>
                    </w:rPr>
                    <w:t>skaits</w:t>
                  </w:r>
                  <w:proofErr w:type="spellEnd"/>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A70ED5" w:rsidRPr="00A70ED5" w:rsidRDefault="00A70ED5" w:rsidP="00A70ED5">
                  <w:pPr>
                    <w:rPr>
                      <w:color w:val="000000"/>
                      <w:sz w:val="22"/>
                      <w:szCs w:val="22"/>
                      <w:lang w:val="en-US" w:eastAsia="en-US"/>
                    </w:rPr>
                  </w:pPr>
                  <w:proofErr w:type="spellStart"/>
                  <w:r w:rsidRPr="00A70ED5">
                    <w:rPr>
                      <w:color w:val="000000"/>
                      <w:sz w:val="22"/>
                      <w:szCs w:val="22"/>
                      <w:lang w:val="en-US" w:eastAsia="en-US"/>
                    </w:rPr>
                    <w:t>Atlīdzībai</w:t>
                  </w:r>
                  <w:proofErr w:type="spellEnd"/>
                  <w:r w:rsidRPr="00A70ED5">
                    <w:rPr>
                      <w:color w:val="000000"/>
                      <w:sz w:val="22"/>
                      <w:szCs w:val="22"/>
                      <w:lang w:val="en-US" w:eastAsia="en-US"/>
                    </w:rPr>
                    <w:t xml:space="preserve">, </w:t>
                  </w:r>
                  <w:r w:rsidRPr="005C73E3">
                    <w:rPr>
                      <w:i/>
                      <w:color w:val="000000"/>
                      <w:sz w:val="22"/>
                      <w:szCs w:val="22"/>
                      <w:lang w:val="en-US" w:eastAsia="en-US"/>
                    </w:rPr>
                    <w:t>euro</w:t>
                  </w:r>
                </w:p>
              </w:tc>
            </w:tr>
            <w:tr w:rsidR="00A70ED5" w:rsidRPr="00A70ED5" w:rsidTr="00A70ED5">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70ED5" w:rsidRPr="00A70ED5" w:rsidRDefault="00A70ED5" w:rsidP="00A70ED5">
                  <w:pPr>
                    <w:rPr>
                      <w:color w:val="000000"/>
                      <w:sz w:val="22"/>
                      <w:szCs w:val="22"/>
                      <w:lang w:val="en-US" w:eastAsia="en-US"/>
                    </w:rPr>
                  </w:pPr>
                  <w:r w:rsidRPr="00A70ED5">
                    <w:rPr>
                      <w:color w:val="000000"/>
                      <w:sz w:val="22"/>
                      <w:szCs w:val="22"/>
                      <w:lang w:val="en-US" w:eastAsia="en-US"/>
                    </w:rPr>
                    <w:t xml:space="preserve">2020.gada </w:t>
                  </w:r>
                  <w:proofErr w:type="spellStart"/>
                  <w:r w:rsidRPr="00A70ED5">
                    <w:rPr>
                      <w:color w:val="000000"/>
                      <w:sz w:val="22"/>
                      <w:szCs w:val="22"/>
                      <w:lang w:val="en-US" w:eastAsia="en-US"/>
                    </w:rPr>
                    <w:t>oktobris</w:t>
                  </w:r>
                  <w:proofErr w:type="spellEnd"/>
                </w:p>
              </w:tc>
              <w:tc>
                <w:tcPr>
                  <w:tcW w:w="2205" w:type="dxa"/>
                  <w:tcBorders>
                    <w:top w:val="nil"/>
                    <w:left w:val="nil"/>
                    <w:bottom w:val="single" w:sz="4" w:space="0" w:color="auto"/>
                    <w:right w:val="single" w:sz="4" w:space="0" w:color="auto"/>
                  </w:tcBorders>
                  <w:shd w:val="clear" w:color="auto" w:fill="auto"/>
                  <w:noWrap/>
                  <w:vAlign w:val="bottom"/>
                  <w:hideMark/>
                </w:tcPr>
                <w:p w:rsidR="00A70ED5" w:rsidRPr="00A70ED5" w:rsidRDefault="00A70ED5" w:rsidP="00A70ED5">
                  <w:pPr>
                    <w:jc w:val="right"/>
                    <w:rPr>
                      <w:color w:val="000000"/>
                      <w:sz w:val="22"/>
                      <w:szCs w:val="22"/>
                      <w:lang w:val="en-US" w:eastAsia="en-US"/>
                    </w:rPr>
                  </w:pPr>
                  <w:r w:rsidRPr="00A70ED5">
                    <w:rPr>
                      <w:color w:val="000000"/>
                      <w:sz w:val="22"/>
                      <w:szCs w:val="22"/>
                      <w:lang w:val="en-US" w:eastAsia="en-US"/>
                    </w:rPr>
                    <w:t>545</w:t>
                  </w:r>
                </w:p>
              </w:tc>
              <w:tc>
                <w:tcPr>
                  <w:tcW w:w="1750" w:type="dxa"/>
                  <w:tcBorders>
                    <w:top w:val="nil"/>
                    <w:left w:val="nil"/>
                    <w:bottom w:val="single" w:sz="4" w:space="0" w:color="auto"/>
                    <w:right w:val="single" w:sz="4" w:space="0" w:color="auto"/>
                  </w:tcBorders>
                  <w:shd w:val="clear" w:color="auto" w:fill="auto"/>
                  <w:noWrap/>
                  <w:vAlign w:val="bottom"/>
                  <w:hideMark/>
                </w:tcPr>
                <w:p w:rsidR="00A70ED5" w:rsidRPr="00A70ED5" w:rsidRDefault="00A70ED5" w:rsidP="00A70ED5">
                  <w:pPr>
                    <w:jc w:val="right"/>
                    <w:rPr>
                      <w:color w:val="000000"/>
                      <w:sz w:val="22"/>
                      <w:szCs w:val="22"/>
                      <w:lang w:val="en-US" w:eastAsia="en-US"/>
                    </w:rPr>
                  </w:pPr>
                  <w:r w:rsidRPr="00A70ED5">
                    <w:rPr>
                      <w:color w:val="000000"/>
                      <w:sz w:val="22"/>
                      <w:szCs w:val="22"/>
                      <w:lang w:val="en-US" w:eastAsia="en-US"/>
                    </w:rPr>
                    <w:t>249 498</w:t>
                  </w:r>
                </w:p>
              </w:tc>
            </w:tr>
            <w:tr w:rsidR="00A70ED5" w:rsidRPr="00A70ED5" w:rsidTr="00A70ED5">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70ED5" w:rsidRPr="00A70ED5" w:rsidRDefault="00A70ED5" w:rsidP="00A70ED5">
                  <w:pPr>
                    <w:rPr>
                      <w:color w:val="000000"/>
                      <w:sz w:val="22"/>
                      <w:szCs w:val="22"/>
                      <w:lang w:val="en-US" w:eastAsia="en-US"/>
                    </w:rPr>
                  </w:pPr>
                  <w:r w:rsidRPr="00A70ED5">
                    <w:rPr>
                      <w:color w:val="000000"/>
                      <w:sz w:val="22"/>
                      <w:szCs w:val="22"/>
                      <w:lang w:val="en-US" w:eastAsia="en-US"/>
                    </w:rPr>
                    <w:t xml:space="preserve">2020.gada </w:t>
                  </w:r>
                  <w:proofErr w:type="spellStart"/>
                  <w:r w:rsidRPr="00A70ED5">
                    <w:rPr>
                      <w:color w:val="000000"/>
                      <w:sz w:val="22"/>
                      <w:szCs w:val="22"/>
                      <w:lang w:val="en-US" w:eastAsia="en-US"/>
                    </w:rPr>
                    <w:t>novembris</w:t>
                  </w:r>
                  <w:proofErr w:type="spellEnd"/>
                </w:p>
              </w:tc>
              <w:tc>
                <w:tcPr>
                  <w:tcW w:w="2205" w:type="dxa"/>
                  <w:tcBorders>
                    <w:top w:val="nil"/>
                    <w:left w:val="nil"/>
                    <w:bottom w:val="single" w:sz="4" w:space="0" w:color="auto"/>
                    <w:right w:val="single" w:sz="4" w:space="0" w:color="auto"/>
                  </w:tcBorders>
                  <w:shd w:val="clear" w:color="auto" w:fill="auto"/>
                  <w:noWrap/>
                  <w:vAlign w:val="bottom"/>
                  <w:hideMark/>
                </w:tcPr>
                <w:p w:rsidR="00A70ED5" w:rsidRPr="00A70ED5" w:rsidRDefault="00A70ED5" w:rsidP="00A70ED5">
                  <w:pPr>
                    <w:jc w:val="right"/>
                    <w:rPr>
                      <w:color w:val="000000"/>
                      <w:sz w:val="22"/>
                      <w:szCs w:val="22"/>
                      <w:lang w:val="en-US" w:eastAsia="en-US"/>
                    </w:rPr>
                  </w:pPr>
                  <w:r w:rsidRPr="00A70ED5">
                    <w:rPr>
                      <w:color w:val="000000"/>
                      <w:sz w:val="22"/>
                      <w:szCs w:val="22"/>
                      <w:lang w:val="en-US" w:eastAsia="en-US"/>
                    </w:rPr>
                    <w:t>553</w:t>
                  </w:r>
                </w:p>
              </w:tc>
              <w:tc>
                <w:tcPr>
                  <w:tcW w:w="1750" w:type="dxa"/>
                  <w:tcBorders>
                    <w:top w:val="nil"/>
                    <w:left w:val="nil"/>
                    <w:bottom w:val="single" w:sz="4" w:space="0" w:color="auto"/>
                    <w:right w:val="single" w:sz="4" w:space="0" w:color="auto"/>
                  </w:tcBorders>
                  <w:shd w:val="clear" w:color="auto" w:fill="auto"/>
                  <w:noWrap/>
                  <w:vAlign w:val="bottom"/>
                  <w:hideMark/>
                </w:tcPr>
                <w:p w:rsidR="00A70ED5" w:rsidRPr="00A70ED5" w:rsidRDefault="00A70ED5" w:rsidP="00A70ED5">
                  <w:pPr>
                    <w:jc w:val="right"/>
                    <w:rPr>
                      <w:color w:val="000000"/>
                      <w:sz w:val="22"/>
                      <w:szCs w:val="22"/>
                      <w:lang w:val="en-US" w:eastAsia="en-US"/>
                    </w:rPr>
                  </w:pPr>
                  <w:r w:rsidRPr="00A70ED5">
                    <w:rPr>
                      <w:color w:val="000000"/>
                      <w:sz w:val="22"/>
                      <w:szCs w:val="22"/>
                      <w:lang w:val="en-US" w:eastAsia="en-US"/>
                    </w:rPr>
                    <w:t>248 574</w:t>
                  </w:r>
                </w:p>
              </w:tc>
            </w:tr>
            <w:tr w:rsidR="00A70ED5" w:rsidRPr="00A70ED5" w:rsidTr="00A70ED5">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70ED5" w:rsidRPr="00A70ED5" w:rsidRDefault="00A70ED5" w:rsidP="00A70ED5">
                  <w:pPr>
                    <w:rPr>
                      <w:color w:val="000000"/>
                      <w:sz w:val="22"/>
                      <w:szCs w:val="22"/>
                      <w:lang w:val="en-US" w:eastAsia="en-US"/>
                    </w:rPr>
                  </w:pPr>
                  <w:proofErr w:type="spellStart"/>
                  <w:r w:rsidRPr="00A70ED5">
                    <w:rPr>
                      <w:color w:val="000000"/>
                      <w:sz w:val="22"/>
                      <w:szCs w:val="22"/>
                      <w:lang w:val="en-US" w:eastAsia="en-US"/>
                    </w:rPr>
                    <w:t>Kopā</w:t>
                  </w:r>
                  <w:proofErr w:type="spellEnd"/>
                </w:p>
              </w:tc>
              <w:tc>
                <w:tcPr>
                  <w:tcW w:w="2205" w:type="dxa"/>
                  <w:tcBorders>
                    <w:top w:val="nil"/>
                    <w:left w:val="nil"/>
                    <w:bottom w:val="single" w:sz="4" w:space="0" w:color="auto"/>
                    <w:right w:val="single" w:sz="4" w:space="0" w:color="auto"/>
                  </w:tcBorders>
                  <w:shd w:val="clear" w:color="auto" w:fill="auto"/>
                  <w:noWrap/>
                  <w:vAlign w:val="bottom"/>
                  <w:hideMark/>
                </w:tcPr>
                <w:p w:rsidR="00A70ED5" w:rsidRPr="00A70ED5" w:rsidRDefault="00A70ED5" w:rsidP="00A70ED5">
                  <w:pPr>
                    <w:rPr>
                      <w:color w:val="000000"/>
                      <w:sz w:val="22"/>
                      <w:szCs w:val="22"/>
                      <w:lang w:val="en-US" w:eastAsia="en-US"/>
                    </w:rPr>
                  </w:pPr>
                  <w:r w:rsidRPr="00A70ED5">
                    <w:rPr>
                      <w:color w:val="000000"/>
                      <w:sz w:val="22"/>
                      <w:szCs w:val="22"/>
                      <w:lang w:val="en-US" w:eastAsia="en-US"/>
                    </w:rPr>
                    <w:t> </w:t>
                  </w:r>
                </w:p>
              </w:tc>
              <w:tc>
                <w:tcPr>
                  <w:tcW w:w="1750" w:type="dxa"/>
                  <w:tcBorders>
                    <w:top w:val="nil"/>
                    <w:left w:val="nil"/>
                    <w:bottom w:val="single" w:sz="4" w:space="0" w:color="auto"/>
                    <w:right w:val="single" w:sz="4" w:space="0" w:color="auto"/>
                  </w:tcBorders>
                  <w:shd w:val="clear" w:color="auto" w:fill="auto"/>
                  <w:noWrap/>
                  <w:vAlign w:val="bottom"/>
                  <w:hideMark/>
                </w:tcPr>
                <w:p w:rsidR="00A70ED5" w:rsidRPr="00A70ED5" w:rsidRDefault="00A70ED5" w:rsidP="00A70ED5">
                  <w:pPr>
                    <w:jc w:val="right"/>
                    <w:rPr>
                      <w:color w:val="000000"/>
                      <w:sz w:val="22"/>
                      <w:szCs w:val="22"/>
                      <w:lang w:val="en-US" w:eastAsia="en-US"/>
                    </w:rPr>
                  </w:pPr>
                  <w:r w:rsidRPr="00A70ED5">
                    <w:rPr>
                      <w:color w:val="000000"/>
                      <w:sz w:val="22"/>
                      <w:szCs w:val="22"/>
                      <w:lang w:val="en-US" w:eastAsia="en-US"/>
                    </w:rPr>
                    <w:t>498 072</w:t>
                  </w:r>
                </w:p>
              </w:tc>
            </w:tr>
            <w:tr w:rsidR="00A70ED5" w:rsidRPr="00A70ED5" w:rsidTr="00A70ED5">
              <w:trPr>
                <w:trHeight w:val="288"/>
              </w:trPr>
              <w:tc>
                <w:tcPr>
                  <w:tcW w:w="2425" w:type="dxa"/>
                  <w:tcBorders>
                    <w:top w:val="nil"/>
                    <w:left w:val="nil"/>
                    <w:bottom w:val="nil"/>
                    <w:right w:val="nil"/>
                  </w:tcBorders>
                  <w:shd w:val="clear" w:color="auto" w:fill="auto"/>
                  <w:noWrap/>
                  <w:vAlign w:val="bottom"/>
                  <w:hideMark/>
                </w:tcPr>
                <w:p w:rsidR="00A70ED5" w:rsidRPr="00A70ED5" w:rsidRDefault="00A70ED5" w:rsidP="00A70ED5">
                  <w:pPr>
                    <w:jc w:val="right"/>
                    <w:rPr>
                      <w:color w:val="000000"/>
                      <w:sz w:val="22"/>
                      <w:szCs w:val="22"/>
                      <w:lang w:val="en-US" w:eastAsia="en-US"/>
                    </w:rPr>
                  </w:pPr>
                </w:p>
              </w:tc>
              <w:tc>
                <w:tcPr>
                  <w:tcW w:w="2205" w:type="dxa"/>
                  <w:tcBorders>
                    <w:top w:val="nil"/>
                    <w:left w:val="nil"/>
                    <w:bottom w:val="nil"/>
                    <w:right w:val="nil"/>
                  </w:tcBorders>
                  <w:shd w:val="clear" w:color="auto" w:fill="auto"/>
                  <w:noWrap/>
                  <w:vAlign w:val="bottom"/>
                  <w:hideMark/>
                </w:tcPr>
                <w:p w:rsidR="00A70ED5" w:rsidRPr="00A70ED5" w:rsidRDefault="00A70ED5" w:rsidP="00A70ED5">
                  <w:pPr>
                    <w:rPr>
                      <w:sz w:val="20"/>
                      <w:szCs w:val="20"/>
                      <w:lang w:val="en-US" w:eastAsia="en-US"/>
                    </w:rPr>
                  </w:pPr>
                </w:p>
              </w:tc>
              <w:tc>
                <w:tcPr>
                  <w:tcW w:w="1750" w:type="dxa"/>
                  <w:tcBorders>
                    <w:top w:val="nil"/>
                    <w:left w:val="nil"/>
                    <w:bottom w:val="nil"/>
                    <w:right w:val="nil"/>
                  </w:tcBorders>
                  <w:shd w:val="clear" w:color="auto" w:fill="auto"/>
                  <w:noWrap/>
                  <w:vAlign w:val="bottom"/>
                  <w:hideMark/>
                </w:tcPr>
                <w:p w:rsidR="00A70ED5" w:rsidRPr="00A70ED5" w:rsidRDefault="00A70ED5" w:rsidP="00A70ED5">
                  <w:pPr>
                    <w:rPr>
                      <w:sz w:val="20"/>
                      <w:szCs w:val="20"/>
                      <w:lang w:val="en-US" w:eastAsia="en-US"/>
                    </w:rPr>
                  </w:pPr>
                </w:p>
              </w:tc>
            </w:tr>
            <w:tr w:rsidR="00A70ED5" w:rsidRPr="00A70ED5" w:rsidTr="00A70ED5">
              <w:trPr>
                <w:trHeight w:val="312"/>
              </w:trPr>
              <w:tc>
                <w:tcPr>
                  <w:tcW w:w="6380" w:type="dxa"/>
                  <w:gridSpan w:val="3"/>
                  <w:tcBorders>
                    <w:top w:val="nil"/>
                    <w:left w:val="nil"/>
                    <w:bottom w:val="nil"/>
                    <w:right w:val="nil"/>
                  </w:tcBorders>
                  <w:shd w:val="clear" w:color="auto" w:fill="auto"/>
                  <w:noWrap/>
                  <w:vAlign w:val="bottom"/>
                  <w:hideMark/>
                </w:tcPr>
                <w:p w:rsidR="00A70ED5" w:rsidRPr="00A70ED5" w:rsidRDefault="00A70ED5" w:rsidP="00A70ED5">
                  <w:pPr>
                    <w:rPr>
                      <w:b/>
                      <w:bCs/>
                      <w:color w:val="000000"/>
                      <w:lang w:val="en-US" w:eastAsia="en-US"/>
                    </w:rPr>
                  </w:pPr>
                  <w:proofErr w:type="spellStart"/>
                  <w:r w:rsidRPr="00A70ED5">
                    <w:rPr>
                      <w:b/>
                      <w:bCs/>
                      <w:color w:val="000000"/>
                      <w:lang w:val="en-US" w:eastAsia="en-US"/>
                    </w:rPr>
                    <w:t>Valsts</w:t>
                  </w:r>
                  <w:proofErr w:type="spellEnd"/>
                  <w:r w:rsidRPr="00A70ED5">
                    <w:rPr>
                      <w:b/>
                      <w:bCs/>
                      <w:color w:val="000000"/>
                      <w:lang w:val="en-US" w:eastAsia="en-US"/>
                    </w:rPr>
                    <w:t xml:space="preserve"> </w:t>
                  </w:r>
                  <w:proofErr w:type="spellStart"/>
                  <w:r w:rsidRPr="00A70ED5">
                    <w:rPr>
                      <w:b/>
                      <w:bCs/>
                      <w:color w:val="000000"/>
                      <w:lang w:val="en-US" w:eastAsia="en-US"/>
                    </w:rPr>
                    <w:t>policijai</w:t>
                  </w:r>
                  <w:proofErr w:type="spellEnd"/>
                  <w:r w:rsidRPr="00A70ED5">
                    <w:rPr>
                      <w:b/>
                      <w:bCs/>
                      <w:color w:val="000000"/>
                      <w:lang w:val="en-US" w:eastAsia="en-US"/>
                    </w:rPr>
                    <w:t xml:space="preserve"> un </w:t>
                  </w:r>
                  <w:proofErr w:type="spellStart"/>
                  <w:r w:rsidRPr="00A70ED5">
                    <w:rPr>
                      <w:b/>
                      <w:bCs/>
                      <w:color w:val="000000"/>
                      <w:lang w:val="en-US" w:eastAsia="en-US"/>
                    </w:rPr>
                    <w:t>Valsts</w:t>
                  </w:r>
                  <w:proofErr w:type="spellEnd"/>
                  <w:r w:rsidRPr="00A70ED5">
                    <w:rPr>
                      <w:b/>
                      <w:bCs/>
                      <w:color w:val="000000"/>
                      <w:lang w:val="en-US" w:eastAsia="en-US"/>
                    </w:rPr>
                    <w:t xml:space="preserve"> </w:t>
                  </w:r>
                  <w:proofErr w:type="spellStart"/>
                  <w:r w:rsidRPr="00A70ED5">
                    <w:rPr>
                      <w:b/>
                      <w:bCs/>
                      <w:color w:val="000000"/>
                      <w:lang w:val="en-US" w:eastAsia="en-US"/>
                    </w:rPr>
                    <w:t>robežsardzei</w:t>
                  </w:r>
                  <w:proofErr w:type="spellEnd"/>
                  <w:r w:rsidRPr="00A70ED5">
                    <w:rPr>
                      <w:b/>
                      <w:bCs/>
                      <w:color w:val="000000"/>
                      <w:lang w:val="en-US" w:eastAsia="en-US"/>
                    </w:rPr>
                    <w:t xml:space="preserve"> </w:t>
                  </w:r>
                  <w:proofErr w:type="spellStart"/>
                  <w:r w:rsidRPr="00A70ED5">
                    <w:rPr>
                      <w:b/>
                      <w:bCs/>
                      <w:color w:val="000000"/>
                      <w:lang w:val="en-US" w:eastAsia="en-US"/>
                    </w:rPr>
                    <w:t>kopā</w:t>
                  </w:r>
                  <w:proofErr w:type="spellEnd"/>
                </w:p>
              </w:tc>
            </w:tr>
            <w:tr w:rsidR="00A70ED5" w:rsidRPr="00A70ED5" w:rsidTr="00A70ED5">
              <w:trPr>
                <w:trHeight w:val="288"/>
              </w:trPr>
              <w:tc>
                <w:tcPr>
                  <w:tcW w:w="2425" w:type="dxa"/>
                  <w:tcBorders>
                    <w:top w:val="nil"/>
                    <w:left w:val="nil"/>
                    <w:bottom w:val="nil"/>
                    <w:right w:val="nil"/>
                  </w:tcBorders>
                  <w:shd w:val="clear" w:color="auto" w:fill="auto"/>
                  <w:noWrap/>
                  <w:vAlign w:val="bottom"/>
                  <w:hideMark/>
                </w:tcPr>
                <w:p w:rsidR="00A70ED5" w:rsidRPr="00A70ED5" w:rsidRDefault="00A70ED5" w:rsidP="00A70ED5">
                  <w:pPr>
                    <w:rPr>
                      <w:b/>
                      <w:bCs/>
                      <w:color w:val="000000"/>
                      <w:lang w:val="en-US" w:eastAsia="en-US"/>
                    </w:rPr>
                  </w:pPr>
                </w:p>
              </w:tc>
              <w:tc>
                <w:tcPr>
                  <w:tcW w:w="2205" w:type="dxa"/>
                  <w:tcBorders>
                    <w:top w:val="nil"/>
                    <w:left w:val="nil"/>
                    <w:bottom w:val="nil"/>
                    <w:right w:val="nil"/>
                  </w:tcBorders>
                  <w:shd w:val="clear" w:color="auto" w:fill="auto"/>
                  <w:noWrap/>
                  <w:vAlign w:val="bottom"/>
                  <w:hideMark/>
                </w:tcPr>
                <w:p w:rsidR="00A70ED5" w:rsidRPr="00A70ED5" w:rsidRDefault="00A70ED5" w:rsidP="00A70ED5">
                  <w:pPr>
                    <w:rPr>
                      <w:sz w:val="20"/>
                      <w:szCs w:val="20"/>
                      <w:lang w:val="en-US" w:eastAsia="en-US"/>
                    </w:rPr>
                  </w:pPr>
                </w:p>
              </w:tc>
              <w:tc>
                <w:tcPr>
                  <w:tcW w:w="1750" w:type="dxa"/>
                  <w:tcBorders>
                    <w:top w:val="nil"/>
                    <w:left w:val="nil"/>
                    <w:bottom w:val="nil"/>
                    <w:right w:val="nil"/>
                  </w:tcBorders>
                  <w:shd w:val="clear" w:color="auto" w:fill="auto"/>
                  <w:noWrap/>
                  <w:vAlign w:val="bottom"/>
                  <w:hideMark/>
                </w:tcPr>
                <w:p w:rsidR="00A70ED5" w:rsidRPr="00A70ED5" w:rsidRDefault="00A70ED5" w:rsidP="00A70ED5">
                  <w:pPr>
                    <w:rPr>
                      <w:sz w:val="20"/>
                      <w:szCs w:val="20"/>
                      <w:lang w:val="en-US" w:eastAsia="en-US"/>
                    </w:rPr>
                  </w:pPr>
                </w:p>
              </w:tc>
            </w:tr>
            <w:tr w:rsidR="00A70ED5" w:rsidRPr="00A70ED5" w:rsidTr="00A70ED5">
              <w:trPr>
                <w:trHeight w:val="28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ED5" w:rsidRPr="00A70ED5" w:rsidRDefault="00A70ED5" w:rsidP="00A70ED5">
                  <w:pPr>
                    <w:rPr>
                      <w:color w:val="000000"/>
                      <w:sz w:val="22"/>
                      <w:szCs w:val="22"/>
                      <w:lang w:val="en-US" w:eastAsia="en-US"/>
                    </w:rPr>
                  </w:pPr>
                  <w:r w:rsidRPr="00A70ED5">
                    <w:rPr>
                      <w:color w:val="000000"/>
                      <w:sz w:val="22"/>
                      <w:szCs w:val="22"/>
                      <w:lang w:val="en-US" w:eastAsia="en-US"/>
                    </w:rPr>
                    <w:t> </w:t>
                  </w:r>
                </w:p>
              </w:tc>
              <w:tc>
                <w:tcPr>
                  <w:tcW w:w="2205" w:type="dxa"/>
                  <w:tcBorders>
                    <w:top w:val="single" w:sz="4" w:space="0" w:color="auto"/>
                    <w:left w:val="nil"/>
                    <w:bottom w:val="single" w:sz="4" w:space="0" w:color="auto"/>
                    <w:right w:val="single" w:sz="4" w:space="0" w:color="auto"/>
                  </w:tcBorders>
                  <w:shd w:val="clear" w:color="auto" w:fill="auto"/>
                  <w:noWrap/>
                  <w:vAlign w:val="bottom"/>
                  <w:hideMark/>
                </w:tcPr>
                <w:p w:rsidR="00A70ED5" w:rsidRPr="00A70ED5" w:rsidRDefault="00A70ED5" w:rsidP="00A70ED5">
                  <w:pPr>
                    <w:rPr>
                      <w:color w:val="000000"/>
                      <w:sz w:val="22"/>
                      <w:szCs w:val="22"/>
                      <w:lang w:val="en-US" w:eastAsia="en-US"/>
                    </w:rPr>
                  </w:pPr>
                  <w:proofErr w:type="spellStart"/>
                  <w:r w:rsidRPr="00A70ED5">
                    <w:rPr>
                      <w:color w:val="000000"/>
                      <w:sz w:val="22"/>
                      <w:szCs w:val="22"/>
                      <w:lang w:val="en-US" w:eastAsia="en-US"/>
                    </w:rPr>
                    <w:t>Amatpersonu</w:t>
                  </w:r>
                  <w:proofErr w:type="spellEnd"/>
                  <w:r w:rsidRPr="00A70ED5">
                    <w:rPr>
                      <w:color w:val="000000"/>
                      <w:sz w:val="22"/>
                      <w:szCs w:val="22"/>
                      <w:lang w:val="en-US" w:eastAsia="en-US"/>
                    </w:rPr>
                    <w:t xml:space="preserve"> </w:t>
                  </w:r>
                  <w:proofErr w:type="spellStart"/>
                  <w:r w:rsidRPr="00A70ED5">
                    <w:rPr>
                      <w:color w:val="000000"/>
                      <w:sz w:val="22"/>
                      <w:szCs w:val="22"/>
                      <w:lang w:val="en-US" w:eastAsia="en-US"/>
                    </w:rPr>
                    <w:t>skaits</w:t>
                  </w:r>
                  <w:proofErr w:type="spellEnd"/>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A70ED5" w:rsidRPr="00A70ED5" w:rsidRDefault="00A70ED5" w:rsidP="00A70ED5">
                  <w:pPr>
                    <w:rPr>
                      <w:color w:val="000000"/>
                      <w:sz w:val="22"/>
                      <w:szCs w:val="22"/>
                      <w:lang w:val="en-US" w:eastAsia="en-US"/>
                    </w:rPr>
                  </w:pPr>
                  <w:proofErr w:type="spellStart"/>
                  <w:r w:rsidRPr="00A70ED5">
                    <w:rPr>
                      <w:color w:val="000000"/>
                      <w:sz w:val="22"/>
                      <w:szCs w:val="22"/>
                      <w:lang w:val="en-US" w:eastAsia="en-US"/>
                    </w:rPr>
                    <w:t>Atlīdzībai</w:t>
                  </w:r>
                  <w:proofErr w:type="spellEnd"/>
                  <w:r w:rsidRPr="00A70ED5">
                    <w:rPr>
                      <w:color w:val="000000"/>
                      <w:sz w:val="22"/>
                      <w:szCs w:val="22"/>
                      <w:lang w:val="en-US" w:eastAsia="en-US"/>
                    </w:rPr>
                    <w:t xml:space="preserve">, </w:t>
                  </w:r>
                  <w:r w:rsidRPr="005C73E3">
                    <w:rPr>
                      <w:i/>
                      <w:color w:val="000000"/>
                      <w:sz w:val="22"/>
                      <w:szCs w:val="22"/>
                      <w:lang w:val="en-US" w:eastAsia="en-US"/>
                    </w:rPr>
                    <w:t>euro</w:t>
                  </w:r>
                </w:p>
              </w:tc>
            </w:tr>
            <w:tr w:rsidR="00A70ED5" w:rsidRPr="00A70ED5" w:rsidTr="00A70ED5">
              <w:trPr>
                <w:trHeight w:val="31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70ED5" w:rsidRPr="00A70ED5" w:rsidRDefault="00A70ED5" w:rsidP="00A70ED5">
                  <w:pPr>
                    <w:rPr>
                      <w:color w:val="000000"/>
                      <w:sz w:val="22"/>
                      <w:szCs w:val="22"/>
                      <w:lang w:val="en-US" w:eastAsia="en-US"/>
                    </w:rPr>
                  </w:pPr>
                  <w:r w:rsidRPr="00A70ED5">
                    <w:rPr>
                      <w:color w:val="000000"/>
                      <w:sz w:val="22"/>
                      <w:szCs w:val="22"/>
                      <w:lang w:val="en-US" w:eastAsia="en-US"/>
                    </w:rPr>
                    <w:t xml:space="preserve">2020.gada </w:t>
                  </w:r>
                  <w:proofErr w:type="spellStart"/>
                  <w:r w:rsidRPr="00A70ED5">
                    <w:rPr>
                      <w:color w:val="000000"/>
                      <w:sz w:val="22"/>
                      <w:szCs w:val="22"/>
                      <w:lang w:val="en-US" w:eastAsia="en-US"/>
                    </w:rPr>
                    <w:t>oktobris</w:t>
                  </w:r>
                  <w:proofErr w:type="spellEnd"/>
                </w:p>
              </w:tc>
              <w:tc>
                <w:tcPr>
                  <w:tcW w:w="2205" w:type="dxa"/>
                  <w:tcBorders>
                    <w:top w:val="nil"/>
                    <w:left w:val="nil"/>
                    <w:bottom w:val="single" w:sz="4" w:space="0" w:color="auto"/>
                    <w:right w:val="single" w:sz="4" w:space="0" w:color="auto"/>
                  </w:tcBorders>
                  <w:shd w:val="clear" w:color="auto" w:fill="auto"/>
                  <w:noWrap/>
                  <w:vAlign w:val="bottom"/>
                  <w:hideMark/>
                </w:tcPr>
                <w:p w:rsidR="00A70ED5" w:rsidRPr="00A70ED5" w:rsidRDefault="00A70ED5" w:rsidP="00A70ED5">
                  <w:pPr>
                    <w:jc w:val="right"/>
                    <w:rPr>
                      <w:color w:val="000000"/>
                      <w:sz w:val="22"/>
                      <w:szCs w:val="22"/>
                      <w:lang w:val="en-US" w:eastAsia="en-US"/>
                    </w:rPr>
                  </w:pPr>
                  <w:r w:rsidRPr="00A70ED5">
                    <w:rPr>
                      <w:color w:val="000000"/>
                      <w:sz w:val="22"/>
                      <w:szCs w:val="22"/>
                      <w:lang w:val="en-US" w:eastAsia="en-US"/>
                    </w:rPr>
                    <w:t>900</w:t>
                  </w:r>
                </w:p>
              </w:tc>
              <w:tc>
                <w:tcPr>
                  <w:tcW w:w="1750" w:type="dxa"/>
                  <w:tcBorders>
                    <w:top w:val="nil"/>
                    <w:left w:val="nil"/>
                    <w:bottom w:val="single" w:sz="4" w:space="0" w:color="auto"/>
                    <w:right w:val="single" w:sz="4" w:space="0" w:color="auto"/>
                  </w:tcBorders>
                  <w:shd w:val="clear" w:color="auto" w:fill="auto"/>
                  <w:noWrap/>
                  <w:vAlign w:val="bottom"/>
                  <w:hideMark/>
                </w:tcPr>
                <w:p w:rsidR="00A70ED5" w:rsidRPr="00A70ED5" w:rsidRDefault="00A70ED5" w:rsidP="00A70ED5">
                  <w:pPr>
                    <w:jc w:val="right"/>
                    <w:rPr>
                      <w:color w:val="000000"/>
                      <w:sz w:val="22"/>
                      <w:szCs w:val="22"/>
                      <w:lang w:val="en-US" w:eastAsia="en-US"/>
                    </w:rPr>
                  </w:pPr>
                  <w:r w:rsidRPr="00A70ED5">
                    <w:rPr>
                      <w:color w:val="000000"/>
                      <w:sz w:val="22"/>
                      <w:szCs w:val="22"/>
                      <w:lang w:val="en-US" w:eastAsia="en-US"/>
                    </w:rPr>
                    <w:t>330 497</w:t>
                  </w:r>
                </w:p>
              </w:tc>
            </w:tr>
            <w:tr w:rsidR="00A70ED5" w:rsidRPr="00A70ED5" w:rsidTr="00A70ED5">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70ED5" w:rsidRPr="00A70ED5" w:rsidRDefault="00A70ED5" w:rsidP="00A70ED5">
                  <w:pPr>
                    <w:rPr>
                      <w:color w:val="000000"/>
                      <w:sz w:val="22"/>
                      <w:szCs w:val="22"/>
                      <w:lang w:val="en-US" w:eastAsia="en-US"/>
                    </w:rPr>
                  </w:pPr>
                  <w:r w:rsidRPr="00A70ED5">
                    <w:rPr>
                      <w:color w:val="000000"/>
                      <w:sz w:val="22"/>
                      <w:szCs w:val="22"/>
                      <w:lang w:val="en-US" w:eastAsia="en-US"/>
                    </w:rPr>
                    <w:t xml:space="preserve">2020.gada </w:t>
                  </w:r>
                  <w:proofErr w:type="spellStart"/>
                  <w:r w:rsidRPr="00A70ED5">
                    <w:rPr>
                      <w:color w:val="000000"/>
                      <w:sz w:val="22"/>
                      <w:szCs w:val="22"/>
                      <w:lang w:val="en-US" w:eastAsia="en-US"/>
                    </w:rPr>
                    <w:t>novembris</w:t>
                  </w:r>
                  <w:proofErr w:type="spellEnd"/>
                </w:p>
              </w:tc>
              <w:tc>
                <w:tcPr>
                  <w:tcW w:w="2205" w:type="dxa"/>
                  <w:tcBorders>
                    <w:top w:val="nil"/>
                    <w:left w:val="nil"/>
                    <w:bottom w:val="single" w:sz="4" w:space="0" w:color="auto"/>
                    <w:right w:val="single" w:sz="4" w:space="0" w:color="auto"/>
                  </w:tcBorders>
                  <w:shd w:val="clear" w:color="auto" w:fill="auto"/>
                  <w:noWrap/>
                  <w:vAlign w:val="bottom"/>
                  <w:hideMark/>
                </w:tcPr>
                <w:p w:rsidR="00A70ED5" w:rsidRPr="00A70ED5" w:rsidRDefault="00A70ED5" w:rsidP="00A70ED5">
                  <w:pPr>
                    <w:jc w:val="right"/>
                    <w:rPr>
                      <w:color w:val="000000"/>
                      <w:sz w:val="22"/>
                      <w:szCs w:val="22"/>
                      <w:lang w:val="en-US" w:eastAsia="en-US"/>
                    </w:rPr>
                  </w:pPr>
                  <w:r w:rsidRPr="00A70ED5">
                    <w:rPr>
                      <w:color w:val="000000"/>
                      <w:sz w:val="22"/>
                      <w:szCs w:val="22"/>
                      <w:lang w:val="en-US" w:eastAsia="en-US"/>
                    </w:rPr>
                    <w:t>1633</w:t>
                  </w:r>
                </w:p>
              </w:tc>
              <w:tc>
                <w:tcPr>
                  <w:tcW w:w="1750" w:type="dxa"/>
                  <w:tcBorders>
                    <w:top w:val="nil"/>
                    <w:left w:val="nil"/>
                    <w:bottom w:val="single" w:sz="4" w:space="0" w:color="auto"/>
                    <w:right w:val="single" w:sz="4" w:space="0" w:color="auto"/>
                  </w:tcBorders>
                  <w:shd w:val="clear" w:color="auto" w:fill="auto"/>
                  <w:noWrap/>
                  <w:vAlign w:val="bottom"/>
                  <w:hideMark/>
                </w:tcPr>
                <w:p w:rsidR="00A70ED5" w:rsidRPr="00A70ED5" w:rsidRDefault="00A70ED5" w:rsidP="00A70ED5">
                  <w:pPr>
                    <w:jc w:val="right"/>
                    <w:rPr>
                      <w:color w:val="000000"/>
                      <w:sz w:val="22"/>
                      <w:szCs w:val="22"/>
                      <w:lang w:val="en-US" w:eastAsia="en-US"/>
                    </w:rPr>
                  </w:pPr>
                  <w:r w:rsidRPr="00A70ED5">
                    <w:rPr>
                      <w:color w:val="000000"/>
                      <w:sz w:val="22"/>
                      <w:szCs w:val="22"/>
                      <w:lang w:val="en-US" w:eastAsia="en-US"/>
                    </w:rPr>
                    <w:t>370 896</w:t>
                  </w:r>
                </w:p>
              </w:tc>
            </w:tr>
            <w:tr w:rsidR="00A70ED5" w:rsidRPr="00A70ED5" w:rsidTr="00A70ED5">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70ED5" w:rsidRPr="00A70ED5" w:rsidRDefault="00A70ED5" w:rsidP="00A70ED5">
                  <w:pPr>
                    <w:rPr>
                      <w:color w:val="000000"/>
                      <w:sz w:val="22"/>
                      <w:szCs w:val="22"/>
                      <w:lang w:val="en-US" w:eastAsia="en-US"/>
                    </w:rPr>
                  </w:pPr>
                  <w:proofErr w:type="spellStart"/>
                  <w:r w:rsidRPr="00A70ED5">
                    <w:rPr>
                      <w:color w:val="000000"/>
                      <w:sz w:val="22"/>
                      <w:szCs w:val="22"/>
                      <w:lang w:val="en-US" w:eastAsia="en-US"/>
                    </w:rPr>
                    <w:t>Kopā</w:t>
                  </w:r>
                  <w:proofErr w:type="spellEnd"/>
                </w:p>
              </w:tc>
              <w:tc>
                <w:tcPr>
                  <w:tcW w:w="2205" w:type="dxa"/>
                  <w:tcBorders>
                    <w:top w:val="nil"/>
                    <w:left w:val="nil"/>
                    <w:bottom w:val="single" w:sz="4" w:space="0" w:color="auto"/>
                    <w:right w:val="single" w:sz="4" w:space="0" w:color="auto"/>
                  </w:tcBorders>
                  <w:shd w:val="clear" w:color="auto" w:fill="auto"/>
                  <w:noWrap/>
                  <w:vAlign w:val="bottom"/>
                  <w:hideMark/>
                </w:tcPr>
                <w:p w:rsidR="00A70ED5" w:rsidRPr="00A70ED5" w:rsidRDefault="00A70ED5" w:rsidP="00A70ED5">
                  <w:pPr>
                    <w:rPr>
                      <w:color w:val="000000"/>
                      <w:sz w:val="22"/>
                      <w:szCs w:val="22"/>
                      <w:lang w:val="en-US" w:eastAsia="en-US"/>
                    </w:rPr>
                  </w:pPr>
                  <w:r w:rsidRPr="00A70ED5">
                    <w:rPr>
                      <w:color w:val="000000"/>
                      <w:sz w:val="22"/>
                      <w:szCs w:val="22"/>
                      <w:lang w:val="en-US" w:eastAsia="en-US"/>
                    </w:rPr>
                    <w:t> </w:t>
                  </w:r>
                </w:p>
              </w:tc>
              <w:tc>
                <w:tcPr>
                  <w:tcW w:w="1750" w:type="dxa"/>
                  <w:tcBorders>
                    <w:top w:val="nil"/>
                    <w:left w:val="nil"/>
                    <w:bottom w:val="single" w:sz="4" w:space="0" w:color="auto"/>
                    <w:right w:val="single" w:sz="4" w:space="0" w:color="auto"/>
                  </w:tcBorders>
                  <w:shd w:val="clear" w:color="auto" w:fill="auto"/>
                  <w:noWrap/>
                  <w:vAlign w:val="bottom"/>
                  <w:hideMark/>
                </w:tcPr>
                <w:p w:rsidR="00A70ED5" w:rsidRPr="00A70ED5" w:rsidRDefault="00A70ED5" w:rsidP="00A70ED5">
                  <w:pPr>
                    <w:jc w:val="right"/>
                    <w:rPr>
                      <w:b/>
                      <w:bCs/>
                      <w:color w:val="000000"/>
                      <w:sz w:val="22"/>
                      <w:szCs w:val="22"/>
                      <w:lang w:val="en-US" w:eastAsia="en-US"/>
                    </w:rPr>
                  </w:pPr>
                  <w:r w:rsidRPr="00A70ED5">
                    <w:rPr>
                      <w:b/>
                      <w:bCs/>
                      <w:color w:val="000000"/>
                      <w:sz w:val="22"/>
                      <w:szCs w:val="22"/>
                      <w:lang w:val="en-US" w:eastAsia="en-US"/>
                    </w:rPr>
                    <w:t>701 393</w:t>
                  </w:r>
                </w:p>
              </w:tc>
            </w:tr>
          </w:tbl>
          <w:p w:rsidR="00A70ED5" w:rsidRPr="00A70ED5" w:rsidRDefault="00DB738E" w:rsidP="00DB738E">
            <w:pPr>
              <w:pStyle w:val="tv213"/>
              <w:tabs>
                <w:tab w:val="left" w:pos="709"/>
              </w:tabs>
              <w:spacing w:before="0" w:beforeAutospacing="0" w:after="0" w:afterAutospacing="0"/>
              <w:ind w:left="360" w:hanging="324"/>
              <w:jc w:val="both"/>
            </w:pPr>
            <w:r>
              <w:t>Detalizētus aprēķinus skatīt pielikumā.</w:t>
            </w:r>
          </w:p>
        </w:tc>
      </w:tr>
      <w:tr w:rsidR="00F530FE" w:rsidTr="009547D2">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rsidR="00F530FE" w:rsidRPr="00EC6E12" w:rsidRDefault="00F530FE" w:rsidP="00F530FE">
            <w:pPr>
              <w:pStyle w:val="NoSpacing"/>
              <w:rPr>
                <w:rFonts w:ascii="Times New Roman" w:hAnsi="Times New Roman" w:cs="Times New Roman"/>
                <w:iCs/>
                <w:sz w:val="24"/>
                <w:szCs w:val="24"/>
                <w:lang w:eastAsia="lv-LV"/>
              </w:rPr>
            </w:pPr>
          </w:p>
        </w:tc>
      </w:tr>
      <w:tr w:rsidR="00F530FE" w:rsidTr="002D2609">
        <w:trPr>
          <w:trHeight w:val="2234"/>
        </w:trPr>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00F530FE" w:rsidRPr="00EC6E12" w:rsidRDefault="00F530FE" w:rsidP="00F530FE">
            <w:pPr>
              <w:pStyle w:val="NoSpacing"/>
              <w:rPr>
                <w:rFonts w:ascii="Times New Roman" w:hAnsi="Times New Roman" w:cs="Times New Roman"/>
                <w:iCs/>
                <w:sz w:val="24"/>
                <w:szCs w:val="24"/>
                <w:lang w:eastAsia="lv-LV"/>
              </w:rPr>
            </w:pPr>
          </w:p>
        </w:tc>
      </w:tr>
      <w:tr w:rsidR="00F530FE" w:rsidTr="002074A4">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rsidTr="002074A4">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rsidR="00091CE1" w:rsidRDefault="00EB1408" w:rsidP="006A3697">
            <w:pPr>
              <w:pStyle w:val="NoSpacing"/>
              <w:jc w:val="both"/>
              <w:rPr>
                <w:rFonts w:ascii="Times New Roman" w:hAnsi="Times New Roman" w:cs="Times New Roman"/>
                <w:sz w:val="24"/>
              </w:rPr>
            </w:pPr>
            <w:r>
              <w:rPr>
                <w:rFonts w:ascii="Times New Roman" w:hAnsi="Times New Roman" w:cs="Times New Roman"/>
                <w:sz w:val="24"/>
              </w:rPr>
              <w:t xml:space="preserve">[1] </w:t>
            </w:r>
            <w:r w:rsidR="00F530FE" w:rsidRPr="00AC5859">
              <w:rPr>
                <w:rFonts w:ascii="Times New Roman" w:hAnsi="Times New Roman" w:cs="Times New Roman"/>
                <w:sz w:val="24"/>
              </w:rPr>
              <w:t xml:space="preserve">Izdevumi tiks </w:t>
            </w:r>
            <w:r w:rsidR="00F15482" w:rsidRPr="00AC5859">
              <w:rPr>
                <w:rFonts w:ascii="Times New Roman" w:hAnsi="Times New Roman" w:cs="Times New Roman"/>
                <w:sz w:val="24"/>
              </w:rPr>
              <w:t xml:space="preserve">segti </w:t>
            </w:r>
            <w:r w:rsidR="00FC43C2" w:rsidRPr="00AC5859">
              <w:rPr>
                <w:rFonts w:ascii="Times New Roman" w:hAnsi="Times New Roman" w:cs="Times New Roman"/>
                <w:sz w:val="24"/>
              </w:rPr>
              <w:t xml:space="preserve">Iekšlietu </w:t>
            </w:r>
            <w:r w:rsidR="00F530FE" w:rsidRPr="00AC5859">
              <w:rPr>
                <w:rFonts w:ascii="Times New Roman" w:hAnsi="Times New Roman" w:cs="Times New Roman"/>
                <w:sz w:val="24"/>
              </w:rPr>
              <w:t>ministrijas budžeta programmas 99.00.00 “Līdzekļu neparedzētiem gadījumiem izlietojums” ietvaros, līdzekļus pārdalot no valsts</w:t>
            </w:r>
            <w:r w:rsidR="00F530FE">
              <w:rPr>
                <w:rFonts w:ascii="Times New Roman" w:hAnsi="Times New Roman" w:cs="Times New Roman"/>
                <w:sz w:val="24"/>
              </w:rPr>
              <w:t xml:space="preserve"> budžeta programmas 02.00.00 “Līdzekļi neparedzētiem gadījumiem”.</w:t>
            </w:r>
            <w:r w:rsidR="00B02F1B">
              <w:rPr>
                <w:rFonts w:ascii="Times New Roman" w:hAnsi="Times New Roman" w:cs="Times New Roman"/>
                <w:sz w:val="24"/>
              </w:rPr>
              <w:t xml:space="preserve"> </w:t>
            </w:r>
          </w:p>
          <w:p w:rsidR="00EB1408" w:rsidRPr="00EB1408" w:rsidRDefault="00EB1408" w:rsidP="00EB1408">
            <w:pPr>
              <w:pStyle w:val="NoSpacing"/>
              <w:jc w:val="both"/>
              <w:rPr>
                <w:rFonts w:ascii="Times New Roman" w:hAnsi="Times New Roman" w:cs="Times New Roman"/>
                <w:sz w:val="24"/>
              </w:rPr>
            </w:pPr>
            <w:r>
              <w:rPr>
                <w:rFonts w:ascii="Times New Roman" w:hAnsi="Times New Roman" w:cs="Times New Roman"/>
                <w:sz w:val="24"/>
              </w:rPr>
              <w:t xml:space="preserve">[2] </w:t>
            </w:r>
            <w:r w:rsidRPr="00EB1408">
              <w:rPr>
                <w:rFonts w:ascii="Times New Roman" w:hAnsi="Times New Roman" w:cs="Times New Roman"/>
                <w:sz w:val="24"/>
              </w:rPr>
              <w:t>Ministru kabineta 2020. gada 25. novembr</w:t>
            </w:r>
            <w:r>
              <w:rPr>
                <w:rFonts w:ascii="Times New Roman" w:hAnsi="Times New Roman" w:cs="Times New Roman"/>
                <w:sz w:val="24"/>
              </w:rPr>
              <w:t>a</w:t>
            </w:r>
            <w:r w:rsidRPr="00EB1408">
              <w:rPr>
                <w:rFonts w:ascii="Times New Roman" w:hAnsi="Times New Roman" w:cs="Times New Roman"/>
                <w:sz w:val="24"/>
              </w:rPr>
              <w:t xml:space="preserve"> rīkojum</w:t>
            </w:r>
            <w:r>
              <w:rPr>
                <w:rFonts w:ascii="Times New Roman" w:hAnsi="Times New Roman" w:cs="Times New Roman"/>
                <w:sz w:val="24"/>
              </w:rPr>
              <w:t>a</w:t>
            </w:r>
            <w:r w:rsidRPr="00EB1408">
              <w:rPr>
                <w:rFonts w:ascii="Times New Roman" w:hAnsi="Times New Roman" w:cs="Times New Roman"/>
                <w:sz w:val="24"/>
              </w:rPr>
              <w:t xml:space="preserve"> Nr. 697</w:t>
            </w:r>
            <w:r>
              <w:rPr>
                <w:rFonts w:ascii="Times New Roman" w:hAnsi="Times New Roman" w:cs="Times New Roman"/>
                <w:sz w:val="24"/>
              </w:rPr>
              <w:t xml:space="preserve"> “</w:t>
            </w:r>
            <w:r w:rsidRPr="00EB1408">
              <w:rPr>
                <w:rFonts w:ascii="Times New Roman" w:hAnsi="Times New Roman" w:cs="Times New Roman"/>
                <w:sz w:val="24"/>
              </w:rPr>
              <w:t xml:space="preserve">Par finanšu līdzekļu piešķiršanu no valsts budžeta programmas </w:t>
            </w:r>
            <w:r>
              <w:rPr>
                <w:rFonts w:ascii="Times New Roman" w:hAnsi="Times New Roman" w:cs="Times New Roman"/>
                <w:sz w:val="24"/>
              </w:rPr>
              <w:t>“</w:t>
            </w:r>
            <w:r w:rsidRPr="00EB1408">
              <w:rPr>
                <w:rFonts w:ascii="Times New Roman" w:hAnsi="Times New Roman" w:cs="Times New Roman"/>
                <w:sz w:val="24"/>
              </w:rPr>
              <w:t>Līdzekļi neparedzētiem gadījumiem</w:t>
            </w:r>
            <w:r>
              <w:rPr>
                <w:rFonts w:ascii="Times New Roman" w:hAnsi="Times New Roman" w:cs="Times New Roman"/>
                <w:sz w:val="24"/>
              </w:rPr>
              <w:t>”” 3.punkts noteic, ka n</w:t>
            </w:r>
            <w:r w:rsidRPr="00EB1408">
              <w:rPr>
                <w:rFonts w:ascii="Times New Roman" w:hAnsi="Times New Roman" w:cs="Times New Roman"/>
                <w:sz w:val="24"/>
              </w:rPr>
              <w:t>osakot piemaksu, ievēro šādus kritērijus:</w:t>
            </w:r>
          </w:p>
          <w:p w:rsidR="00EB1408" w:rsidRPr="00EB1408" w:rsidRDefault="00EB1408" w:rsidP="00EB1408">
            <w:pPr>
              <w:pStyle w:val="NoSpacing"/>
              <w:jc w:val="both"/>
              <w:rPr>
                <w:rFonts w:ascii="Times New Roman" w:hAnsi="Times New Roman" w:cs="Times New Roman"/>
                <w:sz w:val="24"/>
              </w:rPr>
            </w:pPr>
            <w:r w:rsidRPr="00EB1408">
              <w:rPr>
                <w:rFonts w:ascii="Times New Roman" w:hAnsi="Times New Roman" w:cs="Times New Roman"/>
                <w:sz w:val="24"/>
              </w:rPr>
              <w:t>1. amatpersona ir tiešā un uzskaitāmi pierādāmā saskarē ar Covid-19 inficētām vai iespējami inficētām personām vai ir iesaistīta testēšanas procesā;</w:t>
            </w:r>
          </w:p>
          <w:p w:rsidR="00EB1408" w:rsidRDefault="00EB1408" w:rsidP="00EB1408">
            <w:pPr>
              <w:pStyle w:val="NoSpacing"/>
              <w:jc w:val="both"/>
              <w:rPr>
                <w:rFonts w:ascii="Times New Roman" w:hAnsi="Times New Roman" w:cs="Times New Roman"/>
                <w:sz w:val="24"/>
              </w:rPr>
            </w:pPr>
            <w:r w:rsidRPr="00EB1408">
              <w:rPr>
                <w:rFonts w:ascii="Times New Roman" w:hAnsi="Times New Roman" w:cs="Times New Roman"/>
                <w:sz w:val="24"/>
              </w:rPr>
              <w:t xml:space="preserve">2. amatpersona ir tiešā un uzskaitāmi pierādāmā saskarē ar Covid-19 riska grupas pacientiem, kuriem nav apstiprināta slimība, bet ir jāievēro karantīna vai </w:t>
            </w:r>
            <w:proofErr w:type="spellStart"/>
            <w:r w:rsidRPr="00EB1408">
              <w:rPr>
                <w:rFonts w:ascii="Times New Roman" w:hAnsi="Times New Roman" w:cs="Times New Roman"/>
                <w:sz w:val="24"/>
              </w:rPr>
              <w:t>pašizolācija</w:t>
            </w:r>
            <w:proofErr w:type="spellEnd"/>
            <w:r w:rsidRPr="00EB1408">
              <w:rPr>
                <w:rFonts w:ascii="Times New Roman" w:hAnsi="Times New Roman" w:cs="Times New Roman"/>
                <w:sz w:val="24"/>
              </w:rPr>
              <w:t>.</w:t>
            </w:r>
          </w:p>
          <w:p w:rsidR="00EB724E" w:rsidRDefault="00EB724E" w:rsidP="00EB1408">
            <w:pPr>
              <w:pStyle w:val="NoSpacing"/>
              <w:jc w:val="both"/>
              <w:rPr>
                <w:rFonts w:ascii="Times New Roman" w:hAnsi="Times New Roman" w:cs="Times New Roman"/>
                <w:sz w:val="24"/>
              </w:rPr>
            </w:pPr>
            <w:r>
              <w:rPr>
                <w:rFonts w:ascii="Times New Roman" w:hAnsi="Times New Roman" w:cs="Times New Roman"/>
                <w:sz w:val="24"/>
              </w:rPr>
              <w:t xml:space="preserve">Vienlaikus nepieciešams noteikt </w:t>
            </w:r>
            <w:r w:rsidRPr="00EB724E">
              <w:rPr>
                <w:rFonts w:ascii="Times New Roman" w:hAnsi="Times New Roman" w:cs="Times New Roman"/>
                <w:i/>
                <w:sz w:val="24"/>
              </w:rPr>
              <w:t>papildu kritēriju</w:t>
            </w:r>
            <w:r>
              <w:rPr>
                <w:rFonts w:ascii="Times New Roman" w:hAnsi="Times New Roman" w:cs="Times New Roman"/>
                <w:sz w:val="24"/>
              </w:rPr>
              <w:t>, ko pamato tālāk minētais.</w:t>
            </w:r>
          </w:p>
          <w:p w:rsidR="00EB724E" w:rsidRDefault="00EB1408" w:rsidP="00EB724E">
            <w:pPr>
              <w:tabs>
                <w:tab w:val="num" w:pos="567"/>
              </w:tabs>
              <w:jc w:val="both"/>
            </w:pPr>
            <w:r>
              <w:t xml:space="preserve">2020.gada 12.decembrī </w:t>
            </w:r>
            <w:r w:rsidR="00EB724E">
              <w:t xml:space="preserve">pie Brīvības pieminekļa un 11.novembra krastmalā tika rīkotas sapulces, </w:t>
            </w:r>
            <w:r w:rsidR="00EB724E" w:rsidRPr="005774F8">
              <w:t>kurās sanākušie protestē</w:t>
            </w:r>
            <w:r w:rsidR="00EB724E">
              <w:t>ja</w:t>
            </w:r>
            <w:r w:rsidR="00EB724E" w:rsidRPr="005774F8">
              <w:t xml:space="preserve"> pret valstī noteiktajiem ie</w:t>
            </w:r>
            <w:r w:rsidR="00EB724E">
              <w:t>robežojumiem Covid-19 apstākļos.</w:t>
            </w:r>
            <w:r w:rsidR="00EB724E" w:rsidRPr="005774F8">
              <w:t xml:space="preserve"> </w:t>
            </w:r>
            <w:r w:rsidR="00EB724E">
              <w:t xml:space="preserve">Kaut arī </w:t>
            </w:r>
            <w:r w:rsidR="00EB724E" w:rsidRPr="005774F8">
              <w:t xml:space="preserve">rīkotāji </w:t>
            </w:r>
            <w:r w:rsidR="00EB724E">
              <w:t xml:space="preserve">(biedrība "Stabilitātei - Jā!" un Vides aizsardzības kluba prezidents Arvīds </w:t>
            </w:r>
            <w:proofErr w:type="spellStart"/>
            <w:r w:rsidR="00EB724E">
              <w:t>Ulme</w:t>
            </w:r>
            <w:proofErr w:type="spellEnd"/>
            <w:r w:rsidR="00EB724E">
              <w:t>)</w:t>
            </w:r>
            <w:r w:rsidR="00EB724E" w:rsidRPr="005774F8">
              <w:t xml:space="preserve"> </w:t>
            </w:r>
            <w:r w:rsidR="00EB724E">
              <w:t xml:space="preserve">bija </w:t>
            </w:r>
            <w:r w:rsidR="00EB724E" w:rsidRPr="005774F8">
              <w:t xml:space="preserve">apsolījuši, ka </w:t>
            </w:r>
            <w:r w:rsidR="00EB724E">
              <w:lastRenderedPageBreak/>
              <w:t>sapulcēs</w:t>
            </w:r>
            <w:r w:rsidR="00EB724E" w:rsidRPr="005774F8">
              <w:t xml:space="preserve"> piedalīsies ne vairāk kā 25 dalībnieki</w:t>
            </w:r>
            <w:r w:rsidR="00EB724E">
              <w:t>, kuri</w:t>
            </w:r>
            <w:r w:rsidR="00EB724E" w:rsidRPr="005774F8">
              <w:t xml:space="preserve"> ievēros drošības pasākumus,</w:t>
            </w:r>
            <w:r w:rsidR="00EB724E">
              <w:t xml:space="preserve"> tomēr sanāksmes pulcēja vairāk nekā valstī šobrīd atļautos 25 cilvēkus un tikai daļa no tiem lietoja sejas maskas, kā arī netika ievērota </w:t>
            </w:r>
            <w:proofErr w:type="spellStart"/>
            <w:r w:rsidR="00EB724E">
              <w:t>distancēšanās</w:t>
            </w:r>
            <w:proofErr w:type="spellEnd"/>
            <w:r w:rsidR="00EB724E">
              <w:t xml:space="preserve"> prasība. </w:t>
            </w:r>
          </w:p>
          <w:p w:rsidR="00EB724E" w:rsidRPr="00777DB1" w:rsidRDefault="00EB724E" w:rsidP="00EB724E">
            <w:pPr>
              <w:tabs>
                <w:tab w:val="num" w:pos="567"/>
              </w:tabs>
              <w:jc w:val="both"/>
              <w:rPr>
                <w:color w:val="FF0000"/>
              </w:rPr>
            </w:pPr>
            <w:r>
              <w:t xml:space="preserve">Lai novērstu iespējamās nekārtības un nodrošinātu sabiedrisko drošību un kārtību, pasākumu uzraudzībā tika iesaistīta arī Valsts policija. </w:t>
            </w:r>
          </w:p>
          <w:p w:rsidR="00EB724E" w:rsidRPr="004803C6" w:rsidRDefault="00EB724E" w:rsidP="00EB724E">
            <w:pPr>
              <w:ind w:right="109"/>
              <w:jc w:val="both"/>
            </w:pPr>
            <w:r>
              <w:t xml:space="preserve">Iedzīvotāji tika aicināti nepulcēties un izklīst, tai pat laikā tika konstatēti gan epidemioloģiskās drošības pārkāpumi, gan sīkais huligānisms un alkohola lietošanu publiskās vietās, kā arī nepakļaušanās policijas likumīgajām prasībām. </w:t>
            </w:r>
            <w:r w:rsidRPr="004803C6">
              <w:t>Saistībā ar notikušajiem piketiem Valsts policija ir uzsākusi 42 administratīvās lietas. Šobrīd Valsts policija apkopo un vērtē iegūtos materiālus, lai identificētu pārkāpumus un tos izdarījušās personas. Vienlaicīgi Valsts pol</w:t>
            </w:r>
            <w:r>
              <w:t xml:space="preserve">icija vērtē iegūto informāciju </w:t>
            </w:r>
            <w:r w:rsidRPr="004803C6">
              <w:t>ar mērķi identificēt gadījumus, kuri liecina par izdarītu vai plānotu noziedzīgu nodarījumu, lai varētu pieņemt lēmumus par kriminālprocesu uzsākšanu.</w:t>
            </w:r>
          </w:p>
          <w:p w:rsidR="00EB724E" w:rsidRDefault="00EB724E" w:rsidP="00EB724E">
            <w:pPr>
              <w:tabs>
                <w:tab w:val="num" w:pos="567"/>
              </w:tabs>
              <w:jc w:val="both"/>
            </w:pPr>
            <w:r>
              <w:t>Iesaistes rezultātā tika nodrošināta kārtība, nepieļauta vardarbība, īpašumu bojāšanu. Kopā kārtības nodrošināšanā tika iesaistītas vairāk nekā 467 Valsts policijas amatpersonas.</w:t>
            </w:r>
          </w:p>
          <w:p w:rsidR="00EB724E" w:rsidRDefault="00EB724E" w:rsidP="00EB724E">
            <w:pPr>
              <w:tabs>
                <w:tab w:val="num" w:pos="567"/>
              </w:tabs>
              <w:jc w:val="both"/>
            </w:pPr>
            <w:r>
              <w:t xml:space="preserve">[3] Projektā paredzēts noteikt, ka </w:t>
            </w:r>
            <w:r w:rsidRPr="00CA6FDD">
              <w:rPr>
                <w:i/>
              </w:rPr>
              <w:t>piemaksu aprēķina 75 procentu apmērā no amatpersonai noteiktās stundas algas likmes</w:t>
            </w:r>
            <w:r w:rsidRPr="00EB724E">
              <w:t>, ievērojot noteiktos kritērijus</w:t>
            </w:r>
            <w:r>
              <w:t xml:space="preserve"> </w:t>
            </w:r>
          </w:p>
          <w:p w:rsidR="00EB724E" w:rsidRPr="00EB1408" w:rsidRDefault="00EB724E" w:rsidP="00EB724E">
            <w:pPr>
              <w:tabs>
                <w:tab w:val="num" w:pos="567"/>
              </w:tabs>
              <w:jc w:val="both"/>
            </w:pPr>
            <w:r>
              <w:t>(</w:t>
            </w:r>
            <w:r w:rsidRPr="00EB1408">
              <w:t>amatpersona ir tiešā un uzskaitāmi pierādāmā saskarē ar Covid-19 inficētām vai iespējami inficētām personām vai ir iesaistīta testēšanas procesā;</w:t>
            </w:r>
          </w:p>
          <w:p w:rsidR="00EB724E" w:rsidRDefault="00EB724E" w:rsidP="00EB724E">
            <w:pPr>
              <w:tabs>
                <w:tab w:val="num" w:pos="567"/>
              </w:tabs>
              <w:jc w:val="both"/>
            </w:pPr>
            <w:r w:rsidRPr="00EB1408">
              <w:t xml:space="preserve">amatpersona ir tiešā un uzskaitāmi pierādāmā saskarē ar Covid-19 riska grupas pacientiem, kuriem nav apstiprināta slimība, bet ir jāievēro karantīna vai </w:t>
            </w:r>
            <w:proofErr w:type="spellStart"/>
            <w:r w:rsidRPr="00EB1408">
              <w:t>pašizolācija</w:t>
            </w:r>
            <w:proofErr w:type="spellEnd"/>
            <w:r w:rsidRPr="00EB724E">
              <w:t>) un uzskaitīto amatpersonas iesaistes vai saskares stundu skaitu</w:t>
            </w:r>
            <w:r w:rsidR="00AC7296">
              <w:t>.</w:t>
            </w:r>
            <w:r w:rsidR="00977D81">
              <w:t xml:space="preserve"> </w:t>
            </w:r>
            <w:r w:rsidR="00AC7296">
              <w:t>Projekts attiecas uz piemaksu noteikšanu par laika periodu no 2020.gada 1.oktobra līdz 30.novembrim.</w:t>
            </w:r>
          </w:p>
          <w:p w:rsidR="00AC7296" w:rsidRDefault="00AC7296" w:rsidP="00EB724E">
            <w:pPr>
              <w:tabs>
                <w:tab w:val="num" w:pos="567"/>
              </w:tabs>
              <w:jc w:val="both"/>
            </w:pPr>
            <w:r>
              <w:t>[4]</w:t>
            </w:r>
            <w:r w:rsidR="00977D81">
              <w:rPr>
                <w:color w:val="2A2A2A"/>
                <w:sz w:val="19"/>
                <w:szCs w:val="19"/>
                <w:shd w:val="clear" w:color="auto" w:fill="FFFFFF"/>
              </w:rPr>
              <w:t xml:space="preserve"> </w:t>
            </w:r>
            <w:r w:rsidR="00977D81" w:rsidRPr="00977D81">
              <w:t xml:space="preserve">Saskaņā ar Ministru kabineta 2020.gada 24.novembra sēdē (prot. Nr.75 “Rīkojuma projekts </w:t>
            </w:r>
            <w:r w:rsidR="00CA6FDD">
              <w:t>“</w:t>
            </w:r>
            <w:r w:rsidR="00977D81" w:rsidRPr="00977D81">
              <w:t xml:space="preserve">Par finanšu līdzekļu piešķiršanu no valsts budžeta programmas </w:t>
            </w:r>
            <w:r w:rsidR="00CA6FDD">
              <w:t>“</w:t>
            </w:r>
            <w:r w:rsidR="00977D81" w:rsidRPr="00977D81">
              <w:t>Līdzekļi neparedzētiem gadījumiem</w:t>
            </w:r>
            <w:r w:rsidR="00CA6FDD">
              <w:t>””</w:t>
            </w:r>
            <w:r w:rsidR="00977D81">
              <w:t xml:space="preserve"> </w:t>
            </w:r>
            <w:r w:rsidR="00977D81" w:rsidRPr="00977D81">
              <w:t>2.</w:t>
            </w:r>
            <w:r w:rsidR="00977D81">
              <w:t xml:space="preserve"> un 4.</w:t>
            </w:r>
            <w:r w:rsidR="00977D81" w:rsidRPr="00977D81">
              <w:t xml:space="preserve">punkts) nolemto izdevumus, kas saistīti ar piemaksu amatpersonām par darbu paaugstināta riska un slodzes apstākļos sabiedrības veselības apdraudējumā saistībā ar Covid-19 uzliesmojumu un seku novēršanu par laika periodu no 2020.gada 1.decembra līdz 2020.gada 31.decembrim, segt no valsts budžeta programmas 02.00.00 </w:t>
            </w:r>
            <w:r w:rsidR="00CA6FDD">
              <w:t>“</w:t>
            </w:r>
            <w:r w:rsidR="00977D81" w:rsidRPr="00977D81">
              <w:t>Līdzekļi neparedzētiem gadījumiem</w:t>
            </w:r>
            <w:r w:rsidR="00CA6FDD">
              <w:t>”</w:t>
            </w:r>
            <w:r w:rsidR="00977D81" w:rsidRPr="00977D81">
              <w:t xml:space="preserve"> 2021.gadā</w:t>
            </w:r>
            <w:r w:rsidR="00CA6FDD">
              <w:t>, dodot uzdevumu</w:t>
            </w:r>
            <w:r w:rsidR="00977D81" w:rsidRPr="00977D81">
              <w:t xml:space="preserve"> </w:t>
            </w:r>
            <w:proofErr w:type="spellStart"/>
            <w:r w:rsidR="00977D81" w:rsidRPr="00977D81">
              <w:t>Iekšlietu</w:t>
            </w:r>
            <w:proofErr w:type="spellEnd"/>
            <w:r w:rsidR="00977D81" w:rsidRPr="00977D81">
              <w:t xml:space="preserve"> ministrijai normatīvajos aktos noteiktā kārtībā sagatavot un iesniegt izskatīšanai Ministru kabinetā rīkojuma projektu par finanšu līdzekļu piešķiršanu no valsts budžeta programmas 02.00.00 </w:t>
            </w:r>
            <w:r w:rsidR="00CA6FDD">
              <w:t>“</w:t>
            </w:r>
            <w:r w:rsidR="00977D81" w:rsidRPr="00977D81">
              <w:t>Līdzekļi neparedzētiem gadījumiem</w:t>
            </w:r>
            <w:r w:rsidR="00CA6FDD">
              <w:t>”.</w:t>
            </w:r>
            <w:r w:rsidR="00977D81" w:rsidRPr="00977D81">
              <w:t xml:space="preserve"> </w:t>
            </w:r>
            <w:r w:rsidR="00CA6FDD" w:rsidRPr="00CA6FDD">
              <w:rPr>
                <w:i/>
              </w:rPr>
              <w:t>Piemaksas apmēra noteikšanā par 2020.gada decembra mēnesi ievērojami vienlīdzīgi principi</w:t>
            </w:r>
            <w:r w:rsidR="00CA6FDD">
              <w:t xml:space="preserve">. </w:t>
            </w:r>
          </w:p>
          <w:p w:rsidR="00CA6FDD" w:rsidRDefault="00CA6FDD" w:rsidP="00EB724E">
            <w:pPr>
              <w:tabs>
                <w:tab w:val="num" w:pos="567"/>
              </w:tabs>
              <w:jc w:val="both"/>
            </w:pPr>
            <w:r>
              <w:t xml:space="preserve">Ievērojot [2]-[4] sadaļā minēto, projektam pievienots </w:t>
            </w:r>
            <w:r w:rsidRPr="00CA6FDD">
              <w:rPr>
                <w:i/>
              </w:rPr>
              <w:t xml:space="preserve">Ministru kabineta </w:t>
            </w:r>
            <w:proofErr w:type="spellStart"/>
            <w:r w:rsidRPr="00CA6FDD">
              <w:rPr>
                <w:i/>
              </w:rPr>
              <w:t>protokollēmuma</w:t>
            </w:r>
            <w:proofErr w:type="spellEnd"/>
            <w:r w:rsidRPr="00CA6FDD">
              <w:rPr>
                <w:i/>
              </w:rPr>
              <w:t xml:space="preserve"> projekts</w:t>
            </w:r>
            <w:r>
              <w:t>, kas paredz:</w:t>
            </w:r>
          </w:p>
          <w:p w:rsidR="00EB1408" w:rsidRPr="002D344F" w:rsidRDefault="00853C3D" w:rsidP="006E47D6">
            <w:pPr>
              <w:tabs>
                <w:tab w:val="num" w:pos="567"/>
              </w:tabs>
              <w:jc w:val="both"/>
            </w:pPr>
            <w:proofErr w:type="spellStart"/>
            <w:r w:rsidRPr="00853C3D">
              <w:t>Iekšlietu</w:t>
            </w:r>
            <w:proofErr w:type="spellEnd"/>
            <w:r w:rsidRPr="00853C3D">
              <w:t xml:space="preserve"> ministrijai, sagatavojot Ministru kabineta rīkojuma projektu par finanšu līdzekļu piešķiršanu no valsts budžeta programmas 02.00.00 “Līdzekļi neparedzētiem gadījumiem”, lai segtu izdevumus, kas saistīti ar piemaksu amatpersonām par darbu paaugstināta riska un slodzes apstākļos sabiedrības veselības apdraudējumā saistībā ar Covid-19 uzliesmojumu un seku novēršanu par laika periodu no 2020.gada 1.decembra līdz 2020.gada 31.decembrim (Ministru kabineta 2020.gada 24.novembra sēdes </w:t>
            </w:r>
            <w:proofErr w:type="spellStart"/>
            <w:r w:rsidRPr="00853C3D">
              <w:t>protokollēmuma</w:t>
            </w:r>
            <w:proofErr w:type="spellEnd"/>
            <w:r w:rsidRPr="00853C3D">
              <w:t xml:space="preserve"> Nr.75 8.</w:t>
            </w:r>
            <w:bookmarkStart w:id="0" w:name="1"/>
            <w:r w:rsidRPr="00853C3D">
              <w:t xml:space="preserve"> §</w:t>
            </w:r>
            <w:bookmarkEnd w:id="0"/>
            <w:r w:rsidRPr="00853C3D">
              <w:t xml:space="preserve"> 2.punkts), paredzēt papildu kritēriju piemaksas noteikšanai – sabiedriskās kārtības nodrošināšana pasākumos, kas saistīti ar </w:t>
            </w:r>
            <w:r w:rsidRPr="00853C3D">
              <w:lastRenderedPageBreak/>
              <w:t>Covid-19 ierobežojumiem. Piemaksu aprēķina 75 procentu apmērā no amatpersonai noteiktās stundas algas likmes, ievērojot uzskaitīto amatpersonas iesaistes vai saskares stundu skaitu.</w:t>
            </w:r>
          </w:p>
        </w:tc>
      </w:tr>
      <w:tr w:rsidR="007F6F87" w:rsidTr="006936E5">
        <w:tc>
          <w:tcPr>
            <w:tcW w:w="9356" w:type="dxa"/>
            <w:gridSpan w:val="8"/>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lastRenderedPageBreak/>
              <w:t>IV. Tiesību akta projekta ietekme uz spēkā esošo tiesību normu sistēmu</w:t>
            </w:r>
          </w:p>
        </w:tc>
      </w:tr>
      <w:tr w:rsidR="007F6F87" w:rsidTr="006936E5">
        <w:tc>
          <w:tcPr>
            <w:tcW w:w="9356" w:type="dxa"/>
            <w:gridSpan w:val="8"/>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rsidTr="006936E5">
        <w:tc>
          <w:tcPr>
            <w:tcW w:w="9356" w:type="dxa"/>
            <w:gridSpan w:val="3"/>
          </w:tcPr>
          <w:p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rsidTr="006936E5">
        <w:tc>
          <w:tcPr>
            <w:tcW w:w="568" w:type="dxa"/>
          </w:tcPr>
          <w:p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rsidR="007F7D5A" w:rsidRPr="00D65792" w:rsidRDefault="00FC43C2" w:rsidP="004257D5">
            <w:pPr>
              <w:jc w:val="both"/>
            </w:pPr>
            <w:r>
              <w:t xml:space="preserve">Iekšlietu </w:t>
            </w:r>
            <w:r w:rsidR="007F7D5A" w:rsidRPr="00FC7F88">
              <w:t xml:space="preserve">ministrija, </w:t>
            </w:r>
            <w:r>
              <w:t>Finanšu ministrija, Valst</w:t>
            </w:r>
            <w:r w:rsidR="007533E7">
              <w:t>s policija, Valsts robežsa</w:t>
            </w:r>
            <w:r w:rsidR="008F2F2C">
              <w:t>rdze.</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0049601C" w:rsidRPr="00D65792" w:rsidRDefault="0049601C" w:rsidP="0049601C">
            <w:r w:rsidRPr="00D65792">
              <w:t>Projekts šo jomu neskar.</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DF461F" w:rsidRDefault="00FC43C2" w:rsidP="00DF461F">
      <w:pPr>
        <w:ind w:right="-765"/>
        <w:rPr>
          <w:rFonts w:eastAsia="Calibri"/>
          <w:color w:val="000000" w:themeColor="text1"/>
          <w:sz w:val="28"/>
          <w:szCs w:val="28"/>
        </w:rPr>
      </w:pPr>
      <w:proofErr w:type="spellStart"/>
      <w:r>
        <w:rPr>
          <w:sz w:val="28"/>
          <w:szCs w:val="28"/>
        </w:rPr>
        <w:t>Iekšlietu</w:t>
      </w:r>
      <w:proofErr w:type="spellEnd"/>
      <w:r>
        <w:rPr>
          <w:sz w:val="28"/>
          <w:szCs w:val="28"/>
        </w:rPr>
        <w:t xml:space="preserve"> </w:t>
      </w:r>
      <w:r w:rsidR="00DC2DAF">
        <w:rPr>
          <w:sz w:val="28"/>
          <w:szCs w:val="28"/>
        </w:rPr>
        <w:t>ministr</w:t>
      </w:r>
      <w:r>
        <w:rPr>
          <w:sz w:val="28"/>
          <w:szCs w:val="28"/>
        </w:rPr>
        <w:t>s</w:t>
      </w:r>
      <w:r w:rsidR="00DC2DAF">
        <w:rPr>
          <w:sz w:val="28"/>
          <w:szCs w:val="28"/>
        </w:rPr>
        <w:t xml:space="preserve"> </w:t>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Pr>
          <w:sz w:val="28"/>
          <w:szCs w:val="28"/>
        </w:rPr>
        <w:t xml:space="preserve">Sandis </w:t>
      </w:r>
      <w:proofErr w:type="spellStart"/>
      <w:r>
        <w:rPr>
          <w:sz w:val="28"/>
          <w:szCs w:val="28"/>
        </w:rPr>
        <w:t>Ģirģens</w:t>
      </w:r>
      <w:proofErr w:type="spellEnd"/>
    </w:p>
    <w:p w:rsidR="00DF461F" w:rsidRDefault="00DF461F" w:rsidP="00DF461F">
      <w:pPr>
        <w:tabs>
          <w:tab w:val="left" w:pos="6237"/>
        </w:tabs>
        <w:ind w:firstLine="720"/>
        <w:rPr>
          <w:rFonts w:eastAsiaTheme="minorHAnsi"/>
          <w:sz w:val="28"/>
          <w:szCs w:val="28"/>
        </w:rPr>
      </w:pPr>
      <w:r>
        <w:rPr>
          <w:sz w:val="28"/>
          <w:szCs w:val="28"/>
        </w:rPr>
        <w:tab/>
      </w:r>
    </w:p>
    <w:p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FC43C2">
        <w:rPr>
          <w:rFonts w:eastAsia="Calibri"/>
          <w:color w:val="000000" w:themeColor="text1"/>
          <w:sz w:val="28"/>
          <w:szCs w:val="28"/>
        </w:rPr>
        <w:t>s</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FC43C2">
        <w:rPr>
          <w:rFonts w:eastAsia="Calibri"/>
          <w:color w:val="000000" w:themeColor="text1"/>
          <w:sz w:val="28"/>
          <w:szCs w:val="28"/>
        </w:rPr>
        <w:t>imitrijs Trofimovs</w:t>
      </w:r>
      <w:r w:rsidR="005826B6" w:rsidRPr="005826B6">
        <w:rPr>
          <w:rFonts w:eastAsia="Calibri"/>
          <w:color w:val="000000" w:themeColor="text1"/>
          <w:sz w:val="28"/>
          <w:szCs w:val="28"/>
        </w:rPr>
        <w:t xml:space="preserve"> </w:t>
      </w:r>
    </w:p>
    <w:p w:rsidR="00155578" w:rsidRDefault="00155578" w:rsidP="00155578">
      <w:pPr>
        <w:pStyle w:val="NormalWeb"/>
        <w:spacing w:before="0" w:beforeAutospacing="0" w:after="0" w:afterAutospacing="0"/>
        <w:rPr>
          <w:sz w:val="20"/>
          <w:szCs w:val="20"/>
        </w:rPr>
      </w:pPr>
    </w:p>
    <w:p w:rsidR="006541CB" w:rsidRDefault="006541CB" w:rsidP="00521010">
      <w:pPr>
        <w:pStyle w:val="NormalWeb"/>
        <w:spacing w:before="0" w:beforeAutospacing="0" w:after="0" w:afterAutospacing="0"/>
        <w:jc w:val="center"/>
        <w:rPr>
          <w:sz w:val="20"/>
          <w:szCs w:val="20"/>
        </w:rPr>
      </w:pPr>
    </w:p>
    <w:p w:rsidR="006541CB" w:rsidRDefault="006541CB" w:rsidP="00155578">
      <w:pPr>
        <w:pStyle w:val="NormalWeb"/>
        <w:spacing w:before="0" w:beforeAutospacing="0" w:after="0" w:afterAutospacing="0"/>
        <w:rPr>
          <w:sz w:val="20"/>
          <w:szCs w:val="20"/>
        </w:rPr>
      </w:pPr>
    </w:p>
    <w:p w:rsidR="00CA6FDD" w:rsidRDefault="00CA6FDD" w:rsidP="00155578">
      <w:pPr>
        <w:pStyle w:val="NormalWeb"/>
        <w:spacing w:before="0" w:beforeAutospacing="0" w:after="0" w:afterAutospacing="0"/>
        <w:rPr>
          <w:sz w:val="20"/>
          <w:szCs w:val="20"/>
        </w:rPr>
      </w:pPr>
    </w:p>
    <w:p w:rsidR="00CA6FDD" w:rsidRDefault="00CA6FDD" w:rsidP="00155578">
      <w:pPr>
        <w:pStyle w:val="NormalWeb"/>
        <w:spacing w:before="0" w:beforeAutospacing="0" w:after="0" w:afterAutospacing="0"/>
        <w:rPr>
          <w:sz w:val="20"/>
          <w:szCs w:val="20"/>
        </w:rPr>
      </w:pPr>
    </w:p>
    <w:p w:rsidR="00CA6FDD" w:rsidRDefault="00CA6FDD" w:rsidP="00155578">
      <w:pPr>
        <w:pStyle w:val="NormalWeb"/>
        <w:spacing w:before="0" w:beforeAutospacing="0" w:after="0" w:afterAutospacing="0"/>
        <w:rPr>
          <w:sz w:val="20"/>
          <w:szCs w:val="20"/>
        </w:rPr>
      </w:pPr>
    </w:p>
    <w:p w:rsidR="00CA6FDD" w:rsidRDefault="00CA6FDD" w:rsidP="00155578">
      <w:pPr>
        <w:pStyle w:val="NormalWeb"/>
        <w:spacing w:before="0" w:beforeAutospacing="0" w:after="0" w:afterAutospacing="0"/>
        <w:rPr>
          <w:sz w:val="20"/>
          <w:szCs w:val="20"/>
        </w:rPr>
      </w:pPr>
    </w:p>
    <w:p w:rsidR="00CA6FDD" w:rsidRDefault="00CA6FDD" w:rsidP="00155578">
      <w:pPr>
        <w:pStyle w:val="NormalWeb"/>
        <w:spacing w:before="0" w:beforeAutospacing="0" w:after="0" w:afterAutospacing="0"/>
        <w:rPr>
          <w:sz w:val="20"/>
          <w:szCs w:val="20"/>
        </w:rPr>
      </w:pPr>
    </w:p>
    <w:p w:rsidR="00CA6FDD" w:rsidRDefault="00CA6FDD" w:rsidP="00155578">
      <w:pPr>
        <w:pStyle w:val="NormalWeb"/>
        <w:spacing w:before="0" w:beforeAutospacing="0" w:after="0" w:afterAutospacing="0"/>
        <w:rPr>
          <w:sz w:val="20"/>
          <w:szCs w:val="20"/>
        </w:rPr>
      </w:pPr>
    </w:p>
    <w:p w:rsidR="00CA6FDD" w:rsidRDefault="00CA6FDD" w:rsidP="00155578">
      <w:pPr>
        <w:pStyle w:val="NormalWeb"/>
        <w:spacing w:before="0" w:beforeAutospacing="0" w:after="0" w:afterAutospacing="0"/>
        <w:rPr>
          <w:sz w:val="20"/>
          <w:szCs w:val="20"/>
        </w:rPr>
      </w:pPr>
    </w:p>
    <w:p w:rsidR="00CA6FDD" w:rsidRDefault="00CA6FDD" w:rsidP="00155578">
      <w:pPr>
        <w:pStyle w:val="NormalWeb"/>
        <w:spacing w:before="0" w:beforeAutospacing="0" w:after="0" w:afterAutospacing="0"/>
        <w:rPr>
          <w:sz w:val="20"/>
          <w:szCs w:val="20"/>
        </w:rPr>
      </w:pPr>
    </w:p>
    <w:p w:rsidR="00CA6FDD" w:rsidRDefault="00CA6FDD" w:rsidP="00155578">
      <w:pPr>
        <w:pStyle w:val="NormalWeb"/>
        <w:spacing w:before="0" w:beforeAutospacing="0" w:after="0" w:afterAutospacing="0"/>
        <w:rPr>
          <w:sz w:val="20"/>
          <w:szCs w:val="20"/>
        </w:rPr>
      </w:pPr>
    </w:p>
    <w:p w:rsidR="00CA6FDD" w:rsidRDefault="00CA6FDD" w:rsidP="00155578">
      <w:pPr>
        <w:pStyle w:val="NormalWeb"/>
        <w:spacing w:before="0" w:beforeAutospacing="0" w:after="0" w:afterAutospacing="0"/>
        <w:rPr>
          <w:sz w:val="20"/>
          <w:szCs w:val="20"/>
        </w:rPr>
      </w:pPr>
    </w:p>
    <w:p w:rsidR="00CA6FDD" w:rsidRDefault="00CA6FDD" w:rsidP="00155578">
      <w:pPr>
        <w:pStyle w:val="NormalWeb"/>
        <w:spacing w:before="0" w:beforeAutospacing="0" w:after="0" w:afterAutospacing="0"/>
        <w:rPr>
          <w:sz w:val="20"/>
          <w:szCs w:val="20"/>
        </w:rPr>
      </w:pPr>
    </w:p>
    <w:p w:rsidR="00CA6FDD" w:rsidRDefault="00CA6FDD" w:rsidP="00155578">
      <w:pPr>
        <w:pStyle w:val="NormalWeb"/>
        <w:spacing w:before="0" w:beforeAutospacing="0" w:after="0" w:afterAutospacing="0"/>
        <w:rPr>
          <w:sz w:val="20"/>
          <w:szCs w:val="20"/>
        </w:rPr>
      </w:pPr>
    </w:p>
    <w:p w:rsidR="00CA6FDD" w:rsidRDefault="00CA6FDD" w:rsidP="00155578">
      <w:pPr>
        <w:pStyle w:val="NormalWeb"/>
        <w:spacing w:before="0" w:beforeAutospacing="0" w:after="0" w:afterAutospacing="0"/>
        <w:rPr>
          <w:sz w:val="20"/>
          <w:szCs w:val="20"/>
        </w:rPr>
      </w:pPr>
    </w:p>
    <w:p w:rsidR="00CA6FDD" w:rsidRDefault="00CA6FDD" w:rsidP="00155578">
      <w:pPr>
        <w:pStyle w:val="NormalWeb"/>
        <w:spacing w:before="0" w:beforeAutospacing="0" w:after="0" w:afterAutospacing="0"/>
        <w:rPr>
          <w:sz w:val="20"/>
          <w:szCs w:val="20"/>
        </w:rPr>
      </w:pPr>
    </w:p>
    <w:p w:rsidR="00CA6FDD" w:rsidRDefault="00CA6FDD" w:rsidP="00155578">
      <w:pPr>
        <w:pStyle w:val="NormalWeb"/>
        <w:spacing w:before="0" w:beforeAutospacing="0" w:after="0" w:afterAutospacing="0"/>
        <w:rPr>
          <w:sz w:val="20"/>
          <w:szCs w:val="20"/>
        </w:rPr>
      </w:pPr>
    </w:p>
    <w:p w:rsidR="00CA6FDD" w:rsidRDefault="00CA6FDD" w:rsidP="00155578">
      <w:pPr>
        <w:pStyle w:val="NormalWeb"/>
        <w:spacing w:before="0" w:beforeAutospacing="0" w:after="0" w:afterAutospacing="0"/>
        <w:rPr>
          <w:sz w:val="20"/>
          <w:szCs w:val="20"/>
        </w:rPr>
      </w:pPr>
    </w:p>
    <w:p w:rsidR="00CA6FDD" w:rsidRDefault="00CA6FDD" w:rsidP="00155578">
      <w:pPr>
        <w:pStyle w:val="NormalWeb"/>
        <w:spacing w:before="0" w:beforeAutospacing="0" w:after="0" w:afterAutospacing="0"/>
        <w:rPr>
          <w:sz w:val="20"/>
          <w:szCs w:val="20"/>
        </w:rPr>
      </w:pPr>
    </w:p>
    <w:p w:rsidR="00CA6FDD" w:rsidRDefault="00CA6FDD" w:rsidP="00155578">
      <w:pPr>
        <w:pStyle w:val="NormalWeb"/>
        <w:spacing w:before="0" w:beforeAutospacing="0" w:after="0" w:afterAutospacing="0"/>
        <w:rPr>
          <w:sz w:val="20"/>
          <w:szCs w:val="20"/>
        </w:rPr>
      </w:pPr>
    </w:p>
    <w:p w:rsidR="00D8605D" w:rsidRPr="00C36A62" w:rsidRDefault="00D8605D" w:rsidP="00D8605D">
      <w:r w:rsidRPr="00C36A62">
        <w:rPr>
          <w:sz w:val="20"/>
          <w:szCs w:val="20"/>
        </w:rPr>
        <w:fldChar w:fldCharType="begin"/>
      </w:r>
      <w:r w:rsidRPr="00C36A62">
        <w:rPr>
          <w:sz w:val="20"/>
          <w:szCs w:val="20"/>
        </w:rPr>
        <w:instrText xml:space="preserve"> DATE \@ "dd'.'MM'.'yyyy'. 'H':'mm" </w:instrText>
      </w:r>
      <w:r w:rsidRPr="00C36A62">
        <w:rPr>
          <w:sz w:val="20"/>
          <w:szCs w:val="20"/>
        </w:rPr>
        <w:fldChar w:fldCharType="separate"/>
      </w:r>
      <w:r w:rsidR="00783CE9">
        <w:rPr>
          <w:noProof/>
          <w:sz w:val="20"/>
          <w:szCs w:val="20"/>
        </w:rPr>
        <w:t>16.12.2020. 18:04</w:t>
      </w:r>
      <w:r w:rsidRPr="00C36A62">
        <w:rPr>
          <w:sz w:val="20"/>
          <w:szCs w:val="20"/>
        </w:rPr>
        <w:fldChar w:fldCharType="end"/>
      </w:r>
    </w:p>
    <w:p w:rsidR="00783CE9" w:rsidRDefault="00783CE9" w:rsidP="00913D76">
      <w:pPr>
        <w:rPr>
          <w:rFonts w:eastAsiaTheme="minorHAnsi"/>
          <w:sz w:val="20"/>
          <w:szCs w:val="20"/>
        </w:rPr>
      </w:pPr>
      <w:r>
        <w:rPr>
          <w:rFonts w:eastAsiaTheme="minorHAnsi"/>
          <w:sz w:val="20"/>
          <w:szCs w:val="20"/>
        </w:rPr>
        <w:t>2150</w:t>
      </w:r>
    </w:p>
    <w:p w:rsidR="00913D76" w:rsidRPr="00913D76" w:rsidRDefault="00913D76" w:rsidP="00913D76">
      <w:pPr>
        <w:rPr>
          <w:rFonts w:eastAsiaTheme="minorHAnsi"/>
          <w:sz w:val="20"/>
          <w:szCs w:val="20"/>
        </w:rPr>
      </w:pPr>
      <w:bookmarkStart w:id="1" w:name="_GoBack"/>
      <w:bookmarkEnd w:id="1"/>
      <w:r w:rsidRPr="00913D76">
        <w:rPr>
          <w:rFonts w:eastAsiaTheme="minorHAnsi"/>
          <w:sz w:val="20"/>
          <w:szCs w:val="20"/>
        </w:rPr>
        <w:t>I.Ošiņa 67219608</w:t>
      </w:r>
    </w:p>
    <w:p w:rsidR="00913D76" w:rsidRPr="00913D76" w:rsidRDefault="00913D76" w:rsidP="00913D76">
      <w:pPr>
        <w:rPr>
          <w:rFonts w:eastAsiaTheme="minorHAnsi"/>
          <w:sz w:val="28"/>
          <w:szCs w:val="28"/>
          <w:lang w:eastAsia="en-US"/>
        </w:rPr>
      </w:pPr>
      <w:r w:rsidRPr="00913D76">
        <w:rPr>
          <w:rFonts w:eastAsiaTheme="minorHAnsi"/>
          <w:sz w:val="20"/>
          <w:szCs w:val="20"/>
        </w:rPr>
        <w:t>Inga.osina@iem.gov.lv</w:t>
      </w:r>
    </w:p>
    <w:p w:rsidR="00FC43C2" w:rsidRPr="00CA6FDD" w:rsidRDefault="00CA6FDD" w:rsidP="00CA6FDD">
      <w:pPr>
        <w:rPr>
          <w:rFonts w:eastAsiaTheme="minorHAnsi"/>
          <w:sz w:val="20"/>
          <w:szCs w:val="20"/>
        </w:rPr>
      </w:pPr>
      <w:proofErr w:type="spellStart"/>
      <w:r w:rsidRPr="00CA6FDD">
        <w:rPr>
          <w:rFonts w:eastAsiaTheme="minorHAnsi"/>
          <w:sz w:val="20"/>
          <w:szCs w:val="20"/>
        </w:rPr>
        <w:t>A.Strode</w:t>
      </w:r>
      <w:proofErr w:type="spellEnd"/>
      <w:r w:rsidRPr="00CA6FDD">
        <w:rPr>
          <w:rFonts w:eastAsiaTheme="minorHAnsi"/>
          <w:sz w:val="20"/>
          <w:szCs w:val="20"/>
        </w:rPr>
        <w:t xml:space="preserve"> 29244732</w:t>
      </w:r>
    </w:p>
    <w:p w:rsidR="00CA6FDD" w:rsidRPr="00CA6FDD" w:rsidRDefault="00CA6FDD" w:rsidP="00CA6FDD">
      <w:pPr>
        <w:rPr>
          <w:rFonts w:eastAsiaTheme="minorHAnsi"/>
          <w:sz w:val="20"/>
          <w:szCs w:val="20"/>
        </w:rPr>
      </w:pPr>
      <w:r w:rsidRPr="00CA6FDD">
        <w:rPr>
          <w:rFonts w:eastAsiaTheme="minorHAnsi"/>
          <w:sz w:val="20"/>
          <w:szCs w:val="20"/>
        </w:rPr>
        <w:t>Alda.strode@iem.gov.lv</w:t>
      </w:r>
    </w:p>
    <w:sectPr w:rsidR="00CA6FDD" w:rsidRPr="00CA6FDD"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FDF" w:rsidRDefault="004D7FDF" w:rsidP="00894C55">
      <w:r>
        <w:separator/>
      </w:r>
    </w:p>
  </w:endnote>
  <w:endnote w:type="continuationSeparator" w:id="0">
    <w:p w:rsidR="004D7FDF" w:rsidRDefault="004D7FDF"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D5" w:rsidRPr="009A1F64" w:rsidRDefault="006079D5" w:rsidP="006079D5">
    <w:pPr>
      <w:pStyle w:val="Footer"/>
      <w:rPr>
        <w:rFonts w:ascii="Times New Roman" w:hAnsi="Times New Roman" w:cs="Times New Roman"/>
        <w:sz w:val="20"/>
        <w:szCs w:val="20"/>
      </w:rPr>
    </w:pPr>
    <w:r w:rsidRPr="009A1F64">
      <w:rPr>
        <w:rFonts w:ascii="Times New Roman" w:hAnsi="Times New Roman" w:cs="Times New Roman"/>
        <w:sz w:val="20"/>
        <w:szCs w:val="20"/>
      </w:rPr>
      <w:fldChar w:fldCharType="begin"/>
    </w:r>
    <w:r w:rsidRPr="009A1F64">
      <w:rPr>
        <w:rFonts w:ascii="Times New Roman" w:hAnsi="Times New Roman" w:cs="Times New Roman"/>
        <w:sz w:val="20"/>
        <w:szCs w:val="20"/>
      </w:rPr>
      <w:instrText xml:space="preserve"> FILENAME   \* MERGEFORMAT </w:instrText>
    </w:r>
    <w:r w:rsidRPr="009A1F64">
      <w:rPr>
        <w:rFonts w:ascii="Times New Roman" w:hAnsi="Times New Roman" w:cs="Times New Roman"/>
        <w:sz w:val="20"/>
        <w:szCs w:val="20"/>
      </w:rPr>
      <w:fldChar w:fldCharType="separate"/>
    </w:r>
    <w:r>
      <w:rPr>
        <w:rFonts w:ascii="Times New Roman" w:hAnsi="Times New Roman" w:cs="Times New Roman"/>
        <w:noProof/>
        <w:sz w:val="20"/>
        <w:szCs w:val="20"/>
      </w:rPr>
      <w:t>IEMAnot_161220_LNG-piem</w:t>
    </w:r>
    <w:r w:rsidRPr="009A1F64">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3C2" w:rsidRPr="009A1F64" w:rsidRDefault="009A1F64" w:rsidP="009A1F64">
    <w:pPr>
      <w:pStyle w:val="Footer"/>
      <w:rPr>
        <w:rFonts w:ascii="Times New Roman" w:hAnsi="Times New Roman" w:cs="Times New Roman"/>
        <w:sz w:val="20"/>
        <w:szCs w:val="20"/>
      </w:rPr>
    </w:pPr>
    <w:r w:rsidRPr="009A1F64">
      <w:rPr>
        <w:rFonts w:ascii="Times New Roman" w:hAnsi="Times New Roman" w:cs="Times New Roman"/>
        <w:sz w:val="20"/>
        <w:szCs w:val="20"/>
      </w:rPr>
      <w:fldChar w:fldCharType="begin"/>
    </w:r>
    <w:r w:rsidRPr="009A1F64">
      <w:rPr>
        <w:rFonts w:ascii="Times New Roman" w:hAnsi="Times New Roman" w:cs="Times New Roman"/>
        <w:sz w:val="20"/>
        <w:szCs w:val="20"/>
      </w:rPr>
      <w:instrText xml:space="preserve"> FILENAME   \* MERGEFORMAT </w:instrText>
    </w:r>
    <w:r w:rsidRPr="009A1F64">
      <w:rPr>
        <w:rFonts w:ascii="Times New Roman" w:hAnsi="Times New Roman" w:cs="Times New Roman"/>
        <w:sz w:val="20"/>
        <w:szCs w:val="20"/>
      </w:rPr>
      <w:fldChar w:fldCharType="separate"/>
    </w:r>
    <w:r w:rsidR="00ED6225">
      <w:rPr>
        <w:rFonts w:ascii="Times New Roman" w:hAnsi="Times New Roman" w:cs="Times New Roman"/>
        <w:noProof/>
        <w:sz w:val="20"/>
        <w:szCs w:val="20"/>
      </w:rPr>
      <w:t>IEMAnot_1</w:t>
    </w:r>
    <w:r w:rsidR="006079D5">
      <w:rPr>
        <w:rFonts w:ascii="Times New Roman" w:hAnsi="Times New Roman" w:cs="Times New Roman"/>
        <w:noProof/>
        <w:sz w:val="20"/>
        <w:szCs w:val="20"/>
      </w:rPr>
      <w:t>6</w:t>
    </w:r>
    <w:r w:rsidR="00ED6225">
      <w:rPr>
        <w:rFonts w:ascii="Times New Roman" w:hAnsi="Times New Roman" w:cs="Times New Roman"/>
        <w:noProof/>
        <w:sz w:val="20"/>
        <w:szCs w:val="20"/>
      </w:rPr>
      <w:t>1220_LNG</w:t>
    </w:r>
    <w:r w:rsidR="006079D5">
      <w:rPr>
        <w:rFonts w:ascii="Times New Roman" w:hAnsi="Times New Roman" w:cs="Times New Roman"/>
        <w:noProof/>
        <w:sz w:val="20"/>
        <w:szCs w:val="20"/>
      </w:rPr>
      <w:t>-</w:t>
    </w:r>
    <w:r w:rsidR="00ED6225">
      <w:rPr>
        <w:rFonts w:ascii="Times New Roman" w:hAnsi="Times New Roman" w:cs="Times New Roman"/>
        <w:noProof/>
        <w:sz w:val="20"/>
        <w:szCs w:val="20"/>
      </w:rPr>
      <w:t>piem</w:t>
    </w:r>
    <w:r w:rsidRPr="009A1F6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FDF" w:rsidRDefault="004D7FDF" w:rsidP="00894C55">
      <w:r>
        <w:separator/>
      </w:r>
    </w:p>
  </w:footnote>
  <w:footnote w:type="continuationSeparator" w:id="0">
    <w:p w:rsidR="004D7FDF" w:rsidRDefault="004D7FDF"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2074A4" w:rsidRPr="00C25B49" w:rsidRDefault="00A92CD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2074A4"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83CE9">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572"/>
    <w:multiLevelType w:val="hybridMultilevel"/>
    <w:tmpl w:val="319EF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AB04B1"/>
    <w:multiLevelType w:val="hybridMultilevel"/>
    <w:tmpl w:val="A634B574"/>
    <w:lvl w:ilvl="0" w:tplc="AE045288">
      <w:start w:val="1"/>
      <w:numFmt w:val="decimal"/>
      <w:lvlText w:val="%1."/>
      <w:lvlJc w:val="left"/>
      <w:pPr>
        <w:ind w:left="434" w:hanging="360"/>
      </w:pPr>
      <w:rPr>
        <w:rFonts w:ascii="Times New Roman" w:hAnsi="Times New Roman" w:cs="Times New Roman" w:hint="default"/>
        <w:color w:val="auto"/>
        <w:sz w:val="28"/>
      </w:rPr>
    </w:lvl>
    <w:lvl w:ilvl="1" w:tplc="04260019" w:tentative="1">
      <w:start w:val="1"/>
      <w:numFmt w:val="lowerLetter"/>
      <w:lvlText w:val="%2."/>
      <w:lvlJc w:val="left"/>
      <w:pPr>
        <w:ind w:left="1154" w:hanging="360"/>
      </w:pPr>
    </w:lvl>
    <w:lvl w:ilvl="2" w:tplc="0426001B" w:tentative="1">
      <w:start w:val="1"/>
      <w:numFmt w:val="lowerRoman"/>
      <w:lvlText w:val="%3."/>
      <w:lvlJc w:val="right"/>
      <w:pPr>
        <w:ind w:left="1874" w:hanging="180"/>
      </w:pPr>
    </w:lvl>
    <w:lvl w:ilvl="3" w:tplc="0426000F" w:tentative="1">
      <w:start w:val="1"/>
      <w:numFmt w:val="decimal"/>
      <w:lvlText w:val="%4."/>
      <w:lvlJc w:val="left"/>
      <w:pPr>
        <w:ind w:left="2594" w:hanging="360"/>
      </w:pPr>
    </w:lvl>
    <w:lvl w:ilvl="4" w:tplc="04260019" w:tentative="1">
      <w:start w:val="1"/>
      <w:numFmt w:val="lowerLetter"/>
      <w:lvlText w:val="%5."/>
      <w:lvlJc w:val="left"/>
      <w:pPr>
        <w:ind w:left="3314" w:hanging="360"/>
      </w:pPr>
    </w:lvl>
    <w:lvl w:ilvl="5" w:tplc="0426001B" w:tentative="1">
      <w:start w:val="1"/>
      <w:numFmt w:val="lowerRoman"/>
      <w:lvlText w:val="%6."/>
      <w:lvlJc w:val="right"/>
      <w:pPr>
        <w:ind w:left="4034" w:hanging="180"/>
      </w:pPr>
    </w:lvl>
    <w:lvl w:ilvl="6" w:tplc="0426000F" w:tentative="1">
      <w:start w:val="1"/>
      <w:numFmt w:val="decimal"/>
      <w:lvlText w:val="%7."/>
      <w:lvlJc w:val="left"/>
      <w:pPr>
        <w:ind w:left="4754" w:hanging="360"/>
      </w:pPr>
    </w:lvl>
    <w:lvl w:ilvl="7" w:tplc="04260019" w:tentative="1">
      <w:start w:val="1"/>
      <w:numFmt w:val="lowerLetter"/>
      <w:lvlText w:val="%8."/>
      <w:lvlJc w:val="left"/>
      <w:pPr>
        <w:ind w:left="5474" w:hanging="360"/>
      </w:pPr>
    </w:lvl>
    <w:lvl w:ilvl="8" w:tplc="0426001B" w:tentative="1">
      <w:start w:val="1"/>
      <w:numFmt w:val="lowerRoman"/>
      <w:lvlText w:val="%9."/>
      <w:lvlJc w:val="right"/>
      <w:pPr>
        <w:ind w:left="6194" w:hanging="180"/>
      </w:pPr>
    </w:lvl>
  </w:abstractNum>
  <w:abstractNum w:abstractNumId="2"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E606AA"/>
    <w:multiLevelType w:val="multilevel"/>
    <w:tmpl w:val="A7283530"/>
    <w:lvl w:ilvl="0">
      <w:start w:val="1"/>
      <w:numFmt w:val="decimal"/>
      <w:lvlText w:val="%1."/>
      <w:lvlJc w:val="left"/>
      <w:pPr>
        <w:ind w:left="720" w:hanging="360"/>
      </w:pPr>
      <w:rPr>
        <w:b w:val="0"/>
        <w:bCs/>
      </w:r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4"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5"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E65CE0"/>
    <w:multiLevelType w:val="hybridMultilevel"/>
    <w:tmpl w:val="135C28BC"/>
    <w:lvl w:ilvl="0" w:tplc="9E54658C">
      <w:start w:val="1"/>
      <w:numFmt w:val="decimal"/>
      <w:lvlText w:val="%1)"/>
      <w:lvlJc w:val="left"/>
      <w:pPr>
        <w:ind w:left="964" w:hanging="360"/>
      </w:pPr>
      <w:rPr>
        <w:rFonts w:hint="default"/>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7" w15:restartNumberingAfterBreak="0">
    <w:nsid w:val="5DD74175"/>
    <w:multiLevelType w:val="hybridMultilevel"/>
    <w:tmpl w:val="E58E1AEC"/>
    <w:lvl w:ilvl="0" w:tplc="11E4B4AE">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8" w15:restartNumberingAfterBreak="0">
    <w:nsid w:val="7DC836DB"/>
    <w:multiLevelType w:val="hybridMultilevel"/>
    <w:tmpl w:val="4D5AF09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077"/>
    <w:rsid w:val="000066AF"/>
    <w:rsid w:val="0000729D"/>
    <w:rsid w:val="00010109"/>
    <w:rsid w:val="00012055"/>
    <w:rsid w:val="000140B8"/>
    <w:rsid w:val="00015508"/>
    <w:rsid w:val="0002126E"/>
    <w:rsid w:val="00021774"/>
    <w:rsid w:val="00023F44"/>
    <w:rsid w:val="00031925"/>
    <w:rsid w:val="00035CD5"/>
    <w:rsid w:val="00035E6E"/>
    <w:rsid w:val="00037257"/>
    <w:rsid w:val="00037CA6"/>
    <w:rsid w:val="0004022B"/>
    <w:rsid w:val="00041BCC"/>
    <w:rsid w:val="0004685C"/>
    <w:rsid w:val="000479E8"/>
    <w:rsid w:val="00047FF1"/>
    <w:rsid w:val="00050143"/>
    <w:rsid w:val="00051EE3"/>
    <w:rsid w:val="00055704"/>
    <w:rsid w:val="00060A70"/>
    <w:rsid w:val="0006374D"/>
    <w:rsid w:val="00064959"/>
    <w:rsid w:val="00067B40"/>
    <w:rsid w:val="0007255D"/>
    <w:rsid w:val="000746B1"/>
    <w:rsid w:val="00076EDC"/>
    <w:rsid w:val="00080BB1"/>
    <w:rsid w:val="0008249D"/>
    <w:rsid w:val="00087E40"/>
    <w:rsid w:val="00090236"/>
    <w:rsid w:val="00091CE1"/>
    <w:rsid w:val="00092E7E"/>
    <w:rsid w:val="000931CB"/>
    <w:rsid w:val="000946D7"/>
    <w:rsid w:val="000955FA"/>
    <w:rsid w:val="00095F9A"/>
    <w:rsid w:val="000979F1"/>
    <w:rsid w:val="00097B2F"/>
    <w:rsid w:val="000A21B9"/>
    <w:rsid w:val="000A4002"/>
    <w:rsid w:val="000A4A1E"/>
    <w:rsid w:val="000A57A0"/>
    <w:rsid w:val="000A7DB5"/>
    <w:rsid w:val="000B0F4A"/>
    <w:rsid w:val="000B20E9"/>
    <w:rsid w:val="000B32B9"/>
    <w:rsid w:val="000B54FA"/>
    <w:rsid w:val="000C4480"/>
    <w:rsid w:val="000C568F"/>
    <w:rsid w:val="000C7E9B"/>
    <w:rsid w:val="000D04E5"/>
    <w:rsid w:val="000D069C"/>
    <w:rsid w:val="000D26B7"/>
    <w:rsid w:val="000D6CE7"/>
    <w:rsid w:val="000D7BBA"/>
    <w:rsid w:val="000E0D22"/>
    <w:rsid w:val="000E6028"/>
    <w:rsid w:val="000E6D72"/>
    <w:rsid w:val="000F5ED7"/>
    <w:rsid w:val="001001E8"/>
    <w:rsid w:val="00102DDC"/>
    <w:rsid w:val="00106F75"/>
    <w:rsid w:val="00113381"/>
    <w:rsid w:val="00114A05"/>
    <w:rsid w:val="00116F95"/>
    <w:rsid w:val="00125D49"/>
    <w:rsid w:val="00127069"/>
    <w:rsid w:val="00130487"/>
    <w:rsid w:val="00133FF1"/>
    <w:rsid w:val="001360AF"/>
    <w:rsid w:val="00136376"/>
    <w:rsid w:val="00140644"/>
    <w:rsid w:val="00141039"/>
    <w:rsid w:val="001412C1"/>
    <w:rsid w:val="001416FE"/>
    <w:rsid w:val="00143A35"/>
    <w:rsid w:val="00144ABC"/>
    <w:rsid w:val="0014584E"/>
    <w:rsid w:val="0014622D"/>
    <w:rsid w:val="0015016B"/>
    <w:rsid w:val="001507E7"/>
    <w:rsid w:val="0015188C"/>
    <w:rsid w:val="00152501"/>
    <w:rsid w:val="001525D7"/>
    <w:rsid w:val="00154A6D"/>
    <w:rsid w:val="00155578"/>
    <w:rsid w:val="00156E64"/>
    <w:rsid w:val="00157405"/>
    <w:rsid w:val="00162996"/>
    <w:rsid w:val="00165A55"/>
    <w:rsid w:val="0016684A"/>
    <w:rsid w:val="00177A29"/>
    <w:rsid w:val="00184A93"/>
    <w:rsid w:val="0018516A"/>
    <w:rsid w:val="0018726A"/>
    <w:rsid w:val="001903C7"/>
    <w:rsid w:val="001A2778"/>
    <w:rsid w:val="001A559D"/>
    <w:rsid w:val="001A5818"/>
    <w:rsid w:val="001A5F8B"/>
    <w:rsid w:val="001A7F37"/>
    <w:rsid w:val="001B6C59"/>
    <w:rsid w:val="001C2F68"/>
    <w:rsid w:val="001C4FAF"/>
    <w:rsid w:val="001C5440"/>
    <w:rsid w:val="001C64FA"/>
    <w:rsid w:val="001C768D"/>
    <w:rsid w:val="001C797C"/>
    <w:rsid w:val="001C7E53"/>
    <w:rsid w:val="001D0F46"/>
    <w:rsid w:val="001D4B02"/>
    <w:rsid w:val="001D57BA"/>
    <w:rsid w:val="001D5E4E"/>
    <w:rsid w:val="001D647C"/>
    <w:rsid w:val="001D66EB"/>
    <w:rsid w:val="001D723F"/>
    <w:rsid w:val="001E37ED"/>
    <w:rsid w:val="001E7774"/>
    <w:rsid w:val="001E7EAF"/>
    <w:rsid w:val="001F06B0"/>
    <w:rsid w:val="001F22B5"/>
    <w:rsid w:val="001F481D"/>
    <w:rsid w:val="001F4EA3"/>
    <w:rsid w:val="001F6AC3"/>
    <w:rsid w:val="002019D8"/>
    <w:rsid w:val="00202977"/>
    <w:rsid w:val="00206864"/>
    <w:rsid w:val="002074A4"/>
    <w:rsid w:val="002119C3"/>
    <w:rsid w:val="00216C63"/>
    <w:rsid w:val="00220B1B"/>
    <w:rsid w:val="00223CED"/>
    <w:rsid w:val="00230841"/>
    <w:rsid w:val="0023168A"/>
    <w:rsid w:val="002355FE"/>
    <w:rsid w:val="00243426"/>
    <w:rsid w:val="002506DA"/>
    <w:rsid w:val="00251769"/>
    <w:rsid w:val="002549F5"/>
    <w:rsid w:val="00256091"/>
    <w:rsid w:val="002655B0"/>
    <w:rsid w:val="002702EA"/>
    <w:rsid w:val="0027706F"/>
    <w:rsid w:val="00282312"/>
    <w:rsid w:val="002834FB"/>
    <w:rsid w:val="00284852"/>
    <w:rsid w:val="00284C2D"/>
    <w:rsid w:val="0028659C"/>
    <w:rsid w:val="00287A59"/>
    <w:rsid w:val="00291550"/>
    <w:rsid w:val="00293399"/>
    <w:rsid w:val="002948BA"/>
    <w:rsid w:val="002971E2"/>
    <w:rsid w:val="002A217A"/>
    <w:rsid w:val="002A5E5F"/>
    <w:rsid w:val="002B6C5A"/>
    <w:rsid w:val="002C2F41"/>
    <w:rsid w:val="002C5988"/>
    <w:rsid w:val="002C6CE2"/>
    <w:rsid w:val="002C75B1"/>
    <w:rsid w:val="002C7A28"/>
    <w:rsid w:val="002D1E95"/>
    <w:rsid w:val="002D2609"/>
    <w:rsid w:val="002D344F"/>
    <w:rsid w:val="002D3F58"/>
    <w:rsid w:val="002E1C05"/>
    <w:rsid w:val="002E4F80"/>
    <w:rsid w:val="002E5D98"/>
    <w:rsid w:val="002E64FA"/>
    <w:rsid w:val="002E6CE7"/>
    <w:rsid w:val="002F2DDA"/>
    <w:rsid w:val="002F2E4E"/>
    <w:rsid w:val="002F32CD"/>
    <w:rsid w:val="002F6367"/>
    <w:rsid w:val="002F7B64"/>
    <w:rsid w:val="002F7FC4"/>
    <w:rsid w:val="00303246"/>
    <w:rsid w:val="003040C3"/>
    <w:rsid w:val="00304AF6"/>
    <w:rsid w:val="003102E6"/>
    <w:rsid w:val="00312097"/>
    <w:rsid w:val="00312466"/>
    <w:rsid w:val="00313AD3"/>
    <w:rsid w:val="003142B7"/>
    <w:rsid w:val="00317A20"/>
    <w:rsid w:val="00317F99"/>
    <w:rsid w:val="00320014"/>
    <w:rsid w:val="003205CD"/>
    <w:rsid w:val="003243B6"/>
    <w:rsid w:val="0033371C"/>
    <w:rsid w:val="00334745"/>
    <w:rsid w:val="00335899"/>
    <w:rsid w:val="00340618"/>
    <w:rsid w:val="003406FA"/>
    <w:rsid w:val="00340F13"/>
    <w:rsid w:val="00341D70"/>
    <w:rsid w:val="00343820"/>
    <w:rsid w:val="00343B60"/>
    <w:rsid w:val="00345B4F"/>
    <w:rsid w:val="00350806"/>
    <w:rsid w:val="0035140E"/>
    <w:rsid w:val="0035728D"/>
    <w:rsid w:val="003605E4"/>
    <w:rsid w:val="00360972"/>
    <w:rsid w:val="00361916"/>
    <w:rsid w:val="00362642"/>
    <w:rsid w:val="00362E82"/>
    <w:rsid w:val="00362FBD"/>
    <w:rsid w:val="003671CE"/>
    <w:rsid w:val="00367478"/>
    <w:rsid w:val="00367AB5"/>
    <w:rsid w:val="00367E06"/>
    <w:rsid w:val="003721D6"/>
    <w:rsid w:val="00372ACB"/>
    <w:rsid w:val="00380C6D"/>
    <w:rsid w:val="003851C2"/>
    <w:rsid w:val="003864FA"/>
    <w:rsid w:val="003874BB"/>
    <w:rsid w:val="003903BF"/>
    <w:rsid w:val="00396018"/>
    <w:rsid w:val="00396478"/>
    <w:rsid w:val="003B0BF9"/>
    <w:rsid w:val="003B215A"/>
    <w:rsid w:val="003B76AB"/>
    <w:rsid w:val="003C0235"/>
    <w:rsid w:val="003C2624"/>
    <w:rsid w:val="003C7AEA"/>
    <w:rsid w:val="003D23E3"/>
    <w:rsid w:val="003D3453"/>
    <w:rsid w:val="003D4330"/>
    <w:rsid w:val="003D6DD6"/>
    <w:rsid w:val="003E0403"/>
    <w:rsid w:val="003E0791"/>
    <w:rsid w:val="003E0FF4"/>
    <w:rsid w:val="003E3D54"/>
    <w:rsid w:val="003E4147"/>
    <w:rsid w:val="003F1F2D"/>
    <w:rsid w:val="003F2855"/>
    <w:rsid w:val="003F28AC"/>
    <w:rsid w:val="003F448E"/>
    <w:rsid w:val="003F66CA"/>
    <w:rsid w:val="00400BD0"/>
    <w:rsid w:val="00401F30"/>
    <w:rsid w:val="00403A2F"/>
    <w:rsid w:val="00413505"/>
    <w:rsid w:val="0041654D"/>
    <w:rsid w:val="0041768A"/>
    <w:rsid w:val="00417A7A"/>
    <w:rsid w:val="00420133"/>
    <w:rsid w:val="004203DF"/>
    <w:rsid w:val="004211F6"/>
    <w:rsid w:val="00421EB1"/>
    <w:rsid w:val="004239E3"/>
    <w:rsid w:val="00424D50"/>
    <w:rsid w:val="004257D5"/>
    <w:rsid w:val="00431C39"/>
    <w:rsid w:val="0043377F"/>
    <w:rsid w:val="00434A76"/>
    <w:rsid w:val="00435568"/>
    <w:rsid w:val="004357A1"/>
    <w:rsid w:val="0043765E"/>
    <w:rsid w:val="00437F2A"/>
    <w:rsid w:val="0044255B"/>
    <w:rsid w:val="00445045"/>
    <w:rsid w:val="004454FE"/>
    <w:rsid w:val="00451F79"/>
    <w:rsid w:val="00452463"/>
    <w:rsid w:val="00456247"/>
    <w:rsid w:val="00456E40"/>
    <w:rsid w:val="00457039"/>
    <w:rsid w:val="004622AB"/>
    <w:rsid w:val="00463B4E"/>
    <w:rsid w:val="00467DE3"/>
    <w:rsid w:val="00470506"/>
    <w:rsid w:val="00470591"/>
    <w:rsid w:val="00470ECD"/>
    <w:rsid w:val="00471F27"/>
    <w:rsid w:val="00475F37"/>
    <w:rsid w:val="00485E78"/>
    <w:rsid w:val="0048753C"/>
    <w:rsid w:val="004875DD"/>
    <w:rsid w:val="00492F97"/>
    <w:rsid w:val="00493BF2"/>
    <w:rsid w:val="00494F80"/>
    <w:rsid w:val="00495760"/>
    <w:rsid w:val="0049601C"/>
    <w:rsid w:val="004A5728"/>
    <w:rsid w:val="004B3A28"/>
    <w:rsid w:val="004B5A63"/>
    <w:rsid w:val="004C0421"/>
    <w:rsid w:val="004C1FE7"/>
    <w:rsid w:val="004C20DE"/>
    <w:rsid w:val="004C44A1"/>
    <w:rsid w:val="004C5186"/>
    <w:rsid w:val="004C69C7"/>
    <w:rsid w:val="004D2294"/>
    <w:rsid w:val="004D6991"/>
    <w:rsid w:val="004D7640"/>
    <w:rsid w:val="004D7FDF"/>
    <w:rsid w:val="004E0175"/>
    <w:rsid w:val="004E10D8"/>
    <w:rsid w:val="004E1BA2"/>
    <w:rsid w:val="004E282B"/>
    <w:rsid w:val="004E29AE"/>
    <w:rsid w:val="004E2E39"/>
    <w:rsid w:val="004F0343"/>
    <w:rsid w:val="004F7DEC"/>
    <w:rsid w:val="005012D3"/>
    <w:rsid w:val="0050178F"/>
    <w:rsid w:val="00502D97"/>
    <w:rsid w:val="0050515E"/>
    <w:rsid w:val="005109D3"/>
    <w:rsid w:val="005169EA"/>
    <w:rsid w:val="00520FE1"/>
    <w:rsid w:val="00521010"/>
    <w:rsid w:val="00523C7A"/>
    <w:rsid w:val="005242EC"/>
    <w:rsid w:val="00526ADC"/>
    <w:rsid w:val="00526E2C"/>
    <w:rsid w:val="00527D8B"/>
    <w:rsid w:val="00533206"/>
    <w:rsid w:val="00534387"/>
    <w:rsid w:val="005349F0"/>
    <w:rsid w:val="00535C88"/>
    <w:rsid w:val="00541371"/>
    <w:rsid w:val="005534E6"/>
    <w:rsid w:val="00553E16"/>
    <w:rsid w:val="00562490"/>
    <w:rsid w:val="00564C6B"/>
    <w:rsid w:val="005650FB"/>
    <w:rsid w:val="0056696D"/>
    <w:rsid w:val="00566AD6"/>
    <w:rsid w:val="00570C2D"/>
    <w:rsid w:val="005728A3"/>
    <w:rsid w:val="00574F17"/>
    <w:rsid w:val="00577052"/>
    <w:rsid w:val="005805C4"/>
    <w:rsid w:val="00580732"/>
    <w:rsid w:val="005826B6"/>
    <w:rsid w:val="00582857"/>
    <w:rsid w:val="005856D9"/>
    <w:rsid w:val="00591494"/>
    <w:rsid w:val="00592966"/>
    <w:rsid w:val="00594B91"/>
    <w:rsid w:val="005A6B47"/>
    <w:rsid w:val="005B1660"/>
    <w:rsid w:val="005B3246"/>
    <w:rsid w:val="005C0023"/>
    <w:rsid w:val="005C5A84"/>
    <w:rsid w:val="005C6DB2"/>
    <w:rsid w:val="005C73E3"/>
    <w:rsid w:val="005C7B2A"/>
    <w:rsid w:val="005C7F0E"/>
    <w:rsid w:val="005D34DD"/>
    <w:rsid w:val="005D54F2"/>
    <w:rsid w:val="005D68A5"/>
    <w:rsid w:val="005E25B2"/>
    <w:rsid w:val="005E5FFC"/>
    <w:rsid w:val="005E6BDC"/>
    <w:rsid w:val="005F0566"/>
    <w:rsid w:val="005F4FE2"/>
    <w:rsid w:val="005F7BA4"/>
    <w:rsid w:val="006043EA"/>
    <w:rsid w:val="006079D5"/>
    <w:rsid w:val="0061155F"/>
    <w:rsid w:val="00615507"/>
    <w:rsid w:val="006232F5"/>
    <w:rsid w:val="00626AC5"/>
    <w:rsid w:val="00627631"/>
    <w:rsid w:val="00627A63"/>
    <w:rsid w:val="006335C0"/>
    <w:rsid w:val="006357FE"/>
    <w:rsid w:val="00635B83"/>
    <w:rsid w:val="0064126F"/>
    <w:rsid w:val="0064127B"/>
    <w:rsid w:val="0064498B"/>
    <w:rsid w:val="00644B15"/>
    <w:rsid w:val="00646244"/>
    <w:rsid w:val="0064653C"/>
    <w:rsid w:val="00647B3D"/>
    <w:rsid w:val="00651598"/>
    <w:rsid w:val="006538AC"/>
    <w:rsid w:val="006541CB"/>
    <w:rsid w:val="00655F2C"/>
    <w:rsid w:val="0065758B"/>
    <w:rsid w:val="00663570"/>
    <w:rsid w:val="00663AF4"/>
    <w:rsid w:val="0066441B"/>
    <w:rsid w:val="00665761"/>
    <w:rsid w:val="0066594E"/>
    <w:rsid w:val="0066749E"/>
    <w:rsid w:val="00673F7D"/>
    <w:rsid w:val="0067466F"/>
    <w:rsid w:val="00681F74"/>
    <w:rsid w:val="006842C0"/>
    <w:rsid w:val="00685E0B"/>
    <w:rsid w:val="006916C3"/>
    <w:rsid w:val="006936E5"/>
    <w:rsid w:val="006A31D0"/>
    <w:rsid w:val="006A3331"/>
    <w:rsid w:val="006A3697"/>
    <w:rsid w:val="006A479C"/>
    <w:rsid w:val="006A4B9B"/>
    <w:rsid w:val="006A4BF8"/>
    <w:rsid w:val="006A5A9B"/>
    <w:rsid w:val="006A5DEF"/>
    <w:rsid w:val="006A7E1E"/>
    <w:rsid w:val="006B221B"/>
    <w:rsid w:val="006B490A"/>
    <w:rsid w:val="006C0EB5"/>
    <w:rsid w:val="006C12A6"/>
    <w:rsid w:val="006C219D"/>
    <w:rsid w:val="006C2DFF"/>
    <w:rsid w:val="006C7AE7"/>
    <w:rsid w:val="006D4250"/>
    <w:rsid w:val="006D6C33"/>
    <w:rsid w:val="006D7885"/>
    <w:rsid w:val="006E0366"/>
    <w:rsid w:val="006E1081"/>
    <w:rsid w:val="006E47D6"/>
    <w:rsid w:val="006E540B"/>
    <w:rsid w:val="006E587D"/>
    <w:rsid w:val="006E71F7"/>
    <w:rsid w:val="006F09C2"/>
    <w:rsid w:val="006F0FC6"/>
    <w:rsid w:val="006F193F"/>
    <w:rsid w:val="006F265C"/>
    <w:rsid w:val="006F2C38"/>
    <w:rsid w:val="006F2E12"/>
    <w:rsid w:val="006F4690"/>
    <w:rsid w:val="006F56B9"/>
    <w:rsid w:val="00701AC4"/>
    <w:rsid w:val="00702CFD"/>
    <w:rsid w:val="00707161"/>
    <w:rsid w:val="00714300"/>
    <w:rsid w:val="00715C0C"/>
    <w:rsid w:val="00717FAF"/>
    <w:rsid w:val="00720585"/>
    <w:rsid w:val="00720987"/>
    <w:rsid w:val="00726660"/>
    <w:rsid w:val="007272A8"/>
    <w:rsid w:val="00727895"/>
    <w:rsid w:val="007403FC"/>
    <w:rsid w:val="00740D0B"/>
    <w:rsid w:val="00740EEA"/>
    <w:rsid w:val="00742254"/>
    <w:rsid w:val="00742F60"/>
    <w:rsid w:val="007441D5"/>
    <w:rsid w:val="00746399"/>
    <w:rsid w:val="0074680C"/>
    <w:rsid w:val="00750D89"/>
    <w:rsid w:val="00751927"/>
    <w:rsid w:val="007533E7"/>
    <w:rsid w:val="00756018"/>
    <w:rsid w:val="007606BC"/>
    <w:rsid w:val="007606BD"/>
    <w:rsid w:val="00765B2E"/>
    <w:rsid w:val="00766BFA"/>
    <w:rsid w:val="00773AF6"/>
    <w:rsid w:val="00773EC6"/>
    <w:rsid w:val="00775BC3"/>
    <w:rsid w:val="00776EE7"/>
    <w:rsid w:val="00780184"/>
    <w:rsid w:val="00780D1B"/>
    <w:rsid w:val="00781317"/>
    <w:rsid w:val="00782C47"/>
    <w:rsid w:val="00783CE9"/>
    <w:rsid w:val="007853A1"/>
    <w:rsid w:val="0079260F"/>
    <w:rsid w:val="00793180"/>
    <w:rsid w:val="00795F71"/>
    <w:rsid w:val="007A0DA7"/>
    <w:rsid w:val="007A3F62"/>
    <w:rsid w:val="007A7695"/>
    <w:rsid w:val="007A7826"/>
    <w:rsid w:val="007B1C39"/>
    <w:rsid w:val="007B1D31"/>
    <w:rsid w:val="007B3917"/>
    <w:rsid w:val="007B3A0F"/>
    <w:rsid w:val="007B4E09"/>
    <w:rsid w:val="007B7A0E"/>
    <w:rsid w:val="007D632A"/>
    <w:rsid w:val="007D695F"/>
    <w:rsid w:val="007D6D57"/>
    <w:rsid w:val="007E06B4"/>
    <w:rsid w:val="007E0C9C"/>
    <w:rsid w:val="007E3BCE"/>
    <w:rsid w:val="007E4484"/>
    <w:rsid w:val="007E4DF3"/>
    <w:rsid w:val="007E5F7A"/>
    <w:rsid w:val="007E6AAA"/>
    <w:rsid w:val="007E73AB"/>
    <w:rsid w:val="007F2EF9"/>
    <w:rsid w:val="007F3857"/>
    <w:rsid w:val="007F6F87"/>
    <w:rsid w:val="007F7D5A"/>
    <w:rsid w:val="0080508B"/>
    <w:rsid w:val="008055ED"/>
    <w:rsid w:val="00805F4C"/>
    <w:rsid w:val="00807EC8"/>
    <w:rsid w:val="00811F73"/>
    <w:rsid w:val="008143B0"/>
    <w:rsid w:val="00816479"/>
    <w:rsid w:val="008168AC"/>
    <w:rsid w:val="00816C11"/>
    <w:rsid w:val="00817B91"/>
    <w:rsid w:val="00822C45"/>
    <w:rsid w:val="00824A17"/>
    <w:rsid w:val="008256CB"/>
    <w:rsid w:val="00830B14"/>
    <w:rsid w:val="00831629"/>
    <w:rsid w:val="00834B90"/>
    <w:rsid w:val="00840EE9"/>
    <w:rsid w:val="00842113"/>
    <w:rsid w:val="00842AD1"/>
    <w:rsid w:val="0084541E"/>
    <w:rsid w:val="008470F2"/>
    <w:rsid w:val="00851D8B"/>
    <w:rsid w:val="00853C3D"/>
    <w:rsid w:val="0085714D"/>
    <w:rsid w:val="008579DA"/>
    <w:rsid w:val="00860032"/>
    <w:rsid w:val="00861998"/>
    <w:rsid w:val="00863DCA"/>
    <w:rsid w:val="00866A10"/>
    <w:rsid w:val="008671E1"/>
    <w:rsid w:val="00867737"/>
    <w:rsid w:val="00874A6E"/>
    <w:rsid w:val="00875194"/>
    <w:rsid w:val="0087595E"/>
    <w:rsid w:val="00875A9D"/>
    <w:rsid w:val="00877646"/>
    <w:rsid w:val="00880941"/>
    <w:rsid w:val="008870FC"/>
    <w:rsid w:val="00891AF0"/>
    <w:rsid w:val="00891CFD"/>
    <w:rsid w:val="00894C55"/>
    <w:rsid w:val="008954E8"/>
    <w:rsid w:val="0089556B"/>
    <w:rsid w:val="00896510"/>
    <w:rsid w:val="00896A9B"/>
    <w:rsid w:val="00896B28"/>
    <w:rsid w:val="008A5E17"/>
    <w:rsid w:val="008A66C9"/>
    <w:rsid w:val="008B37B7"/>
    <w:rsid w:val="008C1794"/>
    <w:rsid w:val="008C2003"/>
    <w:rsid w:val="008C2676"/>
    <w:rsid w:val="008C563B"/>
    <w:rsid w:val="008C6FBB"/>
    <w:rsid w:val="008C7E5C"/>
    <w:rsid w:val="008D16B8"/>
    <w:rsid w:val="008D372B"/>
    <w:rsid w:val="008E09D7"/>
    <w:rsid w:val="008E4FC1"/>
    <w:rsid w:val="008E61BF"/>
    <w:rsid w:val="008F2F2C"/>
    <w:rsid w:val="008F42D1"/>
    <w:rsid w:val="008F504A"/>
    <w:rsid w:val="008F5220"/>
    <w:rsid w:val="0090017B"/>
    <w:rsid w:val="00900815"/>
    <w:rsid w:val="00903694"/>
    <w:rsid w:val="00904B72"/>
    <w:rsid w:val="00910BAE"/>
    <w:rsid w:val="009115E9"/>
    <w:rsid w:val="0091192F"/>
    <w:rsid w:val="00912458"/>
    <w:rsid w:val="00913D76"/>
    <w:rsid w:val="0091488A"/>
    <w:rsid w:val="0091740C"/>
    <w:rsid w:val="00922C9E"/>
    <w:rsid w:val="00922E9E"/>
    <w:rsid w:val="00923D67"/>
    <w:rsid w:val="009271C0"/>
    <w:rsid w:val="00931C65"/>
    <w:rsid w:val="00931F74"/>
    <w:rsid w:val="00932116"/>
    <w:rsid w:val="009337F9"/>
    <w:rsid w:val="00934582"/>
    <w:rsid w:val="0094176A"/>
    <w:rsid w:val="00945CE6"/>
    <w:rsid w:val="009505DA"/>
    <w:rsid w:val="00950BF1"/>
    <w:rsid w:val="00950DF4"/>
    <w:rsid w:val="00952108"/>
    <w:rsid w:val="009521A5"/>
    <w:rsid w:val="00952FE1"/>
    <w:rsid w:val="009547D2"/>
    <w:rsid w:val="009553AA"/>
    <w:rsid w:val="00960937"/>
    <w:rsid w:val="009644BB"/>
    <w:rsid w:val="00966B5F"/>
    <w:rsid w:val="00972E35"/>
    <w:rsid w:val="009740EA"/>
    <w:rsid w:val="009741D2"/>
    <w:rsid w:val="00975572"/>
    <w:rsid w:val="00977D81"/>
    <w:rsid w:val="0098149E"/>
    <w:rsid w:val="00986BC6"/>
    <w:rsid w:val="009870A7"/>
    <w:rsid w:val="009907E2"/>
    <w:rsid w:val="00991465"/>
    <w:rsid w:val="00991AFF"/>
    <w:rsid w:val="009936B8"/>
    <w:rsid w:val="0099396D"/>
    <w:rsid w:val="00994415"/>
    <w:rsid w:val="009A0037"/>
    <w:rsid w:val="009A0228"/>
    <w:rsid w:val="009A1F64"/>
    <w:rsid w:val="009A2654"/>
    <w:rsid w:val="009A38DD"/>
    <w:rsid w:val="009A3DDC"/>
    <w:rsid w:val="009A6794"/>
    <w:rsid w:val="009B0CA2"/>
    <w:rsid w:val="009B1DC6"/>
    <w:rsid w:val="009B1ECE"/>
    <w:rsid w:val="009B32C7"/>
    <w:rsid w:val="009B37C5"/>
    <w:rsid w:val="009B61EE"/>
    <w:rsid w:val="009B7770"/>
    <w:rsid w:val="009C15CF"/>
    <w:rsid w:val="009D5858"/>
    <w:rsid w:val="009D63DD"/>
    <w:rsid w:val="009E1A8B"/>
    <w:rsid w:val="009E38B2"/>
    <w:rsid w:val="009E53FF"/>
    <w:rsid w:val="009F0F42"/>
    <w:rsid w:val="009F25E7"/>
    <w:rsid w:val="009F2D30"/>
    <w:rsid w:val="009F4C91"/>
    <w:rsid w:val="00A015FD"/>
    <w:rsid w:val="00A02309"/>
    <w:rsid w:val="00A0244D"/>
    <w:rsid w:val="00A03A77"/>
    <w:rsid w:val="00A07BD4"/>
    <w:rsid w:val="00A10FC3"/>
    <w:rsid w:val="00A16B22"/>
    <w:rsid w:val="00A2399C"/>
    <w:rsid w:val="00A25C20"/>
    <w:rsid w:val="00A25EBA"/>
    <w:rsid w:val="00A35E02"/>
    <w:rsid w:val="00A35EEB"/>
    <w:rsid w:val="00A364B7"/>
    <w:rsid w:val="00A406EF"/>
    <w:rsid w:val="00A4347B"/>
    <w:rsid w:val="00A43D8B"/>
    <w:rsid w:val="00A533ED"/>
    <w:rsid w:val="00A53CB4"/>
    <w:rsid w:val="00A53F16"/>
    <w:rsid w:val="00A57B21"/>
    <w:rsid w:val="00A6073E"/>
    <w:rsid w:val="00A60D70"/>
    <w:rsid w:val="00A61146"/>
    <w:rsid w:val="00A70ED5"/>
    <w:rsid w:val="00A772AD"/>
    <w:rsid w:val="00A80382"/>
    <w:rsid w:val="00A80FDB"/>
    <w:rsid w:val="00A85518"/>
    <w:rsid w:val="00A8732B"/>
    <w:rsid w:val="00A92096"/>
    <w:rsid w:val="00A92CD4"/>
    <w:rsid w:val="00A935DA"/>
    <w:rsid w:val="00A93640"/>
    <w:rsid w:val="00AA1B0C"/>
    <w:rsid w:val="00AA2ED0"/>
    <w:rsid w:val="00AA4209"/>
    <w:rsid w:val="00AA4648"/>
    <w:rsid w:val="00AA55ED"/>
    <w:rsid w:val="00AB35AD"/>
    <w:rsid w:val="00AB6561"/>
    <w:rsid w:val="00AC50B8"/>
    <w:rsid w:val="00AC50CF"/>
    <w:rsid w:val="00AC5859"/>
    <w:rsid w:val="00AC5884"/>
    <w:rsid w:val="00AC58B1"/>
    <w:rsid w:val="00AC7296"/>
    <w:rsid w:val="00AD0171"/>
    <w:rsid w:val="00AE1295"/>
    <w:rsid w:val="00AE3F78"/>
    <w:rsid w:val="00AE5567"/>
    <w:rsid w:val="00AE73AA"/>
    <w:rsid w:val="00AF1239"/>
    <w:rsid w:val="00AF1797"/>
    <w:rsid w:val="00AF3AB8"/>
    <w:rsid w:val="00AF7C42"/>
    <w:rsid w:val="00B02F1B"/>
    <w:rsid w:val="00B07343"/>
    <w:rsid w:val="00B1213A"/>
    <w:rsid w:val="00B130ED"/>
    <w:rsid w:val="00B15FDD"/>
    <w:rsid w:val="00B16480"/>
    <w:rsid w:val="00B2165C"/>
    <w:rsid w:val="00B22B77"/>
    <w:rsid w:val="00B24C87"/>
    <w:rsid w:val="00B2576B"/>
    <w:rsid w:val="00B25909"/>
    <w:rsid w:val="00B25BAC"/>
    <w:rsid w:val="00B31BDD"/>
    <w:rsid w:val="00B34AB7"/>
    <w:rsid w:val="00B40D44"/>
    <w:rsid w:val="00B45C28"/>
    <w:rsid w:val="00B47986"/>
    <w:rsid w:val="00B54A8F"/>
    <w:rsid w:val="00B55FBB"/>
    <w:rsid w:val="00B5648E"/>
    <w:rsid w:val="00B622AD"/>
    <w:rsid w:val="00B6564D"/>
    <w:rsid w:val="00B656B6"/>
    <w:rsid w:val="00B6729B"/>
    <w:rsid w:val="00B67377"/>
    <w:rsid w:val="00B716E9"/>
    <w:rsid w:val="00B739F3"/>
    <w:rsid w:val="00B8149C"/>
    <w:rsid w:val="00B83DE2"/>
    <w:rsid w:val="00B83EC8"/>
    <w:rsid w:val="00B84835"/>
    <w:rsid w:val="00B8772D"/>
    <w:rsid w:val="00B91FC6"/>
    <w:rsid w:val="00B9226B"/>
    <w:rsid w:val="00B927DC"/>
    <w:rsid w:val="00BA04A7"/>
    <w:rsid w:val="00BA104A"/>
    <w:rsid w:val="00BA20AA"/>
    <w:rsid w:val="00BA33EF"/>
    <w:rsid w:val="00BA4D7E"/>
    <w:rsid w:val="00BA7BA7"/>
    <w:rsid w:val="00BB0426"/>
    <w:rsid w:val="00BB15E3"/>
    <w:rsid w:val="00BB6937"/>
    <w:rsid w:val="00BC2654"/>
    <w:rsid w:val="00BD3CD6"/>
    <w:rsid w:val="00BD4425"/>
    <w:rsid w:val="00BD7F5E"/>
    <w:rsid w:val="00BE7C51"/>
    <w:rsid w:val="00BE7DC1"/>
    <w:rsid w:val="00BF02AF"/>
    <w:rsid w:val="00BF1442"/>
    <w:rsid w:val="00BF2A90"/>
    <w:rsid w:val="00C0281A"/>
    <w:rsid w:val="00C02AE6"/>
    <w:rsid w:val="00C03C0C"/>
    <w:rsid w:val="00C05E15"/>
    <w:rsid w:val="00C07AF6"/>
    <w:rsid w:val="00C10270"/>
    <w:rsid w:val="00C200B1"/>
    <w:rsid w:val="00C24A45"/>
    <w:rsid w:val="00C24D49"/>
    <w:rsid w:val="00C25B49"/>
    <w:rsid w:val="00C264A6"/>
    <w:rsid w:val="00C264EF"/>
    <w:rsid w:val="00C26520"/>
    <w:rsid w:val="00C30F18"/>
    <w:rsid w:val="00C30FB2"/>
    <w:rsid w:val="00C348FC"/>
    <w:rsid w:val="00C34C39"/>
    <w:rsid w:val="00C35679"/>
    <w:rsid w:val="00C35C79"/>
    <w:rsid w:val="00C36745"/>
    <w:rsid w:val="00C36EA7"/>
    <w:rsid w:val="00C42475"/>
    <w:rsid w:val="00C43873"/>
    <w:rsid w:val="00C468ED"/>
    <w:rsid w:val="00C47037"/>
    <w:rsid w:val="00C51905"/>
    <w:rsid w:val="00C53849"/>
    <w:rsid w:val="00C55F33"/>
    <w:rsid w:val="00C56F4E"/>
    <w:rsid w:val="00C56F75"/>
    <w:rsid w:val="00C66852"/>
    <w:rsid w:val="00C676A2"/>
    <w:rsid w:val="00C714EC"/>
    <w:rsid w:val="00C722A3"/>
    <w:rsid w:val="00C757EE"/>
    <w:rsid w:val="00C77477"/>
    <w:rsid w:val="00C81396"/>
    <w:rsid w:val="00C83131"/>
    <w:rsid w:val="00C85993"/>
    <w:rsid w:val="00C8678C"/>
    <w:rsid w:val="00C92448"/>
    <w:rsid w:val="00C9634E"/>
    <w:rsid w:val="00CA117E"/>
    <w:rsid w:val="00CA1AEE"/>
    <w:rsid w:val="00CA6FDD"/>
    <w:rsid w:val="00CA747D"/>
    <w:rsid w:val="00CB0786"/>
    <w:rsid w:val="00CB1824"/>
    <w:rsid w:val="00CB19C9"/>
    <w:rsid w:val="00CB4885"/>
    <w:rsid w:val="00CB58B0"/>
    <w:rsid w:val="00CB6BA4"/>
    <w:rsid w:val="00CC0199"/>
    <w:rsid w:val="00CC0982"/>
    <w:rsid w:val="00CC0D2D"/>
    <w:rsid w:val="00CC4FDB"/>
    <w:rsid w:val="00CC58F8"/>
    <w:rsid w:val="00CC720B"/>
    <w:rsid w:val="00CD1E39"/>
    <w:rsid w:val="00CD2F04"/>
    <w:rsid w:val="00CD36FE"/>
    <w:rsid w:val="00CD44BF"/>
    <w:rsid w:val="00CE5657"/>
    <w:rsid w:val="00CE744E"/>
    <w:rsid w:val="00CF262B"/>
    <w:rsid w:val="00CF3D9F"/>
    <w:rsid w:val="00CF6439"/>
    <w:rsid w:val="00CF7143"/>
    <w:rsid w:val="00D01A6E"/>
    <w:rsid w:val="00D02DDA"/>
    <w:rsid w:val="00D03ADD"/>
    <w:rsid w:val="00D053D2"/>
    <w:rsid w:val="00D12358"/>
    <w:rsid w:val="00D133F8"/>
    <w:rsid w:val="00D138E7"/>
    <w:rsid w:val="00D14A3E"/>
    <w:rsid w:val="00D14AF1"/>
    <w:rsid w:val="00D21D7F"/>
    <w:rsid w:val="00D22281"/>
    <w:rsid w:val="00D24501"/>
    <w:rsid w:val="00D24640"/>
    <w:rsid w:val="00D37AAD"/>
    <w:rsid w:val="00D403C9"/>
    <w:rsid w:val="00D4052F"/>
    <w:rsid w:val="00D4751F"/>
    <w:rsid w:val="00D50278"/>
    <w:rsid w:val="00D507E2"/>
    <w:rsid w:val="00D53678"/>
    <w:rsid w:val="00D548C7"/>
    <w:rsid w:val="00D55747"/>
    <w:rsid w:val="00D56A82"/>
    <w:rsid w:val="00D56F78"/>
    <w:rsid w:val="00D60473"/>
    <w:rsid w:val="00D6529A"/>
    <w:rsid w:val="00D67B81"/>
    <w:rsid w:val="00D84D02"/>
    <w:rsid w:val="00D857CF"/>
    <w:rsid w:val="00D8605D"/>
    <w:rsid w:val="00D900BB"/>
    <w:rsid w:val="00D903DA"/>
    <w:rsid w:val="00D90D66"/>
    <w:rsid w:val="00D92E60"/>
    <w:rsid w:val="00DB079D"/>
    <w:rsid w:val="00DB1AB8"/>
    <w:rsid w:val="00DB2F67"/>
    <w:rsid w:val="00DB423E"/>
    <w:rsid w:val="00DB50C9"/>
    <w:rsid w:val="00DB6C09"/>
    <w:rsid w:val="00DB738E"/>
    <w:rsid w:val="00DC09E9"/>
    <w:rsid w:val="00DC2DAF"/>
    <w:rsid w:val="00DC4012"/>
    <w:rsid w:val="00DC5AA3"/>
    <w:rsid w:val="00DC5EDB"/>
    <w:rsid w:val="00DC6B64"/>
    <w:rsid w:val="00DC7938"/>
    <w:rsid w:val="00DD3BCF"/>
    <w:rsid w:val="00DD4186"/>
    <w:rsid w:val="00DD5E1F"/>
    <w:rsid w:val="00DE042D"/>
    <w:rsid w:val="00DE07F2"/>
    <w:rsid w:val="00DF027E"/>
    <w:rsid w:val="00DF461F"/>
    <w:rsid w:val="00DF5C02"/>
    <w:rsid w:val="00DF68F8"/>
    <w:rsid w:val="00DF776E"/>
    <w:rsid w:val="00DF77D6"/>
    <w:rsid w:val="00E0045B"/>
    <w:rsid w:val="00E01657"/>
    <w:rsid w:val="00E04A9C"/>
    <w:rsid w:val="00E17ACE"/>
    <w:rsid w:val="00E21304"/>
    <w:rsid w:val="00E24133"/>
    <w:rsid w:val="00E25C6C"/>
    <w:rsid w:val="00E31F13"/>
    <w:rsid w:val="00E32710"/>
    <w:rsid w:val="00E3716B"/>
    <w:rsid w:val="00E374E1"/>
    <w:rsid w:val="00E4149D"/>
    <w:rsid w:val="00E465CE"/>
    <w:rsid w:val="00E51795"/>
    <w:rsid w:val="00E5323B"/>
    <w:rsid w:val="00E53D86"/>
    <w:rsid w:val="00E560D2"/>
    <w:rsid w:val="00E60A79"/>
    <w:rsid w:val="00E67EAF"/>
    <w:rsid w:val="00E71E92"/>
    <w:rsid w:val="00E74175"/>
    <w:rsid w:val="00E742DF"/>
    <w:rsid w:val="00E74D4C"/>
    <w:rsid w:val="00E751EA"/>
    <w:rsid w:val="00E8749E"/>
    <w:rsid w:val="00E874D8"/>
    <w:rsid w:val="00E90C01"/>
    <w:rsid w:val="00E90D0B"/>
    <w:rsid w:val="00E921F3"/>
    <w:rsid w:val="00E9588F"/>
    <w:rsid w:val="00E95948"/>
    <w:rsid w:val="00E96DC6"/>
    <w:rsid w:val="00E97680"/>
    <w:rsid w:val="00EA0908"/>
    <w:rsid w:val="00EA130F"/>
    <w:rsid w:val="00EA486E"/>
    <w:rsid w:val="00EA5229"/>
    <w:rsid w:val="00EB1408"/>
    <w:rsid w:val="00EB17D4"/>
    <w:rsid w:val="00EB32C5"/>
    <w:rsid w:val="00EB3546"/>
    <w:rsid w:val="00EB3AFC"/>
    <w:rsid w:val="00EB49A7"/>
    <w:rsid w:val="00EB5771"/>
    <w:rsid w:val="00EB724E"/>
    <w:rsid w:val="00EC1502"/>
    <w:rsid w:val="00EC2129"/>
    <w:rsid w:val="00EC6E12"/>
    <w:rsid w:val="00EC766A"/>
    <w:rsid w:val="00ED25EE"/>
    <w:rsid w:val="00ED2D59"/>
    <w:rsid w:val="00ED5F8C"/>
    <w:rsid w:val="00ED6225"/>
    <w:rsid w:val="00EE0AC0"/>
    <w:rsid w:val="00EE2F62"/>
    <w:rsid w:val="00EE55C1"/>
    <w:rsid w:val="00EE6183"/>
    <w:rsid w:val="00EE79BA"/>
    <w:rsid w:val="00EF000C"/>
    <w:rsid w:val="00EF7AE9"/>
    <w:rsid w:val="00F00B5E"/>
    <w:rsid w:val="00F01AE4"/>
    <w:rsid w:val="00F01E73"/>
    <w:rsid w:val="00F04C70"/>
    <w:rsid w:val="00F05142"/>
    <w:rsid w:val="00F12351"/>
    <w:rsid w:val="00F12E92"/>
    <w:rsid w:val="00F13EBF"/>
    <w:rsid w:val="00F145E9"/>
    <w:rsid w:val="00F14A00"/>
    <w:rsid w:val="00F15482"/>
    <w:rsid w:val="00F160EC"/>
    <w:rsid w:val="00F17FDC"/>
    <w:rsid w:val="00F20895"/>
    <w:rsid w:val="00F26232"/>
    <w:rsid w:val="00F277CC"/>
    <w:rsid w:val="00F31695"/>
    <w:rsid w:val="00F3460D"/>
    <w:rsid w:val="00F41629"/>
    <w:rsid w:val="00F464CE"/>
    <w:rsid w:val="00F5238D"/>
    <w:rsid w:val="00F530FE"/>
    <w:rsid w:val="00F57AC1"/>
    <w:rsid w:val="00F57B0C"/>
    <w:rsid w:val="00F600E6"/>
    <w:rsid w:val="00F62529"/>
    <w:rsid w:val="00F666D4"/>
    <w:rsid w:val="00F679E9"/>
    <w:rsid w:val="00F67B4B"/>
    <w:rsid w:val="00F72D88"/>
    <w:rsid w:val="00F77376"/>
    <w:rsid w:val="00F77F67"/>
    <w:rsid w:val="00F8145B"/>
    <w:rsid w:val="00F82318"/>
    <w:rsid w:val="00F85BFB"/>
    <w:rsid w:val="00F85DC5"/>
    <w:rsid w:val="00F87284"/>
    <w:rsid w:val="00F87CAE"/>
    <w:rsid w:val="00F93D8D"/>
    <w:rsid w:val="00F9492E"/>
    <w:rsid w:val="00F95701"/>
    <w:rsid w:val="00F96ED0"/>
    <w:rsid w:val="00F97468"/>
    <w:rsid w:val="00FA2114"/>
    <w:rsid w:val="00FA5D3C"/>
    <w:rsid w:val="00FB4965"/>
    <w:rsid w:val="00FC3FDB"/>
    <w:rsid w:val="00FC43C2"/>
    <w:rsid w:val="00FC7F88"/>
    <w:rsid w:val="00FD3303"/>
    <w:rsid w:val="00FD347E"/>
    <w:rsid w:val="00FD48F3"/>
    <w:rsid w:val="00FE01C3"/>
    <w:rsid w:val="00FE37D4"/>
    <w:rsid w:val="00FE5BDE"/>
    <w:rsid w:val="00FE71B1"/>
    <w:rsid w:val="00FF3A1B"/>
    <w:rsid w:val="00FF4687"/>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BB61D4"/>
  <w15:docId w15:val="{6707F922-B99B-4118-A73A-0C01373E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EB140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リスト段,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paragraph" w:styleId="HTMLPreformatted">
    <w:name w:val="HTML Preformatted"/>
    <w:basedOn w:val="Normal"/>
    <w:link w:val="HTMLPreformattedChar"/>
    <w:uiPriority w:val="99"/>
    <w:semiHidden/>
    <w:unhideWhenUsed/>
    <w:rsid w:val="0012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5D49"/>
    <w:rPr>
      <w:rFonts w:ascii="Courier New" w:eastAsia="Times New Roman" w:hAnsi="Courier New" w:cs="Courier New"/>
      <w:sz w:val="20"/>
      <w:szCs w:val="20"/>
      <w:lang w:eastAsia="lv-LV"/>
    </w:rPr>
  </w:style>
  <w:style w:type="character" w:styleId="Emphasis">
    <w:name w:val="Emphasis"/>
    <w:basedOn w:val="DefaultParagraphFont"/>
    <w:uiPriority w:val="20"/>
    <w:qFormat/>
    <w:rsid w:val="002655B0"/>
    <w:rPr>
      <w:i/>
      <w:iCs/>
    </w:rPr>
  </w:style>
  <w:style w:type="paragraph" w:customStyle="1" w:styleId="s4">
    <w:name w:val="s4"/>
    <w:basedOn w:val="Normal"/>
    <w:rsid w:val="00D053D2"/>
    <w:pPr>
      <w:spacing w:before="100" w:beforeAutospacing="1" w:after="100" w:afterAutospacing="1"/>
    </w:pPr>
  </w:style>
  <w:style w:type="character" w:customStyle="1" w:styleId="bumpedfont15">
    <w:name w:val="bumpedfont15"/>
    <w:basedOn w:val="DefaultParagraphFont"/>
    <w:rsid w:val="00D053D2"/>
  </w:style>
  <w:style w:type="character" w:customStyle="1" w:styleId="s6">
    <w:name w:val="s6"/>
    <w:basedOn w:val="DefaultParagraphFont"/>
    <w:rsid w:val="00D053D2"/>
  </w:style>
  <w:style w:type="paragraph" w:customStyle="1" w:styleId="s8">
    <w:name w:val="s8"/>
    <w:basedOn w:val="Normal"/>
    <w:rsid w:val="00D053D2"/>
    <w:pPr>
      <w:spacing w:before="100" w:beforeAutospacing="1" w:after="100" w:afterAutospacing="1"/>
    </w:pPr>
  </w:style>
  <w:style w:type="paragraph" w:customStyle="1" w:styleId="s9">
    <w:name w:val="s9"/>
    <w:basedOn w:val="Normal"/>
    <w:rsid w:val="00D053D2"/>
    <w:pPr>
      <w:spacing w:before="100" w:beforeAutospacing="1" w:after="100" w:afterAutospacing="1"/>
    </w:pPr>
  </w:style>
  <w:style w:type="character" w:customStyle="1" w:styleId="spelle">
    <w:name w:val="spelle"/>
    <w:basedOn w:val="DefaultParagraphFont"/>
    <w:rsid w:val="00E74175"/>
  </w:style>
  <w:style w:type="character" w:customStyle="1" w:styleId="spanword">
    <w:name w:val="span_word"/>
    <w:rsid w:val="006D6C33"/>
  </w:style>
  <w:style w:type="character" w:customStyle="1" w:styleId="Heading3Char">
    <w:name w:val="Heading 3 Char"/>
    <w:basedOn w:val="DefaultParagraphFont"/>
    <w:link w:val="Heading3"/>
    <w:uiPriority w:val="9"/>
    <w:rsid w:val="00EB1408"/>
    <w:rPr>
      <w:rFonts w:ascii="Times New Roman" w:eastAsia="Times New Roman" w:hAnsi="Times New Roman" w:cs="Times New Roman"/>
      <w:b/>
      <w:bCs/>
      <w:sz w:val="27"/>
      <w:szCs w:val="27"/>
      <w:lang w:eastAsia="lv-LV"/>
    </w:rPr>
  </w:style>
  <w:style w:type="paragraph" w:customStyle="1" w:styleId="liknoteik">
    <w:name w:val="lik_noteik"/>
    <w:basedOn w:val="Normal"/>
    <w:rsid w:val="00EB1408"/>
    <w:pPr>
      <w:spacing w:before="100" w:beforeAutospacing="1" w:after="100" w:afterAutospacing="1"/>
    </w:pPr>
  </w:style>
  <w:style w:type="paragraph" w:customStyle="1" w:styleId="likdat">
    <w:name w:val="lik_dat"/>
    <w:basedOn w:val="Normal"/>
    <w:rsid w:val="00EB1408"/>
    <w:pPr>
      <w:spacing w:before="100" w:beforeAutospacing="1" w:after="100" w:afterAutospacing="1"/>
    </w:pPr>
  </w:style>
  <w:style w:type="character" w:customStyle="1" w:styleId="ListParagraphChar">
    <w:name w:val="List Paragraph Char"/>
    <w:aliases w:val="リスト段 Char,2 Char,Numbered Para 1 Char,Dot pt Char,No Spacing1 Char,List Paragraph Char Char Char Char,Indicator Text Char,List Paragraph1 Char,Bullet 1 Char,Bullet Points Char,MAIN CONTENT Char,IFCL - List Paragraph Char,Strip Char"/>
    <w:link w:val="ListParagraph"/>
    <w:uiPriority w:val="34"/>
    <w:qFormat/>
    <w:locked/>
    <w:rsid w:val="00853C3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022">
      <w:bodyDiv w:val="1"/>
      <w:marLeft w:val="0"/>
      <w:marRight w:val="0"/>
      <w:marTop w:val="0"/>
      <w:marBottom w:val="0"/>
      <w:divBdr>
        <w:top w:val="none" w:sz="0" w:space="0" w:color="auto"/>
        <w:left w:val="none" w:sz="0" w:space="0" w:color="auto"/>
        <w:bottom w:val="none" w:sz="0" w:space="0" w:color="auto"/>
        <w:right w:val="none" w:sz="0" w:space="0" w:color="auto"/>
      </w:divBdr>
    </w:div>
    <w:div w:id="40517340">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7985376">
      <w:bodyDiv w:val="1"/>
      <w:marLeft w:val="0"/>
      <w:marRight w:val="0"/>
      <w:marTop w:val="0"/>
      <w:marBottom w:val="0"/>
      <w:divBdr>
        <w:top w:val="none" w:sz="0" w:space="0" w:color="auto"/>
        <w:left w:val="none" w:sz="0" w:space="0" w:color="auto"/>
        <w:bottom w:val="none" w:sz="0" w:space="0" w:color="auto"/>
        <w:right w:val="none" w:sz="0" w:space="0" w:color="auto"/>
      </w:divBdr>
    </w:div>
    <w:div w:id="249235832">
      <w:bodyDiv w:val="1"/>
      <w:marLeft w:val="0"/>
      <w:marRight w:val="0"/>
      <w:marTop w:val="0"/>
      <w:marBottom w:val="0"/>
      <w:divBdr>
        <w:top w:val="none" w:sz="0" w:space="0" w:color="auto"/>
        <w:left w:val="none" w:sz="0" w:space="0" w:color="auto"/>
        <w:bottom w:val="none" w:sz="0" w:space="0" w:color="auto"/>
        <w:right w:val="none" w:sz="0" w:space="0" w:color="auto"/>
      </w:divBdr>
    </w:div>
    <w:div w:id="300111736">
      <w:bodyDiv w:val="1"/>
      <w:marLeft w:val="0"/>
      <w:marRight w:val="0"/>
      <w:marTop w:val="0"/>
      <w:marBottom w:val="0"/>
      <w:divBdr>
        <w:top w:val="none" w:sz="0" w:space="0" w:color="auto"/>
        <w:left w:val="none" w:sz="0" w:space="0" w:color="auto"/>
        <w:bottom w:val="none" w:sz="0" w:space="0" w:color="auto"/>
        <w:right w:val="none" w:sz="0" w:space="0" w:color="auto"/>
      </w:divBdr>
    </w:div>
    <w:div w:id="321348353">
      <w:bodyDiv w:val="1"/>
      <w:marLeft w:val="0"/>
      <w:marRight w:val="0"/>
      <w:marTop w:val="0"/>
      <w:marBottom w:val="0"/>
      <w:divBdr>
        <w:top w:val="none" w:sz="0" w:space="0" w:color="auto"/>
        <w:left w:val="none" w:sz="0" w:space="0" w:color="auto"/>
        <w:bottom w:val="none" w:sz="0" w:space="0" w:color="auto"/>
        <w:right w:val="none" w:sz="0" w:space="0" w:color="auto"/>
      </w:divBdr>
    </w:div>
    <w:div w:id="331883909">
      <w:bodyDiv w:val="1"/>
      <w:marLeft w:val="0"/>
      <w:marRight w:val="0"/>
      <w:marTop w:val="0"/>
      <w:marBottom w:val="0"/>
      <w:divBdr>
        <w:top w:val="none" w:sz="0" w:space="0" w:color="auto"/>
        <w:left w:val="none" w:sz="0" w:space="0" w:color="auto"/>
        <w:bottom w:val="none" w:sz="0" w:space="0" w:color="auto"/>
        <w:right w:val="none" w:sz="0" w:space="0" w:color="auto"/>
      </w:divBdr>
    </w:div>
    <w:div w:id="541091735">
      <w:bodyDiv w:val="1"/>
      <w:marLeft w:val="0"/>
      <w:marRight w:val="0"/>
      <w:marTop w:val="0"/>
      <w:marBottom w:val="0"/>
      <w:divBdr>
        <w:top w:val="none" w:sz="0" w:space="0" w:color="auto"/>
        <w:left w:val="none" w:sz="0" w:space="0" w:color="auto"/>
        <w:bottom w:val="none" w:sz="0" w:space="0" w:color="auto"/>
        <w:right w:val="none" w:sz="0" w:space="0" w:color="auto"/>
      </w:divBdr>
    </w:div>
    <w:div w:id="559438456">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52778947">
      <w:bodyDiv w:val="1"/>
      <w:marLeft w:val="0"/>
      <w:marRight w:val="0"/>
      <w:marTop w:val="0"/>
      <w:marBottom w:val="0"/>
      <w:divBdr>
        <w:top w:val="none" w:sz="0" w:space="0" w:color="auto"/>
        <w:left w:val="none" w:sz="0" w:space="0" w:color="auto"/>
        <w:bottom w:val="none" w:sz="0" w:space="0" w:color="auto"/>
        <w:right w:val="none" w:sz="0" w:space="0" w:color="auto"/>
      </w:divBdr>
    </w:div>
    <w:div w:id="769353934">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09651395">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81927039">
      <w:bodyDiv w:val="1"/>
      <w:marLeft w:val="0"/>
      <w:marRight w:val="0"/>
      <w:marTop w:val="0"/>
      <w:marBottom w:val="0"/>
      <w:divBdr>
        <w:top w:val="none" w:sz="0" w:space="0" w:color="auto"/>
        <w:left w:val="none" w:sz="0" w:space="0" w:color="auto"/>
        <w:bottom w:val="none" w:sz="0" w:space="0" w:color="auto"/>
        <w:right w:val="none" w:sz="0" w:space="0" w:color="auto"/>
      </w:divBdr>
    </w:div>
    <w:div w:id="1047294025">
      <w:bodyDiv w:val="1"/>
      <w:marLeft w:val="0"/>
      <w:marRight w:val="0"/>
      <w:marTop w:val="0"/>
      <w:marBottom w:val="0"/>
      <w:divBdr>
        <w:top w:val="none" w:sz="0" w:space="0" w:color="auto"/>
        <w:left w:val="none" w:sz="0" w:space="0" w:color="auto"/>
        <w:bottom w:val="none" w:sz="0" w:space="0" w:color="auto"/>
        <w:right w:val="none" w:sz="0" w:space="0" w:color="auto"/>
      </w:divBdr>
    </w:div>
    <w:div w:id="1050957157">
      <w:bodyDiv w:val="1"/>
      <w:marLeft w:val="0"/>
      <w:marRight w:val="0"/>
      <w:marTop w:val="0"/>
      <w:marBottom w:val="0"/>
      <w:divBdr>
        <w:top w:val="none" w:sz="0" w:space="0" w:color="auto"/>
        <w:left w:val="none" w:sz="0" w:space="0" w:color="auto"/>
        <w:bottom w:val="none" w:sz="0" w:space="0" w:color="auto"/>
        <w:right w:val="none" w:sz="0" w:space="0" w:color="auto"/>
      </w:divBdr>
    </w:div>
    <w:div w:id="1069886394">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03709124">
      <w:bodyDiv w:val="1"/>
      <w:marLeft w:val="0"/>
      <w:marRight w:val="0"/>
      <w:marTop w:val="0"/>
      <w:marBottom w:val="0"/>
      <w:divBdr>
        <w:top w:val="none" w:sz="0" w:space="0" w:color="auto"/>
        <w:left w:val="none" w:sz="0" w:space="0" w:color="auto"/>
        <w:bottom w:val="none" w:sz="0" w:space="0" w:color="auto"/>
        <w:right w:val="none" w:sz="0" w:space="0" w:color="auto"/>
      </w:divBdr>
    </w:div>
    <w:div w:id="1327321537">
      <w:bodyDiv w:val="1"/>
      <w:marLeft w:val="0"/>
      <w:marRight w:val="0"/>
      <w:marTop w:val="0"/>
      <w:marBottom w:val="0"/>
      <w:divBdr>
        <w:top w:val="none" w:sz="0" w:space="0" w:color="auto"/>
        <w:left w:val="none" w:sz="0" w:space="0" w:color="auto"/>
        <w:bottom w:val="none" w:sz="0" w:space="0" w:color="auto"/>
        <w:right w:val="none" w:sz="0" w:space="0" w:color="auto"/>
      </w:divBdr>
    </w:div>
    <w:div w:id="1345864519">
      <w:bodyDiv w:val="1"/>
      <w:marLeft w:val="0"/>
      <w:marRight w:val="0"/>
      <w:marTop w:val="0"/>
      <w:marBottom w:val="0"/>
      <w:divBdr>
        <w:top w:val="none" w:sz="0" w:space="0" w:color="auto"/>
        <w:left w:val="none" w:sz="0" w:space="0" w:color="auto"/>
        <w:bottom w:val="none" w:sz="0" w:space="0" w:color="auto"/>
        <w:right w:val="none" w:sz="0" w:space="0" w:color="auto"/>
      </w:divBdr>
    </w:div>
    <w:div w:id="13631698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88771641">
      <w:bodyDiv w:val="1"/>
      <w:marLeft w:val="0"/>
      <w:marRight w:val="0"/>
      <w:marTop w:val="0"/>
      <w:marBottom w:val="0"/>
      <w:divBdr>
        <w:top w:val="none" w:sz="0" w:space="0" w:color="auto"/>
        <w:left w:val="none" w:sz="0" w:space="0" w:color="auto"/>
        <w:bottom w:val="none" w:sz="0" w:space="0" w:color="auto"/>
        <w:right w:val="none" w:sz="0" w:space="0" w:color="auto"/>
      </w:divBdr>
    </w:div>
    <w:div w:id="1853496125">
      <w:bodyDiv w:val="1"/>
      <w:marLeft w:val="0"/>
      <w:marRight w:val="0"/>
      <w:marTop w:val="0"/>
      <w:marBottom w:val="0"/>
      <w:divBdr>
        <w:top w:val="none" w:sz="0" w:space="0" w:color="auto"/>
        <w:left w:val="none" w:sz="0" w:space="0" w:color="auto"/>
        <w:bottom w:val="none" w:sz="0" w:space="0" w:color="auto"/>
        <w:right w:val="none" w:sz="0" w:space="0" w:color="auto"/>
      </w:divBdr>
      <w:divsChild>
        <w:div w:id="1588535136">
          <w:marLeft w:val="795"/>
          <w:marRight w:val="0"/>
          <w:marTop w:val="0"/>
          <w:marBottom w:val="0"/>
          <w:divBdr>
            <w:top w:val="none" w:sz="0" w:space="0" w:color="auto"/>
            <w:left w:val="none" w:sz="0" w:space="0" w:color="auto"/>
            <w:bottom w:val="none" w:sz="0" w:space="0" w:color="auto"/>
            <w:right w:val="none" w:sz="0" w:space="0" w:color="auto"/>
          </w:divBdr>
        </w:div>
        <w:div w:id="650183979">
          <w:marLeft w:val="795"/>
          <w:marRight w:val="0"/>
          <w:marTop w:val="0"/>
          <w:marBottom w:val="0"/>
          <w:divBdr>
            <w:top w:val="none" w:sz="0" w:space="0" w:color="auto"/>
            <w:left w:val="none" w:sz="0" w:space="0" w:color="auto"/>
            <w:bottom w:val="none" w:sz="0" w:space="0" w:color="auto"/>
            <w:right w:val="none" w:sz="0" w:space="0" w:color="auto"/>
          </w:divBdr>
        </w:div>
        <w:div w:id="1167212431">
          <w:marLeft w:val="795"/>
          <w:marRight w:val="0"/>
          <w:marTop w:val="0"/>
          <w:marBottom w:val="0"/>
          <w:divBdr>
            <w:top w:val="none" w:sz="0" w:space="0" w:color="auto"/>
            <w:left w:val="none" w:sz="0" w:space="0" w:color="auto"/>
            <w:bottom w:val="none" w:sz="0" w:space="0" w:color="auto"/>
            <w:right w:val="none" w:sz="0" w:space="0" w:color="auto"/>
          </w:divBdr>
        </w:div>
        <w:div w:id="1962032020">
          <w:marLeft w:val="795"/>
          <w:marRight w:val="0"/>
          <w:marTop w:val="0"/>
          <w:marBottom w:val="0"/>
          <w:divBdr>
            <w:top w:val="none" w:sz="0" w:space="0" w:color="auto"/>
            <w:left w:val="none" w:sz="0" w:space="0" w:color="auto"/>
            <w:bottom w:val="none" w:sz="0" w:space="0" w:color="auto"/>
            <w:right w:val="none" w:sz="0" w:space="0" w:color="auto"/>
          </w:divBdr>
        </w:div>
        <w:div w:id="799035078">
          <w:marLeft w:val="795"/>
          <w:marRight w:val="0"/>
          <w:marTop w:val="0"/>
          <w:marBottom w:val="0"/>
          <w:divBdr>
            <w:top w:val="none" w:sz="0" w:space="0" w:color="auto"/>
            <w:left w:val="none" w:sz="0" w:space="0" w:color="auto"/>
            <w:bottom w:val="none" w:sz="0" w:space="0" w:color="auto"/>
            <w:right w:val="none" w:sz="0" w:space="0" w:color="auto"/>
          </w:divBdr>
        </w:div>
        <w:div w:id="671839827">
          <w:marLeft w:val="795"/>
          <w:marRight w:val="0"/>
          <w:marTop w:val="0"/>
          <w:marBottom w:val="0"/>
          <w:divBdr>
            <w:top w:val="none" w:sz="0" w:space="0" w:color="auto"/>
            <w:left w:val="none" w:sz="0" w:space="0" w:color="auto"/>
            <w:bottom w:val="none" w:sz="0" w:space="0" w:color="auto"/>
            <w:right w:val="none" w:sz="0" w:space="0" w:color="auto"/>
          </w:divBdr>
        </w:div>
        <w:div w:id="1962569050">
          <w:marLeft w:val="795"/>
          <w:marRight w:val="0"/>
          <w:marTop w:val="0"/>
          <w:marBottom w:val="0"/>
          <w:divBdr>
            <w:top w:val="none" w:sz="0" w:space="0" w:color="auto"/>
            <w:left w:val="none" w:sz="0" w:space="0" w:color="auto"/>
            <w:bottom w:val="none" w:sz="0" w:space="0" w:color="auto"/>
            <w:right w:val="none" w:sz="0" w:space="0" w:color="auto"/>
          </w:divBdr>
        </w:div>
        <w:div w:id="1118380497">
          <w:marLeft w:val="795"/>
          <w:marRight w:val="0"/>
          <w:marTop w:val="0"/>
          <w:marBottom w:val="0"/>
          <w:divBdr>
            <w:top w:val="none" w:sz="0" w:space="0" w:color="auto"/>
            <w:left w:val="none" w:sz="0" w:space="0" w:color="auto"/>
            <w:bottom w:val="none" w:sz="0" w:space="0" w:color="auto"/>
            <w:right w:val="none" w:sz="0" w:space="0" w:color="auto"/>
          </w:divBdr>
        </w:div>
      </w:divsChild>
    </w:div>
    <w:div w:id="20279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4C286-ADFE-47AC-898B-5779496D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10656</Words>
  <Characters>6075</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grozījumu Ministru kabineta 2020. gada 25. novembra rīkojumā Nr. 697 “Par finanšu līdzekļu piešķiršanu no valsts budžeta programmas “Līdzekļi neparedzētiem gadījumiem””” sākotnējās ietekmes novērtējuma ziņojums (an</vt:lpstr>
      <vt:lpstr>Par finanšu līdzekļu piešķiršanu no valsts budžeta programmas "Līdzekļi neparedzētiem gadījumiem"</vt:lpstr>
    </vt:vector>
  </TitlesOfParts>
  <Company>Iekšlietu ministrija</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grozījumu Ministru kabineta 2020. gada 25. novembra rīkojumā Nr. 697 “Par finanšu līdzekļu piešķiršanu no valsts budžeta programmas “Līdzekļi neparedzētiem gadījumiem””” sākotnējās ietekmes novērtējuma ziņojums (anotācija)</dc:title>
  <dc:subject>Anotācija</dc:subject>
  <dc:creator>I.Ošiņa</dc:creator>
  <dc:description>67219608, inga.osina@iem.gov.lv</dc:description>
  <cp:lastModifiedBy>Alda Strode</cp:lastModifiedBy>
  <cp:revision>11</cp:revision>
  <cp:lastPrinted>2020-03-26T11:53:00Z</cp:lastPrinted>
  <dcterms:created xsi:type="dcterms:W3CDTF">2020-12-16T14:50:00Z</dcterms:created>
  <dcterms:modified xsi:type="dcterms:W3CDTF">2020-12-16T16:04:00Z</dcterms:modified>
</cp:coreProperties>
</file>