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8859" w14:textId="00970AB6" w:rsidR="00127CC4" w:rsidRPr="00D06FB8" w:rsidRDefault="00127CC4" w:rsidP="0026724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0" w:name="_Hlk38609492"/>
      <w:r w:rsidRPr="00D06FB8">
        <w:rPr>
          <w:rFonts w:eastAsia="Times New Roman" w:cs="Times New Roman"/>
          <w:b/>
          <w:bCs/>
          <w:sz w:val="28"/>
          <w:szCs w:val="28"/>
          <w:lang w:eastAsia="lv-LV"/>
        </w:rPr>
        <w:t>Ministru kabineta noteikumu projekta</w:t>
      </w:r>
      <w:r w:rsidRPr="00D06FB8">
        <w:rPr>
          <w:rFonts w:cs="Times New Roman"/>
          <w:sz w:val="28"/>
          <w:szCs w:val="28"/>
        </w:rPr>
        <w:t xml:space="preserve"> </w:t>
      </w:r>
      <w:r w:rsidR="008870A8" w:rsidRPr="00D06FB8">
        <w:rPr>
          <w:rFonts w:cs="Times New Roman"/>
          <w:sz w:val="28"/>
          <w:szCs w:val="28"/>
        </w:rPr>
        <w:t>“</w:t>
      </w:r>
      <w:r w:rsidRPr="00D06FB8">
        <w:rPr>
          <w:rFonts w:eastAsia="Times New Roman" w:cs="Times New Roman"/>
          <w:b/>
          <w:bCs/>
          <w:sz w:val="28"/>
          <w:szCs w:val="28"/>
          <w:lang w:eastAsia="lv-LV"/>
        </w:rPr>
        <w:t>Grozījums Ministru kabineta 2020. gada 2. jūnija noteikumos Nr. 332 “Noteikumi par valsts profesionālās vidējās izglītības standartu un valsts arodizglītības standartu”</w:t>
      </w:r>
      <w:r w:rsidR="008870A8" w:rsidRPr="00D06FB8">
        <w:rPr>
          <w:rFonts w:eastAsia="Times New Roman" w:cs="Times New Roman"/>
          <w:b/>
          <w:bCs/>
          <w:sz w:val="28"/>
          <w:szCs w:val="28"/>
          <w:lang w:eastAsia="lv-LV"/>
        </w:rPr>
        <w:t>”</w:t>
      </w:r>
      <w:r w:rsidRPr="00D06FB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sākotnējās ietekmes novērtējuma ziņojums (anotācija)</w:t>
      </w:r>
    </w:p>
    <w:p w14:paraId="60DE8EEB" w14:textId="77777777" w:rsidR="00127CC4" w:rsidRPr="00D06FB8" w:rsidRDefault="00127CC4" w:rsidP="0026724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bookmarkEnd w:id="0"/>
    <w:p w14:paraId="461FC79E" w14:textId="77777777" w:rsidR="00186024" w:rsidRPr="00D06FB8" w:rsidRDefault="00186024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687"/>
      </w:tblGrid>
      <w:tr w:rsidR="00D06FB8" w:rsidRPr="00D06FB8" w14:paraId="5F3257A0" w14:textId="77777777" w:rsidTr="00C67A84">
        <w:trPr>
          <w:cantSplit/>
        </w:trPr>
        <w:tc>
          <w:tcPr>
            <w:tcW w:w="8806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C39C473" w14:textId="77777777" w:rsidR="00874215" w:rsidRPr="00D06FB8" w:rsidRDefault="00874215" w:rsidP="00874215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D06FB8">
              <w:rPr>
                <w:rFonts w:eastAsia="Times New Roman" w:cs="Times New Roman"/>
                <w:b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D06FB8" w:rsidRPr="00D06FB8" w14:paraId="7BC81DEA" w14:textId="77777777" w:rsidTr="00F85295">
        <w:trPr>
          <w:cantSplit/>
        </w:trPr>
        <w:tc>
          <w:tcPr>
            <w:tcW w:w="3119" w:type="dxa"/>
            <w:shd w:val="clear" w:color="auto" w:fill="FFFFFF"/>
            <w:hideMark/>
          </w:tcPr>
          <w:p w14:paraId="29588BE3" w14:textId="77777777" w:rsidR="00874215" w:rsidRPr="00D06FB8" w:rsidRDefault="00874215" w:rsidP="00874215">
            <w:pPr>
              <w:rPr>
                <w:rFonts w:eastAsia="Times New Roman" w:cs="Times New Roman"/>
                <w:iCs/>
                <w:sz w:val="28"/>
                <w:szCs w:val="28"/>
              </w:rPr>
            </w:pPr>
            <w:r w:rsidRPr="00D06FB8">
              <w:rPr>
                <w:rFonts w:eastAsia="Times New Roman" w:cs="Times New Roman"/>
                <w:iCs/>
                <w:sz w:val="28"/>
                <w:szCs w:val="28"/>
              </w:rPr>
              <w:t>Mērķis, risinājums un projekta spēkā stāšanās laiks</w:t>
            </w:r>
          </w:p>
        </w:tc>
        <w:tc>
          <w:tcPr>
            <w:tcW w:w="5687" w:type="dxa"/>
            <w:shd w:val="clear" w:color="auto" w:fill="FFFFFF"/>
            <w:hideMark/>
          </w:tcPr>
          <w:p w14:paraId="62D0B54C" w14:textId="5449256E" w:rsidR="00DB1D36" w:rsidRPr="00D06FB8" w:rsidRDefault="009F5FF8" w:rsidP="00B97E8C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06FB8">
              <w:rPr>
                <w:rFonts w:cs="Times New Roman"/>
                <w:iCs/>
                <w:sz w:val="28"/>
                <w:szCs w:val="28"/>
              </w:rPr>
              <w:t>Atb</w:t>
            </w:r>
            <w:r w:rsidR="00B97E8C" w:rsidRPr="00D06FB8">
              <w:rPr>
                <w:rFonts w:cs="Times New Roman"/>
                <w:iCs/>
                <w:sz w:val="28"/>
                <w:szCs w:val="28"/>
              </w:rPr>
              <w:t>ilstoši Ministru kabineta 2009. </w:t>
            </w:r>
            <w:r w:rsidRPr="00D06FB8">
              <w:rPr>
                <w:rFonts w:cs="Times New Roman"/>
                <w:iCs/>
                <w:sz w:val="28"/>
                <w:szCs w:val="28"/>
              </w:rPr>
              <w:t>gada 15.</w:t>
            </w:r>
            <w:r w:rsidR="00B97E8C" w:rsidRPr="00D06FB8">
              <w:rPr>
                <w:rFonts w:cs="Times New Roman"/>
                <w:iCs/>
                <w:sz w:val="28"/>
                <w:szCs w:val="28"/>
              </w:rPr>
              <w:t> </w:t>
            </w:r>
            <w:r w:rsidRPr="00D06FB8">
              <w:rPr>
                <w:rFonts w:cs="Times New Roman"/>
                <w:iCs/>
                <w:sz w:val="28"/>
                <w:szCs w:val="28"/>
              </w:rPr>
              <w:t>decembra instrukcijas Nr.</w:t>
            </w:r>
            <w:r w:rsidR="00B97E8C" w:rsidRPr="00D06FB8">
              <w:rPr>
                <w:rFonts w:cs="Times New Roman"/>
                <w:iCs/>
                <w:sz w:val="28"/>
                <w:szCs w:val="28"/>
              </w:rPr>
              <w:t> </w:t>
            </w:r>
            <w:r w:rsidRPr="00D06FB8">
              <w:rPr>
                <w:rFonts w:cs="Times New Roman"/>
                <w:iCs/>
                <w:sz w:val="28"/>
                <w:szCs w:val="28"/>
              </w:rPr>
              <w:t>19 “Tiesību akta projekta sākotnējās ietekmes izvērtēšanas kārtība” 5.</w:t>
            </w:r>
            <w:r w:rsidRPr="00D06FB8">
              <w:rPr>
                <w:rFonts w:cs="Times New Roman"/>
                <w:iCs/>
                <w:sz w:val="28"/>
                <w:szCs w:val="28"/>
                <w:vertAlign w:val="superscript"/>
              </w:rPr>
              <w:t>1</w:t>
            </w:r>
            <w:r w:rsidR="00B97E8C" w:rsidRPr="00D06FB8">
              <w:rPr>
                <w:rFonts w:cs="Times New Roman"/>
                <w:iCs/>
                <w:sz w:val="28"/>
                <w:szCs w:val="28"/>
              </w:rPr>
              <w:t> </w:t>
            </w:r>
            <w:r w:rsidRPr="00D06FB8">
              <w:rPr>
                <w:rFonts w:cs="Times New Roman"/>
                <w:iCs/>
                <w:sz w:val="28"/>
                <w:szCs w:val="28"/>
              </w:rPr>
              <w:t>punktā noteiktajam anotācijas kopsavilkumu nav nepieciešams aizpildīt.</w:t>
            </w:r>
          </w:p>
        </w:tc>
      </w:tr>
    </w:tbl>
    <w:p w14:paraId="47309D22" w14:textId="77777777" w:rsidR="00C67A84" w:rsidRPr="00D06FB8" w:rsidRDefault="00C67A84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D06FB8" w:rsidRPr="00D06FB8" w14:paraId="05E160C1" w14:textId="77777777" w:rsidTr="00B85A55">
        <w:tc>
          <w:tcPr>
            <w:tcW w:w="8806" w:type="dxa"/>
            <w:gridSpan w:val="3"/>
            <w:shd w:val="clear" w:color="auto" w:fill="FFFFFF"/>
          </w:tcPr>
          <w:p w14:paraId="2F08F666" w14:textId="77777777" w:rsidR="00C67A84" w:rsidRPr="00D06FB8" w:rsidRDefault="00265E37" w:rsidP="00265E37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I Tiesību akta projekta izstrādes nepieciešamība</w:t>
            </w:r>
          </w:p>
        </w:tc>
      </w:tr>
      <w:tr w:rsidR="00D06FB8" w:rsidRPr="00D06FB8" w14:paraId="1C8DF52E" w14:textId="77777777" w:rsidTr="00F85295">
        <w:tc>
          <w:tcPr>
            <w:tcW w:w="426" w:type="dxa"/>
            <w:shd w:val="clear" w:color="auto" w:fill="FFFFFF"/>
          </w:tcPr>
          <w:p w14:paraId="32497A58" w14:textId="77777777" w:rsidR="00265E37" w:rsidRPr="00D06FB8" w:rsidRDefault="00265E37" w:rsidP="00265E37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47E75E94" w14:textId="77777777" w:rsidR="00265E37" w:rsidRPr="00D06FB8" w:rsidRDefault="00265E37" w:rsidP="00265E37">
            <w:pPr>
              <w:ind w:firstLine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5687" w:type="dxa"/>
            <w:shd w:val="clear" w:color="auto" w:fill="FFFFFF"/>
          </w:tcPr>
          <w:p w14:paraId="4271A32E" w14:textId="4FDE7CDF" w:rsidR="00265E37" w:rsidRPr="00D06FB8" w:rsidRDefault="00480F50" w:rsidP="00FB52B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06FB8">
              <w:rPr>
                <w:rFonts w:eastAsia="Calibri" w:cs="Times New Roman"/>
                <w:sz w:val="28"/>
                <w:szCs w:val="28"/>
              </w:rPr>
              <w:t>Ministru kabineta noteikumu projekts“Grozījums Ministru kabineta 2020. gada 2. jūnija noteikumos Nr. 332 “Noteikumi par valsts profesionālās vidējās izglītības standartu un valsts arodizglītības standartu”” (turpmāk - projekts) izdots saskaņā ar</w:t>
            </w:r>
            <w:r w:rsidR="002C0810" w:rsidRPr="00D06FB8">
              <w:rPr>
                <w:rFonts w:eastAsia="Calibri" w:cs="Times New Roman"/>
                <w:sz w:val="28"/>
                <w:szCs w:val="28"/>
              </w:rPr>
              <w:t xml:space="preserve"> Izglītības likuma 14. panta 19. punktu un Profesionālās izglītības likuma 23. panta otro daļu.</w:t>
            </w:r>
          </w:p>
        </w:tc>
      </w:tr>
      <w:tr w:rsidR="00D06FB8" w:rsidRPr="00D06FB8" w14:paraId="21B5AD1D" w14:textId="77777777" w:rsidTr="00F85295">
        <w:tc>
          <w:tcPr>
            <w:tcW w:w="426" w:type="dxa"/>
            <w:shd w:val="clear" w:color="auto" w:fill="FFFFFF"/>
          </w:tcPr>
          <w:p w14:paraId="0D03948B" w14:textId="55F497E9" w:rsidR="00265E37" w:rsidRPr="00D06FB8" w:rsidRDefault="00265E37" w:rsidP="00265E37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5D666020" w14:textId="77777777" w:rsidR="00265E37" w:rsidRPr="00D06FB8" w:rsidRDefault="00265E37" w:rsidP="00265E37">
            <w:pPr>
              <w:tabs>
                <w:tab w:val="left" w:pos="170"/>
              </w:tabs>
              <w:ind w:firstLine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87" w:type="dxa"/>
            <w:shd w:val="clear" w:color="auto" w:fill="FFFFFF"/>
          </w:tcPr>
          <w:p w14:paraId="42FB18B8" w14:textId="3B30BA9C" w:rsidR="00DA62F7" w:rsidRPr="00D06FB8" w:rsidRDefault="00DA62F7" w:rsidP="00844E46">
            <w:pPr>
              <w:jc w:val="both"/>
              <w:rPr>
                <w:rFonts w:cs="Times New Roman"/>
                <w:sz w:val="28"/>
                <w:szCs w:val="28"/>
              </w:rPr>
            </w:pPr>
            <w:r w:rsidRPr="00D06FB8">
              <w:rPr>
                <w:rFonts w:cs="Times New Roman"/>
                <w:sz w:val="28"/>
                <w:szCs w:val="28"/>
              </w:rPr>
              <w:t>Iepriekš Ministru kabineta 2013. gada 21. maija noteikumi Nr. 281 “Noteikumi par valsts vispārējās vidējās izglītības standartu, mācību priekšmetu standartiem un izglītības programmu paraugiem” (turpmāk - noteikumi Nr. 281), tāpat kā Ministru kabineta 2000. gada 27. jūnija noteikumi Nr. 211 "Noteikumi par valsts profesionālās vidējās izglītības standartu un valsts arodizglītības standartu" (turpmāk - noteikumi Nr. 211) paredzēja, ka izglītojamais vidējās izglītības pakāpē</w:t>
            </w:r>
            <w:r w:rsidR="007242AF" w:rsidRPr="00D06FB8">
              <w:rPr>
                <w:rFonts w:cs="Times New Roman"/>
                <w:sz w:val="28"/>
                <w:szCs w:val="28"/>
              </w:rPr>
              <w:t xml:space="preserve"> kārto ne mazāk kā četrus eksāmenus: centralizēto eksāmen</w:t>
            </w:r>
            <w:r w:rsidR="000268DB" w:rsidRPr="00D06FB8">
              <w:rPr>
                <w:rFonts w:cs="Times New Roman"/>
                <w:sz w:val="28"/>
                <w:szCs w:val="28"/>
              </w:rPr>
              <w:t>u</w:t>
            </w:r>
            <w:r w:rsidR="007242AF" w:rsidRPr="00D06FB8">
              <w:rPr>
                <w:rFonts w:cs="Times New Roman"/>
                <w:sz w:val="28"/>
                <w:szCs w:val="28"/>
              </w:rPr>
              <w:t xml:space="preserve"> latviešu valodā, centralizēto eksāmen</w:t>
            </w:r>
            <w:r w:rsidR="000268DB" w:rsidRPr="00D06FB8">
              <w:rPr>
                <w:rFonts w:cs="Times New Roman"/>
                <w:sz w:val="28"/>
                <w:szCs w:val="28"/>
              </w:rPr>
              <w:t>u</w:t>
            </w:r>
            <w:r w:rsidR="007242AF" w:rsidRPr="00D06FB8">
              <w:rPr>
                <w:rFonts w:cs="Times New Roman"/>
                <w:sz w:val="28"/>
                <w:szCs w:val="28"/>
              </w:rPr>
              <w:t xml:space="preserve"> vienā svešvalodā pēc izglītojamā izvēles, centralizēto eksāmenu matemātikā un vismaz vienu eksāmenu pēc izglītojamā izvēles.</w:t>
            </w:r>
          </w:p>
          <w:p w14:paraId="0FD2EBFA" w14:textId="0B77D61D" w:rsidR="00844E46" w:rsidRPr="00D06FB8" w:rsidRDefault="00285CE1" w:rsidP="00844E46">
            <w:pPr>
              <w:jc w:val="both"/>
              <w:rPr>
                <w:rFonts w:cs="Times New Roman"/>
                <w:sz w:val="28"/>
                <w:szCs w:val="28"/>
              </w:rPr>
            </w:pPr>
            <w:r w:rsidRPr="00D06FB8">
              <w:rPr>
                <w:rFonts w:cs="Times New Roman"/>
                <w:sz w:val="28"/>
                <w:szCs w:val="28"/>
              </w:rPr>
              <w:t>Ņemot vērā epidemioloģi</w:t>
            </w:r>
            <w:r w:rsidR="00FB52B3" w:rsidRPr="00D06FB8">
              <w:rPr>
                <w:rFonts w:cs="Times New Roman"/>
                <w:sz w:val="28"/>
                <w:szCs w:val="28"/>
              </w:rPr>
              <w:t xml:space="preserve">sko situāciju saistībā ar </w:t>
            </w:r>
            <w:r w:rsidR="00C23342" w:rsidRPr="00D06FB8">
              <w:rPr>
                <w:rFonts w:cs="Times New Roman"/>
                <w:sz w:val="28"/>
                <w:szCs w:val="28"/>
              </w:rPr>
              <w:t>C</w:t>
            </w:r>
            <w:r w:rsidR="00FB52B3" w:rsidRPr="00D06FB8">
              <w:rPr>
                <w:rFonts w:cs="Times New Roman"/>
                <w:sz w:val="28"/>
                <w:szCs w:val="28"/>
              </w:rPr>
              <w:t>ovid – </w:t>
            </w:r>
            <w:r w:rsidRPr="00D06FB8">
              <w:rPr>
                <w:rFonts w:cs="Times New Roman"/>
                <w:sz w:val="28"/>
                <w:szCs w:val="28"/>
              </w:rPr>
              <w:t>19</w:t>
            </w:r>
            <w:r w:rsidR="00FB52B3" w:rsidRPr="00D06FB8">
              <w:rPr>
                <w:rFonts w:cs="Times New Roman"/>
                <w:sz w:val="28"/>
                <w:szCs w:val="28"/>
              </w:rPr>
              <w:t xml:space="preserve"> infekcijas</w:t>
            </w:r>
            <w:r w:rsidRPr="00D06FB8">
              <w:rPr>
                <w:rFonts w:cs="Times New Roman"/>
                <w:sz w:val="28"/>
                <w:szCs w:val="28"/>
              </w:rPr>
              <w:t xml:space="preserve"> izplatību, lai nodrošinātu veselības aizsardzības pasākumu ievērošanu un ierobežotu izglītojamo pulcēšanās reižu skaitu </w:t>
            </w:r>
            <w:r w:rsidR="00480F50" w:rsidRPr="00D06FB8">
              <w:rPr>
                <w:rFonts w:cs="Times New Roman"/>
                <w:sz w:val="28"/>
                <w:szCs w:val="28"/>
              </w:rPr>
              <w:t>Ministru kabinet</w:t>
            </w:r>
            <w:r w:rsidRPr="00D06FB8">
              <w:rPr>
                <w:rFonts w:cs="Times New Roman"/>
                <w:sz w:val="28"/>
                <w:szCs w:val="28"/>
              </w:rPr>
              <w:t>s</w:t>
            </w:r>
            <w:r w:rsidR="00480F50" w:rsidRPr="00D06FB8">
              <w:rPr>
                <w:rFonts w:cs="Times New Roman"/>
                <w:sz w:val="28"/>
                <w:szCs w:val="28"/>
              </w:rPr>
              <w:t xml:space="preserve"> 2021. gada 28. janvāra sēdē </w:t>
            </w:r>
            <w:r w:rsidR="00480F50" w:rsidRPr="00D06FB8">
              <w:rPr>
                <w:rFonts w:cs="Times New Roman"/>
                <w:sz w:val="28"/>
                <w:szCs w:val="28"/>
              </w:rPr>
              <w:lastRenderedPageBreak/>
              <w:t>pieņ</w:t>
            </w:r>
            <w:r w:rsidR="00C23342" w:rsidRPr="00D06FB8">
              <w:rPr>
                <w:rFonts w:cs="Times New Roman"/>
                <w:sz w:val="28"/>
                <w:szCs w:val="28"/>
              </w:rPr>
              <w:t>ē</w:t>
            </w:r>
            <w:r w:rsidR="00480F50" w:rsidRPr="00D06FB8">
              <w:rPr>
                <w:rFonts w:cs="Times New Roman"/>
                <w:sz w:val="28"/>
                <w:szCs w:val="28"/>
              </w:rPr>
              <w:t>m</w:t>
            </w:r>
            <w:r w:rsidRPr="00D06FB8">
              <w:rPr>
                <w:rFonts w:cs="Times New Roman"/>
                <w:sz w:val="28"/>
                <w:szCs w:val="28"/>
              </w:rPr>
              <w:t>a</w:t>
            </w:r>
            <w:r w:rsidR="00480F50" w:rsidRPr="00D06FB8">
              <w:rPr>
                <w:rFonts w:cs="Times New Roman"/>
                <w:sz w:val="28"/>
                <w:szCs w:val="28"/>
              </w:rPr>
              <w:t xml:space="preserve"> </w:t>
            </w:r>
            <w:r w:rsidR="00FB52B3" w:rsidRPr="00D06FB8">
              <w:rPr>
                <w:rFonts w:cs="Times New Roman"/>
                <w:sz w:val="28"/>
                <w:szCs w:val="28"/>
              </w:rPr>
              <w:t>“</w:t>
            </w:r>
            <w:r w:rsidR="00480F50" w:rsidRPr="00D06FB8">
              <w:rPr>
                <w:rFonts w:cs="Times New Roman"/>
                <w:sz w:val="28"/>
                <w:szCs w:val="28"/>
              </w:rPr>
              <w:t>Grozījum</w:t>
            </w:r>
            <w:r w:rsidRPr="00D06FB8">
              <w:rPr>
                <w:rFonts w:cs="Times New Roman"/>
                <w:sz w:val="28"/>
                <w:szCs w:val="28"/>
              </w:rPr>
              <w:t>u</w:t>
            </w:r>
            <w:r w:rsidR="00480F50" w:rsidRPr="00D06FB8">
              <w:rPr>
                <w:rFonts w:cs="Times New Roman"/>
                <w:sz w:val="28"/>
                <w:szCs w:val="28"/>
              </w:rPr>
              <w:t xml:space="preserve">s Ministru kabineta 2019. gada 3. septembra noteikumos Nr. 416 </w:t>
            </w:r>
            <w:r w:rsidR="007242AF" w:rsidRPr="00D06FB8">
              <w:rPr>
                <w:rFonts w:cs="Times New Roman"/>
                <w:sz w:val="28"/>
                <w:szCs w:val="28"/>
              </w:rPr>
              <w:t>“</w:t>
            </w:r>
            <w:r w:rsidR="00480F50" w:rsidRPr="00D06FB8">
              <w:rPr>
                <w:rFonts w:cs="Times New Roman"/>
                <w:sz w:val="28"/>
                <w:szCs w:val="28"/>
              </w:rPr>
              <w:t xml:space="preserve">Noteikumi par valsts vispārējās vidējās izglītības standartu un vispārējās vidējās izglītības programmu </w:t>
            </w:r>
            <w:r w:rsidR="007242AF" w:rsidRPr="00D06FB8">
              <w:rPr>
                <w:rFonts w:cs="Times New Roman"/>
                <w:sz w:val="28"/>
                <w:szCs w:val="28"/>
              </w:rPr>
              <w:t>paraugiem””</w:t>
            </w:r>
            <w:r w:rsidR="00480F50" w:rsidRPr="00D06FB8">
              <w:rPr>
                <w:rFonts w:cs="Times New Roman"/>
                <w:sz w:val="28"/>
                <w:szCs w:val="28"/>
              </w:rPr>
              <w:t>, kas</w:t>
            </w:r>
            <w:r w:rsidRPr="00D06FB8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1A4A99" w:rsidRPr="00D06FB8">
              <w:rPr>
                <w:rFonts w:cs="Times New Roman"/>
                <w:sz w:val="28"/>
                <w:szCs w:val="28"/>
              </w:rPr>
              <w:t>nosaka</w:t>
            </w:r>
            <w:r w:rsidR="00844E46" w:rsidRPr="00D06FB8">
              <w:rPr>
                <w:rFonts w:cs="Times New Roman"/>
                <w:sz w:val="28"/>
                <w:szCs w:val="28"/>
              </w:rPr>
              <w:t>, ka</w:t>
            </w:r>
            <w:r w:rsidR="001A4A99" w:rsidRPr="00D06FB8">
              <w:rPr>
                <w:rFonts w:cs="Times New Roman"/>
                <w:sz w:val="28"/>
                <w:szCs w:val="28"/>
              </w:rPr>
              <w:t xml:space="preserve"> izglītojamiem, kuri vispārējo vidējo izglītību apgūst atbilstoši </w:t>
            </w:r>
            <w:r w:rsidR="00D37755" w:rsidRPr="00D06FB8">
              <w:rPr>
                <w:rFonts w:cs="Times New Roman"/>
                <w:sz w:val="28"/>
                <w:szCs w:val="28"/>
              </w:rPr>
              <w:t>noteikumi</w:t>
            </w:r>
            <w:r w:rsidR="007242AF" w:rsidRPr="00D06FB8">
              <w:rPr>
                <w:rFonts w:cs="Times New Roman"/>
                <w:sz w:val="28"/>
                <w:szCs w:val="28"/>
              </w:rPr>
              <w:t>e</w:t>
            </w:r>
            <w:r w:rsidR="00FB52B3" w:rsidRPr="00D06FB8">
              <w:rPr>
                <w:rFonts w:cs="Times New Roman"/>
                <w:sz w:val="28"/>
                <w:szCs w:val="28"/>
              </w:rPr>
              <w:t>m</w:t>
            </w:r>
            <w:r w:rsidR="007242AF" w:rsidRPr="00D06FB8">
              <w:rPr>
                <w:rFonts w:cs="Times New Roman"/>
                <w:sz w:val="28"/>
                <w:szCs w:val="28"/>
              </w:rPr>
              <w:t xml:space="preserve"> Nr. 281</w:t>
            </w:r>
            <w:r w:rsidR="00D37755" w:rsidRPr="00D06FB8">
              <w:rPr>
                <w:rFonts w:cs="Times New Roman"/>
                <w:sz w:val="28"/>
                <w:szCs w:val="28"/>
              </w:rPr>
              <w:t xml:space="preserve"> </w:t>
            </w:r>
            <w:r w:rsidR="001A4A99" w:rsidRPr="00D06FB8">
              <w:rPr>
                <w:rFonts w:cs="Times New Roman"/>
                <w:sz w:val="28"/>
                <w:szCs w:val="28"/>
              </w:rPr>
              <w:t xml:space="preserve">būs jākārto trīs obligātie eksāmeni </w:t>
            </w:r>
            <w:r w:rsidR="005520A5" w:rsidRPr="00D06FB8">
              <w:rPr>
                <w:rFonts w:cs="Times New Roman"/>
                <w:sz w:val="28"/>
                <w:szCs w:val="28"/>
              </w:rPr>
              <w:t>un ja izglītojamais vēlas</w:t>
            </w:r>
            <w:r w:rsidR="001A4A99" w:rsidRPr="00D06FB8">
              <w:rPr>
                <w:rFonts w:cs="Times New Roman"/>
                <w:sz w:val="28"/>
                <w:szCs w:val="28"/>
              </w:rPr>
              <w:t xml:space="preserve"> vien</w:t>
            </w:r>
            <w:r w:rsidR="005520A5" w:rsidRPr="00D06FB8">
              <w:rPr>
                <w:rFonts w:cs="Times New Roman"/>
                <w:sz w:val="28"/>
                <w:szCs w:val="28"/>
              </w:rPr>
              <w:t>s</w:t>
            </w:r>
            <w:r w:rsidR="001A4A99" w:rsidRPr="00D06FB8">
              <w:rPr>
                <w:rFonts w:cs="Times New Roman"/>
                <w:sz w:val="28"/>
                <w:szCs w:val="28"/>
              </w:rPr>
              <w:t xml:space="preserve"> vai vairāk</w:t>
            </w:r>
            <w:r w:rsidR="005520A5" w:rsidRPr="00D06FB8">
              <w:rPr>
                <w:rFonts w:cs="Times New Roman"/>
                <w:sz w:val="28"/>
                <w:szCs w:val="28"/>
              </w:rPr>
              <w:t>i</w:t>
            </w:r>
            <w:r w:rsidR="001A4A99" w:rsidRPr="00D06FB8">
              <w:rPr>
                <w:rFonts w:cs="Times New Roman"/>
                <w:sz w:val="28"/>
                <w:szCs w:val="28"/>
              </w:rPr>
              <w:t xml:space="preserve"> izvēles eksāmen</w:t>
            </w:r>
            <w:r w:rsidR="005520A5" w:rsidRPr="00D06FB8">
              <w:rPr>
                <w:rFonts w:cs="Times New Roman"/>
                <w:sz w:val="28"/>
                <w:szCs w:val="28"/>
              </w:rPr>
              <w:t>i.</w:t>
            </w:r>
            <w:r w:rsidR="001A4A99" w:rsidRPr="00D06FB8">
              <w:rPr>
                <w:rFonts w:cs="Times New Roman"/>
                <w:sz w:val="28"/>
                <w:szCs w:val="28"/>
              </w:rPr>
              <w:t xml:space="preserve"> Šāds regulējums būs piemērojams ne vien 2020./2021. mācību gadā, bet arī turpmāk attiecībā uz izglītojamajiem, kuri vispārējo vidējo izglītību būs apguvuši atbilstoši noteikumiem Nr. 281</w:t>
            </w:r>
            <w:r w:rsidR="00844E46" w:rsidRPr="00D06FB8">
              <w:rPr>
                <w:rFonts w:cs="Times New Roman"/>
                <w:sz w:val="28"/>
                <w:szCs w:val="28"/>
              </w:rPr>
              <w:t>.</w:t>
            </w:r>
          </w:p>
          <w:p w14:paraId="648D745B" w14:textId="0335816A" w:rsidR="00731C1C" w:rsidRPr="00D06FB8" w:rsidRDefault="00844E46" w:rsidP="007242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06FB8">
              <w:rPr>
                <w:rFonts w:ascii="Times New Roman" w:hAnsi="Times New Roman"/>
                <w:sz w:val="28"/>
                <w:szCs w:val="28"/>
                <w:lang w:val="lv-LV"/>
              </w:rPr>
              <w:t>Projekts izstrādāts, l</w:t>
            </w:r>
            <w:r w:rsidR="00480F5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ai </w:t>
            </w:r>
            <w:r w:rsidR="002C081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noteiktu </w:t>
            </w:r>
            <w:r w:rsidR="005520A5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ar minēto regulējumu </w:t>
            </w:r>
            <w:r w:rsidR="00480F5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saskaņotu </w:t>
            </w:r>
            <w:r w:rsidR="002C081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eksāmenu norises kārtību </w:t>
            </w:r>
            <w:r w:rsidRPr="00D06FB8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 w:rsidR="002C081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zglītoj</w:t>
            </w:r>
            <w:r w:rsidR="00C2334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="002C081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miem, kas profesionālo izglītību apgūst </w:t>
            </w:r>
            <w:r w:rsidR="00D37755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atbilstoši</w:t>
            </w:r>
            <w:r w:rsidR="002C0810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4A13E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noteikumi</w:t>
            </w:r>
            <w:r w:rsidR="00DA62F7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em</w:t>
            </w:r>
            <w:r w:rsidR="004A13E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Nr. 211, kuri tiek piemēroti</w:t>
            </w:r>
            <w:r w:rsidR="001A4A99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saskaņā ar </w:t>
            </w:r>
            <w:r w:rsidR="005520A5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Ministru kabineta 2020. gada 2. </w:t>
            </w:r>
            <w:r w:rsidR="001A4A99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jūnija noteikum</w:t>
            </w:r>
            <w:r w:rsidR="005520A5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u Nr. </w:t>
            </w:r>
            <w:r w:rsidR="001A4A99" w:rsidRPr="00D06FB8">
              <w:rPr>
                <w:rFonts w:ascii="Times New Roman" w:hAnsi="Times New Roman"/>
                <w:sz w:val="28"/>
                <w:szCs w:val="28"/>
                <w:lang w:val="lv-LV"/>
              </w:rPr>
              <w:t>332 “Noteikumi par valsts profesionālās vidējās izglītības standartu un valsts arodizglītības standartu” 26. punktu</w:t>
            </w:r>
            <w:r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 w:rsidR="004A13E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Izglītojamiem profesionālās vidējās izglītības programmu valsts noslēguma pārbaudījumi būs </w:t>
            </w:r>
            <w:r w:rsidR="0076177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profesionālās </w:t>
            </w:r>
            <w:r w:rsidR="004A13E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kvalifikācijas eksāmens, </w:t>
            </w:r>
            <w:r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trīs obligātie eksāmeni (latviešu valoda, viena svešvaloda un matemātika). Izglītojamie varēs kārtot </w:t>
            </w:r>
            <w:r w:rsidR="00D37755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arī </w:t>
            </w:r>
            <w:r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vienu vai vairākus izvēles eksāmenus, piemēram, ja tas nepieciešams iestājai augstākās izglītības iestādē. </w:t>
            </w:r>
            <w:r w:rsidR="00B97E8C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Arodizglītības programmu valsts noslēguma pārbaudījums, kā līdz šim būs </w:t>
            </w:r>
            <w:r w:rsidR="00761772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profesionālās </w:t>
            </w:r>
            <w:r w:rsidR="00B97E8C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kvalifikācijas eksāmens. </w:t>
            </w:r>
            <w:r w:rsidRPr="00D06FB8">
              <w:rPr>
                <w:rFonts w:ascii="Times New Roman" w:hAnsi="Times New Roman"/>
                <w:sz w:val="28"/>
                <w:szCs w:val="28"/>
                <w:lang w:val="lv-LV"/>
              </w:rPr>
              <w:t>Šāds regulējums būs piemērojams ne vien 2020./2021. mācību gadā, bet arī turpmāk attiecībā uz izglītojamajiem, kuri</w:t>
            </w:r>
            <w:r w:rsidR="00D37755" w:rsidRPr="00D06FB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profesionālo izglītību apgūst saskaņā ar noteikumiem Nr. 211.</w:t>
            </w:r>
          </w:p>
        </w:tc>
      </w:tr>
      <w:tr w:rsidR="00D06FB8" w:rsidRPr="00D06FB8" w14:paraId="1182559F" w14:textId="77777777" w:rsidTr="00F85295">
        <w:tc>
          <w:tcPr>
            <w:tcW w:w="426" w:type="dxa"/>
            <w:shd w:val="clear" w:color="auto" w:fill="FFFFFF"/>
          </w:tcPr>
          <w:p w14:paraId="51BEF425" w14:textId="1BA660FD" w:rsidR="00080E9F" w:rsidRPr="00D06FB8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FFFFFF"/>
          </w:tcPr>
          <w:p w14:paraId="25A91BA4" w14:textId="77777777" w:rsidR="00080E9F" w:rsidRPr="00D06FB8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87" w:type="dxa"/>
            <w:shd w:val="clear" w:color="auto" w:fill="FFFFFF"/>
          </w:tcPr>
          <w:p w14:paraId="63962124" w14:textId="77777777" w:rsidR="00080E9F" w:rsidRPr="00D06FB8" w:rsidRDefault="00E7346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cs="Times New Roman"/>
                <w:sz w:val="28"/>
                <w:szCs w:val="28"/>
              </w:rPr>
              <w:t>Valsts izglītības satura centrs</w:t>
            </w:r>
            <w:r w:rsidR="00046A4E" w:rsidRPr="00D06FB8">
              <w:rPr>
                <w:rFonts w:cs="Times New Roman"/>
                <w:sz w:val="28"/>
                <w:szCs w:val="28"/>
              </w:rPr>
              <w:t xml:space="preserve"> (turpmāk </w:t>
            </w:r>
            <w:r w:rsidR="00046A4E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046A4E" w:rsidRPr="00D06FB8">
              <w:rPr>
                <w:rFonts w:cs="Times New Roman"/>
                <w:sz w:val="28"/>
                <w:szCs w:val="28"/>
              </w:rPr>
              <w:t xml:space="preserve"> Centrs)</w:t>
            </w:r>
            <w:r w:rsidR="00B3497C" w:rsidRPr="00D06FB8">
              <w:rPr>
                <w:rFonts w:cs="Times New Roman"/>
                <w:sz w:val="28"/>
                <w:szCs w:val="28"/>
              </w:rPr>
              <w:t xml:space="preserve"> un Izglītības un zinātnes ministrija</w:t>
            </w:r>
            <w:r w:rsidR="00080E9F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D06FB8" w:rsidRPr="00D06FB8" w14:paraId="2E23561F" w14:textId="77777777" w:rsidTr="00F85295">
        <w:tc>
          <w:tcPr>
            <w:tcW w:w="426" w:type="dxa"/>
            <w:shd w:val="clear" w:color="auto" w:fill="FFFFFF"/>
          </w:tcPr>
          <w:p w14:paraId="501B6BAF" w14:textId="77777777" w:rsidR="00080E9F" w:rsidRPr="00D06FB8" w:rsidRDefault="00AF4FD5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  <w:r w:rsidR="00080E9F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14:paraId="46FEF7E2" w14:textId="77777777" w:rsidR="00080E9F" w:rsidRPr="00D06FB8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14:paraId="3E7874BD" w14:textId="77777777" w:rsidR="00080E9F" w:rsidRPr="00D06FB8" w:rsidRDefault="00080E9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B3497C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1CABA67A" w14:textId="77777777" w:rsidR="00080E9F" w:rsidRPr="00D06FB8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D06FB8" w:rsidRPr="00D06FB8" w14:paraId="249D4D4F" w14:textId="77777777" w:rsidTr="00E93215">
        <w:tc>
          <w:tcPr>
            <w:tcW w:w="8806" w:type="dxa"/>
            <w:gridSpan w:val="3"/>
            <w:shd w:val="clear" w:color="auto" w:fill="FFFFFF"/>
          </w:tcPr>
          <w:p w14:paraId="001E472E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II Tiesību akta projekta ietekme uz sabiedrību, tautsaimniecības attīstību un administratīvo slogu</w:t>
            </w:r>
          </w:p>
        </w:tc>
      </w:tr>
      <w:tr w:rsidR="00D06FB8" w:rsidRPr="00D06FB8" w14:paraId="571FDEB1" w14:textId="77777777" w:rsidTr="00F85295">
        <w:tc>
          <w:tcPr>
            <w:tcW w:w="426" w:type="dxa"/>
            <w:shd w:val="clear" w:color="auto" w:fill="FFFFFF"/>
          </w:tcPr>
          <w:p w14:paraId="41AB9FE0" w14:textId="77777777" w:rsidR="00080E9F" w:rsidRPr="00D06FB8" w:rsidRDefault="00080E9F" w:rsidP="00080E9F">
            <w:pPr>
              <w:ind w:left="181" w:hanging="181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702123DF" w14:textId="77777777" w:rsidR="00080E9F" w:rsidRPr="00D06FB8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687" w:type="dxa"/>
            <w:shd w:val="clear" w:color="auto" w:fill="FFFFFF"/>
          </w:tcPr>
          <w:p w14:paraId="7B145C25" w14:textId="76AF4C5D" w:rsidR="005E7BC4" w:rsidRPr="00D06FB8" w:rsidRDefault="00591ED5" w:rsidP="00B97E8C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I</w:t>
            </w:r>
            <w:r w:rsidR="001F0384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zglītojamie, kuri kā</w:t>
            </w:r>
            <w:r w:rsidR="00EF6BAD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rto</w:t>
            </w:r>
            <w:r w:rsidR="00B97E8C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EF6BAD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0905B2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valsts pārbaudes darbus </w:t>
            </w:r>
            <w:r w:rsidR="00080E9F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profe</w:t>
            </w:r>
            <w:r w:rsidR="00714D33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sionālās izglītības iestād</w:t>
            </w:r>
            <w:r w:rsidR="00B97E8C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ē</w:t>
            </w:r>
            <w:r w:rsidR="005E7BC4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s, minēto izglītības iestāžu pedagogi un</w:t>
            </w:r>
            <w:r w:rsidR="005E7BC4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Centra darbinieki</w:t>
            </w:r>
            <w:r w:rsidR="005E7BC4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3D2B82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kas iesaistīti valsts pārbaudes darbu nodrošināšanā</w:t>
            </w:r>
            <w:r w:rsidR="008D3EDE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06FB8" w:rsidRPr="00D06FB8" w14:paraId="449719AD" w14:textId="77777777" w:rsidTr="00F85295">
        <w:tc>
          <w:tcPr>
            <w:tcW w:w="426" w:type="dxa"/>
            <w:shd w:val="clear" w:color="auto" w:fill="FFFFFF"/>
          </w:tcPr>
          <w:p w14:paraId="7CAF11D3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634BD093" w14:textId="77777777" w:rsidR="00080E9F" w:rsidRPr="00D06FB8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87" w:type="dxa"/>
            <w:shd w:val="clear" w:color="auto" w:fill="FFFFFF"/>
          </w:tcPr>
          <w:p w14:paraId="6E8D7A3B" w14:textId="10AC205D" w:rsidR="00CA3384" w:rsidRPr="00D06FB8" w:rsidRDefault="00080E9F" w:rsidP="008D6ED4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Sabiedrības grupām un institūcijām projekta tiesiskais regulējums nemaina tiesības un pienākumus, kā arī veicamās darbības.</w:t>
            </w:r>
            <w:r w:rsidR="00CA3384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D06FB8" w:rsidRPr="00D06FB8" w14:paraId="42291053" w14:textId="77777777" w:rsidTr="00F85295">
        <w:tc>
          <w:tcPr>
            <w:tcW w:w="426" w:type="dxa"/>
            <w:shd w:val="clear" w:color="auto" w:fill="FFFFFF"/>
          </w:tcPr>
          <w:p w14:paraId="73C0DF95" w14:textId="53D0A9A7" w:rsidR="00080E9F" w:rsidRPr="00D06FB8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14:paraId="494E39E2" w14:textId="77777777" w:rsidR="00080E9F" w:rsidRPr="00D06FB8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Administratīvo izmaksu monetārs novērtējums </w:t>
            </w:r>
          </w:p>
        </w:tc>
        <w:tc>
          <w:tcPr>
            <w:tcW w:w="5687" w:type="dxa"/>
            <w:shd w:val="clear" w:color="auto" w:fill="FFFFFF"/>
          </w:tcPr>
          <w:p w14:paraId="590F7C86" w14:textId="77777777" w:rsidR="00080E9F" w:rsidRPr="00D06FB8" w:rsidRDefault="0029304E" w:rsidP="00DA6E76">
            <w:pPr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Projekt</w:t>
            </w:r>
            <w:r w:rsidR="00DA6E76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šo jomu neskar</w:t>
            </w:r>
            <w:r w:rsidR="00080E9F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06FB8" w:rsidRPr="00D06FB8" w14:paraId="348928A9" w14:textId="77777777" w:rsidTr="00F85295">
        <w:tc>
          <w:tcPr>
            <w:tcW w:w="426" w:type="dxa"/>
            <w:shd w:val="clear" w:color="auto" w:fill="FFFFFF"/>
          </w:tcPr>
          <w:p w14:paraId="3C640C5B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14:paraId="653ACE7B" w14:textId="77777777" w:rsidR="00080E9F" w:rsidRPr="00D06FB8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5687" w:type="dxa"/>
            <w:shd w:val="clear" w:color="auto" w:fill="FFFFFF"/>
          </w:tcPr>
          <w:p w14:paraId="1C103335" w14:textId="77777777" w:rsidR="00080E9F" w:rsidRPr="00D06FB8" w:rsidRDefault="00080E9F" w:rsidP="00DA6E7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Cs/>
                <w:sz w:val="28"/>
                <w:szCs w:val="28"/>
              </w:rPr>
              <w:t>Projekt</w:t>
            </w:r>
            <w:r w:rsidR="00DA6E76" w:rsidRPr="00D06FB8">
              <w:rPr>
                <w:rFonts w:eastAsia="Times New Roman" w:cs="Times New Roman"/>
                <w:bCs/>
                <w:sz w:val="28"/>
                <w:szCs w:val="28"/>
              </w:rPr>
              <w:t>i</w:t>
            </w:r>
            <w:r w:rsidRPr="00D06FB8">
              <w:rPr>
                <w:rFonts w:eastAsia="Times New Roman" w:cs="Times New Roman"/>
                <w:bCs/>
                <w:sz w:val="28"/>
                <w:szCs w:val="28"/>
              </w:rPr>
              <w:t xml:space="preserve"> šo jomu neskar.</w:t>
            </w:r>
          </w:p>
        </w:tc>
      </w:tr>
      <w:tr w:rsidR="00D06FB8" w:rsidRPr="00D06FB8" w14:paraId="0206C151" w14:textId="77777777" w:rsidTr="00F85295">
        <w:tc>
          <w:tcPr>
            <w:tcW w:w="426" w:type="dxa"/>
            <w:shd w:val="clear" w:color="auto" w:fill="FFFFFF"/>
          </w:tcPr>
          <w:p w14:paraId="0CE99BE9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14:paraId="790EFC2D" w14:textId="77777777" w:rsidR="00080E9F" w:rsidRPr="00D06FB8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14:paraId="4EED55F0" w14:textId="77777777" w:rsidR="00080E9F" w:rsidRPr="00D06FB8" w:rsidRDefault="00080E9F" w:rsidP="00080E9F">
            <w:pPr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B3497C" w:rsidRPr="00D06FB8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5832EDD5" w14:textId="77777777" w:rsidR="00080E9F" w:rsidRPr="00D06FB8" w:rsidRDefault="00080E9F">
      <w:pPr>
        <w:rPr>
          <w:rFonts w:cs="Times New Roman"/>
          <w:sz w:val="28"/>
          <w:szCs w:val="28"/>
        </w:rPr>
      </w:pPr>
    </w:p>
    <w:tbl>
      <w:tblPr>
        <w:tblW w:w="88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9"/>
      </w:tblGrid>
      <w:tr w:rsidR="00D06FB8" w:rsidRPr="00D06FB8" w14:paraId="4BF92E1B" w14:textId="77777777" w:rsidTr="00DA6E76">
        <w:tc>
          <w:tcPr>
            <w:tcW w:w="8839" w:type="dxa"/>
            <w:shd w:val="clear" w:color="auto" w:fill="FFFFFF"/>
          </w:tcPr>
          <w:p w14:paraId="34DAE112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06FB8">
              <w:rPr>
                <w:rFonts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D06FB8" w:rsidRPr="00D06FB8" w14:paraId="5FFC36D5" w14:textId="77777777" w:rsidTr="00DA6E76">
        <w:tc>
          <w:tcPr>
            <w:tcW w:w="8839" w:type="dxa"/>
            <w:shd w:val="clear" w:color="auto" w:fill="FFFFFF"/>
          </w:tcPr>
          <w:p w14:paraId="316A8EFC" w14:textId="77777777" w:rsidR="00080E9F" w:rsidRPr="00D06FB8" w:rsidRDefault="00080E9F" w:rsidP="00DA6E7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06FB8">
              <w:rPr>
                <w:rFonts w:cs="Times New Roman"/>
                <w:bCs/>
                <w:sz w:val="28"/>
                <w:szCs w:val="28"/>
              </w:rPr>
              <w:t>Projekt</w:t>
            </w:r>
            <w:r w:rsidR="00DA6E76" w:rsidRPr="00D06FB8">
              <w:rPr>
                <w:rFonts w:cs="Times New Roman"/>
                <w:bCs/>
                <w:sz w:val="28"/>
                <w:szCs w:val="28"/>
              </w:rPr>
              <w:t>i</w:t>
            </w:r>
            <w:r w:rsidRPr="00D06FB8">
              <w:rPr>
                <w:rFonts w:cs="Times New Roman"/>
                <w:bCs/>
                <w:sz w:val="28"/>
                <w:szCs w:val="28"/>
              </w:rPr>
              <w:t xml:space="preserve"> šo jomu neskar.</w:t>
            </w:r>
          </w:p>
        </w:tc>
      </w:tr>
    </w:tbl>
    <w:p w14:paraId="69D068AF" w14:textId="77777777" w:rsidR="00DA6E76" w:rsidRPr="00D06FB8" w:rsidRDefault="00DA6E76">
      <w:pPr>
        <w:rPr>
          <w:rFonts w:cs="Times New Roman"/>
          <w:sz w:val="28"/>
          <w:szCs w:val="28"/>
        </w:rPr>
      </w:pP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D06FB8" w:rsidRPr="00D06FB8" w14:paraId="548EFDDC" w14:textId="77777777" w:rsidTr="0047162F">
        <w:tc>
          <w:tcPr>
            <w:tcW w:w="8931" w:type="dxa"/>
          </w:tcPr>
          <w:p w14:paraId="7B4D0392" w14:textId="77777777" w:rsidR="0047162F" w:rsidRPr="00D06FB8" w:rsidRDefault="0047162F" w:rsidP="0047162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06FB8">
              <w:rPr>
                <w:rFonts w:cs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06FB8" w:rsidRPr="00D06FB8" w14:paraId="48DF0533" w14:textId="77777777" w:rsidTr="0047162F">
        <w:tc>
          <w:tcPr>
            <w:tcW w:w="8931" w:type="dxa"/>
          </w:tcPr>
          <w:p w14:paraId="1D7FBF6A" w14:textId="7C6751AC" w:rsidR="00B97E8C" w:rsidRPr="00D06FB8" w:rsidRDefault="00B97E8C" w:rsidP="0047162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06FB8">
              <w:rPr>
                <w:rFonts w:cs="Times New Roman"/>
                <w:bCs/>
                <w:sz w:val="28"/>
                <w:szCs w:val="28"/>
              </w:rPr>
              <w:t>Projekti šo jomu neskar.</w:t>
            </w:r>
          </w:p>
        </w:tc>
      </w:tr>
    </w:tbl>
    <w:p w14:paraId="4B22F4E9" w14:textId="77777777" w:rsidR="00DA6E76" w:rsidRPr="00D06FB8" w:rsidRDefault="00DA6E76">
      <w:pPr>
        <w:rPr>
          <w:rFonts w:cs="Times New Roman"/>
          <w:sz w:val="28"/>
          <w:szCs w:val="28"/>
        </w:rPr>
      </w:pP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D06FB8" w:rsidRPr="00D06FB8" w14:paraId="6CD09B93" w14:textId="77777777" w:rsidTr="00DA6E76">
        <w:tc>
          <w:tcPr>
            <w:tcW w:w="8789" w:type="dxa"/>
          </w:tcPr>
          <w:p w14:paraId="171A7393" w14:textId="77777777" w:rsidR="00DA6E76" w:rsidRPr="00D06FB8" w:rsidRDefault="00DA6E76" w:rsidP="00DA6E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06FB8">
              <w:rPr>
                <w:rFonts w:cs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D06FB8" w:rsidRPr="00D06FB8" w14:paraId="41A4841B" w14:textId="77777777" w:rsidTr="00DA6E76">
        <w:tc>
          <w:tcPr>
            <w:tcW w:w="8789" w:type="dxa"/>
          </w:tcPr>
          <w:p w14:paraId="19ED5A0E" w14:textId="77777777" w:rsidR="00DA6E76" w:rsidRPr="00D06FB8" w:rsidRDefault="00DA6E76" w:rsidP="00DA6E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6FB8">
              <w:rPr>
                <w:rFonts w:cs="Times New Roman"/>
                <w:sz w:val="28"/>
                <w:szCs w:val="28"/>
              </w:rPr>
              <w:t>Projekti šo jomu neskar</w:t>
            </w:r>
          </w:p>
        </w:tc>
      </w:tr>
    </w:tbl>
    <w:p w14:paraId="5F6CE26A" w14:textId="77777777" w:rsidR="00DA6E76" w:rsidRPr="00D06FB8" w:rsidRDefault="00DA6E76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6"/>
      </w:tblGrid>
      <w:tr w:rsidR="00D06FB8" w:rsidRPr="00D06FB8" w14:paraId="2603636B" w14:textId="77777777" w:rsidTr="00BF2FCD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6D7D8" w14:textId="77777777" w:rsidR="00BF2FCD" w:rsidRPr="00D06FB8" w:rsidRDefault="00BF2FCD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D06FB8" w:rsidRPr="00D06FB8" w14:paraId="730BF722" w14:textId="77777777" w:rsidTr="00BF2FCD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D3B7" w14:textId="77777777" w:rsidR="00BF2FCD" w:rsidRPr="00D06FB8" w:rsidRDefault="00BF2FC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06FB8">
              <w:rPr>
                <w:rFonts w:cs="Times New Roman"/>
                <w:sz w:val="28"/>
                <w:szCs w:val="28"/>
              </w:rPr>
              <w:t>Projekti šo jomu neskar</w:t>
            </w:r>
          </w:p>
        </w:tc>
      </w:tr>
    </w:tbl>
    <w:p w14:paraId="2D14C3AC" w14:textId="77777777" w:rsidR="00BF2FCD" w:rsidRPr="00D06FB8" w:rsidRDefault="00BF2FCD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D06FB8" w:rsidRPr="00D06FB8" w14:paraId="6603AC6A" w14:textId="77777777" w:rsidTr="00301F83">
        <w:tc>
          <w:tcPr>
            <w:tcW w:w="8806" w:type="dxa"/>
            <w:gridSpan w:val="3"/>
            <w:shd w:val="clear" w:color="auto" w:fill="FFFFFF"/>
          </w:tcPr>
          <w:p w14:paraId="10A35BC1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VII Tiesību akta projekta izpildes nodrošināšana un tās ietekme uz institūcijām</w:t>
            </w:r>
          </w:p>
        </w:tc>
      </w:tr>
      <w:tr w:rsidR="00D06FB8" w:rsidRPr="00D06FB8" w14:paraId="6ABC3346" w14:textId="77777777" w:rsidTr="00F85295">
        <w:tc>
          <w:tcPr>
            <w:tcW w:w="426" w:type="dxa"/>
            <w:shd w:val="clear" w:color="auto" w:fill="FFFFFF"/>
          </w:tcPr>
          <w:p w14:paraId="35FA4C47" w14:textId="77777777" w:rsidR="00080E9F" w:rsidRPr="00D06FB8" w:rsidRDefault="00080E9F" w:rsidP="00080E9F">
            <w:pPr>
              <w:ind w:left="181" w:hanging="181"/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14:paraId="5E4D1D9A" w14:textId="77777777" w:rsidR="00080E9F" w:rsidRPr="00D06FB8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Projekta izpildē iesaistītās institūcijas </w:t>
            </w:r>
          </w:p>
        </w:tc>
        <w:tc>
          <w:tcPr>
            <w:tcW w:w="5687" w:type="dxa"/>
            <w:shd w:val="clear" w:color="auto" w:fill="FFFFFF"/>
          </w:tcPr>
          <w:p w14:paraId="4F7586AB" w14:textId="59A8F84A" w:rsidR="00080E9F" w:rsidRPr="00D06FB8" w:rsidRDefault="00EE330D" w:rsidP="00B97E8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Centrs, i</w:t>
            </w:r>
            <w:r w:rsidR="00080E9F" w:rsidRPr="00D06FB8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zglītības iestādes</w:t>
            </w:r>
            <w:r w:rsidR="00714D33" w:rsidRPr="00D06FB8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,</w:t>
            </w:r>
            <w:r w:rsidR="00080E9F" w:rsidRPr="00D06FB8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 xml:space="preserve"> kuras īsteno profesionālās vidējās izglītīb</w:t>
            </w:r>
            <w:r w:rsidR="00B97E8C" w:rsidRPr="00D06FB8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as un arodizglītības programmas</w:t>
            </w:r>
            <w:r w:rsidR="00080E9F" w:rsidRPr="00D06FB8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D06FB8" w:rsidRPr="00D06FB8" w14:paraId="5CB62697" w14:textId="77777777" w:rsidTr="00F85295">
        <w:tc>
          <w:tcPr>
            <w:tcW w:w="426" w:type="dxa"/>
            <w:shd w:val="clear" w:color="auto" w:fill="FFFFFF"/>
          </w:tcPr>
          <w:p w14:paraId="5107E683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14:paraId="37230083" w14:textId="77777777" w:rsidR="00080E9F" w:rsidRPr="00D06FB8" w:rsidRDefault="00080E9F" w:rsidP="00A00FD6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Projekta izpildes ietekme uz pārvaldes funkcijām un </w:t>
            </w: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institucionālo struktūru.</w:t>
            </w:r>
          </w:p>
          <w:p w14:paraId="54D78206" w14:textId="77777777" w:rsidR="00080E9F" w:rsidRPr="00D06FB8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87" w:type="dxa"/>
            <w:shd w:val="clear" w:color="auto" w:fill="FFFFFF"/>
          </w:tcPr>
          <w:p w14:paraId="6AA3F140" w14:textId="77777777" w:rsidR="00080E9F" w:rsidRPr="00D06FB8" w:rsidRDefault="00080E9F" w:rsidP="00080E9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Projekta izpilde nepaplašina un nesašaurina iesaistīto institūciju funkcijas.</w:t>
            </w:r>
          </w:p>
          <w:p w14:paraId="2E6B129F" w14:textId="77777777" w:rsidR="00080E9F" w:rsidRPr="00D06FB8" w:rsidRDefault="00080E9F" w:rsidP="00080E9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Projek</w:t>
            </w:r>
            <w:bookmarkStart w:id="1" w:name="_GoBack"/>
            <w:bookmarkEnd w:id="1"/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ta izpilde tiks nodrošināta esošo institūciju ietvaros.</w:t>
            </w:r>
          </w:p>
        </w:tc>
      </w:tr>
      <w:tr w:rsidR="00D06FB8" w:rsidRPr="00D06FB8" w14:paraId="7117B0A9" w14:textId="77777777" w:rsidTr="00F85295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52F35DF9" w14:textId="77777777" w:rsidR="00080E9F" w:rsidRPr="00D06FB8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5D69019B" w14:textId="77777777" w:rsidR="00080E9F" w:rsidRPr="00D06FB8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14:paraId="206F8395" w14:textId="77777777" w:rsidR="00080E9F" w:rsidRPr="00D06FB8" w:rsidRDefault="00080E9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Nav</w:t>
            </w:r>
            <w:r w:rsidR="00B3497C" w:rsidRPr="00D06FB8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3E67334C" w14:textId="77777777" w:rsidR="001B2801" w:rsidRPr="00D06FB8" w:rsidRDefault="001B2801" w:rsidP="001B4291">
      <w:pPr>
        <w:keepNext/>
        <w:tabs>
          <w:tab w:val="right" w:pos="8364"/>
        </w:tabs>
        <w:ind w:firstLine="426"/>
        <w:outlineLvl w:val="4"/>
        <w:rPr>
          <w:rFonts w:eastAsia="Times New Roman" w:cs="Times New Roman"/>
          <w:sz w:val="28"/>
          <w:szCs w:val="28"/>
        </w:rPr>
      </w:pPr>
    </w:p>
    <w:p w14:paraId="1827CD5E" w14:textId="77777777" w:rsidR="001B2801" w:rsidRPr="00D06FB8" w:rsidRDefault="001B2801" w:rsidP="00DA4456">
      <w:pPr>
        <w:keepNext/>
        <w:tabs>
          <w:tab w:val="right" w:pos="8364"/>
        </w:tabs>
        <w:ind w:firstLine="426"/>
        <w:jc w:val="both"/>
        <w:outlineLvl w:val="4"/>
        <w:rPr>
          <w:rFonts w:eastAsia="Times New Roman" w:cs="Times New Roman"/>
          <w:sz w:val="28"/>
          <w:szCs w:val="28"/>
        </w:rPr>
      </w:pPr>
    </w:p>
    <w:p w14:paraId="49FE520F" w14:textId="77777777" w:rsidR="00874215" w:rsidRPr="00D06FB8" w:rsidRDefault="00874215" w:rsidP="00DA4456">
      <w:pPr>
        <w:keepNext/>
        <w:tabs>
          <w:tab w:val="right" w:pos="8364"/>
        </w:tabs>
        <w:ind w:firstLine="426"/>
        <w:jc w:val="both"/>
        <w:outlineLvl w:val="4"/>
        <w:rPr>
          <w:rFonts w:eastAsia="Times New Roman" w:cs="Times New Roman"/>
          <w:sz w:val="28"/>
          <w:szCs w:val="28"/>
        </w:rPr>
      </w:pPr>
      <w:r w:rsidRPr="00D06FB8">
        <w:rPr>
          <w:rFonts w:eastAsia="Times New Roman" w:cs="Times New Roman"/>
          <w:sz w:val="28"/>
          <w:szCs w:val="28"/>
        </w:rPr>
        <w:t xml:space="preserve">Izglītības </w:t>
      </w:r>
      <w:r w:rsidR="0089112C" w:rsidRPr="00D06FB8">
        <w:rPr>
          <w:rFonts w:eastAsia="Times New Roman" w:cs="Times New Roman"/>
          <w:sz w:val="28"/>
          <w:szCs w:val="28"/>
        </w:rPr>
        <w:t>un zinātnes ministre</w:t>
      </w:r>
      <w:r w:rsidR="00347F23" w:rsidRPr="00D06FB8">
        <w:rPr>
          <w:rFonts w:eastAsia="Times New Roman" w:cs="Times New Roman"/>
          <w:sz w:val="28"/>
          <w:szCs w:val="28"/>
        </w:rPr>
        <w:tab/>
        <w:t>I.Šuplinska</w:t>
      </w:r>
    </w:p>
    <w:p w14:paraId="37B031FA" w14:textId="77777777" w:rsidR="001B2801" w:rsidRPr="00D06FB8" w:rsidRDefault="001B2801" w:rsidP="00DA4456">
      <w:pPr>
        <w:tabs>
          <w:tab w:val="right" w:pos="8364"/>
        </w:tabs>
        <w:ind w:firstLine="426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D7A127E" w14:textId="77777777" w:rsidR="001B2801" w:rsidRPr="00D06FB8" w:rsidRDefault="001B2801" w:rsidP="00DA4456">
      <w:pPr>
        <w:tabs>
          <w:tab w:val="right" w:pos="8364"/>
        </w:tabs>
        <w:ind w:firstLine="426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F246156" w14:textId="77777777" w:rsidR="00C871F7" w:rsidRPr="00D06FB8" w:rsidRDefault="00874215" w:rsidP="00DA4456">
      <w:pPr>
        <w:tabs>
          <w:tab w:val="right" w:pos="8364"/>
        </w:tabs>
        <w:ind w:firstLine="426"/>
        <w:jc w:val="both"/>
        <w:rPr>
          <w:rFonts w:eastAsia="Calibri" w:cs="Times New Roman"/>
          <w:sz w:val="28"/>
          <w:szCs w:val="28"/>
        </w:rPr>
      </w:pPr>
      <w:r w:rsidRPr="00D06FB8">
        <w:rPr>
          <w:rFonts w:eastAsia="Times New Roman" w:cs="Times New Roman"/>
          <w:sz w:val="28"/>
          <w:szCs w:val="28"/>
          <w:lang w:eastAsia="lv-LV"/>
        </w:rPr>
        <w:t xml:space="preserve">Vizē: </w:t>
      </w:r>
      <w:r w:rsidRPr="00D06FB8">
        <w:rPr>
          <w:rFonts w:eastAsia="Calibri" w:cs="Times New Roman"/>
          <w:sz w:val="28"/>
          <w:szCs w:val="28"/>
        </w:rPr>
        <w:t>Valsts sekretār</w:t>
      </w:r>
      <w:r w:rsidR="00714D33" w:rsidRPr="00D06FB8">
        <w:rPr>
          <w:rFonts w:eastAsia="Calibri" w:cs="Times New Roman"/>
          <w:sz w:val="28"/>
          <w:szCs w:val="28"/>
        </w:rPr>
        <w:t>s</w:t>
      </w:r>
      <w:r w:rsidRPr="00D06FB8">
        <w:rPr>
          <w:rFonts w:eastAsia="Calibri" w:cs="Times New Roman"/>
          <w:sz w:val="28"/>
          <w:szCs w:val="28"/>
        </w:rPr>
        <w:tab/>
      </w:r>
      <w:r w:rsidR="00714D33" w:rsidRPr="00D06FB8">
        <w:rPr>
          <w:rFonts w:eastAsia="Times New Roman" w:cs="Times New Roman"/>
          <w:bCs/>
          <w:sz w:val="28"/>
          <w:szCs w:val="28"/>
        </w:rPr>
        <w:t>J.Volberts</w:t>
      </w:r>
    </w:p>
    <w:p w14:paraId="41B6F9EE" w14:textId="77777777" w:rsidR="00F85295" w:rsidRPr="00D06FB8" w:rsidRDefault="00F8529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24C1A1F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C92D442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E595E8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DB4CC62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C11A30B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BA8B5DD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255A319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A5EB852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ED1EB26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636D49E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08773A3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76BFD93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4EB9D35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DFAEBEB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E398544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FBA54F4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A59C08C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03CA5A1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1AB0B8D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9E6CF93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B632D0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6C82B6F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4282C8D" w14:textId="77777777" w:rsidR="005E7BC4" w:rsidRPr="00D06FB8" w:rsidRDefault="005E7BC4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836FAF1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78A07F" w14:textId="40EFEC3B" w:rsidR="00127CC4" w:rsidRPr="00D06FB8" w:rsidRDefault="00127CC4" w:rsidP="00DA4456">
      <w:pPr>
        <w:jc w:val="both"/>
        <w:rPr>
          <w:rFonts w:eastAsia="Times New Roman" w:cs="Times New Roman"/>
          <w:szCs w:val="24"/>
          <w:lang w:eastAsia="lv-LV"/>
        </w:rPr>
      </w:pPr>
      <w:r w:rsidRPr="00D06FB8">
        <w:rPr>
          <w:rFonts w:eastAsia="Times New Roman" w:cs="Times New Roman"/>
          <w:szCs w:val="24"/>
          <w:lang w:eastAsia="lv-LV"/>
        </w:rPr>
        <w:t xml:space="preserve">Saksons 67503753, </w:t>
      </w:r>
    </w:p>
    <w:p w14:paraId="343705DE" w14:textId="1EB1ED5F" w:rsidR="00C419D5" w:rsidRPr="00D06FB8" w:rsidRDefault="00127CC4" w:rsidP="00DA4456">
      <w:pPr>
        <w:jc w:val="both"/>
        <w:rPr>
          <w:rFonts w:eastAsia="Times New Roman" w:cs="Times New Roman"/>
          <w:szCs w:val="24"/>
          <w:lang w:eastAsia="lv-LV"/>
        </w:rPr>
      </w:pPr>
      <w:r w:rsidRPr="00D06FB8">
        <w:rPr>
          <w:rFonts w:eastAsia="Times New Roman" w:cs="Times New Roman"/>
          <w:szCs w:val="24"/>
          <w:lang w:eastAsia="lv-LV"/>
        </w:rPr>
        <w:t>ronalds.saksons@visc.gov.lv</w:t>
      </w:r>
    </w:p>
    <w:p w14:paraId="3DE8DC3B" w14:textId="77777777" w:rsidR="00C419D5" w:rsidRPr="00D06FB8" w:rsidRDefault="00C419D5" w:rsidP="00DA4456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sectPr w:rsidR="00C419D5" w:rsidRPr="00D06FB8" w:rsidSect="00C0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9E45" w14:textId="77777777" w:rsidR="006F77D9" w:rsidRDefault="006F77D9" w:rsidP="00874215">
      <w:r>
        <w:separator/>
      </w:r>
    </w:p>
  </w:endnote>
  <w:endnote w:type="continuationSeparator" w:id="0">
    <w:p w14:paraId="6A30AC44" w14:textId="77777777" w:rsidR="006F77D9" w:rsidRDefault="006F77D9" w:rsidP="008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8025" w14:textId="77777777" w:rsidR="00B97E8C" w:rsidRDefault="00B97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20F2" w14:textId="721809FF" w:rsidR="00874215" w:rsidRPr="00A00FD6" w:rsidRDefault="008B076D" w:rsidP="00A00FD6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IZMAnot_</w:t>
    </w:r>
    <w:r w:rsidR="00B97E8C">
      <w:rPr>
        <w:rFonts w:eastAsia="Times New Roman" w:cs="Times New Roman"/>
        <w:sz w:val="20"/>
        <w:szCs w:val="24"/>
        <w:lang w:eastAsia="lv-LV"/>
      </w:rPr>
      <w:t>29</w:t>
    </w:r>
    <w:r w:rsidR="00A00FD6">
      <w:rPr>
        <w:rFonts w:eastAsia="Times New Roman" w:cs="Times New Roman"/>
        <w:sz w:val="20"/>
        <w:szCs w:val="24"/>
        <w:lang w:eastAsia="lv-LV"/>
      </w:rPr>
      <w:t>0121</w:t>
    </w:r>
    <w:r w:rsidR="00A00FD6" w:rsidRPr="00606925">
      <w:rPr>
        <w:rFonts w:eastAsia="Times New Roman" w:cs="Times New Roman"/>
        <w:sz w:val="20"/>
        <w:szCs w:val="24"/>
        <w:lang w:eastAsia="lv-LV"/>
      </w:rPr>
      <w:t>_</w:t>
    </w:r>
    <w:r w:rsidR="008100E9">
      <w:rPr>
        <w:rFonts w:eastAsia="Times New Roman" w:cs="Times New Roman"/>
        <w:sz w:val="20"/>
        <w:szCs w:val="24"/>
        <w:lang w:eastAsia="lv-LV"/>
      </w:rPr>
      <w:t>prof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B50E" w14:textId="4E54808F" w:rsidR="00874215" w:rsidRPr="00606925" w:rsidRDefault="00B90930" w:rsidP="0060692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B97E8C">
      <w:rPr>
        <w:rFonts w:eastAsia="Times New Roman" w:cs="Times New Roman"/>
        <w:sz w:val="20"/>
        <w:szCs w:val="24"/>
        <w:lang w:eastAsia="lv-LV"/>
      </w:rPr>
      <w:t>29</w:t>
    </w:r>
    <w:r w:rsidR="00A00FD6">
      <w:rPr>
        <w:rFonts w:eastAsia="Times New Roman" w:cs="Times New Roman"/>
        <w:sz w:val="20"/>
        <w:szCs w:val="24"/>
        <w:lang w:eastAsia="lv-LV"/>
      </w:rPr>
      <w:t>0121</w:t>
    </w:r>
    <w:r w:rsidR="00606925" w:rsidRPr="00606925">
      <w:rPr>
        <w:rFonts w:eastAsia="Times New Roman" w:cs="Times New Roman"/>
        <w:sz w:val="20"/>
        <w:szCs w:val="24"/>
        <w:lang w:eastAsia="lv-LV"/>
      </w:rPr>
      <w:t>_</w:t>
    </w:r>
    <w:r w:rsidR="008100E9">
      <w:rPr>
        <w:rFonts w:eastAsia="Times New Roman" w:cs="Times New Roman"/>
        <w:sz w:val="20"/>
        <w:szCs w:val="24"/>
        <w:lang w:eastAsia="lv-LV"/>
      </w:rPr>
      <w:t>prof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C186" w14:textId="77777777" w:rsidR="006F77D9" w:rsidRDefault="006F77D9" w:rsidP="00874215">
      <w:r>
        <w:separator/>
      </w:r>
    </w:p>
  </w:footnote>
  <w:footnote w:type="continuationSeparator" w:id="0">
    <w:p w14:paraId="2E258B09" w14:textId="77777777" w:rsidR="006F77D9" w:rsidRDefault="006F77D9" w:rsidP="0087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0F33" w14:textId="77777777" w:rsidR="00B97E8C" w:rsidRDefault="00B97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62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B794D7" w14:textId="77777777" w:rsidR="00DA6E76" w:rsidRDefault="00E578B8">
        <w:pPr>
          <w:pStyle w:val="Header"/>
          <w:jc w:val="center"/>
        </w:pPr>
        <w:r>
          <w:fldChar w:fldCharType="begin"/>
        </w:r>
        <w:r w:rsidR="00DA6E76">
          <w:instrText xml:space="preserve"> PAGE   \* MERGEFORMAT </w:instrText>
        </w:r>
        <w:r>
          <w:fldChar w:fldCharType="separate"/>
        </w:r>
        <w:r w:rsidR="00D06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D5B93F" w14:textId="77777777" w:rsidR="00874215" w:rsidRDefault="00874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8583" w14:textId="77777777" w:rsidR="00B97E8C" w:rsidRDefault="00B97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5"/>
    <w:rsid w:val="00006F18"/>
    <w:rsid w:val="000245AE"/>
    <w:rsid w:val="0002586D"/>
    <w:rsid w:val="000268DB"/>
    <w:rsid w:val="0003658F"/>
    <w:rsid w:val="00041EB1"/>
    <w:rsid w:val="00042F18"/>
    <w:rsid w:val="00046A4E"/>
    <w:rsid w:val="00047BE8"/>
    <w:rsid w:val="00047C17"/>
    <w:rsid w:val="000569E7"/>
    <w:rsid w:val="00080E9F"/>
    <w:rsid w:val="00086D83"/>
    <w:rsid w:val="00087864"/>
    <w:rsid w:val="000905B2"/>
    <w:rsid w:val="000B6187"/>
    <w:rsid w:val="00105C5C"/>
    <w:rsid w:val="00117457"/>
    <w:rsid w:val="00121EB1"/>
    <w:rsid w:val="00125852"/>
    <w:rsid w:val="00127CC4"/>
    <w:rsid w:val="00135749"/>
    <w:rsid w:val="001402EB"/>
    <w:rsid w:val="00140E48"/>
    <w:rsid w:val="001450E3"/>
    <w:rsid w:val="001548CF"/>
    <w:rsid w:val="00165474"/>
    <w:rsid w:val="0018259F"/>
    <w:rsid w:val="00186024"/>
    <w:rsid w:val="001900C5"/>
    <w:rsid w:val="00191C5C"/>
    <w:rsid w:val="00194493"/>
    <w:rsid w:val="00195641"/>
    <w:rsid w:val="001A4A99"/>
    <w:rsid w:val="001A70F9"/>
    <w:rsid w:val="001B2801"/>
    <w:rsid w:val="001B3A15"/>
    <w:rsid w:val="001B4291"/>
    <w:rsid w:val="001B73E7"/>
    <w:rsid w:val="001D7F80"/>
    <w:rsid w:val="001E7A3D"/>
    <w:rsid w:val="001F0384"/>
    <w:rsid w:val="001F3C0A"/>
    <w:rsid w:val="00216DB1"/>
    <w:rsid w:val="00243F6E"/>
    <w:rsid w:val="002565E6"/>
    <w:rsid w:val="002657B8"/>
    <w:rsid w:val="00265E37"/>
    <w:rsid w:val="00267244"/>
    <w:rsid w:val="002736D4"/>
    <w:rsid w:val="00285CE1"/>
    <w:rsid w:val="0028622A"/>
    <w:rsid w:val="00292128"/>
    <w:rsid w:val="0029304E"/>
    <w:rsid w:val="002B2889"/>
    <w:rsid w:val="002B2BDD"/>
    <w:rsid w:val="002C061F"/>
    <w:rsid w:val="002C0810"/>
    <w:rsid w:val="002C0C39"/>
    <w:rsid w:val="002D22B7"/>
    <w:rsid w:val="002E4A26"/>
    <w:rsid w:val="002E7248"/>
    <w:rsid w:val="002E7E8E"/>
    <w:rsid w:val="002F4D53"/>
    <w:rsid w:val="002F586F"/>
    <w:rsid w:val="002F65D5"/>
    <w:rsid w:val="00314C17"/>
    <w:rsid w:val="0031724F"/>
    <w:rsid w:val="003417E3"/>
    <w:rsid w:val="003421D9"/>
    <w:rsid w:val="00345FC6"/>
    <w:rsid w:val="00347F23"/>
    <w:rsid w:val="00353061"/>
    <w:rsid w:val="00393005"/>
    <w:rsid w:val="003A72AF"/>
    <w:rsid w:val="003B57AD"/>
    <w:rsid w:val="003D2B82"/>
    <w:rsid w:val="003D48D8"/>
    <w:rsid w:val="003F0610"/>
    <w:rsid w:val="00415A21"/>
    <w:rsid w:val="004349D6"/>
    <w:rsid w:val="00446434"/>
    <w:rsid w:val="0047162F"/>
    <w:rsid w:val="00474F1D"/>
    <w:rsid w:val="00480F50"/>
    <w:rsid w:val="004900B4"/>
    <w:rsid w:val="004A13E2"/>
    <w:rsid w:val="004B398B"/>
    <w:rsid w:val="004C669A"/>
    <w:rsid w:val="004D1D9D"/>
    <w:rsid w:val="004D380E"/>
    <w:rsid w:val="004F522E"/>
    <w:rsid w:val="004F6BAE"/>
    <w:rsid w:val="0054268B"/>
    <w:rsid w:val="0055202A"/>
    <w:rsid w:val="005520A5"/>
    <w:rsid w:val="00554509"/>
    <w:rsid w:val="005570F5"/>
    <w:rsid w:val="00572164"/>
    <w:rsid w:val="00576B32"/>
    <w:rsid w:val="00577E50"/>
    <w:rsid w:val="005870B9"/>
    <w:rsid w:val="00591ED5"/>
    <w:rsid w:val="0059238B"/>
    <w:rsid w:val="005A0168"/>
    <w:rsid w:val="005A68C1"/>
    <w:rsid w:val="005C00C9"/>
    <w:rsid w:val="005C1019"/>
    <w:rsid w:val="005C3B24"/>
    <w:rsid w:val="005D1491"/>
    <w:rsid w:val="005E448E"/>
    <w:rsid w:val="005E7BC4"/>
    <w:rsid w:val="005F1A70"/>
    <w:rsid w:val="00606072"/>
    <w:rsid w:val="00606925"/>
    <w:rsid w:val="006073BA"/>
    <w:rsid w:val="006250DD"/>
    <w:rsid w:val="00626083"/>
    <w:rsid w:val="006323B3"/>
    <w:rsid w:val="00646E6F"/>
    <w:rsid w:val="00657228"/>
    <w:rsid w:val="00657892"/>
    <w:rsid w:val="006844C5"/>
    <w:rsid w:val="00690FD4"/>
    <w:rsid w:val="006926D2"/>
    <w:rsid w:val="0069579D"/>
    <w:rsid w:val="006A21AD"/>
    <w:rsid w:val="006C03BB"/>
    <w:rsid w:val="006C2E78"/>
    <w:rsid w:val="006D0C42"/>
    <w:rsid w:val="006D47BE"/>
    <w:rsid w:val="006D56BA"/>
    <w:rsid w:val="006E42B6"/>
    <w:rsid w:val="006F594D"/>
    <w:rsid w:val="006F5ABE"/>
    <w:rsid w:val="006F77D9"/>
    <w:rsid w:val="00702C42"/>
    <w:rsid w:val="00714D33"/>
    <w:rsid w:val="007242AF"/>
    <w:rsid w:val="00727CBD"/>
    <w:rsid w:val="00731C1C"/>
    <w:rsid w:val="0076122C"/>
    <w:rsid w:val="00761772"/>
    <w:rsid w:val="0077437E"/>
    <w:rsid w:val="00786780"/>
    <w:rsid w:val="007A1D2A"/>
    <w:rsid w:val="007A2C4C"/>
    <w:rsid w:val="007B08AD"/>
    <w:rsid w:val="007B5C37"/>
    <w:rsid w:val="007E69FE"/>
    <w:rsid w:val="007F377E"/>
    <w:rsid w:val="008100E9"/>
    <w:rsid w:val="0081527B"/>
    <w:rsid w:val="00824E8E"/>
    <w:rsid w:val="0083728C"/>
    <w:rsid w:val="00844E46"/>
    <w:rsid w:val="00862A60"/>
    <w:rsid w:val="00874215"/>
    <w:rsid w:val="008744F0"/>
    <w:rsid w:val="008870A8"/>
    <w:rsid w:val="0089112C"/>
    <w:rsid w:val="008B076D"/>
    <w:rsid w:val="008B1388"/>
    <w:rsid w:val="008B316E"/>
    <w:rsid w:val="008D3EDE"/>
    <w:rsid w:val="008D6ED4"/>
    <w:rsid w:val="008E392E"/>
    <w:rsid w:val="008E4C9B"/>
    <w:rsid w:val="008E6512"/>
    <w:rsid w:val="008F739C"/>
    <w:rsid w:val="00900C1C"/>
    <w:rsid w:val="00911A5F"/>
    <w:rsid w:val="009409C3"/>
    <w:rsid w:val="00946AA3"/>
    <w:rsid w:val="00952D5E"/>
    <w:rsid w:val="00956440"/>
    <w:rsid w:val="0096434A"/>
    <w:rsid w:val="00967EC9"/>
    <w:rsid w:val="00976869"/>
    <w:rsid w:val="00994942"/>
    <w:rsid w:val="009A496C"/>
    <w:rsid w:val="009A59FD"/>
    <w:rsid w:val="009A5C02"/>
    <w:rsid w:val="009B0DFB"/>
    <w:rsid w:val="009B73BA"/>
    <w:rsid w:val="009C01D7"/>
    <w:rsid w:val="009D2120"/>
    <w:rsid w:val="009E1A14"/>
    <w:rsid w:val="009F5FF8"/>
    <w:rsid w:val="00A00FD6"/>
    <w:rsid w:val="00A06E55"/>
    <w:rsid w:val="00A07244"/>
    <w:rsid w:val="00A15D87"/>
    <w:rsid w:val="00A30D2D"/>
    <w:rsid w:val="00A41D91"/>
    <w:rsid w:val="00A43444"/>
    <w:rsid w:val="00A47CAC"/>
    <w:rsid w:val="00A54379"/>
    <w:rsid w:val="00A74F00"/>
    <w:rsid w:val="00A8517D"/>
    <w:rsid w:val="00AD0E95"/>
    <w:rsid w:val="00AD658B"/>
    <w:rsid w:val="00AD6DDF"/>
    <w:rsid w:val="00AE6821"/>
    <w:rsid w:val="00AF0C6D"/>
    <w:rsid w:val="00AF4FD5"/>
    <w:rsid w:val="00B206AC"/>
    <w:rsid w:val="00B22C48"/>
    <w:rsid w:val="00B3497C"/>
    <w:rsid w:val="00B45A3A"/>
    <w:rsid w:val="00B63903"/>
    <w:rsid w:val="00B85A55"/>
    <w:rsid w:val="00B85E8C"/>
    <w:rsid w:val="00B90930"/>
    <w:rsid w:val="00B93395"/>
    <w:rsid w:val="00B94BDD"/>
    <w:rsid w:val="00B97E8C"/>
    <w:rsid w:val="00BA2486"/>
    <w:rsid w:val="00BA26E8"/>
    <w:rsid w:val="00BA3D52"/>
    <w:rsid w:val="00BA4228"/>
    <w:rsid w:val="00BC32C1"/>
    <w:rsid w:val="00BD1085"/>
    <w:rsid w:val="00BF1F43"/>
    <w:rsid w:val="00BF2FCD"/>
    <w:rsid w:val="00BF5C70"/>
    <w:rsid w:val="00C00D75"/>
    <w:rsid w:val="00C0623E"/>
    <w:rsid w:val="00C10F7E"/>
    <w:rsid w:val="00C20ABF"/>
    <w:rsid w:val="00C2109C"/>
    <w:rsid w:val="00C22C33"/>
    <w:rsid w:val="00C23342"/>
    <w:rsid w:val="00C256A5"/>
    <w:rsid w:val="00C270C4"/>
    <w:rsid w:val="00C278D8"/>
    <w:rsid w:val="00C3609F"/>
    <w:rsid w:val="00C419D5"/>
    <w:rsid w:val="00C42002"/>
    <w:rsid w:val="00C43FA3"/>
    <w:rsid w:val="00C453AC"/>
    <w:rsid w:val="00C531A5"/>
    <w:rsid w:val="00C67A84"/>
    <w:rsid w:val="00C73A4F"/>
    <w:rsid w:val="00C871F7"/>
    <w:rsid w:val="00C93AEE"/>
    <w:rsid w:val="00CA2389"/>
    <w:rsid w:val="00CA3384"/>
    <w:rsid w:val="00CA5F78"/>
    <w:rsid w:val="00CA66CB"/>
    <w:rsid w:val="00CB1192"/>
    <w:rsid w:val="00CB2BD1"/>
    <w:rsid w:val="00CB2F22"/>
    <w:rsid w:val="00CC0A3B"/>
    <w:rsid w:val="00CC0E7A"/>
    <w:rsid w:val="00CC5D2A"/>
    <w:rsid w:val="00CF71CD"/>
    <w:rsid w:val="00D04CF3"/>
    <w:rsid w:val="00D061D3"/>
    <w:rsid w:val="00D06FB8"/>
    <w:rsid w:val="00D1637E"/>
    <w:rsid w:val="00D21356"/>
    <w:rsid w:val="00D21DD3"/>
    <w:rsid w:val="00D37755"/>
    <w:rsid w:val="00D425B3"/>
    <w:rsid w:val="00D51382"/>
    <w:rsid w:val="00D755EA"/>
    <w:rsid w:val="00D83EF0"/>
    <w:rsid w:val="00D871B9"/>
    <w:rsid w:val="00D97D79"/>
    <w:rsid w:val="00DA4456"/>
    <w:rsid w:val="00DA62F7"/>
    <w:rsid w:val="00DA6E76"/>
    <w:rsid w:val="00DB1D36"/>
    <w:rsid w:val="00DD0157"/>
    <w:rsid w:val="00DD3921"/>
    <w:rsid w:val="00DD7F0E"/>
    <w:rsid w:val="00E057CF"/>
    <w:rsid w:val="00E05AB1"/>
    <w:rsid w:val="00E06E60"/>
    <w:rsid w:val="00E120F9"/>
    <w:rsid w:val="00E137B9"/>
    <w:rsid w:val="00E1694E"/>
    <w:rsid w:val="00E207B1"/>
    <w:rsid w:val="00E372AD"/>
    <w:rsid w:val="00E47430"/>
    <w:rsid w:val="00E52D97"/>
    <w:rsid w:val="00E54B3D"/>
    <w:rsid w:val="00E560EB"/>
    <w:rsid w:val="00E578B8"/>
    <w:rsid w:val="00E7313B"/>
    <w:rsid w:val="00E7338F"/>
    <w:rsid w:val="00E7346F"/>
    <w:rsid w:val="00E85882"/>
    <w:rsid w:val="00E8718A"/>
    <w:rsid w:val="00EA23F3"/>
    <w:rsid w:val="00EA5FF5"/>
    <w:rsid w:val="00ED4C43"/>
    <w:rsid w:val="00EE330D"/>
    <w:rsid w:val="00EF6BAD"/>
    <w:rsid w:val="00F030F7"/>
    <w:rsid w:val="00F03400"/>
    <w:rsid w:val="00F1658C"/>
    <w:rsid w:val="00F23AC9"/>
    <w:rsid w:val="00F25610"/>
    <w:rsid w:val="00F25A08"/>
    <w:rsid w:val="00F558C4"/>
    <w:rsid w:val="00F575F3"/>
    <w:rsid w:val="00F70C3A"/>
    <w:rsid w:val="00F72753"/>
    <w:rsid w:val="00F84D30"/>
    <w:rsid w:val="00F85295"/>
    <w:rsid w:val="00F87C1D"/>
    <w:rsid w:val="00FA0275"/>
    <w:rsid w:val="00FA31B9"/>
    <w:rsid w:val="00FA41DF"/>
    <w:rsid w:val="00FA51E1"/>
    <w:rsid w:val="00FB52B3"/>
    <w:rsid w:val="00FC2754"/>
    <w:rsid w:val="00FD08C8"/>
    <w:rsid w:val="00FD2A4E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6614"/>
  <w15:docId w15:val="{F1B3F4FD-4980-4FAF-97DE-195F0CA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B8"/>
  </w:style>
  <w:style w:type="paragraph" w:styleId="Heading3">
    <w:name w:val="heading 3"/>
    <w:basedOn w:val="Normal"/>
    <w:link w:val="Heading3Char"/>
    <w:uiPriority w:val="9"/>
    <w:qFormat/>
    <w:rsid w:val="00BA422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  <w:style w:type="character" w:styleId="Hyperlink">
    <w:name w:val="Hyperlink"/>
    <w:basedOn w:val="DefaultParagraphFont"/>
    <w:uiPriority w:val="99"/>
    <w:unhideWhenUsed/>
    <w:rsid w:val="0029304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4228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DA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56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56"/>
    <w:rPr>
      <w:rFonts w:ascii="Calibri" w:hAnsi="Calibri"/>
      <w:sz w:val="18"/>
      <w:szCs w:val="18"/>
    </w:rPr>
  </w:style>
  <w:style w:type="paragraph" w:styleId="NoSpacing">
    <w:name w:val="No Spacing"/>
    <w:uiPriority w:val="1"/>
    <w:qFormat/>
    <w:rsid w:val="00AE6821"/>
    <w:pPr>
      <w:widowControl w:val="0"/>
    </w:pPr>
    <w:rPr>
      <w:rFonts w:ascii="Calibri" w:eastAsia="Calibri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5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9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2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460D-4A40-4DC1-9ECE-4130ED3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“Grozījums Ministru kabineta 2020. gada 2. jūnija noteikumos Nr. 332 “Noteikumi par valsts profesionālās vidējās izglītības standartu un valsts arodizglītības standartu”” sākotnējās ietekmes novērtējuma ziņojums (anotā</vt:lpstr>
    </vt:vector>
  </TitlesOfParts>
  <Manager>Valsts izglītības satura centrs</Manager>
  <Company>Izglītības un zinātnes ministrija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2020. gada 2. jūnija noteikumos Nr. 332 “Noteikumi par valsts profesionālās vidējās izglītības standartu un valsts arodizglītības standartu”” sākotnējās ietekmes novērtējuma ziņojums (anotācija)</dc:title>
  <dc:subject>anotācija</dc:subject>
  <dc:creator>Ronalds.Saksons@visc.gov.lv</dc:creator>
  <dc:description>Saksons 67503753, ronalds.saksons@visc.gov.lv</dc:description>
  <cp:lastModifiedBy>Ivars Zemļanskis</cp:lastModifiedBy>
  <cp:revision>6</cp:revision>
  <cp:lastPrinted>2020-04-23T08:59:00Z</cp:lastPrinted>
  <dcterms:created xsi:type="dcterms:W3CDTF">2021-01-31T14:38:00Z</dcterms:created>
  <dcterms:modified xsi:type="dcterms:W3CDTF">2021-02-01T07:07:00Z</dcterms:modified>
</cp:coreProperties>
</file>