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771F7D" w:rsidRDefault="007116C7" w:rsidP="00771F7D">
      <w:pPr>
        <w:pStyle w:val="naislab"/>
        <w:spacing w:before="0" w:after="0"/>
        <w:jc w:val="center"/>
        <w:rPr>
          <w:b/>
          <w:bCs/>
          <w:sz w:val="28"/>
          <w:szCs w:val="28"/>
        </w:rPr>
      </w:pPr>
      <w:r w:rsidRPr="00771F7D">
        <w:rPr>
          <w:b/>
          <w:bCs/>
          <w:sz w:val="28"/>
          <w:szCs w:val="28"/>
        </w:rPr>
        <w:t>Izziņa par atzinumos sniegtajiem iebildumiem</w:t>
      </w:r>
    </w:p>
    <w:p w:rsidR="007116C7" w:rsidRPr="00CB2025" w:rsidRDefault="007116C7" w:rsidP="00DB7395">
      <w:pPr>
        <w:pStyle w:val="naisf"/>
        <w:spacing w:before="0" w:after="0"/>
        <w:ind w:firstLine="720"/>
        <w:rPr>
          <w:b/>
          <w:sz w:val="20"/>
        </w:rPr>
      </w:pPr>
    </w:p>
    <w:tbl>
      <w:tblPr>
        <w:tblW w:w="0" w:type="auto"/>
        <w:jc w:val="center"/>
        <w:tblLook w:val="00A0" w:firstRow="1" w:lastRow="0" w:firstColumn="1" w:lastColumn="0" w:noHBand="0" w:noVBand="0"/>
      </w:tblPr>
      <w:tblGrid>
        <w:gridCol w:w="10188"/>
      </w:tblGrid>
      <w:tr w:rsidR="007116C7" w:rsidRPr="00A828D1">
        <w:trPr>
          <w:jc w:val="center"/>
        </w:trPr>
        <w:tc>
          <w:tcPr>
            <w:tcW w:w="10188" w:type="dxa"/>
            <w:tcBorders>
              <w:bottom w:val="single" w:sz="6" w:space="0" w:color="000000"/>
            </w:tcBorders>
          </w:tcPr>
          <w:p w:rsidR="007116C7" w:rsidRPr="00A828D1" w:rsidRDefault="00A828D1" w:rsidP="00A828D1">
            <w:pPr>
              <w:ind w:firstLine="720"/>
              <w:jc w:val="center"/>
              <w:rPr>
                <w:b/>
                <w:sz w:val="28"/>
              </w:rPr>
            </w:pPr>
            <w:r w:rsidRPr="00A828D1">
              <w:rPr>
                <w:b/>
                <w:sz w:val="28"/>
              </w:rPr>
              <w:t>Par Ministru kabineta rīkojuma projektu "Par finanšu līdzekļu piešķiršanu no valsts budžeta programmas "Līdzekļi neparedzētiem gadījumiem""</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1073E1">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1073E1">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7636D7" w:rsidRPr="008A36C9" w:rsidTr="007636D7">
        <w:tc>
          <w:tcPr>
            <w:tcW w:w="14268" w:type="dxa"/>
            <w:gridSpan w:val="6"/>
            <w:tcBorders>
              <w:top w:val="single" w:sz="6" w:space="0" w:color="000000"/>
              <w:left w:val="single" w:sz="6" w:space="0" w:color="000000"/>
              <w:bottom w:val="single" w:sz="6" w:space="0" w:color="000000"/>
            </w:tcBorders>
          </w:tcPr>
          <w:p w:rsidR="007636D7" w:rsidRPr="007636D7" w:rsidRDefault="00C51894" w:rsidP="008A36C9">
            <w:pPr>
              <w:jc w:val="center"/>
              <w:rPr>
                <w:b/>
                <w:sz w:val="20"/>
                <w:szCs w:val="20"/>
              </w:rPr>
            </w:pPr>
            <w:r>
              <w:rPr>
                <w:b/>
                <w:szCs w:val="20"/>
              </w:rPr>
              <w:t>Kultūras ministrija</w:t>
            </w:r>
          </w:p>
        </w:tc>
      </w:tr>
      <w:tr w:rsidR="001073E1" w:rsidRPr="00712B66" w:rsidTr="007636D7">
        <w:tc>
          <w:tcPr>
            <w:tcW w:w="708" w:type="dxa"/>
            <w:tcBorders>
              <w:top w:val="single" w:sz="6" w:space="0" w:color="000000"/>
              <w:left w:val="single" w:sz="6" w:space="0" w:color="000000"/>
              <w:bottom w:val="single" w:sz="6" w:space="0" w:color="000000"/>
              <w:right w:val="single" w:sz="6" w:space="0" w:color="000000"/>
            </w:tcBorders>
          </w:tcPr>
          <w:p w:rsidR="001073E1" w:rsidRPr="00712B66" w:rsidRDefault="001073E1" w:rsidP="001073E1">
            <w:pPr>
              <w:pStyle w:val="naisc"/>
              <w:numPr>
                <w:ilvl w:val="0"/>
                <w:numId w:val="10"/>
              </w:numPr>
              <w:spacing w:before="0" w:after="0"/>
            </w:pPr>
          </w:p>
        </w:tc>
        <w:tc>
          <w:tcPr>
            <w:tcW w:w="3086" w:type="dxa"/>
            <w:tcBorders>
              <w:top w:val="single" w:sz="6" w:space="0" w:color="000000"/>
              <w:left w:val="single" w:sz="6" w:space="0" w:color="000000"/>
              <w:bottom w:val="single" w:sz="6" w:space="0" w:color="000000"/>
              <w:right w:val="single" w:sz="6" w:space="0" w:color="000000"/>
            </w:tcBorders>
          </w:tcPr>
          <w:p w:rsidR="001073E1" w:rsidRDefault="001073E1" w:rsidP="008E5FB9">
            <w:pPr>
              <w:autoSpaceDE w:val="0"/>
              <w:autoSpaceDN w:val="0"/>
              <w:adjustRightInd w:val="0"/>
              <w:jc w:val="both"/>
            </w:pPr>
            <w:r>
              <w:t xml:space="preserve">Rīkojuma </w:t>
            </w:r>
            <w:r w:rsidR="00C51894">
              <w:t>projekts</w:t>
            </w:r>
          </w:p>
          <w:p w:rsidR="00F740A2" w:rsidRDefault="00F740A2" w:rsidP="001073E1">
            <w:pPr>
              <w:autoSpaceDE w:val="0"/>
              <w:autoSpaceDN w:val="0"/>
              <w:adjustRightInd w:val="0"/>
              <w:jc w:val="both"/>
            </w:pPr>
          </w:p>
          <w:p w:rsidR="00F740A2" w:rsidRPr="00F740A2" w:rsidRDefault="00F740A2" w:rsidP="00F740A2"/>
          <w:p w:rsidR="00F740A2" w:rsidRPr="00F740A2" w:rsidRDefault="00F740A2" w:rsidP="00F740A2"/>
          <w:p w:rsidR="00F740A2" w:rsidRPr="00F740A2" w:rsidRDefault="00F740A2" w:rsidP="00F740A2"/>
          <w:p w:rsidR="00F740A2" w:rsidRPr="00F740A2" w:rsidRDefault="00F740A2" w:rsidP="00F740A2"/>
          <w:p w:rsidR="00F740A2" w:rsidRPr="00F740A2" w:rsidRDefault="00F740A2" w:rsidP="00F740A2"/>
          <w:p w:rsidR="00F740A2" w:rsidRPr="00CB2025" w:rsidRDefault="00F740A2" w:rsidP="00F740A2"/>
          <w:p w:rsidR="00F740A2" w:rsidRPr="00CB2025" w:rsidRDefault="00F740A2" w:rsidP="00F740A2"/>
          <w:p w:rsidR="00F740A2" w:rsidRPr="00CB2025" w:rsidRDefault="00F740A2" w:rsidP="00F740A2"/>
          <w:p w:rsidR="00F740A2" w:rsidRPr="00CB2025" w:rsidRDefault="00F740A2" w:rsidP="00F740A2"/>
          <w:p w:rsidR="00F740A2" w:rsidRPr="00CB2025" w:rsidRDefault="00F740A2" w:rsidP="00F740A2"/>
          <w:p w:rsidR="00F740A2" w:rsidRPr="00CB2025" w:rsidRDefault="00F740A2" w:rsidP="00F740A2"/>
          <w:p w:rsidR="00F740A2" w:rsidRPr="00CB2025" w:rsidRDefault="00F740A2" w:rsidP="00F740A2"/>
          <w:p w:rsidR="001073E1" w:rsidRPr="00CB2025" w:rsidRDefault="001073E1" w:rsidP="00F740A2">
            <w:pPr>
              <w:ind w:firstLine="720"/>
            </w:pPr>
          </w:p>
        </w:tc>
        <w:tc>
          <w:tcPr>
            <w:tcW w:w="3118" w:type="dxa"/>
            <w:tcBorders>
              <w:top w:val="single" w:sz="6" w:space="0" w:color="000000"/>
              <w:left w:val="single" w:sz="6" w:space="0" w:color="000000"/>
              <w:bottom w:val="single" w:sz="6" w:space="0" w:color="000000"/>
              <w:right w:val="single" w:sz="6" w:space="0" w:color="000000"/>
            </w:tcBorders>
          </w:tcPr>
          <w:p w:rsidR="00C51894" w:rsidRPr="00C51894" w:rsidRDefault="00C51894" w:rsidP="00C51894">
            <w:pPr>
              <w:pStyle w:val="ListParagraph"/>
              <w:tabs>
                <w:tab w:val="left" w:pos="993"/>
              </w:tabs>
              <w:spacing w:after="0" w:line="240" w:lineRule="auto"/>
              <w:ind w:left="0"/>
              <w:contextualSpacing w:val="0"/>
              <w:jc w:val="both"/>
              <w:rPr>
                <w:rFonts w:ascii="Times New Roman" w:hAnsi="Times New Roman"/>
                <w:sz w:val="24"/>
                <w:szCs w:val="24"/>
              </w:rPr>
            </w:pPr>
            <w:r w:rsidRPr="00C51894">
              <w:rPr>
                <w:rFonts w:ascii="Times New Roman" w:hAnsi="Times New Roman"/>
                <w:sz w:val="24"/>
                <w:szCs w:val="24"/>
              </w:rPr>
              <w:t xml:space="preserve">Aicinām ievērot vienlīdzības principu attiecībā uz profesionālās izglītības pedagogiem un audzēkņiem. </w:t>
            </w:r>
          </w:p>
          <w:p w:rsidR="00C51894" w:rsidRPr="00C51894" w:rsidRDefault="00C51894" w:rsidP="00C51894">
            <w:pPr>
              <w:jc w:val="both"/>
              <w:rPr>
                <w:color w:val="000000"/>
                <w:shd w:val="clear" w:color="auto" w:fill="FFFFFF"/>
              </w:rPr>
            </w:pPr>
            <w:r w:rsidRPr="00C51894">
              <w:t xml:space="preserve">Covid-19 pandēmijas ietekmes rezultātā 2020./2021. mācību gadā attālinātā režīmā mācās ne tikai vispārējās izglītības, bet arī profesionālās izglītības izglītojamie, kuriem, </w:t>
            </w:r>
            <w:r w:rsidRPr="00C51894">
              <w:rPr>
                <w:color w:val="000000"/>
                <w:shd w:val="clear" w:color="auto" w:fill="FFFFFF"/>
                <w:lang w:eastAsia="en-GB"/>
              </w:rPr>
              <w:t>tuvojoties mācību gada noslēgumam, ir jāgatavojas ne tikai centralizētajiem eksāmeniem, bet arī profesionālās kvalifikācijas eksāmenam</w:t>
            </w:r>
            <w:r w:rsidRPr="00C51894">
              <w:rPr>
                <w:color w:val="000000"/>
              </w:rPr>
              <w:t xml:space="preserve">. Ministru kabineta 2020. gada 6. novembra rīkojuma Nr. 655 „Par ārkārtējās situācijas izsludināšanu” (turpmāk ‒ Rīkojums) </w:t>
            </w:r>
            <w:r w:rsidRPr="00C51894">
              <w:rPr>
                <w:color w:val="000000"/>
                <w:shd w:val="clear" w:color="auto" w:fill="FFFFFF"/>
              </w:rPr>
              <w:t xml:space="preserve">5.13.2.7. apakšpunktā noteikts, ka klātienes individuālās konsultācijas pieļaujamas izglītojamiem, kuri ir pakļauti priekšlaicīgas mācību pārtraukšanas riskam pamatizglītības un vidējās izglītības pakāpē, un profesionālās izglītības programmu apguvē to grupu vai kursu izglītojamiem, kuriem 2021. gada pirmajā pusgadā paredzēts kārtot valsts pārbaudes darbus un </w:t>
            </w:r>
            <w:r w:rsidRPr="00C51894">
              <w:rPr>
                <w:color w:val="000000"/>
                <w:u w:val="single"/>
                <w:shd w:val="clear" w:color="auto" w:fill="FFFFFF"/>
              </w:rPr>
              <w:t>iegūt atbilstošu profesionālo izglītību</w:t>
            </w:r>
            <w:r w:rsidRPr="00C51894">
              <w:rPr>
                <w:color w:val="000000"/>
                <w:shd w:val="clear" w:color="auto" w:fill="FFFFFF"/>
              </w:rPr>
              <w:t xml:space="preserve"> (pamatizglītības un vidējās izglītības pakāpē). Tādēļ </w:t>
            </w:r>
            <w:r w:rsidRPr="00C51894">
              <w:rPr>
                <w:b/>
                <w:color w:val="000000"/>
                <w:shd w:val="clear" w:color="auto" w:fill="FFFFFF"/>
              </w:rPr>
              <w:t>lūdzam Informatīvajā ziņojumā un papildu finansējuma</w:t>
            </w:r>
            <w:r w:rsidRPr="00C51894">
              <w:rPr>
                <w:color w:val="000000"/>
                <w:shd w:val="clear" w:color="auto" w:fill="FFFFFF"/>
              </w:rPr>
              <w:t xml:space="preserve"> </w:t>
            </w:r>
            <w:r w:rsidRPr="00C51894">
              <w:rPr>
                <w:b/>
                <w:color w:val="000000"/>
                <w:shd w:val="clear" w:color="auto" w:fill="FFFFFF"/>
              </w:rPr>
              <w:t>aprēķinā iekļaut finansējumu arī tiem</w:t>
            </w:r>
            <w:r w:rsidRPr="00C51894">
              <w:rPr>
                <w:color w:val="000000"/>
                <w:shd w:val="clear" w:color="auto" w:fill="FFFFFF"/>
              </w:rPr>
              <w:t xml:space="preserve"> </w:t>
            </w:r>
            <w:r w:rsidRPr="00C51894">
              <w:rPr>
                <w:b/>
                <w:color w:val="000000"/>
                <w:shd w:val="clear" w:color="auto" w:fill="FFFFFF"/>
              </w:rPr>
              <w:t>pedagogiem, kuri gatavo audzēkņus</w:t>
            </w:r>
            <w:r w:rsidRPr="00C51894">
              <w:rPr>
                <w:b/>
              </w:rPr>
              <w:t xml:space="preserve"> </w:t>
            </w:r>
            <w:r w:rsidRPr="00C51894">
              <w:rPr>
                <w:b/>
                <w:color w:val="000000"/>
                <w:shd w:val="clear" w:color="auto" w:fill="FFFFFF"/>
              </w:rPr>
              <w:t>profesionālās kvalifikācijas eksāmeniem un organizē individuālās konsultācijas.</w:t>
            </w:r>
            <w:r w:rsidRPr="00C51894">
              <w:rPr>
                <w:color w:val="000000"/>
                <w:shd w:val="clear" w:color="auto" w:fill="FFFFFF"/>
              </w:rPr>
              <w:t xml:space="preserve"> Ziņojuma </w:t>
            </w:r>
            <w:r w:rsidRPr="00C51894">
              <w:rPr>
                <w:color w:val="000000"/>
                <w:shd w:val="clear" w:color="auto" w:fill="FFFFFF"/>
              </w:rPr>
              <w:lastRenderedPageBreak/>
              <w:t xml:space="preserve">projektā un tam pievienotajos aprēķinos šobrīd diemžēl tās nav iekļautas, tādējādi nostādot vispārējās izglītības un profesionālās izglītības pedagogus nevienlīdzīgā situācijā attiecībā uz papildu darbu – konsultāciju īstenošanu. </w:t>
            </w:r>
          </w:p>
          <w:p w:rsidR="001073E1" w:rsidRPr="00C51894" w:rsidRDefault="00C51894" w:rsidP="00C51894">
            <w:pPr>
              <w:contextualSpacing/>
              <w:jc w:val="both"/>
            </w:pPr>
            <w:r w:rsidRPr="00C51894">
              <w:rPr>
                <w:color w:val="000000"/>
                <w:shd w:val="clear" w:color="auto" w:fill="FFFFFF"/>
              </w:rPr>
              <w:t xml:space="preserve">Lūdzam precizēt Ziņojuma tabulā </w:t>
            </w:r>
            <w:r w:rsidRPr="00C51894">
              <w:rPr>
                <w:color w:val="000000"/>
                <w:shd w:val="clear" w:color="auto" w:fill="FFFFFF"/>
                <w:lang w:eastAsia="en-GB"/>
              </w:rPr>
              <w:t>„</w:t>
            </w:r>
            <w:r w:rsidRPr="00C51894">
              <w:rPr>
                <w:color w:val="000000"/>
                <w:shd w:val="clear" w:color="auto" w:fill="FFFFFF"/>
              </w:rPr>
              <w:t>Piemaksas pedagogiem par individuālajām konsultācijām Covid-19 pandēmijas laikā” norādīto pedagogu skaitu, kuri nodrošina konsultācijas audzēkņiem, kuri gatavojas valsts pārbaudes darbiem – vispārējās izglītības centralizētajiem eksāmeniem un kvalifikācijas eksāmeniem (327 pedagogi) un attiecīgi preciz</w:t>
            </w:r>
            <w:r w:rsidRPr="00C51894">
              <w:rPr>
                <w:rFonts w:hint="eastAsia"/>
                <w:color w:val="000000"/>
                <w:shd w:val="clear" w:color="auto" w:fill="FFFFFF"/>
              </w:rPr>
              <w:t>ē</w:t>
            </w:r>
            <w:r w:rsidRPr="00C51894">
              <w:rPr>
                <w:color w:val="000000"/>
                <w:shd w:val="clear" w:color="auto" w:fill="FFFFFF"/>
              </w:rPr>
              <w:t>t papildu nepieciešam</w:t>
            </w:r>
            <w:r w:rsidRPr="00C51894">
              <w:rPr>
                <w:rFonts w:hint="eastAsia"/>
                <w:color w:val="000000"/>
                <w:shd w:val="clear" w:color="auto" w:fill="FFFFFF"/>
              </w:rPr>
              <w:t>ā</w:t>
            </w:r>
            <w:r w:rsidRPr="00C51894">
              <w:rPr>
                <w:color w:val="000000"/>
                <w:shd w:val="clear" w:color="auto" w:fill="FFFFFF"/>
              </w:rPr>
              <w:t xml:space="preserve"> finans</w:t>
            </w:r>
            <w:r w:rsidRPr="00C51894">
              <w:rPr>
                <w:rFonts w:hint="eastAsia"/>
                <w:color w:val="000000"/>
                <w:shd w:val="clear" w:color="auto" w:fill="FFFFFF"/>
              </w:rPr>
              <w:t>ē</w:t>
            </w:r>
            <w:r w:rsidRPr="00C51894">
              <w:rPr>
                <w:color w:val="000000"/>
                <w:shd w:val="clear" w:color="auto" w:fill="FFFFFF"/>
              </w:rPr>
              <w:t>juma apm</w:t>
            </w:r>
            <w:r w:rsidRPr="00C51894">
              <w:rPr>
                <w:rFonts w:hint="eastAsia"/>
                <w:color w:val="000000"/>
                <w:shd w:val="clear" w:color="auto" w:fill="FFFFFF"/>
              </w:rPr>
              <w:t>ē</w:t>
            </w:r>
            <w:r w:rsidRPr="00C51894">
              <w:rPr>
                <w:color w:val="000000"/>
                <w:shd w:val="clear" w:color="auto" w:fill="FFFFFF"/>
              </w:rPr>
              <w:t>ru profesionālās vidējās izglītības iestādēm, kurām finansējums tiek piešķirts no Kultūras ministrijas budžeta (10 Kultūras ministrijas padotībā esošas un 2 pašvaldību dibinātas profesionālās vidējās izglītības iestādes), atbilstoši š</w:t>
            </w:r>
            <w:r w:rsidRPr="00C51894">
              <w:rPr>
                <w:rFonts w:hint="eastAsia"/>
                <w:color w:val="000000"/>
                <w:shd w:val="clear" w:color="auto" w:fill="FFFFFF"/>
              </w:rPr>
              <w:t>ī</w:t>
            </w:r>
            <w:r w:rsidRPr="00C51894">
              <w:rPr>
                <w:color w:val="000000"/>
                <w:shd w:val="clear" w:color="auto" w:fill="FFFFFF"/>
              </w:rPr>
              <w:t xml:space="preserve"> atzinuma pielikum</w:t>
            </w:r>
            <w:r w:rsidRPr="00C51894">
              <w:rPr>
                <w:rFonts w:hint="eastAsia"/>
                <w:color w:val="000000"/>
                <w:shd w:val="clear" w:color="auto" w:fill="FFFFFF"/>
              </w:rPr>
              <w:t>ā</w:t>
            </w:r>
            <w:r w:rsidRPr="00C51894">
              <w:rPr>
                <w:color w:val="000000"/>
                <w:shd w:val="clear" w:color="auto" w:fill="FFFFFF"/>
              </w:rPr>
              <w:t xml:space="preserve"> pievienotajiem apr</w:t>
            </w:r>
            <w:r w:rsidRPr="00C51894">
              <w:rPr>
                <w:rFonts w:hint="eastAsia"/>
                <w:color w:val="000000"/>
                <w:shd w:val="clear" w:color="auto" w:fill="FFFFFF"/>
              </w:rPr>
              <w:t>ēķ</w:t>
            </w:r>
            <w:r w:rsidRPr="00C51894">
              <w:rPr>
                <w:color w:val="000000"/>
                <w:shd w:val="clear" w:color="auto" w:fill="FFFFFF"/>
              </w:rPr>
              <w:t>iniem.</w:t>
            </w:r>
          </w:p>
        </w:tc>
        <w:tc>
          <w:tcPr>
            <w:tcW w:w="2977" w:type="dxa"/>
            <w:tcBorders>
              <w:top w:val="single" w:sz="6" w:space="0" w:color="000000"/>
              <w:left w:val="single" w:sz="6" w:space="0" w:color="000000"/>
              <w:bottom w:val="single" w:sz="6" w:space="0" w:color="000000"/>
              <w:right w:val="single" w:sz="6" w:space="0" w:color="000000"/>
            </w:tcBorders>
          </w:tcPr>
          <w:p w:rsidR="008E5FB9" w:rsidRDefault="00C51894" w:rsidP="008E5FB9">
            <w:pPr>
              <w:tabs>
                <w:tab w:val="left" w:pos="6870"/>
              </w:tabs>
              <w:ind w:firstLine="34"/>
              <w:jc w:val="both"/>
              <w:rPr>
                <w:b/>
                <w:color w:val="000000"/>
              </w:rPr>
            </w:pPr>
            <w:r>
              <w:rPr>
                <w:b/>
                <w:color w:val="000000"/>
              </w:rPr>
              <w:lastRenderedPageBreak/>
              <w:t>Nav ņemts vērā.</w:t>
            </w:r>
          </w:p>
          <w:p w:rsidR="001073E1" w:rsidRDefault="001073E1" w:rsidP="00D24FB3">
            <w:pPr>
              <w:tabs>
                <w:tab w:val="left" w:pos="6870"/>
              </w:tabs>
              <w:ind w:firstLine="34"/>
              <w:jc w:val="both"/>
              <w:rPr>
                <w:color w:val="000000"/>
              </w:rPr>
            </w:pPr>
          </w:p>
          <w:p w:rsidR="00D24FB3" w:rsidRPr="001073E1" w:rsidRDefault="00D24FB3" w:rsidP="00677A83">
            <w:pPr>
              <w:tabs>
                <w:tab w:val="left" w:pos="6870"/>
              </w:tabs>
              <w:ind w:firstLine="34"/>
              <w:jc w:val="both"/>
              <w:rPr>
                <w:color w:val="000000"/>
              </w:rPr>
            </w:pPr>
            <w:r>
              <w:rPr>
                <w:color w:val="000000"/>
              </w:rPr>
              <w:t>A</w:t>
            </w:r>
            <w:r w:rsidRPr="00D24FB3">
              <w:rPr>
                <w:color w:val="000000"/>
              </w:rPr>
              <w:t xml:space="preserve">tsaucoties uz </w:t>
            </w:r>
            <w:r>
              <w:rPr>
                <w:color w:val="000000"/>
              </w:rPr>
              <w:t xml:space="preserve">Finanšu ministra </w:t>
            </w:r>
            <w:proofErr w:type="spellStart"/>
            <w:r w:rsidRPr="00D24FB3">
              <w:rPr>
                <w:color w:val="000000"/>
              </w:rPr>
              <w:t>J.Reira</w:t>
            </w:r>
            <w:proofErr w:type="spellEnd"/>
            <w:r w:rsidRPr="00D24FB3">
              <w:rPr>
                <w:color w:val="000000"/>
              </w:rPr>
              <w:t xml:space="preserve"> </w:t>
            </w:r>
            <w:r>
              <w:rPr>
                <w:color w:val="000000"/>
              </w:rPr>
              <w:t>vadības grup</w:t>
            </w:r>
            <w:r w:rsidR="00677A83">
              <w:rPr>
                <w:color w:val="000000"/>
              </w:rPr>
              <w:t>ā</w:t>
            </w:r>
            <w:r>
              <w:rPr>
                <w:color w:val="000000"/>
              </w:rPr>
              <w:t xml:space="preserve"> diskutēto </w:t>
            </w:r>
            <w:r w:rsidRPr="00D24FB3">
              <w:rPr>
                <w:color w:val="000000"/>
              </w:rPr>
              <w:t>par papildu konsultāciju apmaksu profesionālās izglītības pamata un vidējās izglītības pakāpē šis jautājums var tikt risināts atsevišķi</w:t>
            </w:r>
            <w:r>
              <w:rPr>
                <w:color w:val="000000"/>
              </w:rPr>
              <w:t>.</w:t>
            </w:r>
          </w:p>
        </w:tc>
        <w:tc>
          <w:tcPr>
            <w:tcW w:w="2459" w:type="dxa"/>
            <w:tcBorders>
              <w:top w:val="single" w:sz="6" w:space="0" w:color="000000"/>
              <w:left w:val="single" w:sz="6" w:space="0" w:color="000000"/>
              <w:bottom w:val="single" w:sz="6" w:space="0" w:color="000000"/>
              <w:right w:val="single" w:sz="6" w:space="0" w:color="000000"/>
            </w:tcBorders>
          </w:tcPr>
          <w:p w:rsidR="001073E1" w:rsidRPr="00712B66" w:rsidRDefault="001073E1" w:rsidP="001073E1"/>
        </w:tc>
        <w:tc>
          <w:tcPr>
            <w:tcW w:w="1920" w:type="dxa"/>
            <w:tcBorders>
              <w:top w:val="single" w:sz="6" w:space="0" w:color="000000"/>
              <w:left w:val="single" w:sz="6" w:space="0" w:color="000000"/>
              <w:bottom w:val="single" w:sz="6" w:space="0" w:color="000000"/>
              <w:right w:val="single" w:sz="6" w:space="0" w:color="000000"/>
            </w:tcBorders>
          </w:tcPr>
          <w:p w:rsidR="001073E1" w:rsidRPr="00712B66" w:rsidRDefault="001073E1" w:rsidP="001073E1"/>
        </w:tc>
      </w:tr>
    </w:tbl>
    <w:p w:rsidR="007B4C0F" w:rsidRPr="00712B66" w:rsidRDefault="007B4C0F" w:rsidP="007B4C0F">
      <w:pPr>
        <w:pStyle w:val="naisf"/>
        <w:spacing w:before="0" w:after="0"/>
        <w:ind w:firstLine="0"/>
      </w:pPr>
    </w:p>
    <w:p w:rsidR="008E5FB9" w:rsidRDefault="008E5FB9" w:rsidP="005D67F7">
      <w:pPr>
        <w:pStyle w:val="naisf"/>
        <w:spacing w:before="0" w:after="0"/>
        <w:ind w:firstLine="0"/>
        <w:rPr>
          <w:b/>
        </w:rPr>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rsidTr="00E9176E">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Pr>
          <w:p w:rsidR="007B4C0F" w:rsidRPr="00712B66" w:rsidRDefault="00C51894" w:rsidP="0036160E">
            <w:pPr>
              <w:pStyle w:val="NormalWeb"/>
              <w:spacing w:before="0" w:beforeAutospacing="0" w:after="0" w:afterAutospacing="0"/>
              <w:ind w:firstLine="720"/>
            </w:pPr>
            <w:r>
              <w:t>11</w:t>
            </w:r>
            <w:r w:rsidR="00CB2025">
              <w:t>.0</w:t>
            </w:r>
            <w:r>
              <w:t>2</w:t>
            </w:r>
            <w:r w:rsidR="00CB2025">
              <w:t>.2021. nosūtīts elektroniskajai saskaņošanai</w:t>
            </w:r>
          </w:p>
        </w:tc>
      </w:tr>
      <w:tr w:rsidR="003C27A2" w:rsidRPr="00712B66" w:rsidTr="00E9176E">
        <w:tc>
          <w:tcPr>
            <w:tcW w:w="6345" w:type="dxa"/>
          </w:tcPr>
          <w:p w:rsidR="003C27A2" w:rsidRPr="00712B66" w:rsidRDefault="003C27A2" w:rsidP="007B4C0F">
            <w:pPr>
              <w:pStyle w:val="naisf"/>
              <w:spacing w:before="0" w:after="0"/>
              <w:ind w:firstLine="0"/>
            </w:pPr>
          </w:p>
        </w:tc>
        <w:tc>
          <w:tcPr>
            <w:tcW w:w="6237" w:type="dxa"/>
            <w:gridSpan w:val="2"/>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E9176E" w:rsidRDefault="00C51894" w:rsidP="00E5371D">
            <w:pPr>
              <w:pStyle w:val="NormalWeb"/>
              <w:spacing w:before="0" w:beforeAutospacing="0" w:after="0" w:afterAutospacing="0"/>
              <w:ind w:left="743" w:hanging="23"/>
            </w:pPr>
            <w:r>
              <w:t>Finanšu ministrija, Kultūras mini</w:t>
            </w:r>
            <w:r w:rsidR="00F23781">
              <w:t xml:space="preserve">strija, Labklājības ministrija, Tieslietu ministrija, </w:t>
            </w:r>
            <w:r>
              <w:t>Zemkopības ministrija</w:t>
            </w:r>
          </w:p>
        </w:tc>
      </w:tr>
      <w:tr w:rsidR="007B4C0F" w:rsidRPr="00712B66" w:rsidTr="00E9176E">
        <w:tc>
          <w:tcPr>
            <w:tcW w:w="6345" w:type="dxa"/>
          </w:tcPr>
          <w:p w:rsidR="007B4C0F" w:rsidRPr="00712B66" w:rsidRDefault="007B4C0F" w:rsidP="0036160E">
            <w:pPr>
              <w:pStyle w:val="naiskr"/>
              <w:spacing w:before="0" w:after="0"/>
              <w:ind w:firstLine="720"/>
            </w:pPr>
            <w:r w:rsidRPr="00712B66">
              <w:t>  </w:t>
            </w:r>
          </w:p>
        </w:tc>
        <w:tc>
          <w:tcPr>
            <w:tcW w:w="6237" w:type="dxa"/>
            <w:gridSpan w:val="2"/>
          </w:tcPr>
          <w:p w:rsidR="007B4C0F" w:rsidRPr="00712B66" w:rsidRDefault="007B4C0F" w:rsidP="0036160E">
            <w:pPr>
              <w:pStyle w:val="naiskr"/>
              <w:spacing w:before="0" w:after="0"/>
              <w:ind w:firstLine="720"/>
            </w:pPr>
          </w:p>
        </w:tc>
      </w:tr>
      <w:tr w:rsidR="000D0AED" w:rsidRPr="00712B66" w:rsidTr="00E9176E">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tbl>
      <w:tblPr>
        <w:tblW w:w="12582" w:type="dxa"/>
        <w:tblLook w:val="00A0" w:firstRow="1" w:lastRow="0" w:firstColumn="1" w:lastColumn="0" w:noHBand="0" w:noVBand="0"/>
      </w:tblPr>
      <w:tblGrid>
        <w:gridCol w:w="6708"/>
        <w:gridCol w:w="5874"/>
      </w:tblGrid>
      <w:tr w:rsidR="00E9176E" w:rsidRPr="00712B66" w:rsidTr="009747EE">
        <w:trPr>
          <w:trHeight w:val="285"/>
        </w:trPr>
        <w:tc>
          <w:tcPr>
            <w:tcW w:w="6708" w:type="dxa"/>
          </w:tcPr>
          <w:p w:rsidR="00E9176E" w:rsidRPr="00712B66" w:rsidRDefault="00E9176E"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874" w:type="dxa"/>
          </w:tcPr>
          <w:p w:rsidR="00E9176E" w:rsidRPr="00712B66" w:rsidRDefault="00C51894" w:rsidP="0036160E">
            <w:pPr>
              <w:pStyle w:val="naiskr"/>
              <w:spacing w:before="0" w:after="0"/>
              <w:ind w:firstLine="12"/>
            </w:pPr>
            <w:r>
              <w:t xml:space="preserve">Finanšu ministrija, Kultūras ministrija, Labklājības ministrija, </w:t>
            </w:r>
            <w:r w:rsidR="00F23781">
              <w:t xml:space="preserve">Tieslietu ministrija, </w:t>
            </w:r>
            <w:r>
              <w:t>Zemkopības ministrija</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2"/>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686"/>
        <w:gridCol w:w="4394"/>
        <w:gridCol w:w="1099"/>
        <w:gridCol w:w="3012"/>
        <w:gridCol w:w="2693"/>
      </w:tblGrid>
      <w:tr w:rsidR="00134188" w:rsidRPr="00712B66" w:rsidTr="00CC7E26">
        <w:tc>
          <w:tcPr>
            <w:tcW w:w="817"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1073E1">
            <w:pPr>
              <w:pStyle w:val="naisc"/>
              <w:spacing w:before="0" w:after="0"/>
            </w:pPr>
            <w:r w:rsidRPr="00712B66">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CC7E26">
        <w:tc>
          <w:tcPr>
            <w:tcW w:w="817" w:type="dxa"/>
            <w:tcBorders>
              <w:top w:val="single" w:sz="6" w:space="0" w:color="000000"/>
              <w:left w:val="single" w:sz="6" w:space="0" w:color="000000"/>
              <w:bottom w:val="single" w:sz="6" w:space="0" w:color="000000"/>
              <w:right w:val="single" w:sz="6" w:space="0" w:color="000000"/>
            </w:tcBorders>
          </w:tcPr>
          <w:p w:rsidR="00134188" w:rsidRPr="003B71E0" w:rsidRDefault="003B71E0" w:rsidP="001073E1">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7636D7" w:rsidRPr="003B71E0" w:rsidTr="00CC7E26">
        <w:tc>
          <w:tcPr>
            <w:tcW w:w="14992" w:type="dxa"/>
            <w:gridSpan w:val="7"/>
            <w:tcBorders>
              <w:top w:val="single" w:sz="6" w:space="0" w:color="000000"/>
              <w:left w:val="single" w:sz="6" w:space="0" w:color="000000"/>
              <w:bottom w:val="single" w:sz="6" w:space="0" w:color="000000"/>
            </w:tcBorders>
          </w:tcPr>
          <w:p w:rsidR="007636D7" w:rsidRPr="007636D7" w:rsidRDefault="00C51894" w:rsidP="003B71E0">
            <w:pPr>
              <w:jc w:val="center"/>
              <w:rPr>
                <w:b/>
                <w:szCs w:val="20"/>
              </w:rPr>
            </w:pPr>
            <w:r>
              <w:rPr>
                <w:b/>
                <w:szCs w:val="20"/>
              </w:rPr>
              <w:t>Kultūras ministrija</w:t>
            </w:r>
          </w:p>
        </w:tc>
      </w:tr>
      <w:tr w:rsidR="00D24FB3" w:rsidRPr="00712B66" w:rsidTr="00CC7E26">
        <w:tc>
          <w:tcPr>
            <w:tcW w:w="817" w:type="dxa"/>
            <w:tcBorders>
              <w:left w:val="single" w:sz="6" w:space="0" w:color="000000"/>
              <w:bottom w:val="single" w:sz="4" w:space="0" w:color="auto"/>
              <w:right w:val="single" w:sz="6" w:space="0" w:color="000000"/>
            </w:tcBorders>
          </w:tcPr>
          <w:p w:rsidR="00D24FB3" w:rsidRDefault="00D24FB3" w:rsidP="00D24FB3">
            <w:pPr>
              <w:pStyle w:val="naisc"/>
              <w:numPr>
                <w:ilvl w:val="0"/>
                <w:numId w:val="9"/>
              </w:numPr>
              <w:spacing w:before="0" w:after="0"/>
              <w:ind w:left="0" w:firstLine="0"/>
            </w:pPr>
          </w:p>
        </w:tc>
        <w:tc>
          <w:tcPr>
            <w:tcW w:w="2977" w:type="dxa"/>
            <w:gridSpan w:val="2"/>
            <w:tcBorders>
              <w:left w:val="single" w:sz="6" w:space="0" w:color="000000"/>
              <w:bottom w:val="single" w:sz="4" w:space="0" w:color="auto"/>
              <w:right w:val="single" w:sz="6" w:space="0" w:color="000000"/>
            </w:tcBorders>
          </w:tcPr>
          <w:p w:rsidR="00D24FB3" w:rsidRPr="00712B66" w:rsidRDefault="00D24FB3" w:rsidP="00D24FB3">
            <w:pPr>
              <w:autoSpaceDE w:val="0"/>
              <w:autoSpaceDN w:val="0"/>
              <w:adjustRightInd w:val="0"/>
              <w:jc w:val="both"/>
            </w:pPr>
            <w:r>
              <w:t>Rīkojuma projekta pakārtotā Informatīvajā ziņojuma finansējuma tabula</w:t>
            </w:r>
          </w:p>
        </w:tc>
        <w:tc>
          <w:tcPr>
            <w:tcW w:w="4394" w:type="dxa"/>
            <w:tcBorders>
              <w:left w:val="single" w:sz="6" w:space="0" w:color="000000"/>
              <w:bottom w:val="single" w:sz="4" w:space="0" w:color="auto"/>
              <w:right w:val="single" w:sz="6" w:space="0" w:color="000000"/>
            </w:tcBorders>
          </w:tcPr>
          <w:p w:rsidR="00D24FB3" w:rsidRPr="00712B66" w:rsidRDefault="00D24FB3" w:rsidP="00D24FB3">
            <w:pPr>
              <w:pStyle w:val="naisc"/>
              <w:spacing w:before="0" w:after="0"/>
              <w:jc w:val="both"/>
            </w:pPr>
            <w:r w:rsidRPr="00C73439">
              <w:rPr>
                <w:color w:val="000000"/>
                <w:szCs w:val="28"/>
                <w:shd w:val="clear" w:color="auto" w:fill="FFFFFF"/>
                <w:lang w:eastAsia="en-GB"/>
              </w:rPr>
              <w:t>Iepazīstoties ar Ziņojuma pielikumā esošo papildu nepieciešamā finansējuma tabulu, Kultūras ministrija konstatēja, ka tajā nav ietverta informācija par vispārējās pamatizglītības programmas pedagogu skaitu Kultūras ministrijas dibinātajā profesionālās izglītības iestādē Profesionālās izglītības kompetences centrs „Nacionālā Mākslu vidusskola”. S</w:t>
            </w:r>
            <w:r w:rsidRPr="00C51894">
              <w:rPr>
                <w:color w:val="000000"/>
                <w:szCs w:val="28"/>
                <w:shd w:val="clear" w:color="auto" w:fill="FFFFFF"/>
              </w:rPr>
              <w:t xml:space="preserve">askaņā ar Rīkojuma 5.13.2.7. apakšpunktu arī pamatizglītības programmas audzēkņiem, kuri ir pakļauti priekšlaicīgas mācību pārtraukšanas riskam, tiek nodrošinātas klātienes konsultācijas, tātad, nodrošinot vienlīdzības principu, par klātienes konsultāciju īstenošanu </w:t>
            </w:r>
            <w:r w:rsidRPr="00C51894">
              <w:rPr>
                <w:b/>
                <w:color w:val="000000"/>
                <w:szCs w:val="28"/>
                <w:shd w:val="clear" w:color="auto" w:fill="FFFFFF"/>
              </w:rPr>
              <w:t>vispārējās</w:t>
            </w:r>
            <w:r w:rsidRPr="00C51894">
              <w:rPr>
                <w:color w:val="000000"/>
                <w:szCs w:val="28"/>
                <w:shd w:val="clear" w:color="auto" w:fill="FFFFFF"/>
              </w:rPr>
              <w:t xml:space="preserve"> </w:t>
            </w:r>
            <w:r w:rsidRPr="00C51894">
              <w:rPr>
                <w:b/>
                <w:color w:val="000000"/>
                <w:szCs w:val="28"/>
                <w:shd w:val="clear" w:color="auto" w:fill="FFFFFF"/>
              </w:rPr>
              <w:t>pamatizglītības programmā pedagogiem aprēķināmas</w:t>
            </w:r>
            <w:r w:rsidRPr="00C51894">
              <w:rPr>
                <w:color w:val="000000"/>
                <w:szCs w:val="28"/>
                <w:shd w:val="clear" w:color="auto" w:fill="FFFFFF"/>
              </w:rPr>
              <w:t xml:space="preserve"> </w:t>
            </w:r>
            <w:r w:rsidRPr="00C51894">
              <w:rPr>
                <w:b/>
                <w:color w:val="000000"/>
                <w:szCs w:val="28"/>
                <w:shd w:val="clear" w:color="auto" w:fill="FFFFFF"/>
              </w:rPr>
              <w:t>piemaksas</w:t>
            </w:r>
            <w:r w:rsidRPr="00C51894">
              <w:rPr>
                <w:color w:val="000000"/>
                <w:szCs w:val="28"/>
                <w:shd w:val="clear" w:color="auto" w:fill="FFFFFF"/>
              </w:rPr>
              <w:t xml:space="preserve">. Lūdzam precizēt Ziņojuma tabulā </w:t>
            </w:r>
            <w:r w:rsidRPr="00F51422">
              <w:rPr>
                <w:color w:val="000000"/>
                <w:szCs w:val="28"/>
                <w:shd w:val="clear" w:color="auto" w:fill="FFFFFF"/>
                <w:lang w:eastAsia="en-GB"/>
              </w:rPr>
              <w:t>„</w:t>
            </w:r>
            <w:r w:rsidRPr="00C51894">
              <w:rPr>
                <w:color w:val="000000"/>
                <w:szCs w:val="28"/>
                <w:shd w:val="clear" w:color="auto" w:fill="FFFFFF"/>
              </w:rPr>
              <w:t>Piemaksas pedagogiem par individuālajām konsultācijām Covid-19 pandēmijas laikā” norādīto pedagogu skaitu (59 pedagogi) un attiecīgi precizēt papildu nepieciešamā finansējuma apmēru atbilstoši šī atzinuma pielikumā pievienotajiem aprēķiniem.</w:t>
            </w:r>
          </w:p>
        </w:tc>
        <w:tc>
          <w:tcPr>
            <w:tcW w:w="4111" w:type="dxa"/>
            <w:gridSpan w:val="2"/>
            <w:tcBorders>
              <w:left w:val="single" w:sz="6" w:space="0" w:color="000000"/>
              <w:bottom w:val="single" w:sz="4" w:space="0" w:color="auto"/>
              <w:right w:val="single" w:sz="6" w:space="0" w:color="000000"/>
            </w:tcBorders>
          </w:tcPr>
          <w:p w:rsidR="00D24FB3" w:rsidRDefault="00D24FB3" w:rsidP="00D24FB3">
            <w:pPr>
              <w:tabs>
                <w:tab w:val="left" w:pos="6870"/>
              </w:tabs>
              <w:jc w:val="both"/>
              <w:rPr>
                <w:color w:val="000000"/>
              </w:rPr>
            </w:pPr>
            <w:r>
              <w:rPr>
                <w:b/>
                <w:color w:val="000000"/>
              </w:rPr>
              <w:t>Daļēji ņemts vērā.</w:t>
            </w:r>
          </w:p>
          <w:p w:rsidR="00D24FB3" w:rsidRDefault="00D24FB3" w:rsidP="00D24FB3">
            <w:pPr>
              <w:tabs>
                <w:tab w:val="left" w:pos="6870"/>
              </w:tabs>
              <w:jc w:val="both"/>
              <w:rPr>
                <w:color w:val="000000"/>
              </w:rPr>
            </w:pPr>
          </w:p>
          <w:p w:rsidR="00D24FB3" w:rsidRPr="00D24FB3" w:rsidRDefault="00D24FB3" w:rsidP="00677A83">
            <w:pPr>
              <w:tabs>
                <w:tab w:val="left" w:pos="6870"/>
              </w:tabs>
              <w:jc w:val="both"/>
              <w:rPr>
                <w:color w:val="000000"/>
              </w:rPr>
            </w:pPr>
            <w:r>
              <w:rPr>
                <w:color w:val="000000"/>
              </w:rPr>
              <w:t>Atbilstoši Kultūras ministrijas iesniegtajiem aprēķiniem</w:t>
            </w:r>
            <w:r w:rsidR="00677A83">
              <w:rPr>
                <w:color w:val="000000"/>
              </w:rPr>
              <w:t>,</w:t>
            </w:r>
            <w:r>
              <w:rPr>
                <w:color w:val="000000"/>
              </w:rPr>
              <w:t xml:space="preserve"> ir precizēts vispārizglītojošo</w:t>
            </w:r>
            <w:r w:rsidR="00677A83">
              <w:rPr>
                <w:color w:val="000000"/>
              </w:rPr>
              <w:t xml:space="preserve"> mācību</w:t>
            </w:r>
            <w:r>
              <w:rPr>
                <w:color w:val="000000"/>
              </w:rPr>
              <w:t xml:space="preserve"> priekšmetu </w:t>
            </w:r>
            <w:r w:rsidR="00677A83">
              <w:rPr>
                <w:color w:val="000000"/>
              </w:rPr>
              <w:t>skolotāju</w:t>
            </w:r>
            <w:r>
              <w:rPr>
                <w:color w:val="000000"/>
              </w:rPr>
              <w:t>, kas gatavo audzēkņus valsts pārbaudes darb</w:t>
            </w:r>
            <w:r w:rsidR="00677A83">
              <w:rPr>
                <w:color w:val="000000"/>
              </w:rPr>
              <w:t>iem</w:t>
            </w:r>
            <w:r>
              <w:rPr>
                <w:color w:val="000000"/>
              </w:rPr>
              <w:t xml:space="preserve">, skaits un attiecīgi arī precizēta Informatīvā ziņojuma finansējuma tabula.  </w:t>
            </w:r>
          </w:p>
        </w:tc>
        <w:tc>
          <w:tcPr>
            <w:tcW w:w="2693" w:type="dxa"/>
            <w:tcBorders>
              <w:top w:val="single" w:sz="4" w:space="0" w:color="auto"/>
              <w:left w:val="single" w:sz="4" w:space="0" w:color="auto"/>
              <w:bottom w:val="single" w:sz="4" w:space="0" w:color="auto"/>
            </w:tcBorders>
          </w:tcPr>
          <w:p w:rsidR="00D24FB3" w:rsidRDefault="00D24FB3" w:rsidP="00D24FB3">
            <w:pPr>
              <w:autoSpaceDE w:val="0"/>
              <w:autoSpaceDN w:val="0"/>
              <w:adjustRightInd w:val="0"/>
            </w:pPr>
            <w:r>
              <w:t>Rīkojuma projekta pakārtotā Informatīvajā ziņojuma finansējuma tabula</w:t>
            </w:r>
          </w:p>
        </w:tc>
      </w:tr>
      <w:tr w:rsidR="00D24FB3" w:rsidRPr="00712B66" w:rsidTr="00CC7E26">
        <w:tc>
          <w:tcPr>
            <w:tcW w:w="817" w:type="dxa"/>
            <w:tcBorders>
              <w:left w:val="single" w:sz="6" w:space="0" w:color="000000"/>
              <w:bottom w:val="single" w:sz="4" w:space="0" w:color="auto"/>
              <w:right w:val="single" w:sz="6" w:space="0" w:color="000000"/>
            </w:tcBorders>
          </w:tcPr>
          <w:p w:rsidR="00D24FB3" w:rsidRDefault="00D24FB3" w:rsidP="00D24FB3">
            <w:pPr>
              <w:pStyle w:val="naisc"/>
              <w:numPr>
                <w:ilvl w:val="0"/>
                <w:numId w:val="9"/>
              </w:numPr>
              <w:spacing w:before="0" w:after="0"/>
              <w:ind w:left="0" w:firstLine="0"/>
            </w:pPr>
          </w:p>
        </w:tc>
        <w:tc>
          <w:tcPr>
            <w:tcW w:w="2977" w:type="dxa"/>
            <w:gridSpan w:val="2"/>
            <w:tcBorders>
              <w:left w:val="single" w:sz="6" w:space="0" w:color="000000"/>
              <w:bottom w:val="single" w:sz="4" w:space="0" w:color="auto"/>
              <w:right w:val="single" w:sz="6" w:space="0" w:color="000000"/>
            </w:tcBorders>
          </w:tcPr>
          <w:p w:rsidR="00D24FB3" w:rsidRPr="00712B66" w:rsidRDefault="00D24FB3" w:rsidP="00D24FB3">
            <w:pPr>
              <w:pStyle w:val="naisc"/>
              <w:spacing w:before="0" w:after="0"/>
              <w:jc w:val="left"/>
            </w:pPr>
            <w:r>
              <w:t>Rīkojuma projektā un visos pavadošajos dokumentos</w:t>
            </w:r>
          </w:p>
        </w:tc>
        <w:tc>
          <w:tcPr>
            <w:tcW w:w="4394" w:type="dxa"/>
            <w:tcBorders>
              <w:left w:val="single" w:sz="6" w:space="0" w:color="000000"/>
              <w:bottom w:val="single" w:sz="4" w:space="0" w:color="auto"/>
              <w:right w:val="single" w:sz="6" w:space="0" w:color="000000"/>
            </w:tcBorders>
          </w:tcPr>
          <w:p w:rsidR="00D24FB3" w:rsidRPr="00712B66" w:rsidRDefault="00D24FB3" w:rsidP="00D24FB3">
            <w:pPr>
              <w:pStyle w:val="naisc"/>
              <w:spacing w:before="0" w:after="0"/>
              <w:jc w:val="both"/>
            </w:pPr>
            <w:r w:rsidRPr="00C51894">
              <w:rPr>
                <w:color w:val="000000"/>
                <w:szCs w:val="28"/>
                <w:shd w:val="clear" w:color="auto" w:fill="FFFFFF"/>
              </w:rPr>
              <w:t xml:space="preserve">Atbilstoši Kultūras ministrijas iesniegtajiem aprēķiniem, lūdzam precizēt Ziņojuma 3. lappusē esošo tabulu, kā arī attiecīgi precizēt Ministru kabineta rīkojuma projektu, </w:t>
            </w:r>
            <w:r w:rsidRPr="008C3346">
              <w:rPr>
                <w:bCs/>
                <w:szCs w:val="28"/>
              </w:rPr>
              <w:t>sākotnējās ietekmes novērtējuma ziņojum</w:t>
            </w:r>
            <w:r>
              <w:rPr>
                <w:bCs/>
                <w:szCs w:val="28"/>
              </w:rPr>
              <w:t>u</w:t>
            </w:r>
            <w:r w:rsidRPr="008C3346">
              <w:rPr>
                <w:bCs/>
                <w:szCs w:val="28"/>
              </w:rPr>
              <w:t xml:space="preserve"> (anotācij</w:t>
            </w:r>
            <w:r>
              <w:rPr>
                <w:bCs/>
                <w:szCs w:val="28"/>
              </w:rPr>
              <w:t>u</w:t>
            </w:r>
            <w:r w:rsidRPr="008C3346">
              <w:rPr>
                <w:bCs/>
                <w:szCs w:val="28"/>
              </w:rPr>
              <w:t>)</w:t>
            </w:r>
            <w:r>
              <w:rPr>
                <w:bCs/>
                <w:szCs w:val="28"/>
              </w:rPr>
              <w:t xml:space="preserve"> un Ministru kabineta sēdes protokollēmumu</w:t>
            </w:r>
          </w:p>
        </w:tc>
        <w:tc>
          <w:tcPr>
            <w:tcW w:w="4111" w:type="dxa"/>
            <w:gridSpan w:val="2"/>
            <w:tcBorders>
              <w:left w:val="single" w:sz="6" w:space="0" w:color="000000"/>
              <w:bottom w:val="single" w:sz="4" w:space="0" w:color="auto"/>
              <w:right w:val="single" w:sz="6" w:space="0" w:color="000000"/>
            </w:tcBorders>
          </w:tcPr>
          <w:p w:rsidR="00D24FB3" w:rsidRDefault="00D24FB3" w:rsidP="00D24FB3">
            <w:pPr>
              <w:tabs>
                <w:tab w:val="left" w:pos="6870"/>
              </w:tabs>
              <w:jc w:val="both"/>
              <w:rPr>
                <w:b/>
                <w:color w:val="000000"/>
              </w:rPr>
            </w:pPr>
            <w:r>
              <w:rPr>
                <w:b/>
                <w:color w:val="000000"/>
              </w:rPr>
              <w:t>Daļēji ņemts vērā.</w:t>
            </w:r>
          </w:p>
          <w:p w:rsidR="00D24FB3" w:rsidRDefault="00D24FB3" w:rsidP="00D24FB3">
            <w:pPr>
              <w:tabs>
                <w:tab w:val="left" w:pos="6870"/>
              </w:tabs>
              <w:jc w:val="both"/>
              <w:rPr>
                <w:b/>
                <w:color w:val="000000"/>
              </w:rPr>
            </w:pPr>
          </w:p>
          <w:p w:rsidR="00D24FB3" w:rsidRPr="00D24FB3" w:rsidRDefault="00D24FB3" w:rsidP="00D24FB3">
            <w:pPr>
              <w:tabs>
                <w:tab w:val="left" w:pos="6870"/>
              </w:tabs>
              <w:jc w:val="both"/>
              <w:rPr>
                <w:color w:val="000000"/>
              </w:rPr>
            </w:pPr>
            <w:r>
              <w:rPr>
                <w:color w:val="000000"/>
              </w:rPr>
              <w:t>Sasaistē ar iepriekšējo Kultūras ministrijas iebildumu (lūdzu skatīt iepriekšējo punktu) ir veikti precizējumi aprēķinos.</w:t>
            </w:r>
          </w:p>
        </w:tc>
        <w:tc>
          <w:tcPr>
            <w:tcW w:w="2693" w:type="dxa"/>
            <w:tcBorders>
              <w:top w:val="single" w:sz="4" w:space="0" w:color="auto"/>
              <w:left w:val="single" w:sz="4" w:space="0" w:color="auto"/>
              <w:bottom w:val="single" w:sz="4" w:space="0" w:color="auto"/>
            </w:tcBorders>
          </w:tcPr>
          <w:p w:rsidR="00D24FB3" w:rsidRPr="00712B66" w:rsidRDefault="00D24FB3" w:rsidP="00D24FB3">
            <w:pPr>
              <w:pStyle w:val="naisc"/>
              <w:spacing w:before="0" w:after="0"/>
              <w:jc w:val="left"/>
            </w:pPr>
            <w:r>
              <w:t>Rīkojuma projektā un visos pavadošajos dokumentos</w:t>
            </w:r>
          </w:p>
        </w:tc>
      </w:tr>
      <w:tr w:rsidR="00D24FB3" w:rsidRPr="00712B66" w:rsidTr="00CC7E26">
        <w:tc>
          <w:tcPr>
            <w:tcW w:w="817" w:type="dxa"/>
            <w:tcBorders>
              <w:left w:val="single" w:sz="6" w:space="0" w:color="000000"/>
              <w:bottom w:val="single" w:sz="4" w:space="0" w:color="auto"/>
              <w:right w:val="single" w:sz="6" w:space="0" w:color="000000"/>
            </w:tcBorders>
          </w:tcPr>
          <w:p w:rsidR="00D24FB3" w:rsidRPr="00712B66" w:rsidRDefault="00D24FB3" w:rsidP="001073E1">
            <w:pPr>
              <w:pStyle w:val="naisc"/>
              <w:numPr>
                <w:ilvl w:val="0"/>
                <w:numId w:val="9"/>
              </w:numPr>
              <w:spacing w:before="0" w:after="0"/>
              <w:ind w:left="0" w:firstLine="0"/>
            </w:pPr>
            <w:r>
              <w:t>1</w:t>
            </w:r>
          </w:p>
        </w:tc>
        <w:tc>
          <w:tcPr>
            <w:tcW w:w="2977" w:type="dxa"/>
            <w:gridSpan w:val="2"/>
            <w:tcBorders>
              <w:left w:val="single" w:sz="6" w:space="0" w:color="000000"/>
              <w:bottom w:val="single" w:sz="4" w:space="0" w:color="auto"/>
              <w:right w:val="single" w:sz="6" w:space="0" w:color="000000"/>
            </w:tcBorders>
          </w:tcPr>
          <w:p w:rsidR="00D24FB3" w:rsidRPr="001335CB" w:rsidRDefault="00D24FB3" w:rsidP="00C51894">
            <w:pPr>
              <w:autoSpaceDE w:val="0"/>
              <w:autoSpaceDN w:val="0"/>
              <w:adjustRightInd w:val="0"/>
            </w:pPr>
            <w:r>
              <w:t>Rīkojuma projekta 2.pielikuma 2.tabulas B kolona</w:t>
            </w:r>
          </w:p>
        </w:tc>
        <w:tc>
          <w:tcPr>
            <w:tcW w:w="4394" w:type="dxa"/>
            <w:tcBorders>
              <w:left w:val="single" w:sz="6" w:space="0" w:color="000000"/>
              <w:bottom w:val="single" w:sz="4" w:space="0" w:color="auto"/>
              <w:right w:val="single" w:sz="6" w:space="0" w:color="000000"/>
            </w:tcBorders>
          </w:tcPr>
          <w:p w:rsidR="00D24FB3" w:rsidRPr="001073E1" w:rsidRDefault="00D24FB3" w:rsidP="001073E1">
            <w:pPr>
              <w:contextualSpacing/>
              <w:jc w:val="both"/>
            </w:pPr>
            <w:r w:rsidRPr="00C51894">
              <w:rPr>
                <w:color w:val="000000"/>
                <w:szCs w:val="28"/>
                <w:shd w:val="clear" w:color="auto" w:fill="FFFFFF"/>
              </w:rPr>
              <w:t xml:space="preserve">Lūdzam precizēt Ministru kabineta rīkojuma projekta 2. pielikuma </w:t>
            </w:r>
            <w:r w:rsidRPr="00C51894">
              <w:rPr>
                <w:color w:val="000000"/>
                <w:szCs w:val="28"/>
                <w:shd w:val="clear" w:color="auto" w:fill="FFFFFF"/>
              </w:rPr>
              <w:br/>
              <w:t xml:space="preserve">2. tabulā B kolonnā Ieņēmumu sadaļas finanšu avotu rindu nosaukumus, jo finansējums citu ministriju padotībā esošajām izglītības iestādēm netiks saņemts no Izglītības un zinātnes ministrijas. Vienlaikus lūdzam papildināt 2. pielikuma </w:t>
            </w:r>
            <w:r w:rsidRPr="00C51894">
              <w:rPr>
                <w:color w:val="000000"/>
                <w:szCs w:val="28"/>
                <w:shd w:val="clear" w:color="auto" w:fill="FFFFFF"/>
              </w:rPr>
              <w:br/>
              <w:t>2. tabulu ar kolonnu pašvaldību izglītības iestādēm, kuras finansējumu saņem no citas ministrijas, vai arī precizēt Ziņojumā informāciju par atskaišu iesniegšanas kārtību un izmantotajām veidlapām pašvaldību dibinātajām izglītības iestādēm, kas saņem finansējumu no citas ministrijas, jo šobrīd nav skaidrs kuru no  atskaites veidlapām šīm iestādēm ir jāaizpilda.</w:t>
            </w:r>
          </w:p>
        </w:tc>
        <w:tc>
          <w:tcPr>
            <w:tcW w:w="4111" w:type="dxa"/>
            <w:gridSpan w:val="2"/>
            <w:tcBorders>
              <w:left w:val="single" w:sz="6" w:space="0" w:color="000000"/>
              <w:bottom w:val="single" w:sz="4" w:space="0" w:color="auto"/>
              <w:right w:val="single" w:sz="6" w:space="0" w:color="000000"/>
            </w:tcBorders>
          </w:tcPr>
          <w:p w:rsidR="00D24FB3" w:rsidRPr="00390835" w:rsidRDefault="00D24FB3" w:rsidP="001073E1">
            <w:pPr>
              <w:tabs>
                <w:tab w:val="left" w:pos="6870"/>
              </w:tabs>
              <w:ind w:firstLine="34"/>
              <w:jc w:val="both"/>
              <w:rPr>
                <w:color w:val="000000"/>
              </w:rPr>
            </w:pPr>
            <w:r w:rsidRPr="00390835">
              <w:rPr>
                <w:b/>
                <w:color w:val="000000"/>
              </w:rPr>
              <w:t>Ņemts vērā.</w:t>
            </w:r>
          </w:p>
          <w:p w:rsidR="00D24FB3" w:rsidRDefault="00D24FB3" w:rsidP="001073E1">
            <w:pPr>
              <w:tabs>
                <w:tab w:val="left" w:pos="6870"/>
              </w:tabs>
              <w:ind w:firstLine="34"/>
              <w:rPr>
                <w:color w:val="000000"/>
              </w:rPr>
            </w:pPr>
          </w:p>
          <w:p w:rsidR="00D24FB3" w:rsidRPr="00390835" w:rsidRDefault="00D24FB3" w:rsidP="001073E1">
            <w:pPr>
              <w:tabs>
                <w:tab w:val="left" w:pos="6870"/>
              </w:tabs>
              <w:ind w:firstLine="34"/>
              <w:rPr>
                <w:color w:val="000000"/>
              </w:rPr>
            </w:pPr>
            <w:r>
              <w:rPr>
                <w:color w:val="000000"/>
              </w:rPr>
              <w:t>Precizēts Rīkojuma projekta 2.pielikuma tabulas</w:t>
            </w:r>
            <w:r w:rsidR="00677A83">
              <w:rPr>
                <w:color w:val="000000"/>
              </w:rPr>
              <w:t>,</w:t>
            </w:r>
            <w:r>
              <w:rPr>
                <w:color w:val="000000"/>
              </w:rPr>
              <w:t xml:space="preserve"> svītrojot atsauci uz Izglītības un zinātnes ministriju</w:t>
            </w:r>
          </w:p>
        </w:tc>
        <w:tc>
          <w:tcPr>
            <w:tcW w:w="2693" w:type="dxa"/>
            <w:tcBorders>
              <w:top w:val="single" w:sz="4" w:space="0" w:color="auto"/>
              <w:left w:val="single" w:sz="4" w:space="0" w:color="auto"/>
              <w:bottom w:val="single" w:sz="4" w:space="0" w:color="auto"/>
            </w:tcBorders>
          </w:tcPr>
          <w:p w:rsidR="00D24FB3" w:rsidRPr="00A91E31" w:rsidRDefault="00D24FB3" w:rsidP="00A91E31">
            <w:pPr>
              <w:autoSpaceDE w:val="0"/>
              <w:autoSpaceDN w:val="0"/>
              <w:adjustRightInd w:val="0"/>
            </w:pPr>
            <w:r>
              <w:t>Rīkojuma projekta 2.pielikuma tabulas</w:t>
            </w:r>
          </w:p>
        </w:tc>
      </w:tr>
      <w:tr w:rsidR="00D24FB3" w:rsidRPr="00712B66" w:rsidTr="00CC7E26">
        <w:tc>
          <w:tcPr>
            <w:tcW w:w="817" w:type="dxa"/>
            <w:tcBorders>
              <w:left w:val="single" w:sz="6" w:space="0" w:color="000000"/>
              <w:bottom w:val="single" w:sz="4" w:space="0" w:color="auto"/>
              <w:right w:val="single" w:sz="6" w:space="0" w:color="000000"/>
            </w:tcBorders>
          </w:tcPr>
          <w:p w:rsidR="00D24FB3" w:rsidRPr="00712B66" w:rsidRDefault="00D24FB3" w:rsidP="00D24FB3">
            <w:pPr>
              <w:pStyle w:val="naisc"/>
              <w:numPr>
                <w:ilvl w:val="0"/>
                <w:numId w:val="9"/>
              </w:numPr>
              <w:spacing w:before="0" w:after="0"/>
              <w:ind w:left="0" w:firstLine="0"/>
            </w:pPr>
          </w:p>
        </w:tc>
        <w:tc>
          <w:tcPr>
            <w:tcW w:w="2977" w:type="dxa"/>
            <w:gridSpan w:val="2"/>
            <w:tcBorders>
              <w:left w:val="single" w:sz="6" w:space="0" w:color="000000"/>
              <w:bottom w:val="single" w:sz="4" w:space="0" w:color="auto"/>
              <w:right w:val="single" w:sz="6" w:space="0" w:color="000000"/>
            </w:tcBorders>
          </w:tcPr>
          <w:p w:rsidR="00D24FB3" w:rsidRDefault="00D24FB3" w:rsidP="00D24FB3">
            <w:pPr>
              <w:autoSpaceDE w:val="0"/>
              <w:autoSpaceDN w:val="0"/>
              <w:adjustRightInd w:val="0"/>
              <w:jc w:val="both"/>
            </w:pPr>
            <w:r>
              <w:t>Rīkojuma projektā un visos pavadošajos dokumentos</w:t>
            </w:r>
          </w:p>
        </w:tc>
        <w:tc>
          <w:tcPr>
            <w:tcW w:w="4394" w:type="dxa"/>
            <w:tcBorders>
              <w:left w:val="single" w:sz="6" w:space="0" w:color="000000"/>
              <w:bottom w:val="single" w:sz="4" w:space="0" w:color="auto"/>
              <w:right w:val="single" w:sz="6" w:space="0" w:color="000000"/>
            </w:tcBorders>
          </w:tcPr>
          <w:p w:rsidR="00D24FB3" w:rsidRDefault="00D24FB3" w:rsidP="00D24FB3">
            <w:pPr>
              <w:contextualSpacing/>
              <w:jc w:val="both"/>
              <w:rPr>
                <w:color w:val="000000"/>
                <w:shd w:val="clear" w:color="auto" w:fill="FFFFFF"/>
              </w:rPr>
            </w:pPr>
            <w:r w:rsidRPr="00C51894">
              <w:rPr>
                <w:color w:val="000000"/>
                <w:shd w:val="clear" w:color="auto" w:fill="FFFFFF"/>
              </w:rPr>
              <w:t xml:space="preserve">Ziņojuma 2. nodaļa paredz, ka aprēķins papildus nepieciešamajam finansējumam tiek veikts, izmantojot šobrīd normatīvajos aktos noteikto zemāko samaksu par pedagoģisko likmi (790 </w:t>
            </w:r>
            <w:r w:rsidRPr="00C51894">
              <w:rPr>
                <w:i/>
                <w:color w:val="000000"/>
                <w:shd w:val="clear" w:color="auto" w:fill="FFFFFF"/>
              </w:rPr>
              <w:t>euro</w:t>
            </w:r>
            <w:r w:rsidRPr="00C51894">
              <w:rPr>
                <w:color w:val="000000"/>
                <w:shd w:val="clear" w:color="auto" w:fill="FFFFFF"/>
              </w:rPr>
              <w:t xml:space="preserve">), taču vienlaikus Ziņojumā ir norādīts, ka „Izglītības iestāde apmaksā skolotāju un atbalsta personāla nostrādātās individuālās konsultācijas, ņemot vērā skolotājiem un atbalsta personālam noteikto algas likmi.”  Minētais rada neviennozīmīgu izpratni par to, kādā apmērā veicama samaksas par konsultāciju stundām. Vienlaikus no Ministru kabineta rīkojuma projekta 2.pielikuma secināms, ka samaksas par </w:t>
            </w:r>
            <w:r w:rsidRPr="00C51894">
              <w:rPr>
                <w:color w:val="000000"/>
                <w:shd w:val="clear" w:color="auto" w:fill="FFFFFF"/>
              </w:rPr>
              <w:lastRenderedPageBreak/>
              <w:t xml:space="preserve">konsultāciju stundām veicama kā piemaksa par papildu darbu.  Lūdzam Ziņojumā precizēt, kādā veidā veicama samaksa par konsultāciju stundām, ņemot vērā normatīvajos aktos par pedagogu darba samaksu noteikto. Vienlaikus vēršam uzmanību, ka nav skaidrs vai nosakot samaksu par konsultāciju stundām tiek ņemtas vērā normatīvajos aktos par pedagogu darba samaksu noteiktās obligātās piemaksas pedagogiem, piemēram, piemaksas 10 % apmērā profesionālās izglītības kompetences centru pedagogiem un piemaksas profesionālo priekšmetu pedagogiem. Netiek ņemts vērā, ka daudziem pedagogiem, ņemot vērā pedagogu motivācijas fondam paredzētos līdzekļus, tiek noteikta augstāka algas likme par normatīvajā regulējumā noteikto zemāko algas likmi, kas ir 790 </w:t>
            </w:r>
            <w:r w:rsidRPr="00C51894">
              <w:rPr>
                <w:i/>
                <w:color w:val="000000"/>
                <w:shd w:val="clear" w:color="auto" w:fill="FFFFFF"/>
              </w:rPr>
              <w:t>euro</w:t>
            </w:r>
            <w:r w:rsidRPr="00C51894">
              <w:rPr>
                <w:color w:val="000000"/>
                <w:shd w:val="clear" w:color="auto" w:fill="FFFFFF"/>
              </w:rPr>
              <w:t xml:space="preserve">. Minētais rada pamatotas  bažas par to, ka izglītības iestādēm nebūs iespēju nodrošināt Ziņojumā paredzēto papildu konsultāciju stundas attiecīgi 10 vai 5 stundu apmērā nedēļā, jo pieejamais finansējums būs nepietiekošs. Papildus tam, lūdzam skaidrot vai un kā nosakot piemaksas apmēru par papildu konsultāciju stundām ir jāievēro pedagogu darba samaksas normatīvajos aktos noteiktais ierobežojums  </w:t>
            </w:r>
          </w:p>
          <w:p w:rsidR="00D24FB3" w:rsidRPr="00C51894" w:rsidRDefault="00D24FB3" w:rsidP="00D24FB3">
            <w:pPr>
              <w:contextualSpacing/>
              <w:jc w:val="both"/>
            </w:pPr>
            <w:r w:rsidRPr="00C51894">
              <w:rPr>
                <w:color w:val="000000"/>
                <w:shd w:val="clear" w:color="auto" w:fill="FFFFFF"/>
              </w:rPr>
              <w:t>piemaksām par papildu pedagoģisko darbu 30% apmērā.</w:t>
            </w:r>
          </w:p>
        </w:tc>
        <w:tc>
          <w:tcPr>
            <w:tcW w:w="4111" w:type="dxa"/>
            <w:gridSpan w:val="2"/>
            <w:tcBorders>
              <w:left w:val="single" w:sz="6" w:space="0" w:color="000000"/>
              <w:bottom w:val="single" w:sz="4" w:space="0" w:color="auto"/>
              <w:right w:val="single" w:sz="6" w:space="0" w:color="000000"/>
            </w:tcBorders>
          </w:tcPr>
          <w:p w:rsidR="00D24FB3" w:rsidRDefault="00D24FB3" w:rsidP="00D24FB3">
            <w:pPr>
              <w:pStyle w:val="naisc"/>
              <w:spacing w:before="0" w:after="0"/>
              <w:jc w:val="left"/>
              <w:rPr>
                <w:b/>
              </w:rPr>
            </w:pPr>
            <w:r>
              <w:rPr>
                <w:b/>
              </w:rPr>
              <w:lastRenderedPageBreak/>
              <w:t>Ņemts vērā.</w:t>
            </w:r>
          </w:p>
          <w:p w:rsidR="00CC7E26" w:rsidRPr="00CC7E26" w:rsidRDefault="00CC7E26" w:rsidP="00D24FB3">
            <w:pPr>
              <w:pStyle w:val="naisc"/>
              <w:spacing w:before="0" w:after="0"/>
              <w:jc w:val="left"/>
            </w:pPr>
          </w:p>
          <w:p w:rsidR="00D24FB3" w:rsidRPr="00066A2F" w:rsidRDefault="00677A83" w:rsidP="00CC7E26">
            <w:pPr>
              <w:pStyle w:val="naisc"/>
              <w:spacing w:before="0" w:after="0"/>
              <w:jc w:val="left"/>
            </w:pPr>
            <w:r w:rsidRPr="00CC7E26">
              <w:t>Skaidrojam, ka</w:t>
            </w:r>
            <w:r w:rsidR="00CC7E26">
              <w:t xml:space="preserve"> </w:t>
            </w:r>
            <w:r>
              <w:t>i</w:t>
            </w:r>
            <w:r w:rsidR="00D24FB3" w:rsidRPr="00066A2F">
              <w:t xml:space="preserve">zglītības iestādē apmaksa par nostrādātajām papildu konsultāciju stundām veicama atbilstoši skolotājam noteiktajai darba algas likmei, no kuras aprēķināta vienas darba stundas izmaksa. Savukārt ministrijas aprēķinu paredzēts veikt, izmantojot normatīvajā </w:t>
            </w:r>
            <w:r w:rsidR="00D24FB3" w:rsidRPr="00066A2F">
              <w:lastRenderedPageBreak/>
              <w:t xml:space="preserve">regulējumā noteikto zemāko darba algas likmi, no kuras seko, ka vienas darba stundas izmaksa ir 6.5833 </w:t>
            </w:r>
            <w:r w:rsidR="00D24FB3" w:rsidRPr="00D24FB3">
              <w:rPr>
                <w:i/>
              </w:rPr>
              <w:t>euro.</w:t>
            </w:r>
          </w:p>
          <w:p w:rsidR="00D24FB3" w:rsidRPr="00FD7814" w:rsidRDefault="00D24FB3" w:rsidP="00D24FB3">
            <w:pPr>
              <w:pStyle w:val="naisc"/>
              <w:jc w:val="both"/>
            </w:pPr>
            <w:r w:rsidRPr="00066A2F">
              <w:t xml:space="preserve">Papildus vēršam uzmanību, ka informatīvajā ziņojumā tiek paredzēts, ka mācību priekšmetu skolotāji rīko </w:t>
            </w:r>
            <w:r w:rsidRPr="00066A2F">
              <w:rPr>
                <w:b/>
              </w:rPr>
              <w:t>līdz 10</w:t>
            </w:r>
            <w:r w:rsidRPr="00066A2F">
              <w:t xml:space="preserve"> individuālajām konsultācijām nedēļā</w:t>
            </w:r>
            <w:r w:rsidRPr="00066A2F">
              <w:rPr>
                <w:b/>
              </w:rPr>
              <w:t>,</w:t>
            </w:r>
            <w:r>
              <w:rPr>
                <w:b/>
              </w:rPr>
              <w:t xml:space="preserve"> </w:t>
            </w:r>
            <w:r w:rsidRPr="00066A2F">
              <w:t>ja skolotāja slodze ir lielāka par 0,5 nedēļā.</w:t>
            </w:r>
            <w:r>
              <w:t xml:space="preserve"> Tas nozīmē, ka visiem skolotājiem </w:t>
            </w:r>
            <w:r w:rsidRPr="00FD7814">
              <w:rPr>
                <w:b/>
              </w:rPr>
              <w:t>nav obligāti jānodrošina 10 konsultācijas nedēļ</w:t>
            </w:r>
            <w:r>
              <w:rPr>
                <w:b/>
              </w:rPr>
              <w:t xml:space="preserve">ā. </w:t>
            </w:r>
            <w:r w:rsidRPr="00FD7814">
              <w:t>Līdz ar to</w:t>
            </w:r>
            <w:r>
              <w:rPr>
                <w:b/>
              </w:rPr>
              <w:t xml:space="preserve"> </w:t>
            </w:r>
            <w:r w:rsidRPr="00FD7814">
              <w:t>tiek plānots, ka</w:t>
            </w:r>
            <w:r>
              <w:rPr>
                <w:b/>
              </w:rPr>
              <w:t xml:space="preserve"> </w:t>
            </w:r>
            <w:r>
              <w:t>aprēķinātais finansējums nodrošina reāli nostrādāto konsultāciju apmaksu ar to skolotāja vienas darba stundas izmaksu, kas skolotājam atbilstoši viņam noteiktajai algas likmei noteikta. Savukārt MK noteikumu Nr. 445 25. punktā noteikts, ka 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pedagogam tarifikācijā aprēķinātās darba algas par stundām, kas noteikta papildu darba veicējam. Šajā gadījumā papildu individuālās konsultācijas ir darba apjoma palielināšanās, kā arī līdz 10 konsultācijām nedēļā veida līdz 1/3 no slodzes un atbilstoši iekļaujas 30% no darba algas. Ņemot vērā, ka tas ir īslaicīgs – 2 mēneši darbs, tad varētu nebūt pārtarifikācija, bet tikai uzskaite darba laika uzskaites lapās kā papildu nostrādātas darba stundas (līdzīgi kā aizvietošana).</w:t>
            </w:r>
          </w:p>
        </w:tc>
        <w:tc>
          <w:tcPr>
            <w:tcW w:w="2693" w:type="dxa"/>
            <w:tcBorders>
              <w:top w:val="single" w:sz="4" w:space="0" w:color="auto"/>
              <w:left w:val="single" w:sz="4" w:space="0" w:color="auto"/>
              <w:bottom w:val="single" w:sz="4" w:space="0" w:color="auto"/>
            </w:tcBorders>
          </w:tcPr>
          <w:p w:rsidR="00D24FB3" w:rsidRDefault="00D24FB3" w:rsidP="00D24FB3">
            <w:pPr>
              <w:autoSpaceDE w:val="0"/>
              <w:autoSpaceDN w:val="0"/>
              <w:adjustRightInd w:val="0"/>
            </w:pPr>
          </w:p>
        </w:tc>
      </w:tr>
      <w:tr w:rsidR="00D24FB3" w:rsidRPr="003B71E0" w:rsidTr="00CC7E26">
        <w:tc>
          <w:tcPr>
            <w:tcW w:w="14992" w:type="dxa"/>
            <w:gridSpan w:val="7"/>
            <w:tcBorders>
              <w:top w:val="single" w:sz="6" w:space="0" w:color="000000"/>
              <w:left w:val="single" w:sz="6" w:space="0" w:color="000000"/>
              <w:bottom w:val="single" w:sz="6" w:space="0" w:color="000000"/>
            </w:tcBorders>
          </w:tcPr>
          <w:p w:rsidR="00D24FB3" w:rsidRPr="007636D7" w:rsidRDefault="00D24FB3" w:rsidP="00D24FB3">
            <w:pPr>
              <w:jc w:val="center"/>
              <w:rPr>
                <w:b/>
                <w:szCs w:val="20"/>
              </w:rPr>
            </w:pPr>
            <w:r>
              <w:rPr>
                <w:b/>
                <w:szCs w:val="20"/>
              </w:rPr>
              <w:lastRenderedPageBreak/>
              <w:t>Tieslietu ministrija</w:t>
            </w:r>
          </w:p>
        </w:tc>
      </w:tr>
      <w:tr w:rsidR="00D24FB3" w:rsidRPr="00712B66" w:rsidTr="00CC7E26">
        <w:tc>
          <w:tcPr>
            <w:tcW w:w="817" w:type="dxa"/>
            <w:tcBorders>
              <w:left w:val="single" w:sz="6" w:space="0" w:color="000000"/>
              <w:bottom w:val="single" w:sz="4" w:space="0" w:color="auto"/>
              <w:right w:val="single" w:sz="6" w:space="0" w:color="000000"/>
            </w:tcBorders>
          </w:tcPr>
          <w:p w:rsidR="00D24FB3" w:rsidRPr="00712B66" w:rsidRDefault="00D24FB3" w:rsidP="00D24FB3">
            <w:pPr>
              <w:pStyle w:val="naisc"/>
              <w:numPr>
                <w:ilvl w:val="0"/>
                <w:numId w:val="9"/>
              </w:numPr>
              <w:spacing w:before="0" w:after="0"/>
              <w:ind w:left="0" w:firstLine="0"/>
            </w:pPr>
            <w:r>
              <w:t>1</w:t>
            </w:r>
          </w:p>
        </w:tc>
        <w:tc>
          <w:tcPr>
            <w:tcW w:w="2977" w:type="dxa"/>
            <w:gridSpan w:val="2"/>
            <w:tcBorders>
              <w:left w:val="single" w:sz="6" w:space="0" w:color="000000"/>
              <w:bottom w:val="single" w:sz="4" w:space="0" w:color="auto"/>
              <w:right w:val="single" w:sz="6" w:space="0" w:color="000000"/>
            </w:tcBorders>
          </w:tcPr>
          <w:p w:rsidR="00D24FB3" w:rsidRPr="001335CB" w:rsidRDefault="00D24FB3" w:rsidP="00D24FB3">
            <w:pPr>
              <w:autoSpaceDE w:val="0"/>
              <w:autoSpaceDN w:val="0"/>
              <w:adjustRightInd w:val="0"/>
            </w:pPr>
            <w:r>
              <w:t>Rīkojuma projekts</w:t>
            </w:r>
          </w:p>
        </w:tc>
        <w:tc>
          <w:tcPr>
            <w:tcW w:w="4394" w:type="dxa"/>
            <w:tcBorders>
              <w:left w:val="single" w:sz="6" w:space="0" w:color="000000"/>
              <w:bottom w:val="single" w:sz="4" w:space="0" w:color="auto"/>
              <w:right w:val="single" w:sz="6" w:space="0" w:color="000000"/>
            </w:tcBorders>
          </w:tcPr>
          <w:p w:rsidR="00D24FB3" w:rsidRPr="001073E1" w:rsidRDefault="00D24FB3" w:rsidP="00D24FB3">
            <w:pPr>
              <w:contextualSpacing/>
              <w:jc w:val="both"/>
            </w:pPr>
            <w:r w:rsidRPr="00F23781">
              <w:rPr>
                <w:color w:val="000000"/>
                <w:szCs w:val="28"/>
                <w:shd w:val="clear" w:color="auto" w:fill="FFFFFF"/>
              </w:rPr>
              <w:t xml:space="preserve">Vēršam uzmanību uz to, ka no projektā minētā nav skaidrs, kā skolotāji, atbalsta personāls un skolēni zinās par projektā plānoto kārtību (t.i., ka paredzētas līdz 10 individuālajām konsultācijām nedēļā, tās tiek organizētas pēcpusdienā, tās tiek paredzētas vienam skolēnam līdz 40 minūtēm, skolēni var pieteikties konsultācijām paši u.tml.). Proti, vai šī kārtība tiks paredzēta kādā normatīvajā aktā </w:t>
            </w:r>
            <w:r w:rsidRPr="00F23781">
              <w:rPr>
                <w:color w:val="000000"/>
                <w:szCs w:val="28"/>
                <w:shd w:val="clear" w:color="auto" w:fill="FFFFFF"/>
              </w:rPr>
              <w:lastRenderedPageBreak/>
              <w:t>vai citādi noteikta. Ievērojot minēto, lūdzam papildināt projektu ar atbilstošu informāciju</w:t>
            </w:r>
          </w:p>
        </w:tc>
        <w:tc>
          <w:tcPr>
            <w:tcW w:w="4111" w:type="dxa"/>
            <w:gridSpan w:val="2"/>
            <w:tcBorders>
              <w:left w:val="single" w:sz="6" w:space="0" w:color="000000"/>
              <w:bottom w:val="single" w:sz="4" w:space="0" w:color="auto"/>
              <w:right w:val="single" w:sz="6" w:space="0" w:color="000000"/>
            </w:tcBorders>
          </w:tcPr>
          <w:p w:rsidR="00D24FB3" w:rsidRPr="00390835" w:rsidRDefault="00D24FB3" w:rsidP="00D24FB3">
            <w:pPr>
              <w:tabs>
                <w:tab w:val="left" w:pos="6870"/>
              </w:tabs>
              <w:ind w:firstLine="34"/>
              <w:jc w:val="both"/>
              <w:rPr>
                <w:color w:val="000000"/>
              </w:rPr>
            </w:pPr>
            <w:r w:rsidRPr="00390835">
              <w:rPr>
                <w:b/>
                <w:color w:val="000000"/>
              </w:rPr>
              <w:lastRenderedPageBreak/>
              <w:t>Ņemts vērā.</w:t>
            </w:r>
          </w:p>
          <w:p w:rsidR="00D24FB3" w:rsidRDefault="00D24FB3" w:rsidP="007A3F62">
            <w:pPr>
              <w:tabs>
                <w:tab w:val="left" w:pos="6870"/>
              </w:tabs>
              <w:ind w:firstLine="34"/>
              <w:jc w:val="both"/>
              <w:rPr>
                <w:color w:val="000000"/>
              </w:rPr>
            </w:pPr>
            <w:r w:rsidRPr="00AD087B">
              <w:rPr>
                <w:color w:val="000000"/>
              </w:rPr>
              <w:t>Ministru kabineta 2020.g</w:t>
            </w:r>
            <w:r>
              <w:rPr>
                <w:color w:val="000000"/>
              </w:rPr>
              <w:t>ada 6.novembra rīkojumā Nr.655 "</w:t>
            </w:r>
            <w:r w:rsidRPr="00AD087B">
              <w:rPr>
                <w:color w:val="000000"/>
              </w:rPr>
              <w:t>Par ārkārtējās situācijas izsludināšanu</w:t>
            </w:r>
            <w:r>
              <w:rPr>
                <w:color w:val="000000"/>
              </w:rPr>
              <w:t>"</w:t>
            </w:r>
            <w:r w:rsidRPr="00AD087B">
              <w:rPr>
                <w:color w:val="000000"/>
              </w:rPr>
              <w:t xml:space="preserve"> jau ir noteikts regulējums par </w:t>
            </w:r>
            <w:bookmarkStart w:id="0" w:name="_GoBack"/>
            <w:bookmarkEnd w:id="0"/>
            <w:r w:rsidRPr="00AD087B">
              <w:rPr>
                <w:color w:val="000000"/>
              </w:rPr>
              <w:t>konsultācijām</w:t>
            </w:r>
            <w:r>
              <w:rPr>
                <w:color w:val="000000"/>
              </w:rPr>
              <w:t>, t.sk.</w:t>
            </w:r>
            <w:r w:rsidRPr="00AD087B">
              <w:rPr>
                <w:color w:val="000000"/>
              </w:rPr>
              <w:t xml:space="preserve"> 40 minūšu ilgums konsultācijās. Savukārt </w:t>
            </w:r>
            <w:r>
              <w:rPr>
                <w:color w:val="000000"/>
              </w:rPr>
              <w:lastRenderedPageBreak/>
              <w:t xml:space="preserve">desmit </w:t>
            </w:r>
            <w:r w:rsidRPr="00AD087B">
              <w:rPr>
                <w:color w:val="000000"/>
              </w:rPr>
              <w:t>individuālo konsultāciju sn</w:t>
            </w:r>
            <w:r>
              <w:rPr>
                <w:color w:val="000000"/>
              </w:rPr>
              <w:t>iegšana nav pienākums, un minētais desmit</w:t>
            </w:r>
            <w:r w:rsidRPr="00AD087B">
              <w:rPr>
                <w:color w:val="000000"/>
              </w:rPr>
              <w:t xml:space="preserve"> konsultāciju skaits ir indikatīvs. </w:t>
            </w:r>
          </w:p>
          <w:p w:rsidR="00D24FB3" w:rsidRPr="00390835" w:rsidRDefault="00D24FB3" w:rsidP="007A3F62">
            <w:pPr>
              <w:tabs>
                <w:tab w:val="left" w:pos="6870"/>
              </w:tabs>
              <w:ind w:firstLine="34"/>
              <w:jc w:val="both"/>
              <w:rPr>
                <w:color w:val="000000"/>
              </w:rPr>
            </w:pPr>
            <w:r w:rsidRPr="00AD087B">
              <w:rPr>
                <w:color w:val="000000"/>
              </w:rPr>
              <w:t xml:space="preserve">Šo konsultāciju piemērošanas kārtību atbilstoši </w:t>
            </w:r>
            <w:r>
              <w:rPr>
                <w:color w:val="000000"/>
              </w:rPr>
              <w:t xml:space="preserve">rīkojuma Nr. </w:t>
            </w:r>
            <w:r w:rsidRPr="00AD087B">
              <w:rPr>
                <w:color w:val="000000"/>
              </w:rPr>
              <w:t>655 5.13.2.7. apakšpunktam izglītības iestād</w:t>
            </w:r>
            <w:r>
              <w:rPr>
                <w:color w:val="000000"/>
              </w:rPr>
              <w:t>ēs</w:t>
            </w:r>
            <w:r w:rsidRPr="00AD087B">
              <w:rPr>
                <w:color w:val="000000"/>
              </w:rPr>
              <w:t xml:space="preserve"> </w:t>
            </w:r>
            <w:r>
              <w:rPr>
                <w:color w:val="000000"/>
              </w:rPr>
              <w:t xml:space="preserve">regulē </w:t>
            </w:r>
            <w:r w:rsidRPr="00AD087B">
              <w:rPr>
                <w:color w:val="000000"/>
              </w:rPr>
              <w:t xml:space="preserve">šo iestāžu iekšējie normatīvie akti. Ziņojumā arī ir minēts, ka Skolas padome ir tas institūts, ar kuru izglītības iestādēs notiek informēšana </w:t>
            </w:r>
            <w:r>
              <w:rPr>
                <w:color w:val="000000"/>
              </w:rPr>
              <w:t>par šīm individuālajām konsultācijām</w:t>
            </w:r>
            <w:r w:rsidRPr="00AD087B">
              <w:rPr>
                <w:color w:val="000000"/>
              </w:rPr>
              <w:t>.</w:t>
            </w:r>
          </w:p>
        </w:tc>
        <w:tc>
          <w:tcPr>
            <w:tcW w:w="2693" w:type="dxa"/>
            <w:tcBorders>
              <w:top w:val="single" w:sz="4" w:space="0" w:color="auto"/>
              <w:left w:val="single" w:sz="4" w:space="0" w:color="auto"/>
              <w:bottom w:val="single" w:sz="4" w:space="0" w:color="auto"/>
            </w:tcBorders>
          </w:tcPr>
          <w:p w:rsidR="00D24FB3" w:rsidRPr="00A91E31" w:rsidRDefault="00D24FB3" w:rsidP="00D24FB3">
            <w:pPr>
              <w:autoSpaceDE w:val="0"/>
              <w:autoSpaceDN w:val="0"/>
              <w:adjustRightInd w:val="0"/>
            </w:pPr>
          </w:p>
        </w:tc>
      </w:tr>
      <w:tr w:rsidR="00D24FB3" w:rsidRPr="00712B66" w:rsidTr="00CC7E2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D24FB3" w:rsidRPr="00712B66" w:rsidRDefault="00D24FB3" w:rsidP="00D24FB3">
            <w:pPr>
              <w:pStyle w:val="naiskr"/>
              <w:spacing w:before="0" w:after="0"/>
            </w:pPr>
          </w:p>
          <w:p w:rsidR="00D24FB3" w:rsidRPr="00712B66" w:rsidRDefault="00D24FB3" w:rsidP="00D24FB3">
            <w:pPr>
              <w:pStyle w:val="naiskr"/>
              <w:spacing w:before="0" w:after="0"/>
            </w:pPr>
            <w:r w:rsidRPr="00712B66">
              <w:t>Atbildīgā amatpersona</w:t>
            </w:r>
          </w:p>
        </w:tc>
        <w:tc>
          <w:tcPr>
            <w:tcW w:w="6179" w:type="dxa"/>
            <w:gridSpan w:val="3"/>
          </w:tcPr>
          <w:p w:rsidR="00D24FB3" w:rsidRPr="00712B66" w:rsidRDefault="00D24FB3" w:rsidP="00D24FB3">
            <w:pPr>
              <w:pStyle w:val="naiskr"/>
              <w:spacing w:before="0" w:after="0"/>
              <w:ind w:firstLine="720"/>
            </w:pPr>
            <w:r w:rsidRPr="00712B66">
              <w:t>  </w:t>
            </w:r>
          </w:p>
        </w:tc>
      </w:tr>
      <w:tr w:rsidR="00D24FB3" w:rsidRPr="00712B66" w:rsidTr="00CC7E2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D24FB3" w:rsidRPr="00712B66" w:rsidRDefault="00D24FB3" w:rsidP="00D24FB3">
            <w:pPr>
              <w:pStyle w:val="naiskr"/>
              <w:spacing w:before="0" w:after="0"/>
            </w:pPr>
          </w:p>
        </w:tc>
        <w:tc>
          <w:tcPr>
            <w:tcW w:w="6179" w:type="dxa"/>
            <w:gridSpan w:val="3"/>
            <w:tcBorders>
              <w:top w:val="single" w:sz="6" w:space="0" w:color="000000"/>
            </w:tcBorders>
          </w:tcPr>
          <w:p w:rsidR="00D24FB3" w:rsidRPr="00712B66" w:rsidRDefault="00D24FB3" w:rsidP="00D24FB3">
            <w:pPr>
              <w:pStyle w:val="naisc"/>
              <w:spacing w:before="0" w:after="0"/>
              <w:ind w:firstLine="720"/>
            </w:pPr>
            <w:r w:rsidRPr="00712B66">
              <w:t>(paraksts)*</w:t>
            </w:r>
          </w:p>
        </w:tc>
      </w:tr>
    </w:tbl>
    <w:p w:rsidR="003B71E0" w:rsidRPr="00712B66" w:rsidRDefault="003B71E0"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4373E1" w:rsidRPr="00712B66" w:rsidRDefault="004373E1" w:rsidP="00DB7395">
      <w:pPr>
        <w:pStyle w:val="naisf"/>
        <w:spacing w:before="0" w:after="0"/>
        <w:ind w:firstLine="720"/>
      </w:pPr>
    </w:p>
    <w:tbl>
      <w:tblPr>
        <w:tblW w:w="0" w:type="auto"/>
        <w:tblLook w:val="00A0" w:firstRow="1" w:lastRow="0" w:firstColumn="1" w:lastColumn="0" w:noHBand="0" w:noVBand="0"/>
      </w:tblPr>
      <w:tblGrid>
        <w:gridCol w:w="8268"/>
      </w:tblGrid>
      <w:tr w:rsidR="007636D7" w:rsidRPr="00E9176E" w:rsidTr="007636D7">
        <w:tc>
          <w:tcPr>
            <w:tcW w:w="8268" w:type="dxa"/>
            <w:tcBorders>
              <w:bottom w:val="single" w:sz="4" w:space="0" w:color="000000"/>
            </w:tcBorders>
          </w:tcPr>
          <w:p w:rsidR="007636D7" w:rsidRPr="00E9176E" w:rsidRDefault="00E9176E" w:rsidP="00E9176E">
            <w:pPr>
              <w:rPr>
                <w:sz w:val="22"/>
              </w:rPr>
            </w:pPr>
            <w:r w:rsidRPr="00E9176E">
              <w:rPr>
                <w:sz w:val="22"/>
              </w:rPr>
              <w:t>Dace Kalsone</w:t>
            </w:r>
          </w:p>
        </w:tc>
      </w:tr>
      <w:tr w:rsidR="008655A2" w:rsidRPr="00E9176E" w:rsidTr="007636D7">
        <w:tc>
          <w:tcPr>
            <w:tcW w:w="8268" w:type="dxa"/>
            <w:tcBorders>
              <w:top w:val="single" w:sz="4" w:space="0" w:color="000000"/>
            </w:tcBorders>
          </w:tcPr>
          <w:p w:rsidR="008655A2" w:rsidRPr="00E9176E" w:rsidRDefault="00184479" w:rsidP="00E9176E">
            <w:pPr>
              <w:rPr>
                <w:sz w:val="22"/>
              </w:rPr>
            </w:pPr>
            <w:r w:rsidRPr="00E9176E">
              <w:rPr>
                <w:sz w:val="22"/>
              </w:rPr>
              <w:t>(</w:t>
            </w:r>
            <w:r w:rsidR="008655A2" w:rsidRPr="00E9176E">
              <w:rPr>
                <w:sz w:val="22"/>
              </w:rPr>
              <w:t xml:space="preserve">par projektu atbildīgās amatpersonas </w:t>
            </w:r>
            <w:r w:rsidRPr="00E9176E">
              <w:rPr>
                <w:sz w:val="22"/>
              </w:rPr>
              <w:t xml:space="preserve">vārds un </w:t>
            </w:r>
            <w:r w:rsidR="008655A2" w:rsidRPr="00E9176E">
              <w:rPr>
                <w:sz w:val="22"/>
              </w:rPr>
              <w:t>uzvārds</w:t>
            </w:r>
            <w:r w:rsidRPr="00E9176E">
              <w:rPr>
                <w:sz w:val="22"/>
              </w:rPr>
              <w:t>)</w:t>
            </w:r>
          </w:p>
        </w:tc>
      </w:tr>
      <w:tr w:rsidR="008655A2" w:rsidRPr="00E9176E">
        <w:tc>
          <w:tcPr>
            <w:tcW w:w="8268" w:type="dxa"/>
            <w:tcBorders>
              <w:bottom w:val="single" w:sz="4" w:space="0" w:color="000000"/>
            </w:tcBorders>
          </w:tcPr>
          <w:p w:rsidR="008655A2" w:rsidRPr="00E9176E" w:rsidRDefault="00E9176E" w:rsidP="0036160E">
            <w:pPr>
              <w:rPr>
                <w:sz w:val="22"/>
              </w:rPr>
            </w:pPr>
            <w:r w:rsidRPr="00E9176E">
              <w:rPr>
                <w:sz w:val="22"/>
              </w:rPr>
              <w:t>Izglītības ministrijas Izglītības departamenta vietniece izglītības statistikas un finanšu plānošanas jomā</w:t>
            </w:r>
          </w:p>
        </w:tc>
      </w:tr>
      <w:tr w:rsidR="008655A2" w:rsidRPr="00E9176E">
        <w:tc>
          <w:tcPr>
            <w:tcW w:w="8268" w:type="dxa"/>
            <w:tcBorders>
              <w:top w:val="single" w:sz="4" w:space="0" w:color="000000"/>
            </w:tcBorders>
          </w:tcPr>
          <w:p w:rsidR="008655A2" w:rsidRPr="00E9176E" w:rsidRDefault="00184479" w:rsidP="00E9176E">
            <w:pPr>
              <w:rPr>
                <w:sz w:val="22"/>
              </w:rPr>
            </w:pPr>
            <w:r w:rsidRPr="00E9176E">
              <w:rPr>
                <w:sz w:val="22"/>
              </w:rPr>
              <w:t>(</w:t>
            </w:r>
            <w:r w:rsidR="008655A2" w:rsidRPr="00E9176E">
              <w:rPr>
                <w:sz w:val="22"/>
              </w:rPr>
              <w:t>amats</w:t>
            </w:r>
            <w:r w:rsidRPr="00E9176E">
              <w:rPr>
                <w:sz w:val="22"/>
              </w:rPr>
              <w:t>)</w:t>
            </w:r>
          </w:p>
        </w:tc>
      </w:tr>
      <w:tr w:rsidR="008655A2" w:rsidRPr="00E9176E">
        <w:tc>
          <w:tcPr>
            <w:tcW w:w="8268" w:type="dxa"/>
            <w:tcBorders>
              <w:bottom w:val="single" w:sz="4" w:space="0" w:color="000000"/>
            </w:tcBorders>
          </w:tcPr>
          <w:p w:rsidR="008655A2" w:rsidRPr="00E9176E" w:rsidRDefault="00E9176E" w:rsidP="0036160E">
            <w:pPr>
              <w:rPr>
                <w:sz w:val="22"/>
              </w:rPr>
            </w:pPr>
            <w:r w:rsidRPr="00E9176E">
              <w:rPr>
                <w:sz w:val="22"/>
              </w:rPr>
              <w:t>67047931</w:t>
            </w:r>
          </w:p>
        </w:tc>
      </w:tr>
      <w:tr w:rsidR="008655A2" w:rsidRPr="00E9176E">
        <w:tc>
          <w:tcPr>
            <w:tcW w:w="8268" w:type="dxa"/>
            <w:tcBorders>
              <w:top w:val="single" w:sz="4" w:space="0" w:color="000000"/>
            </w:tcBorders>
          </w:tcPr>
          <w:p w:rsidR="008655A2" w:rsidRPr="00E9176E" w:rsidRDefault="00184479" w:rsidP="00E9176E">
            <w:pPr>
              <w:rPr>
                <w:sz w:val="22"/>
              </w:rPr>
            </w:pPr>
            <w:r w:rsidRPr="00E9176E">
              <w:rPr>
                <w:sz w:val="22"/>
              </w:rPr>
              <w:t>(</w:t>
            </w:r>
            <w:r w:rsidR="008655A2" w:rsidRPr="00E9176E">
              <w:rPr>
                <w:sz w:val="22"/>
              </w:rPr>
              <w:t>tālruņa un faksa numurs</w:t>
            </w:r>
            <w:r w:rsidRPr="00E9176E">
              <w:rPr>
                <w:sz w:val="22"/>
              </w:rPr>
              <w:t>)</w:t>
            </w:r>
          </w:p>
        </w:tc>
      </w:tr>
      <w:tr w:rsidR="008655A2" w:rsidRPr="00E9176E">
        <w:tc>
          <w:tcPr>
            <w:tcW w:w="8268" w:type="dxa"/>
            <w:tcBorders>
              <w:bottom w:val="single" w:sz="4" w:space="0" w:color="000000"/>
            </w:tcBorders>
          </w:tcPr>
          <w:p w:rsidR="008655A2" w:rsidRPr="00E9176E" w:rsidRDefault="00E9176E" w:rsidP="0036160E">
            <w:pPr>
              <w:rPr>
                <w:sz w:val="22"/>
              </w:rPr>
            </w:pPr>
            <w:r w:rsidRPr="00E9176E">
              <w:rPr>
                <w:sz w:val="22"/>
              </w:rPr>
              <w:t>dace.kalsone@izm.gov.lv</w:t>
            </w:r>
          </w:p>
        </w:tc>
      </w:tr>
      <w:tr w:rsidR="008655A2" w:rsidRPr="00E9176E">
        <w:tc>
          <w:tcPr>
            <w:tcW w:w="8268" w:type="dxa"/>
            <w:tcBorders>
              <w:top w:val="single" w:sz="4" w:space="0" w:color="000000"/>
            </w:tcBorders>
          </w:tcPr>
          <w:p w:rsidR="008655A2" w:rsidRPr="00E9176E" w:rsidRDefault="00184479" w:rsidP="00E9176E">
            <w:pPr>
              <w:rPr>
                <w:sz w:val="22"/>
              </w:rPr>
            </w:pPr>
            <w:r w:rsidRPr="00E9176E">
              <w:rPr>
                <w:sz w:val="22"/>
              </w:rPr>
              <w:t>(</w:t>
            </w:r>
            <w:r w:rsidR="008655A2" w:rsidRPr="00E9176E">
              <w:rPr>
                <w:sz w:val="22"/>
              </w:rPr>
              <w:t>e-pasta adrese</w:t>
            </w:r>
            <w:r w:rsidRPr="00E9176E">
              <w:rPr>
                <w:sz w:val="22"/>
              </w:rPr>
              <w:t>)</w:t>
            </w:r>
          </w:p>
        </w:tc>
      </w:tr>
    </w:tbl>
    <w:p w:rsidR="007116C7" w:rsidRPr="00E9176E" w:rsidRDefault="007116C7" w:rsidP="00E74517">
      <w:pPr>
        <w:pStyle w:val="naisf"/>
        <w:spacing w:before="0" w:after="0"/>
        <w:ind w:firstLine="0"/>
        <w:jc w:val="left"/>
        <w:rPr>
          <w:szCs w:val="28"/>
        </w:rPr>
      </w:pPr>
    </w:p>
    <w:sectPr w:rsidR="007116C7" w:rsidRPr="00E9176E"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5F" w:rsidRDefault="0034525F">
      <w:r>
        <w:separator/>
      </w:r>
    </w:p>
  </w:endnote>
  <w:endnote w:type="continuationSeparator" w:id="0">
    <w:p w:rsidR="0034525F" w:rsidRDefault="0034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E9176E" w:rsidRDefault="007A3F62" w:rsidP="00E9176E">
    <w:pPr>
      <w:pStyle w:val="Footer"/>
    </w:pPr>
    <w:r>
      <w:fldChar w:fldCharType="begin"/>
    </w:r>
    <w:r>
      <w:instrText xml:space="preserve"> FILENAME \* MERGEFORMAT </w:instrText>
    </w:r>
    <w:r>
      <w:fldChar w:fldCharType="separate"/>
    </w:r>
    <w:r w:rsidR="00C51894">
      <w:rPr>
        <w:noProof/>
      </w:rPr>
      <w:t>IZMIzz_150221_konsultacijas</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E9176E" w:rsidRDefault="007A3F62" w:rsidP="00E9176E">
    <w:pPr>
      <w:pStyle w:val="Footer"/>
    </w:pPr>
    <w:r>
      <w:fldChar w:fldCharType="begin"/>
    </w:r>
    <w:r>
      <w:instrText xml:space="preserve"> FILENAME \* MERGEFORMAT </w:instrText>
    </w:r>
    <w:r>
      <w:fldChar w:fldCharType="separate"/>
    </w:r>
    <w:r w:rsidR="00C51894">
      <w:rPr>
        <w:noProof/>
      </w:rPr>
      <w:t>IZMIzz_150221_konsultacijas</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5F" w:rsidRDefault="0034525F">
      <w:r>
        <w:separator/>
      </w:r>
    </w:p>
  </w:footnote>
  <w:footnote w:type="continuationSeparator" w:id="0">
    <w:p w:rsidR="0034525F" w:rsidRDefault="00345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F62">
      <w:rPr>
        <w:rStyle w:val="PageNumber"/>
        <w:noProof/>
      </w:rPr>
      <w:t>8</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FD1"/>
    <w:multiLevelType w:val="hybridMultilevel"/>
    <w:tmpl w:val="123AB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D121BE"/>
    <w:multiLevelType w:val="hybridMultilevel"/>
    <w:tmpl w:val="D2B40468"/>
    <w:lvl w:ilvl="0" w:tplc="C63CA27C">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4EA596F"/>
    <w:multiLevelType w:val="hybridMultilevel"/>
    <w:tmpl w:val="8BC68F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A177077"/>
    <w:multiLevelType w:val="hybridMultilevel"/>
    <w:tmpl w:val="FA52BB54"/>
    <w:lvl w:ilvl="0" w:tplc="082E14AA">
      <w:start w:val="1"/>
      <w:numFmt w:val="decimal"/>
      <w:lvlText w:val="%1)"/>
      <w:lvlJc w:val="left"/>
      <w:pPr>
        <w:ind w:left="720" w:hanging="360"/>
      </w:pPr>
      <w:rPr>
        <w:b w:val="0"/>
        <w:bCs/>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6981346"/>
    <w:multiLevelType w:val="hybridMultilevel"/>
    <w:tmpl w:val="F6C202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763E45"/>
    <w:multiLevelType w:val="hybridMultilevel"/>
    <w:tmpl w:val="123AB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E93BB2"/>
    <w:multiLevelType w:val="hybridMultilevel"/>
    <w:tmpl w:val="D6C036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74D02805"/>
    <w:multiLevelType w:val="hybridMultilevel"/>
    <w:tmpl w:val="1F4AE2A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2"/>
  </w:num>
  <w:num w:numId="7">
    <w:abstractNumId w:val="10"/>
  </w:num>
  <w:num w:numId="8">
    <w:abstractNumId w:val="6"/>
  </w:num>
  <w:num w:numId="9">
    <w:abstractNumId w:val="4"/>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2F"/>
    <w:rsid w:val="00066A37"/>
    <w:rsid w:val="00066F05"/>
    <w:rsid w:val="00072628"/>
    <w:rsid w:val="000728ED"/>
    <w:rsid w:val="000733F5"/>
    <w:rsid w:val="000733FF"/>
    <w:rsid w:val="0007577A"/>
    <w:rsid w:val="0007633E"/>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3E1"/>
    <w:rsid w:val="001075A8"/>
    <w:rsid w:val="00110259"/>
    <w:rsid w:val="00110AA9"/>
    <w:rsid w:val="0011254D"/>
    <w:rsid w:val="001139C2"/>
    <w:rsid w:val="00114559"/>
    <w:rsid w:val="00114EA9"/>
    <w:rsid w:val="00115ED0"/>
    <w:rsid w:val="0011683C"/>
    <w:rsid w:val="00117522"/>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8BE"/>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22C"/>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1A8"/>
    <w:rsid w:val="00334951"/>
    <w:rsid w:val="00336411"/>
    <w:rsid w:val="0033678D"/>
    <w:rsid w:val="0033720D"/>
    <w:rsid w:val="003373E8"/>
    <w:rsid w:val="003443DD"/>
    <w:rsid w:val="00344D5A"/>
    <w:rsid w:val="0034525F"/>
    <w:rsid w:val="00346EB6"/>
    <w:rsid w:val="00347EDB"/>
    <w:rsid w:val="00350797"/>
    <w:rsid w:val="00351A85"/>
    <w:rsid w:val="003522E8"/>
    <w:rsid w:val="003538AE"/>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69C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4E2"/>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A83"/>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8D8"/>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8AD"/>
    <w:rsid w:val="00751960"/>
    <w:rsid w:val="007535C7"/>
    <w:rsid w:val="00756551"/>
    <w:rsid w:val="00757769"/>
    <w:rsid w:val="0076067E"/>
    <w:rsid w:val="00761BFD"/>
    <w:rsid w:val="00761D5C"/>
    <w:rsid w:val="00761FE5"/>
    <w:rsid w:val="00762476"/>
    <w:rsid w:val="00762A18"/>
    <w:rsid w:val="007636D7"/>
    <w:rsid w:val="00763AE2"/>
    <w:rsid w:val="0076467D"/>
    <w:rsid w:val="00766D90"/>
    <w:rsid w:val="00767C19"/>
    <w:rsid w:val="00767D4E"/>
    <w:rsid w:val="00771067"/>
    <w:rsid w:val="00771F7D"/>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F62"/>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5FB9"/>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A6B"/>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7EE"/>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28D1"/>
    <w:rsid w:val="00A83010"/>
    <w:rsid w:val="00A83BF5"/>
    <w:rsid w:val="00A84CD1"/>
    <w:rsid w:val="00A85E2E"/>
    <w:rsid w:val="00A861F3"/>
    <w:rsid w:val="00A8728F"/>
    <w:rsid w:val="00A8756A"/>
    <w:rsid w:val="00A87F7D"/>
    <w:rsid w:val="00A906B7"/>
    <w:rsid w:val="00A9070E"/>
    <w:rsid w:val="00A91E31"/>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087B"/>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4B2"/>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613F"/>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1F86"/>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89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681F"/>
    <w:rsid w:val="00CA7558"/>
    <w:rsid w:val="00CA785F"/>
    <w:rsid w:val="00CA792A"/>
    <w:rsid w:val="00CA7949"/>
    <w:rsid w:val="00CB0C6E"/>
    <w:rsid w:val="00CB0C89"/>
    <w:rsid w:val="00CB2025"/>
    <w:rsid w:val="00CB226B"/>
    <w:rsid w:val="00CB229B"/>
    <w:rsid w:val="00CB33B4"/>
    <w:rsid w:val="00CB3D93"/>
    <w:rsid w:val="00CB4441"/>
    <w:rsid w:val="00CB4B1A"/>
    <w:rsid w:val="00CB4E1F"/>
    <w:rsid w:val="00CC152E"/>
    <w:rsid w:val="00CC2493"/>
    <w:rsid w:val="00CC3222"/>
    <w:rsid w:val="00CC35F1"/>
    <w:rsid w:val="00CC35FF"/>
    <w:rsid w:val="00CC7E26"/>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4FB3"/>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52C"/>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37C"/>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371D"/>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76E"/>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5846"/>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3781"/>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40A2"/>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781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53D5D-C2B9-4010-921E-F2B74797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4C95-E554-4599-B8F2-5258F3F2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1458</Words>
  <Characters>10758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Dace Kalsone</cp:lastModifiedBy>
  <cp:revision>3</cp:revision>
  <cp:lastPrinted>2009-04-08T09:39:00Z</cp:lastPrinted>
  <dcterms:created xsi:type="dcterms:W3CDTF">2021-02-15T11:17:00Z</dcterms:created>
  <dcterms:modified xsi:type="dcterms:W3CDTF">2021-02-15T11:18:00Z</dcterms:modified>
</cp:coreProperties>
</file>