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D70B" w14:textId="77777777" w:rsidR="00AB48B8" w:rsidRPr="004B1257" w:rsidRDefault="00246ADB" w:rsidP="009E07DC">
      <w:pPr>
        <w:pStyle w:val="Body"/>
        <w:spacing w:after="120"/>
        <w:jc w:val="center"/>
        <w:rPr>
          <w:b/>
          <w:bCs/>
          <w:sz w:val="24"/>
          <w:szCs w:val="24"/>
          <w:lang w:val="lv-LV"/>
        </w:rPr>
      </w:pPr>
      <w:r w:rsidRPr="004B1257">
        <w:rPr>
          <w:b/>
          <w:bCs/>
          <w:sz w:val="24"/>
          <w:szCs w:val="24"/>
          <w:lang w:val="lv-LV"/>
        </w:rPr>
        <w:t>Informatīvais ziņojums</w:t>
      </w:r>
    </w:p>
    <w:p w14:paraId="7472D70C" w14:textId="77777777" w:rsidR="00AB48B8" w:rsidRPr="004B1257" w:rsidRDefault="00246ADB" w:rsidP="009E07DC">
      <w:pPr>
        <w:pStyle w:val="Body"/>
        <w:spacing w:after="120"/>
        <w:jc w:val="center"/>
        <w:rPr>
          <w:b/>
          <w:bCs/>
          <w:sz w:val="24"/>
          <w:szCs w:val="24"/>
          <w:lang w:val="lv-LV"/>
        </w:rPr>
      </w:pPr>
      <w:r w:rsidRPr="004B1257">
        <w:rPr>
          <w:b/>
          <w:bCs/>
          <w:sz w:val="24"/>
          <w:szCs w:val="24"/>
          <w:lang w:val="lv-LV"/>
        </w:rPr>
        <w:t>“Par Ei</w:t>
      </w:r>
      <w:r w:rsidR="0058182D" w:rsidRPr="004B1257">
        <w:rPr>
          <w:b/>
          <w:bCs/>
          <w:sz w:val="24"/>
          <w:szCs w:val="24"/>
          <w:lang w:val="lv-LV"/>
        </w:rPr>
        <w:t>ropas Savienības 2021. gada 26.</w:t>
      </w:r>
      <w:r w:rsidRPr="004B1257">
        <w:rPr>
          <w:b/>
          <w:bCs/>
          <w:sz w:val="24"/>
          <w:szCs w:val="24"/>
          <w:lang w:val="lv-LV"/>
        </w:rPr>
        <w:t xml:space="preserve"> februāra neformālajā pētniecības ministru videokonferencē izskatāmajiem jautājumiem”</w:t>
      </w:r>
    </w:p>
    <w:p w14:paraId="7472D70D" w14:textId="77777777" w:rsidR="00AB48B8" w:rsidRPr="004B1257" w:rsidRDefault="0058182D" w:rsidP="009E07DC">
      <w:pPr>
        <w:pStyle w:val="Body"/>
        <w:keepNext/>
        <w:spacing w:after="120"/>
        <w:ind w:firstLine="720"/>
        <w:jc w:val="center"/>
        <w:outlineLvl w:val="1"/>
        <w:rPr>
          <w:bCs/>
          <w:sz w:val="24"/>
          <w:szCs w:val="26"/>
          <w:u w:val="single"/>
          <w:lang w:val="lv-LV"/>
        </w:rPr>
      </w:pPr>
      <w:r w:rsidRPr="004B1257">
        <w:rPr>
          <w:sz w:val="24"/>
          <w:szCs w:val="26"/>
          <w:u w:val="single"/>
          <w:lang w:val="lv-LV"/>
        </w:rPr>
        <w:t>2021. gada 26</w:t>
      </w:r>
      <w:r w:rsidR="00584253" w:rsidRPr="004B1257">
        <w:rPr>
          <w:bCs/>
          <w:sz w:val="24"/>
          <w:szCs w:val="26"/>
          <w:u w:val="single"/>
          <w:lang w:val="lv-LV"/>
        </w:rPr>
        <w:t>.</w:t>
      </w:r>
      <w:r w:rsidR="00784A49" w:rsidRPr="004B1257">
        <w:rPr>
          <w:bCs/>
          <w:sz w:val="24"/>
          <w:szCs w:val="26"/>
          <w:u w:val="single"/>
          <w:lang w:val="lv-LV"/>
        </w:rPr>
        <w:t xml:space="preserve"> </w:t>
      </w:r>
      <w:r w:rsidR="00584253" w:rsidRPr="004B1257">
        <w:rPr>
          <w:bCs/>
          <w:sz w:val="24"/>
          <w:szCs w:val="26"/>
          <w:u w:val="single"/>
          <w:lang w:val="lv-LV"/>
        </w:rPr>
        <w:t>februārī</w:t>
      </w:r>
      <w:r w:rsidR="00246ADB" w:rsidRPr="004B1257">
        <w:rPr>
          <w:bCs/>
          <w:sz w:val="24"/>
          <w:szCs w:val="26"/>
          <w:u w:val="single"/>
          <w:lang w:val="lv-LV"/>
        </w:rPr>
        <w:t xml:space="preserve"> notiks </w:t>
      </w:r>
      <w:r w:rsidR="00246ADB" w:rsidRPr="004B1257">
        <w:rPr>
          <w:bCs/>
          <w:sz w:val="24"/>
          <w:szCs w:val="24"/>
          <w:u w:val="single"/>
          <w:lang w:val="lv-LV"/>
        </w:rPr>
        <w:t xml:space="preserve">Eiropas Savienības </w:t>
      </w:r>
      <w:r w:rsidR="00246ADB" w:rsidRPr="004B1257">
        <w:rPr>
          <w:bCs/>
          <w:sz w:val="24"/>
          <w:szCs w:val="26"/>
          <w:u w:val="single"/>
          <w:lang w:val="lv-LV"/>
        </w:rPr>
        <w:t>par pētniecību atbildīgo ministru neformālā</w:t>
      </w:r>
      <w:r w:rsidR="00246ADB" w:rsidRPr="004B1257">
        <w:rPr>
          <w:rFonts w:eastAsia="Times New Roman"/>
          <w:bCs/>
          <w:sz w:val="24"/>
          <w:szCs w:val="24"/>
          <w:lang w:val="lv-LV"/>
        </w:rPr>
        <w:t xml:space="preserve"> </w:t>
      </w:r>
      <w:r w:rsidR="00246ADB" w:rsidRPr="004B1257">
        <w:rPr>
          <w:rFonts w:eastAsia="Times New Roman"/>
          <w:bCs/>
          <w:sz w:val="24"/>
          <w:szCs w:val="24"/>
          <w:u w:val="single"/>
          <w:lang w:val="lv-LV"/>
        </w:rPr>
        <w:t>sanāksme</w:t>
      </w:r>
      <w:r w:rsidR="00246ADB" w:rsidRPr="004B1257">
        <w:rPr>
          <w:rFonts w:eastAsia="Times New Roman"/>
          <w:bCs/>
          <w:sz w:val="24"/>
          <w:szCs w:val="24"/>
          <w:lang w:val="lv-LV"/>
        </w:rPr>
        <w:t xml:space="preserve"> </w:t>
      </w:r>
      <w:r w:rsidR="00246ADB" w:rsidRPr="004B1257">
        <w:rPr>
          <w:bCs/>
          <w:sz w:val="24"/>
          <w:szCs w:val="26"/>
          <w:u w:val="single"/>
          <w:lang w:val="lv-LV"/>
        </w:rPr>
        <w:t>(videokonference).</w:t>
      </w:r>
    </w:p>
    <w:p w14:paraId="7472D70E" w14:textId="77777777" w:rsidR="00AB48B8" w:rsidRPr="004B1257" w:rsidRDefault="00246ADB" w:rsidP="009E07DC">
      <w:pPr>
        <w:pStyle w:val="Body"/>
        <w:shd w:val="clear" w:color="auto" w:fill="D9D9D9"/>
        <w:spacing w:after="120"/>
        <w:jc w:val="center"/>
        <w:rPr>
          <w:b/>
          <w:bCs/>
          <w:sz w:val="24"/>
          <w:szCs w:val="26"/>
          <w:lang w:val="lv-LV"/>
        </w:rPr>
      </w:pPr>
      <w:r w:rsidRPr="004B1257">
        <w:rPr>
          <w:b/>
          <w:bCs/>
          <w:sz w:val="24"/>
          <w:szCs w:val="26"/>
          <w:lang w:val="lv-LV"/>
        </w:rPr>
        <w:t xml:space="preserve">Politikas debates </w:t>
      </w:r>
    </w:p>
    <w:p w14:paraId="7472D70F" w14:textId="77777777" w:rsidR="00AB48B8" w:rsidRPr="004B1257" w:rsidRDefault="00246ADB" w:rsidP="009E07DC">
      <w:pPr>
        <w:pStyle w:val="Body"/>
        <w:spacing w:after="120"/>
        <w:jc w:val="both"/>
        <w:rPr>
          <w:sz w:val="24"/>
          <w:szCs w:val="26"/>
          <w:lang w:val="lv-LV"/>
        </w:rPr>
      </w:pPr>
      <w:r w:rsidRPr="004B1257">
        <w:rPr>
          <w:sz w:val="24"/>
          <w:szCs w:val="26"/>
          <w:lang w:val="lv-LV"/>
        </w:rPr>
        <w:tab/>
      </w:r>
      <w:r w:rsidR="009E07DC" w:rsidRPr="004B1257">
        <w:rPr>
          <w:sz w:val="24"/>
          <w:szCs w:val="26"/>
          <w:lang w:val="lv-LV"/>
        </w:rPr>
        <w:t xml:space="preserve">Pētniecības ministru 2021. </w:t>
      </w:r>
      <w:bookmarkStart w:id="0" w:name="_GoBack"/>
      <w:bookmarkEnd w:id="0"/>
      <w:r w:rsidR="009E07DC" w:rsidRPr="004B1257">
        <w:rPr>
          <w:sz w:val="24"/>
          <w:szCs w:val="26"/>
          <w:lang w:val="lv-LV"/>
        </w:rPr>
        <w:t xml:space="preserve">gada </w:t>
      </w:r>
      <w:r w:rsidR="00225E20" w:rsidRPr="004B1257">
        <w:rPr>
          <w:sz w:val="24"/>
          <w:szCs w:val="26"/>
          <w:lang w:val="lv-LV"/>
        </w:rPr>
        <w:t>2</w:t>
      </w:r>
      <w:r w:rsidR="0058182D" w:rsidRPr="004B1257">
        <w:rPr>
          <w:sz w:val="24"/>
          <w:szCs w:val="26"/>
          <w:lang w:val="lv-LV"/>
        </w:rPr>
        <w:t>6</w:t>
      </w:r>
      <w:r w:rsidR="009E07DC" w:rsidRPr="004B1257">
        <w:rPr>
          <w:sz w:val="24"/>
          <w:szCs w:val="26"/>
          <w:lang w:val="lv-LV"/>
        </w:rPr>
        <w:t xml:space="preserve">. februāra neformālajā sanāksmē (videokonferencē) </w:t>
      </w:r>
      <w:r w:rsidR="0058182D" w:rsidRPr="004B1257">
        <w:rPr>
          <w:sz w:val="24"/>
          <w:szCs w:val="26"/>
          <w:lang w:val="lv-LV"/>
        </w:rPr>
        <w:t xml:space="preserve">ir paredzēta diskusija par </w:t>
      </w:r>
      <w:r w:rsidR="00932487" w:rsidRPr="004B1257">
        <w:rPr>
          <w:sz w:val="24"/>
          <w:szCs w:val="26"/>
          <w:lang w:val="lv-LV"/>
        </w:rPr>
        <w:t>Atveseļošanas</w:t>
      </w:r>
      <w:r w:rsidR="00784A49" w:rsidRPr="004B1257">
        <w:rPr>
          <w:sz w:val="24"/>
          <w:szCs w:val="26"/>
          <w:lang w:val="lv-LV"/>
        </w:rPr>
        <w:t xml:space="preserve"> </w:t>
      </w:r>
      <w:r w:rsidR="0058182D" w:rsidRPr="004B1257">
        <w:rPr>
          <w:sz w:val="24"/>
          <w:szCs w:val="26"/>
          <w:lang w:val="lv-LV"/>
        </w:rPr>
        <w:t xml:space="preserve">un noturības mehānisma (turpmāk – ANM) plāniem saistībā ar Eiropas </w:t>
      </w:r>
      <w:r w:rsidR="00932487" w:rsidRPr="004B1257">
        <w:rPr>
          <w:sz w:val="24"/>
          <w:szCs w:val="26"/>
          <w:lang w:val="lv-LV"/>
        </w:rPr>
        <w:t>P</w:t>
      </w:r>
      <w:r w:rsidR="0058182D" w:rsidRPr="004B1257">
        <w:rPr>
          <w:sz w:val="24"/>
          <w:szCs w:val="26"/>
          <w:lang w:val="lv-LV"/>
        </w:rPr>
        <w:t>ētniecības telpu</w:t>
      </w:r>
      <w:r w:rsidR="00932487" w:rsidRPr="004B1257">
        <w:rPr>
          <w:sz w:val="24"/>
          <w:szCs w:val="26"/>
          <w:lang w:val="lv-LV"/>
        </w:rPr>
        <w:t xml:space="preserve"> (turpmāk arī – ERA)</w:t>
      </w:r>
      <w:r w:rsidR="0058182D" w:rsidRPr="004B1257">
        <w:rPr>
          <w:sz w:val="24"/>
          <w:szCs w:val="26"/>
          <w:lang w:val="lv-LV"/>
        </w:rPr>
        <w:t xml:space="preserve"> un sinerģijām kontekstā ar plānotajām investīcijām un reformām.</w:t>
      </w:r>
    </w:p>
    <w:p w14:paraId="7472D710" w14:textId="77777777" w:rsidR="009E07DC" w:rsidRPr="004B1257" w:rsidRDefault="009E07DC" w:rsidP="009E07DC">
      <w:pPr>
        <w:pStyle w:val="Body"/>
        <w:spacing w:after="120"/>
        <w:ind w:firstLine="720"/>
        <w:jc w:val="both"/>
        <w:rPr>
          <w:b/>
          <w:bCs/>
          <w:sz w:val="24"/>
          <w:szCs w:val="26"/>
          <w:u w:val="single"/>
          <w:lang w:val="lv-LV"/>
        </w:rPr>
      </w:pPr>
      <w:r w:rsidRPr="004B1257">
        <w:rPr>
          <w:b/>
          <w:bCs/>
          <w:sz w:val="24"/>
          <w:szCs w:val="26"/>
          <w:u w:val="single"/>
          <w:lang w:val="lv-LV"/>
        </w:rPr>
        <w:t>Diskusija</w:t>
      </w:r>
    </w:p>
    <w:p w14:paraId="7472D711" w14:textId="77777777" w:rsidR="0058182D" w:rsidRPr="004B1257" w:rsidRDefault="0058182D" w:rsidP="0058182D">
      <w:pPr>
        <w:pStyle w:val="Body"/>
        <w:spacing w:after="120"/>
        <w:jc w:val="both"/>
        <w:rPr>
          <w:sz w:val="24"/>
          <w:szCs w:val="26"/>
          <w:lang w:val="lv-LV"/>
        </w:rPr>
      </w:pPr>
      <w:r w:rsidRPr="004B1257">
        <w:rPr>
          <w:sz w:val="24"/>
          <w:szCs w:val="26"/>
          <w:lang w:val="lv-LV"/>
        </w:rPr>
        <w:t xml:space="preserve">Pētniecība un inovācijas (turpmāk – P&amp;A) ir </w:t>
      </w:r>
      <w:r w:rsidR="00784A49" w:rsidRPr="004B1257">
        <w:rPr>
          <w:sz w:val="24"/>
          <w:szCs w:val="26"/>
          <w:lang w:val="lv-LV"/>
        </w:rPr>
        <w:t>ilgtspējīgas</w:t>
      </w:r>
      <w:r w:rsidRPr="004B1257">
        <w:rPr>
          <w:sz w:val="24"/>
          <w:szCs w:val="26"/>
          <w:lang w:val="lv-LV"/>
        </w:rPr>
        <w:t xml:space="preserve"> izaugsmes, darba vietu radīšanas un konkurētspējas pamatā</w:t>
      </w:r>
      <w:r w:rsidR="00932487" w:rsidRPr="004B1257">
        <w:rPr>
          <w:sz w:val="24"/>
          <w:szCs w:val="26"/>
          <w:lang w:val="lv-LV"/>
        </w:rPr>
        <w:t>.</w:t>
      </w:r>
      <w:r w:rsidRPr="004B1257">
        <w:rPr>
          <w:sz w:val="24"/>
          <w:szCs w:val="26"/>
          <w:lang w:val="lv-LV"/>
        </w:rPr>
        <w:t xml:space="preserve"> </w:t>
      </w:r>
      <w:r w:rsidR="00932487" w:rsidRPr="004B1257">
        <w:rPr>
          <w:sz w:val="24"/>
          <w:szCs w:val="26"/>
          <w:lang w:val="lv-LV"/>
        </w:rPr>
        <w:t>T</w:t>
      </w:r>
      <w:r w:rsidR="00784A49" w:rsidRPr="004B1257">
        <w:rPr>
          <w:sz w:val="24"/>
          <w:szCs w:val="26"/>
          <w:lang w:val="lv-LV"/>
        </w:rPr>
        <w:t>ā</w:t>
      </w:r>
      <w:r w:rsidRPr="004B1257">
        <w:rPr>
          <w:sz w:val="24"/>
          <w:szCs w:val="26"/>
          <w:lang w:val="lv-LV"/>
        </w:rPr>
        <w:t xml:space="preserve">m ir </w:t>
      </w:r>
      <w:r w:rsidR="00784A49" w:rsidRPr="004B1257">
        <w:rPr>
          <w:sz w:val="24"/>
          <w:szCs w:val="26"/>
          <w:lang w:val="lv-LV"/>
        </w:rPr>
        <w:t xml:space="preserve">prioritāra </w:t>
      </w:r>
      <w:r w:rsidRPr="004B1257">
        <w:rPr>
          <w:sz w:val="24"/>
          <w:szCs w:val="26"/>
          <w:lang w:val="lv-LV"/>
        </w:rPr>
        <w:t xml:space="preserve">nozīme atbilžu </w:t>
      </w:r>
      <w:r w:rsidR="00784A49" w:rsidRPr="004B1257">
        <w:rPr>
          <w:sz w:val="24"/>
          <w:szCs w:val="26"/>
          <w:lang w:val="lv-LV"/>
        </w:rPr>
        <w:t>rašanā</w:t>
      </w:r>
      <w:r w:rsidRPr="004B1257">
        <w:rPr>
          <w:sz w:val="24"/>
          <w:szCs w:val="26"/>
          <w:lang w:val="lv-LV"/>
        </w:rPr>
        <w:t xml:space="preserve"> saistībā ar Covid-19 pandēmiju un sekām</w:t>
      </w:r>
      <w:r w:rsidR="00932487" w:rsidRPr="004B1257">
        <w:rPr>
          <w:sz w:val="24"/>
          <w:szCs w:val="26"/>
          <w:lang w:val="lv-LV"/>
        </w:rPr>
        <w:t>,</w:t>
      </w:r>
      <w:r w:rsidRPr="004B1257">
        <w:rPr>
          <w:sz w:val="24"/>
          <w:szCs w:val="26"/>
          <w:lang w:val="lv-LV"/>
        </w:rPr>
        <w:t xml:space="preserve"> ko </w:t>
      </w:r>
      <w:r w:rsidR="00932487" w:rsidRPr="004B1257">
        <w:rPr>
          <w:sz w:val="24"/>
          <w:szCs w:val="26"/>
          <w:lang w:val="lv-LV"/>
        </w:rPr>
        <w:t>pandēmija</w:t>
      </w:r>
      <w:r w:rsidRPr="004B1257">
        <w:rPr>
          <w:sz w:val="24"/>
          <w:szCs w:val="26"/>
          <w:lang w:val="lv-LV"/>
        </w:rPr>
        <w:t xml:space="preserve"> ir </w:t>
      </w:r>
      <w:r w:rsidR="00932487" w:rsidRPr="004B1257">
        <w:rPr>
          <w:sz w:val="24"/>
          <w:szCs w:val="26"/>
          <w:lang w:val="lv-LV"/>
        </w:rPr>
        <w:t>radījusi</w:t>
      </w:r>
      <w:r w:rsidRPr="004B1257">
        <w:rPr>
          <w:sz w:val="24"/>
          <w:szCs w:val="26"/>
          <w:lang w:val="lv-LV"/>
        </w:rPr>
        <w:t xml:space="preserve"> sabiedrī</w:t>
      </w:r>
      <w:r w:rsidR="00932487" w:rsidRPr="004B1257">
        <w:rPr>
          <w:sz w:val="24"/>
          <w:szCs w:val="26"/>
          <w:lang w:val="lv-LV"/>
        </w:rPr>
        <w:t>bā un tautsaimniecībā. Eiropas I</w:t>
      </w:r>
      <w:r w:rsidRPr="004B1257">
        <w:rPr>
          <w:sz w:val="24"/>
          <w:szCs w:val="26"/>
          <w:lang w:val="lv-LV"/>
        </w:rPr>
        <w:t>nvestīciju banka ir tieši norādījusi, ka Eiropas Savienība (turpmāk – ES) iegulda</w:t>
      </w:r>
      <w:r w:rsidR="00784A49" w:rsidRPr="004B1257">
        <w:rPr>
          <w:sz w:val="24"/>
          <w:szCs w:val="26"/>
          <w:lang w:val="lv-LV"/>
        </w:rPr>
        <w:t xml:space="preserve"> procentos</w:t>
      </w:r>
      <w:r w:rsidRPr="004B1257">
        <w:rPr>
          <w:sz w:val="24"/>
          <w:szCs w:val="26"/>
          <w:lang w:val="lv-LV"/>
        </w:rPr>
        <w:t xml:space="preserve"> no tās </w:t>
      </w:r>
      <w:r w:rsidR="00784A49" w:rsidRPr="004B1257">
        <w:rPr>
          <w:sz w:val="24"/>
          <w:szCs w:val="26"/>
          <w:lang w:val="lv-LV"/>
        </w:rPr>
        <w:t>iekšzemes kopprodukta</w:t>
      </w:r>
      <w:r w:rsidRPr="004B1257">
        <w:rPr>
          <w:sz w:val="24"/>
          <w:szCs w:val="26"/>
          <w:lang w:val="lv-LV"/>
        </w:rPr>
        <w:t xml:space="preserve"> P&amp;A ievērojami mazāk</w:t>
      </w:r>
      <w:r w:rsidR="00784A49" w:rsidRPr="004B1257">
        <w:rPr>
          <w:sz w:val="24"/>
          <w:szCs w:val="26"/>
          <w:lang w:val="lv-LV"/>
        </w:rPr>
        <w:t>,</w:t>
      </w:r>
      <w:r w:rsidRPr="004B1257">
        <w:rPr>
          <w:sz w:val="24"/>
          <w:szCs w:val="26"/>
          <w:lang w:val="lv-LV"/>
        </w:rPr>
        <w:t xml:space="preserve"> nekā citas lielākās pasaules ekonomikas. Nepārprotami P&amp;A ir jābūt priekšplānā ekonomiskajai izaugsmei pēc krīzes, tajā skaitā </w:t>
      </w:r>
      <w:r w:rsidR="00920797" w:rsidRPr="004B1257">
        <w:rPr>
          <w:sz w:val="24"/>
          <w:szCs w:val="26"/>
          <w:lang w:val="lv-LV"/>
        </w:rPr>
        <w:t>īste</w:t>
      </w:r>
      <w:r w:rsidR="00B83ACF" w:rsidRPr="004B1257">
        <w:rPr>
          <w:sz w:val="24"/>
          <w:szCs w:val="26"/>
          <w:lang w:val="lv-LV"/>
        </w:rPr>
        <w:t>n</w:t>
      </w:r>
      <w:r w:rsidR="00920797" w:rsidRPr="004B1257">
        <w:rPr>
          <w:sz w:val="24"/>
          <w:szCs w:val="26"/>
          <w:lang w:val="lv-LV"/>
        </w:rPr>
        <w:t xml:space="preserve">ojot </w:t>
      </w:r>
      <w:r w:rsidRPr="004B1257">
        <w:rPr>
          <w:sz w:val="24"/>
          <w:szCs w:val="26"/>
          <w:lang w:val="lv-LV"/>
        </w:rPr>
        <w:t>zaļo kursu un digitālo transformāciju.</w:t>
      </w:r>
    </w:p>
    <w:p w14:paraId="7472D712" w14:textId="77777777" w:rsidR="0058182D" w:rsidRPr="004B1257" w:rsidRDefault="0058182D" w:rsidP="0058182D">
      <w:pPr>
        <w:pStyle w:val="Body"/>
        <w:spacing w:after="120"/>
        <w:jc w:val="both"/>
        <w:rPr>
          <w:sz w:val="24"/>
          <w:szCs w:val="26"/>
          <w:lang w:val="lv-LV"/>
        </w:rPr>
      </w:pPr>
      <w:r w:rsidRPr="004B1257">
        <w:rPr>
          <w:sz w:val="24"/>
          <w:szCs w:val="26"/>
          <w:lang w:val="lv-LV"/>
        </w:rPr>
        <w:t xml:space="preserve">Jaunā Eiropas Pētniecības telpa, kuras pirmsākumi bija 2000.gadā un kuras prioritātes </w:t>
      </w:r>
      <w:r w:rsidR="00784A49" w:rsidRPr="004B1257">
        <w:rPr>
          <w:sz w:val="24"/>
          <w:szCs w:val="26"/>
          <w:lang w:val="lv-LV"/>
        </w:rPr>
        <w:t xml:space="preserve">atjaunotas </w:t>
      </w:r>
      <w:r w:rsidRPr="004B1257">
        <w:rPr>
          <w:sz w:val="24"/>
          <w:szCs w:val="26"/>
          <w:lang w:val="lv-LV"/>
        </w:rPr>
        <w:t>2019.-2024.gada</w:t>
      </w:r>
      <w:r w:rsidR="00784A49" w:rsidRPr="004B1257">
        <w:rPr>
          <w:sz w:val="24"/>
          <w:szCs w:val="26"/>
          <w:lang w:val="lv-LV"/>
        </w:rPr>
        <w:t xml:space="preserve">m, </w:t>
      </w:r>
      <w:r w:rsidR="00C4665C" w:rsidRPr="004B1257">
        <w:rPr>
          <w:sz w:val="24"/>
          <w:szCs w:val="26"/>
          <w:lang w:val="lv-LV"/>
        </w:rPr>
        <w:t>uzsver</w:t>
      </w:r>
      <w:r w:rsidRPr="004B1257">
        <w:rPr>
          <w:sz w:val="24"/>
          <w:szCs w:val="26"/>
          <w:lang w:val="lv-LV"/>
        </w:rPr>
        <w:t xml:space="preserve"> nepieciešamību mazināt Eiropas pētniecības fragmentāciju P&amp;A jomā. 2020.gada Eiropas Komisijas paziņojums „ERA </w:t>
      </w:r>
      <w:r w:rsidR="00932487" w:rsidRPr="004B1257">
        <w:rPr>
          <w:sz w:val="24"/>
          <w:szCs w:val="26"/>
          <w:lang w:val="lv-LV"/>
        </w:rPr>
        <w:t>–</w:t>
      </w:r>
      <w:r w:rsidRPr="004B1257">
        <w:rPr>
          <w:sz w:val="24"/>
          <w:szCs w:val="26"/>
          <w:lang w:val="lv-LV"/>
        </w:rPr>
        <w:t xml:space="preserve"> pētniecības un inovācijas jaunā ēra”</w:t>
      </w:r>
      <w:r w:rsidRPr="004B1257">
        <w:rPr>
          <w:rStyle w:val="FootnoteReference"/>
          <w:sz w:val="24"/>
          <w:szCs w:val="26"/>
          <w:lang w:val="lv-LV"/>
        </w:rPr>
        <w:footnoteReference w:id="1"/>
      </w:r>
      <w:r w:rsidRPr="004B1257">
        <w:rPr>
          <w:sz w:val="24"/>
          <w:szCs w:val="26"/>
          <w:lang w:val="lv-LV"/>
        </w:rPr>
        <w:t xml:space="preserve"> definē jaunās ERA misiju, uzdevumus un galvenās prioritātes, kas ir centrētas zinātniek</w:t>
      </w:r>
      <w:r w:rsidR="00932487" w:rsidRPr="004B1257">
        <w:rPr>
          <w:sz w:val="24"/>
          <w:szCs w:val="26"/>
          <w:lang w:val="lv-LV"/>
        </w:rPr>
        <w:t>ā</w:t>
      </w:r>
      <w:r w:rsidRPr="004B1257">
        <w:rPr>
          <w:sz w:val="24"/>
          <w:szCs w:val="26"/>
          <w:lang w:val="lv-LV"/>
        </w:rPr>
        <w:t>, vērtībā</w:t>
      </w:r>
      <w:r w:rsidR="00932487" w:rsidRPr="004B1257">
        <w:rPr>
          <w:sz w:val="24"/>
          <w:szCs w:val="26"/>
          <w:lang w:val="lv-LV"/>
        </w:rPr>
        <w:t>s</w:t>
      </w:r>
      <w:r w:rsidRPr="004B1257">
        <w:rPr>
          <w:sz w:val="24"/>
          <w:szCs w:val="26"/>
          <w:lang w:val="lv-LV"/>
        </w:rPr>
        <w:t>, izcilīb</w:t>
      </w:r>
      <w:r w:rsidR="00932487" w:rsidRPr="004B1257">
        <w:rPr>
          <w:sz w:val="24"/>
          <w:szCs w:val="26"/>
          <w:lang w:val="lv-LV"/>
        </w:rPr>
        <w:t>ā, ietekmē</w:t>
      </w:r>
      <w:r w:rsidRPr="004B1257">
        <w:rPr>
          <w:sz w:val="24"/>
          <w:szCs w:val="26"/>
          <w:lang w:val="lv-LV"/>
        </w:rPr>
        <w:t xml:space="preserve"> un kurā zinātnieki, zināšanas un tehnoloģijas </w:t>
      </w:r>
      <w:r w:rsidR="00784A49" w:rsidRPr="004B1257">
        <w:rPr>
          <w:sz w:val="24"/>
          <w:szCs w:val="26"/>
          <w:lang w:val="lv-LV"/>
        </w:rPr>
        <w:t>tiek</w:t>
      </w:r>
      <w:r w:rsidRPr="004B1257">
        <w:rPr>
          <w:sz w:val="24"/>
          <w:szCs w:val="26"/>
          <w:lang w:val="lv-LV"/>
        </w:rPr>
        <w:t xml:space="preserve"> atbalstītas</w:t>
      </w:r>
      <w:r w:rsidR="00784A49" w:rsidRPr="004B1257">
        <w:rPr>
          <w:sz w:val="24"/>
          <w:szCs w:val="26"/>
          <w:lang w:val="lv-LV"/>
        </w:rPr>
        <w:t>,</w:t>
      </w:r>
      <w:r w:rsidRPr="004B1257">
        <w:rPr>
          <w:sz w:val="24"/>
          <w:szCs w:val="26"/>
          <w:lang w:val="lv-LV"/>
        </w:rPr>
        <w:t xml:space="preserve"> un </w:t>
      </w:r>
      <w:r w:rsidR="00932487" w:rsidRPr="004B1257">
        <w:rPr>
          <w:sz w:val="24"/>
          <w:szCs w:val="26"/>
          <w:lang w:val="lv-LV"/>
        </w:rPr>
        <w:t>to</w:t>
      </w:r>
      <w:r w:rsidRPr="004B1257">
        <w:rPr>
          <w:sz w:val="24"/>
          <w:szCs w:val="26"/>
          <w:lang w:val="lv-LV"/>
        </w:rPr>
        <w:t xml:space="preserve"> aprite nav ierobežota. ERA balstās uz kopēju atbildību</w:t>
      </w:r>
      <w:r w:rsidR="00932487" w:rsidRPr="004B1257">
        <w:rPr>
          <w:sz w:val="24"/>
          <w:szCs w:val="26"/>
          <w:lang w:val="lv-LV"/>
        </w:rPr>
        <w:t>,</w:t>
      </w:r>
      <w:r w:rsidRPr="004B1257">
        <w:rPr>
          <w:sz w:val="24"/>
          <w:szCs w:val="26"/>
          <w:lang w:val="lv-LV"/>
        </w:rPr>
        <w:t xml:space="preserve"> un tā </w:t>
      </w:r>
      <w:r w:rsidR="00932487" w:rsidRPr="004B1257">
        <w:rPr>
          <w:sz w:val="24"/>
          <w:szCs w:val="26"/>
          <w:lang w:val="lv-LV"/>
        </w:rPr>
        <w:t>balstās</w:t>
      </w:r>
      <w:r w:rsidR="00F97765" w:rsidRPr="004B1257">
        <w:rPr>
          <w:sz w:val="24"/>
          <w:szCs w:val="26"/>
          <w:lang w:val="lv-LV"/>
        </w:rPr>
        <w:t xml:space="preserve"> Eiropas pētniecības sistēm</w:t>
      </w:r>
      <w:r w:rsidR="00932487" w:rsidRPr="004B1257">
        <w:rPr>
          <w:sz w:val="24"/>
          <w:szCs w:val="26"/>
          <w:lang w:val="lv-LV"/>
        </w:rPr>
        <w:t>u dažādībā</w:t>
      </w:r>
      <w:r w:rsidR="00F97765" w:rsidRPr="004B1257">
        <w:rPr>
          <w:sz w:val="24"/>
          <w:szCs w:val="26"/>
          <w:lang w:val="lv-LV"/>
        </w:rPr>
        <w:t>.</w:t>
      </w:r>
    </w:p>
    <w:p w14:paraId="7472D713" w14:textId="77777777" w:rsidR="00F97765" w:rsidRPr="004B1257" w:rsidRDefault="00F97765" w:rsidP="0058182D">
      <w:pPr>
        <w:pStyle w:val="Body"/>
        <w:spacing w:after="120"/>
        <w:jc w:val="both"/>
        <w:rPr>
          <w:sz w:val="24"/>
          <w:szCs w:val="26"/>
          <w:lang w:val="lv-LV"/>
        </w:rPr>
      </w:pPr>
      <w:r w:rsidRPr="004B1257">
        <w:rPr>
          <w:sz w:val="24"/>
          <w:szCs w:val="26"/>
          <w:lang w:val="lv-LV"/>
        </w:rPr>
        <w:t>Plašākā ERA vīzija papildus zaļajai un digitālajai transformācijai pievēršas tam, kā notiek atgūšanās no Covid-19 pandēmijas sekām</w:t>
      </w:r>
      <w:r w:rsidR="00784A49" w:rsidRPr="004B1257">
        <w:rPr>
          <w:sz w:val="24"/>
          <w:szCs w:val="26"/>
          <w:lang w:val="lv-LV"/>
        </w:rPr>
        <w:t>,</w:t>
      </w:r>
      <w:r w:rsidRPr="004B1257">
        <w:rPr>
          <w:sz w:val="24"/>
          <w:szCs w:val="26"/>
          <w:lang w:val="lv-LV"/>
        </w:rPr>
        <w:t xml:space="preserve"> </w:t>
      </w:r>
      <w:r w:rsidR="00C4665C" w:rsidRPr="004B1257">
        <w:rPr>
          <w:sz w:val="24"/>
          <w:szCs w:val="26"/>
          <w:lang w:val="lv-LV"/>
        </w:rPr>
        <w:t>veicinot</w:t>
      </w:r>
      <w:r w:rsidRPr="004B1257">
        <w:rPr>
          <w:sz w:val="24"/>
          <w:szCs w:val="26"/>
          <w:lang w:val="lv-LV"/>
        </w:rPr>
        <w:t xml:space="preserve"> sadarbību starp valstu un Eiropas pētniecības sistēmām, tajā skaitā ar labāku ietvaru sinerģijām starp ES programmām un valstu nacionālajām programmām, lai varētu gan nodrošināt ātrāku atlabšanu, gan nodrošinātu lielāku iekļaušanos un mērķtiecību.</w:t>
      </w:r>
    </w:p>
    <w:p w14:paraId="7472D714" w14:textId="77777777" w:rsidR="00F97765" w:rsidRPr="004B1257" w:rsidRDefault="00F97765" w:rsidP="0058182D">
      <w:pPr>
        <w:pStyle w:val="Body"/>
        <w:spacing w:after="120"/>
        <w:jc w:val="both"/>
        <w:rPr>
          <w:sz w:val="24"/>
          <w:szCs w:val="26"/>
          <w:lang w:val="lv-LV"/>
        </w:rPr>
      </w:pPr>
      <w:r w:rsidRPr="004B1257">
        <w:rPr>
          <w:sz w:val="24"/>
          <w:szCs w:val="26"/>
          <w:lang w:val="lv-LV"/>
        </w:rPr>
        <w:t>Lai nodrošinātu ātrāku ES dalībvalstu atlabšanu no krīzes, ANM, kā daļa no „</w:t>
      </w:r>
      <w:r w:rsidRPr="004B1257">
        <w:rPr>
          <w:i/>
          <w:sz w:val="24"/>
          <w:szCs w:val="26"/>
          <w:lang w:val="lv-LV"/>
        </w:rPr>
        <w:t>Next Generation EU</w:t>
      </w:r>
      <w:r w:rsidRPr="004B1257">
        <w:rPr>
          <w:sz w:val="24"/>
          <w:szCs w:val="26"/>
          <w:lang w:val="lv-LV"/>
        </w:rPr>
        <w:t xml:space="preserve">” </w:t>
      </w:r>
      <w:r w:rsidR="00784A49" w:rsidRPr="004B1257">
        <w:rPr>
          <w:sz w:val="24"/>
          <w:szCs w:val="26"/>
          <w:lang w:val="lv-LV"/>
        </w:rPr>
        <w:t xml:space="preserve">iniciatīvas, </w:t>
      </w:r>
      <w:r w:rsidRPr="004B1257">
        <w:rPr>
          <w:sz w:val="24"/>
          <w:szCs w:val="26"/>
          <w:lang w:val="lv-LV"/>
        </w:rPr>
        <w:t xml:space="preserve">nodrošinās plašu finansiālu atbalstu publiskajām investīcijām un reformām, kas uzlabo dalībvalstu </w:t>
      </w:r>
      <w:r w:rsidR="00784A49" w:rsidRPr="004B1257">
        <w:rPr>
          <w:sz w:val="24"/>
          <w:szCs w:val="26"/>
          <w:lang w:val="lv-LV"/>
        </w:rPr>
        <w:t>sagatavotību</w:t>
      </w:r>
      <w:r w:rsidRPr="004B1257">
        <w:rPr>
          <w:sz w:val="24"/>
          <w:szCs w:val="26"/>
          <w:lang w:val="lv-LV"/>
        </w:rPr>
        <w:t xml:space="preserve"> un veicina izaugsmes potenciālu. Kopējais </w:t>
      </w:r>
      <w:r w:rsidR="00C4665C" w:rsidRPr="004B1257">
        <w:rPr>
          <w:sz w:val="24"/>
          <w:szCs w:val="26"/>
          <w:lang w:val="lv-LV"/>
        </w:rPr>
        <w:t xml:space="preserve">ANM </w:t>
      </w:r>
      <w:r w:rsidRPr="004B1257">
        <w:rPr>
          <w:sz w:val="24"/>
          <w:szCs w:val="26"/>
          <w:lang w:val="lv-LV"/>
        </w:rPr>
        <w:t xml:space="preserve">ieguldījums Eiropas </w:t>
      </w:r>
      <w:r w:rsidR="00784A49" w:rsidRPr="004B1257">
        <w:rPr>
          <w:sz w:val="24"/>
          <w:szCs w:val="26"/>
          <w:lang w:val="lv-LV"/>
        </w:rPr>
        <w:t xml:space="preserve">Savienības </w:t>
      </w:r>
      <w:r w:rsidRPr="004B1257">
        <w:rPr>
          <w:sz w:val="24"/>
          <w:szCs w:val="26"/>
          <w:lang w:val="lv-LV"/>
        </w:rPr>
        <w:t>mērogā sasniedz 672</w:t>
      </w:r>
      <w:r w:rsidR="009F5319" w:rsidRPr="004B1257">
        <w:rPr>
          <w:sz w:val="24"/>
          <w:szCs w:val="26"/>
          <w:lang w:val="lv-LV"/>
        </w:rPr>
        <w:t>,</w:t>
      </w:r>
      <w:r w:rsidRPr="004B1257">
        <w:rPr>
          <w:sz w:val="24"/>
          <w:szCs w:val="26"/>
          <w:lang w:val="lv-LV"/>
        </w:rPr>
        <w:t xml:space="preserve">5 miljardus </w:t>
      </w:r>
      <w:r w:rsidR="009F5319" w:rsidRPr="004B1257">
        <w:rPr>
          <w:i/>
          <w:sz w:val="24"/>
          <w:szCs w:val="26"/>
          <w:lang w:val="lv-LV"/>
        </w:rPr>
        <w:t>euro</w:t>
      </w:r>
      <w:r w:rsidRPr="004B1257">
        <w:rPr>
          <w:sz w:val="24"/>
          <w:szCs w:val="26"/>
          <w:lang w:val="lv-LV"/>
        </w:rPr>
        <w:t xml:space="preserve">. Tā mērķis ir </w:t>
      </w:r>
      <w:r w:rsidR="00C4665C" w:rsidRPr="004B1257">
        <w:rPr>
          <w:sz w:val="24"/>
          <w:szCs w:val="26"/>
          <w:lang w:val="lv-LV"/>
        </w:rPr>
        <w:t xml:space="preserve">sekmēt </w:t>
      </w:r>
      <w:r w:rsidRPr="004B1257">
        <w:rPr>
          <w:sz w:val="24"/>
          <w:szCs w:val="26"/>
          <w:lang w:val="lv-LV"/>
        </w:rPr>
        <w:t>soci</w:t>
      </w:r>
      <w:r w:rsidR="00784A49" w:rsidRPr="004B1257">
        <w:rPr>
          <w:sz w:val="24"/>
          <w:szCs w:val="26"/>
          <w:lang w:val="lv-LV"/>
        </w:rPr>
        <w:t>āl</w:t>
      </w:r>
      <w:r w:rsidRPr="004B1257">
        <w:rPr>
          <w:sz w:val="24"/>
          <w:szCs w:val="26"/>
          <w:lang w:val="lv-LV"/>
        </w:rPr>
        <w:t xml:space="preserve">ekonomisko atgūšanos un </w:t>
      </w:r>
      <w:r w:rsidR="00C4665C" w:rsidRPr="004B1257">
        <w:rPr>
          <w:sz w:val="24"/>
          <w:szCs w:val="26"/>
          <w:lang w:val="lv-LV"/>
        </w:rPr>
        <w:t>noturību</w:t>
      </w:r>
      <w:r w:rsidR="00784A49" w:rsidRPr="004B1257">
        <w:rPr>
          <w:sz w:val="24"/>
          <w:szCs w:val="26"/>
          <w:lang w:val="lv-LV"/>
        </w:rPr>
        <w:t>,</w:t>
      </w:r>
      <w:r w:rsidRPr="004B1257">
        <w:rPr>
          <w:sz w:val="24"/>
          <w:szCs w:val="26"/>
          <w:lang w:val="lv-LV"/>
        </w:rPr>
        <w:t xml:space="preserve"> kā arī veicināt zaļo izaugsmi un digitālo transformāciju, lielāku kohēziju un sociālās tiesība</w:t>
      </w:r>
      <w:r w:rsidR="00784A49" w:rsidRPr="004B1257">
        <w:rPr>
          <w:sz w:val="24"/>
          <w:szCs w:val="26"/>
          <w:lang w:val="lv-LV"/>
        </w:rPr>
        <w:t>s,</w:t>
      </w:r>
      <w:r w:rsidRPr="004B1257">
        <w:rPr>
          <w:sz w:val="24"/>
          <w:szCs w:val="26"/>
          <w:lang w:val="lv-LV"/>
        </w:rPr>
        <w:t xml:space="preserve"> un tai ir arī jābūt salāgotai ar ES dalībvalstu specifiskajām rekomendācijām.</w:t>
      </w:r>
    </w:p>
    <w:p w14:paraId="7472D715" w14:textId="77777777" w:rsidR="00F97765" w:rsidRPr="004B1257" w:rsidRDefault="00F97765" w:rsidP="0058182D">
      <w:pPr>
        <w:pStyle w:val="Body"/>
        <w:spacing w:after="120"/>
        <w:jc w:val="both"/>
        <w:rPr>
          <w:sz w:val="24"/>
          <w:szCs w:val="26"/>
          <w:lang w:val="lv-LV"/>
        </w:rPr>
      </w:pPr>
      <w:r w:rsidRPr="004B1257">
        <w:rPr>
          <w:sz w:val="24"/>
          <w:szCs w:val="26"/>
          <w:lang w:val="lv-LV"/>
        </w:rPr>
        <w:t xml:space="preserve">ANM plāna ietvaros liela nozīme ir paredzēta tieši P&amp;A, </w:t>
      </w:r>
      <w:r w:rsidR="009F5319" w:rsidRPr="004B1257">
        <w:rPr>
          <w:sz w:val="24"/>
          <w:szCs w:val="26"/>
          <w:lang w:val="lv-LV"/>
        </w:rPr>
        <w:t xml:space="preserve">jo </w:t>
      </w:r>
      <w:r w:rsidRPr="004B1257">
        <w:rPr>
          <w:sz w:val="24"/>
          <w:szCs w:val="26"/>
          <w:lang w:val="lv-LV"/>
        </w:rPr>
        <w:t xml:space="preserve">P&amp;A sniedz tiešu ieguldījumu </w:t>
      </w:r>
      <w:r w:rsidR="0093402E" w:rsidRPr="004B1257">
        <w:rPr>
          <w:sz w:val="24"/>
          <w:szCs w:val="26"/>
          <w:lang w:val="lv-LV"/>
        </w:rPr>
        <w:t>ilgtspējīgā</w:t>
      </w:r>
      <w:r w:rsidRPr="004B1257">
        <w:rPr>
          <w:sz w:val="24"/>
          <w:szCs w:val="26"/>
          <w:lang w:val="lv-LV"/>
        </w:rPr>
        <w:t xml:space="preserve"> un iekļaujošā izaugsmē, tajā skaitā caur reformām un investīcijām P&amp;A ar iespēju nodrošināt</w:t>
      </w:r>
      <w:r w:rsidR="009F5319" w:rsidRPr="004B1257">
        <w:rPr>
          <w:sz w:val="24"/>
          <w:szCs w:val="26"/>
          <w:lang w:val="lv-LV"/>
        </w:rPr>
        <w:t xml:space="preserve"> tostarp arī</w:t>
      </w:r>
      <w:r w:rsidRPr="004B1257">
        <w:rPr>
          <w:sz w:val="24"/>
          <w:szCs w:val="26"/>
          <w:lang w:val="lv-LV"/>
        </w:rPr>
        <w:t xml:space="preserve"> starpvalstu investīciju projektus. Kā kritiskie elementi ir iezīmēta </w:t>
      </w:r>
      <w:r w:rsidR="00C4665C" w:rsidRPr="004B1257">
        <w:rPr>
          <w:sz w:val="24"/>
          <w:szCs w:val="26"/>
          <w:lang w:val="lv-LV"/>
        </w:rPr>
        <w:t>noturība</w:t>
      </w:r>
      <w:r w:rsidRPr="004B1257">
        <w:rPr>
          <w:sz w:val="24"/>
          <w:szCs w:val="26"/>
          <w:lang w:val="lv-LV"/>
        </w:rPr>
        <w:t>, vērtību ķēdes, kr</w:t>
      </w:r>
      <w:r w:rsidR="009F5319" w:rsidRPr="004B1257">
        <w:rPr>
          <w:sz w:val="24"/>
          <w:szCs w:val="26"/>
          <w:lang w:val="lv-LV"/>
        </w:rPr>
        <w:t>itiskā infrastruktūra un atvērtā</w:t>
      </w:r>
      <w:r w:rsidRPr="004B1257">
        <w:rPr>
          <w:sz w:val="24"/>
          <w:szCs w:val="26"/>
          <w:lang w:val="lv-LV"/>
        </w:rPr>
        <w:t xml:space="preserve"> ekonomikas stratēģija, nodarbinātība, prasmes un aktīva darba tirgus politika.</w:t>
      </w:r>
    </w:p>
    <w:p w14:paraId="7472D716" w14:textId="77777777" w:rsidR="00F97765" w:rsidRPr="004B1257" w:rsidRDefault="00F97765" w:rsidP="0058182D">
      <w:pPr>
        <w:pStyle w:val="Body"/>
        <w:spacing w:after="120"/>
        <w:jc w:val="both"/>
        <w:rPr>
          <w:sz w:val="24"/>
          <w:szCs w:val="26"/>
          <w:lang w:val="lv-LV"/>
        </w:rPr>
      </w:pPr>
      <w:r w:rsidRPr="004B1257">
        <w:rPr>
          <w:sz w:val="24"/>
          <w:szCs w:val="26"/>
          <w:lang w:val="lv-LV"/>
        </w:rPr>
        <w:t xml:space="preserve">Attiecībā par paredzētajām reformām – P&amp;A veido daļu no investīcijām kapitāla radīšanā kā nepārprotama tā sastāvdaļa. P&amp;A nozīme ir arī saistībā ar starpvalstu un pārrobežu projektiem un šeit ir identificējama tieša sasaiste ar </w:t>
      </w:r>
      <w:r w:rsidRPr="004B1257">
        <w:rPr>
          <w:i/>
          <w:sz w:val="24"/>
          <w:szCs w:val="26"/>
          <w:lang w:val="lv-LV"/>
        </w:rPr>
        <w:t>InvestEU</w:t>
      </w:r>
      <w:r w:rsidRPr="004B1257">
        <w:rPr>
          <w:sz w:val="24"/>
          <w:szCs w:val="26"/>
          <w:lang w:val="lv-LV"/>
        </w:rPr>
        <w:t xml:space="preserve">, Apvārsnis Eiropa, Kosmosa programmu un </w:t>
      </w:r>
      <w:r w:rsidRPr="004B1257">
        <w:rPr>
          <w:i/>
          <w:sz w:val="24"/>
          <w:szCs w:val="26"/>
          <w:lang w:val="lv-LV"/>
        </w:rPr>
        <w:t>Digital E</w:t>
      </w:r>
      <w:r w:rsidR="000E3707" w:rsidRPr="004B1257">
        <w:rPr>
          <w:i/>
          <w:sz w:val="24"/>
          <w:szCs w:val="26"/>
          <w:lang w:val="lv-LV"/>
        </w:rPr>
        <w:t>urope</w:t>
      </w:r>
      <w:r w:rsidRPr="004B1257">
        <w:rPr>
          <w:sz w:val="24"/>
          <w:szCs w:val="26"/>
          <w:lang w:val="lv-LV"/>
        </w:rPr>
        <w:t xml:space="preserve"> programmām, kā arī īpaši izceltas ir Apvārsnis Eiropa programmas ietvaros īstenotās partnerības.</w:t>
      </w:r>
    </w:p>
    <w:p w14:paraId="7472D717" w14:textId="77777777" w:rsidR="000E3707" w:rsidRPr="004B1257" w:rsidRDefault="000E3707" w:rsidP="0058182D">
      <w:pPr>
        <w:pStyle w:val="Body"/>
        <w:spacing w:after="120"/>
        <w:jc w:val="both"/>
        <w:rPr>
          <w:sz w:val="24"/>
          <w:szCs w:val="26"/>
          <w:lang w:val="lv-LV"/>
        </w:rPr>
      </w:pPr>
      <w:r w:rsidRPr="004B1257">
        <w:rPr>
          <w:sz w:val="24"/>
          <w:szCs w:val="26"/>
          <w:lang w:val="lv-LV"/>
        </w:rPr>
        <w:lastRenderedPageBreak/>
        <w:t xml:space="preserve">ERA ir tieša ietekme caur P&amp;A spēju nodrošināt Eiropas izaugsmi un </w:t>
      </w:r>
      <w:r w:rsidR="00EA16B3" w:rsidRPr="004B1257">
        <w:rPr>
          <w:sz w:val="24"/>
          <w:szCs w:val="26"/>
          <w:lang w:val="lv-LV"/>
        </w:rPr>
        <w:t>noturību pret</w:t>
      </w:r>
      <w:r w:rsidRPr="004B1257">
        <w:rPr>
          <w:sz w:val="24"/>
          <w:szCs w:val="26"/>
          <w:lang w:val="lv-LV"/>
        </w:rPr>
        <w:t xml:space="preserve"> Covid-19 pandēmij</w:t>
      </w:r>
      <w:r w:rsidR="00EA16B3" w:rsidRPr="004B1257">
        <w:rPr>
          <w:sz w:val="24"/>
          <w:szCs w:val="26"/>
          <w:lang w:val="lv-LV"/>
        </w:rPr>
        <w:t>u un līdzīgām pandēmijām</w:t>
      </w:r>
      <w:r w:rsidRPr="004B1257">
        <w:rPr>
          <w:sz w:val="24"/>
          <w:szCs w:val="26"/>
          <w:lang w:val="lv-LV"/>
        </w:rPr>
        <w:t xml:space="preserve">, </w:t>
      </w:r>
      <w:r w:rsidR="00EA16B3" w:rsidRPr="004B1257">
        <w:rPr>
          <w:sz w:val="24"/>
          <w:szCs w:val="26"/>
          <w:lang w:val="lv-LV"/>
        </w:rPr>
        <w:t xml:space="preserve">kas norisinās </w:t>
      </w:r>
      <w:r w:rsidRPr="004B1257">
        <w:rPr>
          <w:sz w:val="24"/>
          <w:szCs w:val="26"/>
          <w:lang w:val="lv-LV"/>
        </w:rPr>
        <w:t xml:space="preserve">caur zināšanu radīšanu, jaunām tehnoloģijām un zināšanu absorbciju, nodrošinot risinājumus sabiedrībai aktuālajiem </w:t>
      </w:r>
      <w:r w:rsidR="00CF1AF3" w:rsidRPr="004B1257">
        <w:rPr>
          <w:sz w:val="24"/>
          <w:szCs w:val="26"/>
          <w:lang w:val="lv-LV"/>
        </w:rPr>
        <w:t>izaicinājumiem</w:t>
      </w:r>
      <w:r w:rsidRPr="004B1257">
        <w:rPr>
          <w:sz w:val="24"/>
          <w:szCs w:val="26"/>
          <w:lang w:val="lv-LV"/>
        </w:rPr>
        <w:t>. ERA arī aicina vis</w:t>
      </w:r>
      <w:r w:rsidR="00CF1AF3" w:rsidRPr="004B1257">
        <w:rPr>
          <w:sz w:val="24"/>
          <w:szCs w:val="26"/>
          <w:lang w:val="lv-LV"/>
        </w:rPr>
        <w:t>as</w:t>
      </w:r>
      <w:r w:rsidRPr="004B1257">
        <w:rPr>
          <w:sz w:val="24"/>
          <w:szCs w:val="26"/>
          <w:lang w:val="lv-LV"/>
        </w:rPr>
        <w:t xml:space="preserve"> ES dalībvalst</w:t>
      </w:r>
      <w:r w:rsidR="00CF1AF3" w:rsidRPr="004B1257">
        <w:rPr>
          <w:sz w:val="24"/>
          <w:szCs w:val="26"/>
          <w:lang w:val="lv-LV"/>
        </w:rPr>
        <w:t>is</w:t>
      </w:r>
      <w:r w:rsidRPr="004B1257">
        <w:rPr>
          <w:sz w:val="24"/>
          <w:szCs w:val="26"/>
          <w:lang w:val="lv-LV"/>
        </w:rPr>
        <w:t xml:space="preserve"> </w:t>
      </w:r>
      <w:r w:rsidR="00C4665C" w:rsidRPr="004B1257">
        <w:rPr>
          <w:sz w:val="24"/>
          <w:szCs w:val="26"/>
          <w:lang w:val="lv-LV"/>
        </w:rPr>
        <w:t>sasaistīt šīs darbības prioritātes</w:t>
      </w:r>
      <w:r w:rsidRPr="004B1257">
        <w:rPr>
          <w:sz w:val="24"/>
          <w:szCs w:val="26"/>
          <w:lang w:val="lv-LV"/>
        </w:rPr>
        <w:t xml:space="preserve"> ar visām ES ietvaprogrammām, kuras sniedz ieguldījumu P&amp;A, kā arī mobilizējot citas ES politikas un programmas, tajā skaitā ANM un kohēzijas politikas instrumentus.</w:t>
      </w:r>
    </w:p>
    <w:p w14:paraId="7472D718" w14:textId="77777777" w:rsidR="000E3707" w:rsidRPr="004B1257" w:rsidRDefault="000E3707" w:rsidP="0058182D">
      <w:pPr>
        <w:pStyle w:val="Body"/>
        <w:spacing w:after="120"/>
        <w:jc w:val="both"/>
        <w:rPr>
          <w:sz w:val="24"/>
          <w:szCs w:val="26"/>
          <w:lang w:val="lv-LV"/>
        </w:rPr>
      </w:pPr>
      <w:r w:rsidRPr="004B1257">
        <w:rPr>
          <w:sz w:val="24"/>
          <w:szCs w:val="26"/>
          <w:lang w:val="lv-LV"/>
        </w:rPr>
        <w:t>To ņemot vērā, ANM ir tieša iespēja sniegt lielu ieguldījumu ERA attīstībā</w:t>
      </w:r>
      <w:r w:rsidR="00FC5CB0" w:rsidRPr="004B1257">
        <w:rPr>
          <w:sz w:val="24"/>
          <w:szCs w:val="26"/>
          <w:lang w:val="lv-LV"/>
        </w:rPr>
        <w:t>,</w:t>
      </w:r>
      <w:r w:rsidRPr="004B1257">
        <w:rPr>
          <w:sz w:val="24"/>
          <w:szCs w:val="26"/>
          <w:lang w:val="lv-LV"/>
        </w:rPr>
        <w:t xml:space="preserve"> padarot to </w:t>
      </w:r>
      <w:r w:rsidR="00C4665C" w:rsidRPr="004B1257">
        <w:rPr>
          <w:sz w:val="24"/>
          <w:szCs w:val="26"/>
          <w:lang w:val="lv-LV"/>
        </w:rPr>
        <w:t>efektīvāku</w:t>
      </w:r>
      <w:r w:rsidRPr="004B1257">
        <w:rPr>
          <w:sz w:val="24"/>
          <w:szCs w:val="26"/>
          <w:lang w:val="lv-LV"/>
        </w:rPr>
        <w:t xml:space="preserve">. ES dalībvalstu ANM plāni var sastāvēt no liela mēroga P&amp;A </w:t>
      </w:r>
      <w:r w:rsidR="00FC5CB0" w:rsidRPr="004B1257">
        <w:rPr>
          <w:sz w:val="24"/>
          <w:szCs w:val="26"/>
          <w:lang w:val="lv-LV"/>
        </w:rPr>
        <w:t>ieguldījumiem</w:t>
      </w:r>
      <w:r w:rsidRPr="004B1257">
        <w:rPr>
          <w:sz w:val="24"/>
          <w:szCs w:val="26"/>
          <w:lang w:val="lv-LV"/>
        </w:rPr>
        <w:t xml:space="preserve"> un reformām, kas ir sasaistīti ar ERA stratēģiskajiem mērķiem. Šie </w:t>
      </w:r>
      <w:r w:rsidR="00C4665C" w:rsidRPr="004B1257">
        <w:rPr>
          <w:sz w:val="24"/>
          <w:szCs w:val="26"/>
          <w:lang w:val="lv-LV"/>
        </w:rPr>
        <w:t>plāni var sekmēt</w:t>
      </w:r>
      <w:r w:rsidRPr="004B1257">
        <w:rPr>
          <w:sz w:val="24"/>
          <w:szCs w:val="26"/>
          <w:lang w:val="lv-LV"/>
        </w:rPr>
        <w:t xml:space="preserve"> valstu nacionālās P&amp;A sistēmas </w:t>
      </w:r>
      <w:r w:rsidR="00C4665C" w:rsidRPr="004B1257">
        <w:rPr>
          <w:sz w:val="24"/>
          <w:szCs w:val="26"/>
          <w:lang w:val="lv-LV"/>
        </w:rPr>
        <w:t xml:space="preserve">ilgtspējību </w:t>
      </w:r>
      <w:r w:rsidRPr="004B1257">
        <w:rPr>
          <w:sz w:val="24"/>
          <w:szCs w:val="26"/>
          <w:lang w:val="lv-LV"/>
        </w:rPr>
        <w:t xml:space="preserve">un </w:t>
      </w:r>
      <w:r w:rsidR="00C4665C" w:rsidRPr="004B1257">
        <w:rPr>
          <w:sz w:val="24"/>
          <w:szCs w:val="26"/>
          <w:lang w:val="lv-LV"/>
        </w:rPr>
        <w:t>noturību</w:t>
      </w:r>
      <w:r w:rsidRPr="004B1257">
        <w:rPr>
          <w:sz w:val="24"/>
          <w:szCs w:val="26"/>
          <w:lang w:val="lv-LV"/>
        </w:rPr>
        <w:t xml:space="preserve">, lai cīnītos ar pandēmijas sekām. Lielākā daļa no šīm iespējām no ES dalībvalstu puses tiek </w:t>
      </w:r>
      <w:r w:rsidR="00FC5CB0" w:rsidRPr="004B1257">
        <w:rPr>
          <w:sz w:val="24"/>
          <w:szCs w:val="26"/>
          <w:lang w:val="lv-LV"/>
        </w:rPr>
        <w:t>sasniegta</w:t>
      </w:r>
      <w:r w:rsidR="00C4665C" w:rsidRPr="004B1257">
        <w:rPr>
          <w:sz w:val="24"/>
          <w:szCs w:val="26"/>
          <w:lang w:val="lv-LV"/>
        </w:rPr>
        <w:t>s</w:t>
      </w:r>
      <w:r w:rsidRPr="004B1257">
        <w:rPr>
          <w:sz w:val="24"/>
          <w:szCs w:val="26"/>
          <w:lang w:val="lv-LV"/>
        </w:rPr>
        <w:t xml:space="preserve"> </w:t>
      </w:r>
      <w:r w:rsidR="00C4665C" w:rsidRPr="004B1257">
        <w:rPr>
          <w:sz w:val="24"/>
          <w:szCs w:val="26"/>
          <w:lang w:val="lv-LV"/>
        </w:rPr>
        <w:t xml:space="preserve">arī </w:t>
      </w:r>
      <w:r w:rsidRPr="004B1257">
        <w:rPr>
          <w:sz w:val="24"/>
          <w:szCs w:val="26"/>
          <w:lang w:val="lv-LV"/>
        </w:rPr>
        <w:t xml:space="preserve">caur dažādu </w:t>
      </w:r>
      <w:r w:rsidR="009C7F20" w:rsidRPr="004B1257">
        <w:rPr>
          <w:sz w:val="24"/>
          <w:szCs w:val="26"/>
          <w:lang w:val="lv-LV"/>
        </w:rPr>
        <w:t>rīcībpolitiku</w:t>
      </w:r>
      <w:r w:rsidR="00C4665C" w:rsidRPr="004B1257">
        <w:rPr>
          <w:sz w:val="24"/>
          <w:szCs w:val="26"/>
          <w:lang w:val="lv-LV"/>
        </w:rPr>
        <w:t xml:space="preserve"> atbilstoši specifiskām rekomendācijām </w:t>
      </w:r>
      <w:r w:rsidRPr="004B1257">
        <w:rPr>
          <w:sz w:val="24"/>
          <w:szCs w:val="26"/>
          <w:lang w:val="lv-LV"/>
        </w:rPr>
        <w:t xml:space="preserve">ES </w:t>
      </w:r>
      <w:r w:rsidR="00C4665C" w:rsidRPr="004B1257">
        <w:rPr>
          <w:sz w:val="24"/>
          <w:szCs w:val="26"/>
          <w:lang w:val="lv-LV"/>
        </w:rPr>
        <w:t xml:space="preserve">dalībvalstīm </w:t>
      </w:r>
      <w:r w:rsidRPr="004B1257">
        <w:rPr>
          <w:sz w:val="24"/>
          <w:szCs w:val="26"/>
          <w:lang w:val="lv-LV"/>
        </w:rPr>
        <w:t>P&amp;A</w:t>
      </w:r>
      <w:r w:rsidR="00C4665C" w:rsidRPr="004B1257">
        <w:rPr>
          <w:sz w:val="24"/>
          <w:szCs w:val="26"/>
          <w:lang w:val="lv-LV"/>
        </w:rPr>
        <w:t xml:space="preserve"> jomā</w:t>
      </w:r>
      <w:r w:rsidRPr="004B1257">
        <w:rPr>
          <w:sz w:val="24"/>
          <w:szCs w:val="26"/>
          <w:lang w:val="lv-LV"/>
        </w:rPr>
        <w:t>, kuras ir salāgotas ar ERA stratēģiskajiem mērķiem.</w:t>
      </w:r>
    </w:p>
    <w:p w14:paraId="7472D719" w14:textId="77777777" w:rsidR="000E3707" w:rsidRPr="004B1257" w:rsidRDefault="000E3707" w:rsidP="0058182D">
      <w:pPr>
        <w:pStyle w:val="Body"/>
        <w:spacing w:after="120"/>
        <w:jc w:val="both"/>
        <w:rPr>
          <w:sz w:val="24"/>
          <w:szCs w:val="26"/>
          <w:lang w:val="lv-LV"/>
        </w:rPr>
      </w:pPr>
      <w:r w:rsidRPr="004B1257">
        <w:rPr>
          <w:sz w:val="24"/>
          <w:szCs w:val="26"/>
          <w:lang w:val="lv-LV"/>
        </w:rPr>
        <w:t>Starp konkrētiem ERA un ANM reformu virzieniem ir izceltas nacionālo P&amp;A sist</w:t>
      </w:r>
      <w:r w:rsidR="00F16B9E" w:rsidRPr="004B1257">
        <w:rPr>
          <w:sz w:val="24"/>
          <w:szCs w:val="26"/>
          <w:lang w:val="lv-LV"/>
        </w:rPr>
        <w:t>ēmu reformas</w:t>
      </w:r>
      <w:r w:rsidR="009C7F20" w:rsidRPr="004B1257">
        <w:rPr>
          <w:sz w:val="24"/>
          <w:szCs w:val="26"/>
          <w:lang w:val="lv-LV"/>
        </w:rPr>
        <w:t>,</w:t>
      </w:r>
      <w:r w:rsidR="00F16B9E" w:rsidRPr="004B1257">
        <w:rPr>
          <w:sz w:val="24"/>
          <w:szCs w:val="26"/>
          <w:lang w:val="lv-LV"/>
        </w:rPr>
        <w:t xml:space="preserve"> kuras nodrošina lielāku </w:t>
      </w:r>
      <w:r w:rsidR="00AF682D" w:rsidRPr="004B1257">
        <w:rPr>
          <w:sz w:val="24"/>
          <w:szCs w:val="26"/>
          <w:lang w:val="lv-LV"/>
        </w:rPr>
        <w:t>atdevi</w:t>
      </w:r>
      <w:r w:rsidR="00F16B9E" w:rsidRPr="004B1257">
        <w:rPr>
          <w:sz w:val="24"/>
          <w:szCs w:val="26"/>
          <w:lang w:val="lv-LV"/>
        </w:rPr>
        <w:t xml:space="preserve"> no </w:t>
      </w:r>
      <w:r w:rsidR="00AF682D" w:rsidRPr="004B1257">
        <w:rPr>
          <w:sz w:val="24"/>
          <w:szCs w:val="26"/>
          <w:lang w:val="lv-LV"/>
        </w:rPr>
        <w:t>veiktajiem</w:t>
      </w:r>
      <w:r w:rsidR="00F16B9E" w:rsidRPr="004B1257">
        <w:rPr>
          <w:sz w:val="24"/>
          <w:szCs w:val="26"/>
          <w:lang w:val="lv-LV"/>
        </w:rPr>
        <w:t xml:space="preserve"> ieguldījumiem un mazina publiskā sektora fragmentāciju, </w:t>
      </w:r>
      <w:r w:rsidR="00DD07BE" w:rsidRPr="004B1257">
        <w:rPr>
          <w:sz w:val="24"/>
          <w:szCs w:val="26"/>
          <w:lang w:val="lv-LV"/>
        </w:rPr>
        <w:t xml:space="preserve">publiskā sektora reformas un tādējādi efektīvāk izmantotu institucionālo finansējumu, lai veicinātu </w:t>
      </w:r>
      <w:r w:rsidR="00F16B9E" w:rsidRPr="004B1257">
        <w:rPr>
          <w:sz w:val="24"/>
          <w:szCs w:val="26"/>
          <w:lang w:val="lv-LV"/>
        </w:rPr>
        <w:t>kritiskās masas veidošanos. Liela nozīme ir atvērtās zinātnes politikas īstenošanai, nodrošinot piekļuvi dažādiem pētniecības rezultātiem (publikācijām, datu infrastruktūrām un programmatūrai) caur Eiropas Atvērtās zinātnes mākoni (turpmāk – EOSC). Tajā skaitā liela nozīme ir vietējo P&amp;A datu savietojamības nodrošināšanai ar EOSC.</w:t>
      </w:r>
    </w:p>
    <w:p w14:paraId="7472D71A" w14:textId="77777777" w:rsidR="00F16B9E" w:rsidRPr="004B1257" w:rsidRDefault="00F16B9E" w:rsidP="0058182D">
      <w:pPr>
        <w:pStyle w:val="Body"/>
        <w:spacing w:after="120"/>
        <w:jc w:val="both"/>
        <w:rPr>
          <w:sz w:val="24"/>
          <w:szCs w:val="26"/>
          <w:lang w:val="lv-LV"/>
        </w:rPr>
      </w:pPr>
      <w:r w:rsidRPr="004B1257">
        <w:rPr>
          <w:sz w:val="24"/>
          <w:szCs w:val="26"/>
          <w:lang w:val="lv-LV"/>
        </w:rPr>
        <w:t xml:space="preserve">Nozīme ir arī </w:t>
      </w:r>
      <w:r w:rsidR="009C7F20" w:rsidRPr="004B1257">
        <w:rPr>
          <w:sz w:val="24"/>
          <w:szCs w:val="26"/>
          <w:lang w:val="lv-LV"/>
        </w:rPr>
        <w:t>m</w:t>
      </w:r>
      <w:r w:rsidRPr="004B1257">
        <w:rPr>
          <w:sz w:val="24"/>
          <w:szCs w:val="26"/>
          <w:lang w:val="lv-LV"/>
        </w:rPr>
        <w:t xml:space="preserve">azo un vidējo uzņēmumu (turpmāk – MVU) un jaunuzņēmumu atbalstam caur inovāciju un uzņēmējdarbības atbalstu </w:t>
      </w:r>
      <w:r w:rsidR="00DA06D7" w:rsidRPr="004B1257">
        <w:rPr>
          <w:sz w:val="24"/>
          <w:szCs w:val="26"/>
          <w:lang w:val="lv-LV"/>
        </w:rPr>
        <w:t xml:space="preserve">nacionālajos </w:t>
      </w:r>
      <w:r w:rsidRPr="004B1257">
        <w:rPr>
          <w:sz w:val="24"/>
          <w:szCs w:val="26"/>
          <w:lang w:val="lv-LV"/>
        </w:rPr>
        <w:t xml:space="preserve">ANM plānos, tajā skaitā paredzot, ka tiek stiprinātas uzņēmumu un zinātnes sektora sasaistes (caur </w:t>
      </w:r>
      <w:r w:rsidR="00A8438C" w:rsidRPr="004B1257">
        <w:rPr>
          <w:sz w:val="24"/>
          <w:szCs w:val="26"/>
          <w:lang w:val="lv-LV"/>
        </w:rPr>
        <w:t>publisko</w:t>
      </w:r>
      <w:r w:rsidRPr="004B1257">
        <w:rPr>
          <w:sz w:val="24"/>
          <w:szCs w:val="26"/>
          <w:lang w:val="lv-LV"/>
        </w:rPr>
        <w:t xml:space="preserve">-privāto sadarbību, eksperimentālo izstrādi un dažādiem projektiem). Šajā jomā liela nozīme ir MVU un jaunuzņēmumu ieguvumam no sinerģijām ar Eiropas Inovāciju padomes </w:t>
      </w:r>
      <w:r w:rsidRPr="004B1257">
        <w:rPr>
          <w:i/>
          <w:sz w:val="24"/>
          <w:szCs w:val="26"/>
          <w:lang w:val="lv-LV"/>
        </w:rPr>
        <w:t>„Seal of Excellence”</w:t>
      </w:r>
      <w:r w:rsidR="00F77DBB" w:rsidRPr="004B1257">
        <w:rPr>
          <w:sz w:val="24"/>
          <w:szCs w:val="26"/>
          <w:lang w:val="lv-LV"/>
        </w:rPr>
        <w:t xml:space="preserve"> – izcilības zīmoga</w:t>
      </w:r>
      <w:r w:rsidR="00A8438C" w:rsidRPr="004B1257">
        <w:rPr>
          <w:sz w:val="24"/>
          <w:szCs w:val="26"/>
          <w:lang w:val="lv-LV"/>
        </w:rPr>
        <w:t xml:space="preserve">, </w:t>
      </w:r>
      <w:r w:rsidR="00CC51A9" w:rsidRPr="004B1257">
        <w:rPr>
          <w:sz w:val="24"/>
          <w:szCs w:val="26"/>
          <w:lang w:val="lv-LV"/>
        </w:rPr>
        <w:t>izstrāžu</w:t>
      </w:r>
      <w:r w:rsidRPr="004B1257">
        <w:rPr>
          <w:sz w:val="24"/>
          <w:szCs w:val="26"/>
          <w:lang w:val="lv-LV"/>
        </w:rPr>
        <w:t xml:space="preserve"> ieviešanai </w:t>
      </w:r>
      <w:r w:rsidR="00DA06D7" w:rsidRPr="004B1257">
        <w:rPr>
          <w:sz w:val="24"/>
          <w:szCs w:val="26"/>
          <w:lang w:val="lv-LV"/>
        </w:rPr>
        <w:t xml:space="preserve">tirgū </w:t>
      </w:r>
      <w:r w:rsidRPr="004B1257">
        <w:rPr>
          <w:sz w:val="24"/>
          <w:szCs w:val="26"/>
          <w:lang w:val="lv-LV"/>
        </w:rPr>
        <w:t>un</w:t>
      </w:r>
      <w:r w:rsidRPr="004B1257">
        <w:rPr>
          <w:i/>
          <w:sz w:val="24"/>
          <w:szCs w:val="26"/>
          <w:lang w:val="lv-LV"/>
        </w:rPr>
        <w:t xml:space="preserve"> </w:t>
      </w:r>
      <w:r w:rsidR="00CC51A9" w:rsidRPr="004B1257">
        <w:rPr>
          <w:iCs/>
          <w:sz w:val="24"/>
          <w:szCs w:val="26"/>
          <w:lang w:val="lv-LV"/>
        </w:rPr>
        <w:t>mērogošanas</w:t>
      </w:r>
      <w:r w:rsidR="00CC51A9" w:rsidRPr="004B1257">
        <w:rPr>
          <w:i/>
          <w:sz w:val="24"/>
          <w:szCs w:val="26"/>
          <w:lang w:val="lv-LV"/>
        </w:rPr>
        <w:t xml:space="preserve"> (</w:t>
      </w:r>
      <w:r w:rsidRPr="004B1257">
        <w:rPr>
          <w:i/>
          <w:sz w:val="24"/>
          <w:szCs w:val="26"/>
          <w:lang w:val="lv-LV"/>
        </w:rPr>
        <w:t>scale-up</w:t>
      </w:r>
      <w:r w:rsidR="00CC51A9" w:rsidRPr="004B1257">
        <w:rPr>
          <w:i/>
          <w:sz w:val="24"/>
          <w:szCs w:val="26"/>
          <w:lang w:val="lv-LV"/>
        </w:rPr>
        <w:t>)</w:t>
      </w:r>
      <w:r w:rsidRPr="004B1257">
        <w:rPr>
          <w:i/>
          <w:sz w:val="24"/>
          <w:szCs w:val="26"/>
          <w:lang w:val="lv-LV"/>
        </w:rPr>
        <w:t xml:space="preserve"> </w:t>
      </w:r>
      <w:r w:rsidRPr="004B1257">
        <w:rPr>
          <w:sz w:val="24"/>
          <w:szCs w:val="26"/>
          <w:lang w:val="lv-LV"/>
        </w:rPr>
        <w:t>aktivitātēm.</w:t>
      </w:r>
    </w:p>
    <w:p w14:paraId="7472D71B" w14:textId="77777777" w:rsidR="000E3707" w:rsidRPr="004B1257" w:rsidRDefault="00DA06D7" w:rsidP="0058182D">
      <w:pPr>
        <w:pStyle w:val="Body"/>
        <w:spacing w:after="120"/>
        <w:jc w:val="both"/>
        <w:rPr>
          <w:sz w:val="24"/>
          <w:szCs w:val="26"/>
          <w:lang w:val="lv-LV"/>
        </w:rPr>
      </w:pPr>
      <w:r w:rsidRPr="004B1257">
        <w:rPr>
          <w:sz w:val="24"/>
          <w:szCs w:val="26"/>
          <w:lang w:val="lv-LV"/>
        </w:rPr>
        <w:t xml:space="preserve">ERA uzdevumu izpildē nozīme ir arī ANM un dalībvalstu </w:t>
      </w:r>
      <w:r w:rsidR="009C7F20" w:rsidRPr="004B1257">
        <w:rPr>
          <w:sz w:val="24"/>
          <w:szCs w:val="26"/>
          <w:lang w:val="lv-LV"/>
        </w:rPr>
        <w:t xml:space="preserve">kohēzijas finansējuma </w:t>
      </w:r>
      <w:r w:rsidR="00F16B9E" w:rsidRPr="004B1257">
        <w:rPr>
          <w:sz w:val="24"/>
          <w:szCs w:val="26"/>
          <w:lang w:val="lv-LV"/>
        </w:rPr>
        <w:t>sinerģijām, lai izvairītos no pārklāšanās</w:t>
      </w:r>
      <w:r w:rsidR="009C7F20" w:rsidRPr="004B1257">
        <w:rPr>
          <w:sz w:val="24"/>
          <w:szCs w:val="26"/>
          <w:lang w:val="lv-LV"/>
        </w:rPr>
        <w:t xml:space="preserve"> un nodrošinātu savstarpējo papildinātību</w:t>
      </w:r>
      <w:r w:rsidR="00F16B9E" w:rsidRPr="004B1257">
        <w:rPr>
          <w:sz w:val="24"/>
          <w:szCs w:val="26"/>
          <w:lang w:val="lv-LV"/>
        </w:rPr>
        <w:t>. Šeit nozīme ir turpmākam dialogam</w:t>
      </w:r>
      <w:r w:rsidR="00016291" w:rsidRPr="004B1257">
        <w:rPr>
          <w:sz w:val="24"/>
          <w:szCs w:val="26"/>
          <w:lang w:val="lv-LV"/>
        </w:rPr>
        <w:t>, un tam, ko</w:t>
      </w:r>
      <w:r w:rsidR="00F16B9E" w:rsidRPr="004B1257">
        <w:rPr>
          <w:sz w:val="24"/>
          <w:szCs w:val="26"/>
          <w:lang w:val="lv-LV"/>
        </w:rPr>
        <w:t xml:space="preserve"> dalībvalstis ieg</w:t>
      </w:r>
      <w:r w:rsidR="009C7F20" w:rsidRPr="004B1257">
        <w:rPr>
          <w:sz w:val="24"/>
          <w:szCs w:val="26"/>
          <w:lang w:val="lv-LV"/>
        </w:rPr>
        <w:t>ūs no Eiropas Komisijas turpmākā</w:t>
      </w:r>
      <w:r w:rsidR="00F16B9E" w:rsidRPr="004B1257">
        <w:rPr>
          <w:sz w:val="24"/>
          <w:szCs w:val="26"/>
          <w:lang w:val="lv-LV"/>
        </w:rPr>
        <w:t xml:space="preserve"> atbalsta caur tehniskā atbalsta instrumentiem, tajā skaitā Apvārsnis Eiropa </w:t>
      </w:r>
      <w:r w:rsidR="00F16B9E" w:rsidRPr="004B1257">
        <w:rPr>
          <w:i/>
          <w:sz w:val="24"/>
          <w:szCs w:val="26"/>
          <w:lang w:val="lv-LV"/>
        </w:rPr>
        <w:t>Policy Support Facility</w:t>
      </w:r>
      <w:r w:rsidR="00F16B9E" w:rsidRPr="004B1257">
        <w:rPr>
          <w:sz w:val="24"/>
          <w:szCs w:val="26"/>
          <w:lang w:val="lv-LV"/>
        </w:rPr>
        <w:t xml:space="preserve"> instrumenta un </w:t>
      </w:r>
      <w:r w:rsidR="00F16B9E" w:rsidRPr="004B1257">
        <w:rPr>
          <w:i/>
          <w:sz w:val="24"/>
          <w:szCs w:val="26"/>
          <w:lang w:val="lv-LV"/>
        </w:rPr>
        <w:t>DG REFORM</w:t>
      </w:r>
      <w:r w:rsidR="00F16B9E" w:rsidRPr="004B1257">
        <w:rPr>
          <w:sz w:val="24"/>
          <w:szCs w:val="26"/>
          <w:lang w:val="lv-LV"/>
        </w:rPr>
        <w:t xml:space="preserve"> tehniskā atbalsta instrumenta.</w:t>
      </w:r>
    </w:p>
    <w:p w14:paraId="7472D71C" w14:textId="77777777" w:rsidR="000420B4" w:rsidRPr="004B1257" w:rsidRDefault="000420B4" w:rsidP="000420B4">
      <w:pPr>
        <w:pStyle w:val="Body"/>
        <w:spacing w:after="120"/>
        <w:ind w:firstLine="720"/>
        <w:jc w:val="both"/>
        <w:rPr>
          <w:b/>
          <w:bCs/>
          <w:sz w:val="24"/>
          <w:szCs w:val="26"/>
          <w:u w:val="single"/>
          <w:lang w:val="lv-LV"/>
        </w:rPr>
      </w:pPr>
      <w:r w:rsidRPr="004B1257">
        <w:rPr>
          <w:b/>
          <w:bCs/>
          <w:sz w:val="24"/>
          <w:szCs w:val="26"/>
          <w:u w:val="single"/>
          <w:lang w:val="lv-LV"/>
        </w:rPr>
        <w:t xml:space="preserve">Ministru diskusijas jautājumi: </w:t>
      </w:r>
    </w:p>
    <w:p w14:paraId="7472D71D" w14:textId="77777777" w:rsidR="00F16B9E" w:rsidRPr="004B1257" w:rsidRDefault="00F16B9E" w:rsidP="009C7F20">
      <w:pPr>
        <w:pStyle w:val="Body"/>
        <w:numPr>
          <w:ilvl w:val="0"/>
          <w:numId w:val="10"/>
        </w:numPr>
        <w:spacing w:after="120"/>
        <w:ind w:left="568" w:hanging="284"/>
        <w:jc w:val="both"/>
        <w:rPr>
          <w:sz w:val="24"/>
          <w:szCs w:val="26"/>
          <w:lang w:val="lv-LV"/>
        </w:rPr>
      </w:pPr>
      <w:r w:rsidRPr="004B1257">
        <w:rPr>
          <w:sz w:val="24"/>
          <w:szCs w:val="26"/>
          <w:lang w:val="lv-LV"/>
        </w:rPr>
        <w:t xml:space="preserve">Galvenās dalībvalstu </w:t>
      </w:r>
      <w:r w:rsidR="00DA06D7" w:rsidRPr="004B1257">
        <w:rPr>
          <w:sz w:val="24"/>
          <w:szCs w:val="26"/>
          <w:lang w:val="lv-LV"/>
        </w:rPr>
        <w:t>atziņas</w:t>
      </w:r>
      <w:r w:rsidR="009C7F20" w:rsidRPr="004B1257">
        <w:rPr>
          <w:sz w:val="24"/>
          <w:szCs w:val="26"/>
          <w:lang w:val="lv-LV"/>
        </w:rPr>
        <w:t>,</w:t>
      </w:r>
      <w:r w:rsidRPr="004B1257">
        <w:rPr>
          <w:sz w:val="24"/>
          <w:szCs w:val="26"/>
          <w:lang w:val="lv-LV"/>
        </w:rPr>
        <w:t xml:space="preserve"> gatavojot nacionālos plānus jautājumā</w:t>
      </w:r>
      <w:r w:rsidR="00FD7D9F" w:rsidRPr="004B1257">
        <w:rPr>
          <w:sz w:val="24"/>
          <w:szCs w:val="26"/>
          <w:lang w:val="lv-LV"/>
        </w:rPr>
        <w:t>,</w:t>
      </w:r>
      <w:r w:rsidRPr="004B1257">
        <w:rPr>
          <w:sz w:val="24"/>
          <w:szCs w:val="26"/>
          <w:lang w:val="lv-LV"/>
        </w:rPr>
        <w:t xml:space="preserve"> kā vislabāk nodrošināt </w:t>
      </w:r>
      <w:r w:rsidR="000420B4" w:rsidRPr="004B1257">
        <w:rPr>
          <w:sz w:val="24"/>
          <w:szCs w:val="26"/>
          <w:lang w:val="lv-LV"/>
        </w:rPr>
        <w:t xml:space="preserve">sinerģiju starp nacionālajām un reģionālajām P&amp;A sistēmām Eiropas mērogā. Kādas iespējas dalībvalstis redz sinerģijā starp P&amp;A darbībām ANM plāna ietvaros un ES ietvarprogrammām (galvenokārt Apvārsnis Eiropa, tajā skaitā tās misijas un partnerības). Kā vislabāk nodrošināt </w:t>
      </w:r>
      <w:r w:rsidR="00FD7D9F" w:rsidRPr="004B1257">
        <w:rPr>
          <w:sz w:val="24"/>
          <w:szCs w:val="26"/>
          <w:lang w:val="lv-LV"/>
        </w:rPr>
        <w:t xml:space="preserve">optimālu </w:t>
      </w:r>
      <w:r w:rsidR="000420B4" w:rsidRPr="004B1257">
        <w:rPr>
          <w:sz w:val="24"/>
          <w:szCs w:val="26"/>
          <w:lang w:val="lv-LV"/>
        </w:rPr>
        <w:t>šo sinerģiju ieviešanu un nodrošināšanu.</w:t>
      </w:r>
    </w:p>
    <w:p w14:paraId="7472D71E" w14:textId="77777777" w:rsidR="000420B4" w:rsidRPr="004B1257" w:rsidRDefault="000420B4" w:rsidP="009C7F20">
      <w:pPr>
        <w:pStyle w:val="Body"/>
        <w:numPr>
          <w:ilvl w:val="0"/>
          <w:numId w:val="10"/>
        </w:numPr>
        <w:spacing w:after="120"/>
        <w:ind w:left="568" w:hanging="284"/>
        <w:jc w:val="both"/>
        <w:rPr>
          <w:sz w:val="24"/>
          <w:szCs w:val="26"/>
          <w:lang w:val="lv-LV"/>
        </w:rPr>
      </w:pPr>
      <w:r w:rsidRPr="004B1257">
        <w:rPr>
          <w:sz w:val="24"/>
          <w:szCs w:val="26"/>
          <w:lang w:val="lv-LV"/>
        </w:rPr>
        <w:t>Attiecībā par tematiskajiem P&amp;A ieguldījumiem ANM plāna ietvaros, kā nodrošināt vislabāko potenciālu starpvalstu sadarbības un koordinācijas mehānismiem, nodrošinot vislabāko to transformatīvo ietekmi. Kas ir galvenās jomas, kurā</w:t>
      </w:r>
      <w:r w:rsidR="00FD7D9F" w:rsidRPr="004B1257">
        <w:rPr>
          <w:sz w:val="24"/>
          <w:szCs w:val="26"/>
          <w:lang w:val="lv-LV"/>
        </w:rPr>
        <w:t>s</w:t>
      </w:r>
      <w:r w:rsidRPr="004B1257">
        <w:rPr>
          <w:sz w:val="24"/>
          <w:szCs w:val="26"/>
          <w:lang w:val="lv-LV"/>
        </w:rPr>
        <w:t xml:space="preserve"> šādus ieguldījumus ir nepieciešams izcelt.</w:t>
      </w:r>
    </w:p>
    <w:p w14:paraId="7472D71F" w14:textId="77777777" w:rsidR="00584253" w:rsidRPr="004B1257" w:rsidRDefault="000420B4" w:rsidP="009C7F20">
      <w:pPr>
        <w:pStyle w:val="Body"/>
        <w:numPr>
          <w:ilvl w:val="0"/>
          <w:numId w:val="10"/>
        </w:numPr>
        <w:spacing w:after="120"/>
        <w:ind w:left="568" w:hanging="284"/>
        <w:jc w:val="both"/>
        <w:rPr>
          <w:sz w:val="24"/>
          <w:szCs w:val="26"/>
          <w:lang w:val="lv-LV"/>
        </w:rPr>
      </w:pPr>
      <w:r w:rsidRPr="004B1257">
        <w:rPr>
          <w:sz w:val="24"/>
          <w:szCs w:val="26"/>
          <w:lang w:val="lv-LV"/>
        </w:rPr>
        <w:t>Kā valstu ANM plāni var ciešāk stiprināt un attīstīt inovatīvus uzņēmumus un MVU, lai attīstītu un aizvestu to inovācijas tuvāk tirgum un nodrošinātu šo uzņēmumu izaugsmi.</w:t>
      </w:r>
    </w:p>
    <w:p w14:paraId="7472D720" w14:textId="77777777" w:rsidR="00AB48B8" w:rsidRPr="004B1257" w:rsidRDefault="00246ADB">
      <w:pPr>
        <w:pStyle w:val="Body"/>
        <w:spacing w:after="120"/>
        <w:ind w:firstLine="720"/>
        <w:jc w:val="both"/>
        <w:rPr>
          <w:b/>
          <w:bCs/>
          <w:sz w:val="24"/>
          <w:szCs w:val="26"/>
          <w:u w:val="single"/>
          <w:lang w:val="lv-LV"/>
        </w:rPr>
      </w:pPr>
      <w:r w:rsidRPr="004B1257">
        <w:rPr>
          <w:b/>
          <w:bCs/>
          <w:sz w:val="24"/>
          <w:szCs w:val="26"/>
          <w:u w:val="single"/>
          <w:lang w:val="lv-LV"/>
        </w:rPr>
        <w:t xml:space="preserve">Latvijas pozīcija </w:t>
      </w:r>
    </w:p>
    <w:p w14:paraId="7472D721" w14:textId="77777777" w:rsidR="00F334F8" w:rsidRPr="004B1257" w:rsidRDefault="00F334F8" w:rsidP="0003705E">
      <w:pPr>
        <w:pStyle w:val="Body"/>
        <w:spacing w:after="120"/>
        <w:jc w:val="both"/>
        <w:rPr>
          <w:sz w:val="24"/>
          <w:szCs w:val="26"/>
          <w:lang w:val="lv-LV"/>
        </w:rPr>
      </w:pPr>
      <w:r w:rsidRPr="004B1257">
        <w:rPr>
          <w:sz w:val="24"/>
          <w:szCs w:val="26"/>
          <w:lang w:val="lv-LV"/>
        </w:rPr>
        <w:t xml:space="preserve">Latvija uzskata, ka ANM plānos primāri ir jāatbalsta ilgtspējīgi pasākumi, </w:t>
      </w:r>
      <w:r w:rsidR="003906B5" w:rsidRPr="004B1257">
        <w:rPr>
          <w:sz w:val="24"/>
          <w:szCs w:val="26"/>
          <w:lang w:val="lv-LV"/>
        </w:rPr>
        <w:t xml:space="preserve">lai tajos iesaistītu </w:t>
      </w:r>
      <w:r w:rsidRPr="004B1257">
        <w:rPr>
          <w:sz w:val="24"/>
          <w:szCs w:val="26"/>
          <w:lang w:val="lv-LV"/>
        </w:rPr>
        <w:t>augsti kvalificētu personālu un pētnieku</w:t>
      </w:r>
      <w:r w:rsidR="0003705E" w:rsidRPr="004B1257">
        <w:rPr>
          <w:sz w:val="24"/>
          <w:szCs w:val="26"/>
          <w:lang w:val="lv-LV"/>
        </w:rPr>
        <w:t>s. Pētniecības sinerģija ar ANM</w:t>
      </w:r>
      <w:r w:rsidRPr="004B1257">
        <w:rPr>
          <w:sz w:val="24"/>
          <w:szCs w:val="26"/>
          <w:lang w:val="lv-LV"/>
        </w:rPr>
        <w:t xml:space="preserve"> ir vienīgais veids, kā sasniegt uzstādītos mērķus </w:t>
      </w:r>
      <w:r w:rsidR="0003705E" w:rsidRPr="004B1257">
        <w:rPr>
          <w:sz w:val="24"/>
          <w:szCs w:val="26"/>
          <w:lang w:val="lv-LV"/>
        </w:rPr>
        <w:t>optimālā</w:t>
      </w:r>
      <w:r w:rsidRPr="004B1257">
        <w:rPr>
          <w:sz w:val="24"/>
          <w:szCs w:val="26"/>
          <w:lang w:val="lv-LV"/>
        </w:rPr>
        <w:t xml:space="preserve"> veidā.</w:t>
      </w:r>
    </w:p>
    <w:p w14:paraId="7472D722" w14:textId="77777777" w:rsidR="00F334F8" w:rsidRPr="004B1257" w:rsidRDefault="00F334F8" w:rsidP="0003705E">
      <w:pPr>
        <w:pStyle w:val="Body"/>
        <w:spacing w:after="120"/>
        <w:jc w:val="both"/>
        <w:rPr>
          <w:sz w:val="24"/>
          <w:szCs w:val="26"/>
          <w:lang w:val="lv-LV"/>
        </w:rPr>
      </w:pPr>
      <w:r w:rsidRPr="004B1257">
        <w:rPr>
          <w:sz w:val="24"/>
          <w:szCs w:val="26"/>
          <w:lang w:val="lv-LV"/>
        </w:rPr>
        <w:t>Latvija uzskata, ka ANM un citiem Eiropas instrumentiem</w:t>
      </w:r>
      <w:r w:rsidR="00D564A5" w:rsidRPr="004B1257">
        <w:rPr>
          <w:sz w:val="24"/>
          <w:szCs w:val="26"/>
          <w:lang w:val="lv-LV"/>
        </w:rPr>
        <w:t xml:space="preserve"> ir jāveicina pētnieku karjeras attīstība un Latvijai līdzīgi kā citām jaunajām dalībvalstīm</w:t>
      </w:r>
      <w:r w:rsidR="0003705E" w:rsidRPr="004B1257">
        <w:rPr>
          <w:sz w:val="24"/>
          <w:szCs w:val="26"/>
          <w:lang w:val="lv-LV"/>
        </w:rPr>
        <w:t xml:space="preserve"> (ES-13)</w:t>
      </w:r>
      <w:r w:rsidR="00D564A5" w:rsidRPr="004B1257">
        <w:rPr>
          <w:sz w:val="24"/>
          <w:szCs w:val="26"/>
          <w:lang w:val="lv-LV"/>
        </w:rPr>
        <w:t xml:space="preserve"> ir jāveicina P&amp;A kritiskās masas </w:t>
      </w:r>
      <w:r w:rsidR="00D564A5" w:rsidRPr="004B1257">
        <w:rPr>
          <w:sz w:val="24"/>
          <w:szCs w:val="26"/>
          <w:lang w:val="lv-LV"/>
        </w:rPr>
        <w:lastRenderedPageBreak/>
        <w:t>palielināšanās.</w:t>
      </w:r>
      <w:r w:rsidR="00165CCA" w:rsidRPr="004B1257">
        <w:rPr>
          <w:sz w:val="24"/>
          <w:szCs w:val="26"/>
          <w:lang w:val="lv-LV"/>
        </w:rPr>
        <w:t xml:space="preserve"> Plaisa, </w:t>
      </w:r>
      <w:r w:rsidR="0003705E" w:rsidRPr="004B1257">
        <w:rPr>
          <w:sz w:val="24"/>
          <w:szCs w:val="26"/>
          <w:lang w:val="lv-LV"/>
        </w:rPr>
        <w:t>kas</w:t>
      </w:r>
      <w:r w:rsidR="00165CCA" w:rsidRPr="004B1257">
        <w:rPr>
          <w:sz w:val="24"/>
          <w:szCs w:val="26"/>
          <w:lang w:val="lv-LV"/>
        </w:rPr>
        <w:t xml:space="preserve"> pastāv starp Latviju un vidējo ES dalībvalstu līmeni</w:t>
      </w:r>
      <w:r w:rsidR="0003705E" w:rsidRPr="004B1257">
        <w:rPr>
          <w:sz w:val="24"/>
          <w:szCs w:val="26"/>
          <w:lang w:val="lv-LV"/>
        </w:rPr>
        <w:t>,</w:t>
      </w:r>
      <w:r w:rsidR="00165CCA" w:rsidRPr="004B1257">
        <w:rPr>
          <w:sz w:val="24"/>
          <w:szCs w:val="26"/>
          <w:lang w:val="lv-LV"/>
        </w:rPr>
        <w:t xml:space="preserve"> ir būtiska</w:t>
      </w:r>
      <w:r w:rsidR="0003705E" w:rsidRPr="004B1257">
        <w:rPr>
          <w:sz w:val="24"/>
          <w:szCs w:val="26"/>
          <w:lang w:val="lv-LV"/>
        </w:rPr>
        <w:t>,</w:t>
      </w:r>
      <w:r w:rsidR="00165CCA" w:rsidRPr="004B1257">
        <w:rPr>
          <w:sz w:val="24"/>
          <w:szCs w:val="26"/>
          <w:lang w:val="lv-LV"/>
        </w:rPr>
        <w:t xml:space="preserve"> un </w:t>
      </w:r>
      <w:r w:rsidR="005F6F2D" w:rsidRPr="004B1257">
        <w:rPr>
          <w:sz w:val="24"/>
          <w:szCs w:val="26"/>
          <w:lang w:val="lv-LV"/>
        </w:rPr>
        <w:t>2019.gadā vidējais ES valstu ieguldījums pētniecībā bija 2</w:t>
      </w:r>
      <w:r w:rsidR="0003705E" w:rsidRPr="004B1257">
        <w:rPr>
          <w:sz w:val="24"/>
          <w:szCs w:val="26"/>
          <w:lang w:val="lv-LV"/>
        </w:rPr>
        <w:t>,20 % apmērā</w:t>
      </w:r>
      <w:r w:rsidR="005F6F2D" w:rsidRPr="004B1257">
        <w:rPr>
          <w:sz w:val="24"/>
          <w:szCs w:val="26"/>
          <w:lang w:val="lv-LV"/>
        </w:rPr>
        <w:t xml:space="preserve"> no IKP, kas ir vairāk nekā 3 reizes lielāks par Latvijas ieguldījumu līmeni (0</w:t>
      </w:r>
      <w:r w:rsidR="0003705E" w:rsidRPr="004B1257">
        <w:rPr>
          <w:sz w:val="24"/>
          <w:szCs w:val="26"/>
          <w:lang w:val="lv-LV"/>
        </w:rPr>
        <w:t>,</w:t>
      </w:r>
      <w:r w:rsidR="005F6F2D" w:rsidRPr="004B1257">
        <w:rPr>
          <w:sz w:val="24"/>
          <w:szCs w:val="26"/>
          <w:lang w:val="lv-LV"/>
        </w:rPr>
        <w:t>64 %)</w:t>
      </w:r>
      <w:r w:rsidR="005F6F2D" w:rsidRPr="004B1257">
        <w:rPr>
          <w:rStyle w:val="FootnoteReference"/>
          <w:sz w:val="24"/>
          <w:szCs w:val="26"/>
          <w:lang w:val="lv-LV"/>
        </w:rPr>
        <w:footnoteReference w:id="2"/>
      </w:r>
      <w:r w:rsidR="005F6F2D" w:rsidRPr="004B1257">
        <w:rPr>
          <w:sz w:val="24"/>
          <w:szCs w:val="26"/>
          <w:lang w:val="lv-LV"/>
        </w:rPr>
        <w:t xml:space="preserve">. Turklāt, šī plaisa pastāv gan attiecībā </w:t>
      </w:r>
      <w:r w:rsidR="0003705E" w:rsidRPr="004B1257">
        <w:rPr>
          <w:sz w:val="24"/>
          <w:szCs w:val="26"/>
          <w:lang w:val="lv-LV"/>
        </w:rPr>
        <w:t>uz</w:t>
      </w:r>
      <w:r w:rsidR="005F6F2D" w:rsidRPr="004B1257">
        <w:rPr>
          <w:sz w:val="24"/>
          <w:szCs w:val="26"/>
          <w:lang w:val="lv-LV"/>
        </w:rPr>
        <w:t xml:space="preserve"> publiskā sektora finansējumu, gan attiecībā </w:t>
      </w:r>
      <w:r w:rsidR="0003705E" w:rsidRPr="004B1257">
        <w:rPr>
          <w:sz w:val="24"/>
          <w:szCs w:val="26"/>
          <w:lang w:val="lv-LV"/>
        </w:rPr>
        <w:t>uz</w:t>
      </w:r>
      <w:r w:rsidR="005F6F2D" w:rsidRPr="004B1257">
        <w:rPr>
          <w:sz w:val="24"/>
          <w:szCs w:val="26"/>
          <w:lang w:val="lv-LV"/>
        </w:rPr>
        <w:t xml:space="preserve"> uzņēmējdarbības finansējumu P&amp;A.</w:t>
      </w:r>
    </w:p>
    <w:p w14:paraId="7472D723" w14:textId="77777777" w:rsidR="00165CCA" w:rsidRPr="004B1257" w:rsidRDefault="00165CCA" w:rsidP="0003705E">
      <w:pPr>
        <w:pStyle w:val="Body"/>
        <w:spacing w:after="120"/>
        <w:jc w:val="both"/>
        <w:rPr>
          <w:sz w:val="24"/>
          <w:szCs w:val="24"/>
          <w:lang w:val="lv-LV"/>
        </w:rPr>
      </w:pPr>
      <w:r w:rsidRPr="004B1257">
        <w:rPr>
          <w:sz w:val="24"/>
          <w:szCs w:val="24"/>
          <w:lang w:val="lv-LV"/>
        </w:rPr>
        <w:t xml:space="preserve">Latvijai ir aktuāls Eiropas </w:t>
      </w:r>
      <w:r w:rsidR="0003705E" w:rsidRPr="004B1257">
        <w:rPr>
          <w:sz w:val="24"/>
          <w:szCs w:val="24"/>
          <w:lang w:val="lv-LV"/>
        </w:rPr>
        <w:t>P</w:t>
      </w:r>
      <w:r w:rsidRPr="004B1257">
        <w:rPr>
          <w:sz w:val="24"/>
          <w:szCs w:val="24"/>
          <w:lang w:val="lv-LV"/>
        </w:rPr>
        <w:t>ētniecības telpas definētais mērķis kopējai ES virzībai uz P&amp;A ieguldījumiem 3% apmērā no IKP, un tām valstīm, kuras no ES vidējā līmeņa šobrīd atpaliek, palielināt to P&amp;A ieguldījumus par vismaz 50 %</w:t>
      </w:r>
      <w:r w:rsidRPr="004B1257">
        <w:rPr>
          <w:rStyle w:val="FootnoteReference"/>
          <w:sz w:val="24"/>
          <w:szCs w:val="24"/>
          <w:lang w:val="lv-LV"/>
        </w:rPr>
        <w:footnoteReference w:id="3"/>
      </w:r>
      <w:r w:rsidRPr="004B1257">
        <w:rPr>
          <w:sz w:val="24"/>
          <w:szCs w:val="24"/>
          <w:lang w:val="lv-LV"/>
        </w:rPr>
        <w:t xml:space="preserve">. Nodrošinot kopīgu un savstarpēji sasaistītu ANM, ES fondu un valsts budžeta pilnvērtīgu P&amp;A finansējumu tuvāko gadu laikā Latvija arī sasniegtu tai paredzēto Eiropas </w:t>
      </w:r>
      <w:r w:rsidR="0003705E" w:rsidRPr="004B1257">
        <w:rPr>
          <w:sz w:val="24"/>
          <w:szCs w:val="24"/>
          <w:lang w:val="lv-LV"/>
        </w:rPr>
        <w:t>P</w:t>
      </w:r>
      <w:r w:rsidRPr="004B1257">
        <w:rPr>
          <w:sz w:val="24"/>
          <w:szCs w:val="24"/>
          <w:lang w:val="lv-LV"/>
        </w:rPr>
        <w:t>ētniecības telpas definēto investīciju mērķi.</w:t>
      </w:r>
    </w:p>
    <w:p w14:paraId="7472D724" w14:textId="77777777" w:rsidR="003906B5" w:rsidRDefault="00942457" w:rsidP="0003705E">
      <w:pPr>
        <w:pStyle w:val="Body"/>
        <w:spacing w:after="120"/>
        <w:jc w:val="both"/>
        <w:rPr>
          <w:sz w:val="24"/>
          <w:szCs w:val="26"/>
          <w:lang w:val="lv-LV"/>
        </w:rPr>
      </w:pPr>
      <w:r w:rsidRPr="004B1257">
        <w:rPr>
          <w:sz w:val="24"/>
          <w:szCs w:val="26"/>
          <w:lang w:val="lv-LV"/>
        </w:rPr>
        <w:t xml:space="preserve">Latvijas ANM plāna projektā zinātnes un pētniecības jomā ir iekļauti pasākumi, kas vērsti uz ekonomikas </w:t>
      </w:r>
      <w:r w:rsidR="003906B5" w:rsidRPr="004B1257">
        <w:rPr>
          <w:sz w:val="24"/>
          <w:szCs w:val="26"/>
          <w:lang w:val="lv-LV"/>
        </w:rPr>
        <w:t xml:space="preserve">ilgtspēju </w:t>
      </w:r>
      <w:r w:rsidRPr="004B1257">
        <w:rPr>
          <w:sz w:val="24"/>
          <w:szCs w:val="26"/>
          <w:lang w:val="lv-LV"/>
        </w:rPr>
        <w:t xml:space="preserve">un digitālo transformāciju. Investīcijas ir plānotas atvērtās zinātnes ieviešanai praksē, augsta līmeņa digitālo prasmju programmas īstenošanai, kā arī augstskolu pārvaldības reformas īstenošanai. </w:t>
      </w:r>
      <w:r w:rsidR="003906B5" w:rsidRPr="004B1257">
        <w:rPr>
          <w:sz w:val="24"/>
          <w:szCs w:val="26"/>
          <w:lang w:val="lv-LV"/>
        </w:rPr>
        <w:t xml:space="preserve">Arī ANM investīcijas </w:t>
      </w:r>
      <w:r w:rsidRPr="004B1257">
        <w:rPr>
          <w:sz w:val="24"/>
          <w:szCs w:val="26"/>
          <w:lang w:val="lv-LV"/>
        </w:rPr>
        <w:t xml:space="preserve">paredzētas atvērtās zinātnes ieviešanai praksē, </w:t>
      </w:r>
      <w:r w:rsidR="003906B5" w:rsidRPr="004B1257">
        <w:rPr>
          <w:sz w:val="24"/>
          <w:szCs w:val="26"/>
          <w:lang w:val="lv-LV"/>
        </w:rPr>
        <w:t xml:space="preserve">lai veicinātu </w:t>
      </w:r>
      <w:r w:rsidRPr="004B1257">
        <w:rPr>
          <w:sz w:val="24"/>
          <w:szCs w:val="26"/>
          <w:lang w:val="lv-LV"/>
        </w:rPr>
        <w:t xml:space="preserve">pētnieku, uzņēmumu, publiskās pārvaldes un sabiedrības piekļuvi zināšanām, resursiem, pētniecības rezultātiem, nodrošinot, ka publiski finansēta pētniecība kļūst atvērtāka un pieejamāka plašākai sabiedrībai, </w:t>
      </w:r>
      <w:r w:rsidR="003906B5" w:rsidRPr="004B1257">
        <w:rPr>
          <w:sz w:val="24"/>
          <w:szCs w:val="26"/>
          <w:lang w:val="lv-LV"/>
        </w:rPr>
        <w:t xml:space="preserve">attīstot </w:t>
      </w:r>
      <w:r w:rsidRPr="004B1257">
        <w:rPr>
          <w:sz w:val="24"/>
          <w:szCs w:val="26"/>
          <w:lang w:val="lv-LV"/>
        </w:rPr>
        <w:t xml:space="preserve">atvērto datu un digitālo komunikācijas rīku koplietošanu un izmantošanu inovācijas procesos. </w:t>
      </w:r>
    </w:p>
    <w:p w14:paraId="497DBDD8" w14:textId="7EDC4C2D" w:rsidR="002B7EC5" w:rsidRPr="004B1257" w:rsidRDefault="002B7EC5" w:rsidP="0003705E">
      <w:pPr>
        <w:pStyle w:val="Body"/>
        <w:spacing w:after="120"/>
        <w:jc w:val="both"/>
        <w:rPr>
          <w:sz w:val="24"/>
          <w:szCs w:val="26"/>
          <w:lang w:val="lv-LV"/>
        </w:rPr>
      </w:pPr>
      <w:r w:rsidRPr="00F35C6F">
        <w:rPr>
          <w:sz w:val="24"/>
          <w:szCs w:val="26"/>
          <w:lang w:val="lv-LV"/>
        </w:rPr>
        <w:t>Izglītības un zinātnes ministrijas ANM plāna investīciju priekšplānā ir paredzēts atbalsts augstākās izglītības</w:t>
      </w:r>
      <w:r w:rsidR="00F35C6F" w:rsidRPr="00F35C6F">
        <w:rPr>
          <w:sz w:val="24"/>
          <w:szCs w:val="26"/>
          <w:lang w:val="lv-LV"/>
        </w:rPr>
        <w:t xml:space="preserve"> un zinātnes</w:t>
      </w:r>
      <w:r w:rsidRPr="00F35C6F">
        <w:rPr>
          <w:sz w:val="24"/>
          <w:szCs w:val="26"/>
          <w:lang w:val="lv-LV"/>
        </w:rPr>
        <w:t xml:space="preserve"> pārvaldības modeļa maiņas nodrošināšanai, lai varētu veikt augstskolu</w:t>
      </w:r>
      <w:r w:rsidR="00F35C6F" w:rsidRPr="00F35C6F">
        <w:rPr>
          <w:sz w:val="24"/>
          <w:szCs w:val="26"/>
          <w:lang w:val="lv-LV"/>
        </w:rPr>
        <w:t xml:space="preserve"> un zinātnisko institūciju</w:t>
      </w:r>
      <w:r w:rsidRPr="00F35C6F">
        <w:rPr>
          <w:sz w:val="24"/>
          <w:szCs w:val="26"/>
          <w:lang w:val="lv-LV"/>
        </w:rPr>
        <w:t xml:space="preserve"> strukturālās pārmaiņas, lai veicinātu izcilību un augstākās izglītības un zinātnes kvalitātes un resursu ieguldījumu efektivitāti un starptautisko konkurētspēju, tostarp integrāciju starptautiskajos augstākās izglītības un pētniecības tīklos.</w:t>
      </w:r>
      <w:r w:rsidR="00616E55" w:rsidRPr="00F35C6F">
        <w:rPr>
          <w:sz w:val="24"/>
          <w:szCs w:val="26"/>
          <w:lang w:val="lv-LV"/>
        </w:rPr>
        <w:t xml:space="preserve"> Tas arī būs priekšnoteikums atbalsta aktivit</w:t>
      </w:r>
      <w:r w:rsidR="00F47EEC" w:rsidRPr="00F35C6F">
        <w:rPr>
          <w:sz w:val="24"/>
          <w:szCs w:val="26"/>
          <w:lang w:val="lv-LV"/>
        </w:rPr>
        <w:t>ātēm</w:t>
      </w:r>
      <w:r w:rsidR="00616E55" w:rsidRPr="00F35C6F">
        <w:rPr>
          <w:sz w:val="24"/>
          <w:szCs w:val="26"/>
          <w:lang w:val="lv-LV"/>
        </w:rPr>
        <w:t xml:space="preserve"> jauna akadēmiskās karjeras modeļa izstrādei Latvijā.</w:t>
      </w:r>
    </w:p>
    <w:p w14:paraId="7472D725" w14:textId="5448FC2C" w:rsidR="00942457" w:rsidRPr="004B1257" w:rsidRDefault="00942457" w:rsidP="0003705E">
      <w:pPr>
        <w:pStyle w:val="Body"/>
        <w:spacing w:after="120"/>
        <w:jc w:val="both"/>
        <w:rPr>
          <w:sz w:val="24"/>
          <w:szCs w:val="26"/>
          <w:lang w:val="lv-LV"/>
        </w:rPr>
      </w:pPr>
      <w:r w:rsidRPr="004B1257">
        <w:rPr>
          <w:sz w:val="24"/>
          <w:szCs w:val="26"/>
          <w:lang w:val="lv-LV"/>
        </w:rPr>
        <w:t>Izglītības un zinātnes ministrija arī sagatavoja un iesniedza pieteikumus ANM plāna Klimata sadaļā klimatneitralitātes pētniecības un inovācijas centru izveidei, jo klimata izaicinājumu risināšana ir neatraujama no pilnvērtīga ieguldījuma pētniecībā un inovācijās šajā jomā, taču pašreizējā ANM plānā atbalsts šādiem pasākumiem nav palicis.</w:t>
      </w:r>
    </w:p>
    <w:p w14:paraId="7472D726" w14:textId="77777777" w:rsidR="003906B5" w:rsidRPr="004B1257" w:rsidRDefault="00F334F8" w:rsidP="0003705E">
      <w:pPr>
        <w:pStyle w:val="Body"/>
        <w:spacing w:after="120"/>
        <w:jc w:val="both"/>
        <w:rPr>
          <w:sz w:val="24"/>
          <w:szCs w:val="26"/>
          <w:lang w:val="lv-LV"/>
        </w:rPr>
      </w:pPr>
      <w:r w:rsidRPr="004B1257">
        <w:rPr>
          <w:sz w:val="24"/>
          <w:szCs w:val="26"/>
          <w:lang w:val="lv-LV"/>
        </w:rPr>
        <w:t xml:space="preserve">Latvija ir </w:t>
      </w:r>
      <w:r w:rsidR="0003705E" w:rsidRPr="004B1257">
        <w:rPr>
          <w:sz w:val="24"/>
          <w:szCs w:val="26"/>
          <w:lang w:val="lv-LV"/>
        </w:rPr>
        <w:t>īstenojusi</w:t>
      </w:r>
      <w:r w:rsidRPr="004B1257">
        <w:rPr>
          <w:sz w:val="24"/>
          <w:szCs w:val="26"/>
          <w:lang w:val="lv-LV"/>
        </w:rPr>
        <w:t xml:space="preserve"> </w:t>
      </w:r>
      <w:r w:rsidR="0003705E" w:rsidRPr="004B1257">
        <w:rPr>
          <w:sz w:val="24"/>
          <w:szCs w:val="26"/>
          <w:lang w:val="lv-LV"/>
        </w:rPr>
        <w:t>v</w:t>
      </w:r>
      <w:r w:rsidRPr="004B1257">
        <w:rPr>
          <w:sz w:val="24"/>
          <w:szCs w:val="26"/>
          <w:lang w:val="lv-LV"/>
        </w:rPr>
        <w:t xml:space="preserve">alsts pētījumu programmu “COVID-19 seku mazināšanai” 5 miljonu </w:t>
      </w:r>
      <w:r w:rsidR="0003705E" w:rsidRPr="004B1257">
        <w:rPr>
          <w:i/>
          <w:sz w:val="24"/>
          <w:szCs w:val="26"/>
          <w:lang w:val="lv-LV"/>
        </w:rPr>
        <w:t>euro</w:t>
      </w:r>
      <w:r w:rsidRPr="004B1257">
        <w:rPr>
          <w:sz w:val="24"/>
          <w:szCs w:val="26"/>
          <w:lang w:val="lv-LV"/>
        </w:rPr>
        <w:t xml:space="preserve"> apmērā, kas atklājusi visu plašo problēmu spektru saistībā ar COVID-19 pandēmiju. </w:t>
      </w:r>
    </w:p>
    <w:p w14:paraId="7472D727" w14:textId="77777777" w:rsidR="00F334F8" w:rsidRPr="004B1257" w:rsidRDefault="003907D6" w:rsidP="0003705E">
      <w:pPr>
        <w:pStyle w:val="Body"/>
        <w:spacing w:after="120"/>
        <w:jc w:val="both"/>
        <w:rPr>
          <w:sz w:val="24"/>
          <w:szCs w:val="26"/>
          <w:lang w:val="lv-LV"/>
        </w:rPr>
      </w:pPr>
      <w:r w:rsidRPr="004B1257">
        <w:rPr>
          <w:sz w:val="24"/>
          <w:szCs w:val="26"/>
          <w:lang w:val="lv-LV"/>
        </w:rPr>
        <w:t>Latvijai ir labas iestrādes pandēmiskās noturības un sagatavotības jomā.</w:t>
      </w:r>
      <w:r w:rsidR="00D564A5" w:rsidRPr="004B1257">
        <w:rPr>
          <w:sz w:val="24"/>
          <w:szCs w:val="26"/>
          <w:lang w:val="lv-LV"/>
        </w:rPr>
        <w:t xml:space="preserve"> </w:t>
      </w:r>
    </w:p>
    <w:p w14:paraId="7472D728" w14:textId="77777777" w:rsidR="00F334F8" w:rsidRPr="004B1257" w:rsidRDefault="00F334F8" w:rsidP="0003705E">
      <w:pPr>
        <w:pStyle w:val="Body"/>
        <w:spacing w:after="120"/>
        <w:jc w:val="both"/>
        <w:rPr>
          <w:sz w:val="24"/>
          <w:szCs w:val="26"/>
          <w:lang w:val="lv-LV"/>
        </w:rPr>
      </w:pPr>
      <w:r w:rsidRPr="004B1257">
        <w:rPr>
          <w:sz w:val="24"/>
          <w:szCs w:val="26"/>
          <w:lang w:val="lv-LV"/>
        </w:rPr>
        <w:t>Latvija cer, ka pamatprogramma “Apvārsnis Eiropa” būtiski veicinās atbildes uz vissarežģītākajiem jautājumiem saistībā ar pandēmijas norisi, norimšanos un beigām,</w:t>
      </w:r>
      <w:r w:rsidR="0003705E" w:rsidRPr="004B1257">
        <w:rPr>
          <w:sz w:val="24"/>
          <w:szCs w:val="26"/>
          <w:lang w:val="lv-LV"/>
        </w:rPr>
        <w:t xml:space="preserve"> kā arī</w:t>
      </w:r>
      <w:r w:rsidRPr="004B1257">
        <w:rPr>
          <w:sz w:val="24"/>
          <w:szCs w:val="26"/>
          <w:lang w:val="lv-LV"/>
        </w:rPr>
        <w:t xml:space="preserve"> jaunas pandēmijas novēršanu. Nenoliedzot izcilības nozīmi </w:t>
      </w:r>
      <w:r w:rsidR="0003705E" w:rsidRPr="004B1257">
        <w:rPr>
          <w:sz w:val="24"/>
          <w:szCs w:val="26"/>
          <w:lang w:val="lv-LV"/>
        </w:rPr>
        <w:t>p</w:t>
      </w:r>
      <w:r w:rsidRPr="004B1257">
        <w:rPr>
          <w:sz w:val="24"/>
          <w:szCs w:val="26"/>
          <w:lang w:val="lv-LV"/>
        </w:rPr>
        <w:t xml:space="preserve">amatprogrammu projektu vērtēšanā, projektu rezultātiem jābūt atvērtā veidā pieejamiem visās ES dalībvalstīs. Pamatprogrammā “Apvārsnis 2020” piekļuve projektu rezultātiem </w:t>
      </w:r>
      <w:r w:rsidR="003906B5" w:rsidRPr="004B1257">
        <w:rPr>
          <w:sz w:val="24"/>
          <w:szCs w:val="26"/>
          <w:lang w:val="lv-LV"/>
        </w:rPr>
        <w:t xml:space="preserve">nav bijusi </w:t>
      </w:r>
      <w:r w:rsidRPr="004B1257">
        <w:rPr>
          <w:sz w:val="24"/>
          <w:szCs w:val="26"/>
          <w:lang w:val="lv-LV"/>
        </w:rPr>
        <w:t>optimāla</w:t>
      </w:r>
      <w:r w:rsidR="003906B5" w:rsidRPr="004B1257">
        <w:rPr>
          <w:sz w:val="24"/>
          <w:szCs w:val="26"/>
          <w:lang w:val="lv-LV"/>
        </w:rPr>
        <w:t xml:space="preserve"> un iespējami uzlabojumi</w:t>
      </w:r>
      <w:r w:rsidRPr="004B1257">
        <w:rPr>
          <w:sz w:val="24"/>
          <w:szCs w:val="26"/>
          <w:lang w:val="lv-LV"/>
        </w:rPr>
        <w:t>.</w:t>
      </w:r>
    </w:p>
    <w:p w14:paraId="7472D729" w14:textId="77777777" w:rsidR="0071428A" w:rsidRPr="004B1257" w:rsidRDefault="00F334F8" w:rsidP="0003705E">
      <w:pPr>
        <w:pStyle w:val="Body"/>
        <w:spacing w:after="120"/>
        <w:jc w:val="both"/>
        <w:rPr>
          <w:sz w:val="24"/>
          <w:szCs w:val="26"/>
          <w:lang w:val="lv-LV"/>
        </w:rPr>
      </w:pPr>
      <w:r w:rsidRPr="004B1257">
        <w:rPr>
          <w:sz w:val="24"/>
          <w:szCs w:val="26"/>
          <w:lang w:val="lv-LV"/>
        </w:rPr>
        <w:t>Zinātniskā kultūra, zinātniski</w:t>
      </w:r>
      <w:r w:rsidR="0003705E" w:rsidRPr="004B1257">
        <w:rPr>
          <w:sz w:val="24"/>
          <w:szCs w:val="26"/>
          <w:lang w:val="lv-LV"/>
        </w:rPr>
        <w:t>e</w:t>
      </w:r>
      <w:r w:rsidRPr="004B1257">
        <w:rPr>
          <w:sz w:val="24"/>
          <w:szCs w:val="26"/>
          <w:lang w:val="lv-LV"/>
        </w:rPr>
        <w:t xml:space="preserve"> </w:t>
      </w:r>
      <w:r w:rsidR="0003705E" w:rsidRPr="004B1257">
        <w:rPr>
          <w:sz w:val="24"/>
          <w:szCs w:val="26"/>
          <w:lang w:val="lv-LV"/>
        </w:rPr>
        <w:t>pierādījumi</w:t>
      </w:r>
      <w:r w:rsidRPr="004B1257">
        <w:rPr>
          <w:sz w:val="24"/>
          <w:szCs w:val="26"/>
          <w:lang w:val="lv-LV"/>
        </w:rPr>
        <w:t xml:space="preserve"> kā rīcībpolitikas pamats ir apsveicami, ja tie izriet no ES vai dalībvalstu programmām, un tiek veicināta dalīšanās ar zinātniskiem rezultātiem.</w:t>
      </w:r>
      <w:r w:rsidR="00D564A5" w:rsidRPr="004B1257">
        <w:rPr>
          <w:sz w:val="24"/>
          <w:szCs w:val="26"/>
          <w:lang w:val="lv-LV"/>
        </w:rPr>
        <w:t xml:space="preserve"> Latvija arī ir </w:t>
      </w:r>
      <w:r w:rsidR="00DD43FB" w:rsidRPr="004B1257">
        <w:rPr>
          <w:sz w:val="24"/>
          <w:szCs w:val="26"/>
          <w:lang w:val="lv-LV"/>
        </w:rPr>
        <w:t>izvirzījusi</w:t>
      </w:r>
      <w:r w:rsidR="00D564A5" w:rsidRPr="004B1257">
        <w:rPr>
          <w:sz w:val="24"/>
          <w:szCs w:val="26"/>
          <w:lang w:val="lv-LV"/>
        </w:rPr>
        <w:t xml:space="preserve"> </w:t>
      </w:r>
      <w:r w:rsidR="0003705E" w:rsidRPr="004B1257">
        <w:rPr>
          <w:sz w:val="24"/>
          <w:szCs w:val="26"/>
          <w:lang w:val="lv-LV"/>
        </w:rPr>
        <w:t>a</w:t>
      </w:r>
      <w:r w:rsidR="00D564A5" w:rsidRPr="004B1257">
        <w:rPr>
          <w:sz w:val="24"/>
          <w:szCs w:val="26"/>
          <w:lang w:val="lv-LV"/>
        </w:rPr>
        <w:t>tvērto zinātni kā vienu</w:t>
      </w:r>
      <w:r w:rsidR="0003705E" w:rsidRPr="004B1257">
        <w:rPr>
          <w:sz w:val="24"/>
          <w:szCs w:val="26"/>
          <w:lang w:val="lv-LV"/>
        </w:rPr>
        <w:t xml:space="preserve"> no</w:t>
      </w:r>
      <w:r w:rsidR="00D564A5" w:rsidRPr="004B1257">
        <w:rPr>
          <w:sz w:val="24"/>
          <w:szCs w:val="26"/>
          <w:lang w:val="lv-LV"/>
        </w:rPr>
        <w:t xml:space="preserve"> prioritātēm </w:t>
      </w:r>
      <w:r w:rsidR="0040485E" w:rsidRPr="004B1257">
        <w:rPr>
          <w:sz w:val="24"/>
          <w:szCs w:val="26"/>
          <w:lang w:val="lv-LV"/>
        </w:rPr>
        <w:t>gan ANM plānā, gan citās zinātnes programmās.</w:t>
      </w:r>
    </w:p>
    <w:p w14:paraId="7472D72A" w14:textId="77777777" w:rsidR="00165CCA" w:rsidRPr="004B1257" w:rsidRDefault="00165CCA" w:rsidP="0003705E">
      <w:pPr>
        <w:pStyle w:val="Body"/>
        <w:spacing w:after="120"/>
        <w:jc w:val="both"/>
        <w:rPr>
          <w:sz w:val="24"/>
          <w:szCs w:val="26"/>
          <w:lang w:val="lv-LV"/>
        </w:rPr>
      </w:pPr>
      <w:r w:rsidRPr="004B1257">
        <w:rPr>
          <w:sz w:val="24"/>
          <w:szCs w:val="26"/>
          <w:lang w:val="lv-LV"/>
        </w:rPr>
        <w:t>Attiecībā par tematiskajiem P&amp;A ieguldījumiem, tie arī īpaši sasaistās ar Latvijas Eiropas semestra rekomendācijām</w:t>
      </w:r>
      <w:r w:rsidRPr="004B1257">
        <w:rPr>
          <w:rStyle w:val="FootnoteReference"/>
          <w:sz w:val="24"/>
          <w:szCs w:val="26"/>
          <w:lang w:val="lv-LV"/>
        </w:rPr>
        <w:footnoteReference w:id="4"/>
      </w:r>
      <w:r w:rsidRPr="004B1257">
        <w:rPr>
          <w:sz w:val="24"/>
          <w:szCs w:val="26"/>
          <w:lang w:val="lv-LV"/>
        </w:rPr>
        <w:t>, kuras paredz virzīt investīcijas uz zaļo pārkārtošanos un digitālo pāreju, jo īpaši uz pētniecību un inovāciju, tīru un efektīvu enerģijas ražošanu un izmantošanu, ilgtspējīgu transportu un digitālo infrastruktūru. Šeit arī ir nepieciešama kopīga un vērienīga rīcība no Latvijas nacionālajām, ES fondu un Eiropas ietvarprogrammu programmām P&amp;A jomā.</w:t>
      </w:r>
    </w:p>
    <w:p w14:paraId="7472D72B" w14:textId="77777777" w:rsidR="0071428A" w:rsidRPr="004B1257" w:rsidRDefault="005F6F2D" w:rsidP="0003705E">
      <w:pPr>
        <w:pStyle w:val="Body"/>
        <w:spacing w:after="120"/>
        <w:jc w:val="both"/>
        <w:rPr>
          <w:sz w:val="24"/>
          <w:szCs w:val="26"/>
          <w:lang w:val="lv-LV"/>
        </w:rPr>
      </w:pPr>
      <w:r w:rsidRPr="004B1257">
        <w:rPr>
          <w:sz w:val="24"/>
          <w:szCs w:val="26"/>
          <w:lang w:val="lv-LV"/>
        </w:rPr>
        <w:lastRenderedPageBreak/>
        <w:t xml:space="preserve">Attiecībā </w:t>
      </w:r>
      <w:r w:rsidR="0003705E" w:rsidRPr="004B1257">
        <w:rPr>
          <w:sz w:val="24"/>
          <w:szCs w:val="26"/>
          <w:lang w:val="lv-LV"/>
        </w:rPr>
        <w:t>uz</w:t>
      </w:r>
      <w:r w:rsidRPr="004B1257">
        <w:rPr>
          <w:sz w:val="24"/>
          <w:szCs w:val="26"/>
          <w:lang w:val="lv-LV"/>
        </w:rPr>
        <w:t xml:space="preserve"> uzņēmumu ieguldījumiem P&amp;A, īpaši attiecībā par MVU sektoru un jaunuzņēmumiem, Latvijas interesēs ir nodrošināt nepieciešamos apstākļus šo ieguldījumu pieaugumam. Pēc pēdējiem datiem 2019.gadā Latvijas P&amp;A ieguldījumi uzņēmumos veidoja 0</w:t>
      </w:r>
      <w:r w:rsidR="0003705E" w:rsidRPr="004B1257">
        <w:rPr>
          <w:sz w:val="24"/>
          <w:szCs w:val="26"/>
          <w:lang w:val="lv-LV"/>
        </w:rPr>
        <w:t>,</w:t>
      </w:r>
      <w:r w:rsidR="003906B5" w:rsidRPr="004B1257">
        <w:rPr>
          <w:sz w:val="24"/>
          <w:szCs w:val="26"/>
          <w:lang w:val="lv-LV"/>
        </w:rPr>
        <w:t>17 </w:t>
      </w:r>
      <w:r w:rsidR="0003705E" w:rsidRPr="004B1257">
        <w:rPr>
          <w:sz w:val="24"/>
          <w:szCs w:val="26"/>
          <w:lang w:val="lv-LV"/>
        </w:rPr>
        <w:t xml:space="preserve">% </w:t>
      </w:r>
      <w:r w:rsidRPr="004B1257">
        <w:rPr>
          <w:sz w:val="24"/>
          <w:szCs w:val="26"/>
          <w:lang w:val="lv-LV"/>
        </w:rPr>
        <w:t xml:space="preserve">no IKP, kas </w:t>
      </w:r>
      <w:r w:rsidR="00942457" w:rsidRPr="004B1257">
        <w:rPr>
          <w:sz w:val="24"/>
          <w:szCs w:val="26"/>
          <w:lang w:val="lv-LV"/>
        </w:rPr>
        <w:t>ir</w:t>
      </w:r>
      <w:r w:rsidRPr="004B1257">
        <w:rPr>
          <w:sz w:val="24"/>
          <w:szCs w:val="26"/>
          <w:lang w:val="lv-LV"/>
        </w:rPr>
        <w:t xml:space="preserve"> 12 % apmērā no vidējā</w:t>
      </w:r>
      <w:r w:rsidR="00942457" w:rsidRPr="004B1257">
        <w:rPr>
          <w:sz w:val="24"/>
          <w:szCs w:val="26"/>
          <w:lang w:val="lv-LV"/>
        </w:rPr>
        <w:t xml:space="preserve"> P&amp;A ieguldījumu līmeņa uzņēmumos </w:t>
      </w:r>
      <w:r w:rsidRPr="004B1257">
        <w:rPr>
          <w:sz w:val="24"/>
          <w:szCs w:val="26"/>
          <w:lang w:val="lv-LV"/>
        </w:rPr>
        <w:t xml:space="preserve">ES-27 </w:t>
      </w:r>
      <w:r w:rsidR="00942457" w:rsidRPr="004B1257">
        <w:rPr>
          <w:sz w:val="24"/>
          <w:szCs w:val="26"/>
          <w:lang w:val="lv-LV"/>
        </w:rPr>
        <w:t>valstīs</w:t>
      </w:r>
      <w:r w:rsidRPr="004B1257">
        <w:rPr>
          <w:sz w:val="24"/>
          <w:szCs w:val="26"/>
          <w:lang w:val="lv-LV"/>
        </w:rPr>
        <w:t xml:space="preserve"> (1</w:t>
      </w:r>
      <w:r w:rsidR="0003705E" w:rsidRPr="004B1257">
        <w:rPr>
          <w:sz w:val="24"/>
          <w:szCs w:val="26"/>
          <w:lang w:val="lv-LV"/>
        </w:rPr>
        <w:t>,</w:t>
      </w:r>
      <w:r w:rsidRPr="004B1257">
        <w:rPr>
          <w:sz w:val="24"/>
          <w:szCs w:val="26"/>
          <w:lang w:val="lv-LV"/>
        </w:rPr>
        <w:t>46 %)</w:t>
      </w:r>
      <w:r w:rsidRPr="004B1257">
        <w:rPr>
          <w:rStyle w:val="FootnoteReference"/>
          <w:sz w:val="24"/>
          <w:szCs w:val="26"/>
          <w:lang w:val="lv-LV"/>
        </w:rPr>
        <w:footnoteReference w:id="5"/>
      </w:r>
      <w:r w:rsidRPr="004B1257">
        <w:rPr>
          <w:sz w:val="24"/>
          <w:szCs w:val="26"/>
          <w:lang w:val="lv-LV"/>
        </w:rPr>
        <w:t>. Īpaši liela nozīme P&amp;A ieguldījumu veicināšanai uzņēmumos ir saistīta ar pilnvērtīga P&amp;A cilvēkkapitāla nodrošināšanu, kurš šos zināšanu un inovāciju ietilpīgos darbus varēs veikt.</w:t>
      </w:r>
    </w:p>
    <w:p w14:paraId="7472D72C" w14:textId="77777777" w:rsidR="00AB48B8" w:rsidRPr="004B1257" w:rsidRDefault="00246ADB" w:rsidP="00557E10">
      <w:pPr>
        <w:spacing w:after="120"/>
        <w:jc w:val="both"/>
        <w:rPr>
          <w:rFonts w:cs="Arial Unicode MS"/>
          <w:b/>
          <w:bCs/>
          <w:color w:val="000000"/>
          <w:u w:color="000000"/>
          <w:lang w:val="lv-LV" w:eastAsia="lv-LV"/>
        </w:rPr>
      </w:pPr>
      <w:r w:rsidRPr="004B1257">
        <w:rPr>
          <w:rFonts w:cs="Arial Unicode MS"/>
          <w:b/>
          <w:bCs/>
          <w:color w:val="000000"/>
          <w:u w:color="000000"/>
          <w:lang w:val="lv-LV" w:eastAsia="lv-LV"/>
        </w:rPr>
        <w:t>Latvijas delegācija:</w:t>
      </w:r>
    </w:p>
    <w:p w14:paraId="7472D72D" w14:textId="77777777" w:rsidR="00AB48B8" w:rsidRPr="004B1257" w:rsidRDefault="000420B4" w:rsidP="00557E10">
      <w:pPr>
        <w:spacing w:after="120"/>
        <w:ind w:left="2835" w:hanging="2835"/>
        <w:jc w:val="both"/>
        <w:rPr>
          <w:rFonts w:cs="Arial Unicode MS"/>
          <w:color w:val="000000"/>
          <w:u w:color="000000"/>
          <w:lang w:val="lv-LV" w:eastAsia="lv-LV"/>
        </w:rPr>
      </w:pPr>
      <w:r w:rsidRPr="004B1257">
        <w:rPr>
          <w:rFonts w:cs="Arial Unicode MS"/>
          <w:color w:val="000000"/>
          <w:u w:color="000000"/>
          <w:lang w:val="lv-LV" w:eastAsia="lv-LV"/>
        </w:rPr>
        <w:t>Delegācijas vadītājs</w:t>
      </w:r>
      <w:r w:rsidR="00246ADB" w:rsidRPr="004B1257">
        <w:rPr>
          <w:rFonts w:cs="Arial Unicode MS"/>
          <w:color w:val="000000"/>
          <w:u w:color="000000"/>
          <w:lang w:val="lv-LV" w:eastAsia="lv-LV"/>
        </w:rPr>
        <w:t xml:space="preserve">: </w:t>
      </w:r>
      <w:r w:rsidR="00246ADB" w:rsidRPr="004B1257">
        <w:rPr>
          <w:rFonts w:cs="Arial Unicode MS"/>
          <w:color w:val="000000"/>
          <w:u w:color="000000"/>
          <w:lang w:val="lv-LV" w:eastAsia="lv-LV"/>
        </w:rPr>
        <w:tab/>
      </w:r>
      <w:r w:rsidRPr="004B1257">
        <w:rPr>
          <w:rFonts w:cs="Arial Unicode MS"/>
          <w:b/>
          <w:bCs/>
          <w:color w:val="000000"/>
          <w:u w:color="000000"/>
          <w:lang w:val="lv-LV" w:eastAsia="lv-LV"/>
        </w:rPr>
        <w:t>Dmitrijs Stepanovs</w:t>
      </w:r>
      <w:r w:rsidRPr="004B1257">
        <w:rPr>
          <w:rFonts w:cs="Arial Unicode MS"/>
          <w:bCs/>
          <w:color w:val="000000"/>
          <w:u w:color="000000"/>
          <w:lang w:val="lv-LV" w:eastAsia="lv-LV"/>
        </w:rPr>
        <w:t>, Izglītības un zinātnes ministrijas valsts sekretāra vietnieks – Augstākās izglītības, zinātnes un inovāciju departamenta direktors</w:t>
      </w:r>
    </w:p>
    <w:p w14:paraId="7472D72E" w14:textId="77777777" w:rsidR="000420B4" w:rsidRPr="004B1257" w:rsidRDefault="00246ADB" w:rsidP="000420B4">
      <w:pPr>
        <w:spacing w:after="120"/>
        <w:ind w:left="2835" w:hanging="2835"/>
        <w:jc w:val="both"/>
        <w:rPr>
          <w:rFonts w:cs="Arial Unicode MS"/>
          <w:color w:val="000000"/>
          <w:u w:color="000000"/>
          <w:lang w:val="lv-LV" w:eastAsia="lv-LV"/>
        </w:rPr>
      </w:pPr>
      <w:r w:rsidRPr="004B1257">
        <w:rPr>
          <w:rFonts w:cs="Arial Unicode MS"/>
          <w:color w:val="000000"/>
          <w:u w:color="000000"/>
          <w:lang w:val="lv-LV" w:eastAsia="lv-LV"/>
        </w:rPr>
        <w:t xml:space="preserve">Delegācijas dalībnieki: </w:t>
      </w:r>
      <w:r w:rsidRPr="004B1257">
        <w:rPr>
          <w:rFonts w:cs="Arial Unicode MS"/>
          <w:color w:val="000000"/>
          <w:u w:color="000000"/>
          <w:lang w:val="lv-LV" w:eastAsia="lv-LV"/>
        </w:rPr>
        <w:tab/>
      </w:r>
      <w:r w:rsidR="000420B4" w:rsidRPr="004B1257">
        <w:rPr>
          <w:rFonts w:cs="Arial Unicode MS"/>
          <w:b/>
          <w:color w:val="000000"/>
          <w:u w:color="000000"/>
          <w:lang w:val="lv-LV" w:eastAsia="lv-LV"/>
        </w:rPr>
        <w:t>Alise Balode,</w:t>
      </w:r>
      <w:r w:rsidR="000420B4" w:rsidRPr="004B1257">
        <w:rPr>
          <w:rFonts w:cs="Arial Unicode MS"/>
          <w:color w:val="000000"/>
          <w:u w:color="000000"/>
          <w:lang w:val="lv-LV" w:eastAsia="lv-LV"/>
        </w:rPr>
        <w:t xml:space="preserve"> </w:t>
      </w:r>
      <w:r w:rsidR="005F6F2D" w:rsidRPr="004B1257">
        <w:rPr>
          <w:rFonts w:cs="Arial Unicode MS"/>
          <w:color w:val="000000"/>
          <w:u w:color="000000"/>
          <w:lang w:val="lv-LV" w:eastAsia="lv-LV"/>
        </w:rPr>
        <w:t>Latvijas Republikas Pastāvīgās pārstāves Eiropas Savienībā vietniece</w:t>
      </w:r>
    </w:p>
    <w:p w14:paraId="7472D72F" w14:textId="77777777" w:rsidR="00AB48B8" w:rsidRPr="004B1257" w:rsidRDefault="00246ADB" w:rsidP="00DA06D7">
      <w:pPr>
        <w:spacing w:after="480"/>
        <w:ind w:left="2835" w:hanging="2835"/>
        <w:jc w:val="both"/>
        <w:rPr>
          <w:rFonts w:cs="Arial Unicode MS"/>
          <w:color w:val="000000"/>
          <w:u w:color="000000"/>
          <w:lang w:val="lv-LV" w:eastAsia="lv-LV"/>
        </w:rPr>
      </w:pPr>
      <w:r w:rsidRPr="004B1257">
        <w:rPr>
          <w:rFonts w:cs="Arial Unicode MS"/>
          <w:color w:val="000000"/>
          <w:u w:color="000000"/>
          <w:lang w:val="lv-LV" w:eastAsia="lv-LV"/>
        </w:rPr>
        <w:tab/>
      </w:r>
      <w:r w:rsidRPr="004B1257">
        <w:rPr>
          <w:rFonts w:cs="Arial Unicode MS"/>
          <w:b/>
          <w:bCs/>
          <w:color w:val="000000"/>
          <w:u w:color="000000"/>
          <w:lang w:val="lv-LV" w:eastAsia="lv-LV"/>
        </w:rPr>
        <w:t>Lauma Sīka</w:t>
      </w:r>
      <w:r w:rsidRPr="004B1257">
        <w:rPr>
          <w:rFonts w:cs="Arial Unicode MS"/>
          <w:color w:val="000000"/>
          <w:u w:color="000000"/>
          <w:lang w:val="lv-LV" w:eastAsia="lv-LV"/>
        </w:rPr>
        <w:t>, Izglītības un zinātnes ministrijas nozares padomniece (zinātnes un kosmosa jautājumi)</w:t>
      </w:r>
    </w:p>
    <w:p w14:paraId="7472D730" w14:textId="77777777" w:rsidR="00AB48B8" w:rsidRPr="004B1257" w:rsidRDefault="00246ADB" w:rsidP="00557E10">
      <w:pPr>
        <w:spacing w:after="480"/>
        <w:ind w:left="7796" w:hanging="7796"/>
        <w:jc w:val="both"/>
        <w:rPr>
          <w:sz w:val="26"/>
          <w:szCs w:val="26"/>
          <w:lang w:val="lv-LV"/>
        </w:rPr>
      </w:pPr>
      <w:r w:rsidRPr="004B1257">
        <w:rPr>
          <w:sz w:val="26"/>
          <w:szCs w:val="26"/>
          <w:lang w:val="lv-LV"/>
        </w:rPr>
        <w:t>Izglītības un zinātnes ministre</w:t>
      </w:r>
      <w:r w:rsidRPr="004B1257">
        <w:rPr>
          <w:sz w:val="26"/>
          <w:szCs w:val="26"/>
          <w:lang w:val="lv-LV"/>
        </w:rPr>
        <w:tab/>
        <w:t>Ilga Šuplinska</w:t>
      </w:r>
    </w:p>
    <w:p w14:paraId="7472D731" w14:textId="77777777" w:rsidR="00AB48B8" w:rsidRPr="004B1257" w:rsidRDefault="00246ADB" w:rsidP="00557E10">
      <w:pPr>
        <w:pStyle w:val="Body"/>
        <w:spacing w:after="120"/>
        <w:rPr>
          <w:sz w:val="26"/>
          <w:szCs w:val="26"/>
          <w:lang w:val="lv-LV"/>
        </w:rPr>
      </w:pPr>
      <w:r w:rsidRPr="004B1257">
        <w:rPr>
          <w:sz w:val="26"/>
          <w:szCs w:val="26"/>
          <w:lang w:val="lv-LV"/>
        </w:rPr>
        <w:t xml:space="preserve">Vīza: </w:t>
      </w:r>
    </w:p>
    <w:p w14:paraId="7472D732" w14:textId="77777777" w:rsidR="00B877E9" w:rsidRPr="004B1257" w:rsidRDefault="00B877E9" w:rsidP="00B877E9">
      <w:pPr>
        <w:pStyle w:val="Body"/>
        <w:spacing w:after="480"/>
        <w:ind w:left="7796" w:hanging="7796"/>
        <w:jc w:val="both"/>
        <w:rPr>
          <w:sz w:val="26"/>
          <w:szCs w:val="26"/>
          <w:lang w:val="lv-LV"/>
        </w:rPr>
      </w:pPr>
      <w:r w:rsidRPr="004B1257">
        <w:rPr>
          <w:sz w:val="26"/>
          <w:szCs w:val="26"/>
          <w:lang w:val="lv-LV"/>
        </w:rPr>
        <w:t>Valsts sekretārs</w:t>
      </w:r>
      <w:r w:rsidRPr="004B1257">
        <w:rPr>
          <w:sz w:val="26"/>
          <w:szCs w:val="26"/>
          <w:lang w:val="lv-LV"/>
        </w:rPr>
        <w:tab/>
        <w:t>Jānis Volberts</w:t>
      </w:r>
    </w:p>
    <w:p w14:paraId="7472D733" w14:textId="77777777" w:rsidR="00B877E9" w:rsidRPr="004B1257" w:rsidRDefault="00B877E9" w:rsidP="00B877E9">
      <w:pPr>
        <w:pStyle w:val="Body"/>
        <w:jc w:val="both"/>
        <w:rPr>
          <w:rStyle w:val="Hyperlink"/>
          <w:lang w:val="lv-LV"/>
        </w:rPr>
      </w:pPr>
      <w:r w:rsidRPr="004B1257">
        <w:rPr>
          <w:lang w:val="lv-LV"/>
        </w:rPr>
        <w:t xml:space="preserve">Paiders, </w:t>
      </w:r>
      <w:r w:rsidR="00246ADB" w:rsidRPr="004B1257">
        <w:rPr>
          <w:lang w:val="lv-LV"/>
        </w:rPr>
        <w:t>67047936</w:t>
      </w:r>
      <w:r w:rsidRPr="004B1257">
        <w:rPr>
          <w:lang w:val="lv-LV"/>
        </w:rPr>
        <w:t xml:space="preserve">, </w:t>
      </w:r>
      <w:r w:rsidR="00246ADB" w:rsidRPr="004B1257">
        <w:rPr>
          <w:lang w:val="lv-LV"/>
        </w:rPr>
        <w:t xml:space="preserve"> </w:t>
      </w:r>
      <w:hyperlink r:id="rId8">
        <w:r w:rsidR="00246ADB" w:rsidRPr="004B1257">
          <w:rPr>
            <w:rStyle w:val="Hyperlink"/>
            <w:lang w:val="lv-LV"/>
          </w:rPr>
          <w:t>janis.paiders@izm.gov.lv</w:t>
        </w:r>
      </w:hyperlink>
    </w:p>
    <w:p w14:paraId="7472D734" w14:textId="77777777" w:rsidR="00084863" w:rsidRPr="004B1257" w:rsidRDefault="00246ADB" w:rsidP="00B877E9">
      <w:pPr>
        <w:pStyle w:val="Body"/>
        <w:jc w:val="both"/>
        <w:rPr>
          <w:sz w:val="18"/>
          <w:szCs w:val="18"/>
          <w:lang w:val="lv-LV"/>
        </w:rPr>
      </w:pPr>
      <w:r w:rsidRPr="004B1257">
        <w:rPr>
          <w:lang w:val="lv-LV"/>
        </w:rPr>
        <w:t>Berķis, 67047865</w:t>
      </w:r>
      <w:r w:rsidR="00B877E9" w:rsidRPr="004B1257">
        <w:rPr>
          <w:lang w:val="lv-LV"/>
        </w:rPr>
        <w:t xml:space="preserve">, </w:t>
      </w:r>
      <w:hyperlink r:id="rId9">
        <w:r w:rsidRPr="004B1257">
          <w:rPr>
            <w:rStyle w:val="Hyperlink"/>
            <w:lang w:val="lv-LV"/>
          </w:rPr>
          <w:t>uldis.berkis@izm.gov.lv</w:t>
        </w:r>
      </w:hyperlink>
    </w:p>
    <w:p w14:paraId="7472D735" w14:textId="77777777" w:rsidR="00084863" w:rsidRPr="004B1257" w:rsidRDefault="00084863" w:rsidP="00084863">
      <w:pPr>
        <w:rPr>
          <w:lang w:val="lv-LV"/>
        </w:rPr>
      </w:pPr>
    </w:p>
    <w:p w14:paraId="7472D736" w14:textId="77777777" w:rsidR="00084863" w:rsidRPr="004B1257" w:rsidRDefault="00084863" w:rsidP="00084863">
      <w:pPr>
        <w:rPr>
          <w:lang w:val="lv-LV"/>
        </w:rPr>
      </w:pPr>
    </w:p>
    <w:p w14:paraId="7472D737" w14:textId="77777777" w:rsidR="00084863" w:rsidRPr="004B1257" w:rsidRDefault="00084863" w:rsidP="00084863">
      <w:pPr>
        <w:rPr>
          <w:lang w:val="lv-LV"/>
        </w:rPr>
      </w:pPr>
    </w:p>
    <w:p w14:paraId="7472D738" w14:textId="77777777" w:rsidR="00084863" w:rsidRPr="004B1257" w:rsidRDefault="00084863" w:rsidP="00084863">
      <w:pPr>
        <w:rPr>
          <w:lang w:val="lv-LV"/>
        </w:rPr>
      </w:pPr>
    </w:p>
    <w:p w14:paraId="7472D739" w14:textId="77777777" w:rsidR="00084863" w:rsidRPr="004B1257" w:rsidRDefault="00084863" w:rsidP="00084863">
      <w:pPr>
        <w:rPr>
          <w:lang w:val="lv-LV"/>
        </w:rPr>
      </w:pPr>
    </w:p>
    <w:p w14:paraId="7472D73A" w14:textId="77777777" w:rsidR="00084863" w:rsidRPr="004B1257" w:rsidRDefault="00084863" w:rsidP="00084863">
      <w:pPr>
        <w:rPr>
          <w:lang w:val="lv-LV"/>
        </w:rPr>
      </w:pPr>
    </w:p>
    <w:p w14:paraId="7472D73B" w14:textId="77777777" w:rsidR="00084863" w:rsidRPr="004B1257" w:rsidRDefault="00084863" w:rsidP="00084863">
      <w:pPr>
        <w:rPr>
          <w:lang w:val="lv-LV"/>
        </w:rPr>
      </w:pPr>
    </w:p>
    <w:p w14:paraId="7472D73C" w14:textId="77777777" w:rsidR="00084863" w:rsidRPr="004B1257" w:rsidRDefault="00084863" w:rsidP="00084863">
      <w:pPr>
        <w:rPr>
          <w:lang w:val="lv-LV"/>
        </w:rPr>
      </w:pPr>
    </w:p>
    <w:p w14:paraId="7472D73D" w14:textId="77777777" w:rsidR="00084863" w:rsidRPr="004B1257" w:rsidRDefault="00084863" w:rsidP="00084863">
      <w:pPr>
        <w:rPr>
          <w:lang w:val="lv-LV"/>
        </w:rPr>
      </w:pPr>
    </w:p>
    <w:p w14:paraId="7472D73E" w14:textId="77777777" w:rsidR="00084863" w:rsidRPr="004B1257" w:rsidRDefault="00084863" w:rsidP="00084863">
      <w:pPr>
        <w:rPr>
          <w:lang w:val="lv-LV"/>
        </w:rPr>
      </w:pPr>
    </w:p>
    <w:p w14:paraId="7472D73F" w14:textId="77777777" w:rsidR="00084863" w:rsidRPr="004B1257" w:rsidRDefault="00084863" w:rsidP="00084863">
      <w:pPr>
        <w:rPr>
          <w:lang w:val="lv-LV"/>
        </w:rPr>
      </w:pPr>
    </w:p>
    <w:p w14:paraId="7472D740" w14:textId="77777777" w:rsidR="00084863" w:rsidRPr="004B1257" w:rsidRDefault="00084863" w:rsidP="00084863">
      <w:pPr>
        <w:rPr>
          <w:lang w:val="lv-LV"/>
        </w:rPr>
      </w:pPr>
    </w:p>
    <w:p w14:paraId="7472D741" w14:textId="77777777" w:rsidR="00084863" w:rsidRPr="004B1257" w:rsidRDefault="00084863" w:rsidP="00084863">
      <w:pPr>
        <w:rPr>
          <w:lang w:val="lv-LV"/>
        </w:rPr>
      </w:pPr>
    </w:p>
    <w:p w14:paraId="7472D742" w14:textId="77777777" w:rsidR="00084863" w:rsidRPr="004B1257" w:rsidRDefault="00084863" w:rsidP="00084863">
      <w:pPr>
        <w:rPr>
          <w:lang w:val="lv-LV"/>
        </w:rPr>
      </w:pPr>
    </w:p>
    <w:p w14:paraId="7472D743" w14:textId="77777777" w:rsidR="00084863" w:rsidRPr="004B1257" w:rsidRDefault="00084863" w:rsidP="00084863">
      <w:pPr>
        <w:rPr>
          <w:lang w:val="lv-LV"/>
        </w:rPr>
      </w:pPr>
    </w:p>
    <w:p w14:paraId="7472D744" w14:textId="77777777" w:rsidR="00084863" w:rsidRPr="004B1257" w:rsidRDefault="00084863" w:rsidP="00084863">
      <w:pPr>
        <w:rPr>
          <w:lang w:val="lv-LV"/>
        </w:rPr>
      </w:pPr>
    </w:p>
    <w:p w14:paraId="7472D745" w14:textId="77777777" w:rsidR="00084863" w:rsidRPr="004B1257" w:rsidRDefault="00084863" w:rsidP="00084863">
      <w:pPr>
        <w:rPr>
          <w:lang w:val="lv-LV"/>
        </w:rPr>
      </w:pPr>
    </w:p>
    <w:p w14:paraId="7472D746" w14:textId="77777777" w:rsidR="00084863" w:rsidRPr="004B1257" w:rsidRDefault="00084863" w:rsidP="00084863">
      <w:pPr>
        <w:rPr>
          <w:lang w:val="lv-LV"/>
        </w:rPr>
      </w:pPr>
    </w:p>
    <w:p w14:paraId="7472D747" w14:textId="77777777" w:rsidR="00084863" w:rsidRPr="004B1257" w:rsidRDefault="00084863" w:rsidP="00084863">
      <w:pPr>
        <w:rPr>
          <w:lang w:val="lv-LV"/>
        </w:rPr>
      </w:pPr>
    </w:p>
    <w:p w14:paraId="7472D748" w14:textId="77777777" w:rsidR="00084863" w:rsidRPr="004B1257" w:rsidRDefault="00084863" w:rsidP="00084863">
      <w:pPr>
        <w:rPr>
          <w:lang w:val="lv-LV"/>
        </w:rPr>
      </w:pPr>
    </w:p>
    <w:p w14:paraId="7472D749" w14:textId="77777777" w:rsidR="00084863" w:rsidRPr="004B1257" w:rsidRDefault="00084863" w:rsidP="00084863">
      <w:pPr>
        <w:rPr>
          <w:lang w:val="lv-LV"/>
        </w:rPr>
      </w:pPr>
    </w:p>
    <w:p w14:paraId="7472D74A" w14:textId="77777777" w:rsidR="00084863" w:rsidRPr="004B1257" w:rsidRDefault="00084863" w:rsidP="00084863">
      <w:pPr>
        <w:rPr>
          <w:lang w:val="lv-LV"/>
        </w:rPr>
      </w:pPr>
    </w:p>
    <w:p w14:paraId="7472D74B" w14:textId="77777777" w:rsidR="00084863" w:rsidRPr="004B1257" w:rsidRDefault="00084863" w:rsidP="00084863">
      <w:pPr>
        <w:rPr>
          <w:lang w:val="lv-LV"/>
        </w:rPr>
      </w:pPr>
    </w:p>
    <w:p w14:paraId="7472D74C" w14:textId="77777777" w:rsidR="00084863" w:rsidRPr="004B1257" w:rsidRDefault="00084863" w:rsidP="00084863">
      <w:pPr>
        <w:rPr>
          <w:lang w:val="lv-LV"/>
        </w:rPr>
      </w:pPr>
    </w:p>
    <w:p w14:paraId="7472D74D" w14:textId="77777777" w:rsidR="00084863" w:rsidRPr="004B1257" w:rsidRDefault="00084863" w:rsidP="00084863">
      <w:pPr>
        <w:rPr>
          <w:lang w:val="lv-LV"/>
        </w:rPr>
      </w:pPr>
    </w:p>
    <w:p w14:paraId="7472D74E" w14:textId="77777777" w:rsidR="00084863" w:rsidRPr="004B1257" w:rsidRDefault="00084863" w:rsidP="00084863">
      <w:pPr>
        <w:rPr>
          <w:lang w:val="lv-LV"/>
        </w:rPr>
      </w:pPr>
    </w:p>
    <w:p w14:paraId="7472D74F" w14:textId="77777777" w:rsidR="00084863" w:rsidRPr="004B1257" w:rsidRDefault="00084863" w:rsidP="00084863">
      <w:pPr>
        <w:rPr>
          <w:lang w:val="lv-LV"/>
        </w:rPr>
      </w:pPr>
    </w:p>
    <w:p w14:paraId="7472D750" w14:textId="77777777" w:rsidR="00084863" w:rsidRPr="004B1257" w:rsidRDefault="00084863" w:rsidP="00084863">
      <w:pPr>
        <w:rPr>
          <w:lang w:val="lv-LV"/>
        </w:rPr>
      </w:pPr>
    </w:p>
    <w:p w14:paraId="7472D751" w14:textId="77777777" w:rsidR="00084863" w:rsidRPr="004B1257" w:rsidRDefault="00084863" w:rsidP="00084863">
      <w:pPr>
        <w:rPr>
          <w:lang w:val="lv-LV"/>
        </w:rPr>
      </w:pPr>
    </w:p>
    <w:p w14:paraId="7472D752" w14:textId="77777777" w:rsidR="00084863" w:rsidRPr="004B1257" w:rsidRDefault="00084863" w:rsidP="00084863">
      <w:pPr>
        <w:rPr>
          <w:lang w:val="lv-LV"/>
        </w:rPr>
      </w:pPr>
    </w:p>
    <w:p w14:paraId="7472D753" w14:textId="77777777" w:rsidR="00084863" w:rsidRPr="004B1257" w:rsidRDefault="00084863" w:rsidP="00084863">
      <w:pPr>
        <w:rPr>
          <w:lang w:val="lv-LV"/>
        </w:rPr>
      </w:pPr>
    </w:p>
    <w:p w14:paraId="7472D754" w14:textId="77777777" w:rsidR="00AB48B8" w:rsidRPr="004B1257" w:rsidRDefault="00084863" w:rsidP="00084863">
      <w:pPr>
        <w:tabs>
          <w:tab w:val="left" w:pos="2640"/>
        </w:tabs>
        <w:rPr>
          <w:lang w:val="lv-LV"/>
        </w:rPr>
      </w:pPr>
      <w:r w:rsidRPr="004B1257">
        <w:rPr>
          <w:lang w:val="lv-LV"/>
        </w:rPr>
        <w:tab/>
      </w:r>
    </w:p>
    <w:sectPr w:rsidR="00AB48B8" w:rsidRPr="004B1257">
      <w:headerReference w:type="default" r:id="rId10"/>
      <w:footerReference w:type="default" r:id="rId11"/>
      <w:footerReference w:type="first" r:id="rId12"/>
      <w:pgSz w:w="11906" w:h="16838"/>
      <w:pgMar w:top="1134" w:right="1134" w:bottom="1134" w:left="1418" w:header="454" w:footer="306"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1DFB0" w14:textId="77777777" w:rsidR="00967FFA" w:rsidRDefault="00967FFA">
      <w:r>
        <w:separator/>
      </w:r>
    </w:p>
  </w:endnote>
  <w:endnote w:type="continuationSeparator" w:id="0">
    <w:p w14:paraId="26C687E0" w14:textId="77777777" w:rsidR="00967FFA" w:rsidRDefault="0096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Helvetica Neu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D75A" w14:textId="77777777" w:rsidR="00F16B9E" w:rsidRDefault="00084863">
    <w:pPr>
      <w:pStyle w:val="Footer"/>
      <w:jc w:val="both"/>
    </w:pPr>
    <w:r>
      <w:t>IZMzin_2302</w:t>
    </w:r>
    <w:r w:rsidR="00F16B9E">
      <w:t>2</w:t>
    </w:r>
    <w:r>
      <w:t>02</w:t>
    </w:r>
    <w:r w:rsidR="00F16B9E">
      <w:t xml:space="preserve">1_Nef_V_zinatne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2434"/>
      <w:docPartObj>
        <w:docPartGallery w:val="Page Numbers (Bottom of Page)"/>
        <w:docPartUnique/>
      </w:docPartObj>
    </w:sdtPr>
    <w:sdtEndPr/>
    <w:sdtContent>
      <w:p w14:paraId="7472D75B" w14:textId="77777777" w:rsidR="00F16B9E" w:rsidRDefault="00F16B9E">
        <w:pPr>
          <w:pStyle w:val="Footer"/>
          <w:jc w:val="center"/>
        </w:pPr>
        <w:r>
          <w:fldChar w:fldCharType="begin"/>
        </w:r>
        <w:r>
          <w:instrText>PAGE</w:instrText>
        </w:r>
        <w:r>
          <w:fldChar w:fldCharType="separate"/>
        </w:r>
        <w:r w:rsidR="00E7271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5BA85" w14:textId="77777777" w:rsidR="00967FFA" w:rsidRDefault="00967FFA">
      <w:pPr>
        <w:rPr>
          <w:sz w:val="12"/>
        </w:rPr>
      </w:pPr>
      <w:r>
        <w:separator/>
      </w:r>
    </w:p>
  </w:footnote>
  <w:footnote w:type="continuationSeparator" w:id="0">
    <w:p w14:paraId="5107D813" w14:textId="77777777" w:rsidR="00967FFA" w:rsidRDefault="00967FFA">
      <w:pPr>
        <w:rPr>
          <w:sz w:val="12"/>
        </w:rPr>
      </w:pPr>
      <w:r>
        <w:continuationSeparator/>
      </w:r>
    </w:p>
  </w:footnote>
  <w:footnote w:id="1">
    <w:p w14:paraId="7472D75C" w14:textId="77777777" w:rsidR="00F16B9E" w:rsidRDefault="00F16B9E">
      <w:pPr>
        <w:pStyle w:val="FootnoteText"/>
      </w:pPr>
      <w:r>
        <w:rPr>
          <w:rStyle w:val="FootnoteReference"/>
        </w:rPr>
        <w:footnoteRef/>
      </w:r>
      <w:r>
        <w:t xml:space="preserve"> </w:t>
      </w:r>
      <w:r w:rsidRPr="0058182D">
        <w:t>https://eur-lex.europa.eu/legal-content/LV/TXT/HTML/?uri=CELEX:52020DC0628&amp;from=EN</w:t>
      </w:r>
    </w:p>
  </w:footnote>
  <w:footnote w:id="2">
    <w:p w14:paraId="7472D75D" w14:textId="77777777" w:rsidR="005F6F2D" w:rsidRDefault="005F6F2D">
      <w:pPr>
        <w:pStyle w:val="FootnoteText"/>
      </w:pPr>
      <w:r>
        <w:rPr>
          <w:rStyle w:val="FootnoteReference"/>
        </w:rPr>
        <w:footnoteRef/>
      </w:r>
      <w:r>
        <w:t xml:space="preserve"> </w:t>
      </w:r>
      <w:r w:rsidRPr="005F6F2D">
        <w:t>https://ec.europa.eu/eurostat/web/science-technology-innovation/data/database</w:t>
      </w:r>
    </w:p>
  </w:footnote>
  <w:footnote w:id="3">
    <w:p w14:paraId="7472D75E" w14:textId="77777777" w:rsidR="00165CCA" w:rsidRPr="00BE44D5" w:rsidRDefault="00165CCA" w:rsidP="00165CCA">
      <w:pPr>
        <w:pStyle w:val="FootnoteText"/>
      </w:pPr>
      <w:r>
        <w:rPr>
          <w:rStyle w:val="FootnoteReference"/>
        </w:rPr>
        <w:footnoteRef/>
      </w:r>
      <w:r>
        <w:t xml:space="preserve"> </w:t>
      </w:r>
      <w:r w:rsidRPr="00BE44D5">
        <w:t>https://eur-lex.europa.eu/legal-content/LV/TXT/HTML/?uri=CELEX:52020DC0628&amp;from=EN</w:t>
      </w:r>
    </w:p>
  </w:footnote>
  <w:footnote w:id="4">
    <w:p w14:paraId="7472D75F" w14:textId="77777777" w:rsidR="00165CCA" w:rsidRDefault="00165CCA">
      <w:pPr>
        <w:pStyle w:val="FootnoteText"/>
      </w:pPr>
      <w:r>
        <w:rPr>
          <w:rStyle w:val="FootnoteReference"/>
        </w:rPr>
        <w:footnoteRef/>
      </w:r>
      <w:r>
        <w:t xml:space="preserve"> </w:t>
      </w:r>
      <w:r w:rsidRPr="00165CCA">
        <w:t>https://eur-lex.europa.eu/legal-content/LV/TXT/HTML/?uri=CELEX:52020DC0514&amp;from=EN</w:t>
      </w:r>
    </w:p>
  </w:footnote>
  <w:footnote w:id="5">
    <w:p w14:paraId="7472D760" w14:textId="77777777" w:rsidR="005F6F2D" w:rsidRDefault="005F6F2D">
      <w:pPr>
        <w:pStyle w:val="FootnoteText"/>
      </w:pPr>
      <w:r>
        <w:rPr>
          <w:rStyle w:val="FootnoteReference"/>
        </w:rPr>
        <w:footnoteRef/>
      </w:r>
      <w:r>
        <w:t xml:space="preserve"> </w:t>
      </w:r>
      <w:r w:rsidRPr="005F6F2D">
        <w:t>https://ec.europa.eu/eurostat/web/science-technology-innovation/data/database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D759" w14:textId="77777777" w:rsidR="00F16B9E" w:rsidRDefault="00F16B9E">
    <w:pPr>
      <w:pStyle w:val="Header"/>
      <w:jc w:val="center"/>
    </w:pPr>
    <w:r>
      <w:fldChar w:fldCharType="begin"/>
    </w:r>
    <w:r>
      <w:instrText>PAGE</w:instrText>
    </w:r>
    <w:r>
      <w:fldChar w:fldCharType="separate"/>
    </w:r>
    <w:r w:rsidR="00E72710">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AF6"/>
    <w:multiLevelType w:val="hybridMultilevel"/>
    <w:tmpl w:val="406E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EF78B5"/>
    <w:multiLevelType w:val="multilevel"/>
    <w:tmpl w:val="F7283EF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231B0C6A"/>
    <w:multiLevelType w:val="hybridMultilevel"/>
    <w:tmpl w:val="DACEAB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6628BB"/>
    <w:multiLevelType w:val="multilevel"/>
    <w:tmpl w:val="8EA830D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5512264"/>
    <w:multiLevelType w:val="multilevel"/>
    <w:tmpl w:val="2692F98E"/>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D036D83"/>
    <w:multiLevelType w:val="multilevel"/>
    <w:tmpl w:val="3188AE74"/>
    <w:lvl w:ilvl="0">
      <w:start w:val="1"/>
      <w:numFmt w:val="decimal"/>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3D5B12E4"/>
    <w:multiLevelType w:val="multilevel"/>
    <w:tmpl w:val="D406A51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682806CE"/>
    <w:multiLevelType w:val="hybridMultilevel"/>
    <w:tmpl w:val="8D34AAE0"/>
    <w:lvl w:ilvl="0" w:tplc="C764F168">
      <w:numFmt w:val="bullet"/>
      <w:lvlText w:val="•"/>
      <w:lvlJc w:val="left"/>
      <w:pPr>
        <w:ind w:left="1080" w:hanging="72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9AA7324"/>
    <w:multiLevelType w:val="multilevel"/>
    <w:tmpl w:val="FC3AE2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A197510"/>
    <w:multiLevelType w:val="hybridMultilevel"/>
    <w:tmpl w:val="C7468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6"/>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CkpYWluaGpgamhko6SsGpxcWZ+XkgBca1ADAiuVYsAAAA"/>
  </w:docVars>
  <w:rsids>
    <w:rsidRoot w:val="00AB48B8"/>
    <w:rsid w:val="000100EC"/>
    <w:rsid w:val="00016291"/>
    <w:rsid w:val="0003705E"/>
    <w:rsid w:val="000420B4"/>
    <w:rsid w:val="00084863"/>
    <w:rsid w:val="000E3707"/>
    <w:rsid w:val="00144146"/>
    <w:rsid w:val="00165CCA"/>
    <w:rsid w:val="00167D8F"/>
    <w:rsid w:val="001A2EBD"/>
    <w:rsid w:val="001A7E2B"/>
    <w:rsid w:val="00215347"/>
    <w:rsid w:val="00225E20"/>
    <w:rsid w:val="00246ADB"/>
    <w:rsid w:val="00263147"/>
    <w:rsid w:val="002B454F"/>
    <w:rsid w:val="002B7EC5"/>
    <w:rsid w:val="002D0BBE"/>
    <w:rsid w:val="00380532"/>
    <w:rsid w:val="003906B5"/>
    <w:rsid w:val="003907D6"/>
    <w:rsid w:val="00394B7C"/>
    <w:rsid w:val="004025A3"/>
    <w:rsid w:val="0040485E"/>
    <w:rsid w:val="00432D7B"/>
    <w:rsid w:val="004570F4"/>
    <w:rsid w:val="00464F20"/>
    <w:rsid w:val="00490678"/>
    <w:rsid w:val="004A3B6D"/>
    <w:rsid w:val="004B1257"/>
    <w:rsid w:val="004D1C31"/>
    <w:rsid w:val="004F7258"/>
    <w:rsid w:val="00557E10"/>
    <w:rsid w:val="0057072E"/>
    <w:rsid w:val="0058182D"/>
    <w:rsid w:val="00584253"/>
    <w:rsid w:val="005F60FB"/>
    <w:rsid w:val="005F6F2D"/>
    <w:rsid w:val="00616E55"/>
    <w:rsid w:val="006915A2"/>
    <w:rsid w:val="006A6523"/>
    <w:rsid w:val="006D7054"/>
    <w:rsid w:val="006E73DD"/>
    <w:rsid w:val="0071428A"/>
    <w:rsid w:val="00733237"/>
    <w:rsid w:val="00784A49"/>
    <w:rsid w:val="00830CAF"/>
    <w:rsid w:val="00843631"/>
    <w:rsid w:val="00865D91"/>
    <w:rsid w:val="00867C47"/>
    <w:rsid w:val="008E4F55"/>
    <w:rsid w:val="00920797"/>
    <w:rsid w:val="00932487"/>
    <w:rsid w:val="0093402E"/>
    <w:rsid w:val="00942457"/>
    <w:rsid w:val="00946B11"/>
    <w:rsid w:val="00967FFA"/>
    <w:rsid w:val="009C7F20"/>
    <w:rsid w:val="009E07DC"/>
    <w:rsid w:val="009F5319"/>
    <w:rsid w:val="00A8438C"/>
    <w:rsid w:val="00AA6EA3"/>
    <w:rsid w:val="00AB48B8"/>
    <w:rsid w:val="00AE10D1"/>
    <w:rsid w:val="00AF682D"/>
    <w:rsid w:val="00AF6FEA"/>
    <w:rsid w:val="00B83ACF"/>
    <w:rsid w:val="00B877E9"/>
    <w:rsid w:val="00C06508"/>
    <w:rsid w:val="00C4665C"/>
    <w:rsid w:val="00C820EE"/>
    <w:rsid w:val="00C873B3"/>
    <w:rsid w:val="00CC4CDD"/>
    <w:rsid w:val="00CC51A9"/>
    <w:rsid w:val="00CF1AF3"/>
    <w:rsid w:val="00CF3F8D"/>
    <w:rsid w:val="00D303D3"/>
    <w:rsid w:val="00D564A5"/>
    <w:rsid w:val="00D62AA3"/>
    <w:rsid w:val="00DA06D7"/>
    <w:rsid w:val="00DD07BE"/>
    <w:rsid w:val="00DD43FB"/>
    <w:rsid w:val="00E50AC9"/>
    <w:rsid w:val="00E72710"/>
    <w:rsid w:val="00EA16B3"/>
    <w:rsid w:val="00F143A8"/>
    <w:rsid w:val="00F16B9E"/>
    <w:rsid w:val="00F334F8"/>
    <w:rsid w:val="00F35C6F"/>
    <w:rsid w:val="00F47EEC"/>
    <w:rsid w:val="00F77DBB"/>
    <w:rsid w:val="00F97765"/>
    <w:rsid w:val="00FA434A"/>
    <w:rsid w:val="00FA710C"/>
    <w:rsid w:val="00FC0D22"/>
    <w:rsid w:val="00FC5CB0"/>
    <w:rsid w:val="00FD7D9F"/>
    <w:rsid w:val="00FE6C6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D70B"/>
  <w15:docId w15:val="{715A1902-40FC-477E-9FB4-92481B86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stParagraphChar">
    <w:name w:val="List Paragraph Char"/>
    <w:link w:val="ListParagraph"/>
    <w:qFormat/>
    <w:rsid w:val="00FC2982"/>
    <w:rPr>
      <w:rFonts w:cs="Arial Unicode MS"/>
      <w:color w:val="000000"/>
      <w:sz w:val="24"/>
      <w:szCs w:val="24"/>
      <w:u w:val="none" w:color="000000"/>
    </w:rPr>
  </w:style>
  <w:style w:type="character" w:styleId="CommentReference">
    <w:name w:val="annotation reference"/>
    <w:basedOn w:val="DefaultParagraphFont"/>
    <w:uiPriority w:val="99"/>
    <w:semiHidden/>
    <w:unhideWhenUsed/>
    <w:qFormat/>
    <w:rsid w:val="003B293E"/>
    <w:rPr>
      <w:sz w:val="16"/>
      <w:szCs w:val="16"/>
    </w:rPr>
  </w:style>
  <w:style w:type="character" w:customStyle="1" w:styleId="CommentTextChar">
    <w:name w:val="Comment Text Char"/>
    <w:basedOn w:val="DefaultParagraphFont"/>
    <w:link w:val="CommentText"/>
    <w:uiPriority w:val="99"/>
    <w:semiHidden/>
    <w:qFormat/>
    <w:rsid w:val="003B293E"/>
  </w:style>
  <w:style w:type="character" w:customStyle="1" w:styleId="CommentSubjectChar">
    <w:name w:val="Comment Subject Char"/>
    <w:basedOn w:val="CommentTextChar"/>
    <w:link w:val="CommentSubject"/>
    <w:uiPriority w:val="99"/>
    <w:semiHidden/>
    <w:qFormat/>
    <w:rsid w:val="003B293E"/>
    <w:rPr>
      <w:b/>
      <w:bCs/>
    </w:rPr>
  </w:style>
  <w:style w:type="character" w:customStyle="1" w:styleId="BalloonTextChar">
    <w:name w:val="Balloon Text Char"/>
    <w:basedOn w:val="DefaultParagraphFont"/>
    <w:link w:val="BalloonText"/>
    <w:uiPriority w:val="99"/>
    <w:semiHidden/>
    <w:qFormat/>
    <w:rsid w:val="003B293E"/>
    <w:rPr>
      <w:rFonts w:ascii="Segoe UI" w:hAnsi="Segoe UI" w:cs="Segoe UI"/>
      <w:sz w:val="18"/>
      <w:szCs w:val="18"/>
    </w:rPr>
  </w:style>
  <w:style w:type="character" w:customStyle="1" w:styleId="FootnoteCharacters">
    <w:name w:val="Footnote Characters"/>
    <w:basedOn w:val="DefaultParagraphFont"/>
    <w:uiPriority w:val="99"/>
    <w:semiHidden/>
    <w:unhideWhenUsed/>
    <w:qFormat/>
    <w:rsid w:val="00010B92"/>
    <w:rPr>
      <w:vertAlign w:val="superscript"/>
    </w:rPr>
  </w:style>
  <w:style w:type="character" w:customStyle="1" w:styleId="FootnoteAnchor">
    <w:name w:val="Footnote Anchor"/>
    <w:rPr>
      <w:vertAlign w:val="superscript"/>
    </w:rPr>
  </w:style>
  <w:style w:type="character" w:customStyle="1" w:styleId="FooterChar">
    <w:name w:val="Footer Char"/>
    <w:basedOn w:val="DefaultParagraphFont"/>
    <w:link w:val="Footer"/>
    <w:uiPriority w:val="99"/>
    <w:qFormat/>
    <w:rsid w:val="0094765D"/>
    <w:rPr>
      <w:rFonts w:cs="Arial Unicode MS"/>
      <w:color w:val="000000"/>
      <w:u w:val="none" w:color="00000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pPr>
      <w:tabs>
        <w:tab w:val="center" w:pos="4153"/>
        <w:tab w:val="right" w:pos="8306"/>
      </w:tabs>
    </w:pPr>
    <w:rPr>
      <w:rFonts w:cs="Arial Unicode MS"/>
      <w:color w:val="000000"/>
      <w:u w:color="000000"/>
    </w:rPr>
  </w:style>
  <w:style w:type="paragraph" w:styleId="Footer">
    <w:name w:val="footer"/>
    <w:link w:val="FooterChar"/>
    <w:uiPriority w:val="99"/>
    <w:pPr>
      <w:tabs>
        <w:tab w:val="center" w:pos="4153"/>
        <w:tab w:val="right" w:pos="8306"/>
      </w:tabs>
    </w:pPr>
    <w:rPr>
      <w:rFonts w:cs="Arial Unicode MS"/>
      <w:color w:val="000000"/>
      <w:u w:color="000000"/>
    </w:rPr>
  </w:style>
  <w:style w:type="paragraph" w:customStyle="1" w:styleId="HeaderFooter">
    <w:name w:val="Header &amp; Footer"/>
    <w:qFormat/>
    <w:pPr>
      <w:tabs>
        <w:tab w:val="right" w:pos="9020"/>
      </w:tabs>
    </w:pPr>
    <w:rPr>
      <w:rFonts w:ascii="Helvetica Neue" w:eastAsia="Helvetica Neue" w:hAnsi="Helvetica Neue" w:cs="Helvetica Neue"/>
      <w:color w:val="000000"/>
      <w:sz w:val="24"/>
      <w:szCs w:val="24"/>
    </w:rPr>
  </w:style>
  <w:style w:type="paragraph" w:customStyle="1" w:styleId="Body">
    <w:name w:val="Body"/>
    <w:qFormat/>
    <w:rPr>
      <w:rFonts w:cs="Arial Unicode MS"/>
      <w:color w:val="000000"/>
      <w:u w:color="000000"/>
    </w:rPr>
  </w:style>
  <w:style w:type="paragraph" w:styleId="FootnoteText">
    <w:name w:val="footnote text"/>
    <w:link w:val="FootnoteTextChar"/>
    <w:uiPriority w:val="99"/>
    <w:rPr>
      <w:rFonts w:eastAsia="Times New Roman"/>
      <w:color w:val="000000"/>
      <w:u w:color="000000"/>
    </w:rPr>
  </w:style>
  <w:style w:type="paragraph" w:styleId="ListParagraph">
    <w:name w:val="List Paragraph"/>
    <w:link w:val="ListParagraphChar"/>
    <w:uiPriority w:val="34"/>
    <w:qFormat/>
    <w:pPr>
      <w:spacing w:after="200" w:line="276" w:lineRule="auto"/>
      <w:ind w:left="720"/>
    </w:pPr>
    <w:rPr>
      <w:rFonts w:cs="Arial Unicode MS"/>
      <w:color w:val="000000"/>
      <w:sz w:val="24"/>
      <w:szCs w:val="24"/>
      <w:u w:color="000000"/>
    </w:rPr>
  </w:style>
  <w:style w:type="paragraph" w:styleId="NormalWeb">
    <w:name w:val="Normal (Web)"/>
    <w:basedOn w:val="Normal"/>
    <w:uiPriority w:val="99"/>
    <w:qFormat/>
    <w:rsid w:val="00FC2982"/>
    <w:pPr>
      <w:spacing w:beforeAutospacing="1" w:afterAutospacing="1"/>
    </w:pPr>
    <w:rPr>
      <w:rFonts w:eastAsia="Times New Roman"/>
      <w:lang w:val="en-GB" w:eastAsia="fr-BE"/>
    </w:rPr>
  </w:style>
  <w:style w:type="paragraph" w:styleId="CommentText">
    <w:name w:val="annotation text"/>
    <w:basedOn w:val="Normal"/>
    <w:link w:val="CommentTextChar"/>
    <w:uiPriority w:val="99"/>
    <w:semiHidden/>
    <w:unhideWhenUsed/>
    <w:qFormat/>
    <w:rsid w:val="003B293E"/>
    <w:rPr>
      <w:sz w:val="20"/>
      <w:szCs w:val="20"/>
    </w:rPr>
  </w:style>
  <w:style w:type="paragraph" w:styleId="CommentSubject">
    <w:name w:val="annotation subject"/>
    <w:basedOn w:val="CommentText"/>
    <w:next w:val="CommentText"/>
    <w:link w:val="CommentSubjectChar"/>
    <w:uiPriority w:val="99"/>
    <w:semiHidden/>
    <w:unhideWhenUsed/>
    <w:qFormat/>
    <w:rsid w:val="003B293E"/>
    <w:rPr>
      <w:b/>
      <w:bCs/>
    </w:rPr>
  </w:style>
  <w:style w:type="paragraph" w:styleId="BalloonText">
    <w:name w:val="Balloon Text"/>
    <w:basedOn w:val="Normal"/>
    <w:link w:val="BalloonTextChar"/>
    <w:uiPriority w:val="99"/>
    <w:semiHidden/>
    <w:unhideWhenUsed/>
    <w:qFormat/>
    <w:rsid w:val="003B293E"/>
    <w:rPr>
      <w:rFonts w:ascii="Segoe UI" w:hAnsi="Segoe UI" w:cs="Segoe UI"/>
      <w:sz w:val="18"/>
      <w:szCs w:val="18"/>
    </w:rPr>
  </w:style>
  <w:style w:type="numbering" w:customStyle="1" w:styleId="ImportedStyle1">
    <w:name w:val="Imported Style 1"/>
    <w:qFormat/>
  </w:style>
  <w:style w:type="numbering" w:customStyle="1" w:styleId="ImportedStyle2">
    <w:name w:val="Imported Style 2"/>
    <w:qFormat/>
  </w:style>
  <w:style w:type="numbering" w:customStyle="1" w:styleId="ImportedStyle6">
    <w:name w:val="Imported Style 6"/>
    <w:qFormat/>
    <w:rsid w:val="00FC2982"/>
  </w:style>
  <w:style w:type="character" w:styleId="FootnoteReference">
    <w:name w:val="footnote reference"/>
    <w:basedOn w:val="DefaultParagraphFont"/>
    <w:uiPriority w:val="99"/>
    <w:semiHidden/>
    <w:unhideWhenUsed/>
    <w:rsid w:val="00C06508"/>
    <w:rPr>
      <w:vertAlign w:val="superscript"/>
    </w:rPr>
  </w:style>
  <w:style w:type="character" w:customStyle="1" w:styleId="FootnoteTextChar">
    <w:name w:val="Footnote Text Char"/>
    <w:basedOn w:val="DefaultParagraphFont"/>
    <w:link w:val="FootnoteText"/>
    <w:uiPriority w:val="99"/>
    <w:rsid w:val="00165CCA"/>
    <w:rPr>
      <w:rFonts w:eastAsia="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7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nis.paider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berki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517A3D8D-E8D8-43F0-A7E8-400FCF0CDEB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8020</Words>
  <Characters>4572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dc:description/>
  <cp:lastModifiedBy>Sandra Obodova</cp:lastModifiedBy>
  <cp:revision>2</cp:revision>
  <dcterms:created xsi:type="dcterms:W3CDTF">2021-02-24T14:45:00Z</dcterms:created>
  <dcterms:modified xsi:type="dcterms:W3CDTF">2021-02-24T14:45:00Z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MFA Latvia</vt:lpwstr>
  </property>
  <property fmtid="{D5CDD505-2E9C-101B-9397-08002B2CF9AE}" pid="4" name="DISCesvisAdditionalMakers">
    <vt:lpwstr>izm_bjurkevica Baiba Jurkeviča</vt:lpwstr>
  </property>
  <property fmtid="{D5CDD505-2E9C-101B-9397-08002B2CF9AE}" pid="5" name="DISCesvisAdditionalMakersMail">
    <vt:lpwstr>baiba.jurkevica@izm.gov.lv</vt:lpwstr>
  </property>
  <property fmtid="{D5CDD505-2E9C-101B-9397-08002B2CF9AE}" pid="6" name="DISCesvisAdditionalMakersPhone">
    <vt:lpwstr>67047936</vt:lpwstr>
  </property>
  <property fmtid="{D5CDD505-2E9C-101B-9397-08002B2CF9AE}" pid="7" name="DISCesvisAdditionalTutors">
    <vt:lpwstr>izm_bjurkevica Baiba Jurkeviča</vt:lpwstr>
  </property>
  <property fmtid="{D5CDD505-2E9C-101B-9397-08002B2CF9AE}" pid="8" name="DISCesvisAdditionalTutorsMail">
    <vt:lpwstr>baiba.jurkevica@izm.gov.lv</vt:lpwstr>
  </property>
  <property fmtid="{D5CDD505-2E9C-101B-9397-08002B2CF9AE}" pid="9" name="DISCesvisAdditionalTutorsPhone">
    <vt:lpwstr>67047936</vt:lpwstr>
  </property>
  <property fmtid="{D5CDD505-2E9C-101B-9397-08002B2CF9AE}" pid="10" name="DISCesvisAuthor">
    <vt:lpwstr>Izglītības un zinātnes ministrija</vt:lpwstr>
  </property>
  <property fmtid="{D5CDD505-2E9C-101B-9397-08002B2CF9AE}" pid="11" name="DISCesvisDescription">
    <vt:lpwstr>
</vt:lpwstr>
  </property>
  <property fmtid="{D5CDD505-2E9C-101B-9397-08002B2CF9AE}" pid="12" name="DISCesvisMainMaker">
    <vt:lpwstr> Ārlietu ministrija</vt:lpwstr>
  </property>
  <property fmtid="{D5CDD505-2E9C-101B-9397-08002B2CF9AE}" pid="13" name="DISCesvisMainMakerOrgUnitTitle">
    <vt:lpwstr>Augstākās izglītības, zinātnes un inovāciju departaments</vt:lpwstr>
  </property>
  <property fmtid="{D5CDD505-2E9C-101B-9397-08002B2CF9AE}" pid="14" name="DISCesvisMeetingDate">
    <vt:lpwstr>2021-02-26</vt:lpwstr>
  </property>
  <property fmtid="{D5CDD505-2E9C-101B-9397-08002B2CF9AE}" pid="15" name="DISCesvisMinistryOfMinister">
    <vt:lpwstr>Izglītības un zinātnes ministra pienākumu izpildītājs - </vt:lpwstr>
  </property>
  <property fmtid="{D5CDD505-2E9C-101B-9397-08002B2CF9AE}" pid="16" name="DISCesvisOrgApprovers">
    <vt:lpwstr>Ārlietu ministrija, Finanšu ministrija, Ekonomikas ministrija</vt:lpwstr>
  </property>
  <property fmtid="{D5CDD505-2E9C-101B-9397-08002B2CF9AE}" pid="17" name="DISCesvisSafetyLevel">
    <vt:lpwstr>Ierobežotas pieejamības</vt:lpwstr>
  </property>
  <property fmtid="{D5CDD505-2E9C-101B-9397-08002B2CF9AE}" pid="18" name="DISCesvisSigner">
    <vt:lpwstr> Ilga Šuplinska</vt:lpwstr>
  </property>
  <property fmtid="{D5CDD505-2E9C-101B-9397-08002B2CF9AE}" pid="19" name="DISCesvisTitle">
    <vt:lpwstr>“Par Eiropas Savienības 2021. gada 26. februāra neformālajā pētniecības ministru videokonferencē izskatāmajiem jautājumiem”</vt:lpwstr>
  </property>
  <property fmtid="{D5CDD505-2E9C-101B-9397-08002B2CF9AE}" pid="20" name="DISProperties">
    <vt:lpwstr>DISCesvisMeetingDate,DISCesvisAdditionalMakers,DIScgiUrl,DISdDocName,DISCesvisAdditionalTutors,DISCesvisSigner,DISTaskPaneUrl,DISCesvisSafetyLevel,DISCesvisTitle,DISCesvisMinistryOfMinister,DISCesvisAuthor,DISCesvisMainMaker,DISCesvisAdditionalTutorsMail,</vt:lpwstr>
  </property>
  <property fmtid="{D5CDD505-2E9C-101B-9397-08002B2CF9AE}" pid="21" name="DISTaskPaneUrl">
    <vt:lpwstr>https://lim.esvis.gov.lv/cs/idcplg?ClientControlled=DocMan&amp;coreContentOnly=1&amp;WebdavRequest=1&amp;IdcService=DOC_INFO&amp;dID=340417</vt:lpwstr>
  </property>
  <property fmtid="{D5CDD505-2E9C-101B-9397-08002B2CF9AE}" pid="22" name="DIScgiUrl">
    <vt:lpwstr>https://lim.esvis.gov.lv/cs/idcplg</vt:lpwstr>
  </property>
  <property fmtid="{D5CDD505-2E9C-101B-9397-08002B2CF9AE}" pid="23" name="DISdDocName">
    <vt:lpwstr>L264501</vt:lpwstr>
  </property>
  <property fmtid="{D5CDD505-2E9C-101B-9397-08002B2CF9AE}" pid="24" name="DISdID">
    <vt:lpwstr>340417</vt:lpwstr>
  </property>
  <property fmtid="{D5CDD505-2E9C-101B-9397-08002B2CF9AE}" pid="25" name="DISdUser">
    <vt:lpwstr>izm_bjurkevica</vt:lpwstr>
  </property>
  <property fmtid="{D5CDD505-2E9C-101B-9397-08002B2CF9AE}" pid="26" name="DISidcName">
    <vt:lpwstr>1020404016200</vt:lpwstr>
  </property>
  <property fmtid="{D5CDD505-2E9C-101B-9397-08002B2CF9AE}" pid="27" name="DocSecurity">
    <vt:i4>0</vt:i4>
  </property>
  <property fmtid="{D5CDD505-2E9C-101B-9397-08002B2CF9AE}" pid="28" name="HyperlinksChanged">
    <vt:bool>false</vt:bool>
  </property>
  <property fmtid="{D5CDD505-2E9C-101B-9397-08002B2CF9AE}" pid="29" name="LinksUpToDate">
    <vt:bool>false</vt:bool>
  </property>
  <property fmtid="{D5CDD505-2E9C-101B-9397-08002B2CF9AE}" pid="30" name="ScaleCrop">
    <vt:bool>false</vt:bool>
  </property>
  <property fmtid="{D5CDD505-2E9C-101B-9397-08002B2CF9AE}" pid="31" name="ShareDoc">
    <vt:bool>false</vt:bool>
  </property>
</Properties>
</file>