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FA5A" w14:textId="30B9A01D" w:rsidR="007E731C" w:rsidRPr="00501D2A" w:rsidRDefault="007E731C" w:rsidP="007E731C">
      <w:pPr>
        <w:autoSpaceDE w:val="0"/>
        <w:autoSpaceDN w:val="0"/>
        <w:adjustRightInd w:val="0"/>
        <w:jc w:val="center"/>
        <w:rPr>
          <w:rFonts w:eastAsiaTheme="minorHAnsi"/>
          <w:b/>
          <w:bCs/>
          <w:lang w:eastAsia="en-US"/>
        </w:rPr>
      </w:pPr>
      <w:bookmarkStart w:id="0" w:name="OLE_LINK2"/>
      <w:bookmarkStart w:id="1" w:name="OLE_LINK1"/>
      <w:bookmarkStart w:id="2" w:name="_Hlk29201727"/>
      <w:r w:rsidRPr="00501D2A">
        <w:rPr>
          <w:b/>
        </w:rPr>
        <w:t xml:space="preserve">Likumprojekta </w:t>
      </w:r>
      <w:r w:rsidRPr="00501D2A">
        <w:rPr>
          <w:rFonts w:eastAsiaTheme="minorHAnsi"/>
          <w:b/>
          <w:bCs/>
          <w:lang w:eastAsia="en-US"/>
        </w:rPr>
        <w:t>"Grozījum</w:t>
      </w:r>
      <w:r>
        <w:rPr>
          <w:rFonts w:eastAsiaTheme="minorHAnsi"/>
          <w:b/>
          <w:bCs/>
          <w:lang w:eastAsia="en-US"/>
        </w:rPr>
        <w:t>s</w:t>
      </w:r>
      <w:r w:rsidR="00A833D0">
        <w:rPr>
          <w:rFonts w:eastAsiaTheme="minorHAnsi"/>
          <w:b/>
          <w:bCs/>
          <w:lang w:eastAsia="en-US"/>
        </w:rPr>
        <w:t xml:space="preserve"> </w:t>
      </w:r>
      <w:r w:rsidRPr="00501D2A">
        <w:rPr>
          <w:rFonts w:eastAsiaTheme="minorHAnsi"/>
          <w:b/>
          <w:bCs/>
          <w:lang w:eastAsia="en-US"/>
        </w:rPr>
        <w:t>likumā "Par apdrošināšanu bezdarba gadījumam""</w:t>
      </w:r>
      <w:r w:rsidRPr="00501D2A">
        <w:rPr>
          <w:b/>
        </w:rPr>
        <w:t xml:space="preserve"> sākotnējās ietekmes </w:t>
      </w:r>
    </w:p>
    <w:p w14:paraId="24870A44" w14:textId="77777777" w:rsidR="007E731C" w:rsidRPr="00501D2A" w:rsidRDefault="007E731C" w:rsidP="007E731C">
      <w:pPr>
        <w:jc w:val="center"/>
        <w:rPr>
          <w:b/>
        </w:rPr>
      </w:pPr>
      <w:r w:rsidRPr="00501D2A">
        <w:rPr>
          <w:b/>
        </w:rPr>
        <w:t>novērtējuma ziņojums (anotācija)</w:t>
      </w:r>
    </w:p>
    <w:p w14:paraId="6BA195B0" w14:textId="77777777" w:rsidR="007E731C" w:rsidRPr="000B7BBC" w:rsidRDefault="007E731C" w:rsidP="007E731C">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E731C" w:rsidRPr="000B7BBC" w14:paraId="44F87C6F" w14:textId="77777777" w:rsidTr="001F092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F8699D" w14:textId="77777777" w:rsidR="007E731C" w:rsidRPr="000B7BBC" w:rsidRDefault="007E731C" w:rsidP="001F092D">
            <w:pPr>
              <w:spacing w:line="276" w:lineRule="auto"/>
              <w:rPr>
                <w:b/>
                <w:bCs/>
                <w:iCs/>
                <w:lang w:eastAsia="en-US"/>
              </w:rPr>
            </w:pPr>
            <w:r w:rsidRPr="000B7BBC">
              <w:rPr>
                <w:b/>
                <w:bCs/>
                <w:iCs/>
                <w:lang w:eastAsia="en-US"/>
              </w:rPr>
              <w:t>Tiesību akta projekta anotācijas kopsavilkums</w:t>
            </w:r>
          </w:p>
        </w:tc>
      </w:tr>
      <w:tr w:rsidR="007E731C" w:rsidRPr="000B7BBC" w14:paraId="55ECBA3A" w14:textId="77777777" w:rsidTr="001F092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BCA8458" w14:textId="77777777" w:rsidR="007E731C" w:rsidRPr="000B7BBC" w:rsidRDefault="007E731C" w:rsidP="001F092D">
            <w:pPr>
              <w:spacing w:line="276" w:lineRule="auto"/>
              <w:rPr>
                <w:iCs/>
                <w:lang w:eastAsia="en-US"/>
              </w:rPr>
            </w:pPr>
            <w:r w:rsidRPr="000B7BBC">
              <w:rPr>
                <w:iCs/>
                <w:lang w:eastAsia="en-U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343EB86" w14:textId="56F754EB" w:rsidR="007177CE" w:rsidRDefault="007177CE" w:rsidP="007177CE">
            <w:pPr>
              <w:jc w:val="both"/>
            </w:pPr>
            <w:r w:rsidRPr="007177CE">
              <w:t>Likumprojekts “</w:t>
            </w:r>
            <w:r w:rsidR="005E74EF" w:rsidRPr="007177CE">
              <w:t>Grozījum</w:t>
            </w:r>
            <w:r w:rsidR="005E74EF">
              <w:t>s</w:t>
            </w:r>
            <w:r w:rsidR="005E74EF" w:rsidRPr="007177CE">
              <w:t xml:space="preserve"> </w:t>
            </w:r>
            <w:r w:rsidRPr="007177CE">
              <w:t>likumā “Par apdrošināšanu bezdarba gadījumam”” (turpmāk – likumprojekts) izstrādāts ar mērķi pagarināt bezdarbnieka palīdzības pabalsta izmaks</w:t>
            </w:r>
            <w:r>
              <w:t>as periodu</w:t>
            </w:r>
            <w:r w:rsidRPr="007177CE">
              <w:t xml:space="preserve">, ņemot vērā Covid-19 </w:t>
            </w:r>
            <w:r w:rsidR="0097120B">
              <w:t xml:space="preserve"> </w:t>
            </w:r>
            <w:r w:rsidR="009231C5" w:rsidRPr="009231C5">
              <w:t>radīt</w:t>
            </w:r>
            <w:r w:rsidR="009231C5">
              <w:t>ās</w:t>
            </w:r>
            <w:r w:rsidR="009231C5" w:rsidRPr="009231C5">
              <w:t xml:space="preserve"> soci</w:t>
            </w:r>
            <w:r w:rsidR="009231C5">
              <w:t>ālās</w:t>
            </w:r>
            <w:r w:rsidR="009231C5" w:rsidRPr="009231C5">
              <w:t xml:space="preserve"> un ekonomis</w:t>
            </w:r>
            <w:r w:rsidR="009231C5">
              <w:t xml:space="preserve">kās </w:t>
            </w:r>
            <w:r w:rsidR="0097120B">
              <w:t>sekas.</w:t>
            </w:r>
          </w:p>
          <w:p w14:paraId="6981AA56" w14:textId="64B82ACC" w:rsidR="009231C5" w:rsidRPr="007177CE" w:rsidRDefault="009231C5" w:rsidP="007177CE">
            <w:pPr>
              <w:jc w:val="both"/>
            </w:pPr>
            <w:r w:rsidRPr="002F1E39">
              <w:t>Likumprojekts stājas spēk</w:t>
            </w:r>
            <w:r>
              <w:t>ā</w:t>
            </w:r>
            <w:r w:rsidRPr="002F1E39">
              <w:t xml:space="preserve"> </w:t>
            </w:r>
            <w:r w:rsidRPr="00835D64">
              <w:t>nākamajā dienā pēc tā izsludināšanas</w:t>
            </w:r>
            <w:r>
              <w:t>.</w:t>
            </w:r>
          </w:p>
          <w:p w14:paraId="0FAF5F6E" w14:textId="77777777" w:rsidR="007E731C" w:rsidRPr="007E731C" w:rsidRDefault="007E731C" w:rsidP="007E731C">
            <w:pPr>
              <w:jc w:val="both"/>
            </w:pPr>
          </w:p>
        </w:tc>
      </w:tr>
    </w:tbl>
    <w:p w14:paraId="75B136E8" w14:textId="77777777" w:rsidR="007E731C" w:rsidRPr="000B7BBC" w:rsidRDefault="007E731C" w:rsidP="007E731C">
      <w:pPr>
        <w:rPr>
          <w:iCs/>
        </w:rPr>
      </w:pPr>
      <w:r w:rsidRPr="000B7BBC">
        <w:rPr>
          <w:iCs/>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937"/>
        <w:gridCol w:w="5692"/>
      </w:tblGrid>
      <w:tr w:rsidR="007E731C" w:rsidRPr="000B7BBC" w14:paraId="1884CCF4" w14:textId="77777777" w:rsidTr="001F092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A945B71" w14:textId="77777777" w:rsidR="007E731C" w:rsidRPr="000B7BBC" w:rsidRDefault="007E731C" w:rsidP="001F092D">
            <w:pPr>
              <w:spacing w:line="276" w:lineRule="auto"/>
              <w:rPr>
                <w:b/>
                <w:bCs/>
                <w:iCs/>
                <w:lang w:eastAsia="en-US"/>
              </w:rPr>
            </w:pPr>
            <w:r w:rsidRPr="000B7BBC">
              <w:rPr>
                <w:b/>
                <w:bCs/>
                <w:iCs/>
                <w:lang w:eastAsia="en-US"/>
              </w:rPr>
              <w:t>I. Tiesību akta projekta izstrādes nepieciešamība</w:t>
            </w:r>
          </w:p>
        </w:tc>
      </w:tr>
      <w:tr w:rsidR="007E731C" w:rsidRPr="000B7BBC" w14:paraId="1E6A77F8" w14:textId="77777777" w:rsidTr="007E731C">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9B76A62" w14:textId="77777777" w:rsidR="007E731C" w:rsidRPr="000B7BBC" w:rsidRDefault="007E731C" w:rsidP="001F092D">
            <w:pPr>
              <w:spacing w:line="276" w:lineRule="auto"/>
              <w:rPr>
                <w:iCs/>
                <w:lang w:eastAsia="en-US"/>
              </w:rPr>
            </w:pPr>
            <w:r w:rsidRPr="000B7BBC">
              <w:rPr>
                <w:iCs/>
                <w:lang w:eastAsia="en-US"/>
              </w:rPr>
              <w:t>1.</w:t>
            </w:r>
          </w:p>
        </w:tc>
        <w:tc>
          <w:tcPr>
            <w:tcW w:w="1589" w:type="pct"/>
            <w:tcBorders>
              <w:top w:val="outset" w:sz="6" w:space="0" w:color="auto"/>
              <w:left w:val="outset" w:sz="6" w:space="0" w:color="auto"/>
              <w:bottom w:val="outset" w:sz="6" w:space="0" w:color="auto"/>
              <w:right w:val="outset" w:sz="6" w:space="0" w:color="auto"/>
            </w:tcBorders>
            <w:hideMark/>
          </w:tcPr>
          <w:p w14:paraId="4C78FEDA" w14:textId="77777777" w:rsidR="007E731C" w:rsidRPr="000B7BBC" w:rsidRDefault="007E731C" w:rsidP="001F092D">
            <w:pPr>
              <w:spacing w:line="276" w:lineRule="auto"/>
              <w:rPr>
                <w:iCs/>
                <w:lang w:eastAsia="en-US"/>
              </w:rPr>
            </w:pPr>
            <w:r w:rsidRPr="000B7BBC">
              <w:rPr>
                <w:iCs/>
                <w:lang w:eastAsia="en-US"/>
              </w:rPr>
              <w:t>Pamatojums</w:t>
            </w:r>
          </w:p>
        </w:tc>
        <w:tc>
          <w:tcPr>
            <w:tcW w:w="3055" w:type="pct"/>
            <w:tcBorders>
              <w:top w:val="outset" w:sz="6" w:space="0" w:color="auto"/>
              <w:left w:val="outset" w:sz="6" w:space="0" w:color="auto"/>
              <w:bottom w:val="outset" w:sz="6" w:space="0" w:color="auto"/>
              <w:right w:val="outset" w:sz="6" w:space="0" w:color="auto"/>
            </w:tcBorders>
          </w:tcPr>
          <w:p w14:paraId="58D5D573" w14:textId="01EC0FD2" w:rsidR="007E731C" w:rsidRPr="00E63E9E" w:rsidRDefault="00C11B81" w:rsidP="001F092D">
            <w:pPr>
              <w:jc w:val="both"/>
              <w:rPr>
                <w:rFonts w:ascii="Calibri" w:hAnsi="Calibri" w:cs="Calibri"/>
              </w:rPr>
            </w:pPr>
            <w:r w:rsidRPr="00E63E9E">
              <w:t>Covid</w:t>
            </w:r>
            <w:r w:rsidR="007E731C" w:rsidRPr="00E63E9E">
              <w:t>-19 izsludināt</w:t>
            </w:r>
            <w:r w:rsidR="00A3160F" w:rsidRPr="00E63E9E">
              <w:t>ā</w:t>
            </w:r>
            <w:r w:rsidR="007E731C" w:rsidRPr="00E63E9E">
              <w:t xml:space="preserve"> ārkārtēj</w:t>
            </w:r>
            <w:r w:rsidR="00A3160F" w:rsidRPr="00E63E9E">
              <w:t>ā</w:t>
            </w:r>
            <w:r w:rsidR="007E731C" w:rsidRPr="00E63E9E">
              <w:t xml:space="preserve"> situācij</w:t>
            </w:r>
            <w:r w:rsidR="00A3160F" w:rsidRPr="00E63E9E">
              <w:t>a</w:t>
            </w:r>
            <w:r w:rsidR="007E731C" w:rsidRPr="00E63E9E">
              <w:t xml:space="preserve"> Latvijā</w:t>
            </w:r>
            <w:r w:rsidR="00A3160F" w:rsidRPr="00E63E9E">
              <w:t xml:space="preserve"> un </w:t>
            </w:r>
            <w:r w:rsidR="00E63E9E" w:rsidRPr="00E63E9E">
              <w:rPr>
                <w:iCs/>
              </w:rPr>
              <w:t>Valdību veidojošo partiju koalīcijas Sadarbības sanāksmes 2021.gada 1.marta vienošan</w:t>
            </w:r>
            <w:r w:rsidR="00E63E9E">
              <w:rPr>
                <w:iCs/>
              </w:rPr>
              <w:t>ā</w:t>
            </w:r>
            <w:r w:rsidR="00E63E9E" w:rsidRPr="00E63E9E">
              <w:rPr>
                <w:iCs/>
              </w:rPr>
              <w:t>s</w:t>
            </w:r>
            <w:r w:rsidR="00E63E9E" w:rsidRPr="00E63E9E">
              <w:t>.</w:t>
            </w:r>
            <w:bookmarkStart w:id="3" w:name="_GoBack"/>
            <w:bookmarkEnd w:id="3"/>
          </w:p>
        </w:tc>
      </w:tr>
      <w:tr w:rsidR="007E731C" w:rsidRPr="000B7BBC" w14:paraId="0508D3C8" w14:textId="77777777" w:rsidTr="001F092D">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5891ABD" w14:textId="77777777" w:rsidR="007E731C" w:rsidRPr="000B7BBC" w:rsidRDefault="007E731C" w:rsidP="001F092D">
            <w:pPr>
              <w:spacing w:line="276" w:lineRule="auto"/>
              <w:rPr>
                <w:iCs/>
                <w:lang w:eastAsia="en-US"/>
              </w:rPr>
            </w:pPr>
            <w:r w:rsidRPr="000B7BBC">
              <w:rPr>
                <w:iCs/>
                <w:lang w:eastAsia="en-US"/>
              </w:rPr>
              <w:t>2.</w:t>
            </w:r>
          </w:p>
        </w:tc>
        <w:tc>
          <w:tcPr>
            <w:tcW w:w="1589" w:type="pct"/>
            <w:tcBorders>
              <w:top w:val="outset" w:sz="6" w:space="0" w:color="auto"/>
              <w:left w:val="outset" w:sz="6" w:space="0" w:color="auto"/>
              <w:bottom w:val="outset" w:sz="6" w:space="0" w:color="auto"/>
              <w:right w:val="outset" w:sz="6" w:space="0" w:color="auto"/>
            </w:tcBorders>
            <w:hideMark/>
          </w:tcPr>
          <w:p w14:paraId="27D3C6F6" w14:textId="77777777" w:rsidR="007E731C" w:rsidRDefault="007E731C" w:rsidP="001F092D">
            <w:pPr>
              <w:spacing w:line="276" w:lineRule="auto"/>
              <w:rPr>
                <w:iCs/>
                <w:lang w:eastAsia="en-US"/>
              </w:rPr>
            </w:pPr>
            <w:r w:rsidRPr="000B7BBC">
              <w:rPr>
                <w:iCs/>
                <w:lang w:eastAsia="en-US"/>
              </w:rPr>
              <w:t>Pašreizējā situācija un problēmas, kuru risināšanai tiesību akta projekts izstrādāts, tiesiskā regulējuma mērķis un būtība</w:t>
            </w:r>
          </w:p>
          <w:p w14:paraId="0284A06A" w14:textId="77777777" w:rsidR="007E731C" w:rsidRPr="002C0B70" w:rsidRDefault="007E731C" w:rsidP="001F092D">
            <w:pPr>
              <w:rPr>
                <w:lang w:eastAsia="en-US"/>
              </w:rPr>
            </w:pPr>
          </w:p>
          <w:p w14:paraId="350ABC34" w14:textId="77777777" w:rsidR="007E731C" w:rsidRPr="002C0B70" w:rsidRDefault="007E731C" w:rsidP="001F092D">
            <w:pPr>
              <w:rPr>
                <w:lang w:eastAsia="en-US"/>
              </w:rPr>
            </w:pPr>
          </w:p>
          <w:p w14:paraId="77E2EB7C" w14:textId="77777777" w:rsidR="007E731C" w:rsidRPr="002C0B70" w:rsidRDefault="007E731C" w:rsidP="001F092D">
            <w:pPr>
              <w:rPr>
                <w:lang w:eastAsia="en-US"/>
              </w:rPr>
            </w:pPr>
          </w:p>
          <w:p w14:paraId="5770E7A9" w14:textId="77777777" w:rsidR="007E731C" w:rsidRPr="002C0B70" w:rsidRDefault="007E731C" w:rsidP="001F092D">
            <w:pPr>
              <w:rPr>
                <w:lang w:eastAsia="en-US"/>
              </w:rPr>
            </w:pPr>
          </w:p>
          <w:p w14:paraId="217422BA" w14:textId="77777777" w:rsidR="007E731C" w:rsidRPr="002C0B70" w:rsidRDefault="007E731C" w:rsidP="001F092D">
            <w:pPr>
              <w:rPr>
                <w:lang w:eastAsia="en-US"/>
              </w:rPr>
            </w:pPr>
          </w:p>
          <w:p w14:paraId="7F64F55C" w14:textId="77777777" w:rsidR="007E731C" w:rsidRPr="002C0B70" w:rsidRDefault="007E731C" w:rsidP="001F092D">
            <w:pPr>
              <w:rPr>
                <w:lang w:eastAsia="en-US"/>
              </w:rPr>
            </w:pPr>
          </w:p>
          <w:p w14:paraId="5F25C8AD" w14:textId="77777777" w:rsidR="007E731C" w:rsidRPr="002C0B70" w:rsidRDefault="007E731C" w:rsidP="001F092D">
            <w:pPr>
              <w:rPr>
                <w:lang w:eastAsia="en-US"/>
              </w:rPr>
            </w:pPr>
          </w:p>
          <w:p w14:paraId="4790713C" w14:textId="77777777" w:rsidR="007E731C" w:rsidRPr="002C0B70" w:rsidRDefault="007E731C" w:rsidP="001F092D">
            <w:pPr>
              <w:rPr>
                <w:lang w:eastAsia="en-US"/>
              </w:rPr>
            </w:pPr>
          </w:p>
          <w:p w14:paraId="0B54E337" w14:textId="77777777" w:rsidR="007E731C" w:rsidRPr="002C0B70" w:rsidRDefault="007E731C" w:rsidP="001F092D">
            <w:pPr>
              <w:rPr>
                <w:lang w:eastAsia="en-US"/>
              </w:rPr>
            </w:pPr>
          </w:p>
          <w:p w14:paraId="529D7558" w14:textId="77777777" w:rsidR="007E731C" w:rsidRPr="002C0B70" w:rsidRDefault="007E731C" w:rsidP="001F092D">
            <w:pPr>
              <w:rPr>
                <w:lang w:eastAsia="en-US"/>
              </w:rPr>
            </w:pPr>
          </w:p>
          <w:p w14:paraId="7DAB8BEE" w14:textId="77777777" w:rsidR="007E731C" w:rsidRDefault="007E731C" w:rsidP="001F092D">
            <w:pPr>
              <w:rPr>
                <w:lang w:eastAsia="en-US"/>
              </w:rPr>
            </w:pPr>
          </w:p>
          <w:p w14:paraId="392416EF" w14:textId="77777777" w:rsidR="007E731C" w:rsidRPr="005606CE" w:rsidRDefault="007E731C" w:rsidP="001F092D">
            <w:pPr>
              <w:rPr>
                <w:lang w:eastAsia="en-US"/>
              </w:rPr>
            </w:pPr>
          </w:p>
          <w:p w14:paraId="389090D6" w14:textId="77777777" w:rsidR="007E731C" w:rsidRPr="002C0B70" w:rsidRDefault="007E731C" w:rsidP="001F092D">
            <w:pPr>
              <w:rPr>
                <w:lang w:eastAsia="en-US"/>
              </w:rPr>
            </w:pPr>
          </w:p>
        </w:tc>
        <w:tc>
          <w:tcPr>
            <w:tcW w:w="3055" w:type="pct"/>
            <w:tcBorders>
              <w:top w:val="outset" w:sz="6" w:space="0" w:color="auto"/>
              <w:left w:val="outset" w:sz="6" w:space="0" w:color="auto"/>
              <w:bottom w:val="outset" w:sz="6" w:space="0" w:color="auto"/>
              <w:right w:val="outset" w:sz="6" w:space="0" w:color="auto"/>
            </w:tcBorders>
          </w:tcPr>
          <w:p w14:paraId="1D113C8F" w14:textId="50E08424" w:rsidR="007E731C" w:rsidRPr="005E74EF" w:rsidRDefault="007E731C" w:rsidP="007E731C">
            <w:pPr>
              <w:spacing w:after="120"/>
              <w:jc w:val="both"/>
              <w:rPr>
                <w:color w:val="000000"/>
                <w:shd w:val="clear" w:color="auto" w:fill="FFFFFF"/>
              </w:rPr>
            </w:pPr>
            <w:r w:rsidRPr="005E74EF">
              <w:rPr>
                <w:color w:val="000000"/>
                <w:shd w:val="clear" w:color="auto" w:fill="FFFFFF"/>
              </w:rPr>
              <w:t>Ievērojot </w:t>
            </w:r>
            <w:proofErr w:type="spellStart"/>
            <w:r w:rsidR="00C11B81" w:rsidRPr="005E74EF">
              <w:t>Covid</w:t>
            </w:r>
            <w:proofErr w:type="spellEnd"/>
            <w:r w:rsidR="00C11B81" w:rsidRPr="005E74EF">
              <w:rPr>
                <w:color w:val="000000"/>
                <w:shd w:val="clear" w:color="auto" w:fill="FFFFFF"/>
              </w:rPr>
              <w:t xml:space="preserve"> </w:t>
            </w:r>
            <w:r w:rsidRPr="005E74EF">
              <w:rPr>
                <w:color w:val="000000"/>
                <w:shd w:val="clear" w:color="auto" w:fill="FFFFFF"/>
              </w:rPr>
              <w:t>-19 radītos riskus un izsludināto ārkārtējo situāciju Latvijā,</w:t>
            </w:r>
            <w:r w:rsidR="005E74EF" w:rsidRPr="005E74EF">
              <w:t xml:space="preserve"> dēļ kā iedzīvotāju nodarbinātības iespējas ievērojami mazinājušās,</w:t>
            </w:r>
            <w:r w:rsidRPr="005E74EF">
              <w:rPr>
                <w:color w:val="000000"/>
                <w:shd w:val="clear" w:color="auto" w:fill="FFFFFF"/>
              </w:rPr>
              <w:t xml:space="preserve"> Labklājības ministrija ir izstrādājusi grozījumu likumā “Par apdrošināšanu bezdarba gadījumam” (turpmāk – likumprojekts), lai sniegtu atbalstu tām personām, kuras pēc bezdarbnieka pabalsta izmaksas beigām sakarā ar Covid-19 izsludinātās ārkārtējās situācijas radītajām sekām nav atradušas darbu un neveic saimniecisko darbību.</w:t>
            </w:r>
          </w:p>
          <w:p w14:paraId="394CF31F" w14:textId="2165FC2E" w:rsidR="00FC3304" w:rsidRPr="007177CE" w:rsidRDefault="007177CE" w:rsidP="00FC3304">
            <w:pPr>
              <w:spacing w:after="120"/>
              <w:jc w:val="both"/>
              <w:rPr>
                <w:color w:val="000000"/>
                <w:shd w:val="clear" w:color="auto" w:fill="FFFFFF"/>
              </w:rPr>
            </w:pPr>
            <w:r>
              <w:rPr>
                <w:color w:val="000000"/>
                <w:shd w:val="clear" w:color="auto" w:fill="FFFFFF"/>
              </w:rPr>
              <w:t>Šobrīd likum</w:t>
            </w:r>
            <w:r w:rsidR="00FC3304">
              <w:rPr>
                <w:color w:val="000000"/>
                <w:shd w:val="clear" w:color="auto" w:fill="FFFFFF"/>
              </w:rPr>
              <w:t>a</w:t>
            </w:r>
            <w:r>
              <w:rPr>
                <w:color w:val="000000"/>
                <w:shd w:val="clear" w:color="auto" w:fill="FFFFFF"/>
              </w:rPr>
              <w:t xml:space="preserve"> “Par apdrošināšanu bezdarba gadījumam”</w:t>
            </w:r>
            <w:r w:rsidR="00FC3304">
              <w:rPr>
                <w:color w:val="000000"/>
                <w:shd w:val="clear" w:color="auto" w:fill="FFFFFF"/>
              </w:rPr>
              <w:t xml:space="preserve"> pārejas noteikumu 23. un 24 punkts</w:t>
            </w:r>
            <w:r>
              <w:rPr>
                <w:color w:val="000000"/>
                <w:shd w:val="clear" w:color="auto" w:fill="FFFFFF"/>
              </w:rPr>
              <w:t xml:space="preserve"> nosaka, ka</w:t>
            </w:r>
            <w:r w:rsidRPr="007177CE">
              <w:rPr>
                <w:rFonts w:ascii="Arial" w:hAnsi="Arial" w:cs="Arial"/>
                <w:color w:val="414142"/>
                <w:sz w:val="20"/>
                <w:szCs w:val="20"/>
                <w:shd w:val="clear" w:color="auto" w:fill="FFFFFF"/>
              </w:rPr>
              <w:t xml:space="preserve"> </w:t>
            </w:r>
            <w:r w:rsidRPr="007177CE">
              <w:rPr>
                <w:color w:val="000000"/>
                <w:shd w:val="clear" w:color="auto" w:fill="FFFFFF"/>
              </w:rPr>
              <w:t> </w:t>
            </w:r>
            <w:r>
              <w:rPr>
                <w:color w:val="000000"/>
                <w:shd w:val="clear" w:color="auto" w:fill="FFFFFF"/>
              </w:rPr>
              <w:t>p</w:t>
            </w:r>
            <w:r w:rsidRPr="007177CE">
              <w:rPr>
                <w:color w:val="000000"/>
                <w:shd w:val="clear" w:color="auto" w:fill="FFFFFF"/>
              </w:rPr>
              <w:t>ersona, kurai piešķirtā bezdarbnieka pabalsta izmaksas periods beidzas 2020. gada 12. martā vai vēlāk un kura sakarā ar Covid-19 izplatību izsludinātās ārkārtējās situācijas apstākļiem turpina būt bezdarbnieka statusā, var pieprasīt bezdarbnieka palīdzības pabalstu, kuru piešķir no nākamās dienas pēc tam, kad beidzas bezdarbnieka pabalsta izmaksas periods</w:t>
            </w:r>
            <w:r w:rsidR="00FC3304">
              <w:rPr>
                <w:color w:val="000000"/>
                <w:shd w:val="clear" w:color="auto" w:fill="FFFFFF"/>
              </w:rPr>
              <w:t xml:space="preserve">, </w:t>
            </w:r>
            <w:r w:rsidR="005E74EF">
              <w:rPr>
                <w:color w:val="000000"/>
                <w:shd w:val="clear" w:color="auto" w:fill="FFFFFF"/>
              </w:rPr>
              <w:t>p</w:t>
            </w:r>
            <w:r w:rsidR="00FC3304">
              <w:rPr>
                <w:color w:val="000000"/>
                <w:shd w:val="clear" w:color="auto" w:fill="FFFFFF"/>
              </w:rPr>
              <w:t>abalstu piešķir</w:t>
            </w:r>
            <w:r w:rsidRPr="007177CE">
              <w:rPr>
                <w:color w:val="000000"/>
                <w:shd w:val="clear" w:color="auto" w:fill="FFFFFF"/>
              </w:rPr>
              <w:t xml:space="preserve"> uz laiku, kas nav ilgāks </w:t>
            </w:r>
            <w:r w:rsidRPr="0097120B">
              <w:rPr>
                <w:color w:val="000000"/>
                <w:shd w:val="clear" w:color="auto" w:fill="FFFFFF"/>
              </w:rPr>
              <w:t>par četriem mēnešiem</w:t>
            </w:r>
            <w:r w:rsidRPr="007177CE">
              <w:rPr>
                <w:color w:val="000000"/>
                <w:shd w:val="clear" w:color="auto" w:fill="FFFFFF"/>
              </w:rPr>
              <w:t xml:space="preserve">. </w:t>
            </w:r>
            <w:r w:rsidR="00FC3304" w:rsidRPr="007177CE">
              <w:rPr>
                <w:color w:val="000000"/>
                <w:shd w:val="clear" w:color="auto" w:fill="FFFFFF"/>
              </w:rPr>
              <w:t xml:space="preserve">Bezdarbnieka palīdzības pabalsta apmērs ir 180 </w:t>
            </w:r>
            <w:proofErr w:type="spellStart"/>
            <w:r w:rsidR="00AC6BD1" w:rsidRPr="00AC6BD1">
              <w:rPr>
                <w:i/>
                <w:color w:val="000000"/>
                <w:shd w:val="clear" w:color="auto" w:fill="FFFFFF"/>
              </w:rPr>
              <w:t>euro</w:t>
            </w:r>
            <w:proofErr w:type="spellEnd"/>
            <w:r w:rsidR="00FC3304" w:rsidRPr="007177CE">
              <w:rPr>
                <w:color w:val="000000"/>
                <w:shd w:val="clear" w:color="auto" w:fill="FFFFFF"/>
              </w:rPr>
              <w:t xml:space="preserve"> mēnesī.</w:t>
            </w:r>
          </w:p>
          <w:p w14:paraId="5FA768D8" w14:textId="45CED9BD" w:rsidR="006C16B5" w:rsidRPr="006C16B5" w:rsidRDefault="00C11B81" w:rsidP="006C16B5">
            <w:pPr>
              <w:spacing w:after="120"/>
              <w:jc w:val="both"/>
              <w:rPr>
                <w:color w:val="000000"/>
                <w:shd w:val="clear" w:color="auto" w:fill="FFFFFF"/>
              </w:rPr>
            </w:pPr>
            <w:r w:rsidRPr="00C11B81">
              <w:t xml:space="preserve">Ņemot vērā, ka saistībā ar Covid-19 radītajiem riskiem un izsludināto ārkārtējo stāvokli Latvijā, daudzi iedzīvotāji palikuši bez finansiālā atbalsta, kā arī apzinoties, cik ļoti būtiski ir </w:t>
            </w:r>
            <w:r w:rsidRPr="00C11B81">
              <w:rPr>
                <w:rFonts w:eastAsiaTheme="minorHAnsi"/>
                <w:color w:val="000000"/>
              </w:rPr>
              <w:t>nodrošināt pēc iespējas savlaicīgu un mērķētu atbalstu tiem iedzīvotājiem, kuri cieš no Covid-19 radītajām sociālajām un ekonomiskajām sekām un ierobežotā darba tirgus situācijā nevar atrast darbu</w:t>
            </w:r>
            <w:r>
              <w:rPr>
                <w:rFonts w:eastAsiaTheme="minorHAnsi"/>
                <w:color w:val="000000"/>
              </w:rPr>
              <w:t xml:space="preserve">, </w:t>
            </w:r>
            <w:r>
              <w:rPr>
                <w:color w:val="000000"/>
              </w:rPr>
              <w:t>l</w:t>
            </w:r>
            <w:r w:rsidR="007E731C" w:rsidRPr="00C11B81">
              <w:rPr>
                <w:color w:val="000000"/>
                <w:shd w:val="clear" w:color="auto" w:fill="FFFFFF"/>
              </w:rPr>
              <w:t xml:space="preserve">ikumprojekts paredz </w:t>
            </w:r>
            <w:r>
              <w:rPr>
                <w:color w:val="000000"/>
                <w:shd w:val="clear" w:color="auto" w:fill="FFFFFF"/>
              </w:rPr>
              <w:t xml:space="preserve">pagarināt bezdarbnieka palīdzība pabalsta izmaksas periodu līdz </w:t>
            </w:r>
            <w:r w:rsidRPr="004B1D73">
              <w:rPr>
                <w:i/>
                <w:color w:val="000000"/>
                <w:shd w:val="clear" w:color="auto" w:fill="FFFFFF"/>
              </w:rPr>
              <w:t>6 mēnešiem</w:t>
            </w:r>
            <w:r>
              <w:rPr>
                <w:color w:val="000000"/>
                <w:shd w:val="clear" w:color="auto" w:fill="FFFFFF"/>
              </w:rPr>
              <w:t xml:space="preserve"> (šobrīd 4 mēneši) </w:t>
            </w:r>
            <w:r w:rsidR="005E74EF">
              <w:rPr>
                <w:color w:val="000000"/>
                <w:shd w:val="clear" w:color="auto" w:fill="FFFFFF"/>
              </w:rPr>
              <w:t xml:space="preserve">personām, kurām tiesības uz bezdarbnieka </w:t>
            </w:r>
            <w:r w:rsidR="005E74EF">
              <w:rPr>
                <w:color w:val="000000"/>
                <w:shd w:val="clear" w:color="auto" w:fill="FFFFFF"/>
              </w:rPr>
              <w:lastRenderedPageBreak/>
              <w:t>palīdzības pabalstu būs no 2020.</w:t>
            </w:r>
            <w:r w:rsidR="00746D41">
              <w:rPr>
                <w:color w:val="000000"/>
                <w:shd w:val="clear" w:color="auto" w:fill="FFFFFF"/>
              </w:rPr>
              <w:t> </w:t>
            </w:r>
            <w:r w:rsidR="005E74EF">
              <w:rPr>
                <w:color w:val="000000"/>
                <w:shd w:val="clear" w:color="auto" w:fill="FFFFFF"/>
              </w:rPr>
              <w:t>gada 9.</w:t>
            </w:r>
            <w:r w:rsidR="00746D41">
              <w:rPr>
                <w:color w:val="000000"/>
                <w:shd w:val="clear" w:color="auto" w:fill="FFFFFF"/>
              </w:rPr>
              <w:t> </w:t>
            </w:r>
            <w:r w:rsidR="005E74EF">
              <w:rPr>
                <w:color w:val="000000"/>
                <w:shd w:val="clear" w:color="auto" w:fill="FFFFFF"/>
              </w:rPr>
              <w:t>novembra</w:t>
            </w:r>
            <w:r w:rsidR="006C16B5">
              <w:rPr>
                <w:color w:val="000000"/>
                <w:shd w:val="clear" w:color="auto" w:fill="FFFFFF"/>
              </w:rPr>
              <w:t>, t.i.,</w:t>
            </w:r>
            <w:r w:rsidR="006C16B5" w:rsidRPr="006C16B5">
              <w:t> no jauna noteiktās ārkārtējās sit</w:t>
            </w:r>
            <w:r w:rsidR="00A3160F">
              <w:t>uācijas</w:t>
            </w:r>
            <w:r w:rsidR="006C16B5" w:rsidRPr="006C16B5">
              <w:t xml:space="preserve"> sākuma datuma.</w:t>
            </w:r>
          </w:p>
          <w:p w14:paraId="346E15E3" w14:textId="77777777" w:rsidR="006C16B5" w:rsidRPr="006C16B5" w:rsidRDefault="006C16B5" w:rsidP="006C16B5">
            <w:pPr>
              <w:jc w:val="both"/>
            </w:pPr>
            <w:r w:rsidRPr="006C16B5">
              <w:t xml:space="preserve">Tas nozīmē, ka tiesības saņemt bezdarbnieka palīdzības pabalstu 6 mēnešus būs tiem bezdarbniekiem, kuriem </w:t>
            </w:r>
          </w:p>
          <w:p w14:paraId="7E4A831F" w14:textId="2B83EF25" w:rsidR="006C16B5" w:rsidRPr="006C16B5" w:rsidRDefault="006C16B5" w:rsidP="006C16B5">
            <w:pPr>
              <w:pStyle w:val="ListParagraph"/>
              <w:numPr>
                <w:ilvl w:val="0"/>
                <w:numId w:val="6"/>
              </w:numPr>
              <w:spacing w:after="200" w:line="276" w:lineRule="auto"/>
              <w:jc w:val="both"/>
            </w:pPr>
            <w:r w:rsidRPr="006C16B5">
              <w:t>bezdarbnieka pabalsta izmaksa beigsies 2020.gada 8.</w:t>
            </w:r>
            <w:r w:rsidR="00746D41">
              <w:t> </w:t>
            </w:r>
            <w:r w:rsidRPr="006C16B5">
              <w:t>novembrī (ieskaitot) vai vēlāk</w:t>
            </w:r>
            <w:r>
              <w:t>;</w:t>
            </w:r>
          </w:p>
          <w:p w14:paraId="0B953E6A" w14:textId="0AB1E32A" w:rsidR="006C16B5" w:rsidRPr="006C16B5" w:rsidRDefault="006C16B5" w:rsidP="006C16B5">
            <w:pPr>
              <w:pStyle w:val="ListParagraph"/>
              <w:numPr>
                <w:ilvl w:val="0"/>
                <w:numId w:val="6"/>
              </w:numPr>
              <w:spacing w:after="200" w:line="276" w:lineRule="auto"/>
              <w:jc w:val="both"/>
            </w:pPr>
            <w:r w:rsidRPr="006C16B5">
              <w:t>tā kā palīdzības pabalstu piešķir ar nākamo dienu, kad beigusies bezdarbnieka pabalsta izmaksa, tad 6 mēnešus varēs saņemt, ja palīdzības pabalsts piešķirts 2020.</w:t>
            </w:r>
            <w:r w:rsidR="00746D41">
              <w:t> </w:t>
            </w:r>
            <w:r w:rsidRPr="006C16B5">
              <w:t>gada 9.</w:t>
            </w:r>
            <w:r w:rsidR="00746D41">
              <w:t> </w:t>
            </w:r>
            <w:r w:rsidRPr="006C16B5">
              <w:t>novembrī vai vēlāk.</w:t>
            </w:r>
          </w:p>
          <w:p w14:paraId="77882F9D" w14:textId="796B935B" w:rsidR="006C16B5" w:rsidRPr="006C16B5" w:rsidRDefault="006C16B5" w:rsidP="006C16B5">
            <w:pPr>
              <w:jc w:val="both"/>
            </w:pPr>
            <w:r w:rsidRPr="006C16B5">
              <w:t>Ja datums, līdz kuram piešķirts bezdarbnieka pabalsts, ir līdz 2020.</w:t>
            </w:r>
            <w:r w:rsidR="00746D41">
              <w:t> </w:t>
            </w:r>
            <w:r w:rsidRPr="006C16B5">
              <w:t>gada 7.</w:t>
            </w:r>
            <w:r w:rsidR="00746D41">
              <w:t> </w:t>
            </w:r>
            <w:r w:rsidRPr="006C16B5">
              <w:t xml:space="preserve">novembrim </w:t>
            </w:r>
            <w:r>
              <w:t>(</w:t>
            </w:r>
            <w:r w:rsidRPr="006C16B5">
              <w:t>ieskaitot</w:t>
            </w:r>
            <w:r>
              <w:t>)</w:t>
            </w:r>
            <w:r w:rsidRPr="006C16B5">
              <w:t xml:space="preserve"> un </w:t>
            </w:r>
            <w:r w:rsidR="00746D41">
              <w:t xml:space="preserve">bezdarbnieka </w:t>
            </w:r>
            <w:r w:rsidRPr="006C16B5">
              <w:t>palīdzības pabalsts piešķirts no 2020.</w:t>
            </w:r>
            <w:r w:rsidR="00746D41">
              <w:t> </w:t>
            </w:r>
            <w:r w:rsidRPr="006C16B5">
              <w:t>gada 8.</w:t>
            </w:r>
            <w:r w:rsidR="00746D41">
              <w:t> </w:t>
            </w:r>
            <w:r w:rsidRPr="006C16B5">
              <w:t xml:space="preserve">novembra, </w:t>
            </w:r>
            <w:r w:rsidR="00DF29F5" w:rsidRPr="007177CE">
              <w:rPr>
                <w:rFonts w:eastAsiaTheme="minorHAnsi" w:cstheme="minorBidi"/>
                <w:bCs/>
                <w:iCs/>
              </w:rPr>
              <w:t>–</w:t>
            </w:r>
            <w:r w:rsidRPr="006C16B5">
              <w:t xml:space="preserve"> šādā</w:t>
            </w:r>
            <w:r w:rsidR="00DF29F5">
              <w:t xml:space="preserve">  </w:t>
            </w:r>
            <w:r w:rsidRPr="006C16B5">
              <w:t xml:space="preserve"> gadījumā bezdarbnieka palīdzības pabalstu izmaksā uz laiku, kas nav ilgāks par 4 mēnešiem.</w:t>
            </w:r>
          </w:p>
          <w:p w14:paraId="3E978256" w14:textId="77777777" w:rsidR="006C16B5" w:rsidRPr="006C16B5" w:rsidRDefault="006C16B5" w:rsidP="006C16B5">
            <w:pPr>
              <w:jc w:val="both"/>
            </w:pPr>
          </w:p>
          <w:p w14:paraId="50D90527" w14:textId="1B19FD6B" w:rsidR="006C16B5" w:rsidRDefault="006C16B5" w:rsidP="00746D41">
            <w:pPr>
              <w:jc w:val="both"/>
            </w:pPr>
            <w:r w:rsidRPr="006C16B5">
              <w:t>Ja datums, līdz kuram piešķirts bezdarbnieka pabalsts, ir līdz 2020.</w:t>
            </w:r>
            <w:r w:rsidR="00746D41">
              <w:t> </w:t>
            </w:r>
            <w:r w:rsidRPr="006C16B5">
              <w:t>gada 8.</w:t>
            </w:r>
            <w:r w:rsidR="00746D41">
              <w:t> </w:t>
            </w:r>
            <w:r w:rsidRPr="006C16B5">
              <w:t>novembris (ieskaitot) vai vēlāks, tad  bezdarbnieka palīdzības pabalstu izmaksā uz laiku, kas nav ilgāks par 6 mēnešiem, bet ne ilgāk kā līdz 2021.</w:t>
            </w:r>
            <w:r w:rsidR="00746D41">
              <w:t> </w:t>
            </w:r>
            <w:r w:rsidRPr="006C16B5">
              <w:t>gada 30.</w:t>
            </w:r>
            <w:r w:rsidR="00746D41">
              <w:t> </w:t>
            </w:r>
            <w:r w:rsidRPr="006C16B5">
              <w:t>jūnijam</w:t>
            </w:r>
            <w:r>
              <w:t>.</w:t>
            </w:r>
          </w:p>
          <w:p w14:paraId="4F1BA665" w14:textId="77777777" w:rsidR="00746D41" w:rsidRPr="00746D41" w:rsidRDefault="00746D41" w:rsidP="00746D41">
            <w:pPr>
              <w:jc w:val="both"/>
            </w:pPr>
          </w:p>
          <w:p w14:paraId="51B5CE4B" w14:textId="46C056DA" w:rsidR="00002FF1" w:rsidRDefault="00002FF1" w:rsidP="007177CE">
            <w:pPr>
              <w:spacing w:after="120"/>
              <w:jc w:val="both"/>
              <w:rPr>
                <w:iCs/>
              </w:rPr>
            </w:pPr>
            <w:r w:rsidRPr="00E93A06">
              <w:rPr>
                <w:iCs/>
              </w:rPr>
              <w:t>2020.</w:t>
            </w:r>
            <w:r w:rsidR="00746D41">
              <w:rPr>
                <w:iCs/>
              </w:rPr>
              <w:t> </w:t>
            </w:r>
            <w:r w:rsidRPr="00E93A06">
              <w:rPr>
                <w:iCs/>
              </w:rPr>
              <w:t>gada marta beigās Nodarbinātības valsts aģentūrā</w:t>
            </w:r>
            <w:r w:rsidR="00E0549A">
              <w:rPr>
                <w:iCs/>
              </w:rPr>
              <w:t xml:space="preserve"> (turpmāk – NVA)</w:t>
            </w:r>
            <w:r w:rsidRPr="00E93A06">
              <w:rPr>
                <w:iCs/>
              </w:rPr>
              <w:t xml:space="preserve"> bija reģistrēti 62 tūkstoši bezdarbniek</w:t>
            </w:r>
            <w:r w:rsidR="0033619C" w:rsidRPr="00E93A06">
              <w:rPr>
                <w:iCs/>
              </w:rPr>
              <w:t>i</w:t>
            </w:r>
            <w:r w:rsidRPr="00E93A06">
              <w:rPr>
                <w:iCs/>
              </w:rPr>
              <w:t xml:space="preserve">, līdz </w:t>
            </w:r>
            <w:r w:rsidR="0033619C" w:rsidRPr="00E93A06">
              <w:rPr>
                <w:iCs/>
              </w:rPr>
              <w:t>2020.</w:t>
            </w:r>
            <w:r w:rsidR="00746D41">
              <w:rPr>
                <w:iCs/>
              </w:rPr>
              <w:t> </w:t>
            </w:r>
            <w:r w:rsidR="0033619C" w:rsidRPr="00E93A06">
              <w:rPr>
                <w:iCs/>
              </w:rPr>
              <w:t xml:space="preserve">gada </w:t>
            </w:r>
            <w:r w:rsidRPr="00E93A06">
              <w:rPr>
                <w:iCs/>
              </w:rPr>
              <w:t xml:space="preserve">jūlija sākumam reģistrēto bezdarbnieku skaits </w:t>
            </w:r>
            <w:r w:rsidR="0033619C" w:rsidRPr="00E93A06">
              <w:rPr>
                <w:iCs/>
              </w:rPr>
              <w:t xml:space="preserve">pieauga </w:t>
            </w:r>
            <w:r w:rsidRPr="00E93A06">
              <w:rPr>
                <w:iCs/>
              </w:rPr>
              <w:t xml:space="preserve">līdz 78 tūkstošiem. Pēc tam </w:t>
            </w:r>
            <w:r w:rsidR="0033619C" w:rsidRPr="00E93A06">
              <w:rPr>
                <w:iCs/>
              </w:rPr>
              <w:t>sākās</w:t>
            </w:r>
            <w:r w:rsidRPr="00E93A06">
              <w:rPr>
                <w:iCs/>
              </w:rPr>
              <w:t xml:space="preserve"> darba tirgus atkopšanās, reģistrēto bezdarbnieku skaitam samazinoties līdz 67 tūkstošiem. Taču līdz ar Covid-19 pandēmijas otro vilni darba tirgus situācija atkal pasliktinājās</w:t>
            </w:r>
            <w:r w:rsidR="0033619C" w:rsidRPr="00E93A06">
              <w:rPr>
                <w:iCs/>
              </w:rPr>
              <w:t>,</w:t>
            </w:r>
            <w:r w:rsidRPr="00E93A06">
              <w:rPr>
                <w:iCs/>
              </w:rPr>
              <w:t xml:space="preserve"> un reģistrēto bezdarbnieku skaits 2021.</w:t>
            </w:r>
            <w:r w:rsidR="00746D41">
              <w:rPr>
                <w:iCs/>
              </w:rPr>
              <w:t> </w:t>
            </w:r>
            <w:r w:rsidRPr="00E93A06">
              <w:rPr>
                <w:iCs/>
              </w:rPr>
              <w:t xml:space="preserve">gada marta sākumā jau </w:t>
            </w:r>
            <w:r w:rsidR="0033619C" w:rsidRPr="00E93A06">
              <w:rPr>
                <w:iCs/>
              </w:rPr>
              <w:t xml:space="preserve">ir </w:t>
            </w:r>
            <w:r w:rsidRPr="00E93A06">
              <w:rPr>
                <w:iCs/>
              </w:rPr>
              <w:t>sasniedzis 74,5 tūkstošus. Būtiski samazinājies reģistrēto vakanču skaits, vēl 2020.</w:t>
            </w:r>
            <w:r w:rsidR="00746D41">
              <w:rPr>
                <w:iCs/>
              </w:rPr>
              <w:t> </w:t>
            </w:r>
            <w:r w:rsidRPr="00E93A06">
              <w:rPr>
                <w:iCs/>
              </w:rPr>
              <w:t>gada martā reģistrēt</w:t>
            </w:r>
            <w:r w:rsidR="0033619C" w:rsidRPr="00E93A06">
              <w:rPr>
                <w:iCs/>
              </w:rPr>
              <w:t>as</w:t>
            </w:r>
            <w:r w:rsidRPr="00E93A06">
              <w:rPr>
                <w:iCs/>
              </w:rPr>
              <w:t xml:space="preserve"> bija 30 tūkstoši vakanču, šim skaitam nokrītoties līdz 17 tūkstošiem novembrī, kam līdz ar Covid-19 pandēmijas vilni sekoja vēl būtiskāks vakanču skaita </w:t>
            </w:r>
            <w:r w:rsidR="0033619C" w:rsidRPr="00E93A06">
              <w:rPr>
                <w:iCs/>
              </w:rPr>
              <w:t>samazinājums.</w:t>
            </w:r>
            <w:r w:rsidRPr="00E93A06">
              <w:rPr>
                <w:iCs/>
              </w:rPr>
              <w:t xml:space="preserve"> 2021.</w:t>
            </w:r>
            <w:r w:rsidR="00746D41">
              <w:rPr>
                <w:iCs/>
              </w:rPr>
              <w:t> </w:t>
            </w:r>
            <w:r w:rsidRPr="00E93A06">
              <w:rPr>
                <w:iCs/>
              </w:rPr>
              <w:t xml:space="preserve">gada marta sākumā NVA ir reģistrētas 13,5 tūkstoši vakanču. Paredzams, ka otrā </w:t>
            </w:r>
            <w:r w:rsidR="0033619C" w:rsidRPr="00E93A06">
              <w:rPr>
                <w:iCs/>
              </w:rPr>
              <w:t>C</w:t>
            </w:r>
            <w:r w:rsidRPr="00E93A06">
              <w:rPr>
                <w:iCs/>
              </w:rPr>
              <w:t>ovid-19</w:t>
            </w:r>
            <w:r w:rsidR="0033619C" w:rsidRPr="00E93A06">
              <w:rPr>
                <w:iCs/>
              </w:rPr>
              <w:t xml:space="preserve"> pandēmijas</w:t>
            </w:r>
            <w:r w:rsidRPr="00E93A06">
              <w:rPr>
                <w:iCs/>
              </w:rPr>
              <w:t xml:space="preserve"> viļņa radītās nelabvēlīgās darba tirgus sekas būs ilgstošākas, kādēļ svarīgi </w:t>
            </w:r>
            <w:r w:rsidR="00EF27E0" w:rsidRPr="00E93A06">
              <w:rPr>
                <w:iCs/>
              </w:rPr>
              <w:t>pagarināt finansiālā atbalsta sniegšanu bez darba palikušajiem</w:t>
            </w:r>
            <w:r w:rsidR="0033619C" w:rsidRPr="00E93A06">
              <w:rPr>
                <w:iCs/>
              </w:rPr>
              <w:t>.</w:t>
            </w:r>
          </w:p>
          <w:p w14:paraId="7361ABCD" w14:textId="21E0A133" w:rsidR="00002FF1" w:rsidRPr="007E731C" w:rsidRDefault="00970C45" w:rsidP="007177CE">
            <w:pPr>
              <w:spacing w:after="120"/>
              <w:jc w:val="both"/>
              <w:rPr>
                <w:iCs/>
              </w:rPr>
            </w:pPr>
            <w:r w:rsidRPr="007177CE">
              <w:rPr>
                <w:iCs/>
              </w:rPr>
              <w:t>Izmaiņas nepieciešamas, lai mazinātu ekonomiskās situācijas pasliktināšanās radītās sekas un nodrošinātu iespēju personām, kas veikušas valsts sociālās apdrošināšanas iemaksas apdrošināšanai pret bezdarbu, saņemt atbalstu bezdarba gadījumā.</w:t>
            </w:r>
          </w:p>
        </w:tc>
      </w:tr>
      <w:tr w:rsidR="007E731C" w:rsidRPr="000B7BBC" w14:paraId="7A138EF3" w14:textId="77777777" w:rsidTr="001F092D">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EB16052" w14:textId="77777777" w:rsidR="007E731C" w:rsidRPr="000B7BBC" w:rsidRDefault="007E731C" w:rsidP="001F092D">
            <w:pPr>
              <w:spacing w:line="276" w:lineRule="auto"/>
              <w:rPr>
                <w:iCs/>
                <w:lang w:eastAsia="en-US"/>
              </w:rPr>
            </w:pPr>
            <w:r w:rsidRPr="000B7BBC">
              <w:rPr>
                <w:iCs/>
                <w:lang w:eastAsia="en-US"/>
              </w:rPr>
              <w:lastRenderedPageBreak/>
              <w:t>3.</w:t>
            </w:r>
          </w:p>
        </w:tc>
        <w:tc>
          <w:tcPr>
            <w:tcW w:w="1589" w:type="pct"/>
            <w:tcBorders>
              <w:top w:val="outset" w:sz="6" w:space="0" w:color="auto"/>
              <w:left w:val="outset" w:sz="6" w:space="0" w:color="auto"/>
              <w:bottom w:val="outset" w:sz="6" w:space="0" w:color="auto"/>
              <w:right w:val="outset" w:sz="6" w:space="0" w:color="auto"/>
            </w:tcBorders>
            <w:hideMark/>
          </w:tcPr>
          <w:p w14:paraId="35C8FA43" w14:textId="77777777" w:rsidR="007E731C" w:rsidRPr="000B7BBC" w:rsidRDefault="007E731C" w:rsidP="001F092D">
            <w:pPr>
              <w:spacing w:line="276" w:lineRule="auto"/>
              <w:rPr>
                <w:iCs/>
                <w:lang w:eastAsia="en-US"/>
              </w:rPr>
            </w:pPr>
            <w:r w:rsidRPr="000B7BBC">
              <w:rPr>
                <w:iCs/>
                <w:lang w:eastAsia="en-US"/>
              </w:rPr>
              <w:t>Projekta izstrādē iesaistītās institūcijas un publiskas personas kapitālsabiedrības</w:t>
            </w:r>
          </w:p>
        </w:tc>
        <w:tc>
          <w:tcPr>
            <w:tcW w:w="3055" w:type="pct"/>
            <w:tcBorders>
              <w:top w:val="outset" w:sz="6" w:space="0" w:color="auto"/>
              <w:left w:val="outset" w:sz="6" w:space="0" w:color="auto"/>
              <w:bottom w:val="outset" w:sz="6" w:space="0" w:color="auto"/>
              <w:right w:val="outset" w:sz="6" w:space="0" w:color="auto"/>
            </w:tcBorders>
            <w:hideMark/>
          </w:tcPr>
          <w:p w14:paraId="7A35B953" w14:textId="77777777" w:rsidR="007E731C" w:rsidRPr="000B7BBC" w:rsidRDefault="007E731C" w:rsidP="001F092D">
            <w:pPr>
              <w:spacing w:line="276" w:lineRule="auto"/>
              <w:jc w:val="both"/>
              <w:rPr>
                <w:iCs/>
                <w:lang w:eastAsia="en-US"/>
              </w:rPr>
            </w:pPr>
            <w:r w:rsidRPr="000B7BBC">
              <w:rPr>
                <w:iCs/>
                <w:lang w:eastAsia="en-US"/>
              </w:rPr>
              <w:t>Valsts sociālās apdrošināšanas aģentūra (turpmāk – VSAA).</w:t>
            </w:r>
          </w:p>
        </w:tc>
      </w:tr>
      <w:tr w:rsidR="007E731C" w:rsidRPr="000B7BBC" w14:paraId="4330C98D" w14:textId="77777777" w:rsidTr="001F092D">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5FEC66" w14:textId="77777777" w:rsidR="007E731C" w:rsidRPr="000B7BBC" w:rsidRDefault="007E731C" w:rsidP="001F092D">
            <w:pPr>
              <w:spacing w:line="276" w:lineRule="auto"/>
              <w:rPr>
                <w:iCs/>
                <w:lang w:eastAsia="en-US"/>
              </w:rPr>
            </w:pPr>
            <w:r w:rsidRPr="000B7BBC">
              <w:rPr>
                <w:iCs/>
                <w:lang w:eastAsia="en-US"/>
              </w:rPr>
              <w:t>4.</w:t>
            </w:r>
          </w:p>
        </w:tc>
        <w:tc>
          <w:tcPr>
            <w:tcW w:w="1589" w:type="pct"/>
            <w:tcBorders>
              <w:top w:val="outset" w:sz="6" w:space="0" w:color="auto"/>
              <w:left w:val="outset" w:sz="6" w:space="0" w:color="auto"/>
              <w:bottom w:val="outset" w:sz="6" w:space="0" w:color="auto"/>
              <w:right w:val="outset" w:sz="6" w:space="0" w:color="auto"/>
            </w:tcBorders>
            <w:hideMark/>
          </w:tcPr>
          <w:p w14:paraId="09FCE318" w14:textId="77777777" w:rsidR="007E731C" w:rsidRPr="000B7BBC" w:rsidRDefault="007E731C" w:rsidP="001F092D">
            <w:pPr>
              <w:spacing w:line="276" w:lineRule="auto"/>
              <w:rPr>
                <w:iCs/>
                <w:lang w:eastAsia="en-US"/>
              </w:rPr>
            </w:pPr>
            <w:r w:rsidRPr="000B7BBC">
              <w:rPr>
                <w:iCs/>
                <w:lang w:eastAsia="en-US"/>
              </w:rPr>
              <w:t>Cita informācija</w:t>
            </w:r>
          </w:p>
        </w:tc>
        <w:tc>
          <w:tcPr>
            <w:tcW w:w="3055" w:type="pct"/>
            <w:tcBorders>
              <w:top w:val="outset" w:sz="6" w:space="0" w:color="auto"/>
              <w:left w:val="outset" w:sz="6" w:space="0" w:color="auto"/>
              <w:bottom w:val="outset" w:sz="6" w:space="0" w:color="auto"/>
              <w:right w:val="outset" w:sz="6" w:space="0" w:color="auto"/>
            </w:tcBorders>
            <w:hideMark/>
          </w:tcPr>
          <w:p w14:paraId="45A0C19F" w14:textId="77777777" w:rsidR="007E731C" w:rsidRPr="000B7BBC" w:rsidRDefault="007E731C" w:rsidP="001F092D">
            <w:pPr>
              <w:spacing w:line="276" w:lineRule="auto"/>
              <w:rPr>
                <w:iCs/>
                <w:lang w:eastAsia="en-US"/>
              </w:rPr>
            </w:pPr>
            <w:r w:rsidRPr="000B7BBC">
              <w:rPr>
                <w:iCs/>
                <w:lang w:eastAsia="en-US"/>
              </w:rPr>
              <w:t>Nav.</w:t>
            </w:r>
          </w:p>
        </w:tc>
      </w:tr>
    </w:tbl>
    <w:p w14:paraId="41B1096E" w14:textId="77777777" w:rsidR="007E731C" w:rsidRPr="000B7BBC" w:rsidRDefault="007E731C" w:rsidP="007E731C">
      <w:pPr>
        <w:rPr>
          <w:iCs/>
        </w:rPr>
      </w:pPr>
      <w:r w:rsidRPr="000B7B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731C" w:rsidRPr="000B7BBC" w14:paraId="4B2B1DC5" w14:textId="77777777" w:rsidTr="001F09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38752" w14:textId="77777777" w:rsidR="007E731C" w:rsidRPr="000B7BBC" w:rsidRDefault="007E731C" w:rsidP="001F092D">
            <w:pPr>
              <w:spacing w:line="276" w:lineRule="auto"/>
              <w:rPr>
                <w:b/>
                <w:bCs/>
                <w:iCs/>
                <w:lang w:eastAsia="en-US"/>
              </w:rPr>
            </w:pPr>
            <w:r w:rsidRPr="000B7BBC">
              <w:rPr>
                <w:b/>
                <w:bCs/>
                <w:iCs/>
                <w:lang w:eastAsia="en-US"/>
              </w:rPr>
              <w:t>II. Tiesību akta projekta ietekme uz sabiedrību, tautsaimniecības attīstību un administratīvo slogu</w:t>
            </w:r>
          </w:p>
        </w:tc>
      </w:tr>
      <w:tr w:rsidR="007E731C" w:rsidRPr="000B7BBC" w14:paraId="71558336" w14:textId="77777777" w:rsidTr="001F09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21E542" w14:textId="77777777" w:rsidR="007E731C" w:rsidRPr="000B7BBC" w:rsidRDefault="007E731C" w:rsidP="001F092D">
            <w:pPr>
              <w:spacing w:line="276" w:lineRule="auto"/>
              <w:rPr>
                <w:iCs/>
                <w:lang w:eastAsia="en-US"/>
              </w:rPr>
            </w:pPr>
            <w:r w:rsidRPr="000B7BBC">
              <w:rPr>
                <w:iCs/>
                <w:lang w:eastAsia="en-US"/>
              </w:rPr>
              <w:t>1.</w:t>
            </w:r>
          </w:p>
        </w:tc>
        <w:tc>
          <w:tcPr>
            <w:tcW w:w="1678" w:type="pct"/>
            <w:tcBorders>
              <w:top w:val="outset" w:sz="6" w:space="0" w:color="auto"/>
              <w:left w:val="outset" w:sz="6" w:space="0" w:color="auto"/>
              <w:bottom w:val="outset" w:sz="6" w:space="0" w:color="auto"/>
              <w:right w:val="outset" w:sz="6" w:space="0" w:color="auto"/>
            </w:tcBorders>
            <w:hideMark/>
          </w:tcPr>
          <w:p w14:paraId="3F64F4E3" w14:textId="77777777" w:rsidR="007E731C" w:rsidRPr="007177CE" w:rsidRDefault="007E731C" w:rsidP="001F092D">
            <w:pPr>
              <w:spacing w:line="276" w:lineRule="auto"/>
              <w:rPr>
                <w:iCs/>
                <w:lang w:eastAsia="en-US"/>
              </w:rPr>
            </w:pPr>
            <w:r w:rsidRPr="007177CE">
              <w:rPr>
                <w:iCs/>
                <w:lang w:eastAsia="en-US"/>
              </w:rPr>
              <w:t xml:space="preserve">Sabiedrības </w:t>
            </w:r>
            <w:proofErr w:type="spellStart"/>
            <w:r w:rsidRPr="007177CE">
              <w:rPr>
                <w:iCs/>
                <w:lang w:eastAsia="en-US"/>
              </w:rPr>
              <w:t>mērķgrupas</w:t>
            </w:r>
            <w:proofErr w:type="spellEnd"/>
            <w:r w:rsidRPr="007177CE">
              <w:rPr>
                <w:iCs/>
                <w:lang w:eastAsia="en-US"/>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F136F20" w14:textId="2114B01E" w:rsidR="00F437F6" w:rsidRDefault="00E0549A" w:rsidP="007177CE">
            <w:pPr>
              <w:jc w:val="both"/>
              <w:rPr>
                <w:rFonts w:eastAsiaTheme="minorHAnsi" w:cstheme="minorBidi"/>
                <w:bCs/>
                <w:iCs/>
              </w:rPr>
            </w:pPr>
            <w:r>
              <w:rPr>
                <w:color w:val="000000"/>
                <w:shd w:val="clear" w:color="auto" w:fill="FFFFFF"/>
              </w:rPr>
              <w:t>Bezdarbnieki</w:t>
            </w:r>
            <w:r w:rsidR="00F437F6">
              <w:rPr>
                <w:color w:val="000000"/>
                <w:shd w:val="clear" w:color="auto" w:fill="FFFFFF"/>
              </w:rPr>
              <w:t>, kur</w:t>
            </w:r>
            <w:r>
              <w:rPr>
                <w:color w:val="000000"/>
                <w:shd w:val="clear" w:color="auto" w:fill="FFFFFF"/>
              </w:rPr>
              <w:t>iem</w:t>
            </w:r>
            <w:r w:rsidR="00F437F6">
              <w:rPr>
                <w:color w:val="000000"/>
                <w:shd w:val="clear" w:color="auto" w:fill="FFFFFF"/>
              </w:rPr>
              <w:t xml:space="preserve"> </w:t>
            </w:r>
            <w:r w:rsidR="0019677B">
              <w:rPr>
                <w:color w:val="000000"/>
                <w:shd w:val="clear" w:color="auto" w:fill="FFFFFF"/>
              </w:rPr>
              <w:t xml:space="preserve">tiesības uz </w:t>
            </w:r>
            <w:r w:rsidR="00F437F6">
              <w:rPr>
                <w:color w:val="000000"/>
                <w:shd w:val="clear" w:color="auto" w:fill="FFFFFF"/>
              </w:rPr>
              <w:t xml:space="preserve">bezdarbnieka </w:t>
            </w:r>
            <w:r w:rsidR="0019677B">
              <w:rPr>
                <w:color w:val="000000"/>
                <w:shd w:val="clear" w:color="auto" w:fill="FFFFFF"/>
              </w:rPr>
              <w:t>palīdzības pabalstu</w:t>
            </w:r>
            <w:r w:rsidR="00F437F6">
              <w:rPr>
                <w:color w:val="000000"/>
                <w:shd w:val="clear" w:color="auto" w:fill="FFFFFF"/>
              </w:rPr>
              <w:t xml:space="preserve"> </w:t>
            </w:r>
            <w:r w:rsidR="0019677B">
              <w:rPr>
                <w:color w:val="000000"/>
                <w:shd w:val="clear" w:color="auto" w:fill="FFFFFF"/>
              </w:rPr>
              <w:t xml:space="preserve">ir no </w:t>
            </w:r>
            <w:r w:rsidR="00F437F6">
              <w:rPr>
                <w:color w:val="000000"/>
                <w:shd w:val="clear" w:color="auto" w:fill="FFFFFF"/>
              </w:rPr>
              <w:t xml:space="preserve">2020.gada </w:t>
            </w:r>
            <w:r>
              <w:rPr>
                <w:color w:val="000000"/>
                <w:shd w:val="clear" w:color="auto" w:fill="FFFFFF"/>
              </w:rPr>
              <w:t>9</w:t>
            </w:r>
            <w:r w:rsidR="00F437F6" w:rsidRPr="00970C45">
              <w:rPr>
                <w:color w:val="000000"/>
                <w:shd w:val="clear" w:color="auto" w:fill="FFFFFF"/>
              </w:rPr>
              <w:t>.novembr</w:t>
            </w:r>
            <w:r w:rsidR="0019677B">
              <w:rPr>
                <w:color w:val="000000"/>
                <w:shd w:val="clear" w:color="auto" w:fill="FFFFFF"/>
              </w:rPr>
              <w:t>a</w:t>
            </w:r>
            <w:r w:rsidR="00F437F6">
              <w:rPr>
                <w:color w:val="000000"/>
                <w:shd w:val="clear" w:color="auto" w:fill="FFFFFF"/>
              </w:rPr>
              <w:t xml:space="preserve"> vai vēlāk un kuras sakarā ar Covid-19 izsludinātās ārkārtējās situācijas radītajām sekām nav atraduš</w:t>
            </w:r>
            <w:r w:rsidR="00BA30FA">
              <w:rPr>
                <w:color w:val="000000"/>
                <w:shd w:val="clear" w:color="auto" w:fill="FFFFFF"/>
              </w:rPr>
              <w:t>a</w:t>
            </w:r>
            <w:r w:rsidR="00F437F6">
              <w:rPr>
                <w:color w:val="000000"/>
                <w:shd w:val="clear" w:color="auto" w:fill="FFFFFF"/>
              </w:rPr>
              <w:t>s darbu un neveic saimniecisko darbību.</w:t>
            </w:r>
          </w:p>
          <w:p w14:paraId="479ADD1D" w14:textId="61295A1D" w:rsidR="007177CE" w:rsidRPr="007177CE" w:rsidRDefault="007177CE" w:rsidP="007177CE">
            <w:pPr>
              <w:jc w:val="both"/>
              <w:rPr>
                <w:rFonts w:eastAsiaTheme="minorHAnsi" w:cstheme="minorBidi"/>
                <w:bCs/>
                <w:iCs/>
              </w:rPr>
            </w:pPr>
            <w:r w:rsidRPr="007177CE">
              <w:rPr>
                <w:rFonts w:eastAsiaTheme="minorHAnsi" w:cstheme="minorBidi"/>
                <w:bCs/>
                <w:iCs/>
              </w:rPr>
              <w:t>Pēc VSAA datiem unikālais bezdarbniek</w:t>
            </w:r>
            <w:r w:rsidR="00BA30FA">
              <w:rPr>
                <w:rFonts w:eastAsiaTheme="minorHAnsi" w:cstheme="minorBidi"/>
                <w:bCs/>
                <w:iCs/>
              </w:rPr>
              <w:t>a</w:t>
            </w:r>
            <w:r w:rsidRPr="007177CE">
              <w:rPr>
                <w:rFonts w:eastAsiaTheme="minorHAnsi" w:cstheme="minorBidi"/>
                <w:bCs/>
                <w:iCs/>
              </w:rPr>
              <w:t xml:space="preserve"> palīdz</w:t>
            </w:r>
            <w:r w:rsidR="00E0549A">
              <w:rPr>
                <w:rFonts w:eastAsiaTheme="minorHAnsi" w:cstheme="minorBidi"/>
                <w:bCs/>
                <w:iCs/>
              </w:rPr>
              <w:t>ī</w:t>
            </w:r>
            <w:r w:rsidRPr="007177CE">
              <w:rPr>
                <w:rFonts w:eastAsiaTheme="minorHAnsi" w:cstheme="minorBidi"/>
                <w:bCs/>
                <w:iCs/>
              </w:rPr>
              <w:t>bas paba</w:t>
            </w:r>
            <w:r w:rsidR="00DF29F5">
              <w:rPr>
                <w:rFonts w:eastAsiaTheme="minorHAnsi" w:cstheme="minorBidi"/>
                <w:bCs/>
                <w:iCs/>
              </w:rPr>
              <w:t>l</w:t>
            </w:r>
            <w:r w:rsidRPr="007177CE">
              <w:rPr>
                <w:rFonts w:eastAsiaTheme="minorHAnsi" w:cstheme="minorBidi"/>
                <w:bCs/>
                <w:iCs/>
              </w:rPr>
              <w:t>sta saņēmēju skaits periodā 2020.gada marts līdz decembris – 13 054 personas (dati uz 2021.gada februāri). Šobrīd vērojama tendence, ka salīdzinājumā ar 2020.gada decembri, 2021.gada janvārī bezdarbnieka palīdzības pabalsta saņēmēju skaits ir palielinājies, t.i., ja 2020.gada decembrī pabalsts tika izmaksāts 5 934 personām, tad 2021.gada janvārī – 7 188 personām.</w:t>
            </w:r>
          </w:p>
          <w:p w14:paraId="1B218E1C" w14:textId="77777777" w:rsidR="007E731C" w:rsidRPr="007177CE" w:rsidRDefault="007E731C" w:rsidP="001F092D">
            <w:pPr>
              <w:shd w:val="clear" w:color="auto" w:fill="FFFFFF"/>
              <w:spacing w:after="120"/>
              <w:jc w:val="both"/>
              <w:rPr>
                <w:spacing w:val="-4"/>
                <w:lang w:eastAsia="en-US"/>
              </w:rPr>
            </w:pPr>
          </w:p>
        </w:tc>
      </w:tr>
      <w:tr w:rsidR="007E731C" w:rsidRPr="000B7BBC" w14:paraId="6F5C4D53" w14:textId="77777777" w:rsidTr="001F09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7B3E9" w14:textId="77777777" w:rsidR="007E731C" w:rsidRPr="000B7BBC" w:rsidRDefault="007E731C" w:rsidP="001F092D">
            <w:pPr>
              <w:spacing w:line="276" w:lineRule="auto"/>
              <w:rPr>
                <w:iCs/>
                <w:lang w:eastAsia="en-US"/>
              </w:rPr>
            </w:pPr>
            <w:r w:rsidRPr="000B7BBC">
              <w:rPr>
                <w:iCs/>
                <w:lang w:eastAsia="en-US"/>
              </w:rPr>
              <w:t>2.</w:t>
            </w:r>
          </w:p>
        </w:tc>
        <w:tc>
          <w:tcPr>
            <w:tcW w:w="1678" w:type="pct"/>
            <w:tcBorders>
              <w:top w:val="outset" w:sz="6" w:space="0" w:color="auto"/>
              <w:left w:val="outset" w:sz="6" w:space="0" w:color="auto"/>
              <w:bottom w:val="outset" w:sz="6" w:space="0" w:color="auto"/>
              <w:right w:val="outset" w:sz="6" w:space="0" w:color="auto"/>
            </w:tcBorders>
            <w:hideMark/>
          </w:tcPr>
          <w:p w14:paraId="6EDDF73D" w14:textId="77777777" w:rsidR="007E731C" w:rsidRPr="000B7BBC" w:rsidRDefault="007E731C" w:rsidP="001F092D">
            <w:pPr>
              <w:spacing w:line="276" w:lineRule="auto"/>
              <w:rPr>
                <w:iCs/>
                <w:lang w:eastAsia="en-US"/>
              </w:rPr>
            </w:pPr>
            <w:r w:rsidRPr="000B7BBC">
              <w:rPr>
                <w:iCs/>
                <w:lang w:eastAsia="en-US"/>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462DA44" w14:textId="77777777" w:rsidR="007E731C" w:rsidRPr="000B7BBC" w:rsidRDefault="007E731C" w:rsidP="001F092D">
            <w:pPr>
              <w:spacing w:after="120"/>
              <w:jc w:val="both"/>
              <w:rPr>
                <w:iCs/>
                <w:color w:val="FF0000"/>
                <w:lang w:eastAsia="en-US"/>
              </w:rPr>
            </w:pPr>
            <w:r>
              <w:rPr>
                <w:iCs/>
              </w:rPr>
              <w:t>Likumprojekta tiesiskais regulējums nemaina sabiedrības tiesības un pienākumus, kā arī veicamās darbības. Likumprojekts nerada papildus administratīvo slogu.</w:t>
            </w:r>
          </w:p>
        </w:tc>
      </w:tr>
      <w:tr w:rsidR="007E731C" w:rsidRPr="000B7BBC" w14:paraId="2F26EF9E" w14:textId="77777777" w:rsidTr="001F09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0F5533" w14:textId="77777777" w:rsidR="007E731C" w:rsidRPr="000B7BBC" w:rsidRDefault="007E731C" w:rsidP="001F092D">
            <w:pPr>
              <w:spacing w:line="276" w:lineRule="auto"/>
              <w:rPr>
                <w:iCs/>
                <w:lang w:eastAsia="en-US"/>
              </w:rPr>
            </w:pPr>
            <w:r w:rsidRPr="000B7BBC">
              <w:rPr>
                <w:iCs/>
                <w:lang w:eastAsia="en-US"/>
              </w:rPr>
              <w:t>3.</w:t>
            </w:r>
          </w:p>
        </w:tc>
        <w:tc>
          <w:tcPr>
            <w:tcW w:w="1678" w:type="pct"/>
            <w:tcBorders>
              <w:top w:val="outset" w:sz="6" w:space="0" w:color="auto"/>
              <w:left w:val="outset" w:sz="6" w:space="0" w:color="auto"/>
              <w:bottom w:val="outset" w:sz="6" w:space="0" w:color="auto"/>
              <w:right w:val="outset" w:sz="6" w:space="0" w:color="auto"/>
            </w:tcBorders>
            <w:hideMark/>
          </w:tcPr>
          <w:p w14:paraId="3E445CAB" w14:textId="77777777" w:rsidR="007E731C" w:rsidRPr="000B7BBC" w:rsidRDefault="007E731C" w:rsidP="001F092D">
            <w:pPr>
              <w:spacing w:line="276" w:lineRule="auto"/>
              <w:rPr>
                <w:iCs/>
                <w:lang w:eastAsia="en-US"/>
              </w:rPr>
            </w:pPr>
            <w:r w:rsidRPr="000B7BBC">
              <w:rPr>
                <w:iCs/>
                <w:lang w:eastAsia="en-US"/>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FA3EF79" w14:textId="77777777" w:rsidR="007E731C" w:rsidRPr="000B7BBC" w:rsidRDefault="007E731C" w:rsidP="001F092D">
            <w:pPr>
              <w:spacing w:line="276" w:lineRule="auto"/>
              <w:rPr>
                <w:iCs/>
                <w:lang w:eastAsia="en-US"/>
              </w:rPr>
            </w:pPr>
            <w:r w:rsidRPr="000B7BBC">
              <w:rPr>
                <w:iCs/>
                <w:lang w:eastAsia="en-US"/>
              </w:rPr>
              <w:t>Likumprojekts šo jomu neskar.</w:t>
            </w:r>
          </w:p>
        </w:tc>
      </w:tr>
      <w:tr w:rsidR="007E731C" w:rsidRPr="000B7BBC" w14:paraId="72E7B303" w14:textId="77777777" w:rsidTr="001F092D">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3C34124" w14:textId="77777777" w:rsidR="007E731C" w:rsidRPr="000B7BBC" w:rsidRDefault="007E731C" w:rsidP="001F092D">
            <w:pPr>
              <w:spacing w:line="276" w:lineRule="auto"/>
              <w:rPr>
                <w:iCs/>
                <w:lang w:eastAsia="en-US"/>
              </w:rPr>
            </w:pPr>
            <w:r>
              <w:rPr>
                <w:iCs/>
                <w:lang w:eastAsia="en-US"/>
              </w:rPr>
              <w:t>4.</w:t>
            </w:r>
          </w:p>
        </w:tc>
        <w:tc>
          <w:tcPr>
            <w:tcW w:w="1678" w:type="pct"/>
            <w:tcBorders>
              <w:top w:val="outset" w:sz="6" w:space="0" w:color="auto"/>
              <w:left w:val="outset" w:sz="6" w:space="0" w:color="auto"/>
              <w:bottom w:val="outset" w:sz="6" w:space="0" w:color="auto"/>
              <w:right w:val="outset" w:sz="6" w:space="0" w:color="auto"/>
            </w:tcBorders>
          </w:tcPr>
          <w:p w14:paraId="74A6B327" w14:textId="77777777" w:rsidR="007E731C" w:rsidRPr="000B7BBC" w:rsidRDefault="007E731C" w:rsidP="001F092D">
            <w:pPr>
              <w:spacing w:line="276" w:lineRule="auto"/>
              <w:rPr>
                <w:iCs/>
                <w:lang w:eastAsia="en-US"/>
              </w:rPr>
            </w:pPr>
            <w:r>
              <w:rPr>
                <w:iCs/>
                <w:color w:val="414142"/>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3A33DE66" w14:textId="77777777" w:rsidR="007E731C" w:rsidRPr="000B7BBC" w:rsidRDefault="007E731C" w:rsidP="001F092D">
            <w:pPr>
              <w:spacing w:line="276" w:lineRule="auto"/>
              <w:rPr>
                <w:iCs/>
                <w:lang w:eastAsia="en-US"/>
              </w:rPr>
            </w:pPr>
            <w:r w:rsidRPr="000B7BBC">
              <w:rPr>
                <w:iCs/>
                <w:lang w:eastAsia="en-US"/>
              </w:rPr>
              <w:t>Likumprojekts šo jomu neskar.</w:t>
            </w:r>
          </w:p>
        </w:tc>
      </w:tr>
      <w:tr w:rsidR="007E731C" w:rsidRPr="000B7BBC" w14:paraId="059AA0B1" w14:textId="77777777" w:rsidTr="001F09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CB70A0" w14:textId="77777777" w:rsidR="007E731C" w:rsidRPr="000B7BBC" w:rsidRDefault="007E731C" w:rsidP="001F092D">
            <w:pPr>
              <w:spacing w:line="276" w:lineRule="auto"/>
              <w:rPr>
                <w:iCs/>
                <w:lang w:eastAsia="en-US"/>
              </w:rPr>
            </w:pPr>
            <w:r w:rsidRPr="000B7BBC">
              <w:rPr>
                <w:iCs/>
                <w:lang w:eastAsia="en-US"/>
              </w:rPr>
              <w:t>5.</w:t>
            </w:r>
          </w:p>
        </w:tc>
        <w:tc>
          <w:tcPr>
            <w:tcW w:w="1678" w:type="pct"/>
            <w:tcBorders>
              <w:top w:val="outset" w:sz="6" w:space="0" w:color="auto"/>
              <w:left w:val="outset" w:sz="6" w:space="0" w:color="auto"/>
              <w:bottom w:val="outset" w:sz="6" w:space="0" w:color="auto"/>
              <w:right w:val="outset" w:sz="6" w:space="0" w:color="auto"/>
            </w:tcBorders>
            <w:hideMark/>
          </w:tcPr>
          <w:p w14:paraId="40AC91C0" w14:textId="77777777" w:rsidR="007E731C" w:rsidRPr="000B7BBC" w:rsidRDefault="007E731C" w:rsidP="001F092D">
            <w:pPr>
              <w:spacing w:line="276" w:lineRule="auto"/>
              <w:rPr>
                <w:iCs/>
                <w:lang w:eastAsia="en-US"/>
              </w:rPr>
            </w:pPr>
            <w:r w:rsidRPr="000B7BBC">
              <w:rPr>
                <w:iCs/>
                <w:lang w:eastAsia="en-US"/>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760549B" w14:textId="77777777" w:rsidR="007E731C" w:rsidRPr="000B7BBC" w:rsidRDefault="007E731C" w:rsidP="001F092D">
            <w:pPr>
              <w:spacing w:line="276" w:lineRule="auto"/>
              <w:rPr>
                <w:iCs/>
                <w:lang w:eastAsia="en-US"/>
              </w:rPr>
            </w:pPr>
            <w:r w:rsidRPr="000B7BBC">
              <w:rPr>
                <w:iCs/>
                <w:lang w:eastAsia="en-US"/>
              </w:rPr>
              <w:t>Nav.</w:t>
            </w:r>
          </w:p>
        </w:tc>
      </w:tr>
    </w:tbl>
    <w:p w14:paraId="18136CBC" w14:textId="77777777" w:rsidR="007E731C" w:rsidRPr="000B7BBC" w:rsidRDefault="007E731C" w:rsidP="007E731C">
      <w:pPr>
        <w:rPr>
          <w:iCs/>
        </w:rPr>
      </w:pPr>
      <w:r w:rsidRPr="000B7BBC">
        <w:rPr>
          <w:iCs/>
        </w:rPr>
        <w:t xml:space="preserve">  </w:t>
      </w:r>
    </w:p>
    <w:tbl>
      <w:tblPr>
        <w:tblW w:w="57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12"/>
        <w:gridCol w:w="1043"/>
        <w:gridCol w:w="1380"/>
        <w:gridCol w:w="1239"/>
        <w:gridCol w:w="1085"/>
        <w:gridCol w:w="1083"/>
        <w:gridCol w:w="1241"/>
        <w:gridCol w:w="1390"/>
      </w:tblGrid>
      <w:tr w:rsidR="001F092D" w:rsidRPr="001F092D" w14:paraId="605D9B75" w14:textId="77777777" w:rsidTr="001F092D">
        <w:trPr>
          <w:cantSplit/>
        </w:trPr>
        <w:tc>
          <w:tcPr>
            <w:tcW w:w="5000" w:type="pct"/>
            <w:gridSpan w:val="8"/>
            <w:shd w:val="clear" w:color="auto" w:fill="auto"/>
            <w:vAlign w:val="center"/>
            <w:hideMark/>
          </w:tcPr>
          <w:p w14:paraId="3C3F383F" w14:textId="77777777" w:rsidR="001F092D" w:rsidRPr="001F092D" w:rsidRDefault="001F092D" w:rsidP="001F092D">
            <w:pPr>
              <w:spacing w:after="160" w:line="259" w:lineRule="auto"/>
              <w:jc w:val="center"/>
              <w:rPr>
                <w:rFonts w:eastAsiaTheme="minorHAnsi"/>
                <w:b/>
                <w:sz w:val="18"/>
                <w:szCs w:val="18"/>
                <w:lang w:eastAsia="en-US"/>
              </w:rPr>
            </w:pPr>
            <w:r w:rsidRPr="001F092D">
              <w:rPr>
                <w:rFonts w:eastAsiaTheme="minorHAnsi"/>
                <w:b/>
                <w:sz w:val="18"/>
                <w:szCs w:val="18"/>
                <w:lang w:eastAsia="en-US"/>
              </w:rPr>
              <w:t>III. Tiesību akta projekta ietekme uz valsts budžetu un pašvaldību budžetiem</w:t>
            </w:r>
          </w:p>
        </w:tc>
      </w:tr>
      <w:tr w:rsidR="001F092D" w:rsidRPr="001F092D" w14:paraId="1A8D7AC3" w14:textId="77777777" w:rsidTr="001F092D">
        <w:trPr>
          <w:cantSplit/>
        </w:trPr>
        <w:tc>
          <w:tcPr>
            <w:tcW w:w="922" w:type="pct"/>
            <w:vMerge w:val="restart"/>
            <w:shd w:val="clear" w:color="auto" w:fill="FFFFFF"/>
            <w:vAlign w:val="center"/>
          </w:tcPr>
          <w:p w14:paraId="0221B7CA" w14:textId="77777777" w:rsidR="001F092D" w:rsidRPr="001F092D" w:rsidRDefault="001F092D" w:rsidP="001F092D">
            <w:pPr>
              <w:spacing w:after="160" w:line="259" w:lineRule="auto"/>
              <w:jc w:val="both"/>
              <w:rPr>
                <w:rFonts w:eastAsiaTheme="minorHAnsi"/>
                <w:sz w:val="20"/>
                <w:szCs w:val="20"/>
                <w:lang w:eastAsia="en-US"/>
              </w:rPr>
            </w:pPr>
            <w:r w:rsidRPr="001F092D">
              <w:rPr>
                <w:rFonts w:eastAsiaTheme="minorHAnsi"/>
                <w:sz w:val="20"/>
                <w:szCs w:val="20"/>
                <w:lang w:eastAsia="en-US"/>
              </w:rPr>
              <w:t>Rādītāji</w:t>
            </w:r>
          </w:p>
        </w:tc>
        <w:tc>
          <w:tcPr>
            <w:tcW w:w="1168" w:type="pct"/>
            <w:gridSpan w:val="2"/>
            <w:vMerge w:val="restart"/>
            <w:shd w:val="clear" w:color="auto" w:fill="FFFFFF"/>
            <w:vAlign w:val="center"/>
            <w:hideMark/>
          </w:tcPr>
          <w:p w14:paraId="62948384"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2021.gads</w:t>
            </w:r>
          </w:p>
        </w:tc>
        <w:tc>
          <w:tcPr>
            <w:tcW w:w="2910" w:type="pct"/>
            <w:gridSpan w:val="5"/>
            <w:shd w:val="clear" w:color="auto" w:fill="FFFFFF"/>
            <w:vAlign w:val="center"/>
            <w:hideMark/>
          </w:tcPr>
          <w:p w14:paraId="76865590" w14:textId="64D7F4F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Turpmākie trīs gadi (</w:t>
            </w:r>
            <w:proofErr w:type="spellStart"/>
            <w:r w:rsidR="00AC6BD1" w:rsidRPr="00AC6BD1">
              <w:rPr>
                <w:rFonts w:eastAsiaTheme="minorHAnsi"/>
                <w:i/>
                <w:sz w:val="18"/>
                <w:szCs w:val="18"/>
                <w:lang w:eastAsia="en-US"/>
              </w:rPr>
              <w:t>euro</w:t>
            </w:r>
            <w:proofErr w:type="spellEnd"/>
            <w:r w:rsidRPr="001F092D">
              <w:rPr>
                <w:rFonts w:eastAsiaTheme="minorHAnsi"/>
                <w:sz w:val="18"/>
                <w:szCs w:val="18"/>
                <w:lang w:eastAsia="en-US"/>
              </w:rPr>
              <w:t>)</w:t>
            </w:r>
          </w:p>
        </w:tc>
      </w:tr>
      <w:tr w:rsidR="001F092D" w:rsidRPr="001F092D" w14:paraId="60C58FDA" w14:textId="77777777" w:rsidTr="001F092D">
        <w:trPr>
          <w:cantSplit/>
        </w:trPr>
        <w:tc>
          <w:tcPr>
            <w:tcW w:w="922" w:type="pct"/>
            <w:vMerge/>
            <w:shd w:val="clear" w:color="auto" w:fill="auto"/>
            <w:vAlign w:val="center"/>
            <w:hideMark/>
          </w:tcPr>
          <w:p w14:paraId="40AB51A6" w14:textId="77777777" w:rsidR="001F092D" w:rsidRPr="001F092D" w:rsidRDefault="001F092D" w:rsidP="001F092D">
            <w:pPr>
              <w:spacing w:after="160" w:line="259" w:lineRule="auto"/>
              <w:jc w:val="both"/>
              <w:rPr>
                <w:rFonts w:eastAsiaTheme="minorHAnsi"/>
                <w:sz w:val="20"/>
                <w:szCs w:val="20"/>
                <w:lang w:eastAsia="en-US"/>
              </w:rPr>
            </w:pPr>
          </w:p>
        </w:tc>
        <w:tc>
          <w:tcPr>
            <w:tcW w:w="1168" w:type="pct"/>
            <w:gridSpan w:val="2"/>
            <w:vMerge/>
            <w:shd w:val="clear" w:color="auto" w:fill="auto"/>
            <w:vAlign w:val="center"/>
            <w:hideMark/>
          </w:tcPr>
          <w:p w14:paraId="076819BC" w14:textId="77777777" w:rsidR="001F092D" w:rsidRPr="001F092D" w:rsidRDefault="001F092D" w:rsidP="001F092D">
            <w:pPr>
              <w:spacing w:after="160" w:line="259" w:lineRule="auto"/>
              <w:jc w:val="both"/>
              <w:rPr>
                <w:rFonts w:eastAsiaTheme="minorHAnsi"/>
                <w:sz w:val="18"/>
                <w:szCs w:val="18"/>
                <w:lang w:eastAsia="en-US"/>
              </w:rPr>
            </w:pPr>
          </w:p>
        </w:tc>
        <w:tc>
          <w:tcPr>
            <w:tcW w:w="1120" w:type="pct"/>
            <w:gridSpan w:val="2"/>
            <w:shd w:val="clear" w:color="auto" w:fill="FFFFFF"/>
            <w:vAlign w:val="center"/>
            <w:hideMark/>
          </w:tcPr>
          <w:p w14:paraId="3FAFFF4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2022</w:t>
            </w:r>
          </w:p>
        </w:tc>
        <w:tc>
          <w:tcPr>
            <w:tcW w:w="1120" w:type="pct"/>
            <w:gridSpan w:val="2"/>
            <w:shd w:val="clear" w:color="auto" w:fill="FFFFFF"/>
            <w:vAlign w:val="center"/>
            <w:hideMark/>
          </w:tcPr>
          <w:p w14:paraId="5DE08F7F"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2023</w:t>
            </w:r>
          </w:p>
        </w:tc>
        <w:tc>
          <w:tcPr>
            <w:tcW w:w="670" w:type="pct"/>
            <w:shd w:val="clear" w:color="auto" w:fill="FFFFFF"/>
            <w:vAlign w:val="center"/>
            <w:hideMark/>
          </w:tcPr>
          <w:p w14:paraId="0AEDD30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2024</w:t>
            </w:r>
          </w:p>
        </w:tc>
      </w:tr>
      <w:tr w:rsidR="001F092D" w:rsidRPr="001F092D" w14:paraId="4891E937" w14:textId="77777777" w:rsidTr="001F092D">
        <w:trPr>
          <w:cantSplit/>
        </w:trPr>
        <w:tc>
          <w:tcPr>
            <w:tcW w:w="922" w:type="pct"/>
            <w:vMerge/>
            <w:shd w:val="clear" w:color="auto" w:fill="auto"/>
            <w:vAlign w:val="center"/>
            <w:hideMark/>
          </w:tcPr>
          <w:p w14:paraId="162C9602" w14:textId="77777777" w:rsidR="001F092D" w:rsidRPr="001F092D" w:rsidRDefault="001F092D" w:rsidP="001F092D">
            <w:pPr>
              <w:spacing w:after="160" w:line="259" w:lineRule="auto"/>
              <w:jc w:val="both"/>
              <w:rPr>
                <w:rFonts w:eastAsiaTheme="minorHAnsi"/>
                <w:sz w:val="20"/>
                <w:szCs w:val="20"/>
                <w:lang w:eastAsia="en-US"/>
              </w:rPr>
            </w:pPr>
          </w:p>
        </w:tc>
        <w:tc>
          <w:tcPr>
            <w:tcW w:w="503" w:type="pct"/>
            <w:shd w:val="clear" w:color="auto" w:fill="FFFFFF"/>
            <w:vAlign w:val="center"/>
            <w:hideMark/>
          </w:tcPr>
          <w:p w14:paraId="47838F3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saskaņā ar valsts budžetu kārtējam gadam*</w:t>
            </w:r>
          </w:p>
        </w:tc>
        <w:tc>
          <w:tcPr>
            <w:tcW w:w="665" w:type="pct"/>
            <w:shd w:val="clear" w:color="auto" w:fill="FFFFFF"/>
            <w:vAlign w:val="center"/>
            <w:hideMark/>
          </w:tcPr>
          <w:p w14:paraId="1D19E53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izmaiņas kārtējā gadā, salīdzinot ar valsts budžetu kārtējam gadam</w:t>
            </w:r>
          </w:p>
        </w:tc>
        <w:tc>
          <w:tcPr>
            <w:tcW w:w="597" w:type="pct"/>
            <w:shd w:val="clear" w:color="auto" w:fill="FFFFFF"/>
            <w:vAlign w:val="center"/>
            <w:hideMark/>
          </w:tcPr>
          <w:p w14:paraId="057AECE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saskaņā ar vidēja termiņa budžeta ietvaru</w:t>
            </w:r>
          </w:p>
        </w:tc>
        <w:tc>
          <w:tcPr>
            <w:tcW w:w="523" w:type="pct"/>
            <w:shd w:val="clear" w:color="auto" w:fill="FFFFFF"/>
            <w:vAlign w:val="center"/>
            <w:hideMark/>
          </w:tcPr>
          <w:p w14:paraId="57DE70A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izmaiņas, salīdzinot ar vidēja termiņa budžeta ietvaru 2022. gadam</w:t>
            </w:r>
          </w:p>
        </w:tc>
        <w:tc>
          <w:tcPr>
            <w:tcW w:w="522" w:type="pct"/>
            <w:shd w:val="clear" w:color="auto" w:fill="FFFFFF"/>
            <w:vAlign w:val="center"/>
            <w:hideMark/>
          </w:tcPr>
          <w:p w14:paraId="0B943BE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saskaņā ar vidēja termiņa budžeta ietvaru</w:t>
            </w:r>
          </w:p>
        </w:tc>
        <w:tc>
          <w:tcPr>
            <w:tcW w:w="598" w:type="pct"/>
            <w:shd w:val="clear" w:color="auto" w:fill="FFFFFF"/>
            <w:vAlign w:val="center"/>
            <w:hideMark/>
          </w:tcPr>
          <w:p w14:paraId="50CB4EE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izmaiņas, salīdzinot ar vidēja termiņa budžeta ietvaru 2023. gadam</w:t>
            </w:r>
          </w:p>
        </w:tc>
        <w:tc>
          <w:tcPr>
            <w:tcW w:w="670" w:type="pct"/>
            <w:shd w:val="clear" w:color="auto" w:fill="FFFFFF"/>
            <w:vAlign w:val="center"/>
            <w:hideMark/>
          </w:tcPr>
          <w:p w14:paraId="229EFE6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 xml:space="preserve">izmaiņas, salīdzinot ar vidēja termiņa budžeta ietvaru </w:t>
            </w:r>
            <w:r w:rsidRPr="001F092D">
              <w:rPr>
                <w:rFonts w:eastAsiaTheme="minorHAnsi"/>
                <w:sz w:val="18"/>
                <w:szCs w:val="18"/>
                <w:lang w:eastAsia="en-US"/>
              </w:rPr>
              <w:br/>
              <w:t>2023. gadam</w:t>
            </w:r>
          </w:p>
        </w:tc>
      </w:tr>
      <w:tr w:rsidR="001F092D" w:rsidRPr="001F092D" w14:paraId="07717A79" w14:textId="77777777" w:rsidTr="001F092D">
        <w:trPr>
          <w:cantSplit/>
        </w:trPr>
        <w:tc>
          <w:tcPr>
            <w:tcW w:w="922" w:type="pct"/>
            <w:shd w:val="clear" w:color="auto" w:fill="FFFFFF"/>
            <w:vAlign w:val="center"/>
            <w:hideMark/>
          </w:tcPr>
          <w:p w14:paraId="20ACC73D" w14:textId="77777777" w:rsidR="001F092D" w:rsidRPr="001F092D" w:rsidRDefault="001F092D" w:rsidP="001F092D">
            <w:pPr>
              <w:spacing w:after="160" w:line="259" w:lineRule="auto"/>
              <w:jc w:val="center"/>
              <w:rPr>
                <w:rFonts w:eastAsiaTheme="minorHAnsi"/>
                <w:sz w:val="20"/>
                <w:szCs w:val="20"/>
                <w:lang w:eastAsia="en-US"/>
              </w:rPr>
            </w:pPr>
            <w:r w:rsidRPr="001F092D">
              <w:rPr>
                <w:rFonts w:eastAsiaTheme="minorHAnsi"/>
                <w:sz w:val="20"/>
                <w:szCs w:val="20"/>
                <w:lang w:eastAsia="en-US"/>
              </w:rPr>
              <w:t>1</w:t>
            </w:r>
          </w:p>
        </w:tc>
        <w:tc>
          <w:tcPr>
            <w:tcW w:w="503" w:type="pct"/>
            <w:shd w:val="clear" w:color="auto" w:fill="FFFFFF"/>
            <w:vAlign w:val="center"/>
            <w:hideMark/>
          </w:tcPr>
          <w:p w14:paraId="1F6423F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2</w:t>
            </w:r>
          </w:p>
        </w:tc>
        <w:tc>
          <w:tcPr>
            <w:tcW w:w="665" w:type="pct"/>
            <w:shd w:val="clear" w:color="auto" w:fill="FFFFFF"/>
            <w:vAlign w:val="center"/>
            <w:hideMark/>
          </w:tcPr>
          <w:p w14:paraId="5FC5568F"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3</w:t>
            </w:r>
          </w:p>
        </w:tc>
        <w:tc>
          <w:tcPr>
            <w:tcW w:w="597" w:type="pct"/>
            <w:shd w:val="clear" w:color="auto" w:fill="FFFFFF"/>
            <w:vAlign w:val="center"/>
            <w:hideMark/>
          </w:tcPr>
          <w:p w14:paraId="309687E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4</w:t>
            </w:r>
          </w:p>
        </w:tc>
        <w:tc>
          <w:tcPr>
            <w:tcW w:w="523" w:type="pct"/>
            <w:shd w:val="clear" w:color="auto" w:fill="FFFFFF"/>
            <w:vAlign w:val="center"/>
            <w:hideMark/>
          </w:tcPr>
          <w:p w14:paraId="19E7E470"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5</w:t>
            </w:r>
          </w:p>
        </w:tc>
        <w:tc>
          <w:tcPr>
            <w:tcW w:w="522" w:type="pct"/>
            <w:shd w:val="clear" w:color="auto" w:fill="FFFFFF"/>
            <w:vAlign w:val="center"/>
            <w:hideMark/>
          </w:tcPr>
          <w:p w14:paraId="70334F6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6</w:t>
            </w:r>
          </w:p>
        </w:tc>
        <w:tc>
          <w:tcPr>
            <w:tcW w:w="598" w:type="pct"/>
            <w:shd w:val="clear" w:color="auto" w:fill="FFFFFF"/>
            <w:vAlign w:val="center"/>
            <w:hideMark/>
          </w:tcPr>
          <w:p w14:paraId="7B7A6E3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7</w:t>
            </w:r>
          </w:p>
        </w:tc>
        <w:tc>
          <w:tcPr>
            <w:tcW w:w="670" w:type="pct"/>
            <w:shd w:val="clear" w:color="auto" w:fill="FFFFFF"/>
            <w:vAlign w:val="center"/>
            <w:hideMark/>
          </w:tcPr>
          <w:p w14:paraId="22E35CF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8</w:t>
            </w:r>
          </w:p>
        </w:tc>
      </w:tr>
      <w:tr w:rsidR="001F092D" w:rsidRPr="001F092D" w14:paraId="5C3D3F01" w14:textId="77777777" w:rsidTr="001F092D">
        <w:trPr>
          <w:cantSplit/>
        </w:trPr>
        <w:tc>
          <w:tcPr>
            <w:tcW w:w="922" w:type="pct"/>
            <w:shd w:val="clear" w:color="auto" w:fill="D9D9D9" w:themeFill="background1" w:themeFillShade="D9"/>
            <w:hideMark/>
          </w:tcPr>
          <w:p w14:paraId="27741D2B" w14:textId="77777777" w:rsidR="001F092D" w:rsidRPr="001F092D" w:rsidRDefault="001F092D" w:rsidP="001F092D">
            <w:pPr>
              <w:spacing w:after="160" w:line="259" w:lineRule="auto"/>
              <w:jc w:val="both"/>
              <w:rPr>
                <w:rFonts w:eastAsiaTheme="minorHAnsi"/>
                <w:sz w:val="20"/>
                <w:szCs w:val="20"/>
                <w:lang w:eastAsia="en-US"/>
              </w:rPr>
            </w:pPr>
            <w:r w:rsidRPr="001F092D">
              <w:rPr>
                <w:rFonts w:eastAsiaTheme="minorHAnsi"/>
                <w:sz w:val="20"/>
                <w:szCs w:val="20"/>
                <w:lang w:eastAsia="en-US"/>
              </w:rPr>
              <w:lastRenderedPageBreak/>
              <w:t>1. Budžeta ieņēmumi</w:t>
            </w:r>
          </w:p>
        </w:tc>
        <w:tc>
          <w:tcPr>
            <w:tcW w:w="503" w:type="pct"/>
            <w:shd w:val="clear" w:color="auto" w:fill="D9D9D9" w:themeFill="background1" w:themeFillShade="D9"/>
            <w:vAlign w:val="center"/>
            <w:hideMark/>
          </w:tcPr>
          <w:p w14:paraId="2C8FD0B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3 314 520</w:t>
            </w:r>
          </w:p>
        </w:tc>
        <w:tc>
          <w:tcPr>
            <w:tcW w:w="665" w:type="pct"/>
            <w:shd w:val="clear" w:color="auto" w:fill="D9D9D9" w:themeFill="background1" w:themeFillShade="D9"/>
            <w:vAlign w:val="center"/>
            <w:hideMark/>
          </w:tcPr>
          <w:p w14:paraId="2446CB0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D9D9D9" w:themeFill="background1" w:themeFillShade="D9"/>
            <w:vAlign w:val="center"/>
            <w:hideMark/>
          </w:tcPr>
          <w:p w14:paraId="4AE6CCF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D9D9D9" w:themeFill="background1" w:themeFillShade="D9"/>
            <w:vAlign w:val="center"/>
            <w:hideMark/>
          </w:tcPr>
          <w:p w14:paraId="1352E7C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shd w:val="clear" w:color="auto" w:fill="D9D9D9" w:themeFill="background1" w:themeFillShade="D9"/>
            <w:vAlign w:val="center"/>
            <w:hideMark/>
          </w:tcPr>
          <w:p w14:paraId="6E922C9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D9D9D9" w:themeFill="background1" w:themeFillShade="D9"/>
            <w:vAlign w:val="center"/>
            <w:hideMark/>
          </w:tcPr>
          <w:p w14:paraId="78C53CEC"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D9D9D9" w:themeFill="background1" w:themeFillShade="D9"/>
            <w:vAlign w:val="center"/>
            <w:hideMark/>
          </w:tcPr>
          <w:p w14:paraId="41BF200C"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2CBC3604" w14:textId="77777777" w:rsidTr="001F092D">
        <w:trPr>
          <w:cantSplit/>
        </w:trPr>
        <w:tc>
          <w:tcPr>
            <w:tcW w:w="922" w:type="pct"/>
            <w:shd w:val="clear" w:color="auto" w:fill="auto"/>
            <w:hideMark/>
          </w:tcPr>
          <w:p w14:paraId="34A6F09E"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1.1. valsts pamatbudžets, tai skaitā ieņēmumi no maksas pakalpojumiem un citi pašu ieņēmumi</w:t>
            </w:r>
          </w:p>
        </w:tc>
        <w:tc>
          <w:tcPr>
            <w:tcW w:w="503" w:type="pct"/>
            <w:shd w:val="clear" w:color="auto" w:fill="auto"/>
            <w:vAlign w:val="center"/>
            <w:hideMark/>
          </w:tcPr>
          <w:p w14:paraId="03699C6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3 314 520</w:t>
            </w:r>
          </w:p>
        </w:tc>
        <w:tc>
          <w:tcPr>
            <w:tcW w:w="665" w:type="pct"/>
            <w:shd w:val="clear" w:color="auto" w:fill="auto"/>
            <w:vAlign w:val="center"/>
            <w:hideMark/>
          </w:tcPr>
          <w:p w14:paraId="05A25F2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41285FE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44F44F34"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shd w:val="clear" w:color="auto" w:fill="auto"/>
            <w:vAlign w:val="center"/>
            <w:hideMark/>
          </w:tcPr>
          <w:p w14:paraId="6B8F446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723FD3F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15B3C5E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698E3A8C" w14:textId="77777777" w:rsidTr="001F092D">
        <w:trPr>
          <w:cantSplit/>
        </w:trPr>
        <w:tc>
          <w:tcPr>
            <w:tcW w:w="922" w:type="pct"/>
            <w:shd w:val="clear" w:color="auto" w:fill="auto"/>
            <w:hideMark/>
          </w:tcPr>
          <w:p w14:paraId="4B70FE09"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1.2. valsts speciālais budžets</w:t>
            </w:r>
          </w:p>
        </w:tc>
        <w:tc>
          <w:tcPr>
            <w:tcW w:w="503" w:type="pct"/>
            <w:shd w:val="clear" w:color="auto" w:fill="auto"/>
            <w:vAlign w:val="center"/>
            <w:hideMark/>
          </w:tcPr>
          <w:p w14:paraId="48CE7D2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65" w:type="pct"/>
            <w:shd w:val="clear" w:color="auto" w:fill="auto"/>
            <w:vAlign w:val="center"/>
            <w:hideMark/>
          </w:tcPr>
          <w:p w14:paraId="34A431DC"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1A19A5F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6500641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shd w:val="clear" w:color="auto" w:fill="auto"/>
            <w:vAlign w:val="center"/>
            <w:hideMark/>
          </w:tcPr>
          <w:p w14:paraId="5B0CE07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180CC0E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3C50245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15C11CC7" w14:textId="77777777" w:rsidTr="001F092D">
        <w:trPr>
          <w:cantSplit/>
        </w:trPr>
        <w:tc>
          <w:tcPr>
            <w:tcW w:w="922" w:type="pct"/>
            <w:shd w:val="clear" w:color="auto" w:fill="auto"/>
            <w:hideMark/>
          </w:tcPr>
          <w:p w14:paraId="1069081F"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1.3. pašvaldību budžets</w:t>
            </w:r>
          </w:p>
        </w:tc>
        <w:tc>
          <w:tcPr>
            <w:tcW w:w="503" w:type="pct"/>
            <w:shd w:val="clear" w:color="auto" w:fill="auto"/>
            <w:vAlign w:val="center"/>
            <w:hideMark/>
          </w:tcPr>
          <w:p w14:paraId="2869390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65" w:type="pct"/>
            <w:shd w:val="clear" w:color="auto" w:fill="auto"/>
            <w:vAlign w:val="center"/>
            <w:hideMark/>
          </w:tcPr>
          <w:p w14:paraId="67BD51A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64F24F8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3EE1E26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shd w:val="clear" w:color="auto" w:fill="auto"/>
            <w:vAlign w:val="center"/>
            <w:hideMark/>
          </w:tcPr>
          <w:p w14:paraId="7AB78CF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6EA8C49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5B8B9ADE"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501B97AD" w14:textId="77777777" w:rsidTr="001F092D">
        <w:trPr>
          <w:cantSplit/>
        </w:trPr>
        <w:tc>
          <w:tcPr>
            <w:tcW w:w="922" w:type="pct"/>
            <w:shd w:val="clear" w:color="auto" w:fill="D9D9D9" w:themeFill="background1" w:themeFillShade="D9"/>
            <w:hideMark/>
          </w:tcPr>
          <w:p w14:paraId="2C79C7E0"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2. Budžeta izdevumi</w:t>
            </w:r>
          </w:p>
        </w:tc>
        <w:tc>
          <w:tcPr>
            <w:tcW w:w="503" w:type="pct"/>
            <w:shd w:val="clear" w:color="auto" w:fill="D9D9D9" w:themeFill="background1" w:themeFillShade="D9"/>
            <w:vAlign w:val="center"/>
            <w:hideMark/>
          </w:tcPr>
          <w:p w14:paraId="56F59E1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3 314 520</w:t>
            </w:r>
          </w:p>
        </w:tc>
        <w:tc>
          <w:tcPr>
            <w:tcW w:w="665" w:type="pct"/>
            <w:shd w:val="clear" w:color="auto" w:fill="D9D9D9" w:themeFill="background1" w:themeFillShade="D9"/>
            <w:vAlign w:val="center"/>
            <w:hideMark/>
          </w:tcPr>
          <w:p w14:paraId="27BE974C" w14:textId="420AEEB5"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2</w:t>
            </w:r>
            <w:r w:rsidR="00F667D4">
              <w:rPr>
                <w:rFonts w:eastAsiaTheme="minorHAnsi"/>
                <w:color w:val="000000" w:themeColor="text1"/>
                <w:sz w:val="18"/>
                <w:szCs w:val="18"/>
                <w:lang w:eastAsia="en-US"/>
              </w:rPr>
              <w:t> </w:t>
            </w:r>
            <w:r w:rsidRPr="001F092D">
              <w:rPr>
                <w:rFonts w:eastAsiaTheme="minorHAnsi"/>
                <w:color w:val="000000" w:themeColor="text1"/>
                <w:sz w:val="18"/>
                <w:szCs w:val="18"/>
                <w:lang w:eastAsia="en-US"/>
              </w:rPr>
              <w:t>8</w:t>
            </w:r>
            <w:r w:rsidR="00F667D4">
              <w:rPr>
                <w:rFonts w:eastAsiaTheme="minorHAnsi"/>
                <w:color w:val="000000" w:themeColor="text1"/>
                <w:sz w:val="18"/>
                <w:szCs w:val="18"/>
                <w:lang w:eastAsia="en-US"/>
              </w:rPr>
              <w:t>16 811</w:t>
            </w:r>
          </w:p>
        </w:tc>
        <w:tc>
          <w:tcPr>
            <w:tcW w:w="597" w:type="pct"/>
            <w:shd w:val="clear" w:color="auto" w:fill="D9D9D9" w:themeFill="background1" w:themeFillShade="D9"/>
            <w:vAlign w:val="center"/>
            <w:hideMark/>
          </w:tcPr>
          <w:p w14:paraId="55BF084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D9D9D9" w:themeFill="background1" w:themeFillShade="D9"/>
            <w:vAlign w:val="center"/>
            <w:hideMark/>
          </w:tcPr>
          <w:p w14:paraId="1CACE16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iCs/>
                <w:sz w:val="18"/>
                <w:szCs w:val="18"/>
                <w:lang w:eastAsia="en-US"/>
              </w:rPr>
              <w:t>0</w:t>
            </w:r>
          </w:p>
        </w:tc>
        <w:tc>
          <w:tcPr>
            <w:tcW w:w="522" w:type="pct"/>
            <w:shd w:val="clear" w:color="auto" w:fill="D9D9D9" w:themeFill="background1" w:themeFillShade="D9"/>
            <w:vAlign w:val="center"/>
            <w:hideMark/>
          </w:tcPr>
          <w:p w14:paraId="2F4F4DC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D9D9D9" w:themeFill="background1" w:themeFillShade="D9"/>
            <w:vAlign w:val="center"/>
            <w:hideMark/>
          </w:tcPr>
          <w:p w14:paraId="1067E20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D9D9D9" w:themeFill="background1" w:themeFillShade="D9"/>
            <w:vAlign w:val="center"/>
            <w:hideMark/>
          </w:tcPr>
          <w:p w14:paraId="7C57D1E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0F6961CE" w14:textId="77777777" w:rsidTr="001F092D">
        <w:trPr>
          <w:cantSplit/>
        </w:trPr>
        <w:tc>
          <w:tcPr>
            <w:tcW w:w="922" w:type="pct"/>
            <w:shd w:val="clear" w:color="auto" w:fill="auto"/>
            <w:hideMark/>
          </w:tcPr>
          <w:p w14:paraId="4D96BA43" w14:textId="77777777" w:rsidR="001F092D" w:rsidRPr="001F092D" w:rsidRDefault="001F092D" w:rsidP="001F092D">
            <w:pPr>
              <w:jc w:val="both"/>
              <w:rPr>
                <w:rFonts w:eastAsiaTheme="minorHAnsi"/>
                <w:sz w:val="20"/>
                <w:szCs w:val="20"/>
                <w:lang w:eastAsia="en-US"/>
              </w:rPr>
            </w:pPr>
            <w:bookmarkStart w:id="4" w:name="_Hlk42531261"/>
            <w:r w:rsidRPr="001F092D">
              <w:rPr>
                <w:rFonts w:eastAsiaTheme="minorHAnsi"/>
                <w:sz w:val="20"/>
                <w:szCs w:val="20"/>
                <w:lang w:eastAsia="en-US"/>
              </w:rPr>
              <w:t>2.1. valsts pamatbudžets</w:t>
            </w:r>
          </w:p>
        </w:tc>
        <w:tc>
          <w:tcPr>
            <w:tcW w:w="503" w:type="pct"/>
            <w:shd w:val="clear" w:color="auto" w:fill="auto"/>
            <w:vAlign w:val="center"/>
            <w:hideMark/>
          </w:tcPr>
          <w:p w14:paraId="2A74843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3 314 520</w:t>
            </w:r>
          </w:p>
        </w:tc>
        <w:tc>
          <w:tcPr>
            <w:tcW w:w="665" w:type="pct"/>
            <w:shd w:val="clear" w:color="auto" w:fill="auto"/>
            <w:vAlign w:val="center"/>
            <w:hideMark/>
          </w:tcPr>
          <w:p w14:paraId="53001C33" w14:textId="5E46AE20" w:rsidR="001F092D" w:rsidRPr="001F092D" w:rsidRDefault="00F667D4" w:rsidP="001F092D">
            <w:pPr>
              <w:spacing w:after="160" w:line="259" w:lineRule="auto"/>
              <w:jc w:val="center"/>
              <w:rPr>
                <w:rFonts w:eastAsiaTheme="minorHAnsi"/>
                <w:sz w:val="18"/>
                <w:szCs w:val="18"/>
                <w:lang w:eastAsia="en-US"/>
              </w:rPr>
            </w:pPr>
            <w:r>
              <w:rPr>
                <w:rFonts w:eastAsiaTheme="minorHAnsi"/>
                <w:color w:val="000000" w:themeColor="text1"/>
                <w:sz w:val="18"/>
                <w:szCs w:val="18"/>
                <w:lang w:eastAsia="en-US"/>
              </w:rPr>
              <w:t>2 816 811</w:t>
            </w:r>
          </w:p>
        </w:tc>
        <w:tc>
          <w:tcPr>
            <w:tcW w:w="597" w:type="pct"/>
            <w:shd w:val="clear" w:color="auto" w:fill="auto"/>
            <w:vAlign w:val="center"/>
            <w:hideMark/>
          </w:tcPr>
          <w:p w14:paraId="4646A68C"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1F70106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iCs/>
                <w:sz w:val="18"/>
                <w:szCs w:val="18"/>
                <w:lang w:eastAsia="en-US"/>
              </w:rPr>
              <w:t>0</w:t>
            </w:r>
          </w:p>
        </w:tc>
        <w:tc>
          <w:tcPr>
            <w:tcW w:w="522" w:type="pct"/>
            <w:shd w:val="clear" w:color="auto" w:fill="auto"/>
            <w:vAlign w:val="center"/>
            <w:hideMark/>
          </w:tcPr>
          <w:p w14:paraId="29329E4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15EE051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67464F9F"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bookmarkEnd w:id="4"/>
      <w:tr w:rsidR="001F092D" w:rsidRPr="001F092D" w14:paraId="5C4CE5BA" w14:textId="77777777" w:rsidTr="001F092D">
        <w:trPr>
          <w:cantSplit/>
        </w:trPr>
        <w:tc>
          <w:tcPr>
            <w:tcW w:w="922" w:type="pct"/>
            <w:shd w:val="clear" w:color="auto" w:fill="auto"/>
            <w:hideMark/>
          </w:tcPr>
          <w:p w14:paraId="58D9C38C"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2.2. valsts speciālais budžets</w:t>
            </w:r>
          </w:p>
        </w:tc>
        <w:tc>
          <w:tcPr>
            <w:tcW w:w="503" w:type="pct"/>
            <w:shd w:val="clear" w:color="auto" w:fill="auto"/>
            <w:vAlign w:val="center"/>
            <w:hideMark/>
          </w:tcPr>
          <w:p w14:paraId="352FB60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65" w:type="pct"/>
            <w:shd w:val="clear" w:color="auto" w:fill="auto"/>
            <w:vAlign w:val="center"/>
            <w:hideMark/>
          </w:tcPr>
          <w:p w14:paraId="026771D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55879854"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4DEBAA14"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522" w:type="pct"/>
            <w:shd w:val="clear" w:color="auto" w:fill="auto"/>
            <w:vAlign w:val="center"/>
            <w:hideMark/>
          </w:tcPr>
          <w:p w14:paraId="64E8B0C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4DD1E71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089BCE7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67585BBE" w14:textId="77777777" w:rsidTr="001F092D">
        <w:trPr>
          <w:cantSplit/>
        </w:trPr>
        <w:tc>
          <w:tcPr>
            <w:tcW w:w="922" w:type="pct"/>
            <w:shd w:val="clear" w:color="auto" w:fill="auto"/>
            <w:hideMark/>
          </w:tcPr>
          <w:p w14:paraId="0D15EE62"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2.3. pašvaldību budžets</w:t>
            </w:r>
          </w:p>
        </w:tc>
        <w:tc>
          <w:tcPr>
            <w:tcW w:w="503" w:type="pct"/>
            <w:shd w:val="clear" w:color="auto" w:fill="auto"/>
            <w:vAlign w:val="center"/>
            <w:hideMark/>
          </w:tcPr>
          <w:p w14:paraId="1D66E8F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65" w:type="pct"/>
            <w:shd w:val="clear" w:color="auto" w:fill="auto"/>
            <w:vAlign w:val="center"/>
            <w:hideMark/>
          </w:tcPr>
          <w:p w14:paraId="10040A8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0614726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597583F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522" w:type="pct"/>
            <w:shd w:val="clear" w:color="auto" w:fill="auto"/>
            <w:vAlign w:val="center"/>
            <w:hideMark/>
          </w:tcPr>
          <w:p w14:paraId="0C54EE4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314504B0"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3FD19BF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0F02B700" w14:textId="77777777" w:rsidTr="001F092D">
        <w:trPr>
          <w:cantSplit/>
        </w:trPr>
        <w:tc>
          <w:tcPr>
            <w:tcW w:w="922" w:type="pct"/>
            <w:shd w:val="clear" w:color="auto" w:fill="D9D9D9" w:themeFill="background1" w:themeFillShade="D9"/>
            <w:hideMark/>
          </w:tcPr>
          <w:p w14:paraId="43C47724"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3. Finansiālā ietekme</w:t>
            </w:r>
          </w:p>
        </w:tc>
        <w:tc>
          <w:tcPr>
            <w:tcW w:w="503" w:type="pct"/>
            <w:shd w:val="clear" w:color="auto" w:fill="D9D9D9" w:themeFill="background1" w:themeFillShade="D9"/>
            <w:vAlign w:val="center"/>
            <w:hideMark/>
          </w:tcPr>
          <w:p w14:paraId="631B883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665" w:type="pct"/>
            <w:shd w:val="clear" w:color="auto" w:fill="D9D9D9" w:themeFill="background1" w:themeFillShade="D9"/>
            <w:vAlign w:val="center"/>
            <w:hideMark/>
          </w:tcPr>
          <w:p w14:paraId="32460558" w14:textId="0B588110"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-2</w:t>
            </w:r>
            <w:r w:rsidR="00F667D4">
              <w:rPr>
                <w:rFonts w:eastAsiaTheme="minorHAnsi"/>
                <w:color w:val="000000" w:themeColor="text1"/>
                <w:sz w:val="18"/>
                <w:szCs w:val="18"/>
                <w:lang w:eastAsia="en-US"/>
              </w:rPr>
              <w:t> 816 811</w:t>
            </w:r>
          </w:p>
        </w:tc>
        <w:tc>
          <w:tcPr>
            <w:tcW w:w="597" w:type="pct"/>
            <w:shd w:val="clear" w:color="auto" w:fill="D9D9D9" w:themeFill="background1" w:themeFillShade="D9"/>
            <w:vAlign w:val="center"/>
            <w:hideMark/>
          </w:tcPr>
          <w:p w14:paraId="4347C68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D9D9D9" w:themeFill="background1" w:themeFillShade="D9"/>
            <w:vAlign w:val="center"/>
            <w:hideMark/>
          </w:tcPr>
          <w:p w14:paraId="33970BE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iCs/>
                <w:sz w:val="18"/>
                <w:szCs w:val="18"/>
                <w:lang w:eastAsia="en-US"/>
              </w:rPr>
              <w:t>0</w:t>
            </w:r>
          </w:p>
        </w:tc>
        <w:tc>
          <w:tcPr>
            <w:tcW w:w="522" w:type="pct"/>
            <w:shd w:val="clear" w:color="auto" w:fill="D9D9D9" w:themeFill="background1" w:themeFillShade="D9"/>
            <w:vAlign w:val="center"/>
            <w:hideMark/>
          </w:tcPr>
          <w:p w14:paraId="44B1140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D9D9D9" w:themeFill="background1" w:themeFillShade="D9"/>
            <w:vAlign w:val="center"/>
            <w:hideMark/>
          </w:tcPr>
          <w:p w14:paraId="585A52B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D9D9D9" w:themeFill="background1" w:themeFillShade="D9"/>
            <w:vAlign w:val="center"/>
            <w:hideMark/>
          </w:tcPr>
          <w:p w14:paraId="1C233DB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586B1224" w14:textId="77777777" w:rsidTr="001F092D">
        <w:trPr>
          <w:cantSplit/>
        </w:trPr>
        <w:tc>
          <w:tcPr>
            <w:tcW w:w="922" w:type="pct"/>
            <w:shd w:val="clear" w:color="auto" w:fill="auto"/>
            <w:hideMark/>
          </w:tcPr>
          <w:p w14:paraId="76332C99"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3.1. valsts pamatbudžets</w:t>
            </w:r>
          </w:p>
        </w:tc>
        <w:tc>
          <w:tcPr>
            <w:tcW w:w="503" w:type="pct"/>
            <w:shd w:val="clear" w:color="auto" w:fill="auto"/>
            <w:vAlign w:val="center"/>
            <w:hideMark/>
          </w:tcPr>
          <w:p w14:paraId="2442F33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665" w:type="pct"/>
            <w:shd w:val="clear" w:color="auto" w:fill="auto"/>
            <w:vAlign w:val="center"/>
            <w:hideMark/>
          </w:tcPr>
          <w:p w14:paraId="3779C579" w14:textId="58215268"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-2</w:t>
            </w:r>
            <w:r w:rsidR="00F667D4">
              <w:rPr>
                <w:rFonts w:eastAsiaTheme="minorHAnsi"/>
                <w:color w:val="000000" w:themeColor="text1"/>
                <w:sz w:val="18"/>
                <w:szCs w:val="18"/>
                <w:lang w:eastAsia="en-US"/>
              </w:rPr>
              <w:t> 816 811</w:t>
            </w:r>
          </w:p>
        </w:tc>
        <w:tc>
          <w:tcPr>
            <w:tcW w:w="597" w:type="pct"/>
            <w:shd w:val="clear" w:color="auto" w:fill="auto"/>
            <w:vAlign w:val="center"/>
            <w:hideMark/>
          </w:tcPr>
          <w:p w14:paraId="55997EC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7CA1B7F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iCs/>
                <w:sz w:val="18"/>
                <w:szCs w:val="18"/>
                <w:lang w:eastAsia="en-US"/>
              </w:rPr>
              <w:t>0</w:t>
            </w:r>
          </w:p>
        </w:tc>
        <w:tc>
          <w:tcPr>
            <w:tcW w:w="522" w:type="pct"/>
            <w:shd w:val="clear" w:color="auto" w:fill="auto"/>
            <w:vAlign w:val="center"/>
            <w:hideMark/>
          </w:tcPr>
          <w:p w14:paraId="631B5B7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2B91C5D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125EC2FD"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38B29EBD" w14:textId="77777777" w:rsidTr="001F092D">
        <w:trPr>
          <w:cantSplit/>
        </w:trPr>
        <w:tc>
          <w:tcPr>
            <w:tcW w:w="922" w:type="pct"/>
            <w:shd w:val="clear" w:color="auto" w:fill="auto"/>
            <w:hideMark/>
          </w:tcPr>
          <w:p w14:paraId="1EA3CBB1"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3.2. speciālais budžets</w:t>
            </w:r>
          </w:p>
        </w:tc>
        <w:tc>
          <w:tcPr>
            <w:tcW w:w="503" w:type="pct"/>
            <w:shd w:val="clear" w:color="auto" w:fill="auto"/>
            <w:vAlign w:val="center"/>
            <w:hideMark/>
          </w:tcPr>
          <w:p w14:paraId="0CCA0C4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65" w:type="pct"/>
            <w:shd w:val="clear" w:color="auto" w:fill="auto"/>
            <w:vAlign w:val="center"/>
            <w:hideMark/>
          </w:tcPr>
          <w:p w14:paraId="3E451A5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7C1057B0"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1A010435"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522" w:type="pct"/>
            <w:shd w:val="clear" w:color="auto" w:fill="auto"/>
            <w:vAlign w:val="center"/>
            <w:hideMark/>
          </w:tcPr>
          <w:p w14:paraId="340B361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2D275CE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5A242BD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1EB15351" w14:textId="77777777" w:rsidTr="001F092D">
        <w:trPr>
          <w:cantSplit/>
        </w:trPr>
        <w:tc>
          <w:tcPr>
            <w:tcW w:w="922" w:type="pct"/>
            <w:shd w:val="clear" w:color="auto" w:fill="auto"/>
            <w:hideMark/>
          </w:tcPr>
          <w:p w14:paraId="37808503"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3.3. pašvaldību budžets</w:t>
            </w:r>
          </w:p>
        </w:tc>
        <w:tc>
          <w:tcPr>
            <w:tcW w:w="503" w:type="pct"/>
            <w:shd w:val="clear" w:color="auto" w:fill="auto"/>
            <w:vAlign w:val="center"/>
            <w:hideMark/>
          </w:tcPr>
          <w:p w14:paraId="587BA17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65" w:type="pct"/>
            <w:shd w:val="clear" w:color="auto" w:fill="auto"/>
            <w:vAlign w:val="center"/>
            <w:hideMark/>
          </w:tcPr>
          <w:p w14:paraId="19ED9F0F"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shd w:val="clear" w:color="auto" w:fill="auto"/>
            <w:vAlign w:val="center"/>
            <w:hideMark/>
          </w:tcPr>
          <w:p w14:paraId="4BFBB39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1225FAC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522" w:type="pct"/>
            <w:shd w:val="clear" w:color="auto" w:fill="auto"/>
            <w:vAlign w:val="center"/>
            <w:hideMark/>
          </w:tcPr>
          <w:p w14:paraId="56128A58"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20523AF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0DAC1BC0"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5F39DFC3" w14:textId="77777777" w:rsidTr="001F092D">
        <w:trPr>
          <w:cantSplit/>
        </w:trPr>
        <w:tc>
          <w:tcPr>
            <w:tcW w:w="922" w:type="pct"/>
            <w:shd w:val="clear" w:color="auto" w:fill="auto"/>
            <w:hideMark/>
          </w:tcPr>
          <w:p w14:paraId="13D6179B"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4. Finanšu līdzekļi papildu izdevumu finansēšanai (kompensējošu izdevumu samazinājumu norāda ar "+" zīmi)</w:t>
            </w:r>
          </w:p>
        </w:tc>
        <w:tc>
          <w:tcPr>
            <w:tcW w:w="503" w:type="pct"/>
            <w:shd w:val="clear" w:color="auto" w:fill="auto"/>
            <w:vAlign w:val="center"/>
            <w:hideMark/>
          </w:tcPr>
          <w:p w14:paraId="17544C3C"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665" w:type="pct"/>
            <w:shd w:val="clear" w:color="auto" w:fill="auto"/>
            <w:vAlign w:val="center"/>
            <w:hideMark/>
          </w:tcPr>
          <w:p w14:paraId="17FD52BF" w14:textId="27B431FD"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2</w:t>
            </w:r>
            <w:r w:rsidR="00F667D4">
              <w:rPr>
                <w:rFonts w:eastAsiaTheme="minorHAnsi"/>
                <w:color w:val="000000" w:themeColor="text1"/>
                <w:sz w:val="18"/>
                <w:szCs w:val="18"/>
                <w:lang w:eastAsia="en-US"/>
              </w:rPr>
              <w:t> 816 811</w:t>
            </w:r>
          </w:p>
        </w:tc>
        <w:tc>
          <w:tcPr>
            <w:tcW w:w="597" w:type="pct"/>
            <w:shd w:val="clear" w:color="auto" w:fill="auto"/>
            <w:vAlign w:val="center"/>
            <w:hideMark/>
          </w:tcPr>
          <w:p w14:paraId="6C5C1EA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3" w:type="pct"/>
            <w:shd w:val="clear" w:color="auto" w:fill="auto"/>
            <w:vAlign w:val="center"/>
            <w:hideMark/>
          </w:tcPr>
          <w:p w14:paraId="251118D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522" w:type="pct"/>
            <w:shd w:val="clear" w:color="auto" w:fill="auto"/>
            <w:vAlign w:val="center"/>
            <w:hideMark/>
          </w:tcPr>
          <w:p w14:paraId="1BF34CEC"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8" w:type="pct"/>
            <w:shd w:val="clear" w:color="auto" w:fill="auto"/>
            <w:vAlign w:val="center"/>
            <w:hideMark/>
          </w:tcPr>
          <w:p w14:paraId="5FDAB886"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64E5CEC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245A3511" w14:textId="77777777" w:rsidTr="001F092D">
        <w:trPr>
          <w:cantSplit/>
        </w:trPr>
        <w:tc>
          <w:tcPr>
            <w:tcW w:w="922" w:type="pct"/>
            <w:shd w:val="clear" w:color="auto" w:fill="auto"/>
            <w:hideMark/>
          </w:tcPr>
          <w:p w14:paraId="4A4A1C46"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5. Precizēta finansiālā ietekme</w:t>
            </w:r>
          </w:p>
        </w:tc>
        <w:tc>
          <w:tcPr>
            <w:tcW w:w="503" w:type="pct"/>
            <w:vMerge w:val="restart"/>
            <w:shd w:val="clear" w:color="auto" w:fill="auto"/>
            <w:vAlign w:val="center"/>
            <w:hideMark/>
          </w:tcPr>
          <w:p w14:paraId="182B7A8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x</w:t>
            </w:r>
          </w:p>
        </w:tc>
        <w:tc>
          <w:tcPr>
            <w:tcW w:w="665" w:type="pct"/>
            <w:shd w:val="clear" w:color="auto" w:fill="auto"/>
            <w:vAlign w:val="center"/>
            <w:hideMark/>
          </w:tcPr>
          <w:p w14:paraId="57076EDE"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vMerge w:val="restart"/>
            <w:shd w:val="clear" w:color="auto" w:fill="auto"/>
            <w:vAlign w:val="center"/>
            <w:hideMark/>
          </w:tcPr>
          <w:p w14:paraId="533529D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x</w:t>
            </w:r>
          </w:p>
        </w:tc>
        <w:tc>
          <w:tcPr>
            <w:tcW w:w="523" w:type="pct"/>
            <w:shd w:val="clear" w:color="auto" w:fill="auto"/>
            <w:vAlign w:val="center"/>
            <w:hideMark/>
          </w:tcPr>
          <w:p w14:paraId="39930C3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vMerge w:val="restart"/>
            <w:shd w:val="clear" w:color="auto" w:fill="auto"/>
            <w:vAlign w:val="center"/>
            <w:hideMark/>
          </w:tcPr>
          <w:p w14:paraId="5948CED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x</w:t>
            </w:r>
          </w:p>
        </w:tc>
        <w:tc>
          <w:tcPr>
            <w:tcW w:w="598" w:type="pct"/>
            <w:shd w:val="clear" w:color="auto" w:fill="auto"/>
            <w:vAlign w:val="center"/>
            <w:hideMark/>
          </w:tcPr>
          <w:p w14:paraId="593493D4"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511817E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620C3482" w14:textId="77777777" w:rsidTr="001F092D">
        <w:trPr>
          <w:cantSplit/>
        </w:trPr>
        <w:tc>
          <w:tcPr>
            <w:tcW w:w="922" w:type="pct"/>
            <w:shd w:val="clear" w:color="auto" w:fill="auto"/>
            <w:hideMark/>
          </w:tcPr>
          <w:p w14:paraId="33B28479"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5.1. valsts pamatbudžets</w:t>
            </w:r>
          </w:p>
        </w:tc>
        <w:tc>
          <w:tcPr>
            <w:tcW w:w="503" w:type="pct"/>
            <w:vMerge/>
            <w:shd w:val="clear" w:color="auto" w:fill="auto"/>
            <w:vAlign w:val="center"/>
            <w:hideMark/>
          </w:tcPr>
          <w:p w14:paraId="6290F1BE" w14:textId="77777777" w:rsidR="001F092D" w:rsidRPr="001F092D" w:rsidRDefault="001F092D" w:rsidP="001F092D">
            <w:pPr>
              <w:spacing w:after="160" w:line="259" w:lineRule="auto"/>
              <w:jc w:val="center"/>
              <w:rPr>
                <w:rFonts w:eastAsiaTheme="minorHAnsi"/>
                <w:sz w:val="18"/>
                <w:szCs w:val="18"/>
                <w:lang w:eastAsia="en-US"/>
              </w:rPr>
            </w:pPr>
          </w:p>
        </w:tc>
        <w:tc>
          <w:tcPr>
            <w:tcW w:w="665" w:type="pct"/>
            <w:shd w:val="clear" w:color="auto" w:fill="auto"/>
            <w:vAlign w:val="center"/>
            <w:hideMark/>
          </w:tcPr>
          <w:p w14:paraId="6D96F36B"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sz w:val="18"/>
                <w:szCs w:val="18"/>
                <w:lang w:eastAsia="en-US"/>
              </w:rPr>
              <w:t>0</w:t>
            </w:r>
          </w:p>
        </w:tc>
        <w:tc>
          <w:tcPr>
            <w:tcW w:w="597" w:type="pct"/>
            <w:vMerge/>
            <w:shd w:val="clear" w:color="auto" w:fill="auto"/>
            <w:vAlign w:val="center"/>
            <w:hideMark/>
          </w:tcPr>
          <w:p w14:paraId="53053134" w14:textId="77777777" w:rsidR="001F092D" w:rsidRPr="001F092D" w:rsidRDefault="001F092D" w:rsidP="001F092D">
            <w:pPr>
              <w:spacing w:after="160" w:line="259" w:lineRule="auto"/>
              <w:jc w:val="center"/>
              <w:rPr>
                <w:rFonts w:eastAsiaTheme="minorHAnsi"/>
                <w:sz w:val="18"/>
                <w:szCs w:val="18"/>
                <w:lang w:eastAsia="en-US"/>
              </w:rPr>
            </w:pPr>
          </w:p>
        </w:tc>
        <w:tc>
          <w:tcPr>
            <w:tcW w:w="523" w:type="pct"/>
            <w:shd w:val="clear" w:color="auto" w:fill="auto"/>
            <w:vAlign w:val="center"/>
            <w:hideMark/>
          </w:tcPr>
          <w:p w14:paraId="093D6FEF"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vMerge/>
            <w:shd w:val="clear" w:color="auto" w:fill="auto"/>
            <w:vAlign w:val="center"/>
            <w:hideMark/>
          </w:tcPr>
          <w:p w14:paraId="14FBE7B6" w14:textId="77777777" w:rsidR="001F092D" w:rsidRPr="001F092D" w:rsidRDefault="001F092D" w:rsidP="001F092D">
            <w:pPr>
              <w:spacing w:after="160" w:line="259" w:lineRule="auto"/>
              <w:jc w:val="center"/>
              <w:rPr>
                <w:rFonts w:eastAsiaTheme="minorHAnsi"/>
                <w:sz w:val="18"/>
                <w:szCs w:val="18"/>
                <w:lang w:eastAsia="en-US"/>
              </w:rPr>
            </w:pPr>
          </w:p>
        </w:tc>
        <w:tc>
          <w:tcPr>
            <w:tcW w:w="598" w:type="pct"/>
            <w:shd w:val="clear" w:color="auto" w:fill="auto"/>
            <w:vAlign w:val="center"/>
            <w:hideMark/>
          </w:tcPr>
          <w:p w14:paraId="1EF4FA5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37340763"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23E6B157" w14:textId="77777777" w:rsidTr="001F092D">
        <w:trPr>
          <w:cantSplit/>
          <w:trHeight w:val="1269"/>
        </w:trPr>
        <w:tc>
          <w:tcPr>
            <w:tcW w:w="922" w:type="pct"/>
            <w:shd w:val="clear" w:color="auto" w:fill="auto"/>
            <w:hideMark/>
          </w:tcPr>
          <w:p w14:paraId="09474D60"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5.2. speciālais budžets</w:t>
            </w:r>
          </w:p>
          <w:p w14:paraId="0F700FCE" w14:textId="77777777" w:rsidR="001F092D" w:rsidRPr="001F092D" w:rsidRDefault="001F092D" w:rsidP="001F092D">
            <w:pPr>
              <w:rPr>
                <w:rFonts w:eastAsiaTheme="minorHAnsi"/>
                <w:sz w:val="20"/>
                <w:szCs w:val="20"/>
                <w:lang w:eastAsia="en-US"/>
              </w:rPr>
            </w:pPr>
          </w:p>
          <w:p w14:paraId="591B0097" w14:textId="77777777" w:rsidR="001F092D" w:rsidRPr="001F092D" w:rsidRDefault="001F092D" w:rsidP="001F092D">
            <w:pPr>
              <w:jc w:val="center"/>
              <w:rPr>
                <w:rFonts w:eastAsiaTheme="minorHAnsi"/>
                <w:sz w:val="20"/>
                <w:szCs w:val="20"/>
                <w:lang w:eastAsia="en-US"/>
              </w:rPr>
            </w:pPr>
          </w:p>
        </w:tc>
        <w:tc>
          <w:tcPr>
            <w:tcW w:w="503" w:type="pct"/>
            <w:vMerge/>
            <w:shd w:val="clear" w:color="auto" w:fill="auto"/>
            <w:vAlign w:val="center"/>
            <w:hideMark/>
          </w:tcPr>
          <w:p w14:paraId="7BF287E1" w14:textId="77777777" w:rsidR="001F092D" w:rsidRPr="001F092D" w:rsidRDefault="001F092D" w:rsidP="001F092D">
            <w:pPr>
              <w:spacing w:after="160" w:line="259" w:lineRule="auto"/>
              <w:jc w:val="center"/>
              <w:rPr>
                <w:rFonts w:eastAsiaTheme="minorHAnsi"/>
                <w:sz w:val="18"/>
                <w:szCs w:val="18"/>
                <w:lang w:eastAsia="en-US"/>
              </w:rPr>
            </w:pPr>
          </w:p>
        </w:tc>
        <w:tc>
          <w:tcPr>
            <w:tcW w:w="665" w:type="pct"/>
            <w:shd w:val="clear" w:color="auto" w:fill="auto"/>
            <w:vAlign w:val="center"/>
            <w:hideMark/>
          </w:tcPr>
          <w:p w14:paraId="2253B994"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vMerge/>
            <w:shd w:val="clear" w:color="auto" w:fill="auto"/>
            <w:vAlign w:val="center"/>
            <w:hideMark/>
          </w:tcPr>
          <w:p w14:paraId="0103198B" w14:textId="77777777" w:rsidR="001F092D" w:rsidRPr="001F092D" w:rsidRDefault="001F092D" w:rsidP="001F092D">
            <w:pPr>
              <w:spacing w:after="160" w:line="259" w:lineRule="auto"/>
              <w:jc w:val="center"/>
              <w:rPr>
                <w:rFonts w:eastAsiaTheme="minorHAnsi"/>
                <w:sz w:val="18"/>
                <w:szCs w:val="18"/>
                <w:lang w:eastAsia="en-US"/>
              </w:rPr>
            </w:pPr>
          </w:p>
        </w:tc>
        <w:tc>
          <w:tcPr>
            <w:tcW w:w="523" w:type="pct"/>
            <w:shd w:val="clear" w:color="auto" w:fill="auto"/>
            <w:vAlign w:val="center"/>
            <w:hideMark/>
          </w:tcPr>
          <w:p w14:paraId="6EF79481"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vMerge/>
            <w:shd w:val="clear" w:color="auto" w:fill="auto"/>
            <w:vAlign w:val="center"/>
            <w:hideMark/>
          </w:tcPr>
          <w:p w14:paraId="2B08FCBF" w14:textId="77777777" w:rsidR="001F092D" w:rsidRPr="001F092D" w:rsidRDefault="001F092D" w:rsidP="001F092D">
            <w:pPr>
              <w:spacing w:after="160" w:line="259" w:lineRule="auto"/>
              <w:jc w:val="center"/>
              <w:rPr>
                <w:rFonts w:eastAsiaTheme="minorHAnsi"/>
                <w:sz w:val="18"/>
                <w:szCs w:val="18"/>
                <w:lang w:eastAsia="en-US"/>
              </w:rPr>
            </w:pPr>
          </w:p>
        </w:tc>
        <w:tc>
          <w:tcPr>
            <w:tcW w:w="598" w:type="pct"/>
            <w:shd w:val="clear" w:color="auto" w:fill="auto"/>
            <w:vAlign w:val="center"/>
            <w:hideMark/>
          </w:tcPr>
          <w:p w14:paraId="12D4EF5A"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0DEEF982"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6D06A3CC" w14:textId="77777777" w:rsidTr="001F092D">
        <w:trPr>
          <w:cantSplit/>
        </w:trPr>
        <w:tc>
          <w:tcPr>
            <w:tcW w:w="922" w:type="pct"/>
            <w:shd w:val="clear" w:color="auto" w:fill="auto"/>
            <w:hideMark/>
          </w:tcPr>
          <w:p w14:paraId="642E2A86"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5.3. pašvaldību budžets</w:t>
            </w:r>
          </w:p>
          <w:p w14:paraId="5A22414D" w14:textId="77777777" w:rsidR="001F092D" w:rsidRPr="001F092D" w:rsidRDefault="001F092D" w:rsidP="001F092D">
            <w:pPr>
              <w:rPr>
                <w:rFonts w:eastAsiaTheme="minorHAnsi"/>
                <w:sz w:val="20"/>
                <w:szCs w:val="20"/>
                <w:lang w:eastAsia="en-US"/>
              </w:rPr>
            </w:pPr>
          </w:p>
          <w:p w14:paraId="6F301304" w14:textId="77777777" w:rsidR="001F092D" w:rsidRPr="001F092D" w:rsidRDefault="001F092D" w:rsidP="001F092D">
            <w:pPr>
              <w:rPr>
                <w:rFonts w:eastAsiaTheme="minorHAnsi"/>
                <w:sz w:val="20"/>
                <w:szCs w:val="20"/>
                <w:lang w:eastAsia="en-US"/>
              </w:rPr>
            </w:pPr>
          </w:p>
          <w:p w14:paraId="22567DCF" w14:textId="77777777" w:rsidR="001F092D" w:rsidRPr="001F092D" w:rsidRDefault="001F092D" w:rsidP="001F092D">
            <w:pPr>
              <w:rPr>
                <w:rFonts w:eastAsiaTheme="minorHAnsi"/>
                <w:sz w:val="20"/>
                <w:szCs w:val="20"/>
                <w:lang w:eastAsia="en-US"/>
              </w:rPr>
            </w:pPr>
          </w:p>
          <w:p w14:paraId="6B2543B1" w14:textId="77777777" w:rsidR="001F092D" w:rsidRPr="001F092D" w:rsidRDefault="001F092D" w:rsidP="001F092D">
            <w:pPr>
              <w:rPr>
                <w:rFonts w:eastAsiaTheme="minorHAnsi"/>
                <w:sz w:val="20"/>
                <w:szCs w:val="20"/>
                <w:lang w:eastAsia="en-US"/>
              </w:rPr>
            </w:pPr>
          </w:p>
          <w:p w14:paraId="0FA2C0CF" w14:textId="77777777" w:rsidR="001F092D" w:rsidRPr="001F092D" w:rsidRDefault="001F092D" w:rsidP="001F092D">
            <w:pPr>
              <w:rPr>
                <w:rFonts w:eastAsiaTheme="minorHAnsi"/>
                <w:sz w:val="20"/>
                <w:szCs w:val="20"/>
                <w:lang w:eastAsia="en-US"/>
              </w:rPr>
            </w:pPr>
          </w:p>
        </w:tc>
        <w:tc>
          <w:tcPr>
            <w:tcW w:w="503" w:type="pct"/>
            <w:vMerge/>
            <w:shd w:val="clear" w:color="auto" w:fill="auto"/>
            <w:vAlign w:val="center"/>
            <w:hideMark/>
          </w:tcPr>
          <w:p w14:paraId="71CB8110" w14:textId="77777777" w:rsidR="001F092D" w:rsidRPr="001F092D" w:rsidRDefault="001F092D" w:rsidP="001F092D">
            <w:pPr>
              <w:spacing w:after="160" w:line="259" w:lineRule="auto"/>
              <w:jc w:val="center"/>
              <w:rPr>
                <w:rFonts w:eastAsiaTheme="minorHAnsi"/>
                <w:sz w:val="18"/>
                <w:szCs w:val="18"/>
                <w:lang w:eastAsia="en-US"/>
              </w:rPr>
            </w:pPr>
          </w:p>
        </w:tc>
        <w:tc>
          <w:tcPr>
            <w:tcW w:w="665" w:type="pct"/>
            <w:shd w:val="clear" w:color="auto" w:fill="auto"/>
            <w:vAlign w:val="center"/>
            <w:hideMark/>
          </w:tcPr>
          <w:p w14:paraId="27234809"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97" w:type="pct"/>
            <w:vMerge/>
            <w:shd w:val="clear" w:color="auto" w:fill="auto"/>
            <w:vAlign w:val="center"/>
            <w:hideMark/>
          </w:tcPr>
          <w:p w14:paraId="0F8F599D" w14:textId="77777777" w:rsidR="001F092D" w:rsidRPr="001F092D" w:rsidRDefault="001F092D" w:rsidP="001F092D">
            <w:pPr>
              <w:spacing w:after="160" w:line="259" w:lineRule="auto"/>
              <w:jc w:val="center"/>
              <w:rPr>
                <w:rFonts w:eastAsiaTheme="minorHAnsi"/>
                <w:sz w:val="18"/>
                <w:szCs w:val="18"/>
                <w:lang w:eastAsia="en-US"/>
              </w:rPr>
            </w:pPr>
          </w:p>
        </w:tc>
        <w:tc>
          <w:tcPr>
            <w:tcW w:w="523" w:type="pct"/>
            <w:shd w:val="clear" w:color="auto" w:fill="auto"/>
            <w:vAlign w:val="center"/>
            <w:hideMark/>
          </w:tcPr>
          <w:p w14:paraId="096D956F"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522" w:type="pct"/>
            <w:vMerge/>
            <w:shd w:val="clear" w:color="auto" w:fill="auto"/>
            <w:vAlign w:val="center"/>
            <w:hideMark/>
          </w:tcPr>
          <w:p w14:paraId="4C0A7C0B" w14:textId="77777777" w:rsidR="001F092D" w:rsidRPr="001F092D" w:rsidRDefault="001F092D" w:rsidP="001F092D">
            <w:pPr>
              <w:spacing w:after="160" w:line="259" w:lineRule="auto"/>
              <w:jc w:val="center"/>
              <w:rPr>
                <w:rFonts w:eastAsiaTheme="minorHAnsi"/>
                <w:sz w:val="18"/>
                <w:szCs w:val="18"/>
                <w:lang w:eastAsia="en-US"/>
              </w:rPr>
            </w:pPr>
          </w:p>
        </w:tc>
        <w:tc>
          <w:tcPr>
            <w:tcW w:w="598" w:type="pct"/>
            <w:shd w:val="clear" w:color="auto" w:fill="auto"/>
            <w:vAlign w:val="center"/>
            <w:hideMark/>
          </w:tcPr>
          <w:p w14:paraId="49459F17"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c>
          <w:tcPr>
            <w:tcW w:w="670" w:type="pct"/>
            <w:shd w:val="clear" w:color="auto" w:fill="auto"/>
            <w:vAlign w:val="center"/>
            <w:hideMark/>
          </w:tcPr>
          <w:p w14:paraId="0EF5212E" w14:textId="77777777" w:rsidR="001F092D" w:rsidRPr="001F092D" w:rsidRDefault="001F092D" w:rsidP="001F092D">
            <w:pPr>
              <w:spacing w:after="160" w:line="259" w:lineRule="auto"/>
              <w:jc w:val="center"/>
              <w:rPr>
                <w:rFonts w:eastAsiaTheme="minorHAnsi"/>
                <w:sz w:val="18"/>
                <w:szCs w:val="18"/>
                <w:lang w:eastAsia="en-US"/>
              </w:rPr>
            </w:pPr>
            <w:r w:rsidRPr="001F092D">
              <w:rPr>
                <w:rFonts w:eastAsiaTheme="minorHAnsi"/>
                <w:color w:val="000000" w:themeColor="text1"/>
                <w:sz w:val="18"/>
                <w:szCs w:val="18"/>
                <w:lang w:eastAsia="en-US"/>
              </w:rPr>
              <w:t>0</w:t>
            </w:r>
          </w:p>
        </w:tc>
      </w:tr>
      <w:tr w:rsidR="001F092D" w:rsidRPr="001F092D" w14:paraId="66818EA1" w14:textId="77777777" w:rsidTr="001F092D">
        <w:trPr>
          <w:cantSplit/>
        </w:trPr>
        <w:tc>
          <w:tcPr>
            <w:tcW w:w="922" w:type="pct"/>
            <w:tcBorders>
              <w:bottom w:val="single" w:sz="4" w:space="0" w:color="000000" w:themeColor="text1"/>
            </w:tcBorders>
            <w:shd w:val="clear" w:color="auto" w:fill="auto"/>
            <w:hideMark/>
          </w:tcPr>
          <w:p w14:paraId="32C6AAE4"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t>6. Detalizēts ieņēmumu un izdevumu aprēķins (ja nepieciešams, detalizētu ieņēmumu un izdevumu aprēķinu var pievienot anotācijas pielikumā)</w:t>
            </w:r>
          </w:p>
        </w:tc>
        <w:tc>
          <w:tcPr>
            <w:tcW w:w="4078" w:type="pct"/>
            <w:gridSpan w:val="7"/>
            <w:vMerge w:val="restart"/>
            <w:tcBorders>
              <w:bottom w:val="single" w:sz="4" w:space="0" w:color="000000" w:themeColor="text1"/>
            </w:tcBorders>
            <w:shd w:val="clear" w:color="auto" w:fill="auto"/>
            <w:vAlign w:val="center"/>
            <w:hideMark/>
          </w:tcPr>
          <w:p w14:paraId="0A96C852" w14:textId="6A33857E" w:rsidR="001F092D" w:rsidRPr="001F092D" w:rsidRDefault="001F092D" w:rsidP="001F092D">
            <w:pPr>
              <w:spacing w:after="120"/>
              <w:jc w:val="both"/>
              <w:rPr>
                <w:rFonts w:eastAsiaTheme="minorHAnsi"/>
                <w:iCs/>
                <w:sz w:val="22"/>
                <w:szCs w:val="22"/>
                <w:lang w:eastAsia="en-US"/>
              </w:rPr>
            </w:pPr>
            <w:r w:rsidRPr="001F092D">
              <w:rPr>
                <w:rFonts w:eastAsiaTheme="minorHAnsi"/>
                <w:iCs/>
                <w:sz w:val="22"/>
                <w:szCs w:val="22"/>
                <w:lang w:eastAsia="en-US"/>
              </w:rPr>
              <w:t>*saskaņā ar FM 14.01.</w:t>
            </w:r>
            <w:r w:rsidR="008D1AE8">
              <w:rPr>
                <w:rFonts w:eastAsiaTheme="minorHAnsi"/>
                <w:iCs/>
                <w:sz w:val="22"/>
                <w:szCs w:val="22"/>
                <w:lang w:eastAsia="en-US"/>
              </w:rPr>
              <w:t>2021.</w:t>
            </w:r>
            <w:r w:rsidRPr="001F092D">
              <w:rPr>
                <w:rFonts w:eastAsiaTheme="minorHAnsi"/>
                <w:iCs/>
                <w:sz w:val="22"/>
                <w:szCs w:val="22"/>
                <w:lang w:eastAsia="en-US"/>
              </w:rPr>
              <w:t xml:space="preserve"> rīkojumu Nr.18 un FM 15.02.</w:t>
            </w:r>
            <w:r w:rsidR="008D1AE8">
              <w:rPr>
                <w:rFonts w:eastAsiaTheme="minorHAnsi"/>
                <w:iCs/>
                <w:sz w:val="22"/>
                <w:szCs w:val="22"/>
                <w:lang w:eastAsia="en-US"/>
              </w:rPr>
              <w:t>2021.</w:t>
            </w:r>
            <w:r w:rsidRPr="001F092D">
              <w:rPr>
                <w:rFonts w:eastAsiaTheme="minorHAnsi"/>
                <w:iCs/>
                <w:sz w:val="22"/>
                <w:szCs w:val="22"/>
                <w:lang w:eastAsia="en-US"/>
              </w:rPr>
              <w:t xml:space="preserve"> rīkojumu Nr.87</w:t>
            </w:r>
            <w:r w:rsidR="008D1AE8">
              <w:rPr>
                <w:rFonts w:eastAsiaTheme="minorHAnsi"/>
                <w:iCs/>
                <w:sz w:val="22"/>
                <w:szCs w:val="22"/>
                <w:lang w:eastAsia="en-US"/>
              </w:rPr>
              <w:t>.</w:t>
            </w:r>
          </w:p>
          <w:p w14:paraId="558F9CF2" w14:textId="77777777" w:rsidR="001F092D" w:rsidRPr="001F092D" w:rsidRDefault="001F092D" w:rsidP="001F092D">
            <w:pPr>
              <w:spacing w:after="120"/>
              <w:jc w:val="both"/>
              <w:rPr>
                <w:rFonts w:eastAsiaTheme="minorHAnsi"/>
                <w:sz w:val="22"/>
                <w:szCs w:val="22"/>
                <w:lang w:eastAsia="en-US"/>
              </w:rPr>
            </w:pPr>
          </w:p>
          <w:p w14:paraId="0184E1BC" w14:textId="77777777" w:rsidR="001F092D" w:rsidRPr="001F092D" w:rsidRDefault="001F092D" w:rsidP="001F092D">
            <w:pPr>
              <w:spacing w:after="120"/>
              <w:jc w:val="both"/>
              <w:rPr>
                <w:rFonts w:eastAsiaTheme="minorHAnsi"/>
                <w:sz w:val="22"/>
                <w:szCs w:val="22"/>
                <w:lang w:eastAsia="en-US"/>
              </w:rPr>
            </w:pPr>
          </w:p>
          <w:p w14:paraId="61D49966" w14:textId="77777777" w:rsidR="001F092D" w:rsidRPr="001F092D" w:rsidRDefault="001F092D" w:rsidP="001F092D">
            <w:pPr>
              <w:spacing w:after="120"/>
              <w:jc w:val="both"/>
              <w:rPr>
                <w:rFonts w:eastAsiaTheme="minorHAnsi"/>
                <w:sz w:val="22"/>
                <w:szCs w:val="22"/>
                <w:lang w:eastAsia="en-US"/>
              </w:rPr>
            </w:pPr>
          </w:p>
          <w:p w14:paraId="340DCF6C" w14:textId="77777777" w:rsidR="001F092D" w:rsidRPr="001F092D" w:rsidRDefault="001F092D" w:rsidP="001F092D">
            <w:pPr>
              <w:spacing w:after="120"/>
              <w:jc w:val="both"/>
              <w:rPr>
                <w:rFonts w:eastAsiaTheme="minorHAnsi"/>
                <w:sz w:val="22"/>
                <w:szCs w:val="22"/>
                <w:lang w:eastAsia="en-US"/>
              </w:rPr>
            </w:pPr>
          </w:p>
          <w:p w14:paraId="10DB40B9" w14:textId="77777777" w:rsidR="001F092D" w:rsidRPr="001F092D" w:rsidRDefault="001F092D" w:rsidP="001F092D">
            <w:pPr>
              <w:spacing w:after="120"/>
              <w:jc w:val="both"/>
              <w:rPr>
                <w:rFonts w:eastAsiaTheme="minorHAnsi"/>
                <w:sz w:val="22"/>
                <w:szCs w:val="22"/>
                <w:lang w:eastAsia="en-US"/>
              </w:rPr>
            </w:pPr>
          </w:p>
          <w:p w14:paraId="464EAE8E" w14:textId="28988645" w:rsidR="001F092D" w:rsidRPr="001F092D" w:rsidRDefault="001F092D" w:rsidP="001F092D">
            <w:pPr>
              <w:spacing w:after="120"/>
              <w:jc w:val="both"/>
              <w:rPr>
                <w:rFonts w:eastAsiaTheme="minorHAnsi"/>
                <w:sz w:val="22"/>
                <w:szCs w:val="22"/>
                <w:lang w:eastAsia="en-US"/>
              </w:rPr>
            </w:pPr>
            <w:r w:rsidRPr="001F092D">
              <w:rPr>
                <w:rFonts w:eastAsiaTheme="minorHAnsi"/>
                <w:sz w:val="22"/>
                <w:szCs w:val="22"/>
                <w:lang w:eastAsia="en-US"/>
              </w:rPr>
              <w:t xml:space="preserve">Bezdarbnieka palīdzības pabalsta izmaksu pagarinot no četriem uz sešiem mēnešiem līdz 2021.gada 30.jūnijam, papildus divu mēnešu izmaksa provizoriski skartu 9 336 unikālās personas. Tie ir bezdarbnieka palīdzības pabalsta saņēmēji, kuriem pabalsta pirmais mēnesis ir 2020.gada novembris, decembris </w:t>
            </w:r>
            <w:r w:rsidRPr="001F092D">
              <w:rPr>
                <w:rFonts w:eastAsiaTheme="minorHAnsi"/>
                <w:i/>
                <w:sz w:val="22"/>
                <w:szCs w:val="22"/>
                <w:lang w:eastAsia="en-US"/>
              </w:rPr>
              <w:t>(faktiskie VSAA dati 2021.gada februārī)</w:t>
            </w:r>
            <w:r w:rsidRPr="001F092D">
              <w:rPr>
                <w:rFonts w:eastAsiaTheme="minorHAnsi"/>
                <w:sz w:val="22"/>
                <w:szCs w:val="22"/>
                <w:lang w:eastAsia="en-US"/>
              </w:rPr>
              <w:t xml:space="preserve"> un 2021.gada janvāris un februāris</w:t>
            </w:r>
            <w:r w:rsidR="00970C45">
              <w:rPr>
                <w:rFonts w:eastAsiaTheme="minorHAnsi"/>
                <w:sz w:val="22"/>
                <w:szCs w:val="22"/>
                <w:lang w:eastAsia="en-US"/>
              </w:rPr>
              <w:t xml:space="preserve"> </w:t>
            </w:r>
            <w:r w:rsidR="00970C45" w:rsidRPr="00970C45">
              <w:rPr>
                <w:rFonts w:eastAsiaTheme="minorHAnsi"/>
                <w:i/>
                <w:sz w:val="22"/>
                <w:szCs w:val="22"/>
                <w:lang w:eastAsia="en-US"/>
              </w:rPr>
              <w:t>(prognozētie dati)</w:t>
            </w:r>
            <w:r w:rsidR="00970C45" w:rsidRPr="00970C45">
              <w:rPr>
                <w:rFonts w:eastAsiaTheme="minorHAnsi"/>
                <w:sz w:val="22"/>
                <w:szCs w:val="22"/>
                <w:lang w:eastAsia="en-US"/>
              </w:rPr>
              <w:t>.</w:t>
            </w:r>
          </w:p>
          <w:p w14:paraId="538B6403" w14:textId="0F5E2612" w:rsidR="001F092D" w:rsidRPr="001F092D" w:rsidRDefault="001F092D" w:rsidP="001F092D">
            <w:pPr>
              <w:spacing w:after="120"/>
              <w:jc w:val="both"/>
              <w:rPr>
                <w:rFonts w:eastAsiaTheme="minorHAnsi"/>
                <w:sz w:val="22"/>
                <w:szCs w:val="22"/>
                <w:lang w:eastAsia="en-US"/>
              </w:rPr>
            </w:pPr>
            <w:r w:rsidRPr="001F092D">
              <w:rPr>
                <w:rFonts w:eastAsiaTheme="minorHAnsi"/>
                <w:sz w:val="22"/>
                <w:szCs w:val="22"/>
                <w:lang w:eastAsia="en-US"/>
              </w:rPr>
              <w:t xml:space="preserve">Bezdarbnieka palīdzības pabalsta apmērs ir 180 </w:t>
            </w:r>
            <w:proofErr w:type="spellStart"/>
            <w:r w:rsidR="00AC6BD1" w:rsidRPr="00AC6BD1">
              <w:rPr>
                <w:rFonts w:eastAsiaTheme="minorHAnsi"/>
                <w:i/>
                <w:sz w:val="22"/>
                <w:szCs w:val="22"/>
                <w:lang w:eastAsia="en-US"/>
              </w:rPr>
              <w:t>euro</w:t>
            </w:r>
            <w:proofErr w:type="spellEnd"/>
            <w:r w:rsidRPr="001F092D">
              <w:rPr>
                <w:rFonts w:eastAsiaTheme="minorHAnsi"/>
                <w:sz w:val="22"/>
                <w:szCs w:val="22"/>
                <w:lang w:eastAsia="en-US"/>
              </w:rPr>
              <w:t xml:space="preserve"> mēnesī.</w:t>
            </w:r>
          </w:p>
          <w:tbl>
            <w:tblPr>
              <w:tblW w:w="705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1954"/>
              <w:gridCol w:w="1701"/>
            </w:tblGrid>
            <w:tr w:rsidR="001F092D" w:rsidRPr="001F092D" w14:paraId="25C1D933" w14:textId="77777777" w:rsidTr="001F092D">
              <w:trPr>
                <w:trHeight w:val="624"/>
                <w:tblHeader/>
              </w:trPr>
              <w:tc>
                <w:tcPr>
                  <w:tcW w:w="2126" w:type="dxa"/>
                  <w:shd w:val="clear" w:color="auto" w:fill="auto"/>
                  <w:noWrap/>
                  <w:vAlign w:val="center"/>
                </w:tcPr>
                <w:p w14:paraId="2588AC8B" w14:textId="77777777" w:rsidR="001F092D" w:rsidRPr="001F092D" w:rsidRDefault="001F092D" w:rsidP="001F092D">
                  <w:pPr>
                    <w:jc w:val="center"/>
                    <w:rPr>
                      <w:sz w:val="18"/>
                      <w:szCs w:val="20"/>
                    </w:rPr>
                  </w:pPr>
                  <w:r w:rsidRPr="001F092D">
                    <w:rPr>
                      <w:sz w:val="18"/>
                      <w:szCs w:val="20"/>
                    </w:rPr>
                    <w:t>Bezdarbnieka palīdzības pabalsta pirmais mēnesis</w:t>
                  </w:r>
                </w:p>
              </w:tc>
              <w:tc>
                <w:tcPr>
                  <w:tcW w:w="1276" w:type="dxa"/>
                  <w:shd w:val="clear" w:color="auto" w:fill="auto"/>
                  <w:noWrap/>
                  <w:vAlign w:val="center"/>
                </w:tcPr>
                <w:p w14:paraId="07502817" w14:textId="77777777" w:rsidR="001F092D" w:rsidRPr="001F092D" w:rsidRDefault="001F092D" w:rsidP="001F092D">
                  <w:pPr>
                    <w:jc w:val="center"/>
                    <w:rPr>
                      <w:sz w:val="18"/>
                      <w:szCs w:val="20"/>
                    </w:rPr>
                  </w:pPr>
                  <w:r w:rsidRPr="001F092D">
                    <w:rPr>
                      <w:sz w:val="18"/>
                      <w:szCs w:val="20"/>
                    </w:rPr>
                    <w:t>Unikālās personas</w:t>
                  </w:r>
                </w:p>
              </w:tc>
              <w:tc>
                <w:tcPr>
                  <w:tcW w:w="1954" w:type="dxa"/>
                  <w:shd w:val="clear" w:color="auto" w:fill="auto"/>
                  <w:noWrap/>
                  <w:vAlign w:val="center"/>
                </w:tcPr>
                <w:p w14:paraId="291EBACC" w14:textId="77777777" w:rsidR="001F092D" w:rsidRPr="001F092D" w:rsidRDefault="001F092D" w:rsidP="001F092D">
                  <w:pPr>
                    <w:jc w:val="center"/>
                    <w:rPr>
                      <w:sz w:val="18"/>
                      <w:szCs w:val="20"/>
                    </w:rPr>
                  </w:pPr>
                  <w:r w:rsidRPr="001F092D">
                    <w:rPr>
                      <w:sz w:val="18"/>
                      <w:szCs w:val="20"/>
                    </w:rPr>
                    <w:t>Papildus izmaksas mēneši</w:t>
                  </w:r>
                </w:p>
              </w:tc>
              <w:tc>
                <w:tcPr>
                  <w:tcW w:w="1701" w:type="dxa"/>
                  <w:shd w:val="clear" w:color="auto" w:fill="auto"/>
                  <w:noWrap/>
                  <w:vAlign w:val="center"/>
                </w:tcPr>
                <w:p w14:paraId="1AF0DFAE" w14:textId="280DB4BF" w:rsidR="001F092D" w:rsidRPr="001F092D" w:rsidRDefault="001F092D" w:rsidP="001F092D">
                  <w:pPr>
                    <w:jc w:val="center"/>
                    <w:rPr>
                      <w:sz w:val="18"/>
                      <w:szCs w:val="20"/>
                    </w:rPr>
                  </w:pPr>
                  <w:r w:rsidRPr="001F092D">
                    <w:rPr>
                      <w:sz w:val="18"/>
                      <w:szCs w:val="20"/>
                    </w:rPr>
                    <w:t xml:space="preserve">Papildus izdevumi, </w:t>
                  </w:r>
                  <w:proofErr w:type="spellStart"/>
                  <w:r w:rsidR="00AC6BD1" w:rsidRPr="00AC6BD1">
                    <w:rPr>
                      <w:i/>
                      <w:sz w:val="18"/>
                      <w:szCs w:val="20"/>
                    </w:rPr>
                    <w:t>euro</w:t>
                  </w:r>
                  <w:proofErr w:type="spellEnd"/>
                </w:p>
              </w:tc>
            </w:tr>
            <w:tr w:rsidR="001F092D" w:rsidRPr="001F092D" w14:paraId="72310693" w14:textId="77777777" w:rsidTr="001F092D">
              <w:trPr>
                <w:trHeight w:val="20"/>
                <w:tblHeader/>
              </w:trPr>
              <w:tc>
                <w:tcPr>
                  <w:tcW w:w="2126" w:type="dxa"/>
                  <w:shd w:val="clear" w:color="auto" w:fill="auto"/>
                  <w:noWrap/>
                  <w:vAlign w:val="center"/>
                  <w:hideMark/>
                </w:tcPr>
                <w:p w14:paraId="18B63BD7" w14:textId="77777777" w:rsidR="001F092D" w:rsidRPr="001F092D" w:rsidRDefault="001F092D" w:rsidP="001F092D">
                  <w:pPr>
                    <w:rPr>
                      <w:sz w:val="18"/>
                      <w:szCs w:val="20"/>
                    </w:rPr>
                  </w:pPr>
                  <w:r w:rsidRPr="001F092D">
                    <w:rPr>
                      <w:sz w:val="18"/>
                      <w:szCs w:val="20"/>
                    </w:rPr>
                    <w:t>2020.gada novembris</w:t>
                  </w:r>
                </w:p>
              </w:tc>
              <w:tc>
                <w:tcPr>
                  <w:tcW w:w="1276" w:type="dxa"/>
                  <w:shd w:val="clear" w:color="auto" w:fill="auto"/>
                  <w:noWrap/>
                  <w:vAlign w:val="center"/>
                  <w:hideMark/>
                </w:tcPr>
                <w:p w14:paraId="2222776E" w14:textId="77777777" w:rsidR="001F092D" w:rsidRPr="001F092D" w:rsidRDefault="001F092D" w:rsidP="001F092D">
                  <w:pPr>
                    <w:jc w:val="center"/>
                    <w:rPr>
                      <w:sz w:val="18"/>
                      <w:szCs w:val="20"/>
                    </w:rPr>
                  </w:pPr>
                  <w:r w:rsidRPr="001F092D">
                    <w:rPr>
                      <w:sz w:val="18"/>
                      <w:szCs w:val="20"/>
                    </w:rPr>
                    <w:t>1 641</w:t>
                  </w:r>
                </w:p>
              </w:tc>
              <w:tc>
                <w:tcPr>
                  <w:tcW w:w="1954" w:type="dxa"/>
                  <w:shd w:val="clear" w:color="auto" w:fill="auto"/>
                  <w:noWrap/>
                  <w:vAlign w:val="center"/>
                  <w:hideMark/>
                </w:tcPr>
                <w:p w14:paraId="1F4C8603" w14:textId="77777777" w:rsidR="001F092D" w:rsidRPr="001F092D" w:rsidRDefault="001F092D" w:rsidP="001F092D">
                  <w:pPr>
                    <w:jc w:val="center"/>
                    <w:rPr>
                      <w:sz w:val="18"/>
                      <w:szCs w:val="20"/>
                    </w:rPr>
                  </w:pPr>
                  <w:r w:rsidRPr="001F092D">
                    <w:rPr>
                      <w:sz w:val="18"/>
                      <w:szCs w:val="20"/>
                    </w:rPr>
                    <w:t>2</w:t>
                  </w:r>
                </w:p>
              </w:tc>
              <w:tc>
                <w:tcPr>
                  <w:tcW w:w="1701" w:type="dxa"/>
                  <w:shd w:val="clear" w:color="auto" w:fill="auto"/>
                  <w:noWrap/>
                  <w:vAlign w:val="center"/>
                  <w:hideMark/>
                </w:tcPr>
                <w:p w14:paraId="55BDECC4" w14:textId="77777777" w:rsidR="001F092D" w:rsidRPr="001F092D" w:rsidRDefault="001F092D" w:rsidP="001F092D">
                  <w:pPr>
                    <w:jc w:val="center"/>
                    <w:rPr>
                      <w:sz w:val="18"/>
                      <w:szCs w:val="20"/>
                    </w:rPr>
                  </w:pPr>
                  <w:r w:rsidRPr="001F092D">
                    <w:rPr>
                      <w:sz w:val="18"/>
                      <w:szCs w:val="20"/>
                    </w:rPr>
                    <w:t>590 760</w:t>
                  </w:r>
                </w:p>
              </w:tc>
            </w:tr>
            <w:tr w:rsidR="001F092D" w:rsidRPr="001F092D" w14:paraId="0E9BCC0A" w14:textId="77777777" w:rsidTr="001F092D">
              <w:trPr>
                <w:trHeight w:val="20"/>
                <w:tblHeader/>
              </w:trPr>
              <w:tc>
                <w:tcPr>
                  <w:tcW w:w="2126" w:type="dxa"/>
                  <w:shd w:val="clear" w:color="auto" w:fill="auto"/>
                  <w:noWrap/>
                  <w:vAlign w:val="center"/>
                </w:tcPr>
                <w:p w14:paraId="5DD61A67" w14:textId="77777777" w:rsidR="001F092D" w:rsidRPr="001F092D" w:rsidRDefault="001F092D" w:rsidP="001F092D">
                  <w:pPr>
                    <w:rPr>
                      <w:sz w:val="18"/>
                      <w:szCs w:val="20"/>
                    </w:rPr>
                  </w:pPr>
                  <w:r w:rsidRPr="001F092D">
                    <w:rPr>
                      <w:sz w:val="18"/>
                      <w:szCs w:val="20"/>
                    </w:rPr>
                    <w:t>2020.gada decembris</w:t>
                  </w:r>
                </w:p>
              </w:tc>
              <w:tc>
                <w:tcPr>
                  <w:tcW w:w="1276" w:type="dxa"/>
                  <w:shd w:val="clear" w:color="auto" w:fill="auto"/>
                  <w:noWrap/>
                  <w:vAlign w:val="center"/>
                </w:tcPr>
                <w:p w14:paraId="79BFDBEC" w14:textId="77777777" w:rsidR="001F092D" w:rsidRPr="001F092D" w:rsidRDefault="001F092D" w:rsidP="001F092D">
                  <w:pPr>
                    <w:jc w:val="center"/>
                    <w:rPr>
                      <w:sz w:val="18"/>
                      <w:szCs w:val="20"/>
                    </w:rPr>
                  </w:pPr>
                  <w:r w:rsidRPr="001F092D">
                    <w:rPr>
                      <w:sz w:val="18"/>
                      <w:szCs w:val="20"/>
                    </w:rPr>
                    <w:t>2 065</w:t>
                  </w:r>
                </w:p>
              </w:tc>
              <w:tc>
                <w:tcPr>
                  <w:tcW w:w="1954" w:type="dxa"/>
                  <w:shd w:val="clear" w:color="auto" w:fill="auto"/>
                  <w:noWrap/>
                </w:tcPr>
                <w:p w14:paraId="5064EC43" w14:textId="77777777" w:rsidR="001F092D" w:rsidRPr="001F092D" w:rsidRDefault="001F092D" w:rsidP="001F092D">
                  <w:pPr>
                    <w:jc w:val="center"/>
                    <w:rPr>
                      <w:sz w:val="18"/>
                      <w:szCs w:val="20"/>
                    </w:rPr>
                  </w:pPr>
                  <w:r w:rsidRPr="001F092D">
                    <w:rPr>
                      <w:sz w:val="18"/>
                      <w:szCs w:val="20"/>
                    </w:rPr>
                    <w:t>2</w:t>
                  </w:r>
                </w:p>
              </w:tc>
              <w:tc>
                <w:tcPr>
                  <w:tcW w:w="1701" w:type="dxa"/>
                  <w:shd w:val="clear" w:color="auto" w:fill="auto"/>
                  <w:noWrap/>
                </w:tcPr>
                <w:p w14:paraId="4AC8A62C" w14:textId="77777777" w:rsidR="001F092D" w:rsidRPr="001F092D" w:rsidRDefault="001F092D" w:rsidP="001F092D">
                  <w:pPr>
                    <w:jc w:val="center"/>
                    <w:rPr>
                      <w:sz w:val="18"/>
                      <w:szCs w:val="20"/>
                    </w:rPr>
                  </w:pPr>
                  <w:r w:rsidRPr="001F092D">
                    <w:rPr>
                      <w:sz w:val="18"/>
                      <w:szCs w:val="20"/>
                    </w:rPr>
                    <w:t>743 400</w:t>
                  </w:r>
                </w:p>
              </w:tc>
            </w:tr>
            <w:tr w:rsidR="001F092D" w:rsidRPr="001F092D" w14:paraId="51F21918" w14:textId="77777777" w:rsidTr="001F092D">
              <w:trPr>
                <w:trHeight w:val="20"/>
                <w:tblHeader/>
              </w:trPr>
              <w:tc>
                <w:tcPr>
                  <w:tcW w:w="2126" w:type="dxa"/>
                  <w:shd w:val="clear" w:color="auto" w:fill="auto"/>
                  <w:noWrap/>
                  <w:vAlign w:val="center"/>
                  <w:hideMark/>
                </w:tcPr>
                <w:p w14:paraId="09EF5E3F" w14:textId="65CFA2DB" w:rsidR="001F092D" w:rsidRPr="001F092D" w:rsidRDefault="001F092D" w:rsidP="001F092D">
                  <w:pPr>
                    <w:rPr>
                      <w:sz w:val="18"/>
                      <w:szCs w:val="20"/>
                    </w:rPr>
                  </w:pPr>
                  <w:r w:rsidRPr="001F092D">
                    <w:rPr>
                      <w:sz w:val="18"/>
                      <w:szCs w:val="20"/>
                    </w:rPr>
                    <w:t>2021.gada janvāris</w:t>
                  </w:r>
                  <w:r w:rsidR="00A65523">
                    <w:rPr>
                      <w:sz w:val="18"/>
                      <w:szCs w:val="20"/>
                    </w:rPr>
                    <w:t xml:space="preserve"> </w:t>
                  </w:r>
                  <w:r w:rsidRPr="001F092D">
                    <w:rPr>
                      <w:i/>
                      <w:sz w:val="16"/>
                      <w:szCs w:val="20"/>
                    </w:rPr>
                    <w:t>(prognoze)</w:t>
                  </w:r>
                </w:p>
              </w:tc>
              <w:tc>
                <w:tcPr>
                  <w:tcW w:w="1276" w:type="dxa"/>
                  <w:shd w:val="clear" w:color="auto" w:fill="auto"/>
                  <w:noWrap/>
                  <w:vAlign w:val="center"/>
                  <w:hideMark/>
                </w:tcPr>
                <w:p w14:paraId="3EFF5CB8" w14:textId="77777777" w:rsidR="001F092D" w:rsidRPr="001F092D" w:rsidRDefault="001F092D" w:rsidP="001F092D">
                  <w:pPr>
                    <w:jc w:val="center"/>
                    <w:rPr>
                      <w:sz w:val="18"/>
                      <w:szCs w:val="20"/>
                    </w:rPr>
                  </w:pPr>
                  <w:r w:rsidRPr="001F092D">
                    <w:rPr>
                      <w:sz w:val="18"/>
                      <w:szCs w:val="20"/>
                    </w:rPr>
                    <w:t>2 565</w:t>
                  </w:r>
                </w:p>
              </w:tc>
              <w:tc>
                <w:tcPr>
                  <w:tcW w:w="1954" w:type="dxa"/>
                  <w:shd w:val="clear" w:color="auto" w:fill="auto"/>
                  <w:noWrap/>
                  <w:vAlign w:val="center"/>
                  <w:hideMark/>
                </w:tcPr>
                <w:p w14:paraId="6594E3C5" w14:textId="77777777" w:rsidR="001F092D" w:rsidRPr="001F092D" w:rsidRDefault="001F092D" w:rsidP="001F092D">
                  <w:pPr>
                    <w:jc w:val="center"/>
                    <w:rPr>
                      <w:sz w:val="18"/>
                      <w:szCs w:val="20"/>
                    </w:rPr>
                  </w:pPr>
                  <w:r w:rsidRPr="001F092D">
                    <w:rPr>
                      <w:sz w:val="18"/>
                      <w:szCs w:val="20"/>
                    </w:rPr>
                    <w:t>2</w:t>
                  </w:r>
                </w:p>
              </w:tc>
              <w:tc>
                <w:tcPr>
                  <w:tcW w:w="1701" w:type="dxa"/>
                  <w:shd w:val="clear" w:color="auto" w:fill="auto"/>
                  <w:noWrap/>
                  <w:vAlign w:val="center"/>
                  <w:hideMark/>
                </w:tcPr>
                <w:p w14:paraId="1BF2F01C" w14:textId="77777777" w:rsidR="001F092D" w:rsidRPr="001F092D" w:rsidRDefault="001F092D" w:rsidP="001F092D">
                  <w:pPr>
                    <w:jc w:val="center"/>
                    <w:rPr>
                      <w:sz w:val="18"/>
                      <w:szCs w:val="20"/>
                    </w:rPr>
                  </w:pPr>
                  <w:r w:rsidRPr="001F092D">
                    <w:rPr>
                      <w:sz w:val="18"/>
                      <w:szCs w:val="20"/>
                    </w:rPr>
                    <w:t>923 400</w:t>
                  </w:r>
                </w:p>
              </w:tc>
            </w:tr>
            <w:tr w:rsidR="001F092D" w:rsidRPr="001F092D" w14:paraId="6193ED61" w14:textId="77777777" w:rsidTr="001F092D">
              <w:trPr>
                <w:trHeight w:val="20"/>
                <w:tblHeader/>
              </w:trPr>
              <w:tc>
                <w:tcPr>
                  <w:tcW w:w="2126" w:type="dxa"/>
                  <w:tcBorders>
                    <w:bottom w:val="single" w:sz="4" w:space="0" w:color="auto"/>
                  </w:tcBorders>
                  <w:shd w:val="clear" w:color="auto" w:fill="auto"/>
                  <w:noWrap/>
                  <w:vAlign w:val="center"/>
                  <w:hideMark/>
                </w:tcPr>
                <w:p w14:paraId="4FB98D07" w14:textId="69A785C5" w:rsidR="001F092D" w:rsidRPr="001F092D" w:rsidRDefault="001F092D" w:rsidP="001F092D">
                  <w:pPr>
                    <w:rPr>
                      <w:sz w:val="18"/>
                      <w:szCs w:val="20"/>
                    </w:rPr>
                  </w:pPr>
                  <w:r w:rsidRPr="001F092D">
                    <w:rPr>
                      <w:sz w:val="18"/>
                      <w:szCs w:val="20"/>
                    </w:rPr>
                    <w:t>2021.gada februāris</w:t>
                  </w:r>
                  <w:r w:rsidR="00A65523">
                    <w:rPr>
                      <w:sz w:val="18"/>
                      <w:szCs w:val="20"/>
                    </w:rPr>
                    <w:t xml:space="preserve"> </w:t>
                  </w:r>
                  <w:r w:rsidRPr="001F092D">
                    <w:rPr>
                      <w:i/>
                      <w:sz w:val="16"/>
                      <w:szCs w:val="20"/>
                    </w:rPr>
                    <w:t>(prognoze)</w:t>
                  </w:r>
                </w:p>
              </w:tc>
              <w:tc>
                <w:tcPr>
                  <w:tcW w:w="1276" w:type="dxa"/>
                  <w:tcBorders>
                    <w:bottom w:val="single" w:sz="4" w:space="0" w:color="auto"/>
                  </w:tcBorders>
                  <w:shd w:val="clear" w:color="auto" w:fill="auto"/>
                  <w:noWrap/>
                  <w:vAlign w:val="center"/>
                  <w:hideMark/>
                </w:tcPr>
                <w:p w14:paraId="1C64212F" w14:textId="77777777" w:rsidR="001F092D" w:rsidRPr="001F092D" w:rsidRDefault="001F092D" w:rsidP="001F092D">
                  <w:pPr>
                    <w:jc w:val="center"/>
                    <w:rPr>
                      <w:sz w:val="18"/>
                      <w:szCs w:val="20"/>
                    </w:rPr>
                  </w:pPr>
                  <w:r w:rsidRPr="001F092D">
                    <w:rPr>
                      <w:sz w:val="18"/>
                      <w:szCs w:val="20"/>
                    </w:rPr>
                    <w:t>3 065</w:t>
                  </w:r>
                </w:p>
              </w:tc>
              <w:tc>
                <w:tcPr>
                  <w:tcW w:w="1954" w:type="dxa"/>
                  <w:tcBorders>
                    <w:bottom w:val="single" w:sz="4" w:space="0" w:color="auto"/>
                  </w:tcBorders>
                  <w:shd w:val="clear" w:color="auto" w:fill="auto"/>
                  <w:noWrap/>
                  <w:vAlign w:val="center"/>
                  <w:hideMark/>
                </w:tcPr>
                <w:p w14:paraId="4859C12B" w14:textId="77777777" w:rsidR="001F092D" w:rsidRPr="001F092D" w:rsidRDefault="001F092D" w:rsidP="001F092D">
                  <w:pPr>
                    <w:jc w:val="center"/>
                    <w:rPr>
                      <w:sz w:val="18"/>
                      <w:szCs w:val="20"/>
                    </w:rPr>
                  </w:pPr>
                  <w:r w:rsidRPr="001F092D">
                    <w:rPr>
                      <w:sz w:val="18"/>
                      <w:szCs w:val="20"/>
                    </w:rPr>
                    <w:t>1</w:t>
                  </w:r>
                </w:p>
              </w:tc>
              <w:tc>
                <w:tcPr>
                  <w:tcW w:w="1701" w:type="dxa"/>
                  <w:tcBorders>
                    <w:bottom w:val="single" w:sz="4" w:space="0" w:color="auto"/>
                  </w:tcBorders>
                  <w:shd w:val="clear" w:color="auto" w:fill="auto"/>
                  <w:noWrap/>
                  <w:vAlign w:val="center"/>
                  <w:hideMark/>
                </w:tcPr>
                <w:p w14:paraId="36547832" w14:textId="77777777" w:rsidR="001F092D" w:rsidRPr="001F092D" w:rsidRDefault="001F092D" w:rsidP="001F092D">
                  <w:pPr>
                    <w:jc w:val="center"/>
                    <w:rPr>
                      <w:sz w:val="18"/>
                      <w:szCs w:val="20"/>
                    </w:rPr>
                  </w:pPr>
                  <w:r w:rsidRPr="001F092D">
                    <w:rPr>
                      <w:sz w:val="18"/>
                      <w:szCs w:val="20"/>
                    </w:rPr>
                    <w:t>551 700</w:t>
                  </w:r>
                </w:p>
              </w:tc>
            </w:tr>
            <w:tr w:rsidR="001F092D" w:rsidRPr="001F092D" w14:paraId="56B73480" w14:textId="77777777" w:rsidTr="001F092D">
              <w:trPr>
                <w:trHeight w:val="20"/>
                <w:tblHeader/>
              </w:trPr>
              <w:tc>
                <w:tcPr>
                  <w:tcW w:w="2126" w:type="dxa"/>
                  <w:tcBorders>
                    <w:left w:val="nil"/>
                    <w:bottom w:val="nil"/>
                    <w:right w:val="nil"/>
                  </w:tcBorders>
                  <w:shd w:val="clear" w:color="auto" w:fill="auto"/>
                  <w:noWrap/>
                  <w:vAlign w:val="center"/>
                  <w:hideMark/>
                </w:tcPr>
                <w:p w14:paraId="03068C91" w14:textId="77777777" w:rsidR="001F092D" w:rsidRPr="001F092D" w:rsidRDefault="001F092D" w:rsidP="001F092D">
                  <w:pPr>
                    <w:jc w:val="right"/>
                    <w:rPr>
                      <w:sz w:val="18"/>
                      <w:szCs w:val="20"/>
                    </w:rPr>
                  </w:pPr>
                  <w:r w:rsidRPr="001F092D">
                    <w:rPr>
                      <w:sz w:val="18"/>
                      <w:szCs w:val="20"/>
                    </w:rPr>
                    <w:t>Kopā</w:t>
                  </w:r>
                </w:p>
              </w:tc>
              <w:tc>
                <w:tcPr>
                  <w:tcW w:w="1276" w:type="dxa"/>
                  <w:tcBorders>
                    <w:left w:val="nil"/>
                    <w:bottom w:val="nil"/>
                    <w:right w:val="nil"/>
                  </w:tcBorders>
                  <w:shd w:val="clear" w:color="auto" w:fill="auto"/>
                  <w:noWrap/>
                  <w:vAlign w:val="center"/>
                  <w:hideMark/>
                </w:tcPr>
                <w:p w14:paraId="2D4B407D" w14:textId="77777777" w:rsidR="001F092D" w:rsidRPr="001F092D" w:rsidRDefault="001F092D" w:rsidP="001F092D">
                  <w:pPr>
                    <w:jc w:val="center"/>
                    <w:rPr>
                      <w:b/>
                      <w:bCs/>
                      <w:sz w:val="18"/>
                      <w:szCs w:val="20"/>
                    </w:rPr>
                  </w:pPr>
                  <w:r w:rsidRPr="001F092D">
                    <w:rPr>
                      <w:b/>
                      <w:bCs/>
                      <w:sz w:val="18"/>
                      <w:szCs w:val="20"/>
                    </w:rPr>
                    <w:t>9 336</w:t>
                  </w:r>
                </w:p>
              </w:tc>
              <w:tc>
                <w:tcPr>
                  <w:tcW w:w="1954" w:type="dxa"/>
                  <w:tcBorders>
                    <w:left w:val="nil"/>
                    <w:bottom w:val="nil"/>
                    <w:right w:val="nil"/>
                  </w:tcBorders>
                  <w:shd w:val="clear" w:color="auto" w:fill="auto"/>
                  <w:noWrap/>
                  <w:vAlign w:val="center"/>
                  <w:hideMark/>
                </w:tcPr>
                <w:p w14:paraId="3AF5BC87" w14:textId="77777777" w:rsidR="001F092D" w:rsidRPr="001F092D" w:rsidRDefault="001F092D" w:rsidP="001F092D">
                  <w:pPr>
                    <w:jc w:val="center"/>
                    <w:rPr>
                      <w:b/>
                      <w:bCs/>
                      <w:sz w:val="18"/>
                      <w:szCs w:val="20"/>
                    </w:rPr>
                  </w:pPr>
                </w:p>
              </w:tc>
              <w:tc>
                <w:tcPr>
                  <w:tcW w:w="1701" w:type="dxa"/>
                  <w:tcBorders>
                    <w:left w:val="nil"/>
                    <w:bottom w:val="nil"/>
                    <w:right w:val="nil"/>
                  </w:tcBorders>
                  <w:shd w:val="clear" w:color="auto" w:fill="auto"/>
                  <w:noWrap/>
                  <w:vAlign w:val="center"/>
                  <w:hideMark/>
                </w:tcPr>
                <w:p w14:paraId="004E4B9B" w14:textId="77777777" w:rsidR="001F092D" w:rsidRPr="001F092D" w:rsidRDefault="001F092D" w:rsidP="001F092D">
                  <w:pPr>
                    <w:jc w:val="center"/>
                    <w:rPr>
                      <w:b/>
                      <w:bCs/>
                      <w:sz w:val="18"/>
                      <w:szCs w:val="20"/>
                    </w:rPr>
                  </w:pPr>
                  <w:r w:rsidRPr="001F092D">
                    <w:rPr>
                      <w:b/>
                      <w:bCs/>
                      <w:sz w:val="18"/>
                      <w:szCs w:val="20"/>
                    </w:rPr>
                    <w:t>2 809 260</w:t>
                  </w:r>
                </w:p>
              </w:tc>
            </w:tr>
          </w:tbl>
          <w:p w14:paraId="4D65FF5F" w14:textId="77777777" w:rsidR="001F092D" w:rsidRPr="001F092D" w:rsidRDefault="001F092D" w:rsidP="001F092D">
            <w:pPr>
              <w:spacing w:after="120"/>
              <w:jc w:val="both"/>
              <w:rPr>
                <w:rFonts w:eastAsiaTheme="minorHAnsi"/>
                <w:iCs/>
                <w:sz w:val="22"/>
                <w:szCs w:val="22"/>
                <w:lang w:eastAsia="en-US"/>
              </w:rPr>
            </w:pPr>
          </w:p>
          <w:p w14:paraId="7F1CB794" w14:textId="7870490A" w:rsidR="00970C45" w:rsidRPr="001F092D" w:rsidRDefault="00970C45" w:rsidP="00970C45">
            <w:pPr>
              <w:spacing w:after="120"/>
              <w:jc w:val="both"/>
              <w:rPr>
                <w:rFonts w:eastAsiaTheme="minorHAnsi"/>
                <w:iCs/>
                <w:sz w:val="22"/>
                <w:szCs w:val="22"/>
                <w:lang w:eastAsia="en-US"/>
              </w:rPr>
            </w:pPr>
            <w:r w:rsidRPr="001F092D">
              <w:rPr>
                <w:rFonts w:eastAsiaTheme="minorHAnsi"/>
                <w:iCs/>
                <w:sz w:val="22"/>
                <w:szCs w:val="22"/>
                <w:lang w:eastAsia="en-US"/>
              </w:rPr>
              <w:t xml:space="preserve">Kopējais nepieciešamais finansējums bezdarbnieka palīdzības pabalsta izmaksai, pagarinot pabalsta izmaksu par diviem mēnešiem līdz </w:t>
            </w:r>
            <w:r>
              <w:rPr>
                <w:rFonts w:eastAsiaTheme="minorHAnsi"/>
                <w:iCs/>
                <w:sz w:val="22"/>
                <w:szCs w:val="22"/>
                <w:lang w:eastAsia="en-US"/>
              </w:rPr>
              <w:t xml:space="preserve">2021.gada </w:t>
            </w:r>
            <w:r w:rsidRPr="001F092D">
              <w:rPr>
                <w:rFonts w:eastAsiaTheme="minorHAnsi"/>
                <w:iCs/>
                <w:sz w:val="22"/>
                <w:szCs w:val="22"/>
                <w:lang w:eastAsia="en-US"/>
              </w:rPr>
              <w:t xml:space="preserve">30.jūnijam, </w:t>
            </w:r>
            <w:r>
              <w:rPr>
                <w:rFonts w:eastAsiaTheme="minorHAnsi"/>
                <w:iCs/>
                <w:sz w:val="22"/>
                <w:szCs w:val="22"/>
                <w:lang w:eastAsia="en-US"/>
              </w:rPr>
              <w:t xml:space="preserve">tiek prognozēts </w:t>
            </w:r>
            <w:r w:rsidRPr="001F092D">
              <w:rPr>
                <w:rFonts w:eastAsiaTheme="minorHAnsi"/>
                <w:iCs/>
                <w:sz w:val="22"/>
                <w:szCs w:val="22"/>
                <w:lang w:eastAsia="en-US"/>
              </w:rPr>
              <w:t xml:space="preserve">2 809 260 </w:t>
            </w:r>
            <w:proofErr w:type="spellStart"/>
            <w:r w:rsidR="00AC6BD1" w:rsidRPr="00AC6BD1">
              <w:rPr>
                <w:rFonts w:eastAsiaTheme="minorHAnsi"/>
                <w:i/>
                <w:iCs/>
                <w:sz w:val="22"/>
                <w:szCs w:val="22"/>
                <w:lang w:eastAsia="en-US"/>
              </w:rPr>
              <w:t>euro</w:t>
            </w:r>
            <w:proofErr w:type="spellEnd"/>
            <w:r w:rsidRPr="001F092D">
              <w:rPr>
                <w:rFonts w:eastAsiaTheme="minorHAnsi"/>
                <w:iCs/>
                <w:sz w:val="22"/>
                <w:szCs w:val="22"/>
                <w:lang w:eastAsia="en-US"/>
              </w:rPr>
              <w:t>.</w:t>
            </w:r>
          </w:p>
          <w:p w14:paraId="0BBBAE11" w14:textId="0EF3AF03" w:rsidR="00970C45" w:rsidRDefault="00970C45" w:rsidP="00970C45">
            <w:pPr>
              <w:spacing w:after="120"/>
              <w:jc w:val="both"/>
              <w:rPr>
                <w:rFonts w:eastAsiaTheme="minorHAnsi"/>
                <w:sz w:val="22"/>
                <w:szCs w:val="22"/>
                <w:lang w:eastAsia="en-US"/>
              </w:rPr>
            </w:pPr>
            <w:r w:rsidRPr="001F092D">
              <w:rPr>
                <w:rFonts w:eastAsiaTheme="minorHAnsi"/>
                <w:sz w:val="22"/>
                <w:szCs w:val="22"/>
                <w:lang w:eastAsia="en-US"/>
              </w:rPr>
              <w:t>Bezdarbnieka palīdzības pabalst</w:t>
            </w:r>
            <w:r>
              <w:rPr>
                <w:rFonts w:eastAsiaTheme="minorHAnsi"/>
                <w:sz w:val="22"/>
                <w:szCs w:val="22"/>
                <w:lang w:eastAsia="en-US"/>
              </w:rPr>
              <w:t>s</w:t>
            </w:r>
            <w:r w:rsidRPr="001F092D">
              <w:rPr>
                <w:rFonts w:eastAsiaTheme="minorHAnsi"/>
                <w:sz w:val="22"/>
                <w:szCs w:val="22"/>
                <w:lang w:eastAsia="en-US"/>
              </w:rPr>
              <w:t xml:space="preserve"> tiek finansēt</w:t>
            </w:r>
            <w:r>
              <w:rPr>
                <w:rFonts w:eastAsiaTheme="minorHAnsi"/>
                <w:sz w:val="22"/>
                <w:szCs w:val="22"/>
                <w:lang w:eastAsia="en-US"/>
              </w:rPr>
              <w:t>s</w:t>
            </w:r>
            <w:r w:rsidRPr="001F092D">
              <w:rPr>
                <w:rFonts w:eastAsiaTheme="minorHAnsi"/>
                <w:sz w:val="22"/>
                <w:szCs w:val="22"/>
                <w:lang w:eastAsia="en-US"/>
              </w:rPr>
              <w:t xml:space="preserve"> no valsts pamatbudžeta.</w:t>
            </w:r>
          </w:p>
          <w:p w14:paraId="4250334C" w14:textId="1A4C9A00" w:rsidR="00DF29F5" w:rsidRPr="00650E19" w:rsidRDefault="00DF29F5" w:rsidP="00AE3119">
            <w:pPr>
              <w:jc w:val="both"/>
              <w:rPr>
                <w:sz w:val="22"/>
                <w:szCs w:val="22"/>
              </w:rPr>
            </w:pPr>
            <w:r w:rsidRPr="00650E19">
              <w:rPr>
                <w:sz w:val="22"/>
                <w:szCs w:val="22"/>
              </w:rPr>
              <w:t xml:space="preserve">Papildus, lai nodrošinātu bezdarbnieka palīdzības izmaksu termiņa pagarinājumu, nepieciešamas izmaiņas VSAA IT sistēmās, izmantojot ārējo izstrādātāju pakalpojumus 16 cilvēkdienu apmērā. Papildus līdzekļi šo pakalpojumu apmaksai: 16 c/d * 471,90 </w:t>
            </w:r>
            <w:proofErr w:type="spellStart"/>
            <w:r w:rsidR="00AC6BD1" w:rsidRPr="00AC6BD1">
              <w:rPr>
                <w:i/>
                <w:sz w:val="22"/>
                <w:szCs w:val="22"/>
              </w:rPr>
              <w:t>euro</w:t>
            </w:r>
            <w:proofErr w:type="spellEnd"/>
            <w:r w:rsidRPr="00650E19">
              <w:rPr>
                <w:sz w:val="22"/>
                <w:szCs w:val="22"/>
              </w:rPr>
              <w:t xml:space="preserve"> = 7 551</w:t>
            </w:r>
            <w:r w:rsidRPr="00650E19">
              <w:rPr>
                <w:i/>
                <w:sz w:val="22"/>
                <w:szCs w:val="22"/>
              </w:rPr>
              <w:t xml:space="preserve"> </w:t>
            </w:r>
            <w:proofErr w:type="spellStart"/>
            <w:r w:rsidR="00AC6BD1" w:rsidRPr="00AC6BD1">
              <w:rPr>
                <w:i/>
                <w:sz w:val="22"/>
                <w:szCs w:val="22"/>
              </w:rPr>
              <w:t>euro</w:t>
            </w:r>
            <w:proofErr w:type="spellEnd"/>
            <w:r w:rsidRPr="00650E19">
              <w:rPr>
                <w:sz w:val="22"/>
                <w:szCs w:val="22"/>
              </w:rPr>
              <w:t xml:space="preserve"> (noapaļojot līdz pilniem </w:t>
            </w:r>
            <w:proofErr w:type="spellStart"/>
            <w:r w:rsidR="00AC6BD1" w:rsidRPr="00AC6BD1">
              <w:rPr>
                <w:i/>
                <w:sz w:val="22"/>
                <w:szCs w:val="22"/>
              </w:rPr>
              <w:t>euro</w:t>
            </w:r>
            <w:proofErr w:type="spellEnd"/>
            <w:r w:rsidRPr="00650E19">
              <w:rPr>
                <w:sz w:val="22"/>
                <w:szCs w:val="22"/>
              </w:rPr>
              <w:t>).</w:t>
            </w:r>
          </w:p>
          <w:p w14:paraId="02510CD4" w14:textId="1E3F206F" w:rsidR="00AE3119" w:rsidRPr="00650E19" w:rsidRDefault="00AE3119" w:rsidP="00AE3119">
            <w:pPr>
              <w:jc w:val="both"/>
              <w:rPr>
                <w:sz w:val="22"/>
                <w:szCs w:val="22"/>
              </w:rPr>
            </w:pPr>
            <w:r w:rsidRPr="00650E19">
              <w:rPr>
                <w:b/>
                <w:bCs/>
                <w:sz w:val="22"/>
                <w:szCs w:val="22"/>
              </w:rPr>
              <w:t xml:space="preserve">Provizoriskā </w:t>
            </w:r>
            <w:r w:rsidRPr="00650E19">
              <w:rPr>
                <w:sz w:val="22"/>
                <w:szCs w:val="22"/>
              </w:rPr>
              <w:t>darbietilpība izmaiņu veikšanai veidojas no:</w:t>
            </w:r>
          </w:p>
          <w:tbl>
            <w:tblPr>
              <w:tblW w:w="6700" w:type="dxa"/>
              <w:tblCellMar>
                <w:left w:w="0" w:type="dxa"/>
                <w:right w:w="0" w:type="dxa"/>
              </w:tblCellMar>
              <w:tblLook w:val="04A0" w:firstRow="1" w:lastRow="0" w:firstColumn="1" w:lastColumn="0" w:noHBand="0" w:noVBand="1"/>
            </w:tblPr>
            <w:tblGrid>
              <w:gridCol w:w="5760"/>
              <w:gridCol w:w="940"/>
            </w:tblGrid>
            <w:tr w:rsidR="00AE3119" w:rsidRPr="00650E19" w14:paraId="2036475B" w14:textId="77777777" w:rsidTr="00AE3119">
              <w:trPr>
                <w:trHeight w:val="300"/>
              </w:trPr>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A74DB1" w14:textId="77777777" w:rsidR="00AE3119" w:rsidRPr="00650E19" w:rsidRDefault="00AE3119" w:rsidP="00AE3119">
                  <w:pPr>
                    <w:rPr>
                      <w:color w:val="000000"/>
                      <w:sz w:val="22"/>
                      <w:szCs w:val="22"/>
                    </w:rPr>
                  </w:pPr>
                  <w:r w:rsidRPr="00650E19">
                    <w:rPr>
                      <w:color w:val="000000"/>
                      <w:sz w:val="22"/>
                      <w:szCs w:val="22"/>
                    </w:rPr>
                    <w:t> </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5C5BB1" w14:textId="77777777" w:rsidR="00AE3119" w:rsidRPr="00650E19" w:rsidRDefault="00AE3119" w:rsidP="00AE3119">
                  <w:pPr>
                    <w:jc w:val="center"/>
                    <w:rPr>
                      <w:color w:val="000000"/>
                      <w:sz w:val="22"/>
                      <w:szCs w:val="22"/>
                    </w:rPr>
                  </w:pPr>
                  <w:r w:rsidRPr="00650E19">
                    <w:rPr>
                      <w:color w:val="000000"/>
                      <w:sz w:val="22"/>
                      <w:szCs w:val="22"/>
                    </w:rPr>
                    <w:t>C/d</w:t>
                  </w:r>
                </w:p>
              </w:tc>
            </w:tr>
            <w:tr w:rsidR="00AE3119" w:rsidRPr="00650E19" w14:paraId="71732BA2" w14:textId="77777777" w:rsidTr="00AE3119">
              <w:trPr>
                <w:trHeight w:val="1200"/>
              </w:trPr>
              <w:tc>
                <w:tcPr>
                  <w:tcW w:w="5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5C2E6C" w14:textId="7A403E06" w:rsidR="00AE3119" w:rsidRPr="00650E19" w:rsidRDefault="00AE3119" w:rsidP="00AE3119">
                  <w:pPr>
                    <w:rPr>
                      <w:color w:val="000000"/>
                      <w:sz w:val="22"/>
                      <w:szCs w:val="22"/>
                    </w:rPr>
                  </w:pPr>
                  <w:r w:rsidRPr="00650E19">
                    <w:rPr>
                      <w:color w:val="000000"/>
                      <w:sz w:val="22"/>
                      <w:szCs w:val="22"/>
                    </w:rPr>
                    <w:t>Masveida uzdevuma pielāgošana, lai pagarinātu piešķiros bezdarbnieka palīdzības pabalstus no 4 mēnešiem uz 6 mēnešiem un atjaunotu to izmaksu, ja izmaksa jau bija beigusies</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6DC033" w14:textId="77777777" w:rsidR="00AE3119" w:rsidRPr="00650E19" w:rsidRDefault="00AE3119" w:rsidP="00AE3119">
                  <w:pPr>
                    <w:jc w:val="right"/>
                    <w:rPr>
                      <w:color w:val="000000"/>
                      <w:sz w:val="22"/>
                      <w:szCs w:val="22"/>
                    </w:rPr>
                  </w:pPr>
                  <w:r w:rsidRPr="00650E19">
                    <w:rPr>
                      <w:color w:val="000000"/>
                      <w:sz w:val="22"/>
                      <w:szCs w:val="22"/>
                    </w:rPr>
                    <w:t>16</w:t>
                  </w:r>
                </w:p>
              </w:tc>
            </w:tr>
          </w:tbl>
          <w:p w14:paraId="429CC582" w14:textId="77777777" w:rsidR="00A83F55" w:rsidRDefault="00A83F55" w:rsidP="00970C45">
            <w:pPr>
              <w:spacing w:after="120"/>
              <w:jc w:val="both"/>
              <w:rPr>
                <w:rFonts w:eastAsiaTheme="minorHAnsi"/>
                <w:sz w:val="22"/>
                <w:szCs w:val="22"/>
                <w:lang w:eastAsia="en-US"/>
              </w:rPr>
            </w:pPr>
          </w:p>
          <w:p w14:paraId="358DCF85" w14:textId="12E16DD6" w:rsidR="00AE3119" w:rsidRDefault="00A65523" w:rsidP="00970C45">
            <w:pPr>
              <w:spacing w:after="120"/>
              <w:jc w:val="both"/>
              <w:rPr>
                <w:rFonts w:eastAsiaTheme="minorHAnsi"/>
                <w:sz w:val="22"/>
                <w:szCs w:val="22"/>
                <w:lang w:eastAsia="en-US"/>
              </w:rPr>
            </w:pPr>
            <w:r>
              <w:rPr>
                <w:rFonts w:eastAsiaTheme="minorHAnsi"/>
                <w:sz w:val="22"/>
                <w:szCs w:val="22"/>
                <w:lang w:eastAsia="en-US"/>
              </w:rPr>
              <w:t xml:space="preserve">Ņemot vērā ar IT sistēmu pielāgošanu saistītos termiņus, likumprojekta noteikto normu būs iespējams ieviest 2021.gada aprīļa </w:t>
            </w:r>
            <w:r w:rsidR="00D861A5">
              <w:rPr>
                <w:rFonts w:eastAsiaTheme="minorHAnsi"/>
                <w:sz w:val="22"/>
                <w:szCs w:val="22"/>
                <w:lang w:eastAsia="en-US"/>
              </w:rPr>
              <w:t>otrajā pusē</w:t>
            </w:r>
            <w:r>
              <w:rPr>
                <w:rFonts w:eastAsiaTheme="minorHAnsi"/>
                <w:sz w:val="22"/>
                <w:szCs w:val="22"/>
                <w:lang w:eastAsia="en-US"/>
              </w:rPr>
              <w:t>.</w:t>
            </w:r>
          </w:p>
          <w:p w14:paraId="2957F663" w14:textId="56C4639E" w:rsidR="00650E19" w:rsidRPr="001F092D" w:rsidRDefault="00F667D4" w:rsidP="00970C45">
            <w:pPr>
              <w:spacing w:after="120"/>
              <w:jc w:val="both"/>
              <w:rPr>
                <w:rFonts w:eastAsiaTheme="minorHAnsi"/>
                <w:sz w:val="22"/>
                <w:szCs w:val="22"/>
                <w:lang w:eastAsia="en-US"/>
              </w:rPr>
            </w:pPr>
            <w:r w:rsidRPr="00F667D4">
              <w:rPr>
                <w:rFonts w:eastAsiaTheme="minorHAnsi"/>
                <w:sz w:val="22"/>
                <w:szCs w:val="22"/>
                <w:lang w:eastAsia="en-US"/>
              </w:rPr>
              <w:t xml:space="preserve">Līdz ar to, kopējais nepieciešamais finansējuma apmērs </w:t>
            </w:r>
            <w:r w:rsidR="002F0FA8" w:rsidRPr="00AC6BD1">
              <w:rPr>
                <w:rFonts w:eastAsiaTheme="minorHAnsi"/>
                <w:sz w:val="22"/>
                <w:szCs w:val="22"/>
                <w:lang w:eastAsia="en-US"/>
              </w:rPr>
              <w:t xml:space="preserve">likumprojekta īstenošanai </w:t>
            </w:r>
            <w:r w:rsidRPr="00F667D4">
              <w:rPr>
                <w:rFonts w:eastAsiaTheme="minorHAnsi"/>
                <w:sz w:val="22"/>
                <w:szCs w:val="22"/>
                <w:lang w:eastAsia="en-US"/>
              </w:rPr>
              <w:t xml:space="preserve">plānots </w:t>
            </w:r>
            <w:r w:rsidR="005215B9">
              <w:rPr>
                <w:rFonts w:eastAsiaTheme="minorHAnsi"/>
                <w:sz w:val="22"/>
                <w:szCs w:val="22"/>
                <w:lang w:eastAsia="en-US"/>
              </w:rPr>
              <w:t>2 816 811</w:t>
            </w:r>
            <w:r w:rsidRPr="00F667D4">
              <w:rPr>
                <w:rFonts w:eastAsiaTheme="minorHAnsi"/>
                <w:sz w:val="22"/>
                <w:szCs w:val="22"/>
                <w:lang w:eastAsia="en-US"/>
              </w:rPr>
              <w:t xml:space="preserve"> </w:t>
            </w:r>
            <w:proofErr w:type="spellStart"/>
            <w:r w:rsidR="00AC6BD1" w:rsidRPr="00AC6BD1">
              <w:rPr>
                <w:rFonts w:eastAsiaTheme="minorHAnsi"/>
                <w:i/>
                <w:sz w:val="22"/>
                <w:szCs w:val="22"/>
                <w:lang w:eastAsia="en-US"/>
              </w:rPr>
              <w:t>euro</w:t>
            </w:r>
            <w:proofErr w:type="spellEnd"/>
            <w:r w:rsidRPr="00F667D4">
              <w:rPr>
                <w:rFonts w:eastAsiaTheme="minorHAnsi"/>
                <w:sz w:val="22"/>
                <w:szCs w:val="22"/>
                <w:lang w:eastAsia="en-US"/>
              </w:rPr>
              <w:t xml:space="preserve"> apmērā, ta</w:t>
            </w:r>
            <w:r w:rsidR="008B513D">
              <w:rPr>
                <w:rFonts w:eastAsiaTheme="minorHAnsi"/>
                <w:sz w:val="22"/>
                <w:szCs w:val="22"/>
                <w:lang w:eastAsia="en-US"/>
              </w:rPr>
              <w:t>jā</w:t>
            </w:r>
            <w:r w:rsidRPr="00F667D4">
              <w:rPr>
                <w:rFonts w:eastAsiaTheme="minorHAnsi"/>
                <w:sz w:val="22"/>
                <w:szCs w:val="22"/>
                <w:lang w:eastAsia="en-US"/>
              </w:rPr>
              <w:t xml:space="preserve"> skaitā </w:t>
            </w:r>
            <w:r w:rsidR="00C165AA">
              <w:rPr>
                <w:rFonts w:eastAsiaTheme="minorHAnsi"/>
                <w:sz w:val="22"/>
                <w:szCs w:val="22"/>
                <w:lang w:eastAsia="en-US"/>
              </w:rPr>
              <w:t>2 809 260</w:t>
            </w:r>
            <w:r w:rsidRPr="00F667D4">
              <w:rPr>
                <w:rFonts w:eastAsiaTheme="minorHAnsi"/>
                <w:sz w:val="22"/>
                <w:szCs w:val="22"/>
                <w:lang w:eastAsia="en-US"/>
              </w:rPr>
              <w:t xml:space="preserve"> </w:t>
            </w:r>
            <w:proofErr w:type="spellStart"/>
            <w:r w:rsidR="00AC6BD1" w:rsidRPr="00AC6BD1">
              <w:rPr>
                <w:rFonts w:eastAsiaTheme="minorHAnsi"/>
                <w:i/>
                <w:sz w:val="22"/>
                <w:szCs w:val="22"/>
                <w:lang w:eastAsia="en-US"/>
              </w:rPr>
              <w:t>euro</w:t>
            </w:r>
            <w:proofErr w:type="spellEnd"/>
            <w:r w:rsidRPr="00F667D4">
              <w:rPr>
                <w:rFonts w:eastAsiaTheme="minorHAnsi"/>
                <w:sz w:val="22"/>
                <w:szCs w:val="22"/>
                <w:lang w:eastAsia="en-US"/>
              </w:rPr>
              <w:t xml:space="preserve"> apmērā, lai </w:t>
            </w:r>
            <w:r w:rsidR="00C165AA" w:rsidRPr="00C165AA">
              <w:rPr>
                <w:rFonts w:eastAsiaTheme="minorHAnsi"/>
                <w:sz w:val="22"/>
                <w:szCs w:val="22"/>
                <w:lang w:eastAsia="en-US"/>
              </w:rPr>
              <w:t>nodrošinātu bezdarbnieka palīdzības pabalsta izmaksas termiņa pagarinājumu no četriem līdz sešiem mēnešiem līdz 2021.gada 30.jūnijam</w:t>
            </w:r>
            <w:r w:rsidR="00AC6BD1">
              <w:rPr>
                <w:rFonts w:eastAsiaTheme="minorHAnsi"/>
                <w:sz w:val="22"/>
                <w:szCs w:val="22"/>
                <w:lang w:eastAsia="en-US"/>
              </w:rPr>
              <w:t>,</w:t>
            </w:r>
            <w:r w:rsidRPr="00F667D4">
              <w:rPr>
                <w:rFonts w:eastAsiaTheme="minorHAnsi"/>
                <w:sz w:val="22"/>
                <w:szCs w:val="22"/>
                <w:lang w:eastAsia="en-US"/>
              </w:rPr>
              <w:t xml:space="preserve"> un </w:t>
            </w:r>
            <w:r w:rsidR="00C165AA">
              <w:rPr>
                <w:rFonts w:eastAsiaTheme="minorHAnsi"/>
                <w:sz w:val="22"/>
                <w:szCs w:val="22"/>
                <w:lang w:eastAsia="en-US"/>
              </w:rPr>
              <w:t xml:space="preserve">7 551 </w:t>
            </w:r>
            <w:proofErr w:type="spellStart"/>
            <w:r w:rsidR="00AC6BD1" w:rsidRPr="00AC6BD1">
              <w:rPr>
                <w:rFonts w:eastAsiaTheme="minorHAnsi"/>
                <w:i/>
                <w:sz w:val="22"/>
                <w:szCs w:val="22"/>
                <w:lang w:eastAsia="en-US"/>
              </w:rPr>
              <w:t>euro</w:t>
            </w:r>
            <w:proofErr w:type="spellEnd"/>
            <w:r w:rsidRPr="00F667D4">
              <w:rPr>
                <w:rFonts w:eastAsiaTheme="minorHAnsi"/>
                <w:sz w:val="22"/>
                <w:szCs w:val="22"/>
                <w:lang w:eastAsia="en-US"/>
              </w:rPr>
              <w:t>, lai nodrošinātu VSAA IT sistēmu pielāgošanu.</w:t>
            </w:r>
          </w:p>
          <w:p w14:paraId="3DD31962" w14:textId="77777777" w:rsidR="001F092D" w:rsidRPr="001F092D" w:rsidRDefault="001F092D" w:rsidP="001F092D">
            <w:pPr>
              <w:spacing w:after="160" w:line="259" w:lineRule="auto"/>
              <w:jc w:val="both"/>
              <w:rPr>
                <w:rFonts w:eastAsiaTheme="minorHAnsi"/>
                <w:b/>
                <w:sz w:val="18"/>
                <w:szCs w:val="18"/>
                <w:lang w:eastAsia="en-US"/>
              </w:rPr>
            </w:pPr>
          </w:p>
        </w:tc>
      </w:tr>
      <w:tr w:rsidR="001F092D" w:rsidRPr="001F092D" w14:paraId="45BA8106" w14:textId="77777777" w:rsidTr="001F092D">
        <w:trPr>
          <w:cantSplit/>
        </w:trPr>
        <w:tc>
          <w:tcPr>
            <w:tcW w:w="922" w:type="pct"/>
            <w:tcBorders>
              <w:top w:val="single" w:sz="4" w:space="0" w:color="000000" w:themeColor="text1"/>
            </w:tcBorders>
            <w:shd w:val="clear" w:color="auto" w:fill="auto"/>
            <w:hideMark/>
          </w:tcPr>
          <w:p w14:paraId="1349A203" w14:textId="77777777" w:rsidR="001F092D" w:rsidRPr="001F092D" w:rsidRDefault="001F092D" w:rsidP="001F092D">
            <w:pPr>
              <w:jc w:val="both"/>
              <w:rPr>
                <w:rFonts w:eastAsiaTheme="minorHAnsi"/>
                <w:sz w:val="20"/>
                <w:szCs w:val="20"/>
                <w:lang w:eastAsia="en-US"/>
              </w:rPr>
            </w:pPr>
            <w:r w:rsidRPr="001F092D">
              <w:rPr>
                <w:rFonts w:eastAsiaTheme="minorHAnsi"/>
                <w:sz w:val="20"/>
                <w:szCs w:val="20"/>
                <w:lang w:eastAsia="en-US"/>
              </w:rPr>
              <w:lastRenderedPageBreak/>
              <w:t>6.1. detalizēts ieņēmumu aprēķins</w:t>
            </w:r>
          </w:p>
        </w:tc>
        <w:tc>
          <w:tcPr>
            <w:tcW w:w="4078" w:type="pct"/>
            <w:gridSpan w:val="7"/>
            <w:vMerge/>
            <w:tcBorders>
              <w:top w:val="single" w:sz="4" w:space="0" w:color="000000" w:themeColor="text1"/>
            </w:tcBorders>
            <w:shd w:val="clear" w:color="auto" w:fill="auto"/>
            <w:vAlign w:val="center"/>
            <w:hideMark/>
          </w:tcPr>
          <w:p w14:paraId="0AD919AC" w14:textId="77777777" w:rsidR="001F092D" w:rsidRPr="001F092D" w:rsidRDefault="001F092D" w:rsidP="001F092D">
            <w:pPr>
              <w:spacing w:after="160" w:line="259" w:lineRule="auto"/>
              <w:jc w:val="both"/>
              <w:rPr>
                <w:rFonts w:eastAsiaTheme="minorHAnsi"/>
                <w:sz w:val="18"/>
                <w:szCs w:val="18"/>
                <w:lang w:eastAsia="en-US"/>
              </w:rPr>
            </w:pPr>
          </w:p>
        </w:tc>
      </w:tr>
      <w:tr w:rsidR="001F092D" w:rsidRPr="001F092D" w14:paraId="69D1F0B0" w14:textId="77777777" w:rsidTr="001F092D">
        <w:trPr>
          <w:cantSplit/>
        </w:trPr>
        <w:tc>
          <w:tcPr>
            <w:tcW w:w="922" w:type="pct"/>
            <w:shd w:val="clear" w:color="auto" w:fill="auto"/>
            <w:hideMark/>
          </w:tcPr>
          <w:p w14:paraId="1EF49D19" w14:textId="77777777" w:rsidR="001F092D" w:rsidRPr="001F092D" w:rsidRDefault="001F092D" w:rsidP="001F092D">
            <w:pPr>
              <w:spacing w:after="160" w:line="259" w:lineRule="auto"/>
              <w:jc w:val="both"/>
              <w:rPr>
                <w:rFonts w:eastAsiaTheme="minorHAnsi"/>
                <w:sz w:val="20"/>
                <w:szCs w:val="20"/>
                <w:lang w:eastAsia="en-US"/>
              </w:rPr>
            </w:pPr>
            <w:r w:rsidRPr="001F092D">
              <w:rPr>
                <w:rFonts w:eastAsiaTheme="minorHAnsi"/>
                <w:sz w:val="20"/>
                <w:szCs w:val="20"/>
                <w:lang w:eastAsia="en-US"/>
              </w:rPr>
              <w:t>6.2. detalizēts izdevumu aprēķins</w:t>
            </w:r>
          </w:p>
        </w:tc>
        <w:tc>
          <w:tcPr>
            <w:tcW w:w="4078" w:type="pct"/>
            <w:gridSpan w:val="7"/>
            <w:vMerge/>
            <w:shd w:val="clear" w:color="auto" w:fill="auto"/>
            <w:vAlign w:val="center"/>
            <w:hideMark/>
          </w:tcPr>
          <w:p w14:paraId="293B7A5C" w14:textId="77777777" w:rsidR="001F092D" w:rsidRPr="001F092D" w:rsidRDefault="001F092D" w:rsidP="001F092D">
            <w:pPr>
              <w:spacing w:after="160" w:line="259" w:lineRule="auto"/>
              <w:jc w:val="both"/>
              <w:rPr>
                <w:rFonts w:eastAsiaTheme="minorHAnsi"/>
                <w:sz w:val="18"/>
                <w:szCs w:val="18"/>
                <w:lang w:eastAsia="en-US"/>
              </w:rPr>
            </w:pPr>
          </w:p>
        </w:tc>
      </w:tr>
      <w:tr w:rsidR="001F092D" w:rsidRPr="001F092D" w14:paraId="6FED418A" w14:textId="77777777" w:rsidTr="001F092D">
        <w:trPr>
          <w:cantSplit/>
        </w:trPr>
        <w:tc>
          <w:tcPr>
            <w:tcW w:w="922" w:type="pct"/>
            <w:tcBorders>
              <w:bottom w:val="single" w:sz="4" w:space="0" w:color="auto"/>
            </w:tcBorders>
            <w:shd w:val="clear" w:color="auto" w:fill="auto"/>
            <w:hideMark/>
          </w:tcPr>
          <w:p w14:paraId="360B84E7" w14:textId="77777777" w:rsidR="001F092D" w:rsidRPr="001F092D" w:rsidRDefault="001F092D" w:rsidP="001F092D">
            <w:pPr>
              <w:spacing w:after="160" w:line="259" w:lineRule="auto"/>
              <w:jc w:val="both"/>
              <w:rPr>
                <w:rFonts w:eastAsiaTheme="minorHAnsi"/>
                <w:sz w:val="20"/>
                <w:szCs w:val="20"/>
                <w:lang w:eastAsia="en-US"/>
              </w:rPr>
            </w:pPr>
            <w:r w:rsidRPr="001F092D">
              <w:rPr>
                <w:rFonts w:eastAsiaTheme="minorHAnsi"/>
                <w:sz w:val="20"/>
                <w:szCs w:val="20"/>
                <w:lang w:eastAsia="en-US"/>
              </w:rPr>
              <w:t>7. Amata vietu skaita izmaiņas</w:t>
            </w:r>
          </w:p>
        </w:tc>
        <w:tc>
          <w:tcPr>
            <w:tcW w:w="4078" w:type="pct"/>
            <w:gridSpan w:val="7"/>
            <w:tcBorders>
              <w:bottom w:val="single" w:sz="4" w:space="0" w:color="auto"/>
            </w:tcBorders>
            <w:shd w:val="clear" w:color="auto" w:fill="auto"/>
            <w:hideMark/>
          </w:tcPr>
          <w:p w14:paraId="72F65A25" w14:textId="77777777" w:rsidR="001F092D" w:rsidRPr="001F092D" w:rsidRDefault="001F092D" w:rsidP="001F092D">
            <w:pPr>
              <w:spacing w:after="160" w:line="259" w:lineRule="auto"/>
              <w:jc w:val="both"/>
              <w:rPr>
                <w:rFonts w:eastAsiaTheme="minorHAnsi"/>
                <w:sz w:val="18"/>
                <w:szCs w:val="18"/>
                <w:lang w:eastAsia="en-US"/>
              </w:rPr>
            </w:pPr>
            <w:r w:rsidRPr="001F092D">
              <w:rPr>
                <w:rFonts w:eastAsiaTheme="minorHAnsi"/>
                <w:sz w:val="18"/>
                <w:szCs w:val="18"/>
                <w:lang w:eastAsia="en-US"/>
              </w:rPr>
              <w:t>Nav.</w:t>
            </w:r>
          </w:p>
        </w:tc>
      </w:tr>
      <w:tr w:rsidR="001F092D" w:rsidRPr="001F092D" w14:paraId="3E325EA2" w14:textId="77777777" w:rsidTr="001F092D">
        <w:trPr>
          <w:cantSplit/>
        </w:trPr>
        <w:tc>
          <w:tcPr>
            <w:tcW w:w="922" w:type="pct"/>
            <w:tcBorders>
              <w:bottom w:val="single" w:sz="4" w:space="0" w:color="auto"/>
            </w:tcBorders>
            <w:shd w:val="clear" w:color="auto" w:fill="auto"/>
            <w:hideMark/>
          </w:tcPr>
          <w:p w14:paraId="7BF82DF6" w14:textId="77777777" w:rsidR="001F092D" w:rsidRPr="001F092D" w:rsidRDefault="001F092D" w:rsidP="001F092D">
            <w:pPr>
              <w:spacing w:after="160" w:line="259" w:lineRule="auto"/>
              <w:jc w:val="both"/>
              <w:rPr>
                <w:rFonts w:eastAsiaTheme="minorHAnsi"/>
                <w:sz w:val="20"/>
                <w:szCs w:val="20"/>
                <w:lang w:eastAsia="en-US"/>
              </w:rPr>
            </w:pPr>
            <w:r w:rsidRPr="001F092D">
              <w:rPr>
                <w:rFonts w:eastAsiaTheme="minorHAnsi"/>
                <w:sz w:val="20"/>
                <w:szCs w:val="20"/>
                <w:lang w:eastAsia="en-US"/>
              </w:rPr>
              <w:lastRenderedPageBreak/>
              <w:t>8. Cita informācija</w:t>
            </w:r>
          </w:p>
        </w:tc>
        <w:tc>
          <w:tcPr>
            <w:tcW w:w="4078" w:type="pct"/>
            <w:gridSpan w:val="7"/>
            <w:tcBorders>
              <w:bottom w:val="single" w:sz="4" w:space="0" w:color="auto"/>
            </w:tcBorders>
            <w:shd w:val="clear" w:color="auto" w:fill="auto"/>
            <w:vAlign w:val="center"/>
          </w:tcPr>
          <w:p w14:paraId="2DE9027C" w14:textId="11457024" w:rsidR="008B513D" w:rsidRPr="00A92363" w:rsidRDefault="00970C45" w:rsidP="008B513D">
            <w:pPr>
              <w:spacing w:after="120"/>
              <w:jc w:val="both"/>
              <w:rPr>
                <w:sz w:val="22"/>
                <w:szCs w:val="22"/>
              </w:rPr>
            </w:pPr>
            <w:r w:rsidRPr="00C165AA">
              <w:rPr>
                <w:sz w:val="22"/>
                <w:szCs w:val="22"/>
              </w:rPr>
              <w:t xml:space="preserve">Labklājības ministrija normatīvajos aktos noteiktajā kārtībā sagatavos un iesniegs izskatīšanai  Ministru kabineta rīkojuma </w:t>
            </w:r>
            <w:r w:rsidRPr="00A92363">
              <w:rPr>
                <w:sz w:val="22"/>
                <w:szCs w:val="22"/>
              </w:rPr>
              <w:t xml:space="preserve">projektu </w:t>
            </w:r>
            <w:r w:rsidR="008D1AE8" w:rsidRPr="00A92363">
              <w:rPr>
                <w:sz w:val="22"/>
                <w:szCs w:val="22"/>
              </w:rPr>
              <w:t xml:space="preserve">“Grozījumi Ministru kabineta 2021.gada 11.janvāra rīkojumā Nr.16 “Par finanšu līdzekļu piešķiršanu no valsts budžeta programmas “Līdzekļi neparedzētiem gadījumiem”””, paredzot līdzekļu palielinājumu no valsts budžeta  programmas 02.00.00 „Līdzekļi neparedzētiem gadījumiem”, kas nepārsniedz 2 816 811 </w:t>
            </w:r>
            <w:proofErr w:type="spellStart"/>
            <w:r w:rsidR="00AC6BD1" w:rsidRPr="00AC6BD1">
              <w:rPr>
                <w:i/>
                <w:sz w:val="22"/>
                <w:szCs w:val="22"/>
              </w:rPr>
              <w:t>euro</w:t>
            </w:r>
            <w:proofErr w:type="spellEnd"/>
            <w:r w:rsidR="008D1AE8" w:rsidRPr="00A92363">
              <w:rPr>
                <w:sz w:val="22"/>
                <w:szCs w:val="22"/>
              </w:rPr>
              <w:t xml:space="preserve">, tajā skaitā 2 809 260 </w:t>
            </w:r>
            <w:proofErr w:type="spellStart"/>
            <w:r w:rsidR="00AC6BD1" w:rsidRPr="00AC6BD1">
              <w:rPr>
                <w:i/>
                <w:sz w:val="22"/>
                <w:szCs w:val="22"/>
              </w:rPr>
              <w:t>euro</w:t>
            </w:r>
            <w:proofErr w:type="spellEnd"/>
            <w:r w:rsidR="008D1AE8" w:rsidRPr="00A92363">
              <w:rPr>
                <w:sz w:val="22"/>
                <w:szCs w:val="22"/>
              </w:rPr>
              <w:t>, lai nodrošinātu bezdarbnieka palīdzības pabalsta izmaksas termiņa pagarinājumu no četriem līdz sešiem mēnešiem līdz 2021.gada 30.jūnijam</w:t>
            </w:r>
            <w:r w:rsidR="00A92363" w:rsidRPr="00A92363">
              <w:rPr>
                <w:sz w:val="22"/>
                <w:szCs w:val="22"/>
              </w:rPr>
              <w:t>,</w:t>
            </w:r>
            <w:r w:rsidR="008D1AE8" w:rsidRPr="00A92363">
              <w:rPr>
                <w:sz w:val="22"/>
                <w:szCs w:val="22"/>
              </w:rPr>
              <w:t xml:space="preserve"> un 7 551 </w:t>
            </w:r>
            <w:proofErr w:type="spellStart"/>
            <w:r w:rsidR="00AC6BD1" w:rsidRPr="00AC6BD1">
              <w:rPr>
                <w:i/>
                <w:sz w:val="22"/>
                <w:szCs w:val="22"/>
              </w:rPr>
              <w:t>euro</w:t>
            </w:r>
            <w:proofErr w:type="spellEnd"/>
            <w:r w:rsidR="008D1AE8" w:rsidRPr="00A92363">
              <w:rPr>
                <w:sz w:val="22"/>
                <w:szCs w:val="22"/>
              </w:rPr>
              <w:t>, lai nodrošinātu VSAA IT sistēmu pielāgošanu.</w:t>
            </w:r>
          </w:p>
          <w:p w14:paraId="6D6EEA87" w14:textId="7A31778D" w:rsidR="008D1AE8" w:rsidRPr="00A92363" w:rsidRDefault="00FD13C1" w:rsidP="008B513D">
            <w:pPr>
              <w:spacing w:after="120"/>
              <w:jc w:val="both"/>
              <w:rPr>
                <w:rFonts w:eastAsiaTheme="minorHAnsi"/>
                <w:sz w:val="22"/>
                <w:szCs w:val="22"/>
                <w:lang w:eastAsia="en-US"/>
              </w:rPr>
            </w:pPr>
            <w:r w:rsidRPr="00A92363">
              <w:rPr>
                <w:rFonts w:eastAsiaTheme="minorHAnsi"/>
                <w:sz w:val="22"/>
                <w:szCs w:val="22"/>
                <w:lang w:eastAsia="en-US"/>
              </w:rPr>
              <w:t xml:space="preserve">Pamatojoties uz Ministru kabineta 2021.gada 11.janvāra rīkojumu Nr.16 “Par finanšu līdzekļu piešķiršanu no valsts budžeta programmas “Līdzekļi neparedzētiem gadījumiem”” bezdarbnieka palīdzības pabalsta izmaksai jau ir piešķirts finansējums nepārsniedzot 3 314 520 </w:t>
            </w:r>
            <w:proofErr w:type="spellStart"/>
            <w:r w:rsidR="00AC6BD1" w:rsidRPr="00AC6BD1">
              <w:rPr>
                <w:rFonts w:eastAsiaTheme="minorHAnsi"/>
                <w:i/>
                <w:sz w:val="22"/>
                <w:szCs w:val="22"/>
                <w:lang w:eastAsia="en-US"/>
              </w:rPr>
              <w:t>euro</w:t>
            </w:r>
            <w:proofErr w:type="spellEnd"/>
            <w:r w:rsidRPr="00A92363">
              <w:rPr>
                <w:rFonts w:eastAsiaTheme="minorHAnsi"/>
                <w:sz w:val="22"/>
                <w:szCs w:val="22"/>
                <w:lang w:eastAsia="en-US"/>
              </w:rPr>
              <w:t xml:space="preserve">, lai atbilstoši likuma “Par apdrošināšanu bezdarba gadījumam” pārejas noteikumu 23. un 24. punktam nodrošinātu bezdarbnieka palīdzības pabalsta izmaksu 180 </w:t>
            </w:r>
            <w:proofErr w:type="spellStart"/>
            <w:r w:rsidR="00AC6BD1" w:rsidRPr="00AC6BD1">
              <w:rPr>
                <w:rFonts w:eastAsiaTheme="minorHAnsi"/>
                <w:i/>
                <w:sz w:val="22"/>
                <w:szCs w:val="22"/>
                <w:lang w:eastAsia="en-US"/>
              </w:rPr>
              <w:t>euro</w:t>
            </w:r>
            <w:proofErr w:type="spellEnd"/>
            <w:r w:rsidRPr="00A92363">
              <w:rPr>
                <w:rFonts w:eastAsiaTheme="minorHAnsi"/>
                <w:sz w:val="22"/>
                <w:szCs w:val="22"/>
                <w:lang w:eastAsia="en-US"/>
              </w:rPr>
              <w:t xml:space="preserve">  apmērā laikposmā no 2021. gada 1. janvāra līdz 2021. gada 30. jūnijam. Vienlaikus Labklājības ministrija jau ir sagatavojusi grozījumus minētajā rīkojumā, paredzot papildus finansējumu bezdarbnieka palīdzības pabalstu izmaksas nodrošināšanai 2021.gadā 7 387 920 </w:t>
            </w:r>
            <w:proofErr w:type="spellStart"/>
            <w:r w:rsidR="00AC6BD1" w:rsidRPr="00AC6BD1">
              <w:rPr>
                <w:rFonts w:eastAsiaTheme="minorHAnsi"/>
                <w:i/>
                <w:sz w:val="22"/>
                <w:szCs w:val="22"/>
                <w:lang w:eastAsia="en-US"/>
              </w:rPr>
              <w:t>euro</w:t>
            </w:r>
            <w:proofErr w:type="spellEnd"/>
            <w:r w:rsidRPr="00A92363">
              <w:rPr>
                <w:rFonts w:eastAsiaTheme="minorHAnsi"/>
                <w:sz w:val="22"/>
                <w:szCs w:val="22"/>
                <w:lang w:eastAsia="en-US"/>
              </w:rPr>
              <w:t xml:space="preserve"> apmērā, saistībā ar bezdarbnieka palīdzības pabalsta saņēmēju skaita palielināšanos (plānots izskatīt Ministru kabineta 202</w:t>
            </w:r>
            <w:r w:rsidR="0050491E" w:rsidRPr="00A92363">
              <w:rPr>
                <w:rFonts w:eastAsiaTheme="minorHAnsi"/>
                <w:sz w:val="22"/>
                <w:szCs w:val="22"/>
                <w:lang w:eastAsia="en-US"/>
              </w:rPr>
              <w:t>1</w:t>
            </w:r>
            <w:r w:rsidRPr="00A92363">
              <w:rPr>
                <w:rFonts w:eastAsiaTheme="minorHAnsi"/>
                <w:sz w:val="22"/>
                <w:szCs w:val="22"/>
                <w:lang w:eastAsia="en-US"/>
              </w:rPr>
              <w:t>.</w:t>
            </w:r>
            <w:r w:rsidRPr="00AC6BD1">
              <w:rPr>
                <w:rFonts w:eastAsiaTheme="minorHAnsi"/>
                <w:sz w:val="22"/>
                <w:szCs w:val="22"/>
                <w:lang w:eastAsia="en-US"/>
              </w:rPr>
              <w:t>gada 9.marta sēdē).</w:t>
            </w:r>
          </w:p>
          <w:p w14:paraId="07D8EA22" w14:textId="32CF3154" w:rsidR="00FD13C1" w:rsidRPr="00A92363" w:rsidRDefault="00FD13C1" w:rsidP="008B513D">
            <w:pPr>
              <w:spacing w:after="120"/>
              <w:jc w:val="both"/>
              <w:rPr>
                <w:rFonts w:eastAsiaTheme="minorHAnsi"/>
                <w:sz w:val="22"/>
                <w:szCs w:val="22"/>
                <w:lang w:eastAsia="en-US"/>
              </w:rPr>
            </w:pPr>
            <w:r w:rsidRPr="00A92363">
              <w:rPr>
                <w:rFonts w:eastAsiaTheme="minorHAnsi"/>
                <w:sz w:val="22"/>
                <w:szCs w:val="22"/>
                <w:lang w:eastAsia="en-US"/>
              </w:rPr>
              <w:t xml:space="preserve">Līdz ar to kopējais finansējums bezdarbnieka pabalsta izmaksu nodrošināšanai līdz 2021.gada 30.jūnijam tiek prognozēts 13 519 251 </w:t>
            </w:r>
            <w:proofErr w:type="spellStart"/>
            <w:r w:rsidR="00AC6BD1" w:rsidRPr="00AC6BD1">
              <w:rPr>
                <w:rFonts w:eastAsiaTheme="minorHAnsi"/>
                <w:i/>
                <w:sz w:val="22"/>
                <w:szCs w:val="22"/>
                <w:lang w:eastAsia="en-US"/>
              </w:rPr>
              <w:t>euro</w:t>
            </w:r>
            <w:proofErr w:type="spellEnd"/>
            <w:r w:rsidRPr="00A92363">
              <w:rPr>
                <w:rFonts w:eastAsiaTheme="minorHAnsi"/>
                <w:sz w:val="22"/>
                <w:szCs w:val="22"/>
                <w:lang w:eastAsia="en-US"/>
              </w:rPr>
              <w:t xml:space="preserve"> </w:t>
            </w:r>
            <w:r w:rsidR="00723754" w:rsidRPr="00A92363">
              <w:rPr>
                <w:rFonts w:eastAsiaTheme="minorHAnsi"/>
                <w:sz w:val="22"/>
                <w:szCs w:val="22"/>
                <w:lang w:eastAsia="en-US"/>
              </w:rPr>
              <w:t xml:space="preserve">apmērā, tajā skaitā 13 511 700 </w:t>
            </w:r>
            <w:proofErr w:type="spellStart"/>
            <w:r w:rsidR="00AC6BD1" w:rsidRPr="00AC6BD1">
              <w:rPr>
                <w:rFonts w:eastAsiaTheme="minorHAnsi"/>
                <w:i/>
                <w:sz w:val="22"/>
                <w:szCs w:val="22"/>
                <w:lang w:eastAsia="en-US"/>
              </w:rPr>
              <w:t>euro</w:t>
            </w:r>
            <w:proofErr w:type="spellEnd"/>
            <w:r w:rsidR="00723754" w:rsidRPr="00A92363">
              <w:rPr>
                <w:rFonts w:eastAsiaTheme="minorHAnsi"/>
                <w:sz w:val="22"/>
                <w:szCs w:val="22"/>
                <w:lang w:eastAsia="en-US"/>
              </w:rPr>
              <w:t xml:space="preserve"> bezdarbnieka palīdzības pabalsta izmaksu nodrošināšanai un 7 551 </w:t>
            </w:r>
            <w:proofErr w:type="spellStart"/>
            <w:r w:rsidR="00AC6BD1" w:rsidRPr="00AC6BD1">
              <w:rPr>
                <w:rFonts w:eastAsiaTheme="minorHAnsi"/>
                <w:i/>
                <w:sz w:val="22"/>
                <w:szCs w:val="22"/>
                <w:lang w:eastAsia="en-US"/>
              </w:rPr>
              <w:t>euro</w:t>
            </w:r>
            <w:proofErr w:type="spellEnd"/>
            <w:r w:rsidR="00723754" w:rsidRPr="00A92363">
              <w:rPr>
                <w:rFonts w:eastAsiaTheme="minorHAnsi"/>
                <w:sz w:val="22"/>
                <w:szCs w:val="22"/>
                <w:lang w:eastAsia="en-US"/>
              </w:rPr>
              <w:t>, VSAA IT sistēmu pielāgošanas nodrošināšanai.</w:t>
            </w:r>
          </w:p>
          <w:p w14:paraId="02C0EC35" w14:textId="28826853" w:rsidR="001F092D" w:rsidRPr="001F092D" w:rsidRDefault="00970C45" w:rsidP="00970C45">
            <w:pPr>
              <w:spacing w:after="160" w:line="259" w:lineRule="auto"/>
              <w:jc w:val="both"/>
              <w:rPr>
                <w:rFonts w:eastAsiaTheme="minorHAnsi"/>
                <w:sz w:val="22"/>
                <w:szCs w:val="22"/>
                <w:highlight w:val="yellow"/>
                <w:lang w:eastAsia="en-US"/>
              </w:rPr>
            </w:pPr>
            <w:r w:rsidRPr="001F092D">
              <w:rPr>
                <w:rFonts w:eastAsiaTheme="minorHAnsi"/>
                <w:sz w:val="22"/>
                <w:szCs w:val="22"/>
                <w:lang w:eastAsia="en-US"/>
              </w:rPr>
              <w:t>Minētā pabalsta izmaksu nodrošinās VSAA.</w:t>
            </w:r>
          </w:p>
        </w:tc>
      </w:tr>
    </w:tbl>
    <w:p w14:paraId="2D653B3B" w14:textId="77777777" w:rsidR="007E731C" w:rsidRDefault="007E731C" w:rsidP="007E731C">
      <w:pPr>
        <w:rPr>
          <w:iCs/>
        </w:rPr>
      </w:pPr>
    </w:p>
    <w:p w14:paraId="1F9E10C4" w14:textId="77777777" w:rsidR="007E731C" w:rsidRPr="000B7BBC" w:rsidRDefault="007E731C" w:rsidP="007E731C">
      <w:pPr>
        <w:rPr>
          <w:iCs/>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731C" w:rsidRPr="000B7BBC" w14:paraId="2E19F278" w14:textId="77777777" w:rsidTr="00C11B8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F5E9E0" w14:textId="77777777" w:rsidR="007E731C" w:rsidRPr="000B7BBC" w:rsidRDefault="007E731C" w:rsidP="001F092D">
            <w:pPr>
              <w:spacing w:line="276" w:lineRule="auto"/>
              <w:rPr>
                <w:b/>
                <w:bCs/>
                <w:iCs/>
                <w:noProof/>
                <w:lang w:eastAsia="en-US"/>
              </w:rPr>
            </w:pPr>
            <w:r w:rsidRPr="000B7BBC">
              <w:rPr>
                <w:b/>
                <w:bCs/>
                <w:iCs/>
                <w:noProof/>
                <w:lang w:eastAsia="en-US"/>
              </w:rPr>
              <w:t>IV. Tiesību akta projekta ietekme uz spēkā esošo tiesību normu sistēmu</w:t>
            </w:r>
          </w:p>
        </w:tc>
      </w:tr>
      <w:tr w:rsidR="00C11B81" w:rsidRPr="000B7BBC" w14:paraId="6F1AAC76" w14:textId="77777777" w:rsidTr="00C11B8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477B2FF" w14:textId="77777777" w:rsidR="00C11B81" w:rsidRPr="000B7BBC" w:rsidRDefault="00C11B81" w:rsidP="00C11B81">
            <w:pPr>
              <w:spacing w:line="276" w:lineRule="auto"/>
              <w:jc w:val="center"/>
              <w:rPr>
                <w:b/>
                <w:bCs/>
                <w:iCs/>
                <w:noProof/>
                <w:lang w:eastAsia="en-US"/>
              </w:rPr>
            </w:pPr>
            <w:r w:rsidRPr="000B7BBC">
              <w:rPr>
                <w:lang w:eastAsia="en-US"/>
              </w:rPr>
              <w:t>Likumprojekts šo jomu neskar.</w:t>
            </w:r>
          </w:p>
        </w:tc>
      </w:tr>
    </w:tbl>
    <w:p w14:paraId="6D57242C" w14:textId="77777777" w:rsidR="007E731C" w:rsidRPr="000B7BBC" w:rsidRDefault="007E731C" w:rsidP="007E731C">
      <w:pPr>
        <w:rPr>
          <w:iCs/>
        </w:rPr>
      </w:pPr>
      <w:r w:rsidRPr="000B7B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731C" w:rsidRPr="000B7BBC" w14:paraId="65347A02" w14:textId="77777777" w:rsidTr="001F09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3AF2F" w14:textId="77777777" w:rsidR="007E731C" w:rsidRPr="000B7BBC" w:rsidRDefault="007E731C" w:rsidP="001F092D">
            <w:pPr>
              <w:spacing w:line="276" w:lineRule="auto"/>
              <w:rPr>
                <w:b/>
                <w:bCs/>
                <w:iCs/>
                <w:lang w:eastAsia="en-US"/>
              </w:rPr>
            </w:pPr>
            <w:r w:rsidRPr="000B7BBC">
              <w:rPr>
                <w:b/>
                <w:bCs/>
                <w:iCs/>
                <w:lang w:eastAsia="en-US"/>
              </w:rPr>
              <w:t>V. Tiesību akta projekta atbilstība Latvijas Republikas starptautiskajām saistībām</w:t>
            </w:r>
          </w:p>
        </w:tc>
      </w:tr>
      <w:tr w:rsidR="007E731C" w:rsidRPr="000B7BBC" w14:paraId="21D80A8B" w14:textId="77777777" w:rsidTr="001F092D">
        <w:trPr>
          <w:trHeight w:val="432"/>
          <w:tblCellSpacing w:w="15" w:type="dxa"/>
        </w:trPr>
        <w:tc>
          <w:tcPr>
            <w:tcW w:w="4967" w:type="pct"/>
            <w:tcBorders>
              <w:top w:val="outset" w:sz="6" w:space="0" w:color="auto"/>
              <w:left w:val="outset" w:sz="6" w:space="0" w:color="auto"/>
              <w:bottom w:val="nil"/>
              <w:right w:val="outset" w:sz="6" w:space="0" w:color="auto"/>
            </w:tcBorders>
            <w:hideMark/>
          </w:tcPr>
          <w:p w14:paraId="29399A0F" w14:textId="77777777" w:rsidR="007E731C" w:rsidRPr="000B7BBC" w:rsidRDefault="007E731C" w:rsidP="001F092D">
            <w:pPr>
              <w:spacing w:line="276" w:lineRule="auto"/>
              <w:jc w:val="center"/>
              <w:rPr>
                <w:iCs/>
                <w:lang w:eastAsia="en-US"/>
              </w:rPr>
            </w:pPr>
            <w:r w:rsidRPr="000B7BBC">
              <w:rPr>
                <w:lang w:eastAsia="en-US"/>
              </w:rPr>
              <w:t>Likumprojekts šo jomu neskar.</w:t>
            </w:r>
          </w:p>
        </w:tc>
      </w:tr>
    </w:tbl>
    <w:p w14:paraId="781928D8" w14:textId="77777777" w:rsidR="007E731C" w:rsidRPr="000B7BBC" w:rsidRDefault="007E731C" w:rsidP="007E731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731C" w:rsidRPr="000B7BBC" w14:paraId="6D3A2217" w14:textId="77777777" w:rsidTr="001F09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0E911" w14:textId="77777777" w:rsidR="007E731C" w:rsidRPr="000B7BBC" w:rsidRDefault="007E731C" w:rsidP="001F092D">
            <w:pPr>
              <w:spacing w:line="276" w:lineRule="auto"/>
              <w:rPr>
                <w:b/>
                <w:bCs/>
                <w:iCs/>
                <w:lang w:eastAsia="en-US"/>
              </w:rPr>
            </w:pPr>
            <w:r w:rsidRPr="000B7BBC">
              <w:rPr>
                <w:b/>
                <w:bCs/>
                <w:iCs/>
                <w:lang w:eastAsia="en-US"/>
              </w:rPr>
              <w:t>VI. Sabiedrības līdzdalība un komunikācijas aktivitātes</w:t>
            </w:r>
          </w:p>
        </w:tc>
      </w:tr>
      <w:tr w:rsidR="005863F3" w:rsidRPr="000B7BBC" w14:paraId="36CC6E52" w14:textId="77777777" w:rsidTr="001F09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B80CB6" w14:textId="6A952771" w:rsidR="005863F3" w:rsidRPr="000B7BBC" w:rsidRDefault="005863F3" w:rsidP="005863F3">
            <w:pPr>
              <w:spacing w:line="276" w:lineRule="auto"/>
              <w:jc w:val="center"/>
              <w:rPr>
                <w:b/>
                <w:bCs/>
                <w:iCs/>
                <w:lang w:eastAsia="en-US"/>
              </w:rPr>
            </w:pPr>
            <w:r w:rsidRPr="00297877">
              <w:rPr>
                <w:bCs/>
                <w:iCs/>
              </w:rPr>
              <w:t>Likumprojekts šo jomu neskar</w:t>
            </w:r>
            <w:r w:rsidR="00297877" w:rsidRPr="00297877">
              <w:rPr>
                <w:bCs/>
                <w:iCs/>
              </w:rPr>
              <w:t>.</w:t>
            </w:r>
          </w:p>
        </w:tc>
      </w:tr>
    </w:tbl>
    <w:p w14:paraId="581B49B1" w14:textId="77777777" w:rsidR="007E731C" w:rsidRPr="000B7BBC" w:rsidRDefault="007E731C" w:rsidP="007E731C">
      <w:pPr>
        <w:rPr>
          <w:iCs/>
        </w:rPr>
      </w:pPr>
      <w:r w:rsidRPr="000B7BBC">
        <w:rPr>
          <w:iCs/>
        </w:rPr>
        <w:t xml:space="preserve">  </w:t>
      </w:r>
    </w:p>
    <w:p w14:paraId="29E6E571" w14:textId="77777777" w:rsidR="007E731C" w:rsidRPr="000B7BBC" w:rsidRDefault="007E731C" w:rsidP="007E731C">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731C" w:rsidRPr="000B7BBC" w14:paraId="163FB1B4" w14:textId="77777777" w:rsidTr="001F09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FCE73C" w14:textId="77777777" w:rsidR="007E731C" w:rsidRPr="000B7BBC" w:rsidRDefault="007E731C" w:rsidP="001F092D">
            <w:pPr>
              <w:spacing w:line="276" w:lineRule="auto"/>
              <w:rPr>
                <w:b/>
                <w:bCs/>
                <w:iCs/>
                <w:lang w:eastAsia="en-US"/>
              </w:rPr>
            </w:pPr>
            <w:r w:rsidRPr="000B7BBC">
              <w:rPr>
                <w:b/>
                <w:bCs/>
                <w:iCs/>
                <w:lang w:eastAsia="en-US"/>
              </w:rPr>
              <w:t>VII. Tiesību akta projekta izpildes nodrošināšana un tās ietekme uz institūcijām</w:t>
            </w:r>
          </w:p>
        </w:tc>
      </w:tr>
      <w:tr w:rsidR="007E731C" w:rsidRPr="000B7BBC" w14:paraId="0593A988" w14:textId="77777777" w:rsidTr="001F09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91161E" w14:textId="77777777" w:rsidR="007E731C" w:rsidRPr="000B7BBC" w:rsidRDefault="007E731C" w:rsidP="001F092D">
            <w:pPr>
              <w:spacing w:line="276" w:lineRule="auto"/>
              <w:rPr>
                <w:iCs/>
                <w:lang w:eastAsia="en-US"/>
              </w:rPr>
            </w:pPr>
            <w:r w:rsidRPr="000B7BBC">
              <w:rPr>
                <w:iCs/>
                <w:lang w:eastAsia="en-US"/>
              </w:rPr>
              <w:t>1.</w:t>
            </w:r>
          </w:p>
        </w:tc>
        <w:tc>
          <w:tcPr>
            <w:tcW w:w="1700" w:type="pct"/>
            <w:tcBorders>
              <w:top w:val="outset" w:sz="6" w:space="0" w:color="auto"/>
              <w:left w:val="outset" w:sz="6" w:space="0" w:color="auto"/>
              <w:bottom w:val="outset" w:sz="6" w:space="0" w:color="auto"/>
              <w:right w:val="outset" w:sz="6" w:space="0" w:color="auto"/>
            </w:tcBorders>
            <w:hideMark/>
          </w:tcPr>
          <w:p w14:paraId="6D0A3A90" w14:textId="77777777" w:rsidR="007E731C" w:rsidRPr="000B7BBC" w:rsidRDefault="007E731C" w:rsidP="001F092D">
            <w:pPr>
              <w:spacing w:line="276" w:lineRule="auto"/>
              <w:rPr>
                <w:iCs/>
                <w:lang w:eastAsia="en-US"/>
              </w:rPr>
            </w:pPr>
            <w:r w:rsidRPr="000B7BBC">
              <w:rPr>
                <w:iCs/>
                <w:lang w:eastAsia="en-U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C7592F6" w14:textId="77777777" w:rsidR="007E731C" w:rsidRPr="000B7BBC" w:rsidRDefault="007E731C" w:rsidP="001F092D">
            <w:pPr>
              <w:spacing w:line="276" w:lineRule="auto"/>
              <w:rPr>
                <w:iCs/>
                <w:lang w:eastAsia="en-US"/>
              </w:rPr>
            </w:pPr>
            <w:r w:rsidRPr="000B7BBC">
              <w:rPr>
                <w:color w:val="000000"/>
                <w:spacing w:val="-4"/>
                <w:shd w:val="clear" w:color="auto" w:fill="FFFFFF"/>
                <w:lang w:eastAsia="en-US"/>
              </w:rPr>
              <w:t>VSAA.</w:t>
            </w:r>
          </w:p>
        </w:tc>
      </w:tr>
      <w:tr w:rsidR="007E731C" w:rsidRPr="000B7BBC" w14:paraId="2B47855E" w14:textId="77777777" w:rsidTr="001F09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B88CC" w14:textId="77777777" w:rsidR="007E731C" w:rsidRPr="000B7BBC" w:rsidRDefault="007E731C" w:rsidP="001F092D">
            <w:pPr>
              <w:spacing w:line="276" w:lineRule="auto"/>
              <w:rPr>
                <w:iCs/>
                <w:lang w:eastAsia="en-US"/>
              </w:rPr>
            </w:pPr>
            <w:bookmarkStart w:id="5" w:name="_Hlk48295597"/>
            <w:r w:rsidRPr="000B7BBC">
              <w:rPr>
                <w:iCs/>
                <w:lang w:eastAsia="en-US"/>
              </w:rPr>
              <w:t>2.</w:t>
            </w:r>
          </w:p>
        </w:tc>
        <w:tc>
          <w:tcPr>
            <w:tcW w:w="1700" w:type="pct"/>
            <w:tcBorders>
              <w:top w:val="outset" w:sz="6" w:space="0" w:color="auto"/>
              <w:left w:val="outset" w:sz="6" w:space="0" w:color="auto"/>
              <w:bottom w:val="outset" w:sz="6" w:space="0" w:color="auto"/>
              <w:right w:val="outset" w:sz="6" w:space="0" w:color="auto"/>
            </w:tcBorders>
            <w:hideMark/>
          </w:tcPr>
          <w:p w14:paraId="5D1BAB09" w14:textId="77777777" w:rsidR="007E731C" w:rsidRPr="000B7BBC" w:rsidRDefault="007E731C" w:rsidP="001F092D">
            <w:pPr>
              <w:spacing w:line="276" w:lineRule="auto"/>
              <w:rPr>
                <w:iCs/>
                <w:lang w:eastAsia="en-US"/>
              </w:rPr>
            </w:pPr>
            <w:r w:rsidRPr="000B7BBC">
              <w:rPr>
                <w:iCs/>
                <w:lang w:eastAsia="en-US"/>
              </w:rPr>
              <w:t>Projekta izpildes ietekme uz pārvaldes funkcijām un institucionālo struktūru.</w:t>
            </w:r>
            <w:r w:rsidRPr="000B7BBC">
              <w:rPr>
                <w:iCs/>
                <w:lang w:eastAsia="en-US"/>
              </w:rPr>
              <w:br/>
              <w:t xml:space="preserve">Jaunu institūciju izveide, esošu institūciju likvidācija </w:t>
            </w:r>
            <w:r w:rsidRPr="000B7BBC">
              <w:rPr>
                <w:iCs/>
                <w:lang w:eastAsia="en-US"/>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97D6991" w14:textId="77777777" w:rsidR="007E731C" w:rsidRPr="000B7BBC" w:rsidRDefault="007E731C" w:rsidP="001F092D">
            <w:pPr>
              <w:spacing w:line="276" w:lineRule="auto"/>
              <w:jc w:val="both"/>
              <w:rPr>
                <w:iCs/>
                <w:lang w:eastAsia="en-US"/>
              </w:rPr>
            </w:pPr>
            <w:r>
              <w:rPr>
                <w:iCs/>
                <w:noProof/>
              </w:rPr>
              <w:lastRenderedPageBreak/>
              <w:t>Nav plānota esošu institūciju likvidācija vai reorganizācija. Pēc likuma spēkā stāšanās tā īstenošana notiks, izmantojot esošos cilvēkresursus.</w:t>
            </w:r>
          </w:p>
        </w:tc>
      </w:tr>
      <w:bookmarkEnd w:id="5"/>
      <w:tr w:rsidR="007E731C" w:rsidRPr="000B7BBC" w14:paraId="1EC03697" w14:textId="77777777" w:rsidTr="001F09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428A2" w14:textId="77777777" w:rsidR="007E731C" w:rsidRPr="000B7BBC" w:rsidRDefault="007E731C" w:rsidP="001F092D">
            <w:pPr>
              <w:spacing w:line="276" w:lineRule="auto"/>
              <w:rPr>
                <w:iCs/>
                <w:lang w:eastAsia="en-US"/>
              </w:rPr>
            </w:pPr>
            <w:r w:rsidRPr="000B7BBC">
              <w:rPr>
                <w:iCs/>
                <w:lang w:eastAsia="en-US"/>
              </w:rPr>
              <w:t>3.</w:t>
            </w:r>
          </w:p>
        </w:tc>
        <w:tc>
          <w:tcPr>
            <w:tcW w:w="1700" w:type="pct"/>
            <w:tcBorders>
              <w:top w:val="outset" w:sz="6" w:space="0" w:color="auto"/>
              <w:left w:val="outset" w:sz="6" w:space="0" w:color="auto"/>
              <w:bottom w:val="outset" w:sz="6" w:space="0" w:color="auto"/>
              <w:right w:val="outset" w:sz="6" w:space="0" w:color="auto"/>
            </w:tcBorders>
            <w:hideMark/>
          </w:tcPr>
          <w:p w14:paraId="7327C59C" w14:textId="77777777" w:rsidR="007E731C" w:rsidRPr="000B7BBC" w:rsidRDefault="007E731C" w:rsidP="001F092D">
            <w:pPr>
              <w:spacing w:line="276" w:lineRule="auto"/>
              <w:rPr>
                <w:iCs/>
                <w:lang w:eastAsia="en-US"/>
              </w:rPr>
            </w:pPr>
            <w:r w:rsidRPr="000B7BBC">
              <w:rPr>
                <w:iCs/>
                <w:lang w:eastAsia="en-U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D4EE20" w14:textId="77777777" w:rsidR="007E731C" w:rsidRPr="000B7BBC" w:rsidRDefault="007E731C" w:rsidP="001F092D">
            <w:pPr>
              <w:spacing w:line="276" w:lineRule="auto"/>
              <w:rPr>
                <w:iCs/>
                <w:lang w:eastAsia="en-US"/>
              </w:rPr>
            </w:pPr>
            <w:r w:rsidRPr="000B7BBC">
              <w:rPr>
                <w:iCs/>
                <w:lang w:eastAsia="en-US"/>
              </w:rPr>
              <w:t>Nav.</w:t>
            </w:r>
          </w:p>
        </w:tc>
      </w:tr>
    </w:tbl>
    <w:p w14:paraId="4EFB0716" w14:textId="77777777" w:rsidR="007E731C" w:rsidRPr="000B7BBC" w:rsidRDefault="007E731C" w:rsidP="007E731C">
      <w:pPr>
        <w:rPr>
          <w:sz w:val="28"/>
          <w:szCs w:val="28"/>
        </w:rPr>
      </w:pPr>
    </w:p>
    <w:p w14:paraId="0F4BB4BB" w14:textId="77777777" w:rsidR="007E731C" w:rsidRPr="000B7BBC" w:rsidRDefault="007E731C" w:rsidP="007E731C">
      <w:pPr>
        <w:rPr>
          <w:sz w:val="28"/>
          <w:szCs w:val="28"/>
        </w:rPr>
      </w:pPr>
    </w:p>
    <w:p w14:paraId="66612653" w14:textId="77777777" w:rsidR="007E731C" w:rsidRPr="000B7BBC" w:rsidRDefault="007E731C" w:rsidP="007E731C">
      <w:pPr>
        <w:ind w:firstLine="720"/>
      </w:pPr>
      <w:r w:rsidRPr="000B7BBC">
        <w:t>Labklājības ministre</w:t>
      </w:r>
      <w:r w:rsidRPr="000B7BBC">
        <w:tab/>
      </w:r>
      <w:r w:rsidRPr="000B7BBC">
        <w:tab/>
      </w:r>
      <w:r w:rsidRPr="000B7BBC">
        <w:tab/>
      </w:r>
      <w:r w:rsidRPr="000B7BBC">
        <w:tab/>
      </w:r>
      <w:r w:rsidRPr="000B7BBC">
        <w:tab/>
        <w:t xml:space="preserve">       </w:t>
      </w:r>
      <w:r w:rsidRPr="000B7BBC">
        <w:tab/>
        <w:t xml:space="preserve">    </w:t>
      </w:r>
      <w:r>
        <w:t xml:space="preserve"> </w:t>
      </w:r>
      <w:r w:rsidRPr="000B7BBC">
        <w:t xml:space="preserve">     </w:t>
      </w:r>
      <w:proofErr w:type="spellStart"/>
      <w:r w:rsidRPr="000B7BBC">
        <w:t>R.Petraviča</w:t>
      </w:r>
      <w:proofErr w:type="spellEnd"/>
      <w:r w:rsidRPr="000B7BBC">
        <w:tab/>
      </w:r>
      <w:r w:rsidRPr="000B7BBC">
        <w:tab/>
      </w:r>
    </w:p>
    <w:p w14:paraId="3808276D" w14:textId="77777777" w:rsidR="007E731C" w:rsidRPr="000B7BBC" w:rsidRDefault="007E731C" w:rsidP="007E731C">
      <w:pPr>
        <w:ind w:firstLine="720"/>
      </w:pPr>
      <w:r>
        <w:t xml:space="preserve">Valsts sekretārs                                                                                       </w:t>
      </w:r>
      <w:proofErr w:type="spellStart"/>
      <w:r>
        <w:t>I.Alliks</w:t>
      </w:r>
      <w:proofErr w:type="spellEnd"/>
    </w:p>
    <w:p w14:paraId="2BDD624E" w14:textId="77777777" w:rsidR="007E731C" w:rsidRPr="000B7BBC" w:rsidRDefault="007E731C" w:rsidP="007E731C">
      <w:pPr>
        <w:rPr>
          <w:rFonts w:eastAsia="Arial"/>
          <w:kern w:val="2"/>
          <w:sz w:val="20"/>
          <w:szCs w:val="20"/>
          <w:lang w:eastAsia="ar-SA"/>
        </w:rPr>
      </w:pPr>
    </w:p>
    <w:p w14:paraId="67111EC7" w14:textId="77777777" w:rsidR="007E731C" w:rsidRPr="000B7BBC" w:rsidRDefault="007E731C" w:rsidP="007E731C">
      <w:pPr>
        <w:rPr>
          <w:rFonts w:eastAsia="Arial"/>
          <w:kern w:val="2"/>
          <w:sz w:val="20"/>
          <w:szCs w:val="20"/>
          <w:lang w:eastAsia="ar-SA"/>
        </w:rPr>
      </w:pPr>
    </w:p>
    <w:p w14:paraId="16D6AD55" w14:textId="77777777" w:rsidR="007E731C" w:rsidRPr="000B7BBC" w:rsidRDefault="007E731C" w:rsidP="007E731C">
      <w:pPr>
        <w:rPr>
          <w:rFonts w:eastAsia="Arial"/>
          <w:kern w:val="2"/>
          <w:sz w:val="20"/>
          <w:szCs w:val="20"/>
          <w:lang w:eastAsia="ar-SA"/>
        </w:rPr>
      </w:pPr>
    </w:p>
    <w:p w14:paraId="44C46514" w14:textId="77777777" w:rsidR="007E731C" w:rsidRDefault="007E731C" w:rsidP="007E731C">
      <w:pPr>
        <w:rPr>
          <w:rFonts w:eastAsia="Arial"/>
          <w:kern w:val="2"/>
          <w:sz w:val="20"/>
          <w:szCs w:val="20"/>
          <w:lang w:eastAsia="ar-SA"/>
        </w:rPr>
      </w:pPr>
    </w:p>
    <w:p w14:paraId="479965A2" w14:textId="77777777" w:rsidR="007E731C" w:rsidRPr="000B7BBC" w:rsidRDefault="007E731C" w:rsidP="007E731C">
      <w:pPr>
        <w:rPr>
          <w:rFonts w:eastAsia="Arial"/>
          <w:kern w:val="2"/>
          <w:sz w:val="20"/>
          <w:szCs w:val="20"/>
          <w:lang w:eastAsia="ar-SA"/>
        </w:rPr>
      </w:pPr>
    </w:p>
    <w:p w14:paraId="62DCDB48" w14:textId="77777777" w:rsidR="007E731C" w:rsidRPr="000B7BBC" w:rsidRDefault="007E731C" w:rsidP="007E731C">
      <w:proofErr w:type="spellStart"/>
      <w:r>
        <w:rPr>
          <w:rFonts w:eastAsia="Arial"/>
          <w:kern w:val="2"/>
          <w:sz w:val="20"/>
          <w:szCs w:val="20"/>
          <w:lang w:eastAsia="ar-SA"/>
        </w:rPr>
        <w:t>I.</w:t>
      </w:r>
      <w:r w:rsidRPr="000B7BBC">
        <w:rPr>
          <w:rFonts w:eastAsia="Arial"/>
          <w:kern w:val="2"/>
          <w:sz w:val="20"/>
          <w:szCs w:val="20"/>
          <w:lang w:eastAsia="ar-SA"/>
        </w:rPr>
        <w:t>Salmane</w:t>
      </w:r>
      <w:proofErr w:type="spellEnd"/>
      <w:r>
        <w:rPr>
          <w:rFonts w:eastAsia="Arial"/>
          <w:kern w:val="2"/>
          <w:sz w:val="20"/>
          <w:szCs w:val="20"/>
          <w:lang w:eastAsia="ar-SA"/>
        </w:rPr>
        <w:t>,</w:t>
      </w:r>
      <w:r w:rsidRPr="000B7BBC">
        <w:rPr>
          <w:rFonts w:eastAsia="Arial"/>
          <w:kern w:val="2"/>
          <w:sz w:val="20"/>
          <w:szCs w:val="20"/>
          <w:lang w:eastAsia="ar-SA"/>
        </w:rPr>
        <w:t xml:space="preserve"> 67021556</w:t>
      </w:r>
    </w:p>
    <w:p w14:paraId="4DD5346B" w14:textId="5BD0BA31" w:rsidR="007E731C" w:rsidRDefault="009173CF" w:rsidP="007E731C">
      <w:pPr>
        <w:suppressAutoHyphens/>
        <w:rPr>
          <w:rStyle w:val="Hyperlink"/>
          <w:sz w:val="20"/>
          <w:szCs w:val="20"/>
          <w:lang w:eastAsia="ar-SA"/>
        </w:rPr>
      </w:pPr>
      <w:hyperlink r:id="rId7" w:history="1">
        <w:r w:rsidR="007E731C" w:rsidRPr="000B7BBC">
          <w:rPr>
            <w:rStyle w:val="Hyperlink"/>
            <w:sz w:val="20"/>
            <w:szCs w:val="20"/>
            <w:lang w:eastAsia="ar-SA"/>
          </w:rPr>
          <w:t>Irena.Salmane@lm.gov.lv</w:t>
        </w:r>
      </w:hyperlink>
    </w:p>
    <w:p w14:paraId="7183D133" w14:textId="46ECC134" w:rsidR="00746D41" w:rsidRDefault="00746D41" w:rsidP="007E731C">
      <w:pPr>
        <w:suppressAutoHyphens/>
        <w:rPr>
          <w:rStyle w:val="Hyperlink"/>
          <w:color w:val="auto"/>
          <w:sz w:val="20"/>
          <w:szCs w:val="20"/>
          <w:u w:val="none"/>
          <w:lang w:eastAsia="ar-SA"/>
        </w:rPr>
      </w:pPr>
      <w:proofErr w:type="spellStart"/>
      <w:r w:rsidRPr="00746D41">
        <w:rPr>
          <w:rStyle w:val="Hyperlink"/>
          <w:color w:val="auto"/>
          <w:sz w:val="20"/>
          <w:szCs w:val="20"/>
          <w:u w:val="none"/>
          <w:lang w:eastAsia="ar-SA"/>
        </w:rPr>
        <w:t>K.Zirnīte</w:t>
      </w:r>
      <w:proofErr w:type="spellEnd"/>
      <w:r w:rsidRPr="00746D41">
        <w:rPr>
          <w:rStyle w:val="Hyperlink"/>
          <w:color w:val="auto"/>
          <w:sz w:val="20"/>
          <w:szCs w:val="20"/>
          <w:u w:val="none"/>
          <w:lang w:eastAsia="ar-SA"/>
        </w:rPr>
        <w:t>, 67021520</w:t>
      </w:r>
    </w:p>
    <w:p w14:paraId="03BCBC90" w14:textId="1712AAD7" w:rsidR="00746D41" w:rsidRDefault="009173CF" w:rsidP="007E731C">
      <w:pPr>
        <w:suppressAutoHyphens/>
        <w:rPr>
          <w:rStyle w:val="Hyperlink"/>
          <w:color w:val="auto"/>
          <w:sz w:val="20"/>
          <w:szCs w:val="20"/>
          <w:u w:val="none"/>
          <w:lang w:eastAsia="ar-SA"/>
        </w:rPr>
      </w:pPr>
      <w:hyperlink r:id="rId8" w:history="1">
        <w:r w:rsidR="00746D41" w:rsidRPr="009B5643">
          <w:rPr>
            <w:rStyle w:val="Hyperlink"/>
            <w:sz w:val="20"/>
            <w:szCs w:val="20"/>
            <w:lang w:eastAsia="ar-SA"/>
          </w:rPr>
          <w:t>Kristine.Zirnite@lm.gov.lv</w:t>
        </w:r>
      </w:hyperlink>
    </w:p>
    <w:p w14:paraId="31EB8CA3" w14:textId="77777777" w:rsidR="00746D41" w:rsidRPr="00746D41" w:rsidRDefault="00746D41" w:rsidP="007E731C">
      <w:pPr>
        <w:suppressAutoHyphens/>
        <w:rPr>
          <w:rStyle w:val="Hyperlink"/>
          <w:color w:val="auto"/>
          <w:sz w:val="20"/>
          <w:szCs w:val="20"/>
          <w:u w:val="none"/>
          <w:lang w:eastAsia="ar-SA"/>
        </w:rPr>
      </w:pPr>
    </w:p>
    <w:p w14:paraId="0BD4CDBE" w14:textId="77777777" w:rsidR="00746D41" w:rsidRPr="000B7BBC" w:rsidRDefault="00746D41" w:rsidP="007E731C">
      <w:pPr>
        <w:suppressAutoHyphens/>
        <w:rPr>
          <w:rStyle w:val="Hyperlink"/>
          <w:sz w:val="20"/>
          <w:szCs w:val="20"/>
          <w:lang w:eastAsia="ar-SA"/>
        </w:rPr>
      </w:pPr>
    </w:p>
    <w:bookmarkEnd w:id="0"/>
    <w:bookmarkEnd w:id="1"/>
    <w:p w14:paraId="0748CFDB" w14:textId="77777777" w:rsidR="007E731C" w:rsidRPr="000B7BBC" w:rsidRDefault="007E731C" w:rsidP="007E731C">
      <w:pPr>
        <w:rPr>
          <w:vanish/>
          <w:sz w:val="22"/>
          <w:szCs w:val="22"/>
        </w:rPr>
      </w:pPr>
    </w:p>
    <w:p w14:paraId="0F5AB604" w14:textId="77777777" w:rsidR="007E731C" w:rsidRPr="000B7BBC" w:rsidRDefault="007E731C" w:rsidP="007E731C">
      <w:pPr>
        <w:rPr>
          <w:vanish/>
          <w:sz w:val="22"/>
          <w:szCs w:val="22"/>
        </w:rPr>
      </w:pPr>
    </w:p>
    <w:bookmarkEnd w:id="2"/>
    <w:p w14:paraId="2605666F" w14:textId="77777777" w:rsidR="007E731C" w:rsidRPr="000B7BBC" w:rsidRDefault="007E731C" w:rsidP="007E731C"/>
    <w:p w14:paraId="383785E5" w14:textId="77777777" w:rsidR="007E731C" w:rsidRPr="000B7BBC" w:rsidRDefault="007E731C" w:rsidP="007E731C"/>
    <w:p w14:paraId="4518664D" w14:textId="77777777" w:rsidR="00741204" w:rsidRDefault="00741204"/>
    <w:sectPr w:rsidR="00741204" w:rsidSect="001F092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0E2B" w14:textId="77777777" w:rsidR="009173CF" w:rsidRDefault="009173CF" w:rsidP="007E731C">
      <w:r>
        <w:separator/>
      </w:r>
    </w:p>
  </w:endnote>
  <w:endnote w:type="continuationSeparator" w:id="0">
    <w:p w14:paraId="6A1971E6" w14:textId="77777777" w:rsidR="009173CF" w:rsidRDefault="009173CF" w:rsidP="007E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E311" w14:textId="77777777" w:rsidR="005863F3" w:rsidRDefault="0058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857E" w14:textId="33D6A20E" w:rsidR="00C11B81" w:rsidRPr="009B1558" w:rsidRDefault="00C11B81" w:rsidP="00C11B81">
    <w:pPr>
      <w:pStyle w:val="Footer"/>
      <w:rPr>
        <w:sz w:val="20"/>
        <w:szCs w:val="20"/>
      </w:rPr>
    </w:pPr>
    <w:r w:rsidRPr="009B1558">
      <w:rPr>
        <w:sz w:val="20"/>
        <w:szCs w:val="20"/>
      </w:rPr>
      <w:t>LM</w:t>
    </w:r>
    <w:r>
      <w:rPr>
        <w:sz w:val="20"/>
        <w:szCs w:val="20"/>
      </w:rPr>
      <w:t>anot</w:t>
    </w:r>
    <w:r w:rsidRPr="009B1558">
      <w:rPr>
        <w:sz w:val="20"/>
        <w:szCs w:val="20"/>
      </w:rPr>
      <w:t>_</w:t>
    </w:r>
    <w:r>
      <w:rPr>
        <w:sz w:val="20"/>
        <w:szCs w:val="20"/>
      </w:rPr>
      <w:t>0</w:t>
    </w:r>
    <w:r w:rsidR="005863F3">
      <w:rPr>
        <w:sz w:val="20"/>
        <w:szCs w:val="20"/>
      </w:rPr>
      <w:t>3</w:t>
    </w:r>
    <w:r>
      <w:rPr>
        <w:sz w:val="20"/>
        <w:szCs w:val="20"/>
      </w:rPr>
      <w:t>032021</w:t>
    </w:r>
    <w:r w:rsidRPr="009B1558">
      <w:rPr>
        <w:sz w:val="20"/>
        <w:szCs w:val="20"/>
      </w:rPr>
      <w:t>_</w:t>
    </w:r>
    <w:r w:rsidR="00B54570">
      <w:rPr>
        <w:sz w:val="20"/>
        <w:szCs w:val="20"/>
      </w:rPr>
      <w:t>bpp</w:t>
    </w:r>
  </w:p>
  <w:p w14:paraId="4D49F53C" w14:textId="77777777" w:rsidR="001F092D" w:rsidRPr="00C11B81" w:rsidRDefault="001F092D" w:rsidP="00C11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4F42" w14:textId="4FE954FA" w:rsidR="001F092D" w:rsidRPr="009B1558" w:rsidRDefault="001F092D" w:rsidP="001F092D">
    <w:pPr>
      <w:pStyle w:val="Footer"/>
      <w:rPr>
        <w:sz w:val="20"/>
        <w:szCs w:val="20"/>
      </w:rPr>
    </w:pPr>
    <w:r w:rsidRPr="009B1558">
      <w:rPr>
        <w:sz w:val="20"/>
        <w:szCs w:val="20"/>
      </w:rPr>
      <w:t>LM</w:t>
    </w:r>
    <w:r>
      <w:rPr>
        <w:sz w:val="20"/>
        <w:szCs w:val="20"/>
      </w:rPr>
      <w:t>anot</w:t>
    </w:r>
    <w:r w:rsidRPr="009B1558">
      <w:rPr>
        <w:sz w:val="20"/>
        <w:szCs w:val="20"/>
      </w:rPr>
      <w:t>_</w:t>
    </w:r>
    <w:r w:rsidR="00C11B81">
      <w:rPr>
        <w:sz w:val="20"/>
        <w:szCs w:val="20"/>
      </w:rPr>
      <w:t>0</w:t>
    </w:r>
    <w:r w:rsidR="005863F3">
      <w:rPr>
        <w:sz w:val="20"/>
        <w:szCs w:val="20"/>
      </w:rPr>
      <w:t>3</w:t>
    </w:r>
    <w:r w:rsidR="00C11B81">
      <w:rPr>
        <w:sz w:val="20"/>
        <w:szCs w:val="20"/>
      </w:rPr>
      <w:t>032021</w:t>
    </w:r>
    <w:r w:rsidRPr="009B1558">
      <w:rPr>
        <w:sz w:val="20"/>
        <w:szCs w:val="20"/>
      </w:rPr>
      <w:t>_</w:t>
    </w:r>
    <w:r w:rsidR="00B54570">
      <w:rPr>
        <w:sz w:val="20"/>
        <w:szCs w:val="20"/>
      </w:rPr>
      <w:t>bpp</w:t>
    </w:r>
  </w:p>
  <w:p w14:paraId="6EDF6367" w14:textId="77777777" w:rsidR="001F092D" w:rsidRDefault="001F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E614" w14:textId="77777777" w:rsidR="009173CF" w:rsidRDefault="009173CF" w:rsidP="007E731C">
      <w:r>
        <w:separator/>
      </w:r>
    </w:p>
  </w:footnote>
  <w:footnote w:type="continuationSeparator" w:id="0">
    <w:p w14:paraId="06A8A29C" w14:textId="77777777" w:rsidR="009173CF" w:rsidRDefault="009173CF" w:rsidP="007E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8A59" w14:textId="77777777" w:rsidR="005863F3" w:rsidRDefault="0058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77087"/>
      <w:docPartObj>
        <w:docPartGallery w:val="Page Numbers (Top of Page)"/>
        <w:docPartUnique/>
      </w:docPartObj>
    </w:sdtPr>
    <w:sdtEndPr>
      <w:rPr>
        <w:noProof/>
      </w:rPr>
    </w:sdtEndPr>
    <w:sdtContent>
      <w:p w14:paraId="3FF08C25" w14:textId="77777777" w:rsidR="001F092D" w:rsidRDefault="001F09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3D4E3F" w14:textId="77777777" w:rsidR="001F092D" w:rsidRDefault="001F0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E7D3" w14:textId="77777777" w:rsidR="005863F3" w:rsidRDefault="0058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7FF"/>
    <w:multiLevelType w:val="hybridMultilevel"/>
    <w:tmpl w:val="2320E3C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58064D"/>
    <w:multiLevelType w:val="multilevel"/>
    <w:tmpl w:val="E64A3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9E533FD"/>
    <w:multiLevelType w:val="hybridMultilevel"/>
    <w:tmpl w:val="A3FA2FAC"/>
    <w:lvl w:ilvl="0" w:tplc="768C45F8">
      <w:start w:val="3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963DBE"/>
    <w:multiLevelType w:val="hybridMultilevel"/>
    <w:tmpl w:val="DC0EA2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AC7760"/>
    <w:multiLevelType w:val="hybridMultilevel"/>
    <w:tmpl w:val="3D8E00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1C"/>
    <w:rsid w:val="00002FF1"/>
    <w:rsid w:val="0001278F"/>
    <w:rsid w:val="0019677B"/>
    <w:rsid w:val="001F092D"/>
    <w:rsid w:val="00226E9B"/>
    <w:rsid w:val="00256D0E"/>
    <w:rsid w:val="00297877"/>
    <w:rsid w:val="002F0FA8"/>
    <w:rsid w:val="002F2100"/>
    <w:rsid w:val="0033619C"/>
    <w:rsid w:val="00352062"/>
    <w:rsid w:val="003A70C0"/>
    <w:rsid w:val="00437165"/>
    <w:rsid w:val="004B1D73"/>
    <w:rsid w:val="004D73BF"/>
    <w:rsid w:val="0050491E"/>
    <w:rsid w:val="005215B9"/>
    <w:rsid w:val="005863F3"/>
    <w:rsid w:val="005E74EF"/>
    <w:rsid w:val="00650E19"/>
    <w:rsid w:val="006C16B5"/>
    <w:rsid w:val="006D148A"/>
    <w:rsid w:val="007177CE"/>
    <w:rsid w:val="00723754"/>
    <w:rsid w:val="007408D2"/>
    <w:rsid w:val="00741204"/>
    <w:rsid w:val="00746D41"/>
    <w:rsid w:val="00796BC7"/>
    <w:rsid w:val="007E7131"/>
    <w:rsid w:val="007E731C"/>
    <w:rsid w:val="008B513D"/>
    <w:rsid w:val="008D1AE8"/>
    <w:rsid w:val="009173CF"/>
    <w:rsid w:val="009231C5"/>
    <w:rsid w:val="00970C45"/>
    <w:rsid w:val="0097120B"/>
    <w:rsid w:val="00A3160F"/>
    <w:rsid w:val="00A65523"/>
    <w:rsid w:val="00A74C5B"/>
    <w:rsid w:val="00A766DB"/>
    <w:rsid w:val="00A833D0"/>
    <w:rsid w:val="00A83F55"/>
    <w:rsid w:val="00A92363"/>
    <w:rsid w:val="00AC6BD1"/>
    <w:rsid w:val="00AE1057"/>
    <w:rsid w:val="00AE3119"/>
    <w:rsid w:val="00B54570"/>
    <w:rsid w:val="00B6072E"/>
    <w:rsid w:val="00BA30FA"/>
    <w:rsid w:val="00BF025A"/>
    <w:rsid w:val="00C11B81"/>
    <w:rsid w:val="00C165AA"/>
    <w:rsid w:val="00C6443F"/>
    <w:rsid w:val="00CB60D9"/>
    <w:rsid w:val="00D042FA"/>
    <w:rsid w:val="00D17F6C"/>
    <w:rsid w:val="00D861A5"/>
    <w:rsid w:val="00DC177F"/>
    <w:rsid w:val="00DF29F5"/>
    <w:rsid w:val="00E0549A"/>
    <w:rsid w:val="00E07F51"/>
    <w:rsid w:val="00E344FF"/>
    <w:rsid w:val="00E63E9E"/>
    <w:rsid w:val="00E93A06"/>
    <w:rsid w:val="00EA39F1"/>
    <w:rsid w:val="00EF27E0"/>
    <w:rsid w:val="00F34459"/>
    <w:rsid w:val="00F3699B"/>
    <w:rsid w:val="00F437F6"/>
    <w:rsid w:val="00F600B5"/>
    <w:rsid w:val="00F667D4"/>
    <w:rsid w:val="00F73D90"/>
    <w:rsid w:val="00FB7C9A"/>
    <w:rsid w:val="00FC3304"/>
    <w:rsid w:val="00FD13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5350"/>
  <w15:chartTrackingRefBased/>
  <w15:docId w15:val="{93F3600C-4676-45E5-8812-7920F13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3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731C"/>
    <w:rPr>
      <w:color w:val="0000FF"/>
      <w:u w:val="single"/>
    </w:rPr>
  </w:style>
  <w:style w:type="paragraph" w:customStyle="1" w:styleId="naisc">
    <w:name w:val="naisc"/>
    <w:basedOn w:val="Normal"/>
    <w:rsid w:val="007E731C"/>
    <w:pPr>
      <w:spacing w:before="75" w:after="75"/>
      <w:jc w:val="center"/>
    </w:pPr>
  </w:style>
  <w:style w:type="paragraph" w:styleId="Header">
    <w:name w:val="header"/>
    <w:basedOn w:val="Normal"/>
    <w:link w:val="HeaderChar"/>
    <w:uiPriority w:val="99"/>
    <w:unhideWhenUsed/>
    <w:rsid w:val="007E731C"/>
    <w:pPr>
      <w:tabs>
        <w:tab w:val="center" w:pos="4153"/>
        <w:tab w:val="right" w:pos="8306"/>
      </w:tabs>
    </w:pPr>
  </w:style>
  <w:style w:type="character" w:customStyle="1" w:styleId="HeaderChar">
    <w:name w:val="Header Char"/>
    <w:basedOn w:val="DefaultParagraphFont"/>
    <w:link w:val="Header"/>
    <w:uiPriority w:val="99"/>
    <w:rsid w:val="007E731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E731C"/>
    <w:pPr>
      <w:tabs>
        <w:tab w:val="center" w:pos="4153"/>
        <w:tab w:val="right" w:pos="8306"/>
      </w:tabs>
    </w:pPr>
  </w:style>
  <w:style w:type="character" w:customStyle="1" w:styleId="FooterChar">
    <w:name w:val="Footer Char"/>
    <w:basedOn w:val="DefaultParagraphFont"/>
    <w:link w:val="Footer"/>
    <w:uiPriority w:val="99"/>
    <w:rsid w:val="007E731C"/>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7E731C"/>
    <w:pPr>
      <w:ind w:left="720"/>
      <w:contextualSpacing/>
    </w:pPr>
  </w:style>
  <w:style w:type="character" w:customStyle="1" w:styleId="ListParagraphChar">
    <w:name w:val="List Paragraph Char"/>
    <w:aliases w:val="2 Char,Akapit z listą BS Char,H&amp;P List Paragraph Char,Strip Char"/>
    <w:link w:val="ListParagraph"/>
    <w:uiPriority w:val="34"/>
    <w:locked/>
    <w:rsid w:val="007E731C"/>
    <w:rPr>
      <w:rFonts w:ascii="Times New Roman" w:eastAsia="Times New Roman" w:hAnsi="Times New Roman" w:cs="Times New Roman"/>
      <w:sz w:val="24"/>
      <w:szCs w:val="24"/>
      <w:lang w:eastAsia="lv-LV"/>
    </w:rPr>
  </w:style>
  <w:style w:type="table" w:styleId="TableGrid">
    <w:name w:val="Table Grid"/>
    <w:basedOn w:val="TableNormal"/>
    <w:uiPriority w:val="39"/>
    <w:rsid w:val="007E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Char"/>
    <w:basedOn w:val="Normal"/>
    <w:link w:val="FootnoteTextChar"/>
    <w:uiPriority w:val="99"/>
    <w:unhideWhenUsed/>
    <w:qFormat/>
    <w:rsid w:val="007E731C"/>
    <w:rPr>
      <w:rFonts w:asciiTheme="minorHAnsi" w:eastAsiaTheme="minorHAnsi" w:hAnsiTheme="minorHAnsi" w:cstheme="minorBidi"/>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C Char, Char Char"/>
    <w:basedOn w:val="DefaultParagraphFont"/>
    <w:link w:val="FootnoteText"/>
    <w:uiPriority w:val="99"/>
    <w:rsid w:val="007E731C"/>
    <w:rPr>
      <w:sz w:val="20"/>
      <w:szCs w:val="20"/>
    </w:rPr>
  </w:style>
  <w:style w:type="character" w:styleId="FootnoteReference">
    <w:name w:val="footnote reference"/>
    <w:basedOn w:val="DefaultParagraphFont"/>
    <w:uiPriority w:val="99"/>
    <w:semiHidden/>
    <w:unhideWhenUsed/>
    <w:rsid w:val="007E731C"/>
    <w:rPr>
      <w:vertAlign w:val="superscript"/>
    </w:rPr>
  </w:style>
  <w:style w:type="character" w:styleId="CommentReference">
    <w:name w:val="annotation reference"/>
    <w:basedOn w:val="DefaultParagraphFont"/>
    <w:uiPriority w:val="99"/>
    <w:semiHidden/>
    <w:unhideWhenUsed/>
    <w:rsid w:val="007408D2"/>
    <w:rPr>
      <w:sz w:val="16"/>
      <w:szCs w:val="16"/>
    </w:rPr>
  </w:style>
  <w:style w:type="paragraph" w:styleId="CommentText">
    <w:name w:val="annotation text"/>
    <w:basedOn w:val="Normal"/>
    <w:link w:val="CommentTextChar"/>
    <w:uiPriority w:val="99"/>
    <w:semiHidden/>
    <w:unhideWhenUsed/>
    <w:rsid w:val="007408D2"/>
    <w:rPr>
      <w:sz w:val="20"/>
      <w:szCs w:val="20"/>
    </w:rPr>
  </w:style>
  <w:style w:type="character" w:customStyle="1" w:styleId="CommentTextChar">
    <w:name w:val="Comment Text Char"/>
    <w:basedOn w:val="DefaultParagraphFont"/>
    <w:link w:val="CommentText"/>
    <w:uiPriority w:val="99"/>
    <w:semiHidden/>
    <w:rsid w:val="007408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08D2"/>
    <w:rPr>
      <w:b/>
      <w:bCs/>
    </w:rPr>
  </w:style>
  <w:style w:type="character" w:customStyle="1" w:styleId="CommentSubjectChar">
    <w:name w:val="Comment Subject Char"/>
    <w:basedOn w:val="CommentTextChar"/>
    <w:link w:val="CommentSubject"/>
    <w:uiPriority w:val="99"/>
    <w:semiHidden/>
    <w:rsid w:val="007408D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D2"/>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74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959">
      <w:bodyDiv w:val="1"/>
      <w:marLeft w:val="0"/>
      <w:marRight w:val="0"/>
      <w:marTop w:val="0"/>
      <w:marBottom w:val="0"/>
      <w:divBdr>
        <w:top w:val="none" w:sz="0" w:space="0" w:color="auto"/>
        <w:left w:val="none" w:sz="0" w:space="0" w:color="auto"/>
        <w:bottom w:val="none" w:sz="0" w:space="0" w:color="auto"/>
        <w:right w:val="none" w:sz="0" w:space="0" w:color="auto"/>
      </w:divBdr>
    </w:div>
    <w:div w:id="843907279">
      <w:bodyDiv w:val="1"/>
      <w:marLeft w:val="0"/>
      <w:marRight w:val="0"/>
      <w:marTop w:val="0"/>
      <w:marBottom w:val="0"/>
      <w:divBdr>
        <w:top w:val="none" w:sz="0" w:space="0" w:color="auto"/>
        <w:left w:val="none" w:sz="0" w:space="0" w:color="auto"/>
        <w:bottom w:val="none" w:sz="0" w:space="0" w:color="auto"/>
        <w:right w:val="none" w:sz="0" w:space="0" w:color="auto"/>
      </w:divBdr>
    </w:div>
    <w:div w:id="1238979583">
      <w:bodyDiv w:val="1"/>
      <w:marLeft w:val="0"/>
      <w:marRight w:val="0"/>
      <w:marTop w:val="0"/>
      <w:marBottom w:val="0"/>
      <w:divBdr>
        <w:top w:val="none" w:sz="0" w:space="0" w:color="auto"/>
        <w:left w:val="none" w:sz="0" w:space="0" w:color="auto"/>
        <w:bottom w:val="none" w:sz="0" w:space="0" w:color="auto"/>
        <w:right w:val="none" w:sz="0" w:space="0" w:color="auto"/>
      </w:divBdr>
    </w:div>
    <w:div w:id="1416586231">
      <w:bodyDiv w:val="1"/>
      <w:marLeft w:val="0"/>
      <w:marRight w:val="0"/>
      <w:marTop w:val="0"/>
      <w:marBottom w:val="0"/>
      <w:divBdr>
        <w:top w:val="none" w:sz="0" w:space="0" w:color="auto"/>
        <w:left w:val="none" w:sz="0" w:space="0" w:color="auto"/>
        <w:bottom w:val="none" w:sz="0" w:space="0" w:color="auto"/>
        <w:right w:val="none" w:sz="0" w:space="0" w:color="auto"/>
      </w:divBdr>
    </w:div>
    <w:div w:id="1541355644">
      <w:bodyDiv w:val="1"/>
      <w:marLeft w:val="0"/>
      <w:marRight w:val="0"/>
      <w:marTop w:val="0"/>
      <w:marBottom w:val="0"/>
      <w:divBdr>
        <w:top w:val="none" w:sz="0" w:space="0" w:color="auto"/>
        <w:left w:val="none" w:sz="0" w:space="0" w:color="auto"/>
        <w:bottom w:val="none" w:sz="0" w:space="0" w:color="auto"/>
        <w:right w:val="none" w:sz="0" w:space="0" w:color="auto"/>
      </w:divBdr>
    </w:div>
    <w:div w:id="15423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Zirnite@l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8298</Words>
  <Characters>4731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Grozījums likumā "Par apdrošināšanu bezdarba gadījumam"</vt:lpstr>
    </vt:vector>
  </TitlesOfParts>
  <Company>LM</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apdrošināšanu bezdarba gadījumam"</dc:title>
  <dc:subject>Likumprojekta anotācija</dc:subject>
  <dc:creator>Irena Salmane</dc:creator>
  <cp:keywords/>
  <dc:description>irena.salmane@lm.gov.lv_x000d_
tel.67021556</dc:description>
  <cp:lastModifiedBy>Irena Salmane</cp:lastModifiedBy>
  <cp:revision>19</cp:revision>
  <dcterms:created xsi:type="dcterms:W3CDTF">2021-03-03T09:09:00Z</dcterms:created>
  <dcterms:modified xsi:type="dcterms:W3CDTF">2021-03-03T13:46:00Z</dcterms:modified>
</cp:coreProperties>
</file>