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3F8E" w14:textId="72A40DA6" w:rsidR="0011317A" w:rsidRPr="00F42EA4" w:rsidRDefault="00576274" w:rsidP="00F42EA4">
      <w:pPr>
        <w:jc w:val="center"/>
        <w:rPr>
          <w:b/>
        </w:rPr>
      </w:pPr>
      <w:bookmarkStart w:id="0" w:name="OLE_LINK2"/>
      <w:bookmarkStart w:id="1" w:name="OLE_LINK1"/>
      <w:bookmarkStart w:id="2" w:name="_Hlk29201727"/>
      <w:r w:rsidRPr="00F42EA4">
        <w:rPr>
          <w:b/>
        </w:rPr>
        <w:t>Ministru kabineta rīkojuma projekta “Par finanšu līdzekļu piešķiršanu no valsts budžeta programmas “Līdzekļi neparedzētiem gadījumiem””</w:t>
      </w:r>
      <w:r w:rsidR="0011317A" w:rsidRPr="00F42EA4">
        <w:rPr>
          <w:b/>
        </w:rPr>
        <w:t xml:space="preserve"> sākotnējās ietekmes novērtējuma ziņojums (anotācija)</w:t>
      </w:r>
    </w:p>
    <w:p w14:paraId="304DF943" w14:textId="77777777" w:rsidR="0011317A" w:rsidRPr="000B7BBC" w:rsidRDefault="0011317A" w:rsidP="009B1558">
      <w:pPr>
        <w:pStyle w:val="naisc"/>
        <w:spacing w:before="0" w:after="0"/>
        <w:jc w:val="left"/>
        <w:rPr>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3633"/>
        <w:gridCol w:w="5428"/>
      </w:tblGrid>
      <w:tr w:rsidR="0011317A" w:rsidRPr="000B7BBC" w14:paraId="1BB1DDC0" w14:textId="77777777" w:rsidTr="006F05B6">
        <w:trPr>
          <w:tblCellSpacing w:w="15" w:type="dxa"/>
        </w:trPr>
        <w:tc>
          <w:tcPr>
            <w:tcW w:w="0" w:type="auto"/>
            <w:gridSpan w:val="2"/>
            <w:vAlign w:val="center"/>
          </w:tcPr>
          <w:p w14:paraId="3A604E8A" w14:textId="77777777" w:rsidR="0011317A" w:rsidRPr="000B7BBC" w:rsidRDefault="0011317A" w:rsidP="002A685A">
            <w:pPr>
              <w:spacing w:line="276" w:lineRule="auto"/>
              <w:jc w:val="center"/>
              <w:rPr>
                <w:b/>
                <w:bCs/>
                <w:iCs/>
                <w:lang w:eastAsia="en-US"/>
              </w:rPr>
            </w:pPr>
            <w:r w:rsidRPr="000B7BBC">
              <w:rPr>
                <w:b/>
                <w:bCs/>
                <w:iCs/>
                <w:lang w:eastAsia="en-US"/>
              </w:rPr>
              <w:t>Tiesību akta projekta anotācijas kopsavilkums</w:t>
            </w:r>
          </w:p>
        </w:tc>
      </w:tr>
      <w:tr w:rsidR="0011317A" w:rsidRPr="000B7BBC" w14:paraId="6C6728DA" w14:textId="77777777" w:rsidTr="006F05B6">
        <w:trPr>
          <w:tblCellSpacing w:w="15" w:type="dxa"/>
        </w:trPr>
        <w:tc>
          <w:tcPr>
            <w:tcW w:w="1980" w:type="pct"/>
          </w:tcPr>
          <w:p w14:paraId="1194CB85" w14:textId="77777777" w:rsidR="0011317A" w:rsidRPr="000B7BBC" w:rsidRDefault="0011317A">
            <w:pPr>
              <w:spacing w:line="276" w:lineRule="auto"/>
              <w:rPr>
                <w:iCs/>
                <w:lang w:eastAsia="en-US"/>
              </w:rPr>
            </w:pPr>
            <w:r w:rsidRPr="000B7BBC">
              <w:rPr>
                <w:iCs/>
                <w:lang w:eastAsia="en-US"/>
              </w:rPr>
              <w:t xml:space="preserve">Mērķis, risinājums un projekta spēkā stāšanās laiks </w:t>
            </w:r>
          </w:p>
        </w:tc>
        <w:tc>
          <w:tcPr>
            <w:tcW w:w="2971" w:type="pct"/>
          </w:tcPr>
          <w:p w14:paraId="14506CB5" w14:textId="2EFC357A" w:rsidR="0011317A" w:rsidRPr="00576274" w:rsidRDefault="00576274" w:rsidP="00672B7F">
            <w:pPr>
              <w:jc w:val="both"/>
            </w:pPr>
            <w:r>
              <w:rPr>
                <w:iCs/>
              </w:rPr>
              <w:t>Nav attiecināms atbilstoši Ministru kabineta 2009.</w:t>
            </w:r>
            <w:r>
              <w:t> </w:t>
            </w:r>
            <w:r>
              <w:rPr>
                <w:iCs/>
              </w:rPr>
              <w:t>gada 15. decembra instrukcijas Nr. 19 “Tiesību akta projekta sākotnējās ietekmes izvērtēšanas kārtība” 5.</w:t>
            </w:r>
            <w:r>
              <w:rPr>
                <w:iCs/>
                <w:vertAlign w:val="superscript"/>
              </w:rPr>
              <w:t>1 </w:t>
            </w:r>
            <w:r>
              <w:rPr>
                <w:iCs/>
              </w:rPr>
              <w:t>punktam</w:t>
            </w:r>
          </w:p>
        </w:tc>
      </w:tr>
    </w:tbl>
    <w:p w14:paraId="4C972FE0" w14:textId="77777777" w:rsidR="0011317A" w:rsidRPr="000B7BBC" w:rsidRDefault="0011317A" w:rsidP="009B1558">
      <w:pPr>
        <w:rPr>
          <w:iCs/>
        </w:rPr>
      </w:pPr>
      <w:r w:rsidRPr="000B7BBC">
        <w:rPr>
          <w:iCs/>
        </w:rPr>
        <w:t xml:space="preserve">  </w:t>
      </w:r>
    </w:p>
    <w:tbl>
      <w:tblPr>
        <w:tblW w:w="508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77"/>
        <w:gridCol w:w="2938"/>
        <w:gridCol w:w="5696"/>
      </w:tblGrid>
      <w:tr w:rsidR="0011317A" w:rsidRPr="000B7BBC" w14:paraId="31AAC51A" w14:textId="77777777" w:rsidTr="006F05B6">
        <w:trPr>
          <w:tblCellSpacing w:w="15" w:type="dxa"/>
        </w:trPr>
        <w:tc>
          <w:tcPr>
            <w:tcW w:w="4967" w:type="pct"/>
            <w:gridSpan w:val="3"/>
            <w:vAlign w:val="center"/>
          </w:tcPr>
          <w:p w14:paraId="5F1487CE" w14:textId="77777777" w:rsidR="0011317A" w:rsidRPr="000B7BBC" w:rsidRDefault="0011317A" w:rsidP="002A685A">
            <w:pPr>
              <w:spacing w:line="276" w:lineRule="auto"/>
              <w:jc w:val="center"/>
              <w:rPr>
                <w:b/>
                <w:bCs/>
                <w:iCs/>
                <w:lang w:eastAsia="en-US"/>
              </w:rPr>
            </w:pPr>
            <w:r w:rsidRPr="000B7BBC">
              <w:rPr>
                <w:b/>
                <w:bCs/>
                <w:iCs/>
                <w:lang w:eastAsia="en-US"/>
              </w:rPr>
              <w:t>I. Tiesību akta projekta izstrādes nepieciešamība</w:t>
            </w:r>
          </w:p>
        </w:tc>
      </w:tr>
      <w:tr w:rsidR="0011317A" w:rsidRPr="000B7BBC" w14:paraId="5A2E60F7" w14:textId="77777777" w:rsidTr="006F05B6">
        <w:trPr>
          <w:tblCellSpacing w:w="15" w:type="dxa"/>
        </w:trPr>
        <w:tc>
          <w:tcPr>
            <w:tcW w:w="291" w:type="pct"/>
          </w:tcPr>
          <w:p w14:paraId="7F58330F" w14:textId="77777777" w:rsidR="0011317A" w:rsidRPr="000B7BBC" w:rsidRDefault="0011317A">
            <w:pPr>
              <w:spacing w:line="276" w:lineRule="auto"/>
              <w:rPr>
                <w:iCs/>
                <w:lang w:eastAsia="en-US"/>
              </w:rPr>
            </w:pPr>
            <w:r w:rsidRPr="000B7BBC">
              <w:rPr>
                <w:iCs/>
                <w:lang w:eastAsia="en-US"/>
              </w:rPr>
              <w:t>1.</w:t>
            </w:r>
          </w:p>
        </w:tc>
        <w:tc>
          <w:tcPr>
            <w:tcW w:w="1589" w:type="pct"/>
          </w:tcPr>
          <w:p w14:paraId="75ABC4A0" w14:textId="77777777" w:rsidR="0011317A" w:rsidRPr="000B7BBC" w:rsidRDefault="0011317A">
            <w:pPr>
              <w:spacing w:line="276" w:lineRule="auto"/>
              <w:rPr>
                <w:iCs/>
                <w:lang w:eastAsia="en-US"/>
              </w:rPr>
            </w:pPr>
            <w:r w:rsidRPr="000B7BBC">
              <w:rPr>
                <w:iCs/>
                <w:lang w:eastAsia="en-US"/>
              </w:rPr>
              <w:t>Pamatojums</w:t>
            </w:r>
          </w:p>
        </w:tc>
        <w:tc>
          <w:tcPr>
            <w:tcW w:w="3055" w:type="pct"/>
          </w:tcPr>
          <w:p w14:paraId="09FCE065" w14:textId="244F70A1" w:rsidR="0011317A" w:rsidRPr="00662401" w:rsidRDefault="00576274" w:rsidP="005B0F36">
            <w:pPr>
              <w:pStyle w:val="CommentText"/>
              <w:jc w:val="both"/>
              <w:rPr>
                <w:bCs/>
                <w:sz w:val="24"/>
                <w:szCs w:val="24"/>
              </w:rPr>
            </w:pPr>
            <w:r w:rsidRPr="00662401">
              <w:rPr>
                <w:sz w:val="24"/>
                <w:szCs w:val="24"/>
                <w:shd w:val="clear" w:color="auto" w:fill="FFFFFF"/>
              </w:rPr>
              <w:t>Grozījum</w:t>
            </w:r>
            <w:r w:rsidR="003875CD" w:rsidRPr="00662401">
              <w:rPr>
                <w:sz w:val="24"/>
                <w:szCs w:val="24"/>
                <w:shd w:val="clear" w:color="auto" w:fill="FFFFFF"/>
              </w:rPr>
              <w:t>i</w:t>
            </w:r>
            <w:r w:rsidRPr="00662401">
              <w:rPr>
                <w:sz w:val="24"/>
                <w:szCs w:val="24"/>
                <w:shd w:val="clear" w:color="auto" w:fill="FFFFFF"/>
              </w:rPr>
              <w:t xml:space="preserve"> “Covid-19 infekcijas izplatības seku pārvarēšanas likumā”</w:t>
            </w:r>
            <w:r w:rsidRPr="00662401">
              <w:rPr>
                <w:bCs/>
                <w:sz w:val="24"/>
                <w:szCs w:val="24"/>
              </w:rPr>
              <w:t xml:space="preserve">, </w:t>
            </w:r>
            <w:r w:rsidR="00CB54AA" w:rsidRPr="00662401">
              <w:rPr>
                <w:bCs/>
                <w:sz w:val="24"/>
                <w:szCs w:val="24"/>
              </w:rPr>
              <w:t>S</w:t>
            </w:r>
            <w:r w:rsidRPr="00662401">
              <w:rPr>
                <w:bCs/>
                <w:sz w:val="24"/>
                <w:szCs w:val="24"/>
              </w:rPr>
              <w:t>aeimā pieņemti 2021.gada 18.februārī</w:t>
            </w:r>
            <w:r w:rsidR="001116E6" w:rsidRPr="00662401">
              <w:rPr>
                <w:bCs/>
                <w:sz w:val="24"/>
                <w:szCs w:val="24"/>
              </w:rPr>
              <w:t>.</w:t>
            </w:r>
          </w:p>
          <w:p w14:paraId="0C55FF43" w14:textId="6FEB9870" w:rsidR="00CB54AA" w:rsidRPr="005B0F36" w:rsidRDefault="00CB54AA" w:rsidP="005B0F36">
            <w:pPr>
              <w:pStyle w:val="CommentText"/>
              <w:jc w:val="both"/>
              <w:rPr>
                <w:sz w:val="24"/>
                <w:szCs w:val="24"/>
              </w:rPr>
            </w:pPr>
            <w:r w:rsidRPr="00CB54AA">
              <w:rPr>
                <w:sz w:val="24"/>
                <w:szCs w:val="24"/>
              </w:rPr>
              <w:t>Covid-19 infekcijas izplatības seku pārvarēšanas likuma 24. un 25. pants.</w:t>
            </w:r>
          </w:p>
        </w:tc>
      </w:tr>
      <w:tr w:rsidR="001116E6" w:rsidRPr="001116E6" w14:paraId="0A8C8381" w14:textId="77777777" w:rsidTr="006F05B6">
        <w:trPr>
          <w:tblCellSpacing w:w="15" w:type="dxa"/>
        </w:trPr>
        <w:tc>
          <w:tcPr>
            <w:tcW w:w="291" w:type="pct"/>
          </w:tcPr>
          <w:p w14:paraId="404AC357" w14:textId="77777777" w:rsidR="0011317A" w:rsidRPr="001116E6" w:rsidRDefault="0011317A" w:rsidP="00416316">
            <w:pPr>
              <w:spacing w:line="276" w:lineRule="auto"/>
              <w:rPr>
                <w:iCs/>
                <w:lang w:eastAsia="en-US"/>
              </w:rPr>
            </w:pPr>
            <w:r w:rsidRPr="001116E6">
              <w:rPr>
                <w:iCs/>
                <w:lang w:eastAsia="en-US"/>
              </w:rPr>
              <w:t>2.</w:t>
            </w:r>
          </w:p>
        </w:tc>
        <w:tc>
          <w:tcPr>
            <w:tcW w:w="1589" w:type="pct"/>
          </w:tcPr>
          <w:p w14:paraId="0F34B1C2" w14:textId="77777777" w:rsidR="0011317A" w:rsidRPr="001116E6" w:rsidRDefault="0011317A" w:rsidP="00416316">
            <w:pPr>
              <w:spacing w:line="276" w:lineRule="auto"/>
              <w:rPr>
                <w:iCs/>
                <w:lang w:eastAsia="en-US"/>
              </w:rPr>
            </w:pPr>
            <w:r w:rsidRPr="001116E6">
              <w:rPr>
                <w:iCs/>
                <w:lang w:eastAsia="en-US"/>
              </w:rPr>
              <w:t>Pašreizējā situācija un problēmas, kuru risināšanai tiesību akta projekts izstrādāts, tiesiskā regulējuma mērķis un būtība</w:t>
            </w:r>
          </w:p>
          <w:p w14:paraId="73940816" w14:textId="77777777" w:rsidR="0011317A" w:rsidRPr="001116E6" w:rsidRDefault="0011317A" w:rsidP="002C0B70">
            <w:pPr>
              <w:rPr>
                <w:lang w:eastAsia="en-US"/>
              </w:rPr>
            </w:pPr>
          </w:p>
          <w:p w14:paraId="11071F11" w14:textId="77777777" w:rsidR="0011317A" w:rsidRPr="001116E6" w:rsidRDefault="0011317A" w:rsidP="002C0B70">
            <w:pPr>
              <w:rPr>
                <w:lang w:eastAsia="en-US"/>
              </w:rPr>
            </w:pPr>
          </w:p>
          <w:p w14:paraId="593F9861" w14:textId="77777777" w:rsidR="0011317A" w:rsidRPr="001116E6" w:rsidRDefault="0011317A" w:rsidP="002C0B70">
            <w:pPr>
              <w:rPr>
                <w:lang w:eastAsia="en-US"/>
              </w:rPr>
            </w:pPr>
          </w:p>
          <w:p w14:paraId="77C5ACD5" w14:textId="77777777" w:rsidR="0011317A" w:rsidRPr="001116E6" w:rsidRDefault="0011317A" w:rsidP="002C0B70">
            <w:pPr>
              <w:rPr>
                <w:lang w:eastAsia="en-US"/>
              </w:rPr>
            </w:pPr>
          </w:p>
          <w:p w14:paraId="75846149" w14:textId="77777777" w:rsidR="0011317A" w:rsidRPr="001116E6" w:rsidRDefault="0011317A" w:rsidP="002C0B70">
            <w:pPr>
              <w:rPr>
                <w:lang w:eastAsia="en-US"/>
              </w:rPr>
            </w:pPr>
          </w:p>
          <w:p w14:paraId="72951BBC" w14:textId="77777777" w:rsidR="0011317A" w:rsidRPr="001116E6" w:rsidRDefault="0011317A" w:rsidP="002C0B70">
            <w:pPr>
              <w:rPr>
                <w:lang w:eastAsia="en-US"/>
              </w:rPr>
            </w:pPr>
          </w:p>
          <w:p w14:paraId="5D5602FE" w14:textId="77777777" w:rsidR="0011317A" w:rsidRPr="001116E6" w:rsidRDefault="0011317A" w:rsidP="002C0B70">
            <w:pPr>
              <w:rPr>
                <w:lang w:eastAsia="en-US"/>
              </w:rPr>
            </w:pPr>
          </w:p>
          <w:p w14:paraId="47BDA250" w14:textId="77777777" w:rsidR="0011317A" w:rsidRPr="001116E6" w:rsidRDefault="0011317A" w:rsidP="002C0B70">
            <w:pPr>
              <w:rPr>
                <w:lang w:eastAsia="en-US"/>
              </w:rPr>
            </w:pPr>
          </w:p>
          <w:p w14:paraId="5108C14F" w14:textId="77777777" w:rsidR="0011317A" w:rsidRPr="001116E6" w:rsidRDefault="0011317A" w:rsidP="002C0B70">
            <w:pPr>
              <w:rPr>
                <w:lang w:eastAsia="en-US"/>
              </w:rPr>
            </w:pPr>
          </w:p>
          <w:p w14:paraId="57ECE344" w14:textId="77777777" w:rsidR="0011317A" w:rsidRPr="001116E6" w:rsidRDefault="0011317A" w:rsidP="002C0B70">
            <w:pPr>
              <w:rPr>
                <w:lang w:eastAsia="en-US"/>
              </w:rPr>
            </w:pPr>
          </w:p>
          <w:p w14:paraId="35D7934D" w14:textId="77777777" w:rsidR="0011317A" w:rsidRPr="001116E6" w:rsidRDefault="0011317A" w:rsidP="005606CE">
            <w:pPr>
              <w:rPr>
                <w:lang w:eastAsia="en-US"/>
              </w:rPr>
            </w:pPr>
          </w:p>
          <w:p w14:paraId="2A3AC485" w14:textId="77777777" w:rsidR="0011317A" w:rsidRPr="001116E6" w:rsidRDefault="0011317A">
            <w:pPr>
              <w:rPr>
                <w:lang w:eastAsia="en-US"/>
              </w:rPr>
            </w:pPr>
          </w:p>
          <w:p w14:paraId="2B91EA19" w14:textId="77777777" w:rsidR="0011317A" w:rsidRPr="001116E6" w:rsidRDefault="0011317A" w:rsidP="002C0B70">
            <w:pPr>
              <w:rPr>
                <w:lang w:eastAsia="en-US"/>
              </w:rPr>
            </w:pPr>
          </w:p>
        </w:tc>
        <w:tc>
          <w:tcPr>
            <w:tcW w:w="3055" w:type="pct"/>
          </w:tcPr>
          <w:p w14:paraId="67A553FB" w14:textId="7F5D65E4" w:rsidR="00897F88" w:rsidRPr="001116E6" w:rsidRDefault="00683B64" w:rsidP="00897F88">
            <w:pPr>
              <w:shd w:val="clear" w:color="auto" w:fill="FFFFFF"/>
              <w:jc w:val="both"/>
              <w:outlineLvl w:val="2"/>
              <w:rPr>
                <w:bCs/>
              </w:rPr>
            </w:pPr>
            <w:r w:rsidRPr="001116E6">
              <w:rPr>
                <w:shd w:val="clear" w:color="auto" w:fill="FFFFFF"/>
              </w:rPr>
              <w:t>Grozījum</w:t>
            </w:r>
            <w:r w:rsidR="00897F88" w:rsidRPr="001116E6">
              <w:rPr>
                <w:shd w:val="clear" w:color="auto" w:fill="FFFFFF"/>
              </w:rPr>
              <w:t>a</w:t>
            </w:r>
            <w:r w:rsidRPr="001116E6">
              <w:rPr>
                <w:shd w:val="clear" w:color="auto" w:fill="FFFFFF"/>
              </w:rPr>
              <w:t xml:space="preserve"> “Covid-19 infekcijas izplatības seku pārvarēšanas likumā”</w:t>
            </w:r>
            <w:r w:rsidRPr="001116E6">
              <w:rPr>
                <w:bCs/>
              </w:rPr>
              <w:t>”</w:t>
            </w:r>
            <w:r w:rsidR="00897F88" w:rsidRPr="001116E6">
              <w:rPr>
                <w:bCs/>
              </w:rPr>
              <w:t xml:space="preserve"> 62.pants</w:t>
            </w:r>
            <w:r w:rsidRPr="001116E6">
              <w:rPr>
                <w:bCs/>
              </w:rPr>
              <w:t xml:space="preserve"> </w:t>
            </w:r>
            <w:r w:rsidRPr="001116E6">
              <w:t xml:space="preserve">paredz vienreizēju atbalsta izmaksu 500 </w:t>
            </w:r>
            <w:proofErr w:type="spellStart"/>
            <w:r w:rsidR="00A71077" w:rsidRPr="00A71077">
              <w:rPr>
                <w:i/>
              </w:rPr>
              <w:t>euro</w:t>
            </w:r>
            <w:proofErr w:type="spellEnd"/>
            <w:r w:rsidRPr="001116E6">
              <w:t xml:space="preserve"> par katru audzināšanā esošu bērnu </w:t>
            </w:r>
            <w:r w:rsidRPr="001116E6">
              <w:rPr>
                <w:bCs/>
              </w:rPr>
              <w:t xml:space="preserve">no 2021.gada 1.marta līdz brīdim, kamēr visā valstī ir izsludināta ārkārtējā situācija sakarā ar Covid-19 izplatību. </w:t>
            </w:r>
          </w:p>
          <w:p w14:paraId="14DF4154" w14:textId="44DD5721" w:rsidR="00683B64" w:rsidRPr="001116E6" w:rsidRDefault="00683B64" w:rsidP="00897F88">
            <w:pPr>
              <w:shd w:val="clear" w:color="auto" w:fill="FFFFFF"/>
              <w:jc w:val="both"/>
              <w:outlineLvl w:val="2"/>
            </w:pPr>
            <w:r w:rsidRPr="001116E6">
              <w:t>Vienreizēja atbalsta sniegšana ģimenēm ar bērniem, nevērtējot atsevišķus kritērijus, kā piemēram, ienākumu zaudējumu apmērs vai bērnu skaitu ģimenē, ļaus nodrošināt vienlīdzīgu valsts atbalstu visām ģimenēm, tādējādi novēršot risku, ka atbalstu nesaņemtu tā ģimene, kurai tas ir vitāli nepieciešams, taču noteikto kritēriju dēļ tā nespētu kvalificēties atbalsta saņemšanai. Vienlaikus jānorāda, ka atbalsta pieejamība tiks nodrošināta arī aizbildņiem, audžuģimenēm un personām, kuras saskaņā ar Valsts sociālo pabalstu likumu saņem atlīdzību par adoptējamā bērna aprūpi, ja konkrētai personai ir piešķirts ģimenes valsts pabalsts, piemaksa pie ģimenes valsts pabalsta par bērnu ar invaliditāti, bērnu kopšanas pabalsts vai maternitātes pabalsts.</w:t>
            </w:r>
          </w:p>
          <w:p w14:paraId="5A9FC755" w14:textId="77777777" w:rsidR="00897F88" w:rsidRPr="001116E6" w:rsidRDefault="00897F88" w:rsidP="00897F88">
            <w:pPr>
              <w:ind w:firstLine="720"/>
              <w:jc w:val="both"/>
            </w:pPr>
            <w:r w:rsidRPr="001116E6">
              <w:t xml:space="preserve">Tiesības saņemt atbalstu ir personām, kurām piešķirts bērna kopšanas pabalsts līdz viena gada vecumam, ģimenes valsts pabalsts, piemaksa pie ģimenes valsts pabalsta par bērnu ar invaliditāti vai </w:t>
            </w:r>
            <w:r w:rsidRPr="001116E6">
              <w:rPr>
                <w:shd w:val="clear" w:color="auto" w:fill="FFFFFF"/>
              </w:rPr>
              <w:t xml:space="preserve">sakarā ar bērna dzimšanu maternitātes pabalsts par dzemdību atvaļinājuma laiku, ja bērns piedzimis laika  līdz ārkārtējās situācijas laika beigām (turpmāk - maternitātes pabalsts), kā </w:t>
            </w:r>
            <w:r w:rsidRPr="001116E6">
              <w:t xml:space="preserve">arī ārkārtējās situācijas laikā ir radušās tiesības saņemt bērna kopšanas pabalstu līdz viena gada vecumam, ģimenes valsts pabalstu, piemaksa pie ģimenes valsts pabalsta par bērnu ar invaliditāti vai </w:t>
            </w:r>
            <w:r w:rsidRPr="001116E6">
              <w:rPr>
                <w:shd w:val="clear" w:color="auto" w:fill="FFFFFF"/>
              </w:rPr>
              <w:t>maternitātes pabalstu</w:t>
            </w:r>
            <w:r w:rsidRPr="001116E6">
              <w:t xml:space="preserve">. </w:t>
            </w:r>
          </w:p>
          <w:p w14:paraId="3EAEF726" w14:textId="77777777" w:rsidR="00897F88" w:rsidRPr="001116E6" w:rsidRDefault="00897F88" w:rsidP="00897F88">
            <w:pPr>
              <w:ind w:firstLine="720"/>
              <w:jc w:val="both"/>
            </w:pPr>
            <w:r w:rsidRPr="001116E6">
              <w:t xml:space="preserve">Atbalstu izmaksā par katru bērnu vienu reizi, proti gadījumos, ja vecākam tiek pārtrauktas bērna aizgādības </w:t>
            </w:r>
            <w:r w:rsidRPr="001116E6">
              <w:lastRenderedPageBreak/>
              <w:t>tiesības laika posmā no 2021.gada 1.martam līdz ārkārtējās situācijas beigām un atbalsts vienreiz par šo bērnu minētajā laika periodā jau ir izmaksāts, otro reizi citam pabalsta saņēmējam, kuram rodas tiesības, netiek izmaksāts.</w:t>
            </w:r>
          </w:p>
          <w:p w14:paraId="594C3C87" w14:textId="3D5ACE66" w:rsidR="00897F88" w:rsidRPr="001116E6" w:rsidRDefault="00897F88" w:rsidP="00897F88">
            <w:pPr>
              <w:ind w:firstLine="720"/>
              <w:jc w:val="both"/>
            </w:pPr>
            <w:r w:rsidRPr="001116E6">
              <w:t>VSAA par tiem bērniem par kuriem piešķirts bērna kopšanas pabalsts līdz viena gada vecumam vai ģimenes valsts pabalsts, piemaksa pie ģimenes valsts pabalsta par bērnu ar invaliditāti</w:t>
            </w:r>
            <w:r w:rsidRPr="001116E6">
              <w:rPr>
                <w:shd w:val="clear" w:color="auto" w:fill="FFFFFF"/>
              </w:rPr>
              <w:t xml:space="preserve">, </w:t>
            </w:r>
            <w:r w:rsidRPr="001116E6">
              <w:t>atbalstu izmaksā bez personas iesnieguma līdz 2021.gada 31.martam, savukārt tām personām, kurām no 2021.gada 1.marta līdz ārkārtējās situācijas beigām rodas tiesības saņemt bērna kopšanas pabalstu līdz viena gada vecumam, piem</w:t>
            </w:r>
            <w:r w:rsidRPr="00DC7246">
              <w:t>aks</w:t>
            </w:r>
            <w:r w:rsidR="00A71077" w:rsidRPr="00DC7246">
              <w:t>u</w:t>
            </w:r>
            <w:r w:rsidRPr="00DC7246">
              <w:t xml:space="preserve"> pie </w:t>
            </w:r>
            <w:r w:rsidRPr="001116E6">
              <w:t xml:space="preserve">ģimenes valsts pabalsta par bērnu ar invaliditāti ģimenes valsts pabalstu, vai </w:t>
            </w:r>
            <w:r w:rsidRPr="001116E6">
              <w:rPr>
                <w:shd w:val="clear" w:color="auto" w:fill="FFFFFF"/>
              </w:rPr>
              <w:t>maternitātes pabalstu,</w:t>
            </w:r>
            <w:r w:rsidRPr="001116E6">
              <w:t xml:space="preserve"> </w:t>
            </w:r>
            <w:r w:rsidRPr="001116E6">
              <w:rPr>
                <w:shd w:val="clear" w:color="auto" w:fill="FFFFFF"/>
              </w:rPr>
              <w:t>bet tas nav saņemts līdz 2021.gada 31.martam, kā arī personām, kuras saņem maternitātes pabalstu, Valsts  sociālās apdrošināšanas aģentūra atbalstu izmaksā bez personas iesnieguma 30 dienu laikā no dienas, kad piešķirts bērna kopšanas pabalsts līdz viena gada vecumam vai ģimenes valsts pabalsts.</w:t>
            </w:r>
          </w:p>
          <w:p w14:paraId="7A6467CC" w14:textId="77777777" w:rsidR="00897F88" w:rsidRPr="001116E6" w:rsidRDefault="00897F88" w:rsidP="00897F88">
            <w:pPr>
              <w:shd w:val="clear" w:color="auto" w:fill="FFFFFF"/>
              <w:jc w:val="both"/>
              <w:outlineLvl w:val="2"/>
            </w:pPr>
          </w:p>
          <w:p w14:paraId="052782DA" w14:textId="1D159FA4" w:rsidR="00683B64" w:rsidRPr="001116E6" w:rsidRDefault="00683B64" w:rsidP="000532B1">
            <w:pPr>
              <w:jc w:val="both"/>
            </w:pPr>
            <w:r w:rsidRPr="001116E6">
              <w:rPr>
                <w:iCs/>
              </w:rPr>
              <w:t>Ministru kabineta 2020.gada 16.februāra sēdē (prot.Nr.</w:t>
            </w:r>
            <w:r w:rsidR="001116E6" w:rsidRPr="001116E6">
              <w:rPr>
                <w:iCs/>
              </w:rPr>
              <w:t>17</w:t>
            </w:r>
            <w:r w:rsidRPr="001116E6">
              <w:rPr>
                <w:iCs/>
              </w:rPr>
              <w:t xml:space="preserve"> </w:t>
            </w:r>
            <w:r w:rsidR="001116E6" w:rsidRPr="001116E6">
              <w:rPr>
                <w:iCs/>
              </w:rPr>
              <w:t>9</w:t>
            </w:r>
            <w:r w:rsidRPr="001116E6">
              <w:rPr>
                <w:sz w:val="28"/>
                <w:szCs w:val="28"/>
              </w:rPr>
              <w:t xml:space="preserve">.§) </w:t>
            </w:r>
            <w:r w:rsidRPr="001116E6">
              <w:rPr>
                <w:bCs/>
              </w:rPr>
              <w:t>Likumprojekta “</w:t>
            </w:r>
            <w:r w:rsidRPr="001116E6">
              <w:rPr>
                <w:shd w:val="clear" w:color="auto" w:fill="FFFFFF"/>
              </w:rPr>
              <w:t>Grozījums “Covid-19 infekcijas izplatības seku pārvarēšanas likumā”</w:t>
            </w:r>
            <w:r w:rsidRPr="001116E6">
              <w:rPr>
                <w:bCs/>
              </w:rPr>
              <w:t xml:space="preserve">”, </w:t>
            </w:r>
            <w:r w:rsidRPr="001116E6">
              <w:rPr>
                <w:iCs/>
              </w:rPr>
              <w:t xml:space="preserve">tika atbalstīts, </w:t>
            </w:r>
            <w:r w:rsidRPr="001116E6">
              <w:t>Labklājības ministrija normatīvajos aktos noteiktajā kārtībā sagatavo un  iesnie</w:t>
            </w:r>
            <w:r w:rsidR="000532B1" w:rsidRPr="001116E6">
              <w:t>dz</w:t>
            </w:r>
            <w:r w:rsidRPr="001116E6">
              <w:t xml:space="preserve"> izskatīšanai  Ministru kabineta rīkojuma projektu par līdzekļu piešķiršanu no valsts budžeta programmas 02.00.00 „Līdzekļi neparedzētiem gadījumiem” ne vairāk kā 182 083 893 </w:t>
            </w:r>
            <w:proofErr w:type="spellStart"/>
            <w:r w:rsidR="00A71077" w:rsidRPr="00A71077">
              <w:rPr>
                <w:i/>
                <w:iCs/>
              </w:rPr>
              <w:t>euro</w:t>
            </w:r>
            <w:proofErr w:type="spellEnd"/>
            <w:r w:rsidRPr="001116E6">
              <w:t xml:space="preserve"> apmērā, tajā skaitā </w:t>
            </w:r>
            <w:r w:rsidRPr="001116E6">
              <w:rPr>
                <w:iCs/>
              </w:rPr>
              <w:t xml:space="preserve">182 048 500 </w:t>
            </w:r>
            <w:proofErr w:type="spellStart"/>
            <w:r w:rsidR="00A71077" w:rsidRPr="00A71077">
              <w:rPr>
                <w:i/>
              </w:rPr>
              <w:t>euro</w:t>
            </w:r>
            <w:proofErr w:type="spellEnd"/>
            <w:r w:rsidRPr="001116E6">
              <w:rPr>
                <w:iCs/>
              </w:rPr>
              <w:t xml:space="preserve"> apmērā, </w:t>
            </w:r>
            <w:r w:rsidRPr="001116E6">
              <w:t xml:space="preserve"> lai ar 2021.gada 1.martu sniegtu atbalstu ģimenēm ar bērniem 500 </w:t>
            </w:r>
            <w:proofErr w:type="spellStart"/>
            <w:r w:rsidR="00A71077" w:rsidRPr="00A71077">
              <w:rPr>
                <w:i/>
                <w:iCs/>
              </w:rPr>
              <w:t>euro</w:t>
            </w:r>
            <w:proofErr w:type="spellEnd"/>
            <w:r w:rsidRPr="001116E6">
              <w:rPr>
                <w:i/>
                <w:iCs/>
              </w:rPr>
              <w:t xml:space="preserve"> </w:t>
            </w:r>
            <w:r w:rsidRPr="001116E6">
              <w:t>apmērā par katru audzināšanā esošu bērnu,</w:t>
            </w:r>
            <w:r w:rsidRPr="001116E6">
              <w:rPr>
                <w:iCs/>
              </w:rPr>
              <w:t xml:space="preserve"> un 35 393 </w:t>
            </w:r>
            <w:proofErr w:type="spellStart"/>
            <w:r w:rsidR="00A71077" w:rsidRPr="00A71077">
              <w:rPr>
                <w:i/>
              </w:rPr>
              <w:t>euro</w:t>
            </w:r>
            <w:proofErr w:type="spellEnd"/>
            <w:r w:rsidRPr="001116E6">
              <w:rPr>
                <w:iCs/>
              </w:rPr>
              <w:t>, lai nodrošinātu VSAA IT sistēmu pielāgošanu.</w:t>
            </w:r>
          </w:p>
          <w:p w14:paraId="5726E783" w14:textId="745DC3B9" w:rsidR="0011317A" w:rsidRPr="001116E6" w:rsidRDefault="00683B64" w:rsidP="00683B64">
            <w:pPr>
              <w:shd w:val="clear" w:color="auto" w:fill="FFFFFF"/>
              <w:spacing w:before="100" w:beforeAutospacing="1" w:after="100" w:afterAutospacing="1"/>
              <w:jc w:val="both"/>
              <w:outlineLvl w:val="2"/>
              <w:rPr>
                <w:iCs/>
              </w:rPr>
            </w:pPr>
            <w:r w:rsidRPr="001116E6">
              <w:rPr>
                <w:bCs/>
              </w:rPr>
              <w:t xml:space="preserve"> </w:t>
            </w:r>
          </w:p>
        </w:tc>
      </w:tr>
      <w:tr w:rsidR="0011317A" w:rsidRPr="000B7BBC" w14:paraId="315BA4EB" w14:textId="77777777" w:rsidTr="006F05B6">
        <w:trPr>
          <w:tblCellSpacing w:w="15" w:type="dxa"/>
        </w:trPr>
        <w:tc>
          <w:tcPr>
            <w:tcW w:w="291" w:type="pct"/>
          </w:tcPr>
          <w:p w14:paraId="4B9DA974" w14:textId="77777777" w:rsidR="0011317A" w:rsidRPr="000B7BBC" w:rsidRDefault="0011317A" w:rsidP="00416316">
            <w:pPr>
              <w:spacing w:line="276" w:lineRule="auto"/>
              <w:rPr>
                <w:iCs/>
                <w:lang w:eastAsia="en-US"/>
              </w:rPr>
            </w:pPr>
            <w:r w:rsidRPr="000B7BBC">
              <w:rPr>
                <w:iCs/>
                <w:lang w:eastAsia="en-US"/>
              </w:rPr>
              <w:lastRenderedPageBreak/>
              <w:t>3.</w:t>
            </w:r>
          </w:p>
        </w:tc>
        <w:tc>
          <w:tcPr>
            <w:tcW w:w="1589" w:type="pct"/>
          </w:tcPr>
          <w:p w14:paraId="7A7AACD1" w14:textId="77777777" w:rsidR="0011317A" w:rsidRDefault="0011317A" w:rsidP="00416316">
            <w:pPr>
              <w:spacing w:line="276" w:lineRule="auto"/>
              <w:rPr>
                <w:iCs/>
                <w:lang w:eastAsia="en-US"/>
              </w:rPr>
            </w:pPr>
            <w:r w:rsidRPr="000B7BBC">
              <w:rPr>
                <w:iCs/>
                <w:lang w:eastAsia="en-US"/>
              </w:rPr>
              <w:t>Projekta izstrādē iesaistītās institūcijas un publiskas personas kapitālsabiedrības</w:t>
            </w:r>
          </w:p>
          <w:p w14:paraId="4F44BA6C" w14:textId="77777777" w:rsidR="0011317A" w:rsidRDefault="0011317A" w:rsidP="00A70283">
            <w:pPr>
              <w:rPr>
                <w:lang w:eastAsia="en-US"/>
              </w:rPr>
            </w:pPr>
          </w:p>
          <w:p w14:paraId="1AB09BAD" w14:textId="77777777" w:rsidR="0011317A" w:rsidRPr="00A70283" w:rsidRDefault="0011317A" w:rsidP="00A70283">
            <w:pPr>
              <w:ind w:firstLine="720"/>
              <w:rPr>
                <w:lang w:eastAsia="en-US"/>
              </w:rPr>
            </w:pPr>
          </w:p>
        </w:tc>
        <w:tc>
          <w:tcPr>
            <w:tcW w:w="3055" w:type="pct"/>
          </w:tcPr>
          <w:p w14:paraId="0450F88B" w14:textId="499F6113" w:rsidR="000532B1" w:rsidRPr="000B7BBC" w:rsidRDefault="000532B1" w:rsidP="00416316">
            <w:pPr>
              <w:spacing w:line="276" w:lineRule="auto"/>
              <w:jc w:val="both"/>
              <w:rPr>
                <w:iCs/>
                <w:lang w:eastAsia="en-US"/>
              </w:rPr>
            </w:pPr>
            <w:r>
              <w:rPr>
                <w:iCs/>
                <w:lang w:eastAsia="en-US"/>
              </w:rPr>
              <w:t>Labklājības ministrija</w:t>
            </w:r>
          </w:p>
        </w:tc>
      </w:tr>
      <w:tr w:rsidR="0011317A" w:rsidRPr="000B7BBC" w14:paraId="52969E56" w14:textId="77777777" w:rsidTr="006F05B6">
        <w:trPr>
          <w:tblCellSpacing w:w="15" w:type="dxa"/>
        </w:trPr>
        <w:tc>
          <w:tcPr>
            <w:tcW w:w="291" w:type="pct"/>
          </w:tcPr>
          <w:p w14:paraId="23D29C98" w14:textId="77777777" w:rsidR="0011317A" w:rsidRPr="000B7BBC" w:rsidRDefault="0011317A" w:rsidP="00416316">
            <w:pPr>
              <w:spacing w:line="276" w:lineRule="auto"/>
              <w:rPr>
                <w:iCs/>
                <w:lang w:eastAsia="en-US"/>
              </w:rPr>
            </w:pPr>
            <w:r w:rsidRPr="000B7BBC">
              <w:rPr>
                <w:iCs/>
                <w:lang w:eastAsia="en-US"/>
              </w:rPr>
              <w:t>4.</w:t>
            </w:r>
          </w:p>
        </w:tc>
        <w:tc>
          <w:tcPr>
            <w:tcW w:w="1589" w:type="pct"/>
          </w:tcPr>
          <w:p w14:paraId="61CE4929" w14:textId="77777777" w:rsidR="0011317A" w:rsidRPr="000B7BBC" w:rsidRDefault="0011317A" w:rsidP="00416316">
            <w:pPr>
              <w:spacing w:line="276" w:lineRule="auto"/>
              <w:rPr>
                <w:iCs/>
                <w:lang w:eastAsia="en-US"/>
              </w:rPr>
            </w:pPr>
            <w:r w:rsidRPr="000B7BBC">
              <w:rPr>
                <w:iCs/>
                <w:lang w:eastAsia="en-US"/>
              </w:rPr>
              <w:t>Cita informācija</w:t>
            </w:r>
          </w:p>
        </w:tc>
        <w:tc>
          <w:tcPr>
            <w:tcW w:w="3055" w:type="pct"/>
          </w:tcPr>
          <w:p w14:paraId="41D990D9" w14:textId="7F4BE1AA" w:rsidR="0011317A" w:rsidRPr="000B7BBC" w:rsidRDefault="000532B1" w:rsidP="00416316">
            <w:pPr>
              <w:spacing w:line="276" w:lineRule="auto"/>
              <w:rPr>
                <w:iCs/>
                <w:lang w:eastAsia="en-US"/>
              </w:rPr>
            </w:pPr>
            <w:r>
              <w:rPr>
                <w:iCs/>
                <w:lang w:eastAsia="en-US"/>
              </w:rPr>
              <w:t>Nav</w:t>
            </w:r>
          </w:p>
        </w:tc>
      </w:tr>
    </w:tbl>
    <w:p w14:paraId="77452A59" w14:textId="77777777" w:rsidR="0011317A" w:rsidRPr="000B7BBC" w:rsidRDefault="0011317A" w:rsidP="009B1558">
      <w:pPr>
        <w:rPr>
          <w:iCs/>
        </w:rPr>
      </w:pPr>
      <w:r w:rsidRPr="000B7BBC">
        <w:rPr>
          <w:iCs/>
        </w:rPr>
        <w:t xml:space="preserve">  </w:t>
      </w:r>
    </w:p>
    <w:p w14:paraId="02BCDCAB" w14:textId="2E672B26" w:rsidR="00897F88" w:rsidRDefault="00897F88" w:rsidP="00897F88">
      <w:pPr>
        <w:rPr>
          <w:iCs/>
        </w:rPr>
      </w:pPr>
    </w:p>
    <w:p w14:paraId="46EF0D46" w14:textId="5BDD004F" w:rsidR="00FF5430" w:rsidRDefault="00FF5430" w:rsidP="00897F88">
      <w:pPr>
        <w:rPr>
          <w:iCs/>
        </w:rPr>
      </w:pPr>
    </w:p>
    <w:p w14:paraId="4861B449" w14:textId="674E2956" w:rsidR="00FF5430" w:rsidRDefault="00FF5430" w:rsidP="00897F88">
      <w:pPr>
        <w:rPr>
          <w:iCs/>
        </w:rPr>
      </w:pPr>
    </w:p>
    <w:p w14:paraId="3C94B9C2" w14:textId="77777777" w:rsidR="00FF5430" w:rsidRPr="000D0E58" w:rsidRDefault="00FF5430" w:rsidP="00897F88">
      <w:pPr>
        <w:rPr>
          <w:iCs/>
        </w:rPr>
      </w:pP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897F88" w:rsidRPr="000D0E58" w14:paraId="5E5F018D" w14:textId="77777777" w:rsidTr="008B609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26A2D77" w14:textId="77777777" w:rsidR="00897F88" w:rsidRPr="000D0E58" w:rsidRDefault="00897F88" w:rsidP="008B6091">
            <w:pPr>
              <w:jc w:val="center"/>
              <w:rPr>
                <w:b/>
                <w:bCs/>
                <w:iCs/>
              </w:rPr>
            </w:pPr>
            <w:r w:rsidRPr="000D0E58">
              <w:rPr>
                <w:b/>
                <w:bCs/>
                <w:iCs/>
              </w:rPr>
              <w:lastRenderedPageBreak/>
              <w:t>II. Tiesību akta projekta ietekme uz sabiedrību, tautsaimniecības attīstību un administratīvo slogu</w:t>
            </w:r>
          </w:p>
        </w:tc>
      </w:tr>
      <w:tr w:rsidR="00897F88" w:rsidRPr="000D0E58" w14:paraId="59E7A75B" w14:textId="77777777" w:rsidTr="008B6091">
        <w:trPr>
          <w:trHeight w:val="1650"/>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DCB6E76" w14:textId="77777777" w:rsidR="00897F88" w:rsidRPr="000D0E58" w:rsidRDefault="00897F88" w:rsidP="008B6091">
            <w:pPr>
              <w:rPr>
                <w:iCs/>
              </w:rPr>
            </w:pPr>
            <w:r w:rsidRPr="000D0E58">
              <w:rPr>
                <w:iCs/>
              </w:rPr>
              <w:t>1.</w:t>
            </w:r>
          </w:p>
        </w:tc>
        <w:tc>
          <w:tcPr>
            <w:tcW w:w="1435" w:type="pct"/>
            <w:tcBorders>
              <w:top w:val="outset" w:sz="6" w:space="0" w:color="auto"/>
              <w:left w:val="outset" w:sz="6" w:space="0" w:color="auto"/>
              <w:bottom w:val="outset" w:sz="6" w:space="0" w:color="auto"/>
              <w:right w:val="outset" w:sz="6" w:space="0" w:color="auto"/>
            </w:tcBorders>
            <w:hideMark/>
          </w:tcPr>
          <w:p w14:paraId="0059A8D2" w14:textId="77777777" w:rsidR="00897F88" w:rsidRPr="000D0E58" w:rsidRDefault="00897F88" w:rsidP="008B6091">
            <w:pPr>
              <w:rPr>
                <w:iCs/>
              </w:rPr>
            </w:pPr>
            <w:r w:rsidRPr="000D0E58">
              <w:rPr>
                <w:iCs/>
              </w:rPr>
              <w:t>Sabiedrības mērķgrupas,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hideMark/>
          </w:tcPr>
          <w:p w14:paraId="0AAE2ED3" w14:textId="77777777" w:rsidR="00897F88" w:rsidRPr="000D0E58" w:rsidRDefault="00897F88" w:rsidP="008B6091">
            <w:pPr>
              <w:jc w:val="both"/>
            </w:pPr>
            <w:r w:rsidRPr="000D0E58">
              <w:t xml:space="preserve">Bērna kopšanas pabalsts līdz viena gada vecumam tika izmaksāts par 13 539 bērniem un ģimenes valsts pabalsts tika izmaksāts par 344 805 bērniem, </w:t>
            </w:r>
            <w:r w:rsidRPr="000D0E58">
              <w:rPr>
                <w:shd w:val="clear" w:color="auto" w:fill="FFFFFF"/>
              </w:rPr>
              <w:t>Savukārt, plānotais b</w:t>
            </w:r>
            <w:r w:rsidRPr="000D0E58">
              <w:t>ērnu skaits par kuriem ir tiesības saņemt ģimenes valsts pabalstu, bet vecāks to nav pieprasījis ir 2 900 bērni.</w:t>
            </w:r>
            <w:r w:rsidRPr="000D0E58">
              <w:rPr>
                <w:iCs/>
              </w:rPr>
              <w:t xml:space="preserve"> Saskaņā ar VSAA statistikas datiem 2020.gadā vidēji mēnesī maternitātes pabalstu pēc bērna piedzimšanas saņēma 1 103. Ņemot vērā, ka attiecīgais personu skaits ir plānots vidēji mēnesī, savukārt, maternitātes perioda termiņš pēc bērna piedzimšanas ir vidēji ir divi mēneši, saņēmēju skaitu nepieciešams dubultot (2 206 personas). Papildus atzīmējam, ka 2020.gada decembra mēneša statistikas datos nav ņemta vērā likumdošanas norma, kas stājas spējā ar 2021.gada 1.janvāri un paredz, ka ģimenes valsts pabalstu var saņemt par bērnu ar invaliditāti, ja pēc 15 gadu vecuma viņš neturpina mācības.  Plānots, ka minētā pabalsta saņēmēji būs 647 personas vidēji mēnesī. </w:t>
            </w:r>
            <w:r w:rsidRPr="000D0E58">
              <w:t xml:space="preserve">Tādējādi kopējais prognozējamais bērnu skaits par kuriem tiks izmaksāts atbalsts ir 364 097. </w:t>
            </w:r>
          </w:p>
          <w:p w14:paraId="57470069" w14:textId="77777777" w:rsidR="00897F88" w:rsidRPr="000D0E58" w:rsidRDefault="00897F88" w:rsidP="008B6091">
            <w:pPr>
              <w:jc w:val="both"/>
            </w:pPr>
          </w:p>
        </w:tc>
      </w:tr>
      <w:tr w:rsidR="00897F88" w:rsidRPr="000D0E58" w14:paraId="40F09A0B" w14:textId="77777777" w:rsidTr="008B609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70C3C34" w14:textId="77777777" w:rsidR="00897F88" w:rsidRPr="000D0E58" w:rsidRDefault="00897F88" w:rsidP="008B6091">
            <w:pPr>
              <w:rPr>
                <w:iCs/>
              </w:rPr>
            </w:pPr>
            <w:r w:rsidRPr="000D0E58">
              <w:rPr>
                <w:iCs/>
              </w:rPr>
              <w:t>2.</w:t>
            </w:r>
          </w:p>
        </w:tc>
        <w:tc>
          <w:tcPr>
            <w:tcW w:w="1435" w:type="pct"/>
            <w:tcBorders>
              <w:top w:val="outset" w:sz="6" w:space="0" w:color="auto"/>
              <w:left w:val="outset" w:sz="6" w:space="0" w:color="auto"/>
              <w:bottom w:val="outset" w:sz="6" w:space="0" w:color="auto"/>
              <w:right w:val="outset" w:sz="6" w:space="0" w:color="auto"/>
            </w:tcBorders>
            <w:hideMark/>
          </w:tcPr>
          <w:p w14:paraId="1B6E712F" w14:textId="77777777" w:rsidR="00897F88" w:rsidRPr="000D0E58" w:rsidRDefault="00897F88" w:rsidP="008B6091">
            <w:pPr>
              <w:rPr>
                <w:iCs/>
              </w:rPr>
            </w:pPr>
            <w:r w:rsidRPr="000D0E58">
              <w:rPr>
                <w:iCs/>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76F8C6D4" w14:textId="77777777" w:rsidR="00897F88" w:rsidRPr="000D0E58" w:rsidRDefault="00897F88" w:rsidP="008B6091">
            <w:pPr>
              <w:ind w:right="113"/>
              <w:jc w:val="both"/>
            </w:pPr>
            <w:r w:rsidRPr="000D0E58">
              <w:t>Nav</w:t>
            </w:r>
          </w:p>
        </w:tc>
      </w:tr>
      <w:tr w:rsidR="00897F88" w:rsidRPr="000D0E58" w14:paraId="484806A7" w14:textId="77777777" w:rsidTr="008B609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952688B" w14:textId="77777777" w:rsidR="00897F88" w:rsidRPr="000D0E58" w:rsidRDefault="00897F88" w:rsidP="008B6091">
            <w:pPr>
              <w:rPr>
                <w:iCs/>
              </w:rPr>
            </w:pPr>
            <w:r w:rsidRPr="000D0E58">
              <w:rPr>
                <w:iCs/>
              </w:rPr>
              <w:t>3.</w:t>
            </w:r>
          </w:p>
        </w:tc>
        <w:tc>
          <w:tcPr>
            <w:tcW w:w="1435" w:type="pct"/>
            <w:tcBorders>
              <w:top w:val="outset" w:sz="6" w:space="0" w:color="auto"/>
              <w:left w:val="outset" w:sz="6" w:space="0" w:color="auto"/>
              <w:bottom w:val="outset" w:sz="6" w:space="0" w:color="auto"/>
              <w:right w:val="outset" w:sz="6" w:space="0" w:color="auto"/>
            </w:tcBorders>
            <w:hideMark/>
          </w:tcPr>
          <w:p w14:paraId="19818074" w14:textId="77777777" w:rsidR="00897F88" w:rsidRPr="000D0E58" w:rsidRDefault="00897F88" w:rsidP="008B6091">
            <w:pPr>
              <w:rPr>
                <w:iCs/>
              </w:rPr>
            </w:pPr>
            <w:r w:rsidRPr="000D0E58">
              <w:rPr>
                <w:iCs/>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1829A175" w14:textId="77777777" w:rsidR="00897F88" w:rsidRPr="000D0E58" w:rsidRDefault="00897F88" w:rsidP="008B6091">
            <w:pPr>
              <w:rPr>
                <w:iCs/>
              </w:rPr>
            </w:pPr>
            <w:r w:rsidRPr="000D0E58">
              <w:t xml:space="preserve">Noteikumu projekti šo jomu neskar. </w:t>
            </w:r>
          </w:p>
          <w:p w14:paraId="1023CBA4" w14:textId="77777777" w:rsidR="00897F88" w:rsidRPr="000D0E58" w:rsidRDefault="00897F88" w:rsidP="008B6091">
            <w:pPr>
              <w:rPr>
                <w:iCs/>
              </w:rPr>
            </w:pPr>
          </w:p>
        </w:tc>
      </w:tr>
      <w:tr w:rsidR="00897F88" w:rsidRPr="000D0E58" w14:paraId="6B579D14" w14:textId="77777777" w:rsidTr="008B609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E3417BA" w14:textId="77777777" w:rsidR="00897F88" w:rsidRPr="000D0E58" w:rsidRDefault="00897F88" w:rsidP="008B6091">
            <w:pPr>
              <w:rPr>
                <w:iCs/>
              </w:rPr>
            </w:pPr>
            <w:r w:rsidRPr="000D0E58">
              <w:rPr>
                <w:iCs/>
              </w:rPr>
              <w:t>4.</w:t>
            </w:r>
          </w:p>
        </w:tc>
        <w:tc>
          <w:tcPr>
            <w:tcW w:w="1435" w:type="pct"/>
            <w:tcBorders>
              <w:top w:val="outset" w:sz="6" w:space="0" w:color="auto"/>
              <w:left w:val="outset" w:sz="6" w:space="0" w:color="auto"/>
              <w:bottom w:val="outset" w:sz="6" w:space="0" w:color="auto"/>
              <w:right w:val="outset" w:sz="6" w:space="0" w:color="auto"/>
            </w:tcBorders>
            <w:hideMark/>
          </w:tcPr>
          <w:p w14:paraId="7F7EF2FD" w14:textId="77777777" w:rsidR="00897F88" w:rsidRPr="000D0E58" w:rsidRDefault="00897F88" w:rsidP="008B6091">
            <w:pPr>
              <w:rPr>
                <w:iCs/>
              </w:rPr>
            </w:pPr>
            <w:r w:rsidRPr="000D0E58">
              <w:rPr>
                <w:iCs/>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443CCB7F" w14:textId="77777777" w:rsidR="00897F88" w:rsidRPr="000D0E58" w:rsidRDefault="00897F88" w:rsidP="008B6091">
            <w:pPr>
              <w:rPr>
                <w:iCs/>
              </w:rPr>
            </w:pPr>
            <w:r w:rsidRPr="000D0E58">
              <w:rPr>
                <w:iCs/>
              </w:rPr>
              <w:t>Nav</w:t>
            </w:r>
          </w:p>
        </w:tc>
      </w:tr>
    </w:tbl>
    <w:p w14:paraId="47E2189F" w14:textId="77777777" w:rsidR="000532B1" w:rsidRDefault="000532B1" w:rsidP="009B1558">
      <w:pPr>
        <w:rPr>
          <w:iCs/>
        </w:rPr>
      </w:pPr>
    </w:p>
    <w:p w14:paraId="5FC0210D" w14:textId="4485462D" w:rsidR="0011317A" w:rsidRPr="000B7BBC" w:rsidRDefault="0011317A" w:rsidP="009B1558">
      <w:pPr>
        <w:rPr>
          <w:iCs/>
        </w:rPr>
      </w:pPr>
      <w:r w:rsidRPr="000B7BBC">
        <w:rPr>
          <w:iCs/>
        </w:rPr>
        <w:t xml:space="preserve">  </w:t>
      </w: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947"/>
        <w:gridCol w:w="694"/>
        <w:gridCol w:w="1222"/>
        <w:gridCol w:w="698"/>
        <w:gridCol w:w="951"/>
        <w:gridCol w:w="710"/>
        <w:gridCol w:w="861"/>
        <w:gridCol w:w="1887"/>
      </w:tblGrid>
      <w:tr w:rsidR="0011317A" w:rsidRPr="00925C92" w14:paraId="4BF7F1D2" w14:textId="77777777" w:rsidTr="00A4046F">
        <w:trPr>
          <w:cantSplit/>
        </w:trPr>
        <w:tc>
          <w:tcPr>
            <w:tcW w:w="5000" w:type="pct"/>
            <w:gridSpan w:val="8"/>
            <w:vAlign w:val="center"/>
          </w:tcPr>
          <w:p w14:paraId="68C0EAAE" w14:textId="77777777" w:rsidR="0011317A" w:rsidRPr="00925C92" w:rsidRDefault="0011317A" w:rsidP="00DA6FBE">
            <w:pPr>
              <w:jc w:val="center"/>
              <w:rPr>
                <w:b/>
                <w:lang w:eastAsia="en-US"/>
              </w:rPr>
            </w:pPr>
            <w:r w:rsidRPr="00925C92">
              <w:rPr>
                <w:b/>
                <w:lang w:eastAsia="en-US"/>
              </w:rPr>
              <w:t>III. Tiesību akta projekta ietekme uz valsts budžetu un pašvaldību budžetiem</w:t>
            </w:r>
          </w:p>
        </w:tc>
      </w:tr>
      <w:tr w:rsidR="0011317A" w:rsidRPr="00925C92" w14:paraId="7C4BEAF7" w14:textId="77777777" w:rsidTr="00A4046F">
        <w:trPr>
          <w:cantSplit/>
        </w:trPr>
        <w:tc>
          <w:tcPr>
            <w:tcW w:w="1085" w:type="pct"/>
            <w:vMerge w:val="restart"/>
            <w:shd w:val="clear" w:color="auto" w:fill="FFFFFF"/>
            <w:vAlign w:val="center"/>
          </w:tcPr>
          <w:p w14:paraId="0204F29D" w14:textId="77777777" w:rsidR="0011317A" w:rsidRPr="00925C92" w:rsidRDefault="0011317A" w:rsidP="00DA6FBE">
            <w:pPr>
              <w:jc w:val="both"/>
              <w:rPr>
                <w:sz w:val="20"/>
                <w:szCs w:val="20"/>
                <w:lang w:eastAsia="en-US"/>
              </w:rPr>
            </w:pPr>
            <w:r w:rsidRPr="00925C92">
              <w:rPr>
                <w:sz w:val="20"/>
                <w:szCs w:val="20"/>
                <w:lang w:eastAsia="en-US"/>
              </w:rPr>
              <w:t>Rādītāji</w:t>
            </w:r>
          </w:p>
        </w:tc>
        <w:tc>
          <w:tcPr>
            <w:tcW w:w="1068" w:type="pct"/>
            <w:gridSpan w:val="2"/>
            <w:vMerge w:val="restart"/>
            <w:shd w:val="clear" w:color="auto" w:fill="FFFFFF"/>
            <w:vAlign w:val="center"/>
          </w:tcPr>
          <w:p w14:paraId="12DC250A" w14:textId="77777777"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1</w:t>
            </w:r>
            <w:r w:rsidRPr="00925C92">
              <w:rPr>
                <w:sz w:val="20"/>
                <w:szCs w:val="20"/>
                <w:lang w:eastAsia="en-US"/>
              </w:rPr>
              <w:t>.gads</w:t>
            </w:r>
          </w:p>
        </w:tc>
        <w:tc>
          <w:tcPr>
            <w:tcW w:w="2847" w:type="pct"/>
            <w:gridSpan w:val="5"/>
            <w:shd w:val="clear" w:color="auto" w:fill="FFFFFF"/>
            <w:vAlign w:val="center"/>
          </w:tcPr>
          <w:p w14:paraId="2285A65C" w14:textId="727153DA" w:rsidR="0011317A" w:rsidRPr="00925C92" w:rsidRDefault="0011317A" w:rsidP="00DA6FBE">
            <w:pPr>
              <w:jc w:val="center"/>
              <w:rPr>
                <w:sz w:val="20"/>
                <w:szCs w:val="20"/>
                <w:lang w:eastAsia="en-US"/>
              </w:rPr>
            </w:pPr>
            <w:r w:rsidRPr="00925C92">
              <w:rPr>
                <w:sz w:val="20"/>
                <w:szCs w:val="20"/>
                <w:lang w:eastAsia="en-US"/>
              </w:rPr>
              <w:t>Turpmākie trīs gadi (</w:t>
            </w:r>
            <w:proofErr w:type="spellStart"/>
            <w:r w:rsidR="00A71077" w:rsidRPr="00A71077">
              <w:rPr>
                <w:i/>
                <w:sz w:val="20"/>
                <w:szCs w:val="20"/>
                <w:lang w:eastAsia="en-US"/>
              </w:rPr>
              <w:t>euro</w:t>
            </w:r>
            <w:proofErr w:type="spellEnd"/>
            <w:r w:rsidRPr="00925C92">
              <w:rPr>
                <w:sz w:val="20"/>
                <w:szCs w:val="20"/>
                <w:lang w:eastAsia="en-US"/>
              </w:rPr>
              <w:t>)</w:t>
            </w:r>
          </w:p>
        </w:tc>
      </w:tr>
      <w:tr w:rsidR="0011317A" w:rsidRPr="00925C92" w14:paraId="6985B504" w14:textId="77777777" w:rsidTr="003B7BB4">
        <w:trPr>
          <w:cantSplit/>
        </w:trPr>
        <w:tc>
          <w:tcPr>
            <w:tcW w:w="1085" w:type="pct"/>
            <w:vMerge/>
            <w:vAlign w:val="center"/>
          </w:tcPr>
          <w:p w14:paraId="0781F3E1" w14:textId="77777777" w:rsidR="0011317A" w:rsidRPr="00925C92" w:rsidRDefault="0011317A" w:rsidP="00DA6FBE">
            <w:pPr>
              <w:jc w:val="both"/>
              <w:rPr>
                <w:sz w:val="20"/>
                <w:szCs w:val="20"/>
                <w:lang w:eastAsia="en-US"/>
              </w:rPr>
            </w:pPr>
          </w:p>
        </w:tc>
        <w:tc>
          <w:tcPr>
            <w:tcW w:w="1068" w:type="pct"/>
            <w:gridSpan w:val="2"/>
            <w:vMerge/>
            <w:vAlign w:val="center"/>
          </w:tcPr>
          <w:p w14:paraId="1F75B2D1" w14:textId="77777777" w:rsidR="0011317A" w:rsidRPr="00925C92" w:rsidRDefault="0011317A" w:rsidP="00DA6FBE">
            <w:pPr>
              <w:jc w:val="both"/>
              <w:rPr>
                <w:sz w:val="20"/>
                <w:szCs w:val="20"/>
                <w:lang w:eastAsia="en-US"/>
              </w:rPr>
            </w:pPr>
          </w:p>
        </w:tc>
        <w:tc>
          <w:tcPr>
            <w:tcW w:w="919" w:type="pct"/>
            <w:gridSpan w:val="2"/>
            <w:shd w:val="clear" w:color="auto" w:fill="FFFFFF"/>
            <w:vAlign w:val="center"/>
          </w:tcPr>
          <w:p w14:paraId="0159B89F" w14:textId="77777777"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2</w:t>
            </w:r>
          </w:p>
        </w:tc>
        <w:tc>
          <w:tcPr>
            <w:tcW w:w="876" w:type="pct"/>
            <w:gridSpan w:val="2"/>
            <w:shd w:val="clear" w:color="auto" w:fill="FFFFFF"/>
            <w:vAlign w:val="center"/>
          </w:tcPr>
          <w:p w14:paraId="6A0C642E" w14:textId="77777777"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3</w:t>
            </w:r>
          </w:p>
        </w:tc>
        <w:tc>
          <w:tcPr>
            <w:tcW w:w="1052" w:type="pct"/>
            <w:shd w:val="clear" w:color="auto" w:fill="FFFFFF"/>
            <w:vAlign w:val="center"/>
          </w:tcPr>
          <w:p w14:paraId="786C304B" w14:textId="77777777"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4</w:t>
            </w:r>
          </w:p>
        </w:tc>
      </w:tr>
      <w:tr w:rsidR="0011317A" w:rsidRPr="00925C92" w14:paraId="5E48F9D8" w14:textId="77777777" w:rsidTr="003B7BB4">
        <w:trPr>
          <w:cantSplit/>
        </w:trPr>
        <w:tc>
          <w:tcPr>
            <w:tcW w:w="1085" w:type="pct"/>
            <w:vMerge/>
            <w:vAlign w:val="center"/>
          </w:tcPr>
          <w:p w14:paraId="497E3963" w14:textId="77777777" w:rsidR="0011317A" w:rsidRPr="00925C92" w:rsidRDefault="0011317A" w:rsidP="00DA6FBE">
            <w:pPr>
              <w:jc w:val="both"/>
              <w:rPr>
                <w:sz w:val="20"/>
                <w:szCs w:val="20"/>
                <w:lang w:eastAsia="en-US"/>
              </w:rPr>
            </w:pPr>
          </w:p>
        </w:tc>
        <w:tc>
          <w:tcPr>
            <w:tcW w:w="387" w:type="pct"/>
            <w:shd w:val="clear" w:color="auto" w:fill="FFFFFF"/>
            <w:vAlign w:val="center"/>
          </w:tcPr>
          <w:p w14:paraId="0A6C6A21" w14:textId="77777777" w:rsidR="0011317A" w:rsidRPr="006E11E6" w:rsidRDefault="0011317A" w:rsidP="00DA6FBE">
            <w:pPr>
              <w:jc w:val="center"/>
              <w:rPr>
                <w:sz w:val="18"/>
                <w:szCs w:val="20"/>
                <w:lang w:eastAsia="en-US"/>
              </w:rPr>
            </w:pPr>
            <w:r w:rsidRPr="006E11E6">
              <w:rPr>
                <w:sz w:val="18"/>
                <w:szCs w:val="20"/>
                <w:lang w:eastAsia="en-US"/>
              </w:rPr>
              <w:t>saskaņā ar valsts budžetu kārtējam gadam</w:t>
            </w:r>
          </w:p>
        </w:tc>
        <w:tc>
          <w:tcPr>
            <w:tcW w:w="681" w:type="pct"/>
            <w:shd w:val="clear" w:color="auto" w:fill="FFFFFF"/>
            <w:vAlign w:val="center"/>
          </w:tcPr>
          <w:p w14:paraId="7C301B53" w14:textId="77777777" w:rsidR="0011317A" w:rsidRPr="006E11E6" w:rsidRDefault="0011317A" w:rsidP="00DA6FBE">
            <w:pPr>
              <w:jc w:val="center"/>
              <w:rPr>
                <w:sz w:val="18"/>
                <w:szCs w:val="20"/>
                <w:lang w:eastAsia="en-US"/>
              </w:rPr>
            </w:pPr>
            <w:r w:rsidRPr="006E11E6">
              <w:rPr>
                <w:sz w:val="18"/>
                <w:szCs w:val="20"/>
                <w:lang w:eastAsia="en-US"/>
              </w:rPr>
              <w:t>izmaiņas kārtējā gadā, salīdzinot ar valsts budžetu kārtējam gadam</w:t>
            </w:r>
          </w:p>
        </w:tc>
        <w:tc>
          <w:tcPr>
            <w:tcW w:w="389" w:type="pct"/>
            <w:shd w:val="clear" w:color="auto" w:fill="FFFFFF"/>
            <w:vAlign w:val="center"/>
          </w:tcPr>
          <w:p w14:paraId="5C9526DA" w14:textId="77777777" w:rsidR="0011317A" w:rsidRPr="006E11E6" w:rsidRDefault="0011317A" w:rsidP="00DA6FBE">
            <w:pPr>
              <w:jc w:val="center"/>
              <w:rPr>
                <w:sz w:val="18"/>
                <w:szCs w:val="20"/>
                <w:lang w:eastAsia="en-US"/>
              </w:rPr>
            </w:pPr>
            <w:r w:rsidRPr="006E11E6">
              <w:rPr>
                <w:sz w:val="18"/>
                <w:szCs w:val="20"/>
                <w:lang w:eastAsia="en-US"/>
              </w:rPr>
              <w:t>saskaņā ar vidēja termiņa budžeta ietvaru</w:t>
            </w:r>
          </w:p>
        </w:tc>
        <w:tc>
          <w:tcPr>
            <w:tcW w:w="530" w:type="pct"/>
            <w:shd w:val="clear" w:color="auto" w:fill="FFFFFF"/>
            <w:vAlign w:val="center"/>
          </w:tcPr>
          <w:p w14:paraId="61006205" w14:textId="77777777" w:rsidR="0011317A" w:rsidRPr="006E11E6" w:rsidRDefault="0011317A" w:rsidP="00DA6FBE">
            <w:pPr>
              <w:jc w:val="center"/>
              <w:rPr>
                <w:sz w:val="18"/>
                <w:szCs w:val="20"/>
                <w:lang w:eastAsia="en-US"/>
              </w:rPr>
            </w:pPr>
            <w:r w:rsidRPr="006E11E6">
              <w:rPr>
                <w:sz w:val="18"/>
                <w:szCs w:val="20"/>
                <w:lang w:eastAsia="en-US"/>
              </w:rPr>
              <w:t>izmaiņas, salīdzinot ar vidēja termiņa budžeta ietvaru 202</w:t>
            </w:r>
            <w:r>
              <w:rPr>
                <w:sz w:val="18"/>
                <w:szCs w:val="20"/>
                <w:lang w:eastAsia="en-US"/>
              </w:rPr>
              <w:t>2</w:t>
            </w:r>
            <w:r w:rsidRPr="006E11E6">
              <w:rPr>
                <w:sz w:val="18"/>
                <w:szCs w:val="20"/>
                <w:lang w:eastAsia="en-US"/>
              </w:rPr>
              <w:t>. gadam</w:t>
            </w:r>
          </w:p>
        </w:tc>
        <w:tc>
          <w:tcPr>
            <w:tcW w:w="396" w:type="pct"/>
            <w:shd w:val="clear" w:color="auto" w:fill="FFFFFF"/>
            <w:vAlign w:val="center"/>
          </w:tcPr>
          <w:p w14:paraId="66BD3813" w14:textId="77777777" w:rsidR="0011317A" w:rsidRPr="006E11E6" w:rsidRDefault="0011317A" w:rsidP="00DA6FBE">
            <w:pPr>
              <w:jc w:val="center"/>
              <w:rPr>
                <w:sz w:val="18"/>
                <w:szCs w:val="20"/>
                <w:lang w:eastAsia="en-US"/>
              </w:rPr>
            </w:pPr>
            <w:r w:rsidRPr="006E11E6">
              <w:rPr>
                <w:sz w:val="18"/>
                <w:szCs w:val="20"/>
                <w:lang w:eastAsia="en-US"/>
              </w:rPr>
              <w:t>saskaņā ar vidēja termiņa budžeta ietvaru</w:t>
            </w:r>
          </w:p>
        </w:tc>
        <w:tc>
          <w:tcPr>
            <w:tcW w:w="480" w:type="pct"/>
            <w:shd w:val="clear" w:color="auto" w:fill="FFFFFF"/>
            <w:vAlign w:val="center"/>
          </w:tcPr>
          <w:p w14:paraId="041D1E14" w14:textId="77777777" w:rsidR="0011317A" w:rsidRPr="006E11E6" w:rsidRDefault="0011317A" w:rsidP="00DA6FBE">
            <w:pPr>
              <w:jc w:val="center"/>
              <w:rPr>
                <w:sz w:val="18"/>
                <w:szCs w:val="20"/>
                <w:lang w:eastAsia="en-US"/>
              </w:rPr>
            </w:pPr>
            <w:r w:rsidRPr="006E11E6">
              <w:rPr>
                <w:sz w:val="18"/>
                <w:szCs w:val="20"/>
                <w:lang w:eastAsia="en-US"/>
              </w:rPr>
              <w:t>izmaiņas, salīdzinot ar vidēja termiņa budžeta ietvaru 202</w:t>
            </w:r>
            <w:r>
              <w:rPr>
                <w:sz w:val="18"/>
                <w:szCs w:val="20"/>
                <w:lang w:eastAsia="en-US"/>
              </w:rPr>
              <w:t>3</w:t>
            </w:r>
            <w:r w:rsidRPr="006E11E6">
              <w:rPr>
                <w:sz w:val="18"/>
                <w:szCs w:val="20"/>
                <w:lang w:eastAsia="en-US"/>
              </w:rPr>
              <w:t>. gadam</w:t>
            </w:r>
          </w:p>
        </w:tc>
        <w:tc>
          <w:tcPr>
            <w:tcW w:w="1052" w:type="pct"/>
            <w:shd w:val="clear" w:color="auto" w:fill="FFFFFF"/>
            <w:vAlign w:val="center"/>
          </w:tcPr>
          <w:p w14:paraId="6C178B54" w14:textId="77777777" w:rsidR="0011317A" w:rsidRPr="006E11E6" w:rsidRDefault="0011317A" w:rsidP="00DA6FBE">
            <w:pPr>
              <w:jc w:val="center"/>
              <w:rPr>
                <w:sz w:val="18"/>
                <w:szCs w:val="20"/>
                <w:lang w:eastAsia="en-US"/>
              </w:rPr>
            </w:pPr>
            <w:r w:rsidRPr="006E11E6">
              <w:rPr>
                <w:sz w:val="18"/>
                <w:szCs w:val="20"/>
                <w:lang w:eastAsia="en-US"/>
              </w:rPr>
              <w:t xml:space="preserve">izmaiņas, salīdzinot ar vidēja termiņa budžeta ietvaru </w:t>
            </w:r>
            <w:r w:rsidRPr="006E11E6">
              <w:rPr>
                <w:sz w:val="18"/>
                <w:szCs w:val="20"/>
                <w:lang w:eastAsia="en-US"/>
              </w:rPr>
              <w:br/>
              <w:t>202</w:t>
            </w:r>
            <w:r>
              <w:rPr>
                <w:sz w:val="18"/>
                <w:szCs w:val="20"/>
                <w:lang w:eastAsia="en-US"/>
              </w:rPr>
              <w:t>3</w:t>
            </w:r>
            <w:r w:rsidRPr="006E11E6">
              <w:rPr>
                <w:sz w:val="18"/>
                <w:szCs w:val="20"/>
                <w:lang w:eastAsia="en-US"/>
              </w:rPr>
              <w:t>. gadam</w:t>
            </w:r>
          </w:p>
        </w:tc>
      </w:tr>
      <w:tr w:rsidR="0011317A" w:rsidRPr="006E11E6" w14:paraId="4A92F477" w14:textId="77777777" w:rsidTr="003B7BB4">
        <w:trPr>
          <w:cantSplit/>
        </w:trPr>
        <w:tc>
          <w:tcPr>
            <w:tcW w:w="1085" w:type="pct"/>
            <w:shd w:val="clear" w:color="auto" w:fill="FFFFFF"/>
            <w:vAlign w:val="center"/>
          </w:tcPr>
          <w:p w14:paraId="30A5B5B3" w14:textId="77777777" w:rsidR="0011317A" w:rsidRPr="006E11E6" w:rsidRDefault="0011317A" w:rsidP="00DA6FBE">
            <w:pPr>
              <w:jc w:val="center"/>
              <w:rPr>
                <w:sz w:val="16"/>
                <w:szCs w:val="20"/>
                <w:lang w:eastAsia="en-US"/>
              </w:rPr>
            </w:pPr>
            <w:r w:rsidRPr="006E11E6">
              <w:rPr>
                <w:sz w:val="16"/>
                <w:szCs w:val="20"/>
                <w:lang w:eastAsia="en-US"/>
              </w:rPr>
              <w:t>1</w:t>
            </w:r>
          </w:p>
        </w:tc>
        <w:tc>
          <w:tcPr>
            <w:tcW w:w="387" w:type="pct"/>
            <w:shd w:val="clear" w:color="auto" w:fill="FFFFFF"/>
            <w:vAlign w:val="center"/>
          </w:tcPr>
          <w:p w14:paraId="603872E3" w14:textId="77777777" w:rsidR="0011317A" w:rsidRPr="006E11E6" w:rsidRDefault="0011317A" w:rsidP="00DA6FBE">
            <w:pPr>
              <w:jc w:val="center"/>
              <w:rPr>
                <w:sz w:val="16"/>
                <w:szCs w:val="20"/>
                <w:lang w:eastAsia="en-US"/>
              </w:rPr>
            </w:pPr>
            <w:r w:rsidRPr="006E11E6">
              <w:rPr>
                <w:sz w:val="16"/>
                <w:szCs w:val="20"/>
                <w:lang w:eastAsia="en-US"/>
              </w:rPr>
              <w:t>2</w:t>
            </w:r>
          </w:p>
        </w:tc>
        <w:tc>
          <w:tcPr>
            <w:tcW w:w="681" w:type="pct"/>
            <w:shd w:val="clear" w:color="auto" w:fill="FFFFFF"/>
            <w:vAlign w:val="center"/>
          </w:tcPr>
          <w:p w14:paraId="709C46A7" w14:textId="77777777" w:rsidR="0011317A" w:rsidRPr="006E11E6" w:rsidRDefault="0011317A" w:rsidP="00DA6FBE">
            <w:pPr>
              <w:jc w:val="center"/>
              <w:rPr>
                <w:sz w:val="16"/>
                <w:szCs w:val="20"/>
                <w:lang w:eastAsia="en-US"/>
              </w:rPr>
            </w:pPr>
            <w:r w:rsidRPr="006E11E6">
              <w:rPr>
                <w:sz w:val="16"/>
                <w:szCs w:val="20"/>
                <w:lang w:eastAsia="en-US"/>
              </w:rPr>
              <w:t>3</w:t>
            </w:r>
          </w:p>
        </w:tc>
        <w:tc>
          <w:tcPr>
            <w:tcW w:w="389" w:type="pct"/>
            <w:shd w:val="clear" w:color="auto" w:fill="FFFFFF"/>
            <w:vAlign w:val="center"/>
          </w:tcPr>
          <w:p w14:paraId="364F6CDB" w14:textId="77777777" w:rsidR="0011317A" w:rsidRPr="006E11E6" w:rsidRDefault="0011317A" w:rsidP="00DA6FBE">
            <w:pPr>
              <w:jc w:val="center"/>
              <w:rPr>
                <w:sz w:val="16"/>
                <w:szCs w:val="20"/>
                <w:lang w:eastAsia="en-US"/>
              </w:rPr>
            </w:pPr>
            <w:r w:rsidRPr="006E11E6">
              <w:rPr>
                <w:sz w:val="16"/>
                <w:szCs w:val="20"/>
                <w:lang w:eastAsia="en-US"/>
              </w:rPr>
              <w:t>4</w:t>
            </w:r>
          </w:p>
        </w:tc>
        <w:tc>
          <w:tcPr>
            <w:tcW w:w="530" w:type="pct"/>
            <w:shd w:val="clear" w:color="auto" w:fill="FFFFFF"/>
            <w:vAlign w:val="center"/>
          </w:tcPr>
          <w:p w14:paraId="200FCE86" w14:textId="77777777" w:rsidR="0011317A" w:rsidRPr="006E11E6" w:rsidRDefault="0011317A" w:rsidP="00DA6FBE">
            <w:pPr>
              <w:jc w:val="center"/>
              <w:rPr>
                <w:sz w:val="16"/>
                <w:szCs w:val="20"/>
                <w:lang w:eastAsia="en-US"/>
              </w:rPr>
            </w:pPr>
            <w:r w:rsidRPr="006E11E6">
              <w:rPr>
                <w:sz w:val="16"/>
                <w:szCs w:val="20"/>
                <w:lang w:eastAsia="en-US"/>
              </w:rPr>
              <w:t>5</w:t>
            </w:r>
          </w:p>
        </w:tc>
        <w:tc>
          <w:tcPr>
            <w:tcW w:w="396" w:type="pct"/>
            <w:shd w:val="clear" w:color="auto" w:fill="FFFFFF"/>
            <w:vAlign w:val="center"/>
          </w:tcPr>
          <w:p w14:paraId="1972B0AA" w14:textId="77777777" w:rsidR="0011317A" w:rsidRPr="006E11E6" w:rsidRDefault="0011317A" w:rsidP="00DA6FBE">
            <w:pPr>
              <w:jc w:val="center"/>
              <w:rPr>
                <w:sz w:val="16"/>
                <w:szCs w:val="20"/>
                <w:lang w:eastAsia="en-US"/>
              </w:rPr>
            </w:pPr>
            <w:r w:rsidRPr="006E11E6">
              <w:rPr>
                <w:sz w:val="16"/>
                <w:szCs w:val="20"/>
                <w:lang w:eastAsia="en-US"/>
              </w:rPr>
              <w:t>6</w:t>
            </w:r>
          </w:p>
        </w:tc>
        <w:tc>
          <w:tcPr>
            <w:tcW w:w="480" w:type="pct"/>
            <w:shd w:val="clear" w:color="auto" w:fill="FFFFFF"/>
            <w:vAlign w:val="center"/>
          </w:tcPr>
          <w:p w14:paraId="5FF03642" w14:textId="77777777" w:rsidR="0011317A" w:rsidRPr="006E11E6" w:rsidRDefault="0011317A" w:rsidP="00DA6FBE">
            <w:pPr>
              <w:jc w:val="center"/>
              <w:rPr>
                <w:sz w:val="16"/>
                <w:szCs w:val="20"/>
                <w:lang w:eastAsia="en-US"/>
              </w:rPr>
            </w:pPr>
            <w:r w:rsidRPr="006E11E6">
              <w:rPr>
                <w:sz w:val="16"/>
                <w:szCs w:val="20"/>
                <w:lang w:eastAsia="en-US"/>
              </w:rPr>
              <w:t>7</w:t>
            </w:r>
          </w:p>
        </w:tc>
        <w:tc>
          <w:tcPr>
            <w:tcW w:w="1052" w:type="pct"/>
            <w:shd w:val="clear" w:color="auto" w:fill="FFFFFF"/>
            <w:vAlign w:val="center"/>
          </w:tcPr>
          <w:p w14:paraId="1D5E6D47" w14:textId="77777777" w:rsidR="0011317A" w:rsidRPr="006E11E6" w:rsidRDefault="0011317A" w:rsidP="00DA6FBE">
            <w:pPr>
              <w:jc w:val="center"/>
              <w:rPr>
                <w:sz w:val="16"/>
                <w:szCs w:val="20"/>
                <w:lang w:eastAsia="en-US"/>
              </w:rPr>
            </w:pPr>
            <w:r w:rsidRPr="006E11E6">
              <w:rPr>
                <w:sz w:val="16"/>
                <w:szCs w:val="20"/>
                <w:lang w:eastAsia="en-US"/>
              </w:rPr>
              <w:t>8</w:t>
            </w:r>
          </w:p>
        </w:tc>
      </w:tr>
      <w:tr w:rsidR="0011317A" w:rsidRPr="00925C92" w14:paraId="64F49544" w14:textId="77777777" w:rsidTr="003B7BB4">
        <w:trPr>
          <w:cantSplit/>
        </w:trPr>
        <w:tc>
          <w:tcPr>
            <w:tcW w:w="1085" w:type="pct"/>
            <w:shd w:val="clear" w:color="auto" w:fill="D9D9D9"/>
          </w:tcPr>
          <w:p w14:paraId="02B95180" w14:textId="77777777" w:rsidR="0011317A" w:rsidRPr="00925C92" w:rsidRDefault="0011317A" w:rsidP="00DA6FBE">
            <w:pPr>
              <w:jc w:val="both"/>
              <w:rPr>
                <w:sz w:val="20"/>
                <w:szCs w:val="20"/>
                <w:lang w:eastAsia="en-US"/>
              </w:rPr>
            </w:pPr>
            <w:r w:rsidRPr="00925C92">
              <w:rPr>
                <w:sz w:val="20"/>
                <w:szCs w:val="20"/>
                <w:lang w:eastAsia="en-US"/>
              </w:rPr>
              <w:t>1. Budžeta ieņēmumi</w:t>
            </w:r>
          </w:p>
        </w:tc>
        <w:tc>
          <w:tcPr>
            <w:tcW w:w="387" w:type="pct"/>
            <w:shd w:val="clear" w:color="auto" w:fill="D9D9D9"/>
            <w:vAlign w:val="center"/>
          </w:tcPr>
          <w:p w14:paraId="1A784DEE" w14:textId="77777777" w:rsidR="0011317A" w:rsidRPr="00925C92" w:rsidRDefault="0011317A" w:rsidP="00DA6FBE">
            <w:pPr>
              <w:jc w:val="center"/>
              <w:rPr>
                <w:sz w:val="20"/>
                <w:szCs w:val="20"/>
                <w:lang w:eastAsia="en-US"/>
              </w:rPr>
            </w:pPr>
            <w:r w:rsidRPr="00BE0476">
              <w:rPr>
                <w:color w:val="000000"/>
                <w:sz w:val="20"/>
                <w:szCs w:val="20"/>
              </w:rPr>
              <w:t>0</w:t>
            </w:r>
          </w:p>
        </w:tc>
        <w:tc>
          <w:tcPr>
            <w:tcW w:w="681" w:type="pct"/>
            <w:shd w:val="clear" w:color="auto" w:fill="D9D9D9"/>
            <w:vAlign w:val="center"/>
          </w:tcPr>
          <w:p w14:paraId="1452604F" w14:textId="77777777" w:rsidR="0011317A" w:rsidRPr="00925C92" w:rsidRDefault="0011317A" w:rsidP="00DA6FBE">
            <w:pPr>
              <w:jc w:val="center"/>
              <w:rPr>
                <w:sz w:val="20"/>
                <w:szCs w:val="20"/>
                <w:lang w:eastAsia="en-US"/>
              </w:rPr>
            </w:pPr>
            <w:r w:rsidRPr="00BE0476">
              <w:rPr>
                <w:color w:val="000000"/>
                <w:sz w:val="20"/>
                <w:szCs w:val="20"/>
              </w:rPr>
              <w:t>0</w:t>
            </w:r>
          </w:p>
        </w:tc>
        <w:tc>
          <w:tcPr>
            <w:tcW w:w="389" w:type="pct"/>
            <w:shd w:val="clear" w:color="auto" w:fill="D9D9D9"/>
            <w:vAlign w:val="center"/>
          </w:tcPr>
          <w:p w14:paraId="37456DB3" w14:textId="77777777" w:rsidR="0011317A" w:rsidRPr="00925C92" w:rsidRDefault="0011317A" w:rsidP="00DA6FBE">
            <w:pPr>
              <w:jc w:val="center"/>
              <w:rPr>
                <w:sz w:val="20"/>
                <w:szCs w:val="20"/>
                <w:lang w:eastAsia="en-US"/>
              </w:rPr>
            </w:pPr>
            <w:r w:rsidRPr="00BE0476">
              <w:rPr>
                <w:color w:val="000000"/>
                <w:sz w:val="20"/>
                <w:szCs w:val="20"/>
              </w:rPr>
              <w:t>0</w:t>
            </w:r>
          </w:p>
        </w:tc>
        <w:tc>
          <w:tcPr>
            <w:tcW w:w="530" w:type="pct"/>
            <w:shd w:val="clear" w:color="auto" w:fill="D9D9D9"/>
            <w:vAlign w:val="center"/>
          </w:tcPr>
          <w:p w14:paraId="7D8E2BF0"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shd w:val="clear" w:color="auto" w:fill="D9D9D9"/>
            <w:vAlign w:val="center"/>
          </w:tcPr>
          <w:p w14:paraId="52389411" w14:textId="77777777" w:rsidR="0011317A" w:rsidRPr="00925C92" w:rsidRDefault="0011317A" w:rsidP="00DA6FBE">
            <w:pPr>
              <w:jc w:val="center"/>
              <w:rPr>
                <w:sz w:val="20"/>
                <w:szCs w:val="20"/>
                <w:lang w:eastAsia="en-US"/>
              </w:rPr>
            </w:pPr>
            <w:r w:rsidRPr="00BE0476">
              <w:rPr>
                <w:color w:val="000000"/>
                <w:sz w:val="20"/>
                <w:szCs w:val="20"/>
              </w:rPr>
              <w:t>0</w:t>
            </w:r>
          </w:p>
        </w:tc>
        <w:tc>
          <w:tcPr>
            <w:tcW w:w="480" w:type="pct"/>
            <w:shd w:val="clear" w:color="auto" w:fill="D9D9D9"/>
            <w:vAlign w:val="center"/>
          </w:tcPr>
          <w:p w14:paraId="5F953002"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shd w:val="clear" w:color="auto" w:fill="D9D9D9"/>
            <w:vAlign w:val="center"/>
          </w:tcPr>
          <w:p w14:paraId="795FA2C7" w14:textId="77777777" w:rsidR="0011317A" w:rsidRPr="00925C92" w:rsidRDefault="0011317A" w:rsidP="00DA6FBE">
            <w:pPr>
              <w:jc w:val="center"/>
              <w:rPr>
                <w:sz w:val="20"/>
                <w:szCs w:val="20"/>
                <w:lang w:eastAsia="en-US"/>
              </w:rPr>
            </w:pPr>
            <w:r w:rsidRPr="00BE0476">
              <w:rPr>
                <w:color w:val="000000"/>
                <w:sz w:val="20"/>
                <w:szCs w:val="20"/>
              </w:rPr>
              <w:t>0</w:t>
            </w:r>
          </w:p>
        </w:tc>
      </w:tr>
      <w:tr w:rsidR="0011317A" w:rsidRPr="00925C92" w14:paraId="7BEA411B" w14:textId="77777777" w:rsidTr="003B7BB4">
        <w:trPr>
          <w:cantSplit/>
        </w:trPr>
        <w:tc>
          <w:tcPr>
            <w:tcW w:w="1085" w:type="pct"/>
          </w:tcPr>
          <w:p w14:paraId="160F3DFA" w14:textId="77777777" w:rsidR="0011317A" w:rsidRPr="00925C92" w:rsidRDefault="0011317A" w:rsidP="00DA6FBE">
            <w:pPr>
              <w:jc w:val="both"/>
              <w:rPr>
                <w:sz w:val="20"/>
                <w:szCs w:val="20"/>
                <w:lang w:eastAsia="en-US"/>
              </w:rPr>
            </w:pPr>
            <w:r w:rsidRPr="00925C92">
              <w:rPr>
                <w:sz w:val="20"/>
                <w:szCs w:val="20"/>
                <w:lang w:eastAsia="en-US"/>
              </w:rPr>
              <w:t>1.1. valsts pamatbudžets, tai skaitā ieņēmumi no maksas pakalpojumiem un citi pašu ieņēmumi</w:t>
            </w:r>
          </w:p>
        </w:tc>
        <w:tc>
          <w:tcPr>
            <w:tcW w:w="387" w:type="pct"/>
            <w:vAlign w:val="center"/>
          </w:tcPr>
          <w:p w14:paraId="61C9655A" w14:textId="77777777"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14:paraId="06421D1E" w14:textId="77777777"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14:paraId="3163BF32" w14:textId="77777777" w:rsidR="0011317A" w:rsidRPr="00925C92" w:rsidRDefault="0011317A" w:rsidP="00DA6FBE">
            <w:pPr>
              <w:jc w:val="center"/>
              <w:rPr>
                <w:sz w:val="20"/>
                <w:szCs w:val="20"/>
                <w:lang w:eastAsia="en-US"/>
              </w:rPr>
            </w:pPr>
            <w:r w:rsidRPr="00BE0476">
              <w:rPr>
                <w:color w:val="000000"/>
                <w:sz w:val="20"/>
                <w:szCs w:val="20"/>
              </w:rPr>
              <w:t>0</w:t>
            </w:r>
          </w:p>
        </w:tc>
        <w:tc>
          <w:tcPr>
            <w:tcW w:w="530" w:type="pct"/>
            <w:vAlign w:val="center"/>
          </w:tcPr>
          <w:p w14:paraId="5AAABCF3"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vAlign w:val="center"/>
          </w:tcPr>
          <w:p w14:paraId="631FA3AC" w14:textId="77777777"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14:paraId="4FD6DED1"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14:paraId="012ECFE5" w14:textId="77777777" w:rsidR="0011317A" w:rsidRPr="00925C92" w:rsidRDefault="0011317A" w:rsidP="00DA6FBE">
            <w:pPr>
              <w:jc w:val="center"/>
              <w:rPr>
                <w:sz w:val="20"/>
                <w:szCs w:val="20"/>
                <w:lang w:eastAsia="en-US"/>
              </w:rPr>
            </w:pPr>
            <w:r w:rsidRPr="00BE0476">
              <w:rPr>
                <w:color w:val="000000"/>
                <w:sz w:val="20"/>
                <w:szCs w:val="20"/>
              </w:rPr>
              <w:t>0</w:t>
            </w:r>
          </w:p>
        </w:tc>
      </w:tr>
      <w:tr w:rsidR="0011317A" w:rsidRPr="00925C92" w14:paraId="3A9DBF88" w14:textId="77777777" w:rsidTr="003B7BB4">
        <w:trPr>
          <w:cantSplit/>
        </w:trPr>
        <w:tc>
          <w:tcPr>
            <w:tcW w:w="1085" w:type="pct"/>
          </w:tcPr>
          <w:p w14:paraId="64D09C7F" w14:textId="77777777" w:rsidR="0011317A" w:rsidRPr="00925C92" w:rsidRDefault="0011317A" w:rsidP="00DA6FBE">
            <w:pPr>
              <w:jc w:val="both"/>
              <w:rPr>
                <w:sz w:val="20"/>
                <w:szCs w:val="20"/>
                <w:lang w:eastAsia="en-US"/>
              </w:rPr>
            </w:pPr>
            <w:r w:rsidRPr="00925C92">
              <w:rPr>
                <w:sz w:val="20"/>
                <w:szCs w:val="20"/>
                <w:lang w:eastAsia="en-US"/>
              </w:rPr>
              <w:t>1.2. valsts speciālais budžets</w:t>
            </w:r>
          </w:p>
        </w:tc>
        <w:tc>
          <w:tcPr>
            <w:tcW w:w="387" w:type="pct"/>
            <w:vAlign w:val="center"/>
          </w:tcPr>
          <w:p w14:paraId="3210AAE6" w14:textId="77777777"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14:paraId="44790F93" w14:textId="77777777"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14:paraId="735741F5" w14:textId="77777777" w:rsidR="0011317A" w:rsidRPr="00925C92" w:rsidRDefault="0011317A" w:rsidP="00DA6FBE">
            <w:pPr>
              <w:jc w:val="center"/>
              <w:rPr>
                <w:sz w:val="20"/>
                <w:szCs w:val="20"/>
                <w:lang w:eastAsia="en-US"/>
              </w:rPr>
            </w:pPr>
            <w:r w:rsidRPr="00BE0476">
              <w:rPr>
                <w:color w:val="000000"/>
                <w:sz w:val="20"/>
                <w:szCs w:val="20"/>
              </w:rPr>
              <w:t>0</w:t>
            </w:r>
          </w:p>
        </w:tc>
        <w:tc>
          <w:tcPr>
            <w:tcW w:w="530" w:type="pct"/>
            <w:vAlign w:val="center"/>
          </w:tcPr>
          <w:p w14:paraId="758A3FBF"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vAlign w:val="center"/>
          </w:tcPr>
          <w:p w14:paraId="53BC8A61" w14:textId="77777777"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14:paraId="03159F28"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14:paraId="6F8774EE" w14:textId="77777777" w:rsidR="0011317A" w:rsidRPr="00925C92" w:rsidRDefault="0011317A" w:rsidP="00DA6FBE">
            <w:pPr>
              <w:jc w:val="center"/>
              <w:rPr>
                <w:sz w:val="20"/>
                <w:szCs w:val="20"/>
                <w:lang w:eastAsia="en-US"/>
              </w:rPr>
            </w:pPr>
            <w:r w:rsidRPr="00BE0476">
              <w:rPr>
                <w:color w:val="000000"/>
                <w:sz w:val="20"/>
                <w:szCs w:val="20"/>
              </w:rPr>
              <w:t>0</w:t>
            </w:r>
          </w:p>
        </w:tc>
      </w:tr>
      <w:tr w:rsidR="0011317A" w:rsidRPr="00925C92" w14:paraId="03343D5F" w14:textId="77777777" w:rsidTr="003B7BB4">
        <w:trPr>
          <w:cantSplit/>
        </w:trPr>
        <w:tc>
          <w:tcPr>
            <w:tcW w:w="1085" w:type="pct"/>
          </w:tcPr>
          <w:p w14:paraId="50C9928E" w14:textId="77777777" w:rsidR="0011317A" w:rsidRPr="00925C92" w:rsidRDefault="0011317A" w:rsidP="00DA6FBE">
            <w:pPr>
              <w:jc w:val="both"/>
              <w:rPr>
                <w:sz w:val="20"/>
                <w:szCs w:val="20"/>
                <w:lang w:eastAsia="en-US"/>
              </w:rPr>
            </w:pPr>
            <w:r w:rsidRPr="00925C92">
              <w:rPr>
                <w:sz w:val="20"/>
                <w:szCs w:val="20"/>
                <w:lang w:eastAsia="en-US"/>
              </w:rPr>
              <w:lastRenderedPageBreak/>
              <w:t>1.3. pašvaldību budžets</w:t>
            </w:r>
          </w:p>
        </w:tc>
        <w:tc>
          <w:tcPr>
            <w:tcW w:w="387" w:type="pct"/>
            <w:vAlign w:val="center"/>
          </w:tcPr>
          <w:p w14:paraId="60083CBB" w14:textId="77777777"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14:paraId="370EC865" w14:textId="77777777"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14:paraId="4D2AAB33" w14:textId="77777777" w:rsidR="0011317A" w:rsidRPr="00925C92" w:rsidRDefault="0011317A" w:rsidP="00DA6FBE">
            <w:pPr>
              <w:jc w:val="center"/>
              <w:rPr>
                <w:sz w:val="20"/>
                <w:szCs w:val="20"/>
                <w:lang w:eastAsia="en-US"/>
              </w:rPr>
            </w:pPr>
            <w:r w:rsidRPr="00BE0476">
              <w:rPr>
                <w:color w:val="000000"/>
                <w:sz w:val="20"/>
                <w:szCs w:val="20"/>
              </w:rPr>
              <w:t>0</w:t>
            </w:r>
          </w:p>
        </w:tc>
        <w:tc>
          <w:tcPr>
            <w:tcW w:w="530" w:type="pct"/>
            <w:vAlign w:val="center"/>
          </w:tcPr>
          <w:p w14:paraId="78F69B91"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vAlign w:val="center"/>
          </w:tcPr>
          <w:p w14:paraId="27BAF3ED" w14:textId="77777777"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14:paraId="4A2C9474"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14:paraId="2B47F950" w14:textId="77777777" w:rsidR="0011317A" w:rsidRPr="00925C92" w:rsidRDefault="0011317A" w:rsidP="00DA6FBE">
            <w:pPr>
              <w:jc w:val="center"/>
              <w:rPr>
                <w:sz w:val="20"/>
                <w:szCs w:val="20"/>
                <w:lang w:eastAsia="en-US"/>
              </w:rPr>
            </w:pPr>
            <w:r w:rsidRPr="00BE0476">
              <w:rPr>
                <w:color w:val="000000"/>
                <w:sz w:val="20"/>
                <w:szCs w:val="20"/>
              </w:rPr>
              <w:t>0</w:t>
            </w:r>
          </w:p>
        </w:tc>
      </w:tr>
      <w:tr w:rsidR="00FE4734" w:rsidRPr="00925C92" w14:paraId="69A88AA2" w14:textId="77777777" w:rsidTr="00CD46C9">
        <w:trPr>
          <w:cantSplit/>
        </w:trPr>
        <w:tc>
          <w:tcPr>
            <w:tcW w:w="1085" w:type="pct"/>
            <w:shd w:val="clear" w:color="auto" w:fill="D9D9D9"/>
          </w:tcPr>
          <w:p w14:paraId="062307AF" w14:textId="77777777" w:rsidR="00FE4734" w:rsidRPr="00925C92" w:rsidRDefault="00FE4734" w:rsidP="00FE4734">
            <w:pPr>
              <w:jc w:val="both"/>
              <w:rPr>
                <w:sz w:val="20"/>
                <w:szCs w:val="20"/>
                <w:lang w:eastAsia="en-US"/>
              </w:rPr>
            </w:pPr>
            <w:r w:rsidRPr="00925C92">
              <w:rPr>
                <w:sz w:val="20"/>
                <w:szCs w:val="20"/>
                <w:lang w:eastAsia="en-US"/>
              </w:rPr>
              <w:t>2. Budžeta izdevumi</w:t>
            </w:r>
          </w:p>
        </w:tc>
        <w:tc>
          <w:tcPr>
            <w:tcW w:w="387" w:type="pct"/>
            <w:shd w:val="clear" w:color="auto" w:fill="D9D9D9"/>
            <w:vAlign w:val="center"/>
          </w:tcPr>
          <w:p w14:paraId="08EA7176"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single" w:sz="4" w:space="0" w:color="414142"/>
              <w:bottom w:val="single" w:sz="4" w:space="0" w:color="414142"/>
              <w:right w:val="single" w:sz="4" w:space="0" w:color="414142"/>
            </w:tcBorders>
            <w:shd w:val="clear" w:color="000000" w:fill="D9D9D9"/>
            <w:vAlign w:val="center"/>
          </w:tcPr>
          <w:p w14:paraId="250F7EC5" w14:textId="5587FCC8" w:rsidR="00FE4734" w:rsidRPr="00925C92" w:rsidRDefault="00FE4734" w:rsidP="00FE4734">
            <w:pPr>
              <w:jc w:val="center"/>
              <w:rPr>
                <w:sz w:val="20"/>
                <w:szCs w:val="20"/>
                <w:lang w:eastAsia="en-US"/>
              </w:rPr>
            </w:pPr>
            <w:r w:rsidRPr="000D0E58">
              <w:rPr>
                <w:b/>
                <w:bCs/>
                <w:sz w:val="18"/>
                <w:szCs w:val="18"/>
              </w:rPr>
              <w:t>182 083 893</w:t>
            </w:r>
          </w:p>
        </w:tc>
        <w:tc>
          <w:tcPr>
            <w:tcW w:w="389" w:type="pct"/>
            <w:shd w:val="clear" w:color="auto" w:fill="D9D9D9"/>
            <w:vAlign w:val="center"/>
          </w:tcPr>
          <w:p w14:paraId="5E7F1E04"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shd w:val="clear" w:color="auto" w:fill="D9D9D9"/>
            <w:vAlign w:val="center"/>
          </w:tcPr>
          <w:p w14:paraId="4DAF5937" w14:textId="77777777" w:rsidR="00FE4734" w:rsidRPr="00A4046F" w:rsidRDefault="00FE4734" w:rsidP="00FE4734">
            <w:pPr>
              <w:jc w:val="center"/>
              <w:rPr>
                <w:sz w:val="20"/>
                <w:szCs w:val="20"/>
                <w:lang w:eastAsia="en-US"/>
              </w:rPr>
            </w:pPr>
            <w:r>
              <w:rPr>
                <w:iCs/>
                <w:sz w:val="20"/>
                <w:szCs w:val="20"/>
              </w:rPr>
              <w:t>0</w:t>
            </w:r>
          </w:p>
        </w:tc>
        <w:tc>
          <w:tcPr>
            <w:tcW w:w="396" w:type="pct"/>
            <w:shd w:val="clear" w:color="auto" w:fill="D9D9D9"/>
            <w:vAlign w:val="center"/>
          </w:tcPr>
          <w:p w14:paraId="5AFE840C"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shd w:val="clear" w:color="auto" w:fill="D9D9D9"/>
            <w:vAlign w:val="center"/>
          </w:tcPr>
          <w:p w14:paraId="711C9DDE"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shd w:val="clear" w:color="auto" w:fill="D9D9D9"/>
            <w:vAlign w:val="center"/>
          </w:tcPr>
          <w:p w14:paraId="71E141DC" w14:textId="77777777" w:rsidR="00FE4734" w:rsidRPr="00925C92" w:rsidRDefault="00FE4734" w:rsidP="00FE4734">
            <w:pPr>
              <w:jc w:val="center"/>
              <w:rPr>
                <w:sz w:val="20"/>
                <w:szCs w:val="20"/>
                <w:lang w:eastAsia="en-US"/>
              </w:rPr>
            </w:pPr>
            <w:r w:rsidRPr="00BE0476">
              <w:rPr>
                <w:color w:val="000000"/>
                <w:sz w:val="20"/>
                <w:szCs w:val="20"/>
              </w:rPr>
              <w:t>0</w:t>
            </w:r>
          </w:p>
        </w:tc>
      </w:tr>
      <w:tr w:rsidR="00FE4734" w:rsidRPr="00925C92" w14:paraId="0D2574D2" w14:textId="77777777" w:rsidTr="00CD46C9">
        <w:trPr>
          <w:cantSplit/>
        </w:trPr>
        <w:tc>
          <w:tcPr>
            <w:tcW w:w="1085" w:type="pct"/>
          </w:tcPr>
          <w:p w14:paraId="01DB507B" w14:textId="77777777" w:rsidR="00FE4734" w:rsidRPr="00925C92" w:rsidRDefault="00FE4734" w:rsidP="00FE4734">
            <w:pPr>
              <w:jc w:val="both"/>
              <w:rPr>
                <w:sz w:val="20"/>
                <w:szCs w:val="20"/>
                <w:lang w:eastAsia="en-US"/>
              </w:rPr>
            </w:pPr>
            <w:bookmarkStart w:id="3" w:name="_Hlk42531261"/>
            <w:r w:rsidRPr="00925C92">
              <w:rPr>
                <w:sz w:val="20"/>
                <w:szCs w:val="20"/>
                <w:lang w:eastAsia="en-US"/>
              </w:rPr>
              <w:t>2.1. valsts pamatbudžets</w:t>
            </w:r>
          </w:p>
        </w:tc>
        <w:tc>
          <w:tcPr>
            <w:tcW w:w="387" w:type="pct"/>
            <w:vAlign w:val="center"/>
          </w:tcPr>
          <w:p w14:paraId="55AB3A2D"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single" w:sz="4" w:space="0" w:color="414142"/>
              <w:bottom w:val="single" w:sz="4" w:space="0" w:color="414142"/>
              <w:right w:val="single" w:sz="4" w:space="0" w:color="414142"/>
            </w:tcBorders>
            <w:shd w:val="clear" w:color="auto" w:fill="auto"/>
            <w:vAlign w:val="center"/>
          </w:tcPr>
          <w:p w14:paraId="24E3B2BC" w14:textId="64800D42" w:rsidR="00FE4734" w:rsidRPr="00925C92" w:rsidRDefault="00FE4734" w:rsidP="00FE4734">
            <w:pPr>
              <w:jc w:val="center"/>
              <w:rPr>
                <w:sz w:val="20"/>
                <w:szCs w:val="20"/>
                <w:lang w:eastAsia="en-US"/>
              </w:rPr>
            </w:pPr>
            <w:r w:rsidRPr="000D0E58">
              <w:rPr>
                <w:sz w:val="18"/>
                <w:szCs w:val="18"/>
              </w:rPr>
              <w:t>182 083 893</w:t>
            </w:r>
          </w:p>
        </w:tc>
        <w:tc>
          <w:tcPr>
            <w:tcW w:w="389" w:type="pct"/>
            <w:vAlign w:val="center"/>
          </w:tcPr>
          <w:p w14:paraId="4E4C8D5E"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vAlign w:val="center"/>
          </w:tcPr>
          <w:p w14:paraId="69D83C64" w14:textId="77777777" w:rsidR="00FE4734" w:rsidRPr="00A4046F" w:rsidRDefault="00FE4734" w:rsidP="00FE4734">
            <w:pPr>
              <w:jc w:val="center"/>
              <w:rPr>
                <w:sz w:val="20"/>
                <w:szCs w:val="20"/>
                <w:lang w:eastAsia="en-US"/>
              </w:rPr>
            </w:pPr>
            <w:r>
              <w:rPr>
                <w:iCs/>
                <w:sz w:val="20"/>
                <w:szCs w:val="20"/>
              </w:rPr>
              <w:t>0</w:t>
            </w:r>
          </w:p>
        </w:tc>
        <w:tc>
          <w:tcPr>
            <w:tcW w:w="396" w:type="pct"/>
            <w:vAlign w:val="center"/>
          </w:tcPr>
          <w:p w14:paraId="2791C217"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vAlign w:val="center"/>
          </w:tcPr>
          <w:p w14:paraId="1DCFA634"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vAlign w:val="center"/>
          </w:tcPr>
          <w:p w14:paraId="4227D50F" w14:textId="77777777" w:rsidR="00FE4734" w:rsidRPr="00925C92" w:rsidRDefault="00FE4734" w:rsidP="00FE4734">
            <w:pPr>
              <w:jc w:val="center"/>
              <w:rPr>
                <w:sz w:val="20"/>
                <w:szCs w:val="20"/>
                <w:lang w:eastAsia="en-US"/>
              </w:rPr>
            </w:pPr>
            <w:r w:rsidRPr="00BE0476">
              <w:rPr>
                <w:color w:val="000000"/>
                <w:sz w:val="20"/>
                <w:szCs w:val="20"/>
              </w:rPr>
              <w:t>0</w:t>
            </w:r>
          </w:p>
        </w:tc>
      </w:tr>
      <w:bookmarkEnd w:id="3"/>
      <w:tr w:rsidR="00FE4734" w:rsidRPr="00925C92" w14:paraId="1307AC1B" w14:textId="77777777" w:rsidTr="00CD46C9">
        <w:trPr>
          <w:cantSplit/>
        </w:trPr>
        <w:tc>
          <w:tcPr>
            <w:tcW w:w="1085" w:type="pct"/>
          </w:tcPr>
          <w:p w14:paraId="70FF63FE" w14:textId="77777777" w:rsidR="00FE4734" w:rsidRPr="00925C92" w:rsidRDefault="00FE4734" w:rsidP="00FE4734">
            <w:pPr>
              <w:jc w:val="both"/>
              <w:rPr>
                <w:sz w:val="20"/>
                <w:szCs w:val="20"/>
                <w:lang w:eastAsia="en-US"/>
              </w:rPr>
            </w:pPr>
            <w:r w:rsidRPr="00925C92">
              <w:rPr>
                <w:sz w:val="20"/>
                <w:szCs w:val="20"/>
                <w:lang w:eastAsia="en-US"/>
              </w:rPr>
              <w:t>2.2. valsts speciālais budžets</w:t>
            </w:r>
          </w:p>
        </w:tc>
        <w:tc>
          <w:tcPr>
            <w:tcW w:w="387" w:type="pct"/>
            <w:vAlign w:val="center"/>
          </w:tcPr>
          <w:p w14:paraId="10AC00F6"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single" w:sz="4" w:space="0" w:color="414142"/>
              <w:bottom w:val="single" w:sz="4" w:space="0" w:color="414142"/>
              <w:right w:val="single" w:sz="4" w:space="0" w:color="414142"/>
            </w:tcBorders>
            <w:shd w:val="clear" w:color="auto" w:fill="auto"/>
            <w:vAlign w:val="center"/>
          </w:tcPr>
          <w:p w14:paraId="31AD903F" w14:textId="788BB6FD" w:rsidR="00FE4734" w:rsidRPr="00925C92" w:rsidRDefault="00FE4734" w:rsidP="00FE4734">
            <w:pPr>
              <w:jc w:val="center"/>
              <w:rPr>
                <w:sz w:val="20"/>
                <w:szCs w:val="20"/>
                <w:lang w:eastAsia="en-US"/>
              </w:rPr>
            </w:pPr>
            <w:r w:rsidRPr="000D0E58">
              <w:rPr>
                <w:sz w:val="18"/>
                <w:szCs w:val="18"/>
              </w:rPr>
              <w:t>0</w:t>
            </w:r>
          </w:p>
        </w:tc>
        <w:tc>
          <w:tcPr>
            <w:tcW w:w="389" w:type="pct"/>
            <w:vAlign w:val="center"/>
          </w:tcPr>
          <w:p w14:paraId="6A83812C"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vAlign w:val="center"/>
          </w:tcPr>
          <w:p w14:paraId="51FF6F57" w14:textId="77777777" w:rsidR="00FE4734" w:rsidRPr="00A4046F" w:rsidRDefault="00FE4734" w:rsidP="00FE4734">
            <w:pPr>
              <w:jc w:val="center"/>
              <w:rPr>
                <w:sz w:val="20"/>
                <w:szCs w:val="20"/>
                <w:lang w:eastAsia="en-US"/>
              </w:rPr>
            </w:pPr>
            <w:r w:rsidRPr="00A4046F">
              <w:rPr>
                <w:sz w:val="20"/>
                <w:szCs w:val="20"/>
              </w:rPr>
              <w:t>0</w:t>
            </w:r>
          </w:p>
        </w:tc>
        <w:tc>
          <w:tcPr>
            <w:tcW w:w="396" w:type="pct"/>
            <w:vAlign w:val="center"/>
          </w:tcPr>
          <w:p w14:paraId="4F5F4E32"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vAlign w:val="center"/>
          </w:tcPr>
          <w:p w14:paraId="1647BC18"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vAlign w:val="center"/>
          </w:tcPr>
          <w:p w14:paraId="590795B8" w14:textId="77777777" w:rsidR="00FE4734" w:rsidRPr="00925C92" w:rsidRDefault="00FE4734" w:rsidP="00FE4734">
            <w:pPr>
              <w:jc w:val="center"/>
              <w:rPr>
                <w:sz w:val="20"/>
                <w:szCs w:val="20"/>
                <w:lang w:eastAsia="en-US"/>
              </w:rPr>
            </w:pPr>
            <w:r w:rsidRPr="00BE0476">
              <w:rPr>
                <w:color w:val="000000"/>
                <w:sz w:val="20"/>
                <w:szCs w:val="20"/>
              </w:rPr>
              <w:t>0</w:t>
            </w:r>
          </w:p>
        </w:tc>
      </w:tr>
      <w:tr w:rsidR="00FE4734" w:rsidRPr="00925C92" w14:paraId="244F73E3" w14:textId="77777777" w:rsidTr="00CD46C9">
        <w:trPr>
          <w:cantSplit/>
        </w:trPr>
        <w:tc>
          <w:tcPr>
            <w:tcW w:w="1085" w:type="pct"/>
          </w:tcPr>
          <w:p w14:paraId="28624FBE" w14:textId="77777777" w:rsidR="00FE4734" w:rsidRPr="00925C92" w:rsidRDefault="00FE4734" w:rsidP="00FE4734">
            <w:pPr>
              <w:jc w:val="both"/>
              <w:rPr>
                <w:sz w:val="20"/>
                <w:szCs w:val="20"/>
                <w:lang w:eastAsia="en-US"/>
              </w:rPr>
            </w:pPr>
            <w:r w:rsidRPr="00925C92">
              <w:rPr>
                <w:sz w:val="20"/>
                <w:szCs w:val="20"/>
                <w:lang w:eastAsia="en-US"/>
              </w:rPr>
              <w:t>2.3. pašvaldību budžets</w:t>
            </w:r>
          </w:p>
        </w:tc>
        <w:tc>
          <w:tcPr>
            <w:tcW w:w="387" w:type="pct"/>
            <w:vAlign w:val="center"/>
          </w:tcPr>
          <w:p w14:paraId="5E99EDE2"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single" w:sz="4" w:space="0" w:color="414142"/>
              <w:bottom w:val="single" w:sz="4" w:space="0" w:color="414142"/>
              <w:right w:val="single" w:sz="4" w:space="0" w:color="414142"/>
            </w:tcBorders>
            <w:shd w:val="clear" w:color="auto" w:fill="auto"/>
            <w:vAlign w:val="center"/>
          </w:tcPr>
          <w:p w14:paraId="5247EA57" w14:textId="21648663" w:rsidR="00FE4734" w:rsidRPr="00925C92" w:rsidRDefault="00FE4734" w:rsidP="00FE4734">
            <w:pPr>
              <w:jc w:val="center"/>
              <w:rPr>
                <w:sz w:val="20"/>
                <w:szCs w:val="20"/>
                <w:lang w:eastAsia="en-US"/>
              </w:rPr>
            </w:pPr>
            <w:r w:rsidRPr="000D0E58">
              <w:rPr>
                <w:sz w:val="18"/>
                <w:szCs w:val="18"/>
              </w:rPr>
              <w:t>0</w:t>
            </w:r>
          </w:p>
        </w:tc>
        <w:tc>
          <w:tcPr>
            <w:tcW w:w="389" w:type="pct"/>
            <w:vAlign w:val="center"/>
          </w:tcPr>
          <w:p w14:paraId="2BF5F362"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vAlign w:val="center"/>
          </w:tcPr>
          <w:p w14:paraId="1586C009" w14:textId="77777777" w:rsidR="00FE4734" w:rsidRPr="00A4046F" w:rsidRDefault="00FE4734" w:rsidP="00FE4734">
            <w:pPr>
              <w:jc w:val="center"/>
              <w:rPr>
                <w:sz w:val="20"/>
                <w:szCs w:val="20"/>
                <w:lang w:eastAsia="en-US"/>
              </w:rPr>
            </w:pPr>
            <w:r w:rsidRPr="00A4046F">
              <w:rPr>
                <w:sz w:val="20"/>
                <w:szCs w:val="20"/>
              </w:rPr>
              <w:t>0</w:t>
            </w:r>
          </w:p>
        </w:tc>
        <w:tc>
          <w:tcPr>
            <w:tcW w:w="396" w:type="pct"/>
            <w:vAlign w:val="center"/>
          </w:tcPr>
          <w:p w14:paraId="6D81CD0B"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vAlign w:val="center"/>
          </w:tcPr>
          <w:p w14:paraId="27A40C8B"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vAlign w:val="center"/>
          </w:tcPr>
          <w:p w14:paraId="5B81F98D" w14:textId="77777777" w:rsidR="00FE4734" w:rsidRPr="00925C92" w:rsidRDefault="00FE4734" w:rsidP="00FE4734">
            <w:pPr>
              <w:jc w:val="center"/>
              <w:rPr>
                <w:sz w:val="20"/>
                <w:szCs w:val="20"/>
                <w:lang w:eastAsia="en-US"/>
              </w:rPr>
            </w:pPr>
            <w:r w:rsidRPr="00BE0476">
              <w:rPr>
                <w:color w:val="000000"/>
                <w:sz w:val="20"/>
                <w:szCs w:val="20"/>
              </w:rPr>
              <w:t>0</w:t>
            </w:r>
          </w:p>
        </w:tc>
      </w:tr>
      <w:tr w:rsidR="00FE4734" w:rsidRPr="00925C92" w14:paraId="24EB48BC" w14:textId="77777777" w:rsidTr="00CD46C9">
        <w:trPr>
          <w:cantSplit/>
        </w:trPr>
        <w:tc>
          <w:tcPr>
            <w:tcW w:w="1085" w:type="pct"/>
            <w:shd w:val="clear" w:color="auto" w:fill="D9D9D9"/>
          </w:tcPr>
          <w:p w14:paraId="171D80E4" w14:textId="77777777" w:rsidR="00FE4734" w:rsidRPr="00925C92" w:rsidRDefault="00FE4734" w:rsidP="00FE4734">
            <w:pPr>
              <w:jc w:val="both"/>
              <w:rPr>
                <w:sz w:val="20"/>
                <w:szCs w:val="20"/>
                <w:lang w:eastAsia="en-US"/>
              </w:rPr>
            </w:pPr>
            <w:r w:rsidRPr="00925C92">
              <w:rPr>
                <w:sz w:val="20"/>
                <w:szCs w:val="20"/>
                <w:lang w:eastAsia="en-US"/>
              </w:rPr>
              <w:t>3. Finansiālā ietekme</w:t>
            </w:r>
          </w:p>
        </w:tc>
        <w:tc>
          <w:tcPr>
            <w:tcW w:w="387" w:type="pct"/>
            <w:shd w:val="clear" w:color="auto" w:fill="D9D9D9"/>
            <w:vAlign w:val="center"/>
          </w:tcPr>
          <w:p w14:paraId="61E671DC"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single" w:sz="4" w:space="0" w:color="414142"/>
              <w:bottom w:val="single" w:sz="4" w:space="0" w:color="414142"/>
              <w:right w:val="single" w:sz="4" w:space="0" w:color="414142"/>
            </w:tcBorders>
            <w:shd w:val="clear" w:color="000000" w:fill="D9D9D9"/>
            <w:vAlign w:val="center"/>
          </w:tcPr>
          <w:p w14:paraId="60AAE641" w14:textId="74F648B5" w:rsidR="00FE4734" w:rsidRPr="00925C92" w:rsidRDefault="00FE4734" w:rsidP="00FE4734">
            <w:pPr>
              <w:jc w:val="center"/>
              <w:rPr>
                <w:sz w:val="20"/>
                <w:szCs w:val="20"/>
                <w:lang w:eastAsia="en-US"/>
              </w:rPr>
            </w:pPr>
            <w:r w:rsidRPr="000D0E58">
              <w:rPr>
                <w:b/>
                <w:bCs/>
                <w:sz w:val="18"/>
                <w:szCs w:val="18"/>
              </w:rPr>
              <w:t>-182 083 893</w:t>
            </w:r>
          </w:p>
        </w:tc>
        <w:tc>
          <w:tcPr>
            <w:tcW w:w="389" w:type="pct"/>
            <w:shd w:val="clear" w:color="auto" w:fill="D9D9D9"/>
            <w:vAlign w:val="center"/>
          </w:tcPr>
          <w:p w14:paraId="17502395"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shd w:val="clear" w:color="auto" w:fill="D9D9D9"/>
            <w:vAlign w:val="center"/>
          </w:tcPr>
          <w:p w14:paraId="7871C80B" w14:textId="77777777" w:rsidR="00FE4734" w:rsidRPr="00A4046F" w:rsidRDefault="00FE4734" w:rsidP="00FE4734">
            <w:pPr>
              <w:jc w:val="center"/>
              <w:rPr>
                <w:sz w:val="20"/>
                <w:szCs w:val="20"/>
                <w:lang w:eastAsia="en-US"/>
              </w:rPr>
            </w:pPr>
            <w:r>
              <w:rPr>
                <w:iCs/>
                <w:sz w:val="20"/>
                <w:szCs w:val="20"/>
              </w:rPr>
              <w:t>0</w:t>
            </w:r>
          </w:p>
        </w:tc>
        <w:tc>
          <w:tcPr>
            <w:tcW w:w="396" w:type="pct"/>
            <w:shd w:val="clear" w:color="auto" w:fill="D9D9D9"/>
            <w:vAlign w:val="center"/>
          </w:tcPr>
          <w:p w14:paraId="401441B0"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shd w:val="clear" w:color="auto" w:fill="D9D9D9"/>
            <w:vAlign w:val="center"/>
          </w:tcPr>
          <w:p w14:paraId="6428C1CB"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shd w:val="clear" w:color="auto" w:fill="D9D9D9"/>
            <w:vAlign w:val="center"/>
          </w:tcPr>
          <w:p w14:paraId="0A9F862E" w14:textId="77777777" w:rsidR="00FE4734" w:rsidRPr="00925C92" w:rsidRDefault="00FE4734" w:rsidP="00FE4734">
            <w:pPr>
              <w:jc w:val="center"/>
              <w:rPr>
                <w:sz w:val="20"/>
                <w:szCs w:val="20"/>
                <w:lang w:eastAsia="en-US"/>
              </w:rPr>
            </w:pPr>
            <w:r w:rsidRPr="00BE0476">
              <w:rPr>
                <w:color w:val="000000"/>
                <w:sz w:val="20"/>
                <w:szCs w:val="20"/>
              </w:rPr>
              <w:t>0</w:t>
            </w:r>
          </w:p>
        </w:tc>
      </w:tr>
      <w:tr w:rsidR="00FE4734" w:rsidRPr="00925C92" w14:paraId="45684557" w14:textId="77777777" w:rsidTr="00CD46C9">
        <w:trPr>
          <w:cantSplit/>
        </w:trPr>
        <w:tc>
          <w:tcPr>
            <w:tcW w:w="1085" w:type="pct"/>
          </w:tcPr>
          <w:p w14:paraId="71522CB6" w14:textId="77777777" w:rsidR="00FE4734" w:rsidRPr="00925C92" w:rsidRDefault="00FE4734" w:rsidP="00FE4734">
            <w:pPr>
              <w:jc w:val="both"/>
              <w:rPr>
                <w:sz w:val="20"/>
                <w:szCs w:val="20"/>
                <w:lang w:eastAsia="en-US"/>
              </w:rPr>
            </w:pPr>
            <w:r w:rsidRPr="00925C92">
              <w:rPr>
                <w:sz w:val="20"/>
                <w:szCs w:val="20"/>
                <w:lang w:eastAsia="en-US"/>
              </w:rPr>
              <w:t>3.1. valsts pamatbudžets</w:t>
            </w:r>
          </w:p>
        </w:tc>
        <w:tc>
          <w:tcPr>
            <w:tcW w:w="387" w:type="pct"/>
            <w:vAlign w:val="center"/>
          </w:tcPr>
          <w:p w14:paraId="788A28D7"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single" w:sz="4" w:space="0" w:color="414142"/>
              <w:bottom w:val="single" w:sz="4" w:space="0" w:color="414142"/>
              <w:right w:val="single" w:sz="4" w:space="0" w:color="414142"/>
            </w:tcBorders>
            <w:shd w:val="clear" w:color="auto" w:fill="auto"/>
            <w:vAlign w:val="center"/>
          </w:tcPr>
          <w:p w14:paraId="674DC181" w14:textId="4F07A69D" w:rsidR="00FE4734" w:rsidRPr="00925C92" w:rsidRDefault="00FE4734" w:rsidP="00FE4734">
            <w:pPr>
              <w:jc w:val="center"/>
              <w:rPr>
                <w:sz w:val="20"/>
                <w:szCs w:val="20"/>
                <w:lang w:eastAsia="en-US"/>
              </w:rPr>
            </w:pPr>
            <w:r w:rsidRPr="000D0E58">
              <w:rPr>
                <w:sz w:val="18"/>
                <w:szCs w:val="18"/>
              </w:rPr>
              <w:t>-182 083 893</w:t>
            </w:r>
          </w:p>
        </w:tc>
        <w:tc>
          <w:tcPr>
            <w:tcW w:w="389" w:type="pct"/>
            <w:vAlign w:val="center"/>
          </w:tcPr>
          <w:p w14:paraId="2D056661"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vAlign w:val="center"/>
          </w:tcPr>
          <w:p w14:paraId="43355C06" w14:textId="77777777" w:rsidR="00FE4734" w:rsidRPr="00A4046F" w:rsidRDefault="00FE4734" w:rsidP="00FE4734">
            <w:pPr>
              <w:jc w:val="center"/>
              <w:rPr>
                <w:sz w:val="20"/>
                <w:szCs w:val="20"/>
                <w:lang w:eastAsia="en-US"/>
              </w:rPr>
            </w:pPr>
            <w:r>
              <w:rPr>
                <w:iCs/>
                <w:sz w:val="20"/>
                <w:szCs w:val="20"/>
              </w:rPr>
              <w:t>0</w:t>
            </w:r>
          </w:p>
        </w:tc>
        <w:tc>
          <w:tcPr>
            <w:tcW w:w="396" w:type="pct"/>
            <w:vAlign w:val="center"/>
          </w:tcPr>
          <w:p w14:paraId="71182246"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vAlign w:val="center"/>
          </w:tcPr>
          <w:p w14:paraId="45E7DE4D"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vAlign w:val="center"/>
          </w:tcPr>
          <w:p w14:paraId="6B480803" w14:textId="77777777" w:rsidR="00FE4734" w:rsidRPr="00925C92" w:rsidRDefault="00FE4734" w:rsidP="00FE4734">
            <w:pPr>
              <w:jc w:val="center"/>
              <w:rPr>
                <w:sz w:val="20"/>
                <w:szCs w:val="20"/>
                <w:lang w:eastAsia="en-US"/>
              </w:rPr>
            </w:pPr>
            <w:r w:rsidRPr="00BE0476">
              <w:rPr>
                <w:color w:val="000000"/>
                <w:sz w:val="20"/>
                <w:szCs w:val="20"/>
              </w:rPr>
              <w:t>0</w:t>
            </w:r>
          </w:p>
        </w:tc>
      </w:tr>
      <w:tr w:rsidR="00FE4734" w:rsidRPr="00925C92" w14:paraId="45E93499" w14:textId="77777777" w:rsidTr="00CD46C9">
        <w:trPr>
          <w:cantSplit/>
        </w:trPr>
        <w:tc>
          <w:tcPr>
            <w:tcW w:w="1085" w:type="pct"/>
          </w:tcPr>
          <w:p w14:paraId="4C38E3F6" w14:textId="77777777" w:rsidR="00FE4734" w:rsidRPr="00925C92" w:rsidRDefault="00FE4734" w:rsidP="00FE4734">
            <w:pPr>
              <w:jc w:val="both"/>
              <w:rPr>
                <w:sz w:val="20"/>
                <w:szCs w:val="20"/>
                <w:lang w:eastAsia="en-US"/>
              </w:rPr>
            </w:pPr>
            <w:r w:rsidRPr="00925C92">
              <w:rPr>
                <w:sz w:val="20"/>
                <w:szCs w:val="20"/>
                <w:lang w:eastAsia="en-US"/>
              </w:rPr>
              <w:t>3.2. speciālais budžets</w:t>
            </w:r>
          </w:p>
        </w:tc>
        <w:tc>
          <w:tcPr>
            <w:tcW w:w="387" w:type="pct"/>
            <w:vAlign w:val="center"/>
          </w:tcPr>
          <w:p w14:paraId="3D8E278A"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single" w:sz="4" w:space="0" w:color="414142"/>
              <w:bottom w:val="single" w:sz="4" w:space="0" w:color="414142"/>
              <w:right w:val="single" w:sz="4" w:space="0" w:color="414142"/>
            </w:tcBorders>
            <w:shd w:val="clear" w:color="auto" w:fill="auto"/>
            <w:vAlign w:val="center"/>
          </w:tcPr>
          <w:p w14:paraId="118FA470" w14:textId="6B00AFDD" w:rsidR="00FE4734" w:rsidRPr="00925C92" w:rsidRDefault="00FE4734" w:rsidP="00FE4734">
            <w:pPr>
              <w:jc w:val="center"/>
              <w:rPr>
                <w:sz w:val="20"/>
                <w:szCs w:val="20"/>
                <w:lang w:eastAsia="en-US"/>
              </w:rPr>
            </w:pPr>
            <w:r w:rsidRPr="000D0E58">
              <w:rPr>
                <w:sz w:val="18"/>
                <w:szCs w:val="18"/>
              </w:rPr>
              <w:t>0</w:t>
            </w:r>
          </w:p>
        </w:tc>
        <w:tc>
          <w:tcPr>
            <w:tcW w:w="389" w:type="pct"/>
            <w:vAlign w:val="center"/>
          </w:tcPr>
          <w:p w14:paraId="4EA42538"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vAlign w:val="center"/>
          </w:tcPr>
          <w:p w14:paraId="0A34A898" w14:textId="77777777" w:rsidR="00FE4734" w:rsidRPr="00A4046F" w:rsidRDefault="00FE4734" w:rsidP="00FE4734">
            <w:pPr>
              <w:jc w:val="center"/>
              <w:rPr>
                <w:sz w:val="20"/>
                <w:szCs w:val="20"/>
                <w:lang w:eastAsia="en-US"/>
              </w:rPr>
            </w:pPr>
            <w:r w:rsidRPr="00A4046F">
              <w:rPr>
                <w:sz w:val="20"/>
                <w:szCs w:val="20"/>
              </w:rPr>
              <w:t>0</w:t>
            </w:r>
          </w:p>
        </w:tc>
        <w:tc>
          <w:tcPr>
            <w:tcW w:w="396" w:type="pct"/>
            <w:vAlign w:val="center"/>
          </w:tcPr>
          <w:p w14:paraId="21347B21"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vAlign w:val="center"/>
          </w:tcPr>
          <w:p w14:paraId="75646565"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vAlign w:val="center"/>
          </w:tcPr>
          <w:p w14:paraId="2792CDAD" w14:textId="77777777" w:rsidR="00FE4734" w:rsidRPr="00925C92" w:rsidRDefault="00FE4734" w:rsidP="00FE4734">
            <w:pPr>
              <w:jc w:val="center"/>
              <w:rPr>
                <w:sz w:val="20"/>
                <w:szCs w:val="20"/>
                <w:lang w:eastAsia="en-US"/>
              </w:rPr>
            </w:pPr>
            <w:r w:rsidRPr="00BE0476">
              <w:rPr>
                <w:color w:val="000000"/>
                <w:sz w:val="20"/>
                <w:szCs w:val="20"/>
              </w:rPr>
              <w:t>0</w:t>
            </w:r>
          </w:p>
        </w:tc>
      </w:tr>
      <w:tr w:rsidR="00FE4734" w:rsidRPr="00925C92" w14:paraId="32972125" w14:textId="77777777" w:rsidTr="00FF5430">
        <w:trPr>
          <w:cantSplit/>
        </w:trPr>
        <w:tc>
          <w:tcPr>
            <w:tcW w:w="1085" w:type="pct"/>
          </w:tcPr>
          <w:p w14:paraId="1E93A7C0" w14:textId="77777777" w:rsidR="00FE4734" w:rsidRPr="00925C92" w:rsidRDefault="00FE4734" w:rsidP="00FE4734">
            <w:pPr>
              <w:jc w:val="both"/>
              <w:rPr>
                <w:sz w:val="20"/>
                <w:szCs w:val="20"/>
                <w:lang w:eastAsia="en-US"/>
              </w:rPr>
            </w:pPr>
            <w:r w:rsidRPr="00925C92">
              <w:rPr>
                <w:sz w:val="20"/>
                <w:szCs w:val="20"/>
                <w:lang w:eastAsia="en-US"/>
              </w:rPr>
              <w:t>3.3. pašvaldību budžets</w:t>
            </w:r>
          </w:p>
        </w:tc>
        <w:tc>
          <w:tcPr>
            <w:tcW w:w="387" w:type="pct"/>
            <w:vAlign w:val="center"/>
          </w:tcPr>
          <w:p w14:paraId="2197463F"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nil"/>
              <w:left w:val="nil"/>
              <w:bottom w:val="single" w:sz="4" w:space="0" w:color="auto"/>
              <w:right w:val="single" w:sz="4" w:space="0" w:color="414142"/>
            </w:tcBorders>
            <w:shd w:val="clear" w:color="auto" w:fill="auto"/>
            <w:vAlign w:val="center"/>
          </w:tcPr>
          <w:p w14:paraId="436E9C07" w14:textId="6567C451" w:rsidR="00FE4734" w:rsidRPr="00925C92" w:rsidRDefault="00FE4734" w:rsidP="00FE4734">
            <w:pPr>
              <w:jc w:val="center"/>
              <w:rPr>
                <w:sz w:val="20"/>
                <w:szCs w:val="20"/>
                <w:lang w:eastAsia="en-US"/>
              </w:rPr>
            </w:pPr>
            <w:r w:rsidRPr="000D0E58">
              <w:rPr>
                <w:sz w:val="18"/>
                <w:szCs w:val="18"/>
              </w:rPr>
              <w:t>0</w:t>
            </w:r>
          </w:p>
        </w:tc>
        <w:tc>
          <w:tcPr>
            <w:tcW w:w="389" w:type="pct"/>
            <w:vAlign w:val="center"/>
          </w:tcPr>
          <w:p w14:paraId="05649AC7"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vAlign w:val="center"/>
          </w:tcPr>
          <w:p w14:paraId="7F927CC9" w14:textId="77777777" w:rsidR="00FE4734" w:rsidRPr="00A4046F" w:rsidRDefault="00FE4734" w:rsidP="00FE4734">
            <w:pPr>
              <w:jc w:val="center"/>
              <w:rPr>
                <w:sz w:val="20"/>
                <w:szCs w:val="20"/>
                <w:lang w:eastAsia="en-US"/>
              </w:rPr>
            </w:pPr>
            <w:r w:rsidRPr="00A4046F">
              <w:rPr>
                <w:sz w:val="20"/>
                <w:szCs w:val="20"/>
              </w:rPr>
              <w:t>0</w:t>
            </w:r>
          </w:p>
        </w:tc>
        <w:tc>
          <w:tcPr>
            <w:tcW w:w="396" w:type="pct"/>
            <w:vAlign w:val="center"/>
          </w:tcPr>
          <w:p w14:paraId="31CA2993"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vAlign w:val="center"/>
          </w:tcPr>
          <w:p w14:paraId="33A9BE4D"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vAlign w:val="center"/>
          </w:tcPr>
          <w:p w14:paraId="11F657E8" w14:textId="77777777" w:rsidR="00FE4734" w:rsidRPr="00925C92" w:rsidRDefault="00FE4734" w:rsidP="00FE4734">
            <w:pPr>
              <w:jc w:val="center"/>
              <w:rPr>
                <w:sz w:val="20"/>
                <w:szCs w:val="20"/>
                <w:lang w:eastAsia="en-US"/>
              </w:rPr>
            </w:pPr>
            <w:r w:rsidRPr="00BE0476">
              <w:rPr>
                <w:color w:val="000000"/>
                <w:sz w:val="20"/>
                <w:szCs w:val="20"/>
              </w:rPr>
              <w:t>0</w:t>
            </w:r>
          </w:p>
        </w:tc>
      </w:tr>
      <w:tr w:rsidR="00FE4734" w:rsidRPr="00925C92" w14:paraId="06C9C8D7" w14:textId="77777777" w:rsidTr="00FF5430">
        <w:trPr>
          <w:cantSplit/>
        </w:trPr>
        <w:tc>
          <w:tcPr>
            <w:tcW w:w="1085" w:type="pct"/>
          </w:tcPr>
          <w:p w14:paraId="6ADF5551" w14:textId="77777777" w:rsidR="00FE4734" w:rsidRPr="00925C92" w:rsidRDefault="00FE4734" w:rsidP="00FE4734">
            <w:pPr>
              <w:jc w:val="both"/>
              <w:rPr>
                <w:sz w:val="20"/>
                <w:szCs w:val="20"/>
                <w:lang w:eastAsia="en-US"/>
              </w:rPr>
            </w:pPr>
            <w:r w:rsidRPr="00925C92">
              <w:rPr>
                <w:sz w:val="20"/>
                <w:szCs w:val="20"/>
                <w:lang w:eastAsia="en-US"/>
              </w:rPr>
              <w:t>4. Finanšu līdzekļi papildu izdevumu finansēšanai (kompensējošu izdevumu samazinājumu norāda ar "+" zīmi)</w:t>
            </w:r>
          </w:p>
        </w:tc>
        <w:tc>
          <w:tcPr>
            <w:tcW w:w="387" w:type="pct"/>
            <w:vAlign w:val="center"/>
          </w:tcPr>
          <w:p w14:paraId="14D8EC34" w14:textId="77777777" w:rsidR="00FE4734" w:rsidRPr="00925C92" w:rsidRDefault="00FE4734" w:rsidP="00FE4734">
            <w:pPr>
              <w:jc w:val="center"/>
              <w:rPr>
                <w:sz w:val="20"/>
                <w:szCs w:val="20"/>
                <w:lang w:eastAsia="en-US"/>
              </w:rPr>
            </w:pPr>
            <w:r w:rsidRPr="00BE0476">
              <w:rPr>
                <w:color w:val="000000"/>
                <w:sz w:val="20"/>
                <w:szCs w:val="20"/>
              </w:rPr>
              <w:t>0</w:t>
            </w:r>
          </w:p>
        </w:tc>
        <w:tc>
          <w:tcPr>
            <w:tcW w:w="681" w:type="pct"/>
            <w:tcBorders>
              <w:top w:val="single" w:sz="4" w:space="0" w:color="auto"/>
              <w:left w:val="nil"/>
              <w:bottom w:val="single" w:sz="4" w:space="0" w:color="auto"/>
              <w:right w:val="single" w:sz="4" w:space="0" w:color="auto"/>
            </w:tcBorders>
            <w:shd w:val="clear" w:color="auto" w:fill="auto"/>
            <w:vAlign w:val="center"/>
          </w:tcPr>
          <w:p w14:paraId="60EA5065" w14:textId="1FFCA2D5" w:rsidR="00FE4734" w:rsidRPr="00925C92" w:rsidRDefault="00FE4734" w:rsidP="00FE4734">
            <w:pPr>
              <w:jc w:val="center"/>
              <w:rPr>
                <w:sz w:val="20"/>
                <w:szCs w:val="20"/>
                <w:lang w:eastAsia="en-US"/>
              </w:rPr>
            </w:pPr>
            <w:r w:rsidRPr="000D0E58">
              <w:rPr>
                <w:sz w:val="18"/>
                <w:szCs w:val="18"/>
              </w:rPr>
              <w:t>182 083 893</w:t>
            </w:r>
          </w:p>
        </w:tc>
        <w:tc>
          <w:tcPr>
            <w:tcW w:w="389" w:type="pct"/>
            <w:tcBorders>
              <w:left w:val="single" w:sz="4" w:space="0" w:color="auto"/>
            </w:tcBorders>
            <w:vAlign w:val="center"/>
          </w:tcPr>
          <w:p w14:paraId="181B13CD" w14:textId="77777777" w:rsidR="00FE4734" w:rsidRPr="00925C92" w:rsidRDefault="00FE4734" w:rsidP="00FE4734">
            <w:pPr>
              <w:jc w:val="center"/>
              <w:rPr>
                <w:sz w:val="20"/>
                <w:szCs w:val="20"/>
                <w:lang w:eastAsia="en-US"/>
              </w:rPr>
            </w:pPr>
            <w:r w:rsidRPr="006055BE">
              <w:rPr>
                <w:color w:val="000000"/>
                <w:sz w:val="20"/>
                <w:szCs w:val="20"/>
              </w:rPr>
              <w:t>0</w:t>
            </w:r>
          </w:p>
        </w:tc>
        <w:tc>
          <w:tcPr>
            <w:tcW w:w="530" w:type="pct"/>
            <w:vAlign w:val="center"/>
          </w:tcPr>
          <w:p w14:paraId="61D36288" w14:textId="77777777" w:rsidR="00FE4734" w:rsidRPr="00A4046F" w:rsidRDefault="00FE4734" w:rsidP="00FE4734">
            <w:pPr>
              <w:jc w:val="center"/>
              <w:rPr>
                <w:sz w:val="20"/>
                <w:szCs w:val="20"/>
                <w:lang w:eastAsia="en-US"/>
              </w:rPr>
            </w:pPr>
            <w:r>
              <w:rPr>
                <w:iCs/>
                <w:sz w:val="20"/>
                <w:szCs w:val="20"/>
              </w:rPr>
              <w:t>0</w:t>
            </w:r>
          </w:p>
        </w:tc>
        <w:tc>
          <w:tcPr>
            <w:tcW w:w="396" w:type="pct"/>
            <w:vAlign w:val="center"/>
          </w:tcPr>
          <w:p w14:paraId="0577EB0E" w14:textId="77777777" w:rsidR="00FE4734" w:rsidRPr="00925C92" w:rsidRDefault="00FE4734" w:rsidP="00FE4734">
            <w:pPr>
              <w:jc w:val="center"/>
              <w:rPr>
                <w:sz w:val="20"/>
                <w:szCs w:val="20"/>
                <w:lang w:eastAsia="en-US"/>
              </w:rPr>
            </w:pPr>
            <w:r w:rsidRPr="00BE0476">
              <w:rPr>
                <w:color w:val="000000"/>
                <w:sz w:val="20"/>
                <w:szCs w:val="20"/>
              </w:rPr>
              <w:t>0</w:t>
            </w:r>
          </w:p>
        </w:tc>
        <w:tc>
          <w:tcPr>
            <w:tcW w:w="480" w:type="pct"/>
            <w:vAlign w:val="center"/>
          </w:tcPr>
          <w:p w14:paraId="64811DEC" w14:textId="77777777" w:rsidR="00FE4734" w:rsidRPr="00925C92" w:rsidRDefault="00FE4734" w:rsidP="00FE4734">
            <w:pPr>
              <w:jc w:val="center"/>
              <w:rPr>
                <w:sz w:val="20"/>
                <w:szCs w:val="20"/>
                <w:lang w:eastAsia="en-US"/>
              </w:rPr>
            </w:pPr>
            <w:r w:rsidRPr="00BE0476">
              <w:rPr>
                <w:color w:val="000000"/>
                <w:sz w:val="20"/>
                <w:szCs w:val="20"/>
              </w:rPr>
              <w:t>0</w:t>
            </w:r>
          </w:p>
        </w:tc>
        <w:tc>
          <w:tcPr>
            <w:tcW w:w="1052" w:type="pct"/>
            <w:vAlign w:val="center"/>
          </w:tcPr>
          <w:p w14:paraId="4865DC85" w14:textId="77777777" w:rsidR="00FE4734" w:rsidRPr="00925C92" w:rsidRDefault="00FE4734" w:rsidP="00FE4734">
            <w:pPr>
              <w:jc w:val="center"/>
              <w:rPr>
                <w:sz w:val="20"/>
                <w:szCs w:val="20"/>
                <w:lang w:eastAsia="en-US"/>
              </w:rPr>
            </w:pPr>
            <w:r w:rsidRPr="00BE0476">
              <w:rPr>
                <w:color w:val="000000"/>
                <w:sz w:val="20"/>
                <w:szCs w:val="20"/>
              </w:rPr>
              <w:t>0</w:t>
            </w:r>
          </w:p>
        </w:tc>
      </w:tr>
      <w:tr w:rsidR="0011317A" w:rsidRPr="00925C92" w14:paraId="11712AB9" w14:textId="77777777" w:rsidTr="00FF5430">
        <w:trPr>
          <w:cantSplit/>
        </w:trPr>
        <w:tc>
          <w:tcPr>
            <w:tcW w:w="1085" w:type="pct"/>
          </w:tcPr>
          <w:p w14:paraId="062A9083" w14:textId="77777777" w:rsidR="0011317A" w:rsidRPr="00925C92" w:rsidRDefault="0011317A" w:rsidP="00DA6FBE">
            <w:pPr>
              <w:jc w:val="both"/>
              <w:rPr>
                <w:sz w:val="20"/>
                <w:szCs w:val="20"/>
                <w:lang w:eastAsia="en-US"/>
              </w:rPr>
            </w:pPr>
            <w:r w:rsidRPr="00925C92">
              <w:rPr>
                <w:sz w:val="20"/>
                <w:szCs w:val="20"/>
                <w:lang w:eastAsia="en-US"/>
              </w:rPr>
              <w:t>5. Precizēta finansiālā ietekme</w:t>
            </w:r>
          </w:p>
        </w:tc>
        <w:tc>
          <w:tcPr>
            <w:tcW w:w="387" w:type="pct"/>
            <w:vMerge w:val="restart"/>
            <w:vAlign w:val="center"/>
          </w:tcPr>
          <w:p w14:paraId="29F6B21B" w14:textId="77777777" w:rsidR="0011317A" w:rsidRPr="00925C92" w:rsidRDefault="0011317A" w:rsidP="00DA6FBE">
            <w:pPr>
              <w:jc w:val="center"/>
              <w:rPr>
                <w:sz w:val="20"/>
                <w:szCs w:val="20"/>
                <w:lang w:eastAsia="en-US"/>
              </w:rPr>
            </w:pPr>
            <w:r w:rsidRPr="00BE0476">
              <w:rPr>
                <w:color w:val="000000"/>
                <w:sz w:val="20"/>
                <w:szCs w:val="20"/>
              </w:rPr>
              <w:t>x</w:t>
            </w:r>
          </w:p>
        </w:tc>
        <w:tc>
          <w:tcPr>
            <w:tcW w:w="681" w:type="pct"/>
            <w:tcBorders>
              <w:top w:val="single" w:sz="4" w:space="0" w:color="auto"/>
            </w:tcBorders>
            <w:vAlign w:val="center"/>
          </w:tcPr>
          <w:p w14:paraId="781B7858" w14:textId="77777777" w:rsidR="0011317A" w:rsidRPr="00925C92" w:rsidRDefault="0011317A" w:rsidP="00DA6FBE">
            <w:pPr>
              <w:jc w:val="center"/>
              <w:rPr>
                <w:sz w:val="20"/>
                <w:szCs w:val="20"/>
                <w:lang w:eastAsia="en-US"/>
              </w:rPr>
            </w:pPr>
            <w:r>
              <w:rPr>
                <w:color w:val="000000"/>
                <w:sz w:val="20"/>
                <w:szCs w:val="20"/>
              </w:rPr>
              <w:t>0</w:t>
            </w:r>
          </w:p>
        </w:tc>
        <w:tc>
          <w:tcPr>
            <w:tcW w:w="389" w:type="pct"/>
            <w:vMerge w:val="restart"/>
            <w:vAlign w:val="center"/>
          </w:tcPr>
          <w:p w14:paraId="50E4AD32" w14:textId="77777777" w:rsidR="0011317A" w:rsidRPr="00925C92" w:rsidRDefault="0011317A" w:rsidP="00DA6FBE">
            <w:pPr>
              <w:jc w:val="center"/>
              <w:rPr>
                <w:sz w:val="20"/>
                <w:szCs w:val="20"/>
                <w:lang w:eastAsia="en-US"/>
              </w:rPr>
            </w:pPr>
            <w:r w:rsidRPr="00BE0476">
              <w:rPr>
                <w:color w:val="000000"/>
                <w:sz w:val="20"/>
                <w:szCs w:val="20"/>
              </w:rPr>
              <w:t>x</w:t>
            </w:r>
          </w:p>
        </w:tc>
        <w:tc>
          <w:tcPr>
            <w:tcW w:w="530" w:type="pct"/>
            <w:vAlign w:val="center"/>
          </w:tcPr>
          <w:p w14:paraId="6FD54049"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vMerge w:val="restart"/>
            <w:vAlign w:val="center"/>
          </w:tcPr>
          <w:p w14:paraId="63102AA7" w14:textId="77777777" w:rsidR="0011317A" w:rsidRPr="00925C92" w:rsidRDefault="0011317A" w:rsidP="00DA6FBE">
            <w:pPr>
              <w:jc w:val="center"/>
              <w:rPr>
                <w:sz w:val="20"/>
                <w:szCs w:val="20"/>
                <w:lang w:eastAsia="en-US"/>
              </w:rPr>
            </w:pPr>
            <w:r w:rsidRPr="00BE0476">
              <w:rPr>
                <w:color w:val="000000"/>
                <w:sz w:val="20"/>
                <w:szCs w:val="20"/>
              </w:rPr>
              <w:t>x</w:t>
            </w:r>
            <w:bookmarkStart w:id="4" w:name="_GoBack"/>
            <w:bookmarkEnd w:id="4"/>
          </w:p>
        </w:tc>
        <w:tc>
          <w:tcPr>
            <w:tcW w:w="480" w:type="pct"/>
            <w:vAlign w:val="center"/>
          </w:tcPr>
          <w:p w14:paraId="7E412580"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14:paraId="2448A1BA" w14:textId="77777777" w:rsidR="0011317A" w:rsidRPr="00925C92" w:rsidRDefault="0011317A" w:rsidP="00DA6FBE">
            <w:pPr>
              <w:jc w:val="center"/>
              <w:rPr>
                <w:sz w:val="20"/>
                <w:szCs w:val="20"/>
                <w:lang w:eastAsia="en-US"/>
              </w:rPr>
            </w:pPr>
            <w:r w:rsidRPr="00BE0476">
              <w:rPr>
                <w:color w:val="000000"/>
                <w:sz w:val="20"/>
                <w:szCs w:val="20"/>
              </w:rPr>
              <w:t>0</w:t>
            </w:r>
          </w:p>
        </w:tc>
      </w:tr>
      <w:tr w:rsidR="0011317A" w:rsidRPr="00925C92" w14:paraId="1706A3DC" w14:textId="77777777" w:rsidTr="003B7BB4">
        <w:trPr>
          <w:cantSplit/>
        </w:trPr>
        <w:tc>
          <w:tcPr>
            <w:tcW w:w="1085" w:type="pct"/>
          </w:tcPr>
          <w:p w14:paraId="3D80BFFE" w14:textId="77777777" w:rsidR="0011317A" w:rsidRPr="00925C92" w:rsidRDefault="0011317A" w:rsidP="00DA6FBE">
            <w:pPr>
              <w:jc w:val="both"/>
              <w:rPr>
                <w:sz w:val="20"/>
                <w:szCs w:val="20"/>
                <w:lang w:eastAsia="en-US"/>
              </w:rPr>
            </w:pPr>
            <w:r w:rsidRPr="00925C92">
              <w:rPr>
                <w:sz w:val="20"/>
                <w:szCs w:val="20"/>
                <w:lang w:eastAsia="en-US"/>
              </w:rPr>
              <w:t>5.1. valsts pamatbudžets</w:t>
            </w:r>
          </w:p>
        </w:tc>
        <w:tc>
          <w:tcPr>
            <w:tcW w:w="387" w:type="pct"/>
            <w:vMerge/>
            <w:vAlign w:val="center"/>
          </w:tcPr>
          <w:p w14:paraId="0F524360" w14:textId="77777777" w:rsidR="0011317A" w:rsidRPr="00925C92" w:rsidRDefault="0011317A" w:rsidP="00DA6FBE">
            <w:pPr>
              <w:jc w:val="center"/>
              <w:rPr>
                <w:sz w:val="20"/>
                <w:szCs w:val="20"/>
                <w:lang w:eastAsia="en-US"/>
              </w:rPr>
            </w:pPr>
          </w:p>
        </w:tc>
        <w:tc>
          <w:tcPr>
            <w:tcW w:w="681" w:type="pct"/>
            <w:vAlign w:val="center"/>
          </w:tcPr>
          <w:p w14:paraId="61EF7405" w14:textId="77777777" w:rsidR="0011317A" w:rsidRPr="00925C92" w:rsidRDefault="0011317A" w:rsidP="00DA6FBE">
            <w:pPr>
              <w:jc w:val="center"/>
              <w:rPr>
                <w:sz w:val="20"/>
                <w:szCs w:val="20"/>
                <w:lang w:eastAsia="en-US"/>
              </w:rPr>
            </w:pPr>
            <w:r>
              <w:rPr>
                <w:sz w:val="20"/>
                <w:szCs w:val="20"/>
                <w:lang w:eastAsia="en-US"/>
              </w:rPr>
              <w:t>0</w:t>
            </w:r>
          </w:p>
        </w:tc>
        <w:tc>
          <w:tcPr>
            <w:tcW w:w="389" w:type="pct"/>
            <w:vMerge/>
            <w:vAlign w:val="center"/>
          </w:tcPr>
          <w:p w14:paraId="3A42BBDC" w14:textId="77777777" w:rsidR="0011317A" w:rsidRPr="00925C92" w:rsidRDefault="0011317A" w:rsidP="00DA6FBE">
            <w:pPr>
              <w:jc w:val="center"/>
              <w:rPr>
                <w:sz w:val="20"/>
                <w:szCs w:val="20"/>
                <w:lang w:eastAsia="en-US"/>
              </w:rPr>
            </w:pPr>
          </w:p>
        </w:tc>
        <w:tc>
          <w:tcPr>
            <w:tcW w:w="530" w:type="pct"/>
            <w:vAlign w:val="center"/>
          </w:tcPr>
          <w:p w14:paraId="2D2DAACF"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vMerge/>
            <w:vAlign w:val="center"/>
          </w:tcPr>
          <w:p w14:paraId="4BFE9067" w14:textId="77777777" w:rsidR="0011317A" w:rsidRPr="00925C92" w:rsidRDefault="0011317A" w:rsidP="00DA6FBE">
            <w:pPr>
              <w:jc w:val="center"/>
              <w:rPr>
                <w:sz w:val="20"/>
                <w:szCs w:val="20"/>
                <w:lang w:eastAsia="en-US"/>
              </w:rPr>
            </w:pPr>
          </w:p>
        </w:tc>
        <w:tc>
          <w:tcPr>
            <w:tcW w:w="480" w:type="pct"/>
            <w:vAlign w:val="center"/>
          </w:tcPr>
          <w:p w14:paraId="7FF6AB03"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14:paraId="350B8C00" w14:textId="77777777" w:rsidR="0011317A" w:rsidRPr="00925C92" w:rsidRDefault="0011317A" w:rsidP="00DA6FBE">
            <w:pPr>
              <w:jc w:val="center"/>
              <w:rPr>
                <w:sz w:val="20"/>
                <w:szCs w:val="20"/>
                <w:lang w:eastAsia="en-US"/>
              </w:rPr>
            </w:pPr>
            <w:r w:rsidRPr="00BE0476">
              <w:rPr>
                <w:color w:val="000000"/>
                <w:sz w:val="20"/>
                <w:szCs w:val="20"/>
              </w:rPr>
              <w:t>0</w:t>
            </w:r>
          </w:p>
        </w:tc>
      </w:tr>
      <w:tr w:rsidR="0011317A" w:rsidRPr="00925C92" w14:paraId="55DED4B6" w14:textId="77777777" w:rsidTr="003B7BB4">
        <w:trPr>
          <w:cantSplit/>
        </w:trPr>
        <w:tc>
          <w:tcPr>
            <w:tcW w:w="1085" w:type="pct"/>
          </w:tcPr>
          <w:p w14:paraId="74C8E9D0" w14:textId="77777777" w:rsidR="0011317A" w:rsidRPr="00925C92" w:rsidRDefault="0011317A" w:rsidP="00DA6FBE">
            <w:pPr>
              <w:jc w:val="both"/>
              <w:rPr>
                <w:sz w:val="20"/>
                <w:szCs w:val="20"/>
                <w:lang w:eastAsia="en-US"/>
              </w:rPr>
            </w:pPr>
            <w:r w:rsidRPr="00925C92">
              <w:rPr>
                <w:sz w:val="20"/>
                <w:szCs w:val="20"/>
                <w:lang w:eastAsia="en-US"/>
              </w:rPr>
              <w:t>5.2. speciālais budžets</w:t>
            </w:r>
          </w:p>
        </w:tc>
        <w:tc>
          <w:tcPr>
            <w:tcW w:w="387" w:type="pct"/>
            <w:vMerge/>
            <w:vAlign w:val="center"/>
          </w:tcPr>
          <w:p w14:paraId="5ABEC7EC" w14:textId="77777777" w:rsidR="0011317A" w:rsidRPr="00925C92" w:rsidRDefault="0011317A" w:rsidP="00DA6FBE">
            <w:pPr>
              <w:jc w:val="center"/>
              <w:rPr>
                <w:sz w:val="20"/>
                <w:szCs w:val="20"/>
                <w:lang w:eastAsia="en-US"/>
              </w:rPr>
            </w:pPr>
          </w:p>
        </w:tc>
        <w:tc>
          <w:tcPr>
            <w:tcW w:w="681" w:type="pct"/>
            <w:vAlign w:val="center"/>
          </w:tcPr>
          <w:p w14:paraId="64089035" w14:textId="77777777" w:rsidR="0011317A" w:rsidRPr="00925C92" w:rsidRDefault="0011317A" w:rsidP="00DA6FBE">
            <w:pPr>
              <w:jc w:val="center"/>
              <w:rPr>
                <w:sz w:val="20"/>
                <w:szCs w:val="20"/>
                <w:lang w:eastAsia="en-US"/>
              </w:rPr>
            </w:pPr>
            <w:r w:rsidRPr="00BE0476">
              <w:rPr>
                <w:color w:val="000000"/>
                <w:sz w:val="20"/>
                <w:szCs w:val="20"/>
              </w:rPr>
              <w:t>0</w:t>
            </w:r>
          </w:p>
        </w:tc>
        <w:tc>
          <w:tcPr>
            <w:tcW w:w="389" w:type="pct"/>
            <w:vMerge/>
            <w:vAlign w:val="center"/>
          </w:tcPr>
          <w:p w14:paraId="37913B8A" w14:textId="77777777" w:rsidR="0011317A" w:rsidRPr="00925C92" w:rsidRDefault="0011317A" w:rsidP="00DA6FBE">
            <w:pPr>
              <w:jc w:val="center"/>
              <w:rPr>
                <w:sz w:val="20"/>
                <w:szCs w:val="20"/>
                <w:lang w:eastAsia="en-US"/>
              </w:rPr>
            </w:pPr>
          </w:p>
        </w:tc>
        <w:tc>
          <w:tcPr>
            <w:tcW w:w="530" w:type="pct"/>
            <w:vAlign w:val="center"/>
          </w:tcPr>
          <w:p w14:paraId="59A5E164"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vMerge/>
            <w:vAlign w:val="center"/>
          </w:tcPr>
          <w:p w14:paraId="4BC4A560" w14:textId="77777777" w:rsidR="0011317A" w:rsidRPr="00925C92" w:rsidRDefault="0011317A" w:rsidP="00DA6FBE">
            <w:pPr>
              <w:jc w:val="center"/>
              <w:rPr>
                <w:sz w:val="20"/>
                <w:szCs w:val="20"/>
                <w:lang w:eastAsia="en-US"/>
              </w:rPr>
            </w:pPr>
          </w:p>
        </w:tc>
        <w:tc>
          <w:tcPr>
            <w:tcW w:w="480" w:type="pct"/>
            <w:vAlign w:val="center"/>
          </w:tcPr>
          <w:p w14:paraId="52092ADE"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14:paraId="44BE5C11" w14:textId="77777777" w:rsidR="0011317A" w:rsidRPr="00925C92" w:rsidRDefault="0011317A" w:rsidP="00DA6FBE">
            <w:pPr>
              <w:jc w:val="center"/>
              <w:rPr>
                <w:sz w:val="20"/>
                <w:szCs w:val="20"/>
                <w:lang w:eastAsia="en-US"/>
              </w:rPr>
            </w:pPr>
            <w:r w:rsidRPr="00BE0476">
              <w:rPr>
                <w:color w:val="000000"/>
                <w:sz w:val="20"/>
                <w:szCs w:val="20"/>
              </w:rPr>
              <w:t>0</w:t>
            </w:r>
          </w:p>
        </w:tc>
      </w:tr>
      <w:tr w:rsidR="0011317A" w:rsidRPr="00925C92" w14:paraId="55910C0A" w14:textId="77777777" w:rsidTr="003B7BB4">
        <w:trPr>
          <w:cantSplit/>
        </w:trPr>
        <w:tc>
          <w:tcPr>
            <w:tcW w:w="1085" w:type="pct"/>
          </w:tcPr>
          <w:p w14:paraId="60933078" w14:textId="77777777" w:rsidR="0011317A" w:rsidRPr="00925C92" w:rsidRDefault="0011317A" w:rsidP="00DA6FBE">
            <w:pPr>
              <w:jc w:val="both"/>
              <w:rPr>
                <w:sz w:val="20"/>
                <w:szCs w:val="20"/>
                <w:lang w:eastAsia="en-US"/>
              </w:rPr>
            </w:pPr>
            <w:r w:rsidRPr="00925C92">
              <w:rPr>
                <w:sz w:val="20"/>
                <w:szCs w:val="20"/>
                <w:lang w:eastAsia="en-US"/>
              </w:rPr>
              <w:t>5.3. pašvaldību budžets</w:t>
            </w:r>
          </w:p>
        </w:tc>
        <w:tc>
          <w:tcPr>
            <w:tcW w:w="387" w:type="pct"/>
            <w:vMerge/>
            <w:vAlign w:val="center"/>
          </w:tcPr>
          <w:p w14:paraId="09B74A15" w14:textId="77777777" w:rsidR="0011317A" w:rsidRPr="00925C92" w:rsidRDefault="0011317A" w:rsidP="00DA6FBE">
            <w:pPr>
              <w:jc w:val="center"/>
              <w:rPr>
                <w:sz w:val="20"/>
                <w:szCs w:val="20"/>
                <w:lang w:eastAsia="en-US"/>
              </w:rPr>
            </w:pPr>
          </w:p>
        </w:tc>
        <w:tc>
          <w:tcPr>
            <w:tcW w:w="681" w:type="pct"/>
            <w:vAlign w:val="center"/>
          </w:tcPr>
          <w:p w14:paraId="57A1BCFA" w14:textId="77777777" w:rsidR="0011317A" w:rsidRPr="00925C92" w:rsidRDefault="0011317A" w:rsidP="00DA6FBE">
            <w:pPr>
              <w:jc w:val="center"/>
              <w:rPr>
                <w:sz w:val="20"/>
                <w:szCs w:val="20"/>
                <w:lang w:eastAsia="en-US"/>
              </w:rPr>
            </w:pPr>
            <w:r w:rsidRPr="00BE0476">
              <w:rPr>
                <w:color w:val="000000"/>
                <w:sz w:val="20"/>
                <w:szCs w:val="20"/>
              </w:rPr>
              <w:t>0</w:t>
            </w:r>
          </w:p>
        </w:tc>
        <w:tc>
          <w:tcPr>
            <w:tcW w:w="389" w:type="pct"/>
            <w:vMerge/>
            <w:vAlign w:val="center"/>
          </w:tcPr>
          <w:p w14:paraId="72DBA93F" w14:textId="77777777" w:rsidR="0011317A" w:rsidRPr="00925C92" w:rsidRDefault="0011317A" w:rsidP="00DA6FBE">
            <w:pPr>
              <w:jc w:val="center"/>
              <w:rPr>
                <w:sz w:val="20"/>
                <w:szCs w:val="20"/>
                <w:lang w:eastAsia="en-US"/>
              </w:rPr>
            </w:pPr>
          </w:p>
        </w:tc>
        <w:tc>
          <w:tcPr>
            <w:tcW w:w="530" w:type="pct"/>
            <w:vAlign w:val="center"/>
          </w:tcPr>
          <w:p w14:paraId="6FF8BB56" w14:textId="77777777" w:rsidR="0011317A" w:rsidRPr="00925C92" w:rsidRDefault="0011317A" w:rsidP="00DA6FBE">
            <w:pPr>
              <w:jc w:val="center"/>
              <w:rPr>
                <w:sz w:val="20"/>
                <w:szCs w:val="20"/>
                <w:lang w:eastAsia="en-US"/>
              </w:rPr>
            </w:pPr>
            <w:r w:rsidRPr="00BE0476">
              <w:rPr>
                <w:color w:val="000000"/>
                <w:sz w:val="20"/>
                <w:szCs w:val="20"/>
              </w:rPr>
              <w:t>0</w:t>
            </w:r>
          </w:p>
        </w:tc>
        <w:tc>
          <w:tcPr>
            <w:tcW w:w="396" w:type="pct"/>
            <w:vMerge/>
            <w:vAlign w:val="center"/>
          </w:tcPr>
          <w:p w14:paraId="3437D059" w14:textId="77777777" w:rsidR="0011317A" w:rsidRPr="00925C92" w:rsidRDefault="0011317A" w:rsidP="00DA6FBE">
            <w:pPr>
              <w:jc w:val="center"/>
              <w:rPr>
                <w:sz w:val="20"/>
                <w:szCs w:val="20"/>
                <w:lang w:eastAsia="en-US"/>
              </w:rPr>
            </w:pPr>
          </w:p>
        </w:tc>
        <w:tc>
          <w:tcPr>
            <w:tcW w:w="480" w:type="pct"/>
            <w:vAlign w:val="center"/>
          </w:tcPr>
          <w:p w14:paraId="5C40B4C8" w14:textId="77777777"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14:paraId="39643D51" w14:textId="77777777" w:rsidR="0011317A" w:rsidRPr="00925C92" w:rsidRDefault="0011317A" w:rsidP="00DA6FBE">
            <w:pPr>
              <w:jc w:val="center"/>
              <w:rPr>
                <w:sz w:val="20"/>
                <w:szCs w:val="20"/>
                <w:lang w:eastAsia="en-US"/>
              </w:rPr>
            </w:pPr>
            <w:r w:rsidRPr="00BE0476">
              <w:rPr>
                <w:color w:val="000000"/>
                <w:sz w:val="20"/>
                <w:szCs w:val="20"/>
              </w:rPr>
              <w:t>0</w:t>
            </w:r>
          </w:p>
        </w:tc>
      </w:tr>
      <w:tr w:rsidR="0011317A" w:rsidRPr="002F2679" w14:paraId="1CFB0AEA" w14:textId="77777777" w:rsidTr="00FF5430">
        <w:trPr>
          <w:cantSplit/>
        </w:trPr>
        <w:tc>
          <w:tcPr>
            <w:tcW w:w="1085" w:type="pct"/>
          </w:tcPr>
          <w:p w14:paraId="3887BDA4" w14:textId="77777777" w:rsidR="0011317A" w:rsidRPr="002F2679" w:rsidRDefault="0011317A" w:rsidP="00DA6FBE">
            <w:pPr>
              <w:jc w:val="both"/>
              <w:rPr>
                <w:sz w:val="20"/>
                <w:szCs w:val="20"/>
                <w:lang w:eastAsia="en-US"/>
              </w:rPr>
            </w:pPr>
            <w:r w:rsidRPr="002F2679">
              <w:rPr>
                <w:sz w:val="20"/>
                <w:szCs w:val="20"/>
                <w:lang w:eastAsia="en-US"/>
              </w:rPr>
              <w:t>6. Detalizēts ieņēmumu un izdevumu aprēķins (ja nepieciešams, detalizētu ieņēmumu un izdevumu aprēķinu var pievienot anotācijas pielikumā)</w:t>
            </w:r>
          </w:p>
        </w:tc>
        <w:tc>
          <w:tcPr>
            <w:tcW w:w="3915" w:type="pct"/>
            <w:gridSpan w:val="7"/>
            <w:vMerge w:val="restart"/>
          </w:tcPr>
          <w:p w14:paraId="1FC314D5" w14:textId="77777777" w:rsidR="00FE4734" w:rsidRPr="00FE4734" w:rsidRDefault="00FE4734" w:rsidP="00FE4734">
            <w:pPr>
              <w:jc w:val="both"/>
              <w:rPr>
                <w:iCs/>
                <w:sz w:val="20"/>
                <w:szCs w:val="20"/>
              </w:rPr>
            </w:pPr>
          </w:p>
          <w:p w14:paraId="1A02EEB2" w14:textId="77777777" w:rsidR="00FE4734" w:rsidRPr="00FE4734" w:rsidRDefault="00FE4734" w:rsidP="00FE4734">
            <w:pPr>
              <w:jc w:val="both"/>
              <w:rPr>
                <w:iCs/>
                <w:sz w:val="20"/>
                <w:szCs w:val="20"/>
              </w:rPr>
            </w:pPr>
            <w:r w:rsidRPr="00FE4734">
              <w:rPr>
                <w:iCs/>
                <w:sz w:val="20"/>
                <w:szCs w:val="20"/>
              </w:rPr>
              <w:t xml:space="preserve">Pēc VSAA statistikas datiem 2020.gada decembrī bērna kopšanas pabalsts līdz viena gada vecumam tika izmaksāts par 13 539 bērniem un ģimenes valsts pabalsts tika izmaksāts 344 805 bērniem. Bērnu skaits par kuriem ir tiesības saņemt ģimenes valsts pabalstu, bet vecāks to nav pieprasījis patlaban, plānoti 2 900 bērni. Vienlaikus, atbalsts tiks nodrošināts arī par bērniem, kuru vecākiem ir tiesības uz  maternitātes pabalstu pēc bērna piedzimšanas. Saskaņā ar VSAA  statistikas datiem 2020.gadā vidēji mēnesī maternitātes pabalstu pēc bērna piedzimšanas saņēma 1 103 personas. Ņemot vērā, ka attiecīgais personu skaits ir plānots vidēji mēnesī, savukārt, maternitātes perioda termiņš </w:t>
            </w:r>
            <w:r w:rsidRPr="00FE4734">
              <w:rPr>
                <w:iCs/>
                <w:sz w:val="20"/>
                <w:szCs w:val="20"/>
              </w:rPr>
              <w:lastRenderedPageBreak/>
              <w:t>pēc bērna piedzimšanas ir vidēji ir divi mēneši, saņēmēju skaitu nepieciešams dubultot: 2 206 personas. Papildus atzīmējam, ka 2020.gada decembra mēneša statistikas datos nav ņemta vērā likumdošanas norma, kas stājas spējā ar 2021.gada 1.janvāri un paredz, ka ģimenes valsts pabalstu var saņemt par bērnu ar invaliditāti, ja pēc 15 gadu vecuma viņš neturpina mācības.  Plānots, ka minētā pabalsta saņēmēji būs 647 personas vidēji mēnesī. Tādējādi kopējais prognozējamais bērnu skaits par kuriem tiks izmaksāts atbalsts ir 364 097.</w:t>
            </w:r>
          </w:p>
          <w:p w14:paraId="7D8BE8CB" w14:textId="77777777" w:rsidR="00FE4734" w:rsidRPr="00FE4734" w:rsidRDefault="00FE4734" w:rsidP="00FE4734">
            <w:pPr>
              <w:jc w:val="both"/>
              <w:rPr>
                <w:iCs/>
                <w:sz w:val="20"/>
                <w:szCs w:val="20"/>
              </w:rPr>
            </w:pPr>
          </w:p>
          <w:p w14:paraId="7B6EB48B" w14:textId="77777777" w:rsidR="00FE4734" w:rsidRPr="00FE4734" w:rsidRDefault="00FE4734" w:rsidP="00FE4734">
            <w:pPr>
              <w:jc w:val="both"/>
              <w:rPr>
                <w:iCs/>
                <w:sz w:val="20"/>
                <w:szCs w:val="20"/>
              </w:rPr>
            </w:pPr>
          </w:p>
          <w:p w14:paraId="611141FD" w14:textId="77777777" w:rsidR="00FE4734" w:rsidRPr="00662401" w:rsidRDefault="00FE4734" w:rsidP="00FE4734">
            <w:pPr>
              <w:jc w:val="both"/>
              <w:rPr>
                <w:iCs/>
                <w:sz w:val="20"/>
                <w:szCs w:val="20"/>
              </w:rPr>
            </w:pPr>
            <w:r w:rsidRPr="00FE4734">
              <w:rPr>
                <w:iCs/>
                <w:sz w:val="20"/>
                <w:szCs w:val="20"/>
              </w:rPr>
              <w:t>Tādējādi kopējais prognozējamais bērnu skaits, par kuriem tiks izmaksāts atbalsts, ir 364 097.</w:t>
            </w:r>
          </w:p>
          <w:p w14:paraId="6E1D6CBC" w14:textId="0738DE1C" w:rsidR="00FE4734" w:rsidRPr="00662401" w:rsidRDefault="00FE4734" w:rsidP="00FE4734">
            <w:pPr>
              <w:jc w:val="both"/>
              <w:rPr>
                <w:iCs/>
                <w:sz w:val="20"/>
                <w:szCs w:val="20"/>
              </w:rPr>
            </w:pPr>
            <w:r w:rsidRPr="00662401">
              <w:rPr>
                <w:iCs/>
                <w:sz w:val="20"/>
                <w:szCs w:val="20"/>
              </w:rPr>
              <w:t>Līdz ar to, lai nodrošinātu vienreizēju finansiālu atbalstu personām, kuras audzina bērn</w:t>
            </w:r>
            <w:r w:rsidR="007644C9">
              <w:rPr>
                <w:iCs/>
                <w:sz w:val="20"/>
                <w:szCs w:val="20"/>
              </w:rPr>
              <w:t>u</w:t>
            </w:r>
            <w:r w:rsidR="001B7CEC" w:rsidRPr="00662401">
              <w:rPr>
                <w:iCs/>
                <w:sz w:val="20"/>
                <w:szCs w:val="20"/>
              </w:rPr>
              <w:t xml:space="preserve">s, </w:t>
            </w:r>
            <w:r w:rsidRPr="00662401">
              <w:rPr>
                <w:iCs/>
                <w:sz w:val="20"/>
                <w:szCs w:val="20"/>
              </w:rPr>
              <w:t xml:space="preserve"> nepieciešams papildu finansējums:</w:t>
            </w:r>
          </w:p>
          <w:p w14:paraId="79E162BA" w14:textId="77777777" w:rsidR="00FE4734" w:rsidRPr="00FE4734" w:rsidRDefault="00FE4734" w:rsidP="00FE4734">
            <w:pPr>
              <w:jc w:val="both"/>
              <w:rPr>
                <w:iCs/>
                <w:sz w:val="20"/>
                <w:szCs w:val="20"/>
              </w:rPr>
            </w:pPr>
          </w:p>
          <w:p w14:paraId="56957247" w14:textId="19E70032" w:rsidR="00FE4734" w:rsidRPr="00FE4734" w:rsidRDefault="00FE4734" w:rsidP="00FE4734">
            <w:pPr>
              <w:jc w:val="both"/>
              <w:rPr>
                <w:iCs/>
                <w:sz w:val="20"/>
                <w:szCs w:val="20"/>
              </w:rPr>
            </w:pPr>
            <w:r w:rsidRPr="00FE4734">
              <w:rPr>
                <w:iCs/>
                <w:sz w:val="20"/>
                <w:szCs w:val="20"/>
              </w:rPr>
              <w:t xml:space="preserve">364 097 bērni x500 </w:t>
            </w:r>
            <w:proofErr w:type="spellStart"/>
            <w:r w:rsidR="00A71077" w:rsidRPr="00A71077">
              <w:rPr>
                <w:i/>
                <w:iCs/>
                <w:sz w:val="20"/>
                <w:szCs w:val="20"/>
              </w:rPr>
              <w:t>euro</w:t>
            </w:r>
            <w:proofErr w:type="spellEnd"/>
            <w:r w:rsidRPr="00FE4734">
              <w:rPr>
                <w:iCs/>
                <w:sz w:val="20"/>
                <w:szCs w:val="20"/>
              </w:rPr>
              <w:t xml:space="preserve">=182 048 500 </w:t>
            </w:r>
            <w:proofErr w:type="spellStart"/>
            <w:r w:rsidR="00A71077" w:rsidRPr="00A71077">
              <w:rPr>
                <w:i/>
                <w:iCs/>
                <w:sz w:val="20"/>
                <w:szCs w:val="20"/>
              </w:rPr>
              <w:t>euro</w:t>
            </w:r>
            <w:proofErr w:type="spellEnd"/>
            <w:r w:rsidRPr="00FE4734">
              <w:rPr>
                <w:iCs/>
                <w:sz w:val="20"/>
                <w:szCs w:val="20"/>
              </w:rPr>
              <w:t xml:space="preserve"> apmērā.</w:t>
            </w:r>
          </w:p>
          <w:p w14:paraId="3E4DFF9C" w14:textId="77777777" w:rsidR="00FE4734" w:rsidRPr="00FE4734" w:rsidRDefault="00FE4734" w:rsidP="00FE4734">
            <w:pPr>
              <w:jc w:val="both"/>
              <w:rPr>
                <w:iCs/>
                <w:sz w:val="20"/>
                <w:szCs w:val="20"/>
              </w:rPr>
            </w:pPr>
          </w:p>
          <w:p w14:paraId="5153DA23" w14:textId="77777777" w:rsidR="00FE4734" w:rsidRPr="00FE4734" w:rsidRDefault="00FE4734" w:rsidP="00FE4734">
            <w:pPr>
              <w:jc w:val="both"/>
              <w:rPr>
                <w:iCs/>
                <w:sz w:val="20"/>
                <w:szCs w:val="20"/>
              </w:rPr>
            </w:pPr>
            <w:r w:rsidRPr="00FE4734">
              <w:rPr>
                <w:iCs/>
                <w:sz w:val="20"/>
                <w:szCs w:val="20"/>
              </w:rPr>
              <w:t>Papildus, lai nodrošinātu minētā atbalsta izmaksas, nepieciešamas izmaiņas VSAA IT sistēmās, veicot sistēmas pielāgošanu:</w:t>
            </w:r>
          </w:p>
          <w:p w14:paraId="18E46216" w14:textId="2D16CC7A" w:rsidR="00FE4734" w:rsidRDefault="00FE4734" w:rsidP="00FE4734">
            <w:pPr>
              <w:jc w:val="both"/>
              <w:rPr>
                <w:iCs/>
                <w:sz w:val="20"/>
                <w:szCs w:val="20"/>
              </w:rPr>
            </w:pPr>
            <w:r w:rsidRPr="00FE4734">
              <w:rPr>
                <w:iCs/>
                <w:sz w:val="20"/>
                <w:szCs w:val="20"/>
              </w:rPr>
              <w:t xml:space="preserve">75 cilvēkdienas x 471,9 </w:t>
            </w:r>
            <w:proofErr w:type="spellStart"/>
            <w:r w:rsidR="00A71077" w:rsidRPr="00A71077">
              <w:rPr>
                <w:i/>
                <w:iCs/>
                <w:sz w:val="20"/>
                <w:szCs w:val="20"/>
              </w:rPr>
              <w:t>euro</w:t>
            </w:r>
            <w:proofErr w:type="spellEnd"/>
            <w:r w:rsidRPr="00FE4734">
              <w:rPr>
                <w:iCs/>
                <w:sz w:val="20"/>
                <w:szCs w:val="20"/>
              </w:rPr>
              <w:t>/</w:t>
            </w:r>
            <w:proofErr w:type="spellStart"/>
            <w:r w:rsidRPr="00FE4734">
              <w:rPr>
                <w:iCs/>
                <w:sz w:val="20"/>
                <w:szCs w:val="20"/>
              </w:rPr>
              <w:t>cilv.d</w:t>
            </w:r>
            <w:proofErr w:type="spellEnd"/>
            <w:r w:rsidRPr="00FE4734">
              <w:rPr>
                <w:iCs/>
                <w:sz w:val="20"/>
                <w:szCs w:val="20"/>
              </w:rPr>
              <w:t xml:space="preserve">. = 35 392,50 </w:t>
            </w:r>
            <w:proofErr w:type="spellStart"/>
            <w:r w:rsidR="00A71077" w:rsidRPr="00A71077">
              <w:rPr>
                <w:i/>
                <w:iCs/>
                <w:sz w:val="20"/>
                <w:szCs w:val="20"/>
              </w:rPr>
              <w:t>euro</w:t>
            </w:r>
            <w:proofErr w:type="spellEnd"/>
            <w:r w:rsidRPr="00FE4734">
              <w:rPr>
                <w:iCs/>
                <w:sz w:val="20"/>
                <w:szCs w:val="20"/>
              </w:rPr>
              <w:t xml:space="preserve">. Veikta noapaļošana pilnos </w:t>
            </w:r>
            <w:proofErr w:type="spellStart"/>
            <w:r w:rsidR="00A71077" w:rsidRPr="00A71077">
              <w:rPr>
                <w:i/>
                <w:iCs/>
                <w:sz w:val="20"/>
                <w:szCs w:val="20"/>
              </w:rPr>
              <w:t>euro</w:t>
            </w:r>
            <w:proofErr w:type="spellEnd"/>
            <w:r w:rsidRPr="00FE4734">
              <w:rPr>
                <w:iCs/>
                <w:sz w:val="20"/>
                <w:szCs w:val="20"/>
              </w:rPr>
              <w:t xml:space="preserve"> 35 393 </w:t>
            </w:r>
            <w:proofErr w:type="spellStart"/>
            <w:r w:rsidR="00A71077" w:rsidRPr="00A71077">
              <w:rPr>
                <w:i/>
                <w:iCs/>
                <w:sz w:val="20"/>
                <w:szCs w:val="20"/>
              </w:rPr>
              <w:t>euro</w:t>
            </w:r>
            <w:proofErr w:type="spellEnd"/>
            <w:r w:rsidRPr="00FE4734">
              <w:rPr>
                <w:iCs/>
                <w:sz w:val="20"/>
                <w:szCs w:val="20"/>
              </w:rPr>
              <w:t>.</w:t>
            </w:r>
          </w:p>
          <w:p w14:paraId="00BA8405" w14:textId="77777777" w:rsidR="00FE4734" w:rsidRPr="00FE4734" w:rsidRDefault="00FE4734" w:rsidP="00FE4734">
            <w:pPr>
              <w:jc w:val="both"/>
              <w:rPr>
                <w:iCs/>
                <w:sz w:val="20"/>
                <w:szCs w:val="20"/>
              </w:rPr>
            </w:pPr>
          </w:p>
          <w:p w14:paraId="146DCE0A" w14:textId="146B3383" w:rsidR="00FE4734" w:rsidRPr="00FE4734" w:rsidRDefault="00FE4734" w:rsidP="00FE4734">
            <w:pPr>
              <w:jc w:val="both"/>
              <w:rPr>
                <w:iCs/>
                <w:sz w:val="20"/>
                <w:szCs w:val="20"/>
              </w:rPr>
            </w:pPr>
            <w:r>
              <w:rPr>
                <w:iCs/>
                <w:sz w:val="20"/>
                <w:szCs w:val="20"/>
              </w:rPr>
              <w:t>Līdz ar to, kopējais nepieciešamais finansējuma apmērs  plānots</w:t>
            </w:r>
            <w:r w:rsidRPr="00FE4734">
              <w:rPr>
                <w:iCs/>
                <w:sz w:val="20"/>
                <w:szCs w:val="20"/>
              </w:rPr>
              <w:t xml:space="preserve"> 182 083 893 </w:t>
            </w:r>
            <w:proofErr w:type="spellStart"/>
            <w:r w:rsidR="00A71077" w:rsidRPr="00A71077">
              <w:rPr>
                <w:i/>
                <w:iCs/>
                <w:sz w:val="20"/>
                <w:szCs w:val="20"/>
              </w:rPr>
              <w:t>euro</w:t>
            </w:r>
            <w:proofErr w:type="spellEnd"/>
            <w:r w:rsidRPr="00FE4734">
              <w:rPr>
                <w:iCs/>
                <w:sz w:val="20"/>
                <w:szCs w:val="20"/>
              </w:rPr>
              <w:t xml:space="preserve"> apmērā, tai skaitā 182 048 500 </w:t>
            </w:r>
            <w:proofErr w:type="spellStart"/>
            <w:r w:rsidR="00A71077" w:rsidRPr="00A71077">
              <w:rPr>
                <w:i/>
                <w:iCs/>
                <w:sz w:val="20"/>
                <w:szCs w:val="20"/>
              </w:rPr>
              <w:t>euro</w:t>
            </w:r>
            <w:proofErr w:type="spellEnd"/>
            <w:r w:rsidRPr="00FE4734">
              <w:rPr>
                <w:iCs/>
                <w:sz w:val="20"/>
                <w:szCs w:val="20"/>
              </w:rPr>
              <w:t xml:space="preserve"> apmērā, lai personām, kurām ir tiesības uz maternitātes pabalstu pēc bērna piedzimšanas, bērnu kopšanas pabalstu par bērnu līdz viena gada vecumam vai ģimenes valsts pabalstu vai piemaksu pie ģimenes valsts pabalsta par bērnu ar invaliditāti saskaņā ar Valsts sociālo pabalstu likumu, nodrošinātu vienreizēju finansiālu atbalstu 500 </w:t>
            </w:r>
            <w:proofErr w:type="spellStart"/>
            <w:r w:rsidR="00A71077" w:rsidRPr="00A71077">
              <w:rPr>
                <w:i/>
                <w:iCs/>
                <w:sz w:val="20"/>
                <w:szCs w:val="20"/>
              </w:rPr>
              <w:t>euro</w:t>
            </w:r>
            <w:proofErr w:type="spellEnd"/>
            <w:r w:rsidRPr="00FE4734">
              <w:rPr>
                <w:iCs/>
                <w:sz w:val="20"/>
                <w:szCs w:val="20"/>
              </w:rPr>
              <w:t xml:space="preserve"> apmērā par katru bērnu un 35 393 </w:t>
            </w:r>
            <w:proofErr w:type="spellStart"/>
            <w:r w:rsidR="00A71077" w:rsidRPr="00A71077">
              <w:rPr>
                <w:i/>
                <w:iCs/>
                <w:sz w:val="20"/>
                <w:szCs w:val="20"/>
              </w:rPr>
              <w:t>euro</w:t>
            </w:r>
            <w:proofErr w:type="spellEnd"/>
            <w:r w:rsidRPr="00FE4734">
              <w:rPr>
                <w:iCs/>
                <w:sz w:val="20"/>
                <w:szCs w:val="20"/>
              </w:rPr>
              <w:t>, lai nodrošinātu VSAA IT sistēmu pielāgošanu.</w:t>
            </w:r>
          </w:p>
          <w:p w14:paraId="5386000B" w14:textId="77777777" w:rsidR="00FE4734" w:rsidRPr="00FE4734" w:rsidRDefault="00FE4734" w:rsidP="00FE4734">
            <w:pPr>
              <w:jc w:val="both"/>
              <w:rPr>
                <w:iCs/>
                <w:sz w:val="20"/>
                <w:szCs w:val="20"/>
              </w:rPr>
            </w:pPr>
          </w:p>
          <w:p w14:paraId="675E0537" w14:textId="77F89F34" w:rsidR="0011317A" w:rsidRPr="00FE4734" w:rsidRDefault="00FE4734" w:rsidP="00DA6FBE">
            <w:pPr>
              <w:jc w:val="both"/>
              <w:rPr>
                <w:bCs/>
                <w:sz w:val="20"/>
                <w:szCs w:val="20"/>
              </w:rPr>
            </w:pPr>
            <w:r w:rsidRPr="00FE4734">
              <w:rPr>
                <w:bCs/>
                <w:sz w:val="20"/>
                <w:szCs w:val="20"/>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74.resora „Gadskārtējā valsts budžeta izpildes procesā pārdalāmais finansējums” programmai 02.00.00 „Līdzekļi neparedzētiem gadījumiem”.</w:t>
            </w:r>
          </w:p>
        </w:tc>
      </w:tr>
      <w:tr w:rsidR="0011317A" w:rsidRPr="002F2679" w14:paraId="06B063F7" w14:textId="77777777" w:rsidTr="00A4046F">
        <w:trPr>
          <w:cantSplit/>
        </w:trPr>
        <w:tc>
          <w:tcPr>
            <w:tcW w:w="1085" w:type="pct"/>
          </w:tcPr>
          <w:p w14:paraId="65DE771E" w14:textId="77777777" w:rsidR="0011317A" w:rsidRPr="002F2679" w:rsidRDefault="0011317A" w:rsidP="00DA6FBE">
            <w:pPr>
              <w:jc w:val="both"/>
              <w:rPr>
                <w:sz w:val="20"/>
                <w:szCs w:val="20"/>
                <w:lang w:eastAsia="en-US"/>
              </w:rPr>
            </w:pPr>
            <w:r w:rsidRPr="002F2679">
              <w:rPr>
                <w:sz w:val="20"/>
                <w:szCs w:val="20"/>
                <w:lang w:eastAsia="en-US"/>
              </w:rPr>
              <w:t>6.1. detalizēts ieņēmumu aprēķins</w:t>
            </w:r>
          </w:p>
        </w:tc>
        <w:tc>
          <w:tcPr>
            <w:tcW w:w="3915" w:type="pct"/>
            <w:gridSpan w:val="7"/>
            <w:vMerge/>
            <w:vAlign w:val="center"/>
          </w:tcPr>
          <w:p w14:paraId="228C9803" w14:textId="77777777" w:rsidR="0011317A" w:rsidRPr="002F2679" w:rsidRDefault="0011317A" w:rsidP="00DA6FBE">
            <w:pPr>
              <w:jc w:val="both"/>
              <w:rPr>
                <w:sz w:val="20"/>
                <w:szCs w:val="20"/>
                <w:lang w:eastAsia="en-US"/>
              </w:rPr>
            </w:pPr>
          </w:p>
        </w:tc>
      </w:tr>
      <w:tr w:rsidR="0011317A" w:rsidRPr="002F2679" w14:paraId="6C79EB07" w14:textId="77777777" w:rsidTr="00A4046F">
        <w:trPr>
          <w:cantSplit/>
        </w:trPr>
        <w:tc>
          <w:tcPr>
            <w:tcW w:w="1085" w:type="pct"/>
          </w:tcPr>
          <w:p w14:paraId="0B2F2F04" w14:textId="77777777" w:rsidR="0011317A" w:rsidRDefault="0011317A" w:rsidP="00DA6FBE">
            <w:pPr>
              <w:jc w:val="both"/>
              <w:rPr>
                <w:sz w:val="20"/>
                <w:szCs w:val="20"/>
                <w:lang w:eastAsia="en-US"/>
              </w:rPr>
            </w:pPr>
            <w:r w:rsidRPr="002F2679">
              <w:rPr>
                <w:sz w:val="20"/>
                <w:szCs w:val="20"/>
                <w:lang w:eastAsia="en-US"/>
              </w:rPr>
              <w:lastRenderedPageBreak/>
              <w:t>6.2. detalizēts izdevumu aprēķins</w:t>
            </w:r>
          </w:p>
          <w:p w14:paraId="16A483CB" w14:textId="77777777" w:rsidR="006F05B6" w:rsidRPr="006F05B6" w:rsidRDefault="006F05B6" w:rsidP="006F05B6">
            <w:pPr>
              <w:rPr>
                <w:sz w:val="20"/>
                <w:szCs w:val="20"/>
                <w:lang w:eastAsia="en-US"/>
              </w:rPr>
            </w:pPr>
          </w:p>
          <w:p w14:paraId="5866C3F3" w14:textId="77777777" w:rsidR="006F05B6" w:rsidRPr="006F05B6" w:rsidRDefault="006F05B6" w:rsidP="006F05B6">
            <w:pPr>
              <w:rPr>
                <w:sz w:val="20"/>
                <w:szCs w:val="20"/>
                <w:lang w:eastAsia="en-US"/>
              </w:rPr>
            </w:pPr>
          </w:p>
          <w:p w14:paraId="0F5923B6" w14:textId="77777777" w:rsidR="006F05B6" w:rsidRPr="006F05B6" w:rsidRDefault="006F05B6" w:rsidP="006F05B6">
            <w:pPr>
              <w:rPr>
                <w:sz w:val="20"/>
                <w:szCs w:val="20"/>
                <w:lang w:eastAsia="en-US"/>
              </w:rPr>
            </w:pPr>
          </w:p>
          <w:p w14:paraId="62EAEC70" w14:textId="77777777" w:rsidR="006F05B6" w:rsidRPr="006F05B6" w:rsidRDefault="006F05B6" w:rsidP="006F05B6">
            <w:pPr>
              <w:rPr>
                <w:sz w:val="20"/>
                <w:szCs w:val="20"/>
                <w:lang w:eastAsia="en-US"/>
              </w:rPr>
            </w:pPr>
          </w:p>
          <w:p w14:paraId="0BAB5B2E" w14:textId="77777777" w:rsidR="006F05B6" w:rsidRPr="006F05B6" w:rsidRDefault="006F05B6" w:rsidP="006F05B6">
            <w:pPr>
              <w:rPr>
                <w:sz w:val="20"/>
                <w:szCs w:val="20"/>
                <w:lang w:eastAsia="en-US"/>
              </w:rPr>
            </w:pPr>
          </w:p>
          <w:p w14:paraId="6CFF9123" w14:textId="77777777" w:rsidR="006F05B6" w:rsidRPr="006F05B6" w:rsidRDefault="006F05B6" w:rsidP="006F05B6">
            <w:pPr>
              <w:rPr>
                <w:sz w:val="20"/>
                <w:szCs w:val="20"/>
                <w:lang w:eastAsia="en-US"/>
              </w:rPr>
            </w:pPr>
          </w:p>
          <w:p w14:paraId="174D2D09" w14:textId="77777777" w:rsidR="006F05B6" w:rsidRPr="006F05B6" w:rsidRDefault="006F05B6" w:rsidP="006F05B6">
            <w:pPr>
              <w:rPr>
                <w:sz w:val="20"/>
                <w:szCs w:val="20"/>
                <w:lang w:eastAsia="en-US"/>
              </w:rPr>
            </w:pPr>
          </w:p>
          <w:p w14:paraId="5F4FF160" w14:textId="77777777" w:rsidR="006F05B6" w:rsidRPr="006F05B6" w:rsidRDefault="006F05B6" w:rsidP="006F05B6">
            <w:pPr>
              <w:rPr>
                <w:sz w:val="20"/>
                <w:szCs w:val="20"/>
                <w:lang w:eastAsia="en-US"/>
              </w:rPr>
            </w:pPr>
          </w:p>
          <w:p w14:paraId="2966DA7D" w14:textId="77777777" w:rsidR="006F05B6" w:rsidRPr="006F05B6" w:rsidRDefault="006F05B6" w:rsidP="006F05B6">
            <w:pPr>
              <w:rPr>
                <w:sz w:val="20"/>
                <w:szCs w:val="20"/>
                <w:lang w:eastAsia="en-US"/>
              </w:rPr>
            </w:pPr>
          </w:p>
          <w:p w14:paraId="3B2D21C3" w14:textId="77777777" w:rsidR="006F05B6" w:rsidRPr="006F05B6" w:rsidRDefault="006F05B6" w:rsidP="006F05B6">
            <w:pPr>
              <w:rPr>
                <w:sz w:val="20"/>
                <w:szCs w:val="20"/>
                <w:lang w:eastAsia="en-US"/>
              </w:rPr>
            </w:pPr>
          </w:p>
          <w:p w14:paraId="1BED9A28" w14:textId="77777777" w:rsidR="006F05B6" w:rsidRPr="006F05B6" w:rsidRDefault="006F05B6" w:rsidP="006F05B6">
            <w:pPr>
              <w:rPr>
                <w:sz w:val="20"/>
                <w:szCs w:val="20"/>
                <w:lang w:eastAsia="en-US"/>
              </w:rPr>
            </w:pPr>
          </w:p>
          <w:p w14:paraId="78217443" w14:textId="77777777" w:rsidR="006F05B6" w:rsidRPr="006F05B6" w:rsidRDefault="006F05B6" w:rsidP="006F05B6">
            <w:pPr>
              <w:rPr>
                <w:sz w:val="20"/>
                <w:szCs w:val="20"/>
                <w:lang w:eastAsia="en-US"/>
              </w:rPr>
            </w:pPr>
          </w:p>
          <w:p w14:paraId="6EA7FF08" w14:textId="77777777" w:rsidR="006F05B6" w:rsidRPr="006F05B6" w:rsidRDefault="006F05B6" w:rsidP="006F05B6">
            <w:pPr>
              <w:rPr>
                <w:sz w:val="20"/>
                <w:szCs w:val="20"/>
                <w:lang w:eastAsia="en-US"/>
              </w:rPr>
            </w:pPr>
          </w:p>
          <w:p w14:paraId="32B3FBFD" w14:textId="77777777" w:rsidR="006F05B6" w:rsidRPr="006F05B6" w:rsidRDefault="006F05B6" w:rsidP="006F05B6">
            <w:pPr>
              <w:rPr>
                <w:sz w:val="20"/>
                <w:szCs w:val="20"/>
                <w:lang w:eastAsia="en-US"/>
              </w:rPr>
            </w:pPr>
          </w:p>
          <w:p w14:paraId="79D8252B" w14:textId="77777777" w:rsidR="006F05B6" w:rsidRPr="006F05B6" w:rsidRDefault="006F05B6" w:rsidP="006F05B6">
            <w:pPr>
              <w:rPr>
                <w:sz w:val="20"/>
                <w:szCs w:val="20"/>
                <w:lang w:eastAsia="en-US"/>
              </w:rPr>
            </w:pPr>
          </w:p>
          <w:p w14:paraId="2DA0E379" w14:textId="77777777" w:rsidR="006F05B6" w:rsidRPr="006F05B6" w:rsidRDefault="006F05B6" w:rsidP="006F05B6">
            <w:pPr>
              <w:rPr>
                <w:sz w:val="20"/>
                <w:szCs w:val="20"/>
                <w:lang w:eastAsia="en-US"/>
              </w:rPr>
            </w:pPr>
          </w:p>
          <w:p w14:paraId="028CFC58" w14:textId="77777777" w:rsidR="006F05B6" w:rsidRPr="006F05B6" w:rsidRDefault="006F05B6" w:rsidP="006F05B6">
            <w:pPr>
              <w:rPr>
                <w:sz w:val="20"/>
                <w:szCs w:val="20"/>
                <w:lang w:eastAsia="en-US"/>
              </w:rPr>
            </w:pPr>
          </w:p>
          <w:p w14:paraId="64011097" w14:textId="77777777" w:rsidR="006F05B6" w:rsidRPr="006F05B6" w:rsidRDefault="006F05B6" w:rsidP="006F05B6">
            <w:pPr>
              <w:rPr>
                <w:sz w:val="20"/>
                <w:szCs w:val="20"/>
                <w:lang w:eastAsia="en-US"/>
              </w:rPr>
            </w:pPr>
          </w:p>
          <w:p w14:paraId="7A6A4DB6" w14:textId="77777777" w:rsidR="006F05B6" w:rsidRPr="006F05B6" w:rsidRDefault="006F05B6" w:rsidP="006F05B6">
            <w:pPr>
              <w:rPr>
                <w:sz w:val="20"/>
                <w:szCs w:val="20"/>
                <w:lang w:eastAsia="en-US"/>
              </w:rPr>
            </w:pPr>
          </w:p>
          <w:p w14:paraId="7BAADE59" w14:textId="77777777" w:rsidR="006F05B6" w:rsidRPr="006F05B6" w:rsidRDefault="006F05B6" w:rsidP="006F05B6">
            <w:pPr>
              <w:rPr>
                <w:sz w:val="20"/>
                <w:szCs w:val="20"/>
                <w:lang w:eastAsia="en-US"/>
              </w:rPr>
            </w:pPr>
          </w:p>
          <w:p w14:paraId="3B31E036" w14:textId="77777777" w:rsidR="006F05B6" w:rsidRPr="006F05B6" w:rsidRDefault="006F05B6" w:rsidP="006F05B6">
            <w:pPr>
              <w:rPr>
                <w:sz w:val="20"/>
                <w:szCs w:val="20"/>
                <w:lang w:eastAsia="en-US"/>
              </w:rPr>
            </w:pPr>
          </w:p>
          <w:p w14:paraId="7B53584D" w14:textId="77777777" w:rsidR="006F05B6" w:rsidRPr="006F05B6" w:rsidRDefault="006F05B6" w:rsidP="006F05B6">
            <w:pPr>
              <w:rPr>
                <w:sz w:val="20"/>
                <w:szCs w:val="20"/>
                <w:lang w:eastAsia="en-US"/>
              </w:rPr>
            </w:pPr>
          </w:p>
          <w:p w14:paraId="19C84235" w14:textId="77777777" w:rsidR="006F05B6" w:rsidRPr="006F05B6" w:rsidRDefault="006F05B6" w:rsidP="006F05B6">
            <w:pPr>
              <w:rPr>
                <w:sz w:val="20"/>
                <w:szCs w:val="20"/>
                <w:lang w:eastAsia="en-US"/>
              </w:rPr>
            </w:pPr>
          </w:p>
          <w:p w14:paraId="57665890" w14:textId="77777777" w:rsidR="006F05B6" w:rsidRPr="006F05B6" w:rsidRDefault="006F05B6" w:rsidP="006F05B6">
            <w:pPr>
              <w:rPr>
                <w:sz w:val="20"/>
                <w:szCs w:val="20"/>
                <w:lang w:eastAsia="en-US"/>
              </w:rPr>
            </w:pPr>
          </w:p>
          <w:p w14:paraId="6813A529" w14:textId="77777777" w:rsidR="006F05B6" w:rsidRPr="006F05B6" w:rsidRDefault="006F05B6" w:rsidP="006F05B6">
            <w:pPr>
              <w:rPr>
                <w:sz w:val="20"/>
                <w:szCs w:val="20"/>
                <w:lang w:eastAsia="en-US"/>
              </w:rPr>
            </w:pPr>
          </w:p>
          <w:p w14:paraId="164E6D7B" w14:textId="77777777" w:rsidR="006F05B6" w:rsidRPr="006F05B6" w:rsidRDefault="006F05B6" w:rsidP="006F05B6">
            <w:pPr>
              <w:rPr>
                <w:sz w:val="20"/>
                <w:szCs w:val="20"/>
                <w:lang w:eastAsia="en-US"/>
              </w:rPr>
            </w:pPr>
          </w:p>
          <w:p w14:paraId="51FC3FBF" w14:textId="77777777" w:rsidR="006F05B6" w:rsidRPr="006F05B6" w:rsidRDefault="006F05B6" w:rsidP="006F05B6">
            <w:pPr>
              <w:rPr>
                <w:sz w:val="20"/>
                <w:szCs w:val="20"/>
                <w:lang w:eastAsia="en-US"/>
              </w:rPr>
            </w:pPr>
          </w:p>
          <w:p w14:paraId="3C900487" w14:textId="77777777" w:rsidR="006F05B6" w:rsidRPr="006F05B6" w:rsidRDefault="006F05B6" w:rsidP="006F05B6">
            <w:pPr>
              <w:rPr>
                <w:sz w:val="20"/>
                <w:szCs w:val="20"/>
                <w:lang w:eastAsia="en-US"/>
              </w:rPr>
            </w:pPr>
          </w:p>
          <w:p w14:paraId="385518C1" w14:textId="77777777" w:rsidR="006F05B6" w:rsidRPr="006F05B6" w:rsidRDefault="006F05B6" w:rsidP="006F05B6">
            <w:pPr>
              <w:rPr>
                <w:sz w:val="20"/>
                <w:szCs w:val="20"/>
                <w:lang w:eastAsia="en-US"/>
              </w:rPr>
            </w:pPr>
          </w:p>
          <w:p w14:paraId="1E97742F" w14:textId="77777777" w:rsidR="006F05B6" w:rsidRPr="006F05B6" w:rsidRDefault="006F05B6" w:rsidP="006F05B6">
            <w:pPr>
              <w:rPr>
                <w:sz w:val="20"/>
                <w:szCs w:val="20"/>
                <w:lang w:eastAsia="en-US"/>
              </w:rPr>
            </w:pPr>
          </w:p>
          <w:p w14:paraId="40AE514B" w14:textId="77777777" w:rsidR="006F05B6" w:rsidRPr="006F05B6" w:rsidRDefault="006F05B6" w:rsidP="006F05B6">
            <w:pPr>
              <w:rPr>
                <w:sz w:val="20"/>
                <w:szCs w:val="20"/>
                <w:lang w:eastAsia="en-US"/>
              </w:rPr>
            </w:pPr>
          </w:p>
          <w:p w14:paraId="6DD42975" w14:textId="77777777" w:rsidR="006F05B6" w:rsidRPr="006F05B6" w:rsidRDefault="006F05B6" w:rsidP="006F05B6">
            <w:pPr>
              <w:rPr>
                <w:sz w:val="20"/>
                <w:szCs w:val="20"/>
                <w:lang w:eastAsia="en-US"/>
              </w:rPr>
            </w:pPr>
          </w:p>
          <w:p w14:paraId="37F7A909" w14:textId="137479E0" w:rsidR="006F05B6" w:rsidRPr="006F05B6" w:rsidRDefault="006F05B6" w:rsidP="006F05B6">
            <w:pPr>
              <w:rPr>
                <w:sz w:val="20"/>
                <w:szCs w:val="20"/>
                <w:lang w:eastAsia="en-US"/>
              </w:rPr>
            </w:pPr>
          </w:p>
        </w:tc>
        <w:tc>
          <w:tcPr>
            <w:tcW w:w="3915" w:type="pct"/>
            <w:gridSpan w:val="7"/>
            <w:vMerge/>
            <w:vAlign w:val="center"/>
          </w:tcPr>
          <w:p w14:paraId="331CA1DA" w14:textId="77777777" w:rsidR="0011317A" w:rsidRPr="002F2679" w:rsidRDefault="0011317A" w:rsidP="00DA6FBE">
            <w:pPr>
              <w:jc w:val="both"/>
              <w:rPr>
                <w:sz w:val="20"/>
                <w:szCs w:val="20"/>
                <w:lang w:eastAsia="en-US"/>
              </w:rPr>
            </w:pPr>
          </w:p>
        </w:tc>
      </w:tr>
      <w:tr w:rsidR="0011317A" w:rsidRPr="002F2679" w14:paraId="6B0FFF65" w14:textId="77777777" w:rsidTr="00A4046F">
        <w:trPr>
          <w:cantSplit/>
        </w:trPr>
        <w:tc>
          <w:tcPr>
            <w:tcW w:w="1085" w:type="pct"/>
          </w:tcPr>
          <w:p w14:paraId="50BD98CD" w14:textId="77777777" w:rsidR="0011317A" w:rsidRDefault="0011317A" w:rsidP="00DA6FBE">
            <w:pPr>
              <w:jc w:val="both"/>
              <w:rPr>
                <w:sz w:val="20"/>
                <w:szCs w:val="20"/>
                <w:lang w:eastAsia="en-US"/>
              </w:rPr>
            </w:pPr>
            <w:r w:rsidRPr="002F2679">
              <w:rPr>
                <w:sz w:val="20"/>
                <w:szCs w:val="20"/>
                <w:lang w:eastAsia="en-US"/>
              </w:rPr>
              <w:t>7. Amata vietu skaita izmaiņas</w:t>
            </w:r>
          </w:p>
          <w:p w14:paraId="1C3A6CA6" w14:textId="420AB49F" w:rsidR="006F05B6" w:rsidRPr="006F05B6" w:rsidRDefault="006F05B6" w:rsidP="006F05B6">
            <w:pPr>
              <w:rPr>
                <w:sz w:val="20"/>
                <w:szCs w:val="20"/>
                <w:lang w:eastAsia="en-US"/>
              </w:rPr>
            </w:pPr>
          </w:p>
        </w:tc>
        <w:tc>
          <w:tcPr>
            <w:tcW w:w="3915" w:type="pct"/>
            <w:gridSpan w:val="7"/>
          </w:tcPr>
          <w:p w14:paraId="0866CE96" w14:textId="77777777" w:rsidR="0011317A" w:rsidRPr="002F2679" w:rsidRDefault="0011317A" w:rsidP="00DA6FBE">
            <w:pPr>
              <w:jc w:val="both"/>
              <w:rPr>
                <w:sz w:val="20"/>
                <w:szCs w:val="20"/>
                <w:lang w:eastAsia="en-US"/>
              </w:rPr>
            </w:pPr>
            <w:r w:rsidRPr="002F2679">
              <w:rPr>
                <w:sz w:val="20"/>
                <w:szCs w:val="20"/>
                <w:lang w:eastAsia="en-US"/>
              </w:rPr>
              <w:t>Nav.</w:t>
            </w:r>
          </w:p>
        </w:tc>
      </w:tr>
      <w:tr w:rsidR="0011317A" w:rsidRPr="002F2679" w14:paraId="2B982083" w14:textId="77777777" w:rsidTr="00A4046F">
        <w:trPr>
          <w:cantSplit/>
        </w:trPr>
        <w:tc>
          <w:tcPr>
            <w:tcW w:w="1085" w:type="pct"/>
          </w:tcPr>
          <w:p w14:paraId="5FC5BAA7" w14:textId="77777777" w:rsidR="0011317A" w:rsidRPr="002F2679" w:rsidRDefault="0011317A" w:rsidP="00DA6FBE">
            <w:pPr>
              <w:jc w:val="both"/>
              <w:rPr>
                <w:sz w:val="20"/>
                <w:szCs w:val="20"/>
                <w:lang w:eastAsia="en-US"/>
              </w:rPr>
            </w:pPr>
            <w:r w:rsidRPr="002F2679">
              <w:rPr>
                <w:sz w:val="20"/>
                <w:szCs w:val="20"/>
                <w:lang w:eastAsia="en-US"/>
              </w:rPr>
              <w:t>8. Cita informācija</w:t>
            </w:r>
          </w:p>
        </w:tc>
        <w:tc>
          <w:tcPr>
            <w:tcW w:w="3915" w:type="pct"/>
            <w:gridSpan w:val="7"/>
            <w:vAlign w:val="center"/>
          </w:tcPr>
          <w:p w14:paraId="3F968756" w14:textId="77777777" w:rsidR="0011317A" w:rsidRDefault="0011317A" w:rsidP="00DA6FBE">
            <w:pPr>
              <w:jc w:val="both"/>
              <w:rPr>
                <w:sz w:val="20"/>
                <w:szCs w:val="20"/>
              </w:rPr>
            </w:pPr>
            <w:r w:rsidRPr="002F2679">
              <w:rPr>
                <w:sz w:val="20"/>
                <w:szCs w:val="20"/>
              </w:rPr>
              <w:t>Izdevumi tiks veikti Labklājības ministrijas pamatbudžeta programmas 99.00.00 “Līdzekļu neparedzētiem gadījumiem izlietojums” ietvaros, līdzekļus</w:t>
            </w:r>
            <w:r>
              <w:rPr>
                <w:sz w:val="20"/>
                <w:szCs w:val="20"/>
              </w:rPr>
              <w:t xml:space="preserve"> 2021. gadā</w:t>
            </w:r>
            <w:r w:rsidRPr="002F2679">
              <w:rPr>
                <w:sz w:val="20"/>
                <w:szCs w:val="20"/>
              </w:rPr>
              <w:t xml:space="preserve"> pārdalot no 74.</w:t>
            </w:r>
            <w:r>
              <w:rPr>
                <w:sz w:val="20"/>
                <w:szCs w:val="20"/>
              </w:rPr>
              <w:t> </w:t>
            </w:r>
            <w:r w:rsidRPr="002F2679">
              <w:rPr>
                <w:sz w:val="20"/>
                <w:szCs w:val="20"/>
              </w:rPr>
              <w:t xml:space="preserve">resora „Gadskārtējā valsts budžeta izpildes procesā pārdalāmais finansējums” programmas 02.00.00 „Līdzekļi neparedzētiem gadījumiem”. </w:t>
            </w:r>
          </w:p>
          <w:p w14:paraId="0CD2D2F3" w14:textId="77777777" w:rsidR="0011317A" w:rsidRDefault="0011317A" w:rsidP="00DA6FBE">
            <w:pPr>
              <w:jc w:val="both"/>
              <w:rPr>
                <w:sz w:val="20"/>
                <w:szCs w:val="20"/>
              </w:rPr>
            </w:pPr>
            <w:r w:rsidRPr="002F2679">
              <w:rPr>
                <w:sz w:val="20"/>
                <w:szCs w:val="20"/>
              </w:rPr>
              <w:t xml:space="preserve">Minētā pabalsta izmaksu nodrošinās </w:t>
            </w:r>
            <w:r>
              <w:rPr>
                <w:sz w:val="20"/>
                <w:szCs w:val="20"/>
              </w:rPr>
              <w:t>VSAA.</w:t>
            </w:r>
          </w:p>
          <w:p w14:paraId="0EF36C8D" w14:textId="77777777" w:rsidR="0011317A" w:rsidRPr="002F2679" w:rsidRDefault="0011317A" w:rsidP="00DA6FBE">
            <w:pPr>
              <w:jc w:val="both"/>
              <w:rPr>
                <w:sz w:val="20"/>
                <w:szCs w:val="20"/>
                <w:highlight w:val="yellow"/>
                <w:lang w:eastAsia="en-US"/>
              </w:rPr>
            </w:pPr>
          </w:p>
        </w:tc>
      </w:tr>
    </w:tbl>
    <w:p w14:paraId="0623F96A" w14:textId="77777777" w:rsidR="0011317A" w:rsidRDefault="0011317A" w:rsidP="009B1558">
      <w:pPr>
        <w:rPr>
          <w:iCs/>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9061"/>
      </w:tblGrid>
      <w:tr w:rsidR="0011317A" w:rsidRPr="00D63A3E" w14:paraId="5CA081E1" w14:textId="77777777" w:rsidTr="006F05B6">
        <w:trPr>
          <w:tblCellSpacing w:w="15" w:type="dxa"/>
          <w:jc w:val="center"/>
        </w:trPr>
        <w:tc>
          <w:tcPr>
            <w:tcW w:w="4967" w:type="pct"/>
            <w:vAlign w:val="center"/>
          </w:tcPr>
          <w:p w14:paraId="2D241759" w14:textId="77777777" w:rsidR="0011317A" w:rsidRPr="00A2225E" w:rsidRDefault="0011317A" w:rsidP="00D63A3E">
            <w:pPr>
              <w:spacing w:line="276" w:lineRule="auto"/>
              <w:jc w:val="center"/>
              <w:rPr>
                <w:b/>
                <w:bCs/>
                <w:iCs/>
                <w:noProof/>
                <w:lang w:eastAsia="en-US"/>
              </w:rPr>
            </w:pPr>
            <w:r w:rsidRPr="00A2225E">
              <w:rPr>
                <w:b/>
                <w:bCs/>
                <w:iCs/>
                <w:noProof/>
                <w:lang w:eastAsia="en-US"/>
              </w:rPr>
              <w:tab/>
            </w:r>
            <w:r w:rsidRPr="00A2225E">
              <w:rPr>
                <w:b/>
                <w:bCs/>
                <w:iCs/>
                <w:noProof/>
                <w:lang w:eastAsia="en-US"/>
              </w:rPr>
              <w:tab/>
              <w:t>IV. Tiesību akta projekta ietekme uz spēkā esošo tiesību normu sistēmu</w:t>
            </w:r>
          </w:p>
        </w:tc>
      </w:tr>
      <w:tr w:rsidR="0011317A" w:rsidRPr="00D63A3E" w14:paraId="5E5A03FA" w14:textId="77777777" w:rsidTr="006F05B6">
        <w:trPr>
          <w:tblCellSpacing w:w="15" w:type="dxa"/>
          <w:jc w:val="center"/>
        </w:trPr>
        <w:tc>
          <w:tcPr>
            <w:tcW w:w="4967" w:type="pct"/>
            <w:vAlign w:val="center"/>
          </w:tcPr>
          <w:p w14:paraId="14A378B2" w14:textId="77777777" w:rsidR="0011317A" w:rsidRPr="00A2225E" w:rsidRDefault="0011317A" w:rsidP="00D63A3E">
            <w:pPr>
              <w:spacing w:line="276" w:lineRule="auto"/>
              <w:jc w:val="center"/>
              <w:rPr>
                <w:bCs/>
                <w:iCs/>
                <w:noProof/>
                <w:lang w:eastAsia="en-US"/>
              </w:rPr>
            </w:pPr>
            <w:r>
              <w:rPr>
                <w:bCs/>
                <w:iCs/>
                <w:noProof/>
                <w:lang w:eastAsia="en-US"/>
              </w:rPr>
              <w:t>P</w:t>
            </w:r>
            <w:r w:rsidRPr="00A2225E">
              <w:rPr>
                <w:bCs/>
                <w:iCs/>
                <w:noProof/>
                <w:lang w:eastAsia="en-US"/>
              </w:rPr>
              <w:t>rojekts šo jomu neskar.</w:t>
            </w:r>
          </w:p>
        </w:tc>
      </w:tr>
    </w:tbl>
    <w:p w14:paraId="3E577A51" w14:textId="77777777" w:rsidR="0011317A" w:rsidRPr="000B7BBC" w:rsidRDefault="0011317A" w:rsidP="009B1558">
      <w:pPr>
        <w:rPr>
          <w:iCs/>
        </w:rPr>
      </w:pPr>
      <w:r w:rsidRPr="000B7BBC">
        <w:rPr>
          <w:iCs/>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9061"/>
      </w:tblGrid>
      <w:tr w:rsidR="0011317A" w:rsidRPr="000B7BBC" w14:paraId="3690B457" w14:textId="77777777" w:rsidTr="006F05B6">
        <w:trPr>
          <w:tblCellSpacing w:w="15" w:type="dxa"/>
        </w:trPr>
        <w:tc>
          <w:tcPr>
            <w:tcW w:w="0" w:type="auto"/>
            <w:vAlign w:val="center"/>
          </w:tcPr>
          <w:p w14:paraId="3CFC4FDD" w14:textId="77777777" w:rsidR="0011317A" w:rsidRPr="000B7BBC" w:rsidRDefault="0011317A" w:rsidP="002A685A">
            <w:pPr>
              <w:spacing w:line="276" w:lineRule="auto"/>
              <w:jc w:val="center"/>
              <w:rPr>
                <w:b/>
                <w:bCs/>
                <w:iCs/>
                <w:lang w:eastAsia="en-US"/>
              </w:rPr>
            </w:pPr>
            <w:r w:rsidRPr="000B7BBC">
              <w:rPr>
                <w:b/>
                <w:bCs/>
                <w:iCs/>
                <w:lang w:eastAsia="en-US"/>
              </w:rPr>
              <w:t>V. Tiesību akta projekta atbilstība Latvijas Republikas starptautiskajām saistībām</w:t>
            </w:r>
          </w:p>
        </w:tc>
      </w:tr>
      <w:tr w:rsidR="0011317A" w:rsidRPr="000B7BBC" w14:paraId="4476698D" w14:textId="77777777" w:rsidTr="006F05B6">
        <w:trPr>
          <w:trHeight w:val="432"/>
          <w:tblCellSpacing w:w="15" w:type="dxa"/>
        </w:trPr>
        <w:tc>
          <w:tcPr>
            <w:tcW w:w="4967" w:type="pct"/>
          </w:tcPr>
          <w:p w14:paraId="68634C63" w14:textId="77777777" w:rsidR="0011317A" w:rsidRPr="000B7BBC" w:rsidRDefault="0011317A">
            <w:pPr>
              <w:spacing w:line="276" w:lineRule="auto"/>
              <w:jc w:val="center"/>
              <w:rPr>
                <w:iCs/>
                <w:lang w:eastAsia="en-US"/>
              </w:rPr>
            </w:pPr>
            <w:r>
              <w:rPr>
                <w:lang w:eastAsia="en-US"/>
              </w:rPr>
              <w:t>P</w:t>
            </w:r>
            <w:r w:rsidRPr="000B7BBC">
              <w:rPr>
                <w:lang w:eastAsia="en-US"/>
              </w:rPr>
              <w:t>rojekts šo jomu neskar.</w:t>
            </w:r>
          </w:p>
        </w:tc>
      </w:tr>
    </w:tbl>
    <w:p w14:paraId="0DBC1C2B" w14:textId="77777777" w:rsidR="0011317A" w:rsidRPr="000B7BBC" w:rsidRDefault="0011317A" w:rsidP="009B1558">
      <w:pPr>
        <w:rPr>
          <w:iC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9061"/>
      </w:tblGrid>
      <w:tr w:rsidR="0011317A" w:rsidRPr="000B7BBC" w14:paraId="57D8071F" w14:textId="77777777" w:rsidTr="006F05B6">
        <w:trPr>
          <w:tblCellSpacing w:w="15" w:type="dxa"/>
        </w:trPr>
        <w:tc>
          <w:tcPr>
            <w:tcW w:w="0" w:type="auto"/>
            <w:vAlign w:val="center"/>
          </w:tcPr>
          <w:p w14:paraId="04915E37" w14:textId="77777777" w:rsidR="0011317A" w:rsidRPr="000B7BBC" w:rsidRDefault="0011317A" w:rsidP="002A685A">
            <w:pPr>
              <w:spacing w:line="276" w:lineRule="auto"/>
              <w:jc w:val="center"/>
              <w:rPr>
                <w:b/>
                <w:bCs/>
                <w:iCs/>
                <w:lang w:eastAsia="en-US"/>
              </w:rPr>
            </w:pPr>
            <w:r w:rsidRPr="000B7BBC">
              <w:rPr>
                <w:b/>
                <w:bCs/>
                <w:iCs/>
                <w:lang w:eastAsia="en-US"/>
              </w:rPr>
              <w:t>VI. Sabiedrības līdzdalība un komunikācijas aktivitātes</w:t>
            </w:r>
          </w:p>
        </w:tc>
      </w:tr>
      <w:tr w:rsidR="0011317A" w:rsidRPr="000B7BBC" w14:paraId="39252C93" w14:textId="77777777" w:rsidTr="006F05B6">
        <w:trPr>
          <w:tblCellSpacing w:w="15" w:type="dxa"/>
        </w:trPr>
        <w:tc>
          <w:tcPr>
            <w:tcW w:w="0" w:type="auto"/>
            <w:vAlign w:val="center"/>
          </w:tcPr>
          <w:p w14:paraId="1596115F" w14:textId="77777777" w:rsidR="0011317A" w:rsidRPr="000B7BBC" w:rsidRDefault="0011317A" w:rsidP="002A685A">
            <w:pPr>
              <w:spacing w:line="276" w:lineRule="auto"/>
              <w:jc w:val="center"/>
              <w:rPr>
                <w:b/>
                <w:bCs/>
                <w:iCs/>
                <w:lang w:eastAsia="en-US"/>
              </w:rPr>
            </w:pPr>
            <w:r>
              <w:rPr>
                <w:lang w:eastAsia="en-US"/>
              </w:rPr>
              <w:lastRenderedPageBreak/>
              <w:t>P</w:t>
            </w:r>
            <w:r w:rsidRPr="000B7BBC">
              <w:rPr>
                <w:lang w:eastAsia="en-US"/>
              </w:rPr>
              <w:t>rojekts šo jomu neskar.</w:t>
            </w:r>
          </w:p>
        </w:tc>
      </w:tr>
    </w:tbl>
    <w:p w14:paraId="622BCCAE" w14:textId="77777777" w:rsidR="0011317A" w:rsidRPr="000B7BBC" w:rsidRDefault="0011317A" w:rsidP="009B1558">
      <w:pPr>
        <w:rPr>
          <w:iCs/>
        </w:rPr>
      </w:pPr>
      <w:r w:rsidRPr="000B7BBC">
        <w:rPr>
          <w:iCs/>
        </w:rPr>
        <w:t xml:space="preserve">  </w:t>
      </w:r>
    </w:p>
    <w:p w14:paraId="455821C7" w14:textId="77777777" w:rsidR="0011317A" w:rsidRPr="000B7BBC" w:rsidRDefault="0011317A" w:rsidP="009B1558">
      <w:pPr>
        <w:rPr>
          <w:iC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81"/>
        <w:gridCol w:w="3070"/>
        <w:gridCol w:w="5410"/>
      </w:tblGrid>
      <w:tr w:rsidR="0011317A" w:rsidRPr="000B7BBC" w14:paraId="6F19C0FF" w14:textId="77777777" w:rsidTr="006F05B6">
        <w:trPr>
          <w:tblCellSpacing w:w="15" w:type="dxa"/>
        </w:trPr>
        <w:tc>
          <w:tcPr>
            <w:tcW w:w="0" w:type="auto"/>
            <w:gridSpan w:val="3"/>
            <w:vAlign w:val="center"/>
          </w:tcPr>
          <w:p w14:paraId="61149EB7" w14:textId="77777777" w:rsidR="0011317A" w:rsidRPr="000B7BBC" w:rsidRDefault="0011317A" w:rsidP="002A685A">
            <w:pPr>
              <w:spacing w:line="276" w:lineRule="auto"/>
              <w:jc w:val="center"/>
              <w:rPr>
                <w:b/>
                <w:bCs/>
                <w:iCs/>
                <w:lang w:eastAsia="en-US"/>
              </w:rPr>
            </w:pPr>
            <w:r w:rsidRPr="000B7BBC">
              <w:rPr>
                <w:b/>
                <w:bCs/>
                <w:iCs/>
                <w:lang w:eastAsia="en-US"/>
              </w:rPr>
              <w:t>VII. Tiesību akta projekta izpildes nodrošināšana un tās ietekme uz institūcijām</w:t>
            </w:r>
          </w:p>
        </w:tc>
      </w:tr>
      <w:tr w:rsidR="0011317A" w:rsidRPr="000B7BBC" w14:paraId="0DD40145" w14:textId="77777777" w:rsidTr="006F05B6">
        <w:trPr>
          <w:tblCellSpacing w:w="15" w:type="dxa"/>
        </w:trPr>
        <w:tc>
          <w:tcPr>
            <w:tcW w:w="300" w:type="pct"/>
          </w:tcPr>
          <w:p w14:paraId="4A0DF3C4" w14:textId="77777777" w:rsidR="0011317A" w:rsidRPr="000B7BBC" w:rsidRDefault="0011317A">
            <w:pPr>
              <w:spacing w:line="276" w:lineRule="auto"/>
              <w:rPr>
                <w:iCs/>
                <w:lang w:eastAsia="en-US"/>
              </w:rPr>
            </w:pPr>
            <w:r w:rsidRPr="000B7BBC">
              <w:rPr>
                <w:iCs/>
                <w:lang w:eastAsia="en-US"/>
              </w:rPr>
              <w:t>1.</w:t>
            </w:r>
          </w:p>
        </w:tc>
        <w:tc>
          <w:tcPr>
            <w:tcW w:w="1700" w:type="pct"/>
          </w:tcPr>
          <w:p w14:paraId="144D8D3C" w14:textId="77777777" w:rsidR="0011317A" w:rsidRPr="000B7BBC" w:rsidRDefault="0011317A">
            <w:pPr>
              <w:spacing w:line="276" w:lineRule="auto"/>
              <w:rPr>
                <w:iCs/>
                <w:lang w:eastAsia="en-US"/>
              </w:rPr>
            </w:pPr>
            <w:r w:rsidRPr="000B7BBC">
              <w:rPr>
                <w:iCs/>
                <w:lang w:eastAsia="en-US"/>
              </w:rPr>
              <w:t>Projekta izpildē iesaistītās institūcijas</w:t>
            </w:r>
          </w:p>
        </w:tc>
        <w:tc>
          <w:tcPr>
            <w:tcW w:w="3000" w:type="pct"/>
          </w:tcPr>
          <w:p w14:paraId="7E2FE0E7" w14:textId="77777777" w:rsidR="0011317A" w:rsidRPr="000B7BBC" w:rsidRDefault="0011317A">
            <w:pPr>
              <w:spacing w:line="276" w:lineRule="auto"/>
              <w:rPr>
                <w:iCs/>
                <w:lang w:eastAsia="en-US"/>
              </w:rPr>
            </w:pPr>
            <w:r>
              <w:rPr>
                <w:color w:val="000000"/>
                <w:spacing w:val="-4"/>
                <w:shd w:val="clear" w:color="auto" w:fill="FFFFFF"/>
                <w:lang w:eastAsia="en-US"/>
              </w:rPr>
              <w:t>Nav.</w:t>
            </w:r>
          </w:p>
        </w:tc>
      </w:tr>
      <w:tr w:rsidR="0011317A" w:rsidRPr="000B7BBC" w14:paraId="0AB4E4C9" w14:textId="77777777" w:rsidTr="006F05B6">
        <w:trPr>
          <w:tblCellSpacing w:w="15" w:type="dxa"/>
        </w:trPr>
        <w:tc>
          <w:tcPr>
            <w:tcW w:w="300" w:type="pct"/>
          </w:tcPr>
          <w:p w14:paraId="19417794" w14:textId="77777777" w:rsidR="0011317A" w:rsidRPr="000B7BBC" w:rsidRDefault="0011317A">
            <w:pPr>
              <w:spacing w:line="276" w:lineRule="auto"/>
              <w:rPr>
                <w:iCs/>
                <w:lang w:eastAsia="en-US"/>
              </w:rPr>
            </w:pPr>
            <w:bookmarkStart w:id="5" w:name="_Hlk48295597"/>
            <w:r w:rsidRPr="000B7BBC">
              <w:rPr>
                <w:iCs/>
                <w:lang w:eastAsia="en-US"/>
              </w:rPr>
              <w:t>2.</w:t>
            </w:r>
          </w:p>
        </w:tc>
        <w:tc>
          <w:tcPr>
            <w:tcW w:w="1700" w:type="pct"/>
          </w:tcPr>
          <w:p w14:paraId="7F95357D" w14:textId="77777777" w:rsidR="0011317A" w:rsidRPr="000B7BBC" w:rsidRDefault="0011317A">
            <w:pPr>
              <w:spacing w:line="276" w:lineRule="auto"/>
              <w:rPr>
                <w:iCs/>
                <w:lang w:eastAsia="en-US"/>
              </w:rPr>
            </w:pPr>
            <w:r w:rsidRPr="000B7BBC">
              <w:rPr>
                <w:iCs/>
                <w:lang w:eastAsia="en-US"/>
              </w:rPr>
              <w:t>Projekta izpildes ietekme uz pārvaldes funkcijām un institucionālo struktūru.</w:t>
            </w:r>
            <w:r w:rsidRPr="000B7BBC">
              <w:rPr>
                <w:iCs/>
                <w:lang w:eastAsia="en-US"/>
              </w:rPr>
              <w:br/>
              <w:t>Jaunu institūciju izveide, esošu institūciju likvidācija vai reorganizācija, to ietekme uz institūcijas cilvēkresursiem</w:t>
            </w:r>
          </w:p>
        </w:tc>
        <w:tc>
          <w:tcPr>
            <w:tcW w:w="3000" w:type="pct"/>
          </w:tcPr>
          <w:p w14:paraId="1A31FC9D" w14:textId="4A824E53" w:rsidR="0011317A" w:rsidRPr="000B7BBC" w:rsidRDefault="000532B1">
            <w:pPr>
              <w:spacing w:line="276" w:lineRule="auto"/>
              <w:jc w:val="both"/>
              <w:rPr>
                <w:iCs/>
                <w:lang w:eastAsia="en-US"/>
              </w:rPr>
            </w:pPr>
            <w:r>
              <w:rPr>
                <w:iCs/>
              </w:rPr>
              <w:t>Projekts šo jomu neskar.</w:t>
            </w:r>
          </w:p>
        </w:tc>
      </w:tr>
      <w:bookmarkEnd w:id="5"/>
      <w:tr w:rsidR="0011317A" w:rsidRPr="000B7BBC" w14:paraId="697CF5B8" w14:textId="77777777" w:rsidTr="006F05B6">
        <w:trPr>
          <w:tblCellSpacing w:w="15" w:type="dxa"/>
        </w:trPr>
        <w:tc>
          <w:tcPr>
            <w:tcW w:w="300" w:type="pct"/>
          </w:tcPr>
          <w:p w14:paraId="58B9AD03" w14:textId="77777777" w:rsidR="0011317A" w:rsidRPr="000B7BBC" w:rsidRDefault="0011317A">
            <w:pPr>
              <w:spacing w:line="276" w:lineRule="auto"/>
              <w:rPr>
                <w:iCs/>
                <w:lang w:eastAsia="en-US"/>
              </w:rPr>
            </w:pPr>
            <w:r w:rsidRPr="000B7BBC">
              <w:rPr>
                <w:iCs/>
                <w:lang w:eastAsia="en-US"/>
              </w:rPr>
              <w:t>3.</w:t>
            </w:r>
          </w:p>
        </w:tc>
        <w:tc>
          <w:tcPr>
            <w:tcW w:w="1700" w:type="pct"/>
          </w:tcPr>
          <w:p w14:paraId="662F3C8E" w14:textId="77777777" w:rsidR="0011317A" w:rsidRPr="000B7BBC" w:rsidRDefault="0011317A">
            <w:pPr>
              <w:spacing w:line="276" w:lineRule="auto"/>
              <w:rPr>
                <w:iCs/>
                <w:lang w:eastAsia="en-US"/>
              </w:rPr>
            </w:pPr>
            <w:r w:rsidRPr="000B7BBC">
              <w:rPr>
                <w:iCs/>
                <w:lang w:eastAsia="en-US"/>
              </w:rPr>
              <w:t>Cita informācija</w:t>
            </w:r>
          </w:p>
        </w:tc>
        <w:tc>
          <w:tcPr>
            <w:tcW w:w="3000" w:type="pct"/>
          </w:tcPr>
          <w:p w14:paraId="3D330614" w14:textId="77777777" w:rsidR="0011317A" w:rsidRPr="000B7BBC" w:rsidRDefault="0011317A">
            <w:pPr>
              <w:spacing w:line="276" w:lineRule="auto"/>
              <w:rPr>
                <w:iCs/>
                <w:lang w:eastAsia="en-US"/>
              </w:rPr>
            </w:pPr>
            <w:r w:rsidRPr="000B7BBC">
              <w:rPr>
                <w:iCs/>
                <w:lang w:eastAsia="en-US"/>
              </w:rPr>
              <w:t>Nav.</w:t>
            </w:r>
          </w:p>
        </w:tc>
      </w:tr>
    </w:tbl>
    <w:p w14:paraId="79EB867B" w14:textId="77777777" w:rsidR="0011317A" w:rsidRDefault="0011317A" w:rsidP="009B1558">
      <w:pPr>
        <w:rPr>
          <w:sz w:val="28"/>
          <w:szCs w:val="28"/>
        </w:rPr>
      </w:pPr>
    </w:p>
    <w:p w14:paraId="5B931970" w14:textId="77777777" w:rsidR="0011317A" w:rsidRPr="000B7BBC" w:rsidRDefault="0011317A" w:rsidP="009B1558">
      <w:pPr>
        <w:rPr>
          <w:sz w:val="28"/>
          <w:szCs w:val="28"/>
        </w:rPr>
      </w:pPr>
    </w:p>
    <w:p w14:paraId="3543C829" w14:textId="7312CBD7" w:rsidR="0011317A" w:rsidRDefault="0011317A" w:rsidP="009B1558">
      <w:pPr>
        <w:ind w:firstLine="720"/>
      </w:pPr>
      <w:r w:rsidRPr="000B7BBC">
        <w:t>Labklājības ministre</w:t>
      </w:r>
      <w:r w:rsidRPr="000B7BBC">
        <w:tab/>
      </w:r>
      <w:r w:rsidRPr="000B7BBC">
        <w:tab/>
      </w:r>
      <w:r w:rsidRPr="000B7BBC">
        <w:tab/>
      </w:r>
      <w:r w:rsidRPr="000B7BBC">
        <w:tab/>
      </w:r>
      <w:r w:rsidRPr="000B7BBC">
        <w:tab/>
        <w:t xml:space="preserve">       </w:t>
      </w:r>
      <w:r w:rsidRPr="000B7BBC">
        <w:tab/>
        <w:t xml:space="preserve">    </w:t>
      </w:r>
      <w:r>
        <w:t xml:space="preserve"> </w:t>
      </w:r>
      <w:r w:rsidRPr="000B7BBC">
        <w:t xml:space="preserve">     </w:t>
      </w:r>
      <w:proofErr w:type="spellStart"/>
      <w:r w:rsidRPr="000B7BBC">
        <w:t>R.Petraviča</w:t>
      </w:r>
      <w:proofErr w:type="spellEnd"/>
      <w:r w:rsidRPr="000B7BBC">
        <w:tab/>
      </w:r>
      <w:r w:rsidRPr="000B7BBC">
        <w:tab/>
      </w:r>
    </w:p>
    <w:p w14:paraId="3322DC8F" w14:textId="77777777" w:rsidR="001116E6" w:rsidRPr="000B7BBC" w:rsidRDefault="001116E6" w:rsidP="009B1558">
      <w:pPr>
        <w:ind w:firstLine="720"/>
      </w:pPr>
    </w:p>
    <w:p w14:paraId="0462AB02" w14:textId="29FCC9C7" w:rsidR="0011317A" w:rsidRPr="000B7BBC" w:rsidRDefault="0011317A" w:rsidP="009B1558">
      <w:pPr>
        <w:ind w:firstLine="720"/>
      </w:pPr>
      <w:r>
        <w:t>Valsts sekretā</w:t>
      </w:r>
      <w:r w:rsidR="00FE4734">
        <w:t xml:space="preserve">rs </w:t>
      </w:r>
      <w:r w:rsidR="00824C9A">
        <w:t xml:space="preserve"> </w:t>
      </w:r>
      <w:r>
        <w:t xml:space="preserve">                            </w:t>
      </w:r>
      <w:r w:rsidR="00FE4734">
        <w:t xml:space="preserve">    </w:t>
      </w:r>
      <w:r>
        <w:t xml:space="preserve">                                               </w:t>
      </w:r>
      <w:r w:rsidR="00FE4734">
        <w:t>I.Alliks</w:t>
      </w:r>
    </w:p>
    <w:p w14:paraId="58472499" w14:textId="19F93201" w:rsidR="0011317A" w:rsidRPr="00824C9A" w:rsidRDefault="00824C9A" w:rsidP="009B1558">
      <w:pPr>
        <w:rPr>
          <w:kern w:val="2"/>
          <w:lang w:eastAsia="ar-SA"/>
        </w:rPr>
      </w:pPr>
      <w:r>
        <w:rPr>
          <w:kern w:val="2"/>
          <w:sz w:val="20"/>
          <w:szCs w:val="20"/>
          <w:lang w:eastAsia="ar-SA"/>
        </w:rPr>
        <w:tab/>
      </w:r>
    </w:p>
    <w:p w14:paraId="3C53D640" w14:textId="77777777" w:rsidR="0011317A" w:rsidRDefault="0011317A" w:rsidP="009B1558">
      <w:pPr>
        <w:rPr>
          <w:kern w:val="2"/>
          <w:sz w:val="20"/>
          <w:szCs w:val="20"/>
          <w:lang w:eastAsia="ar-SA"/>
        </w:rPr>
      </w:pPr>
    </w:p>
    <w:p w14:paraId="774F38D4" w14:textId="5B7431B0" w:rsidR="0011317A" w:rsidRDefault="0011317A" w:rsidP="009B1558">
      <w:pPr>
        <w:rPr>
          <w:kern w:val="2"/>
          <w:sz w:val="20"/>
          <w:szCs w:val="20"/>
          <w:lang w:eastAsia="ar-SA"/>
        </w:rPr>
      </w:pPr>
    </w:p>
    <w:p w14:paraId="13A321AE" w14:textId="1FB14E48" w:rsidR="001116E6" w:rsidRDefault="001116E6" w:rsidP="009B1558">
      <w:pPr>
        <w:rPr>
          <w:kern w:val="2"/>
          <w:sz w:val="20"/>
          <w:szCs w:val="20"/>
          <w:lang w:eastAsia="ar-SA"/>
        </w:rPr>
      </w:pPr>
    </w:p>
    <w:p w14:paraId="7014EDA1" w14:textId="4AE58412" w:rsidR="001116E6" w:rsidRDefault="001116E6" w:rsidP="009B1558">
      <w:pPr>
        <w:rPr>
          <w:kern w:val="2"/>
          <w:sz w:val="20"/>
          <w:szCs w:val="20"/>
          <w:lang w:eastAsia="ar-SA"/>
        </w:rPr>
      </w:pPr>
    </w:p>
    <w:p w14:paraId="62087AC2" w14:textId="493B0670" w:rsidR="001116E6" w:rsidRDefault="001116E6" w:rsidP="009B1558">
      <w:pPr>
        <w:rPr>
          <w:kern w:val="2"/>
          <w:sz w:val="20"/>
          <w:szCs w:val="20"/>
          <w:lang w:eastAsia="ar-SA"/>
        </w:rPr>
      </w:pPr>
    </w:p>
    <w:p w14:paraId="7872CC07" w14:textId="50BCB9D0" w:rsidR="001116E6" w:rsidRDefault="001116E6" w:rsidP="009B1558">
      <w:pPr>
        <w:rPr>
          <w:kern w:val="2"/>
          <w:sz w:val="20"/>
          <w:szCs w:val="20"/>
          <w:lang w:eastAsia="ar-SA"/>
        </w:rPr>
      </w:pPr>
    </w:p>
    <w:p w14:paraId="7331378D" w14:textId="0554EFE9" w:rsidR="001116E6" w:rsidRDefault="001116E6" w:rsidP="009B1558">
      <w:pPr>
        <w:rPr>
          <w:kern w:val="2"/>
          <w:sz w:val="20"/>
          <w:szCs w:val="20"/>
          <w:lang w:eastAsia="ar-SA"/>
        </w:rPr>
      </w:pPr>
    </w:p>
    <w:p w14:paraId="268475C5" w14:textId="0C2C15C8" w:rsidR="001116E6" w:rsidRDefault="001116E6" w:rsidP="009B1558">
      <w:pPr>
        <w:rPr>
          <w:kern w:val="2"/>
          <w:sz w:val="20"/>
          <w:szCs w:val="20"/>
          <w:lang w:eastAsia="ar-SA"/>
        </w:rPr>
      </w:pPr>
    </w:p>
    <w:p w14:paraId="124C4AE3" w14:textId="1601E72F" w:rsidR="001116E6" w:rsidRDefault="001116E6" w:rsidP="009B1558">
      <w:pPr>
        <w:rPr>
          <w:kern w:val="2"/>
          <w:sz w:val="20"/>
          <w:szCs w:val="20"/>
          <w:lang w:eastAsia="ar-SA"/>
        </w:rPr>
      </w:pPr>
    </w:p>
    <w:p w14:paraId="620EB862" w14:textId="1D29BB81" w:rsidR="001116E6" w:rsidRDefault="001116E6" w:rsidP="009B1558">
      <w:pPr>
        <w:rPr>
          <w:kern w:val="2"/>
          <w:sz w:val="20"/>
          <w:szCs w:val="20"/>
          <w:lang w:eastAsia="ar-SA"/>
        </w:rPr>
      </w:pPr>
    </w:p>
    <w:p w14:paraId="650B08DF" w14:textId="551657D2" w:rsidR="001116E6" w:rsidRDefault="001116E6" w:rsidP="009B1558">
      <w:pPr>
        <w:rPr>
          <w:kern w:val="2"/>
          <w:sz w:val="20"/>
          <w:szCs w:val="20"/>
          <w:lang w:eastAsia="ar-SA"/>
        </w:rPr>
      </w:pPr>
    </w:p>
    <w:p w14:paraId="5533F9F1" w14:textId="439F37EB" w:rsidR="001116E6" w:rsidRDefault="001116E6" w:rsidP="009B1558">
      <w:pPr>
        <w:rPr>
          <w:kern w:val="2"/>
          <w:sz w:val="20"/>
          <w:szCs w:val="20"/>
          <w:lang w:eastAsia="ar-SA"/>
        </w:rPr>
      </w:pPr>
    </w:p>
    <w:p w14:paraId="4E3109BD" w14:textId="77777777" w:rsidR="001116E6" w:rsidRPr="000B7BBC" w:rsidRDefault="001116E6" w:rsidP="009B1558">
      <w:pPr>
        <w:rPr>
          <w:kern w:val="2"/>
          <w:sz w:val="20"/>
          <w:szCs w:val="20"/>
          <w:lang w:eastAsia="ar-SA"/>
        </w:rPr>
      </w:pPr>
    </w:p>
    <w:bookmarkEnd w:id="0"/>
    <w:bookmarkEnd w:id="1"/>
    <w:p w14:paraId="7040C5CA" w14:textId="77777777" w:rsidR="001116E6" w:rsidRPr="000D0E58" w:rsidRDefault="001116E6" w:rsidP="001116E6">
      <w:pPr>
        <w:tabs>
          <w:tab w:val="left" w:pos="6237"/>
        </w:tabs>
        <w:rPr>
          <w:sz w:val="20"/>
          <w:szCs w:val="20"/>
        </w:rPr>
      </w:pPr>
      <w:r w:rsidRPr="000D0E58">
        <w:rPr>
          <w:sz w:val="20"/>
          <w:szCs w:val="20"/>
        </w:rPr>
        <w:t>Rita Paršova</w:t>
      </w:r>
    </w:p>
    <w:p w14:paraId="7FF0D2FC" w14:textId="77777777" w:rsidR="001116E6" w:rsidRPr="000D0E58" w:rsidRDefault="00B95E03" w:rsidP="001116E6">
      <w:pPr>
        <w:tabs>
          <w:tab w:val="left" w:pos="6237"/>
        </w:tabs>
        <w:rPr>
          <w:sz w:val="20"/>
          <w:szCs w:val="20"/>
        </w:rPr>
      </w:pPr>
      <w:hyperlink r:id="rId7" w:history="1">
        <w:r w:rsidR="001116E6" w:rsidRPr="000D0E58">
          <w:rPr>
            <w:rStyle w:val="Hyperlink"/>
          </w:rPr>
          <w:t>rita.parsova@lm.gov.lv</w:t>
        </w:r>
      </w:hyperlink>
      <w:r w:rsidR="001116E6" w:rsidRPr="000D0E58">
        <w:rPr>
          <w:sz w:val="20"/>
          <w:szCs w:val="20"/>
        </w:rPr>
        <w:t xml:space="preserve"> </w:t>
      </w:r>
    </w:p>
    <w:p w14:paraId="14CF6B23" w14:textId="54DB1072" w:rsidR="0011317A" w:rsidRPr="000B7BBC" w:rsidRDefault="001116E6" w:rsidP="001116E6">
      <w:pPr>
        <w:rPr>
          <w:vanish/>
          <w:sz w:val="22"/>
          <w:szCs w:val="22"/>
        </w:rPr>
      </w:pPr>
      <w:r w:rsidRPr="000D0E58">
        <w:rPr>
          <w:sz w:val="18"/>
          <w:szCs w:val="18"/>
        </w:rPr>
        <w:t>67782954</w:t>
      </w:r>
    </w:p>
    <w:p w14:paraId="744DE591" w14:textId="77777777" w:rsidR="0011317A" w:rsidRPr="000B7BBC" w:rsidRDefault="0011317A" w:rsidP="009B1558">
      <w:pPr>
        <w:rPr>
          <w:vanish/>
          <w:sz w:val="22"/>
          <w:szCs w:val="22"/>
        </w:rPr>
      </w:pPr>
    </w:p>
    <w:bookmarkEnd w:id="2"/>
    <w:p w14:paraId="6B6CF34B" w14:textId="77777777" w:rsidR="0011317A" w:rsidRPr="000B7BBC" w:rsidRDefault="0011317A"/>
    <w:sectPr w:rsidR="0011317A" w:rsidRPr="000B7BBC" w:rsidSect="00672B7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286F" w14:textId="77777777" w:rsidR="00B95E03" w:rsidRDefault="00B95E03" w:rsidP="009B1558">
      <w:r>
        <w:separator/>
      </w:r>
    </w:p>
  </w:endnote>
  <w:endnote w:type="continuationSeparator" w:id="0">
    <w:p w14:paraId="32BF814C" w14:textId="77777777" w:rsidR="00B95E03" w:rsidRDefault="00B95E03" w:rsidP="009B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BE9B" w14:textId="77777777" w:rsidR="00EA04A1" w:rsidRDefault="00EA04A1" w:rsidP="00EA04A1">
    <w:pPr>
      <w:pStyle w:val="Footer"/>
    </w:pPr>
    <w:r>
      <w:t>LManot_220221_atbalsts</w:t>
    </w:r>
  </w:p>
  <w:p w14:paraId="3C2EC50D" w14:textId="77777777" w:rsidR="0011317A" w:rsidRDefault="0011317A" w:rsidP="00A70283">
    <w:pPr>
      <w:pStyle w:val="Footer"/>
    </w:pPr>
  </w:p>
  <w:p w14:paraId="694A5FF5" w14:textId="77777777" w:rsidR="0011317A" w:rsidRPr="00A70283" w:rsidRDefault="0011317A" w:rsidP="00A70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B72C" w14:textId="6B8EC7D4" w:rsidR="001116E6" w:rsidRDefault="001116E6" w:rsidP="001116E6">
    <w:pPr>
      <w:pStyle w:val="Footer"/>
    </w:pPr>
    <w:r>
      <w:t>LManot_</w:t>
    </w:r>
    <w:r w:rsidR="00EA04A1">
      <w:t>22</w:t>
    </w:r>
    <w:r>
      <w:t>0221_atbalsts</w:t>
    </w:r>
  </w:p>
  <w:p w14:paraId="3CE16FAE" w14:textId="77777777" w:rsidR="001116E6" w:rsidRDefault="0011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6F83" w14:textId="77777777" w:rsidR="00B95E03" w:rsidRDefault="00B95E03" w:rsidP="009B1558">
      <w:r>
        <w:separator/>
      </w:r>
    </w:p>
  </w:footnote>
  <w:footnote w:type="continuationSeparator" w:id="0">
    <w:p w14:paraId="255A5672" w14:textId="77777777" w:rsidR="00B95E03" w:rsidRDefault="00B95E03" w:rsidP="009B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A51F" w14:textId="77777777" w:rsidR="0011317A" w:rsidRDefault="00DC0E4E">
    <w:pPr>
      <w:pStyle w:val="Header"/>
      <w:jc w:val="center"/>
    </w:pPr>
    <w:r>
      <w:fldChar w:fldCharType="begin"/>
    </w:r>
    <w:r>
      <w:instrText xml:space="preserve"> PAGE   \* MERGEFORMAT </w:instrText>
    </w:r>
    <w:r>
      <w:fldChar w:fldCharType="separate"/>
    </w:r>
    <w:r w:rsidR="0011317A">
      <w:rPr>
        <w:noProof/>
      </w:rPr>
      <w:t>4</w:t>
    </w:r>
    <w:r>
      <w:rPr>
        <w:noProof/>
      </w:rPr>
      <w:fldChar w:fldCharType="end"/>
    </w:r>
  </w:p>
  <w:p w14:paraId="3DBE877B" w14:textId="77777777" w:rsidR="0011317A" w:rsidRDefault="0011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6B7"/>
    <w:multiLevelType w:val="hybridMultilevel"/>
    <w:tmpl w:val="9C7236B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23936D07"/>
    <w:multiLevelType w:val="hybridMultilevel"/>
    <w:tmpl w:val="F454E9E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3E115DD"/>
    <w:multiLevelType w:val="hybridMultilevel"/>
    <w:tmpl w:val="1CD811A8"/>
    <w:lvl w:ilvl="0" w:tplc="F61AF3CA">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9037FF"/>
    <w:multiLevelType w:val="hybridMultilevel"/>
    <w:tmpl w:val="2320E3C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3258064D"/>
    <w:multiLevelType w:val="multilevel"/>
    <w:tmpl w:val="E64A32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 w15:restartNumberingAfterBreak="0">
    <w:nsid w:val="39E533FD"/>
    <w:multiLevelType w:val="hybridMultilevel"/>
    <w:tmpl w:val="A3FA2FAC"/>
    <w:lvl w:ilvl="0" w:tplc="768C45F8">
      <w:start w:val="31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5843C1"/>
    <w:multiLevelType w:val="hybridMultilevel"/>
    <w:tmpl w:val="3B569B6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66146565"/>
    <w:multiLevelType w:val="hybridMultilevel"/>
    <w:tmpl w:val="5AA875F0"/>
    <w:lvl w:ilvl="0" w:tplc="F51A759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7DAC7760"/>
    <w:multiLevelType w:val="hybridMultilevel"/>
    <w:tmpl w:val="3D8E00B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8"/>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58"/>
    <w:rsid w:val="000057C1"/>
    <w:rsid w:val="00007D7C"/>
    <w:rsid w:val="00047B10"/>
    <w:rsid w:val="000532B1"/>
    <w:rsid w:val="00063FB9"/>
    <w:rsid w:val="0007651A"/>
    <w:rsid w:val="00097687"/>
    <w:rsid w:val="000A3EB3"/>
    <w:rsid w:val="000B7568"/>
    <w:rsid w:val="000B7BBC"/>
    <w:rsid w:val="000D446F"/>
    <w:rsid w:val="000D5AB5"/>
    <w:rsid w:val="000D6731"/>
    <w:rsid w:val="000E67E3"/>
    <w:rsid w:val="000F29B9"/>
    <w:rsid w:val="000F6644"/>
    <w:rsid w:val="00101EAC"/>
    <w:rsid w:val="001116E6"/>
    <w:rsid w:val="0011317A"/>
    <w:rsid w:val="001172A7"/>
    <w:rsid w:val="001419C1"/>
    <w:rsid w:val="00155132"/>
    <w:rsid w:val="00177143"/>
    <w:rsid w:val="00180810"/>
    <w:rsid w:val="001A0B1A"/>
    <w:rsid w:val="001A7577"/>
    <w:rsid w:val="001B7CEC"/>
    <w:rsid w:val="001E1411"/>
    <w:rsid w:val="001E2DD6"/>
    <w:rsid w:val="001E3B4D"/>
    <w:rsid w:val="00205CC9"/>
    <w:rsid w:val="00214469"/>
    <w:rsid w:val="002524DF"/>
    <w:rsid w:val="00270D23"/>
    <w:rsid w:val="0027326E"/>
    <w:rsid w:val="0027690F"/>
    <w:rsid w:val="00284F52"/>
    <w:rsid w:val="0028546A"/>
    <w:rsid w:val="002A685A"/>
    <w:rsid w:val="002C0B70"/>
    <w:rsid w:val="002D0277"/>
    <w:rsid w:val="002D74E4"/>
    <w:rsid w:val="002E2F6B"/>
    <w:rsid w:val="002E6442"/>
    <w:rsid w:val="002F15F4"/>
    <w:rsid w:val="002F2679"/>
    <w:rsid w:val="00320C6C"/>
    <w:rsid w:val="00335C75"/>
    <w:rsid w:val="00364F89"/>
    <w:rsid w:val="00372B89"/>
    <w:rsid w:val="003875CD"/>
    <w:rsid w:val="0039359E"/>
    <w:rsid w:val="003A46D0"/>
    <w:rsid w:val="003A6827"/>
    <w:rsid w:val="003B5A92"/>
    <w:rsid w:val="003B7BB4"/>
    <w:rsid w:val="003D2E03"/>
    <w:rsid w:val="003D4676"/>
    <w:rsid w:val="003D6E75"/>
    <w:rsid w:val="003F797A"/>
    <w:rsid w:val="00416316"/>
    <w:rsid w:val="00427462"/>
    <w:rsid w:val="00445CC4"/>
    <w:rsid w:val="004C2E47"/>
    <w:rsid w:val="004D49B6"/>
    <w:rsid w:val="004F5444"/>
    <w:rsid w:val="00501D2A"/>
    <w:rsid w:val="00505A75"/>
    <w:rsid w:val="0051149A"/>
    <w:rsid w:val="00521828"/>
    <w:rsid w:val="005606CE"/>
    <w:rsid w:val="00565E23"/>
    <w:rsid w:val="005670F2"/>
    <w:rsid w:val="00576274"/>
    <w:rsid w:val="00580A03"/>
    <w:rsid w:val="00591902"/>
    <w:rsid w:val="005A7465"/>
    <w:rsid w:val="005B0F36"/>
    <w:rsid w:val="005B5660"/>
    <w:rsid w:val="005D15DA"/>
    <w:rsid w:val="005D32F1"/>
    <w:rsid w:val="005E4921"/>
    <w:rsid w:val="005F1D24"/>
    <w:rsid w:val="006055BE"/>
    <w:rsid w:val="00616661"/>
    <w:rsid w:val="0062004A"/>
    <w:rsid w:val="006214FA"/>
    <w:rsid w:val="0063541D"/>
    <w:rsid w:val="00636467"/>
    <w:rsid w:val="006460A3"/>
    <w:rsid w:val="0065655D"/>
    <w:rsid w:val="00662401"/>
    <w:rsid w:val="00672B7F"/>
    <w:rsid w:val="00683B64"/>
    <w:rsid w:val="00692305"/>
    <w:rsid w:val="006C4C44"/>
    <w:rsid w:val="006D7F60"/>
    <w:rsid w:val="006E11E6"/>
    <w:rsid w:val="006F05B6"/>
    <w:rsid w:val="0070354D"/>
    <w:rsid w:val="007178DB"/>
    <w:rsid w:val="007246A7"/>
    <w:rsid w:val="00741B40"/>
    <w:rsid w:val="007433BA"/>
    <w:rsid w:val="00745B94"/>
    <w:rsid w:val="007543A6"/>
    <w:rsid w:val="00760B6E"/>
    <w:rsid w:val="007644C9"/>
    <w:rsid w:val="00783FA7"/>
    <w:rsid w:val="0079105D"/>
    <w:rsid w:val="007A7B26"/>
    <w:rsid w:val="007D1AD8"/>
    <w:rsid w:val="007D4EF0"/>
    <w:rsid w:val="007E4B01"/>
    <w:rsid w:val="007F7A20"/>
    <w:rsid w:val="00801170"/>
    <w:rsid w:val="00811515"/>
    <w:rsid w:val="00820C48"/>
    <w:rsid w:val="00824C9A"/>
    <w:rsid w:val="008514DC"/>
    <w:rsid w:val="00854CF9"/>
    <w:rsid w:val="00861554"/>
    <w:rsid w:val="0087551D"/>
    <w:rsid w:val="00875547"/>
    <w:rsid w:val="00882576"/>
    <w:rsid w:val="00890CAC"/>
    <w:rsid w:val="00896BF7"/>
    <w:rsid w:val="00897F88"/>
    <w:rsid w:val="008A5B0B"/>
    <w:rsid w:val="008C2CA0"/>
    <w:rsid w:val="008D22DD"/>
    <w:rsid w:val="008D32BE"/>
    <w:rsid w:val="008D5E0B"/>
    <w:rsid w:val="008E21B8"/>
    <w:rsid w:val="00925C92"/>
    <w:rsid w:val="009317A8"/>
    <w:rsid w:val="009416E1"/>
    <w:rsid w:val="00947718"/>
    <w:rsid w:val="00952AF3"/>
    <w:rsid w:val="009712B7"/>
    <w:rsid w:val="0098064B"/>
    <w:rsid w:val="00986468"/>
    <w:rsid w:val="009B00F6"/>
    <w:rsid w:val="009B0DA9"/>
    <w:rsid w:val="009B1558"/>
    <w:rsid w:val="009B49A8"/>
    <w:rsid w:val="009C26DC"/>
    <w:rsid w:val="009C4187"/>
    <w:rsid w:val="009C65DD"/>
    <w:rsid w:val="009E0BCE"/>
    <w:rsid w:val="009E458C"/>
    <w:rsid w:val="00A1705B"/>
    <w:rsid w:val="00A2225E"/>
    <w:rsid w:val="00A22B81"/>
    <w:rsid w:val="00A32297"/>
    <w:rsid w:val="00A35929"/>
    <w:rsid w:val="00A4046F"/>
    <w:rsid w:val="00A70283"/>
    <w:rsid w:val="00A71077"/>
    <w:rsid w:val="00A80C19"/>
    <w:rsid w:val="00AC4FDD"/>
    <w:rsid w:val="00AC61C3"/>
    <w:rsid w:val="00AD08F8"/>
    <w:rsid w:val="00AE1777"/>
    <w:rsid w:val="00AE69B0"/>
    <w:rsid w:val="00B0425D"/>
    <w:rsid w:val="00B06967"/>
    <w:rsid w:val="00B15E97"/>
    <w:rsid w:val="00B225DE"/>
    <w:rsid w:val="00B26F7E"/>
    <w:rsid w:val="00B421FD"/>
    <w:rsid w:val="00B62612"/>
    <w:rsid w:val="00B84CA4"/>
    <w:rsid w:val="00B95E03"/>
    <w:rsid w:val="00BA2094"/>
    <w:rsid w:val="00BA4C93"/>
    <w:rsid w:val="00BA7B43"/>
    <w:rsid w:val="00BD4FAD"/>
    <w:rsid w:val="00BE0476"/>
    <w:rsid w:val="00C07CA1"/>
    <w:rsid w:val="00C11A3A"/>
    <w:rsid w:val="00C33FB4"/>
    <w:rsid w:val="00C74BAD"/>
    <w:rsid w:val="00C91E8B"/>
    <w:rsid w:val="00C930A2"/>
    <w:rsid w:val="00CB54AA"/>
    <w:rsid w:val="00CC2A2F"/>
    <w:rsid w:val="00CD2851"/>
    <w:rsid w:val="00CD52AA"/>
    <w:rsid w:val="00CE0678"/>
    <w:rsid w:val="00CE5356"/>
    <w:rsid w:val="00CF7C86"/>
    <w:rsid w:val="00D156D5"/>
    <w:rsid w:val="00D16F70"/>
    <w:rsid w:val="00D21193"/>
    <w:rsid w:val="00D25861"/>
    <w:rsid w:val="00D316F6"/>
    <w:rsid w:val="00D3183E"/>
    <w:rsid w:val="00D354BC"/>
    <w:rsid w:val="00D41D07"/>
    <w:rsid w:val="00D55021"/>
    <w:rsid w:val="00D63A3E"/>
    <w:rsid w:val="00D678C0"/>
    <w:rsid w:val="00D70CD1"/>
    <w:rsid w:val="00D81B03"/>
    <w:rsid w:val="00DA266E"/>
    <w:rsid w:val="00DA570D"/>
    <w:rsid w:val="00DA6FBE"/>
    <w:rsid w:val="00DB17D4"/>
    <w:rsid w:val="00DB1C41"/>
    <w:rsid w:val="00DB5507"/>
    <w:rsid w:val="00DC0E4E"/>
    <w:rsid w:val="00DC4636"/>
    <w:rsid w:val="00DC7246"/>
    <w:rsid w:val="00DD66A3"/>
    <w:rsid w:val="00DD682E"/>
    <w:rsid w:val="00DE10DC"/>
    <w:rsid w:val="00DE7D07"/>
    <w:rsid w:val="00E03AC7"/>
    <w:rsid w:val="00E13156"/>
    <w:rsid w:val="00E430E0"/>
    <w:rsid w:val="00E53CE9"/>
    <w:rsid w:val="00E55964"/>
    <w:rsid w:val="00E5777D"/>
    <w:rsid w:val="00E60FDA"/>
    <w:rsid w:val="00E62773"/>
    <w:rsid w:val="00E9609C"/>
    <w:rsid w:val="00EA04A1"/>
    <w:rsid w:val="00EE3132"/>
    <w:rsid w:val="00EE79C9"/>
    <w:rsid w:val="00F07FA3"/>
    <w:rsid w:val="00F141BC"/>
    <w:rsid w:val="00F15AAF"/>
    <w:rsid w:val="00F42EA4"/>
    <w:rsid w:val="00F54A3A"/>
    <w:rsid w:val="00F9031F"/>
    <w:rsid w:val="00F9094E"/>
    <w:rsid w:val="00FB6261"/>
    <w:rsid w:val="00FC44BC"/>
    <w:rsid w:val="00FD6FBE"/>
    <w:rsid w:val="00FE4734"/>
    <w:rsid w:val="00FF5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EE7C2"/>
  <w15:docId w15:val="{DFED91FC-C955-48ED-8411-E5506D3F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1558"/>
    <w:rPr>
      <w:rFonts w:cs="Times New Roman"/>
      <w:color w:val="0000FF"/>
      <w:u w:val="single"/>
    </w:rPr>
  </w:style>
  <w:style w:type="paragraph" w:styleId="CommentText">
    <w:name w:val="annotation text"/>
    <w:basedOn w:val="Normal"/>
    <w:link w:val="CommentTextChar"/>
    <w:uiPriority w:val="99"/>
    <w:rsid w:val="009B1558"/>
    <w:rPr>
      <w:sz w:val="20"/>
      <w:szCs w:val="20"/>
    </w:rPr>
  </w:style>
  <w:style w:type="character" w:customStyle="1" w:styleId="CommentTextChar">
    <w:name w:val="Comment Text Char"/>
    <w:basedOn w:val="DefaultParagraphFont"/>
    <w:link w:val="CommentText"/>
    <w:uiPriority w:val="99"/>
    <w:locked/>
    <w:rsid w:val="009B1558"/>
    <w:rPr>
      <w:rFonts w:ascii="Times New Roman" w:hAnsi="Times New Roman" w:cs="Times New Roman"/>
      <w:sz w:val="20"/>
      <w:szCs w:val="20"/>
      <w:lang w:eastAsia="lv-LV"/>
    </w:rPr>
  </w:style>
  <w:style w:type="paragraph" w:customStyle="1" w:styleId="naisc">
    <w:name w:val="naisc"/>
    <w:basedOn w:val="Normal"/>
    <w:uiPriority w:val="99"/>
    <w:rsid w:val="009B1558"/>
    <w:pPr>
      <w:spacing w:before="75" w:after="75"/>
      <w:jc w:val="center"/>
    </w:pPr>
  </w:style>
  <w:style w:type="paragraph" w:styleId="Header">
    <w:name w:val="header"/>
    <w:basedOn w:val="Normal"/>
    <w:link w:val="HeaderChar"/>
    <w:uiPriority w:val="99"/>
    <w:rsid w:val="009B1558"/>
    <w:pPr>
      <w:tabs>
        <w:tab w:val="center" w:pos="4153"/>
        <w:tab w:val="right" w:pos="8306"/>
      </w:tabs>
    </w:pPr>
  </w:style>
  <w:style w:type="character" w:customStyle="1" w:styleId="HeaderChar">
    <w:name w:val="Header Char"/>
    <w:basedOn w:val="DefaultParagraphFont"/>
    <w:link w:val="Header"/>
    <w:uiPriority w:val="99"/>
    <w:locked/>
    <w:rsid w:val="009B1558"/>
    <w:rPr>
      <w:rFonts w:ascii="Times New Roman" w:hAnsi="Times New Roman" w:cs="Times New Roman"/>
      <w:sz w:val="24"/>
      <w:szCs w:val="24"/>
      <w:lang w:eastAsia="lv-LV"/>
    </w:rPr>
  </w:style>
  <w:style w:type="paragraph" w:styleId="Footer">
    <w:name w:val="footer"/>
    <w:basedOn w:val="Normal"/>
    <w:link w:val="FooterChar"/>
    <w:uiPriority w:val="99"/>
    <w:rsid w:val="009B1558"/>
    <w:pPr>
      <w:tabs>
        <w:tab w:val="center" w:pos="4153"/>
        <w:tab w:val="right" w:pos="8306"/>
      </w:tabs>
    </w:pPr>
  </w:style>
  <w:style w:type="character" w:customStyle="1" w:styleId="FooterChar">
    <w:name w:val="Footer Char"/>
    <w:basedOn w:val="DefaultParagraphFont"/>
    <w:link w:val="Footer"/>
    <w:uiPriority w:val="99"/>
    <w:locked/>
    <w:rsid w:val="009B1558"/>
    <w:rPr>
      <w:rFonts w:ascii="Times New Roman" w:hAnsi="Times New Roman" w:cs="Times New Roman"/>
      <w:sz w:val="24"/>
      <w:szCs w:val="24"/>
      <w:lang w:eastAsia="lv-LV"/>
    </w:rPr>
  </w:style>
  <w:style w:type="paragraph" w:styleId="ListParagraph">
    <w:name w:val="List Paragraph"/>
    <w:aliases w:val="2,Akapit z listą BS,H&amp;P List Paragraph,Strip,Saraksta rindkopa,Saraksta rindkopa1"/>
    <w:basedOn w:val="Normal"/>
    <w:link w:val="ListParagraphChar"/>
    <w:uiPriority w:val="99"/>
    <w:qFormat/>
    <w:rsid w:val="00811515"/>
    <w:pPr>
      <w:ind w:left="720"/>
      <w:contextualSpacing/>
    </w:pPr>
    <w:rPr>
      <w:rFonts w:eastAsia="Calibri"/>
      <w:szCs w:val="20"/>
    </w:rPr>
  </w:style>
  <w:style w:type="character" w:customStyle="1" w:styleId="UnresolvedMention1">
    <w:name w:val="Unresolved Mention1"/>
    <w:basedOn w:val="DefaultParagraphFont"/>
    <w:uiPriority w:val="99"/>
    <w:semiHidden/>
    <w:rsid w:val="00416316"/>
    <w:rPr>
      <w:rFonts w:cs="Times New Roman"/>
      <w:color w:val="605E5C"/>
      <w:shd w:val="clear" w:color="auto" w:fill="E1DFDD"/>
    </w:rPr>
  </w:style>
  <w:style w:type="character" w:customStyle="1" w:styleId="ListParagraphChar">
    <w:name w:val="List Paragraph Char"/>
    <w:aliases w:val="2 Char,Akapit z listą BS Char,H&amp;P List Paragraph Char,Strip Char,Saraksta rindkopa Char,Saraksta rindkopa1 Char"/>
    <w:link w:val="ListParagraph"/>
    <w:uiPriority w:val="99"/>
    <w:locked/>
    <w:rsid w:val="00063FB9"/>
    <w:rPr>
      <w:rFonts w:ascii="Times New Roman" w:hAnsi="Times New Roman"/>
      <w:sz w:val="24"/>
      <w:lang w:eastAsia="lv-LV"/>
    </w:rPr>
  </w:style>
  <w:style w:type="table" w:styleId="TableGrid">
    <w:name w:val="Table Grid"/>
    <w:basedOn w:val="TableNormal"/>
    <w:uiPriority w:val="99"/>
    <w:rsid w:val="00C74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3C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3CE9"/>
    <w:rPr>
      <w:rFonts w:ascii="Segoe UI" w:hAnsi="Segoe UI" w:cs="Segoe UI"/>
      <w:sz w:val="18"/>
      <w:szCs w:val="18"/>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rsid w:val="00097687"/>
    <w:rPr>
      <w:rFonts w:ascii="Calibri" w:eastAsia="Calibri" w:hAnsi="Calibri"/>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locked/>
    <w:rsid w:val="00097687"/>
    <w:rPr>
      <w:rFonts w:cs="Times New Roman"/>
      <w:sz w:val="20"/>
      <w:szCs w:val="20"/>
    </w:rPr>
  </w:style>
  <w:style w:type="character" w:styleId="FootnoteReference">
    <w:name w:val="footnote reference"/>
    <w:basedOn w:val="DefaultParagraphFont"/>
    <w:uiPriority w:val="99"/>
    <w:semiHidden/>
    <w:rsid w:val="00097687"/>
    <w:rPr>
      <w:rFonts w:cs="Times New Roman"/>
      <w:vertAlign w:val="superscript"/>
    </w:rPr>
  </w:style>
  <w:style w:type="character" w:styleId="CommentReference">
    <w:name w:val="annotation reference"/>
    <w:basedOn w:val="DefaultParagraphFont"/>
    <w:uiPriority w:val="99"/>
    <w:semiHidden/>
    <w:rsid w:val="00A22B81"/>
    <w:rPr>
      <w:rFonts w:cs="Times New Roman"/>
      <w:sz w:val="16"/>
      <w:szCs w:val="16"/>
    </w:rPr>
  </w:style>
  <w:style w:type="paragraph" w:styleId="CommentSubject">
    <w:name w:val="annotation subject"/>
    <w:basedOn w:val="CommentText"/>
    <w:next w:val="CommentText"/>
    <w:link w:val="CommentSubjectChar"/>
    <w:uiPriority w:val="99"/>
    <w:semiHidden/>
    <w:rsid w:val="00A22B81"/>
    <w:rPr>
      <w:b/>
      <w:bCs/>
    </w:rPr>
  </w:style>
  <w:style w:type="character" w:customStyle="1" w:styleId="CommentSubjectChar">
    <w:name w:val="Comment Subject Char"/>
    <w:basedOn w:val="CommentTextChar"/>
    <w:link w:val="CommentSubject"/>
    <w:uiPriority w:val="99"/>
    <w:semiHidden/>
    <w:locked/>
    <w:rsid w:val="00A22B81"/>
    <w:rPr>
      <w:rFonts w:ascii="Times New Roman" w:hAnsi="Times New Roman" w:cs="Times New Roman"/>
      <w:b/>
      <w:bCs/>
      <w:sz w:val="20"/>
      <w:szCs w:val="20"/>
      <w:lang w:eastAsia="lv-LV"/>
    </w:rPr>
  </w:style>
  <w:style w:type="table" w:customStyle="1" w:styleId="TableGrid1">
    <w:name w:val="Table Grid1"/>
    <w:uiPriority w:val="99"/>
    <w:rsid w:val="00D63A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uiPriority w:val="99"/>
    <w:rsid w:val="00F42EA4"/>
    <w:pPr>
      <w:spacing w:before="100" w:beforeAutospacing="1" w:after="100" w:afterAutospacing="1"/>
    </w:pPr>
  </w:style>
  <w:style w:type="paragraph" w:styleId="NoSpacing">
    <w:name w:val="No Spacing"/>
    <w:link w:val="NoSpacingChar"/>
    <w:uiPriority w:val="99"/>
    <w:qFormat/>
    <w:rsid w:val="00672B7F"/>
    <w:rPr>
      <w:lang w:eastAsia="en-US"/>
    </w:rPr>
  </w:style>
  <w:style w:type="character" w:customStyle="1" w:styleId="NoSpacingChar">
    <w:name w:val="No Spacing Char"/>
    <w:link w:val="NoSpacing"/>
    <w:uiPriority w:val="99"/>
    <w:locked/>
    <w:rsid w:val="00672B7F"/>
    <w:rPr>
      <w:sz w:val="22"/>
      <w:lang w:val="lv-LV" w:eastAsia="en-US"/>
    </w:rPr>
  </w:style>
  <w:style w:type="paragraph" w:customStyle="1" w:styleId="naisnod">
    <w:name w:val="naisnod"/>
    <w:basedOn w:val="Normal"/>
    <w:rsid w:val="000532B1"/>
    <w:pPr>
      <w:spacing w:before="150" w:after="150"/>
      <w:jc w:val="center"/>
    </w:pPr>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918">
      <w:marLeft w:val="0"/>
      <w:marRight w:val="0"/>
      <w:marTop w:val="0"/>
      <w:marBottom w:val="0"/>
      <w:divBdr>
        <w:top w:val="none" w:sz="0" w:space="0" w:color="auto"/>
        <w:left w:val="none" w:sz="0" w:space="0" w:color="auto"/>
        <w:bottom w:val="none" w:sz="0" w:space="0" w:color="auto"/>
        <w:right w:val="none" w:sz="0" w:space="0" w:color="auto"/>
      </w:divBdr>
    </w:div>
    <w:div w:id="20589919">
      <w:marLeft w:val="0"/>
      <w:marRight w:val="0"/>
      <w:marTop w:val="0"/>
      <w:marBottom w:val="0"/>
      <w:divBdr>
        <w:top w:val="none" w:sz="0" w:space="0" w:color="auto"/>
        <w:left w:val="none" w:sz="0" w:space="0" w:color="auto"/>
        <w:bottom w:val="none" w:sz="0" w:space="0" w:color="auto"/>
        <w:right w:val="none" w:sz="0" w:space="0" w:color="auto"/>
      </w:divBdr>
    </w:div>
    <w:div w:id="20589920">
      <w:marLeft w:val="0"/>
      <w:marRight w:val="0"/>
      <w:marTop w:val="0"/>
      <w:marBottom w:val="0"/>
      <w:divBdr>
        <w:top w:val="none" w:sz="0" w:space="0" w:color="auto"/>
        <w:left w:val="none" w:sz="0" w:space="0" w:color="auto"/>
        <w:bottom w:val="none" w:sz="0" w:space="0" w:color="auto"/>
        <w:right w:val="none" w:sz="0" w:space="0" w:color="auto"/>
      </w:divBdr>
    </w:div>
    <w:div w:id="20589921">
      <w:marLeft w:val="0"/>
      <w:marRight w:val="0"/>
      <w:marTop w:val="0"/>
      <w:marBottom w:val="0"/>
      <w:divBdr>
        <w:top w:val="none" w:sz="0" w:space="0" w:color="auto"/>
        <w:left w:val="none" w:sz="0" w:space="0" w:color="auto"/>
        <w:bottom w:val="none" w:sz="0" w:space="0" w:color="auto"/>
        <w:right w:val="none" w:sz="0" w:space="0" w:color="auto"/>
      </w:divBdr>
    </w:div>
    <w:div w:id="20589922">
      <w:marLeft w:val="0"/>
      <w:marRight w:val="0"/>
      <w:marTop w:val="0"/>
      <w:marBottom w:val="0"/>
      <w:divBdr>
        <w:top w:val="none" w:sz="0" w:space="0" w:color="auto"/>
        <w:left w:val="none" w:sz="0" w:space="0" w:color="auto"/>
        <w:bottom w:val="none" w:sz="0" w:space="0" w:color="auto"/>
        <w:right w:val="none" w:sz="0" w:space="0" w:color="auto"/>
      </w:divBdr>
    </w:div>
    <w:div w:id="20589923">
      <w:marLeft w:val="0"/>
      <w:marRight w:val="0"/>
      <w:marTop w:val="0"/>
      <w:marBottom w:val="0"/>
      <w:divBdr>
        <w:top w:val="none" w:sz="0" w:space="0" w:color="auto"/>
        <w:left w:val="none" w:sz="0" w:space="0" w:color="auto"/>
        <w:bottom w:val="none" w:sz="0" w:space="0" w:color="auto"/>
        <w:right w:val="none" w:sz="0" w:space="0" w:color="auto"/>
      </w:divBdr>
    </w:div>
    <w:div w:id="20589924">
      <w:marLeft w:val="0"/>
      <w:marRight w:val="0"/>
      <w:marTop w:val="0"/>
      <w:marBottom w:val="0"/>
      <w:divBdr>
        <w:top w:val="none" w:sz="0" w:space="0" w:color="auto"/>
        <w:left w:val="none" w:sz="0" w:space="0" w:color="auto"/>
        <w:bottom w:val="none" w:sz="0" w:space="0" w:color="auto"/>
        <w:right w:val="none" w:sz="0" w:space="0" w:color="auto"/>
      </w:divBdr>
    </w:div>
    <w:div w:id="20589925">
      <w:marLeft w:val="0"/>
      <w:marRight w:val="0"/>
      <w:marTop w:val="0"/>
      <w:marBottom w:val="0"/>
      <w:divBdr>
        <w:top w:val="none" w:sz="0" w:space="0" w:color="auto"/>
        <w:left w:val="none" w:sz="0" w:space="0" w:color="auto"/>
        <w:bottom w:val="none" w:sz="0" w:space="0" w:color="auto"/>
        <w:right w:val="none" w:sz="0" w:space="0" w:color="auto"/>
      </w:divBdr>
    </w:div>
    <w:div w:id="696320100">
      <w:bodyDiv w:val="1"/>
      <w:marLeft w:val="0"/>
      <w:marRight w:val="0"/>
      <w:marTop w:val="0"/>
      <w:marBottom w:val="0"/>
      <w:divBdr>
        <w:top w:val="none" w:sz="0" w:space="0" w:color="auto"/>
        <w:left w:val="none" w:sz="0" w:space="0" w:color="auto"/>
        <w:bottom w:val="none" w:sz="0" w:space="0" w:color="auto"/>
        <w:right w:val="none" w:sz="0" w:space="0" w:color="auto"/>
      </w:divBdr>
    </w:div>
    <w:div w:id="789200193">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ta.parsov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7362</Words>
  <Characters>4197</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Irēna Salmane</dc:creator>
  <cp:keywords/>
  <dc:description>irena.salmane@lm.gov.lv, tel. 67021556</dc:description>
  <cp:lastModifiedBy>Rita Paršova</cp:lastModifiedBy>
  <cp:revision>10</cp:revision>
  <cp:lastPrinted>2020-10-07T06:31:00Z</cp:lastPrinted>
  <dcterms:created xsi:type="dcterms:W3CDTF">2021-02-22T09:22:00Z</dcterms:created>
  <dcterms:modified xsi:type="dcterms:W3CDTF">2021-02-22T11:55:00Z</dcterms:modified>
</cp:coreProperties>
</file>