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23B" w:rsidP="00894C55" w:rsidRDefault="0066695E" w14:paraId="33410D68" w14:textId="202CD031">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66695E">
        <w:rPr>
          <w:rFonts w:ascii="Times New Roman" w:hAnsi="Times New Roman" w:eastAsia="Times New Roman" w:cs="Times New Roman"/>
          <w:b/>
          <w:bCs/>
          <w:color w:val="000000" w:themeColor="text1"/>
          <w:sz w:val="24"/>
          <w:szCs w:val="24"/>
          <w:lang w:eastAsia="lv-LV"/>
        </w:rPr>
        <w:t xml:space="preserve">Ministru kabineta noteikumu projekta “Grozījumi Ministru kabineta 2015.gada 24. novembra noteikumos </w:t>
      </w:r>
      <w:bookmarkStart w:name="_Hlk55482650" w:id="0"/>
      <w:r w:rsidRPr="0066695E">
        <w:rPr>
          <w:rFonts w:ascii="Times New Roman" w:hAnsi="Times New Roman" w:eastAsia="Times New Roman" w:cs="Times New Roman"/>
          <w:b/>
          <w:bCs/>
          <w:color w:val="000000" w:themeColor="text1"/>
          <w:sz w:val="24"/>
          <w:szCs w:val="24"/>
          <w:lang w:eastAsia="lv-LV"/>
        </w:rPr>
        <w:t xml:space="preserve">Nr. 664 </w:t>
      </w:r>
      <w:bookmarkEnd w:id="0"/>
      <w:r w:rsidRPr="0066695E">
        <w:rPr>
          <w:rFonts w:ascii="Times New Roman" w:hAnsi="Times New Roman" w:eastAsia="Times New Roman" w:cs="Times New Roman"/>
          <w:b/>
          <w:bCs/>
          <w:color w:val="000000" w:themeColor="text1"/>
          <w:sz w:val="24"/>
          <w:szCs w:val="24"/>
          <w:lang w:eastAsia="lv-LV"/>
        </w:rPr>
        <w:t xml:space="preserve">“Darbības programmas </w:t>
      </w:r>
      <w:r w:rsidR="00C52692">
        <w:rPr>
          <w:rFonts w:ascii="Times New Roman" w:hAnsi="Times New Roman" w:eastAsia="Times New Roman" w:cs="Times New Roman"/>
          <w:b/>
          <w:bCs/>
          <w:color w:val="000000" w:themeColor="text1"/>
          <w:sz w:val="24"/>
          <w:szCs w:val="24"/>
          <w:lang w:eastAsia="lv-LV"/>
        </w:rPr>
        <w:t>“</w:t>
      </w:r>
      <w:r w:rsidRPr="0066695E">
        <w:rPr>
          <w:rFonts w:ascii="Times New Roman" w:hAnsi="Times New Roman" w:eastAsia="Times New Roman" w:cs="Times New Roman"/>
          <w:b/>
          <w:bCs/>
          <w:color w:val="000000" w:themeColor="text1"/>
          <w:sz w:val="24"/>
          <w:szCs w:val="24"/>
          <w:lang w:eastAsia="lv-LV"/>
        </w:rPr>
        <w:t>Izaugsme un nodarbinātība</w:t>
      </w:r>
      <w:r w:rsidR="00C52692">
        <w:rPr>
          <w:rFonts w:ascii="Times New Roman" w:hAnsi="Times New Roman" w:eastAsia="Times New Roman" w:cs="Times New Roman"/>
          <w:b/>
          <w:bCs/>
          <w:color w:val="000000" w:themeColor="text1"/>
          <w:sz w:val="24"/>
          <w:szCs w:val="24"/>
          <w:lang w:eastAsia="lv-LV"/>
        </w:rPr>
        <w:t xml:space="preserve">”  </w:t>
      </w:r>
      <w:r w:rsidRPr="0066695E">
        <w:rPr>
          <w:rFonts w:ascii="Times New Roman" w:hAnsi="Times New Roman" w:eastAsia="Times New Roman" w:cs="Times New Roman"/>
          <w:b/>
          <w:bCs/>
          <w:color w:val="000000" w:themeColor="text1"/>
          <w:sz w:val="24"/>
          <w:szCs w:val="24"/>
          <w:lang w:eastAsia="lv-LV"/>
        </w:rPr>
        <w:t>2.1.1. specifiskā atbalsta mērķa “Uzlabot elektroniskās sakaru infrastruktūras pieejamību lauku teritorijās” pirmās projektu iesniegumu atlases kārtas īstenošanas noteikumi” sākotnējās ietekmes novērtējuma ziņojums (anotācija)</w:t>
      </w:r>
    </w:p>
    <w:p w:rsidRPr="0077651F" w:rsidR="0066695E" w:rsidP="00894C55" w:rsidRDefault="0066695E" w14:paraId="39B62399" w14:textId="77777777">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11"/>
        <w:gridCol w:w="5944"/>
      </w:tblGrid>
      <w:tr w:rsidRPr="0077651F" w:rsidR="0077651F" w:rsidTr="00E5323B" w14:paraId="22ADE3C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61AC1BA8"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77651F">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77651F" w:rsidR="0077651F" w:rsidTr="00D0018A" w14:paraId="72E7E6AB" w14:textId="77777777">
        <w:trPr>
          <w:tblCellSpacing w:w="15" w:type="dxa"/>
        </w:trPr>
        <w:tc>
          <w:tcPr>
            <w:tcW w:w="169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40945A2" w14:textId="7BC54B45">
            <w:pPr>
              <w:spacing w:after="0" w:line="240" w:lineRule="auto"/>
              <w:rPr>
                <w:rFonts w:ascii="Times New Roman" w:hAnsi="Times New Roman" w:eastAsia="Times New Roman" w:cs="Times New Roman"/>
                <w:iCs/>
                <w:color w:val="000000" w:themeColor="text1"/>
                <w:sz w:val="24"/>
                <w:szCs w:val="24"/>
                <w:lang w:val="sv-SE" w:eastAsia="lv-LV"/>
              </w:rPr>
            </w:pPr>
            <w:r w:rsidRPr="0077651F">
              <w:rPr>
                <w:rFonts w:ascii="Times New Roman" w:hAnsi="Times New Roman" w:eastAsia="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color="auto" w:sz="6" w:space="0"/>
              <w:left w:val="outset" w:color="auto" w:sz="6" w:space="0"/>
              <w:bottom w:val="outset" w:color="auto" w:sz="6" w:space="0"/>
              <w:right w:val="outset" w:color="auto" w:sz="6" w:space="0"/>
            </w:tcBorders>
            <w:hideMark/>
          </w:tcPr>
          <w:p w:rsidRPr="0066695E" w:rsidR="0066695E" w:rsidP="0066695E" w:rsidRDefault="0066695E" w14:paraId="1A87FBA8" w14:textId="246E67BF">
            <w:pPr>
              <w:spacing w:after="0" w:line="240" w:lineRule="auto"/>
              <w:jc w:val="both"/>
              <w:rPr>
                <w:rFonts w:ascii="Times New Roman" w:hAnsi="Times New Roman" w:eastAsia="Times New Roman" w:cs="Times New Roman"/>
                <w:iCs/>
                <w:sz w:val="24"/>
                <w:szCs w:val="24"/>
                <w:lang w:eastAsia="lv-LV"/>
              </w:rPr>
            </w:pPr>
            <w:r w:rsidRPr="0066695E">
              <w:rPr>
                <w:rFonts w:ascii="Times New Roman" w:hAnsi="Times New Roman" w:eastAsia="Times New Roman" w:cs="Times New Roman"/>
                <w:iCs/>
                <w:sz w:val="24"/>
                <w:szCs w:val="24"/>
                <w:lang w:eastAsia="lv-LV"/>
              </w:rPr>
              <w:t>Ministru kabineta noteikumu projekta</w:t>
            </w:r>
            <w:r w:rsidRPr="0066695E">
              <w:rPr>
                <w:rFonts w:ascii="Times New Roman" w:hAnsi="Times New Roman" w:eastAsia="Times New Roman" w:cs="Times New Roman"/>
                <w:iCs/>
                <w:sz w:val="24"/>
                <w:szCs w:val="24"/>
                <w:vertAlign w:val="superscript"/>
                <w:lang w:eastAsia="lv-LV"/>
              </w:rPr>
              <w:footnoteReference w:id="2"/>
            </w:r>
            <w:r w:rsidRPr="0066695E">
              <w:rPr>
                <w:rFonts w:ascii="Times New Roman" w:hAnsi="Times New Roman" w:eastAsia="Times New Roman" w:cs="Times New Roman"/>
                <w:iCs/>
                <w:sz w:val="24"/>
                <w:szCs w:val="24"/>
                <w:lang w:eastAsia="lv-LV"/>
              </w:rPr>
              <w:t xml:space="preserve">  (turpmāk – noteikumu projekts) mērķis ir nodrošināt  </w:t>
            </w:r>
            <w:r w:rsidRPr="0066695E" w:rsidR="000414D3">
              <w:rPr>
                <w:rFonts w:ascii="Times New Roman" w:hAnsi="Times New Roman" w:eastAsia="Times New Roman" w:cs="Times New Roman"/>
                <w:iCs/>
                <w:sz w:val="24"/>
                <w:szCs w:val="24"/>
                <w:lang w:eastAsia="lv-LV"/>
              </w:rPr>
              <w:t>finansējuma pārdali</w:t>
            </w:r>
            <w:r w:rsidR="000414D3">
              <w:rPr>
                <w:rFonts w:ascii="Times New Roman" w:hAnsi="Times New Roman" w:eastAsia="Times New Roman" w:cs="Times New Roman"/>
                <w:iCs/>
                <w:sz w:val="24"/>
                <w:szCs w:val="24"/>
                <w:lang w:eastAsia="lv-LV"/>
              </w:rPr>
              <w:t xml:space="preserve"> no</w:t>
            </w:r>
            <w:r w:rsidRPr="0066695E" w:rsidR="000414D3">
              <w:rPr>
                <w:rFonts w:ascii="Times New Roman" w:hAnsi="Times New Roman" w:eastAsia="Times New Roman" w:cs="Times New Roman"/>
                <w:iCs/>
                <w:sz w:val="24"/>
                <w:szCs w:val="24"/>
                <w:lang w:eastAsia="lv-LV"/>
              </w:rPr>
              <w:t xml:space="preserve"> </w:t>
            </w:r>
            <w:r w:rsidRPr="0066695E">
              <w:rPr>
                <w:rFonts w:ascii="Times New Roman" w:hAnsi="Times New Roman" w:eastAsia="Times New Roman" w:cs="Times New Roman"/>
                <w:iCs/>
                <w:sz w:val="24"/>
                <w:szCs w:val="24"/>
                <w:lang w:eastAsia="lv-LV"/>
              </w:rPr>
              <w:t>6.2.1.1.pasākuma “Latvijas dzelzceļa tīkla elektrifikācija” (turpmāk – 6.2.1.1.pasākums), ņemot vērā pārtraukto lielo projektu (projekts Nr.6.2.1.1/18/I/001 “Latvijas dzelzceļa tīkla elektrifikācija”), uz 2.1.1. specifiskā atbalsta mērķi “Uzlabot elektroniskās sakaru infrastruktūras pieejamību lauku teritorijās” (turpmāk –2.1.1.SAM), lai</w:t>
            </w:r>
            <w:r w:rsidRPr="0066695E">
              <w:rPr>
                <w:rFonts w:ascii="Times New Roman" w:hAnsi="Times New Roman" w:eastAsia="Times New Roman" w:cs="Times New Roman"/>
                <w:sz w:val="24"/>
                <w:szCs w:val="24"/>
                <w:lang w:eastAsia="lv-LV"/>
              </w:rPr>
              <w:t xml:space="preserve"> </w:t>
            </w:r>
            <w:r w:rsidRPr="00D26F9A" w:rsidR="000414D3">
              <w:rPr>
                <w:rFonts w:ascii="Times New Roman" w:hAnsi="Times New Roman" w:eastAsia="Times New Roman" w:cs="Times New Roman"/>
                <w:iCs/>
                <w:sz w:val="24"/>
                <w:szCs w:val="24"/>
                <w:lang w:eastAsia="lv-LV"/>
              </w:rPr>
              <w:t>izveidotu</w:t>
            </w:r>
            <w:r w:rsidRPr="00D26F9A" w:rsidR="00037C64">
              <w:rPr>
                <w:rFonts w:ascii="Times New Roman" w:hAnsi="Times New Roman" w:eastAsia="Times New Roman" w:cs="Times New Roman"/>
                <w:iCs/>
                <w:sz w:val="24"/>
                <w:szCs w:val="24"/>
                <w:lang w:eastAsia="lv-LV"/>
              </w:rPr>
              <w:t xml:space="preserve"> </w:t>
            </w:r>
            <w:r w:rsidRPr="00D26F9A">
              <w:rPr>
                <w:rFonts w:ascii="Times New Roman" w:hAnsi="Times New Roman" w:eastAsia="Times New Roman" w:cs="Times New Roman"/>
                <w:iCs/>
                <w:sz w:val="24"/>
                <w:szCs w:val="24"/>
                <w:lang w:eastAsia="lv-LV"/>
              </w:rPr>
              <w:t xml:space="preserve">papildu “vidējās jūdzes” </w:t>
            </w:r>
            <w:r w:rsidR="00701EDA">
              <w:rPr>
                <w:rFonts w:ascii="Times New Roman" w:hAnsi="Times New Roman" w:eastAsia="Times New Roman" w:cs="Times New Roman"/>
                <w:iCs/>
                <w:sz w:val="24"/>
                <w:szCs w:val="24"/>
                <w:lang w:eastAsia="lv-LV"/>
              </w:rPr>
              <w:t>tīkla infrastruktūru</w:t>
            </w:r>
            <w:r w:rsidRPr="0066695E" w:rsidR="00701EDA">
              <w:rPr>
                <w:rFonts w:ascii="Times New Roman" w:hAnsi="Times New Roman" w:eastAsia="Times New Roman" w:cs="Times New Roman"/>
                <w:iCs/>
                <w:sz w:val="24"/>
                <w:szCs w:val="24"/>
                <w:lang w:eastAsia="lv-LV"/>
              </w:rPr>
              <w:t xml:space="preserve"> </w:t>
            </w:r>
            <w:r w:rsidRPr="0066695E">
              <w:rPr>
                <w:rFonts w:ascii="Times New Roman" w:hAnsi="Times New Roman" w:eastAsia="Times New Roman" w:cs="Times New Roman"/>
                <w:iCs/>
                <w:sz w:val="24"/>
                <w:szCs w:val="24"/>
                <w:lang w:eastAsia="lv-LV"/>
              </w:rPr>
              <w:t>to izglītības iestāžu tuvumā, kurām nav pieejams kvalitatīvs platjoslas internets efektīva attālinātā mācību procesa nodrošināšanai.</w:t>
            </w:r>
          </w:p>
          <w:p w:rsidRPr="0077651F" w:rsidR="00DD3A25" w:rsidP="0066695E" w:rsidRDefault="0066695E" w14:paraId="72C10BA0" w14:textId="1535BFE7">
            <w:pPr>
              <w:spacing w:before="120" w:after="0" w:line="240" w:lineRule="auto"/>
              <w:jc w:val="both"/>
              <w:rPr>
                <w:rFonts w:ascii="Times New Roman" w:hAnsi="Times New Roman" w:eastAsia="Times New Roman" w:cs="Times New Roman"/>
                <w:iCs/>
                <w:color w:val="000000" w:themeColor="text1"/>
                <w:sz w:val="24"/>
                <w:szCs w:val="24"/>
                <w:lang w:val="sv-SE" w:eastAsia="lv-LV"/>
              </w:rPr>
            </w:pPr>
            <w:r w:rsidRPr="0066695E">
              <w:rPr>
                <w:rFonts w:ascii="Times New Roman" w:hAnsi="Times New Roman" w:eastAsia="Times New Roman" w:cs="Times New Roman"/>
                <w:iCs/>
                <w:sz w:val="24"/>
                <w:szCs w:val="24"/>
                <w:lang w:eastAsia="lv-LV"/>
              </w:rPr>
              <w:t>Noteikumu projekts stājas spēkā Oficiālo publikāciju un tiesiskās informācijas likuma noteiktajā kārtībā.</w:t>
            </w:r>
          </w:p>
        </w:tc>
      </w:tr>
    </w:tbl>
    <w:p w:rsidRPr="0077651F" w:rsidR="00E5323B" w:rsidP="00E5323B" w:rsidRDefault="00E5323B" w14:paraId="45891D8A" w14:textId="77777777">
      <w:pPr>
        <w:spacing w:after="0" w:line="240" w:lineRule="auto"/>
        <w:rPr>
          <w:rFonts w:ascii="Times New Roman" w:hAnsi="Times New Roman" w:eastAsia="Times New Roman" w:cs="Times New Roman"/>
          <w:iCs/>
          <w:color w:val="000000" w:themeColor="text1"/>
          <w:sz w:val="24"/>
          <w:szCs w:val="24"/>
          <w:lang w:val="sv-SE" w:eastAsia="lv-LV"/>
        </w:rPr>
      </w:pPr>
      <w:r w:rsidRPr="0077651F">
        <w:rPr>
          <w:rFonts w:ascii="Times New Roman" w:hAnsi="Times New Roman" w:eastAsia="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77651F" w:rsidR="0077651F" w:rsidTr="007231DD" w14:paraId="67106B6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7231DD" w:rsidRDefault="00E5323B" w14:paraId="383F14DE"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77651F">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77651F" w:rsidR="0077651F" w:rsidTr="007231DD" w14:paraId="37391E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7BF537B0"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7231DD" w:rsidRDefault="00E5323B" w14:paraId="0966630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Pamatojums</w:t>
            </w:r>
          </w:p>
        </w:tc>
        <w:tc>
          <w:tcPr>
            <w:tcW w:w="3257" w:type="pct"/>
            <w:tcBorders>
              <w:top w:val="outset" w:color="auto" w:sz="6" w:space="0"/>
              <w:left w:val="outset" w:color="auto" w:sz="6" w:space="0"/>
              <w:bottom w:val="outset" w:color="auto" w:sz="6" w:space="0"/>
              <w:right w:val="outset" w:color="auto" w:sz="6" w:space="0"/>
            </w:tcBorders>
            <w:hideMark/>
          </w:tcPr>
          <w:p w:rsidRPr="0066695E" w:rsidR="0066695E" w:rsidP="007231DD" w:rsidRDefault="0066695E" w14:paraId="60BDFB08" w14:textId="56E35F3D">
            <w:pPr>
              <w:spacing w:after="0" w:line="240" w:lineRule="auto"/>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sz w:val="24"/>
                <w:szCs w:val="24"/>
                <w:lang w:eastAsia="lv-LV"/>
              </w:rPr>
              <w:t>Noteikumu projekts sagatavots</w:t>
            </w:r>
            <w:r w:rsidR="002E1AD3">
              <w:rPr>
                <w:rFonts w:ascii="Times New Roman" w:hAnsi="Times New Roman" w:eastAsia="Times New Roman" w:cs="Times New Roman"/>
                <w:sz w:val="24"/>
                <w:szCs w:val="24"/>
                <w:lang w:eastAsia="lv-LV"/>
              </w:rPr>
              <w:t>,</w:t>
            </w:r>
            <w:r w:rsidRPr="0066695E">
              <w:rPr>
                <w:rFonts w:ascii="Times New Roman" w:hAnsi="Times New Roman" w:eastAsia="Times New Roman" w:cs="Times New Roman"/>
                <w:sz w:val="24"/>
                <w:szCs w:val="24"/>
                <w:lang w:eastAsia="lv-LV"/>
              </w:rPr>
              <w:t xml:space="preserve"> pamatojoties uz:</w:t>
            </w:r>
          </w:p>
          <w:p w:rsidRPr="0066695E" w:rsidR="0066695E" w:rsidP="007231DD" w:rsidRDefault="0066695E" w14:paraId="7354579E" w14:textId="77777777">
            <w:pPr>
              <w:spacing w:after="0" w:line="240" w:lineRule="auto"/>
              <w:jc w:val="both"/>
              <w:rPr>
                <w:rFonts w:ascii="Times New Roman" w:hAnsi="Times New Roman" w:eastAsia="Times New Roman" w:cs="Times New Roman"/>
                <w:sz w:val="24"/>
                <w:szCs w:val="24"/>
                <w:lang w:eastAsia="lv-LV"/>
              </w:rPr>
            </w:pPr>
          </w:p>
          <w:p w:rsidRPr="0066695E" w:rsidR="0066695E" w:rsidP="007231DD" w:rsidRDefault="0066695E" w14:paraId="05B22FF4" w14:textId="77777777">
            <w:pPr>
              <w:numPr>
                <w:ilvl w:val="0"/>
                <w:numId w:val="16"/>
              </w:numPr>
              <w:spacing w:after="0" w:line="240" w:lineRule="auto"/>
              <w:contextualSpacing/>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sz w:val="24"/>
                <w:szCs w:val="24"/>
                <w:lang w:eastAsia="lv-LV"/>
              </w:rPr>
              <w:t>Eiropas Savienības struktūrfondu un Kohēzijas fonda 2014.-2020.gada plānošanas perioda vadības likuma 20.panta 13.punktu.</w:t>
            </w:r>
          </w:p>
          <w:p w:rsidRPr="0066695E" w:rsidR="0066695E" w:rsidP="007231DD" w:rsidRDefault="0066695E" w14:paraId="3D0AC1EA" w14:textId="05D775EF">
            <w:pPr>
              <w:numPr>
                <w:ilvl w:val="0"/>
                <w:numId w:val="16"/>
              </w:numPr>
              <w:spacing w:after="0" w:line="240" w:lineRule="auto"/>
              <w:contextualSpacing/>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sz w:val="24"/>
                <w:szCs w:val="24"/>
                <w:lang w:eastAsia="lv-LV"/>
              </w:rPr>
              <w:t>Ministru kabineta (turpmāk – MK) 2020.gada 19.maija sēdes protokollēmuma</w:t>
            </w:r>
            <w:r w:rsidRPr="0066695E">
              <w:rPr>
                <w:rFonts w:ascii="Times New Roman" w:hAnsi="Times New Roman" w:eastAsia="Times New Roman" w:cs="Times New Roman"/>
                <w:sz w:val="24"/>
                <w:szCs w:val="24"/>
                <w:vertAlign w:val="superscript"/>
                <w:lang w:eastAsia="lv-LV"/>
              </w:rPr>
              <w:footnoteReference w:id="3"/>
            </w:r>
            <w:r w:rsidRPr="0066695E">
              <w:rPr>
                <w:rFonts w:ascii="Times New Roman" w:hAnsi="Times New Roman" w:eastAsia="Times New Roman" w:cs="Times New Roman"/>
                <w:sz w:val="24"/>
                <w:szCs w:val="24"/>
                <w:lang w:eastAsia="lv-LV"/>
              </w:rPr>
              <w:t xml:space="preserve">  2. un 4.punktu.</w:t>
            </w:r>
          </w:p>
          <w:p w:rsidRPr="0077651F" w:rsidR="00515A8F" w:rsidP="007231DD" w:rsidRDefault="00515A8F" w14:paraId="37F1182C" w14:textId="7C5A8BD4">
            <w:pPr>
              <w:spacing w:after="0" w:line="240" w:lineRule="auto"/>
              <w:contextualSpacing/>
              <w:jc w:val="both"/>
              <w:rPr>
                <w:rFonts w:ascii="Times New Roman" w:hAnsi="Times New Roman" w:eastAsia="Times New Roman" w:cs="Times New Roman"/>
                <w:iCs/>
                <w:color w:val="000000" w:themeColor="text1"/>
                <w:sz w:val="24"/>
                <w:szCs w:val="24"/>
                <w:lang w:eastAsia="lv-LV"/>
              </w:rPr>
            </w:pPr>
          </w:p>
        </w:tc>
      </w:tr>
      <w:tr w:rsidRPr="0077651F" w:rsidR="0077651F" w:rsidTr="007231DD" w14:paraId="4615FEF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255A089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7231DD" w:rsidRDefault="00E5323B" w14:paraId="0A0888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57" w:type="pct"/>
            <w:tcBorders>
              <w:top w:val="outset" w:color="auto" w:sz="6" w:space="0"/>
              <w:left w:val="outset" w:color="auto" w:sz="6" w:space="0"/>
              <w:bottom w:val="outset" w:color="auto" w:sz="6" w:space="0"/>
              <w:right w:val="outset" w:color="auto" w:sz="6" w:space="0"/>
            </w:tcBorders>
          </w:tcPr>
          <w:p w:rsidR="0066695E" w:rsidP="00B17A7A" w:rsidRDefault="0066695E" w14:paraId="310B2E70" w14:textId="61D7D430">
            <w:pPr>
              <w:spacing w:after="120" w:line="240" w:lineRule="auto"/>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sz w:val="24"/>
                <w:szCs w:val="24"/>
                <w:lang w:eastAsia="lv-LV"/>
              </w:rPr>
              <w:t xml:space="preserve">MK 2020.gada 19.maija sēdē tika izskatīts Finanšu ministrijas (turpmāk – FM) informatīvais ziņojums "Par Eiropas Savienības struktūrfondu un Kohēzijas fonda finansējuma pārdalēm un risinājumiem COVID-19 seku mazināšanai" (turpmāk – informatīvais ziņojums), kas paredz Eiropas Savienības struktūrfondu un Kohēzijas fonda (turpmāk kopā saukti – ES fondi) finansējuma pārstrukturizāciju un pārdali, tādējādi mazinot COVID-19 krīzes radīto negatīvo ietekmi uz tautsaimniecību un veicinot ekonomikas atveseļošanos. </w:t>
            </w:r>
          </w:p>
          <w:p w:rsidR="000454AC" w:rsidP="00B17A7A" w:rsidRDefault="000454AC" w14:paraId="467E2433" w14:textId="6BC97BC0">
            <w:pPr>
              <w:spacing w:after="120" w:line="240" w:lineRule="auto"/>
              <w:jc w:val="both"/>
              <w:rPr>
                <w:rFonts w:ascii="Times New Roman" w:hAnsi="Times New Roman" w:eastAsia="Times New Roman" w:cs="Times New Roman"/>
                <w:sz w:val="24"/>
                <w:szCs w:val="24"/>
                <w:lang w:eastAsia="lv-LV"/>
              </w:rPr>
            </w:pPr>
            <w:r w:rsidRPr="000454AC">
              <w:rPr>
                <w:rFonts w:ascii="Times New Roman" w:hAnsi="Times New Roman" w:eastAsia="Times New Roman" w:cs="Times New Roman"/>
                <w:sz w:val="24"/>
                <w:szCs w:val="24"/>
                <w:lang w:eastAsia="lv-LV"/>
              </w:rPr>
              <w:lastRenderedPageBreak/>
              <w:t>Šobrīd ar ES fondu atbalstu 2.1.1.SAM ietvaros valsts akciju sabiedrība „Latvijas Valsts radio un televīzijas centrs” (turpmāk – LVRTC) īsteno projektu “Elektroniskās sakaru infrastruktūras pieejamības uzlabošana lauku teritorijās” (turpmāk - Projekts) atbilstoši valsts atbalsta programmai Nr.SA.33324 “Nākamās paaudzes tīkli lauku teritorijās”  (turpmāk – valsts atbalsta programma), kas paredz izbūvēt “vidējās jūdzes” optiskā tīkla infrastruktūru Latvijas lauku teritorijās, kurās neviens elektronisko sakaru komersants nesniedz un tuvāko trīs gadu laikā neplāno sniegt interneta piekļuves pakalpojumus ar uzlabotiem datu pārraides parametriem</w:t>
            </w:r>
            <w:r w:rsidR="002E1AD3">
              <w:rPr>
                <w:rFonts w:ascii="Times New Roman" w:hAnsi="Times New Roman" w:eastAsia="Times New Roman" w:cs="Times New Roman"/>
                <w:sz w:val="24"/>
                <w:szCs w:val="24"/>
                <w:lang w:eastAsia="lv-LV"/>
              </w:rPr>
              <w:t>,</w:t>
            </w:r>
            <w:r w:rsidRPr="000454AC">
              <w:rPr>
                <w:rFonts w:ascii="Times New Roman" w:hAnsi="Times New Roman" w:eastAsia="Times New Roman" w:cs="Times New Roman"/>
                <w:sz w:val="24"/>
                <w:szCs w:val="24"/>
                <w:lang w:eastAsia="lv-LV"/>
              </w:rPr>
              <w:t xml:space="preserve"> nodrošinot datu pārraides ātrumu vismaz 30 Mbit/s (turpmāk - “baltās” teritorijas).</w:t>
            </w:r>
          </w:p>
          <w:p w:rsidR="006E4BF4" w:rsidP="00B17A7A" w:rsidRDefault="006E4BF4" w14:paraId="2FF4114D" w14:textId="66F767A4">
            <w:pPr>
              <w:spacing w:after="120" w:line="240" w:lineRule="auto"/>
              <w:jc w:val="both"/>
              <w:rPr>
                <w:rFonts w:ascii="Times New Roman" w:hAnsi="Times New Roman" w:eastAsia="Times New Roman" w:cs="Times New Roman"/>
                <w:sz w:val="24"/>
                <w:szCs w:val="24"/>
                <w:lang w:eastAsia="lv-LV"/>
              </w:rPr>
            </w:pPr>
            <w:r w:rsidRPr="006E4BF4">
              <w:rPr>
                <w:rFonts w:ascii="Times New Roman" w:hAnsi="Times New Roman" w:eastAsia="Times New Roman" w:cs="Times New Roman"/>
                <w:sz w:val="24"/>
                <w:szCs w:val="24"/>
                <w:lang w:eastAsia="lv-LV"/>
              </w:rPr>
              <w:t>Ievērojot informatīvajā ziņojumā minēto, SM un LVRTC sadarbībā ar IzM ir izstrādājusi priekšlikumu par ES fondu finansējuma piesaisti 2.1.1. SAM īstenojamam Projektam, lai nodrošinātu papildu “vidējās jūdzes” optiskā tīkla infrastruktūras izveidošanu izglītības iestāžu tuvumā, kurām nav pieejams kvalitatīvs platjoslas internets efektīva attālinātā mācību procesa nodrošināšanai. 2.1.1.SAM pieejamais Eiropas Reģionālās attīstības fonda  (turpmāk – ERAF) finansējums tiek palielināts par 2 550 000 euro, veicot finansējuma pārdali no 6.2.1.1. pasākumā “Latvijas dzelzceļa tīkla elektrifikācija” pārtrauktā lielā projekta “Latvijas dzelzceļa tīkla elektrifikācija” finansējuma.</w:t>
            </w:r>
          </w:p>
          <w:p w:rsidR="0066695E" w:rsidP="00B17A7A" w:rsidRDefault="0066695E" w14:paraId="019768B5" w14:textId="62DB027C">
            <w:pPr>
              <w:spacing w:after="120" w:line="240" w:lineRule="auto"/>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sz w:val="24"/>
                <w:szCs w:val="24"/>
                <w:lang w:eastAsia="lv-LV"/>
              </w:rPr>
              <w:t xml:space="preserve">Noteikumu projekts sagatavots, lai nodrošinātu MK 2020.gada 19.maija sēdes protokollēmuma  4.punkta nosacījumu izpildi, kas noteic </w:t>
            </w:r>
            <w:r w:rsidRPr="003F2B48" w:rsidR="003F2B48">
              <w:rPr>
                <w:rFonts w:ascii="Times New Roman" w:hAnsi="Times New Roman" w:eastAsia="Times New Roman" w:cs="Times New Roman"/>
                <w:sz w:val="24"/>
                <w:szCs w:val="24"/>
                <w:lang w:eastAsia="lv-LV"/>
              </w:rPr>
              <w:t>iesniegt izskatīšanai M</w:t>
            </w:r>
            <w:r w:rsidR="003F2B48">
              <w:rPr>
                <w:rFonts w:ascii="Times New Roman" w:hAnsi="Times New Roman" w:eastAsia="Times New Roman" w:cs="Times New Roman"/>
                <w:sz w:val="24"/>
                <w:szCs w:val="24"/>
                <w:lang w:eastAsia="lv-LV"/>
              </w:rPr>
              <w:t xml:space="preserve">K </w:t>
            </w:r>
            <w:r w:rsidRPr="003F2B48" w:rsidR="003F2B48">
              <w:rPr>
                <w:rFonts w:ascii="Times New Roman" w:hAnsi="Times New Roman" w:eastAsia="Times New Roman" w:cs="Times New Roman"/>
                <w:sz w:val="24"/>
                <w:szCs w:val="24"/>
                <w:lang w:eastAsia="lv-LV"/>
              </w:rPr>
              <w:t xml:space="preserve">attiecīgus </w:t>
            </w:r>
            <w:r w:rsidR="003F2B48">
              <w:rPr>
                <w:rFonts w:ascii="Times New Roman" w:hAnsi="Times New Roman" w:eastAsia="Times New Roman" w:cs="Times New Roman"/>
                <w:sz w:val="24"/>
                <w:szCs w:val="24"/>
                <w:lang w:eastAsia="lv-LV"/>
              </w:rPr>
              <w:t xml:space="preserve">MK </w:t>
            </w:r>
            <w:r w:rsidRPr="003F2B48" w:rsidR="003F2B48">
              <w:rPr>
                <w:rFonts w:ascii="Times New Roman" w:hAnsi="Times New Roman" w:eastAsia="Times New Roman" w:cs="Times New Roman"/>
                <w:sz w:val="24"/>
                <w:szCs w:val="24"/>
                <w:lang w:eastAsia="lv-LV"/>
              </w:rPr>
              <w:t>noteikumus par specifisko atbalsta mērķu vai pasākumu īstenošanu</w:t>
            </w:r>
            <w:r w:rsidR="003F2B48">
              <w:rPr>
                <w:rFonts w:ascii="Times New Roman" w:hAnsi="Times New Roman" w:eastAsia="Times New Roman" w:cs="Times New Roman"/>
                <w:sz w:val="24"/>
                <w:szCs w:val="24"/>
                <w:lang w:eastAsia="lv-LV"/>
              </w:rPr>
              <w:t xml:space="preserve"> </w:t>
            </w:r>
            <w:r w:rsidRPr="0066695E">
              <w:rPr>
                <w:rFonts w:ascii="Times New Roman" w:hAnsi="Times New Roman" w:eastAsia="Times New Roman" w:cs="Times New Roman"/>
                <w:sz w:val="24"/>
                <w:szCs w:val="24"/>
                <w:lang w:eastAsia="lv-LV"/>
              </w:rPr>
              <w:t>atbilstoši FM informatīvā ziņojuma pielikumā noteiktajam ES fondu finansējuma pārdales risinājumam.</w:t>
            </w:r>
          </w:p>
          <w:p w:rsidRPr="00946F20" w:rsidR="000223A8" w:rsidP="00B17A7A" w:rsidRDefault="000223A8" w14:paraId="4718B37E" w14:textId="47E5080C">
            <w:pPr>
              <w:spacing w:after="120" w:line="240" w:lineRule="auto"/>
              <w:jc w:val="both"/>
              <w:rPr>
                <w:rFonts w:ascii="Times New Roman" w:hAnsi="Times New Roman" w:eastAsia="Times New Roman" w:cs="Times New Roman"/>
                <w:sz w:val="24"/>
                <w:szCs w:val="24"/>
                <w:lang w:eastAsia="lv-LV"/>
              </w:rPr>
            </w:pPr>
            <w:r w:rsidRPr="00946F20">
              <w:rPr>
                <w:rFonts w:ascii="Times New Roman" w:hAnsi="Times New Roman" w:eastAsia="Times New Roman" w:cs="Times New Roman"/>
                <w:sz w:val="24"/>
                <w:szCs w:val="24"/>
                <w:lang w:eastAsia="lv-LV"/>
              </w:rPr>
              <w:t>Lai ierobežotu COVID-19 vīrusa izplatību Latvijā, Ministru kabinets 2020. gada 12. martā izsludināja ārkārtējo situāciju  ar sākotnējo termiņu līdz 2020. gada 14. aprīlim, kas vēlāk tika pagarināts līdz 2020. gada 9. jūnijam.</w:t>
            </w:r>
            <w:r w:rsidR="00486AC7">
              <w:rPr>
                <w:rFonts w:ascii="Times New Roman" w:hAnsi="Times New Roman" w:eastAsia="Times New Roman" w:cs="Times New Roman"/>
                <w:sz w:val="24"/>
                <w:szCs w:val="24"/>
                <w:lang w:eastAsia="lv-LV"/>
              </w:rPr>
              <w:t xml:space="preserve"> </w:t>
            </w:r>
          </w:p>
          <w:p w:rsidRPr="00946F20" w:rsidR="0066695E" w:rsidP="00B17A7A" w:rsidRDefault="000223A8" w14:paraId="2898892C" w14:textId="19AABE6B">
            <w:pPr>
              <w:spacing w:after="120" w:line="240" w:lineRule="auto"/>
              <w:jc w:val="both"/>
              <w:rPr>
                <w:rFonts w:ascii="Times New Roman" w:hAnsi="Times New Roman" w:eastAsia="Times New Roman" w:cs="Times New Roman"/>
                <w:sz w:val="24"/>
                <w:szCs w:val="24"/>
                <w:lang w:eastAsia="lv-LV"/>
              </w:rPr>
            </w:pPr>
            <w:r w:rsidRPr="00946F20">
              <w:rPr>
                <w:rFonts w:ascii="Times New Roman" w:hAnsi="Times New Roman" w:eastAsia="Times New Roman" w:cs="Times New Roman"/>
                <w:sz w:val="24"/>
                <w:szCs w:val="24"/>
                <w:lang w:eastAsia="lv-LV"/>
              </w:rPr>
              <w:t>Latvijā ieviestie drošības pasākumi un ierobežojumi sakarā ar ārkārtējo situāciju ietekmēja arī izglītības procesa organizāciju skolās.</w:t>
            </w:r>
          </w:p>
          <w:p w:rsidRPr="00946F20" w:rsidR="0066695E" w:rsidP="00B17A7A" w:rsidRDefault="000223A8" w14:paraId="7ED33745" w14:textId="339BB7C4">
            <w:pPr>
              <w:spacing w:after="120" w:line="240" w:lineRule="auto"/>
              <w:jc w:val="both"/>
              <w:rPr>
                <w:rFonts w:ascii="Times New Roman" w:hAnsi="Times New Roman" w:eastAsia="Calibri" w:cs="Times New Roman"/>
                <w:sz w:val="24"/>
                <w:szCs w:val="24"/>
              </w:rPr>
            </w:pPr>
            <w:r w:rsidRPr="00946F20">
              <w:rPr>
                <w:rFonts w:ascii="Times New Roman" w:hAnsi="Times New Roman" w:eastAsia="Calibri" w:cs="Times New Roman"/>
                <w:sz w:val="24"/>
                <w:szCs w:val="24"/>
              </w:rPr>
              <w:t xml:space="preserve">Turpinoties </w:t>
            </w:r>
            <w:r w:rsidRPr="00946F20" w:rsidR="0066695E">
              <w:rPr>
                <w:rFonts w:ascii="Times New Roman" w:hAnsi="Times New Roman" w:eastAsia="Calibri" w:cs="Times New Roman"/>
                <w:sz w:val="24"/>
                <w:szCs w:val="24"/>
              </w:rPr>
              <w:t xml:space="preserve">COVID-19 vīrusa </w:t>
            </w:r>
            <w:r w:rsidRPr="00946F20">
              <w:rPr>
                <w:rFonts w:ascii="Times New Roman" w:hAnsi="Times New Roman" w:eastAsia="Calibri" w:cs="Times New Roman"/>
                <w:sz w:val="24"/>
                <w:szCs w:val="24"/>
              </w:rPr>
              <w:t xml:space="preserve">pandēmijai, </w:t>
            </w:r>
            <w:r w:rsidRPr="00946F20" w:rsidR="0088354E">
              <w:rPr>
                <w:rFonts w:ascii="Times New Roman" w:hAnsi="Times New Roman" w:eastAsia="Calibri" w:cs="Times New Roman"/>
                <w:sz w:val="24"/>
                <w:szCs w:val="24"/>
              </w:rPr>
              <w:t xml:space="preserve">MK </w:t>
            </w:r>
            <w:r w:rsidRPr="00946F20" w:rsidR="0066695E">
              <w:rPr>
                <w:rFonts w:ascii="Times New Roman" w:hAnsi="Times New Roman" w:eastAsia="Calibri" w:cs="Times New Roman"/>
                <w:sz w:val="24"/>
                <w:szCs w:val="24"/>
              </w:rPr>
              <w:t xml:space="preserve">2020. gada </w:t>
            </w:r>
            <w:r w:rsidRPr="00946F20" w:rsidR="00522CA7">
              <w:rPr>
                <w:rFonts w:ascii="Times New Roman" w:hAnsi="Times New Roman" w:eastAsia="Calibri" w:cs="Times New Roman"/>
                <w:sz w:val="24"/>
                <w:szCs w:val="24"/>
              </w:rPr>
              <w:t xml:space="preserve">6.novembrī </w:t>
            </w:r>
            <w:r w:rsidRPr="00946F20" w:rsidR="0066695E">
              <w:rPr>
                <w:rFonts w:ascii="Times New Roman" w:hAnsi="Times New Roman" w:eastAsia="Calibri" w:cs="Times New Roman"/>
                <w:sz w:val="24"/>
                <w:szCs w:val="24"/>
              </w:rPr>
              <w:t xml:space="preserve"> izsludināja ārkārtējo situāciju ar sākotnējo termiņu līdz 2020. gada </w:t>
            </w:r>
            <w:r w:rsidRPr="00946F20" w:rsidR="00522CA7">
              <w:rPr>
                <w:rFonts w:ascii="Times New Roman" w:hAnsi="Times New Roman" w:eastAsia="Calibri" w:cs="Times New Roman"/>
                <w:sz w:val="24"/>
                <w:szCs w:val="24"/>
              </w:rPr>
              <w:t>6</w:t>
            </w:r>
            <w:r w:rsidRPr="00946F20" w:rsidR="0066695E">
              <w:rPr>
                <w:rFonts w:ascii="Times New Roman" w:hAnsi="Times New Roman" w:eastAsia="Calibri" w:cs="Times New Roman"/>
                <w:sz w:val="24"/>
                <w:szCs w:val="24"/>
              </w:rPr>
              <w:t xml:space="preserve">. </w:t>
            </w:r>
            <w:r w:rsidRPr="00946F20" w:rsidR="00522CA7">
              <w:rPr>
                <w:rFonts w:ascii="Times New Roman" w:hAnsi="Times New Roman" w:eastAsia="Calibri" w:cs="Times New Roman"/>
                <w:sz w:val="24"/>
                <w:szCs w:val="24"/>
              </w:rPr>
              <w:t>decembrim</w:t>
            </w:r>
            <w:r w:rsidRPr="00946F20" w:rsidR="0066695E">
              <w:rPr>
                <w:rFonts w:ascii="Times New Roman" w:hAnsi="Times New Roman" w:eastAsia="Calibri" w:cs="Times New Roman"/>
                <w:sz w:val="24"/>
                <w:szCs w:val="24"/>
              </w:rPr>
              <w:t>.</w:t>
            </w:r>
          </w:p>
          <w:p w:rsidR="0066695E" w:rsidP="00B17A7A" w:rsidRDefault="0066695E" w14:paraId="1A0EF518" w14:textId="5A6D8DDB">
            <w:pPr>
              <w:spacing w:after="120" w:line="240" w:lineRule="auto"/>
              <w:jc w:val="both"/>
              <w:rPr>
                <w:rFonts w:ascii="Times New Roman" w:hAnsi="Times New Roman" w:eastAsia="Calibri" w:cs="Times New Roman"/>
                <w:sz w:val="24"/>
                <w:szCs w:val="24"/>
              </w:rPr>
            </w:pPr>
            <w:r w:rsidRPr="00946F20">
              <w:rPr>
                <w:rFonts w:ascii="Times New Roman" w:hAnsi="Times New Roman" w:eastAsia="Calibri" w:cs="Times New Roman"/>
                <w:sz w:val="24"/>
                <w:szCs w:val="24"/>
              </w:rPr>
              <w:t>Lai nodrošinātu izglītības pasākumus tiešsaistē, izglītības iestādē</w:t>
            </w:r>
            <w:r w:rsidR="00486AC7">
              <w:rPr>
                <w:rFonts w:ascii="Times New Roman" w:hAnsi="Times New Roman" w:eastAsia="Calibri" w:cs="Times New Roman"/>
                <w:sz w:val="24"/>
                <w:szCs w:val="24"/>
              </w:rPr>
              <w:t>s</w:t>
            </w:r>
            <w:r w:rsidRPr="00946F20">
              <w:rPr>
                <w:rFonts w:ascii="Times New Roman" w:hAnsi="Times New Roman" w:eastAsia="Calibri" w:cs="Times New Roman"/>
                <w:sz w:val="24"/>
                <w:szCs w:val="24"/>
              </w:rPr>
              <w:t xml:space="preserve"> ir jābūt pieejamam pietiekami ātram un stabilam internetam. </w:t>
            </w:r>
          </w:p>
          <w:p w:rsidR="00DF519C" w:rsidP="00B17A7A" w:rsidRDefault="0066695E" w14:paraId="165CC797" w14:textId="6BF4F8F2">
            <w:pPr>
              <w:spacing w:after="120" w:line="240" w:lineRule="auto"/>
              <w:jc w:val="both"/>
              <w:rPr>
                <w:rFonts w:ascii="Times New Roman" w:hAnsi="Times New Roman" w:eastAsia="Calibri" w:cs="Times New Roman"/>
                <w:sz w:val="24"/>
                <w:szCs w:val="24"/>
              </w:rPr>
            </w:pPr>
            <w:r w:rsidRPr="0066695E">
              <w:rPr>
                <w:rFonts w:ascii="Times New Roman" w:hAnsi="Times New Roman" w:eastAsia="Calibri" w:cs="Times New Roman"/>
                <w:sz w:val="24"/>
                <w:szCs w:val="24"/>
              </w:rPr>
              <w:t xml:space="preserve">Atbilstoši  Latvijas Pašvaldību savienības veiktās aptaujas rezultātiem aptuveni 70 izglītības iestāžu apkārtnē atrodas  LVRTC valsts atbalsta </w:t>
            </w:r>
            <w:r w:rsidRPr="0066695E" w:rsidR="00406E0A">
              <w:rPr>
                <w:rFonts w:ascii="Times New Roman" w:hAnsi="Times New Roman" w:eastAsia="Calibri" w:cs="Times New Roman"/>
                <w:sz w:val="24"/>
                <w:szCs w:val="24"/>
              </w:rPr>
              <w:t>programm</w:t>
            </w:r>
            <w:r w:rsidR="00406E0A">
              <w:rPr>
                <w:rFonts w:ascii="Times New Roman" w:hAnsi="Times New Roman" w:eastAsia="Calibri" w:cs="Times New Roman"/>
                <w:sz w:val="24"/>
                <w:szCs w:val="24"/>
              </w:rPr>
              <w:t>ā</w:t>
            </w:r>
            <w:r w:rsidRPr="0066695E" w:rsidR="00406E0A">
              <w:rPr>
                <w:rFonts w:ascii="Times New Roman" w:hAnsi="Times New Roman" w:eastAsia="Calibri" w:cs="Times New Roman"/>
                <w:sz w:val="24"/>
                <w:szCs w:val="24"/>
              </w:rPr>
              <w:t xml:space="preserve"> </w:t>
            </w:r>
            <w:r w:rsidRPr="0066695E">
              <w:rPr>
                <w:rFonts w:ascii="Times New Roman" w:hAnsi="Times New Roman" w:eastAsia="Calibri" w:cs="Times New Roman"/>
                <w:sz w:val="24"/>
                <w:szCs w:val="24"/>
              </w:rPr>
              <w:t xml:space="preserve">izveidotā optiskā tīkla  </w:t>
            </w:r>
            <w:r w:rsidRPr="0066695E">
              <w:rPr>
                <w:rFonts w:ascii="Times New Roman" w:hAnsi="Times New Roman" w:eastAsia="Calibri" w:cs="Times New Roman"/>
                <w:sz w:val="24"/>
                <w:szCs w:val="24"/>
              </w:rPr>
              <w:lastRenderedPageBreak/>
              <w:t>infrastruktūra. Veicot minētās infrastruktūras analīzi, Satiksmes ministrija (turpmāk – SM) un LVRTC sadarbīb</w:t>
            </w:r>
            <w:r w:rsidR="00F85D85">
              <w:rPr>
                <w:rFonts w:ascii="Times New Roman" w:hAnsi="Times New Roman" w:eastAsia="Calibri" w:cs="Times New Roman"/>
                <w:sz w:val="24"/>
                <w:szCs w:val="24"/>
              </w:rPr>
              <w:t>ā</w:t>
            </w:r>
            <w:r w:rsidRPr="0066695E">
              <w:rPr>
                <w:rFonts w:ascii="Times New Roman" w:hAnsi="Times New Roman" w:eastAsia="Calibri" w:cs="Times New Roman"/>
                <w:sz w:val="24"/>
                <w:szCs w:val="24"/>
              </w:rPr>
              <w:t xml:space="preserve"> ar Izglītības un zinātnes ministriju (turpmāk – IzM) secināja, ka, ievērojot valsts atbalsta programmas nosacījumus, īstenošanā esošā </w:t>
            </w:r>
            <w:r w:rsidRPr="0066695E" w:rsidR="000414D3">
              <w:rPr>
                <w:rFonts w:ascii="Times New Roman" w:hAnsi="Times New Roman" w:eastAsia="Calibri" w:cs="Times New Roman"/>
                <w:sz w:val="24"/>
                <w:szCs w:val="24"/>
              </w:rPr>
              <w:t>Projekt</w:t>
            </w:r>
            <w:r w:rsidR="000414D3">
              <w:rPr>
                <w:rFonts w:ascii="Times New Roman" w:hAnsi="Times New Roman" w:eastAsia="Calibri" w:cs="Times New Roman"/>
                <w:sz w:val="24"/>
                <w:szCs w:val="24"/>
              </w:rPr>
              <w:t>ā</w:t>
            </w:r>
            <w:r w:rsidRPr="0066695E" w:rsidR="000414D3">
              <w:rPr>
                <w:rFonts w:ascii="Times New Roman" w:hAnsi="Times New Roman" w:eastAsia="Calibri" w:cs="Times New Roman"/>
                <w:sz w:val="24"/>
                <w:szCs w:val="24"/>
              </w:rPr>
              <w:t xml:space="preserve"> </w:t>
            </w:r>
            <w:r w:rsidRPr="0066695E">
              <w:rPr>
                <w:rFonts w:ascii="Times New Roman" w:hAnsi="Times New Roman" w:eastAsia="Calibri" w:cs="Times New Roman"/>
                <w:sz w:val="24"/>
                <w:szCs w:val="24"/>
              </w:rPr>
              <w:t>līdz 2023.gada 31.decembrim ir iespējams izbūvēt optiskā tīkla  infrastruktūru (“vidējo” jūdzi) un izveidot piekļuves punktus izglītības iestādēs</w:t>
            </w:r>
            <w:r w:rsidR="006A5B5A">
              <w:rPr>
                <w:rFonts w:ascii="Times New Roman" w:hAnsi="Times New Roman" w:eastAsia="Calibri" w:cs="Times New Roman"/>
                <w:sz w:val="24"/>
                <w:szCs w:val="24"/>
              </w:rPr>
              <w:t xml:space="preserve"> vai to </w:t>
            </w:r>
            <w:r w:rsidR="00EE4121">
              <w:rPr>
                <w:rFonts w:ascii="Times New Roman" w:hAnsi="Times New Roman" w:eastAsia="Calibri" w:cs="Times New Roman"/>
                <w:sz w:val="24"/>
                <w:szCs w:val="24"/>
              </w:rPr>
              <w:t>pieguļošajā</w:t>
            </w:r>
            <w:r w:rsidR="006A5B5A">
              <w:rPr>
                <w:rFonts w:ascii="Times New Roman" w:hAnsi="Times New Roman" w:eastAsia="Calibri" w:cs="Times New Roman"/>
                <w:sz w:val="24"/>
                <w:szCs w:val="24"/>
              </w:rPr>
              <w:t xml:space="preserve"> teritorijā</w:t>
            </w:r>
            <w:r w:rsidRPr="0066695E">
              <w:rPr>
                <w:rFonts w:ascii="Times New Roman" w:hAnsi="Times New Roman" w:eastAsia="Calibri" w:cs="Times New Roman"/>
                <w:sz w:val="24"/>
                <w:szCs w:val="24"/>
              </w:rPr>
              <w:t xml:space="preserve">. </w:t>
            </w:r>
            <w:r w:rsidR="00DF519C">
              <w:rPr>
                <w:rFonts w:ascii="Times New Roman" w:hAnsi="Times New Roman" w:eastAsia="Calibri" w:cs="Times New Roman"/>
                <w:sz w:val="24"/>
                <w:szCs w:val="24"/>
              </w:rPr>
              <w:t>Vienlaikus jāatzīmē, ka v</w:t>
            </w:r>
            <w:r w:rsidRPr="00DF519C" w:rsidR="00DF519C">
              <w:rPr>
                <w:rFonts w:ascii="Times New Roman" w:hAnsi="Times New Roman" w:eastAsia="Calibri" w:cs="Times New Roman"/>
                <w:sz w:val="24"/>
                <w:szCs w:val="24"/>
              </w:rPr>
              <w:t>alsts atbalsta programma Nr.SA.33324 (2011/N) “Nākamās paaudzes tīkli lauku teritorijās”  nosaka valsts atbalsta piešķiršana termiņu līdz 2020.gada 31.decembrim. Ja valsts atbalsts  interneta pieejas punktiem izglītības iestādēs netiks piešķirts līdz noteiktajam termiņam,  pastāv risks šo finansējumu zaudēt.</w:t>
            </w:r>
          </w:p>
          <w:p w:rsidR="008601F7" w:rsidP="00B17A7A" w:rsidRDefault="008601F7" w14:paraId="3B5395F5" w14:textId="1A43935F">
            <w:pPr>
              <w:spacing w:after="120" w:line="240" w:lineRule="auto"/>
              <w:jc w:val="both"/>
              <w:rPr>
                <w:rFonts w:ascii="Times New Roman" w:hAnsi="Times New Roman" w:eastAsia="Calibri" w:cs="Times New Roman"/>
                <w:sz w:val="24"/>
                <w:szCs w:val="24"/>
              </w:rPr>
            </w:pPr>
            <w:r w:rsidRPr="008601F7">
              <w:rPr>
                <w:rFonts w:ascii="Times New Roman" w:hAnsi="Times New Roman" w:eastAsia="Calibri" w:cs="Times New Roman"/>
                <w:sz w:val="24"/>
                <w:szCs w:val="24"/>
              </w:rPr>
              <w:t>Atbilstoši Satiksmes ministrijas 2020.gada 31.augusta vēstulē Nr.12-13/3457 „Par grozījumiem 2.1.1.specifiskā atbalsta mērķa „Uzlabot elektroniskās sakaru infrastruktūras pieejamību lauku teritorijās” īstenošanas noteikumos” noteiktajam</w:t>
            </w:r>
            <w:r w:rsidR="00486AC7">
              <w:rPr>
                <w:rFonts w:ascii="Times New Roman" w:hAnsi="Times New Roman" w:eastAsia="Calibri" w:cs="Times New Roman"/>
                <w:sz w:val="24"/>
                <w:szCs w:val="24"/>
              </w:rPr>
              <w:t>,</w:t>
            </w:r>
            <w:r w:rsidRPr="008601F7">
              <w:rPr>
                <w:rFonts w:ascii="Times New Roman" w:hAnsi="Times New Roman" w:eastAsia="Calibri" w:cs="Times New Roman"/>
                <w:sz w:val="24"/>
                <w:szCs w:val="24"/>
              </w:rPr>
              <w:t xml:space="preserve"> IzM ir apzinājusi 47</w:t>
            </w:r>
            <w:r w:rsidR="00297AC3">
              <w:rPr>
                <w:rStyle w:val="FootnoteReference"/>
                <w:rFonts w:ascii="Times New Roman" w:hAnsi="Times New Roman" w:eastAsia="Calibri" w:cs="Times New Roman"/>
                <w:sz w:val="24"/>
                <w:szCs w:val="24"/>
              </w:rPr>
              <w:footnoteReference w:id="4"/>
            </w:r>
            <w:r w:rsidRPr="008601F7">
              <w:rPr>
                <w:rFonts w:ascii="Times New Roman" w:hAnsi="Times New Roman" w:eastAsia="Calibri" w:cs="Times New Roman"/>
                <w:sz w:val="24"/>
                <w:szCs w:val="24"/>
              </w:rPr>
              <w:t xml:space="preserve"> vispārējās izglītības iestādes</w:t>
            </w:r>
            <w:r w:rsidR="00431137">
              <w:rPr>
                <w:rFonts w:ascii="Times New Roman" w:hAnsi="Times New Roman" w:eastAsia="Calibri" w:cs="Times New Roman"/>
                <w:sz w:val="24"/>
                <w:szCs w:val="24"/>
              </w:rPr>
              <w:t>, kas atrodas baltajās teritorijās,</w:t>
            </w:r>
            <w:r w:rsidRPr="008601F7">
              <w:rPr>
                <w:rFonts w:ascii="Times New Roman" w:hAnsi="Times New Roman" w:eastAsia="Calibri" w:cs="Times New Roman"/>
                <w:sz w:val="24"/>
                <w:szCs w:val="24"/>
              </w:rPr>
              <w:t xml:space="preserve"> un veikusi to dibinātāju (pašvaldību) aptauju par esošā interneta pieslēguma jaudām un tā atbilstību mācību procesa nodrošināšanai, tostarp attālināta un tiešsaistes mācību procesa nodrošināšanai (vai interneta pieslēguma jauda spēj nodrošināt vairāku klašu vienlaicīgu tiešsaistes video straumēšanas rīku izmantošanu), kā arī lūgusi pašvaldības vērtējumu par „vidējās jūdzes” pieslēguma izveides nepieciešamību un pašvaldības apņemšanos „pēdējās jūdzes” pieslēguma izveidei.</w:t>
            </w:r>
          </w:p>
          <w:p w:rsidR="0051182D" w:rsidP="00B17A7A" w:rsidRDefault="0051182D" w14:paraId="71F886EF" w14:textId="50C5B88A">
            <w:pPr>
              <w:spacing w:after="120" w:line="240" w:lineRule="auto"/>
              <w:jc w:val="both"/>
              <w:rPr>
                <w:rFonts w:ascii="Times New Roman" w:hAnsi="Times New Roman" w:eastAsia="Calibri" w:cs="Times New Roman"/>
                <w:sz w:val="24"/>
                <w:szCs w:val="24"/>
              </w:rPr>
            </w:pPr>
            <w:r w:rsidRPr="0051182D">
              <w:rPr>
                <w:rFonts w:ascii="Times New Roman" w:hAnsi="Times New Roman" w:eastAsia="Calibri" w:cs="Times New Roman"/>
                <w:sz w:val="24"/>
                <w:szCs w:val="24"/>
              </w:rPr>
              <w:t>Lai apzinātu iespējas „pēdējās jūdzes” pieslēguma izveidei, atsevišķos gadījumos</w:t>
            </w:r>
            <w:r w:rsidR="00121396">
              <w:rPr>
                <w:rStyle w:val="FootnoteReference"/>
                <w:rFonts w:ascii="Times New Roman" w:hAnsi="Times New Roman" w:eastAsia="Calibri" w:cs="Times New Roman"/>
                <w:sz w:val="24"/>
                <w:szCs w:val="24"/>
              </w:rPr>
              <w:footnoteReference w:id="5"/>
            </w:r>
            <w:r w:rsidRPr="0051182D">
              <w:rPr>
                <w:rFonts w:ascii="Times New Roman" w:hAnsi="Times New Roman" w:eastAsia="Calibri" w:cs="Times New Roman"/>
                <w:sz w:val="24"/>
                <w:szCs w:val="24"/>
              </w:rPr>
              <w:t xml:space="preserve">  pašvaldības tika aicinātas veikt sakaru operatoru tirgus izpēti par iespēju nodrošināt „pēdējās jūdzes” pieslēgumu, kā arī noteikt tā izveides provizoriskās izmaksas (vienreizējais maksājums par pieslēguma izveidi un regulāro (ikmēneša) maksājuma apmēru). </w:t>
            </w:r>
            <w:r>
              <w:rPr>
                <w:rFonts w:ascii="Times New Roman" w:hAnsi="Times New Roman" w:eastAsia="Calibri" w:cs="Times New Roman"/>
                <w:sz w:val="24"/>
                <w:szCs w:val="24"/>
              </w:rPr>
              <w:t xml:space="preserve">Kopumā process aptvēra </w:t>
            </w:r>
            <w:r w:rsidRPr="0051182D">
              <w:rPr>
                <w:rFonts w:ascii="Times New Roman" w:hAnsi="Times New Roman" w:eastAsia="Calibri" w:cs="Times New Roman"/>
                <w:sz w:val="24"/>
                <w:szCs w:val="24"/>
              </w:rPr>
              <w:t xml:space="preserve">37 pašvaldības, </w:t>
            </w:r>
            <w:r>
              <w:rPr>
                <w:rFonts w:ascii="Times New Roman" w:hAnsi="Times New Roman" w:eastAsia="Calibri" w:cs="Times New Roman"/>
                <w:sz w:val="24"/>
                <w:szCs w:val="24"/>
              </w:rPr>
              <w:t xml:space="preserve">un </w:t>
            </w:r>
            <w:r w:rsidRPr="0051182D">
              <w:rPr>
                <w:rFonts w:ascii="Times New Roman" w:hAnsi="Times New Roman" w:eastAsia="Calibri" w:cs="Times New Roman"/>
                <w:sz w:val="24"/>
                <w:szCs w:val="24"/>
              </w:rPr>
              <w:t>sarunas ar pašvaldībām IzM organizēja pakāpeniski, kā termiņu iepriekšminētajai tirgus izpētei nosakot divas nedēļas.</w:t>
            </w:r>
          </w:p>
          <w:p w:rsidR="00996C39" w:rsidP="008601F7" w:rsidRDefault="008601F7" w14:paraId="77EE7D4E" w14:textId="342484AD">
            <w:pPr>
              <w:spacing w:after="120" w:line="240" w:lineRule="auto"/>
              <w:jc w:val="both"/>
              <w:rPr>
                <w:rFonts w:ascii="Times New Roman" w:hAnsi="Times New Roman"/>
                <w:sz w:val="24"/>
                <w:szCs w:val="24"/>
              </w:rPr>
            </w:pPr>
            <w:r w:rsidRPr="007A04B2">
              <w:rPr>
                <w:rFonts w:ascii="Times New Roman" w:hAnsi="Times New Roman"/>
                <w:sz w:val="24"/>
                <w:szCs w:val="24"/>
              </w:rPr>
              <w:t xml:space="preserve">2020.gada 19.novembrī IzM </w:t>
            </w:r>
            <w:r w:rsidRPr="004D181A">
              <w:rPr>
                <w:rFonts w:ascii="Times New Roman" w:hAnsi="Times New Roman"/>
                <w:sz w:val="24"/>
                <w:szCs w:val="24"/>
              </w:rPr>
              <w:t>iesniedza</w:t>
            </w:r>
            <w:r w:rsidR="009F3AC9">
              <w:rPr>
                <w:rFonts w:ascii="Times New Roman" w:hAnsi="Times New Roman"/>
                <w:sz w:val="24"/>
                <w:szCs w:val="24"/>
              </w:rPr>
              <w:t xml:space="preserve"> </w:t>
            </w:r>
            <w:r w:rsidRPr="004D181A">
              <w:rPr>
                <w:rFonts w:ascii="Times New Roman" w:hAnsi="Times New Roman"/>
                <w:sz w:val="24"/>
                <w:szCs w:val="24"/>
              </w:rPr>
              <w:t>kopsavilkuma informāciju</w:t>
            </w:r>
            <w:r>
              <w:rPr>
                <w:rStyle w:val="FootnoteReference"/>
                <w:rFonts w:ascii="Times New Roman" w:hAnsi="Times New Roman"/>
                <w:sz w:val="24"/>
                <w:szCs w:val="24"/>
              </w:rPr>
              <w:footnoteReference w:id="6"/>
            </w:r>
            <w:r w:rsidRPr="004D181A">
              <w:rPr>
                <w:rFonts w:ascii="Times New Roman" w:hAnsi="Times New Roman"/>
                <w:sz w:val="24"/>
                <w:szCs w:val="24"/>
              </w:rPr>
              <w:t xml:space="preserve"> par </w:t>
            </w:r>
            <w:r w:rsidR="009F3AC9">
              <w:rPr>
                <w:rFonts w:ascii="Times New Roman" w:hAnsi="Times New Roman"/>
                <w:sz w:val="24"/>
                <w:szCs w:val="24"/>
              </w:rPr>
              <w:t xml:space="preserve">44 </w:t>
            </w:r>
            <w:r w:rsidRPr="004D181A">
              <w:rPr>
                <w:rFonts w:ascii="Times New Roman" w:hAnsi="Times New Roman"/>
                <w:sz w:val="24"/>
                <w:szCs w:val="24"/>
              </w:rPr>
              <w:t xml:space="preserve">vispārējās izglītības iestādēm, kurām ir nepieciešama interneta jaudas palielināšana </w:t>
            </w:r>
            <w:r w:rsidR="009F3AC9">
              <w:rPr>
                <w:rFonts w:ascii="Times New Roman" w:hAnsi="Times New Roman"/>
                <w:sz w:val="24"/>
                <w:szCs w:val="24"/>
              </w:rPr>
              <w:t xml:space="preserve">(“vidējās jūdzes”  piekļuves punktu izbūve) </w:t>
            </w:r>
            <w:r w:rsidRPr="004D181A">
              <w:rPr>
                <w:rFonts w:ascii="Times New Roman" w:hAnsi="Times New Roman"/>
                <w:sz w:val="24"/>
                <w:szCs w:val="24"/>
              </w:rPr>
              <w:t>un tās dibinātāj</w:t>
            </w:r>
            <w:r w:rsidR="00617248">
              <w:rPr>
                <w:rFonts w:ascii="Times New Roman" w:hAnsi="Times New Roman"/>
                <w:sz w:val="24"/>
                <w:szCs w:val="24"/>
              </w:rPr>
              <w:t>u</w:t>
            </w:r>
            <w:r w:rsidRPr="004D181A">
              <w:rPr>
                <w:rFonts w:ascii="Times New Roman" w:hAnsi="Times New Roman"/>
                <w:sz w:val="24"/>
                <w:szCs w:val="24"/>
              </w:rPr>
              <w:t xml:space="preserve"> pašvaldību aptaujas rezultātiem</w:t>
            </w:r>
            <w:r w:rsidR="00883357">
              <w:rPr>
                <w:rFonts w:ascii="Times New Roman" w:hAnsi="Times New Roman"/>
                <w:sz w:val="24"/>
                <w:szCs w:val="24"/>
              </w:rPr>
              <w:t xml:space="preserve"> </w:t>
            </w:r>
            <w:r w:rsidR="00431137">
              <w:rPr>
                <w:rFonts w:ascii="Times New Roman" w:hAnsi="Times New Roman"/>
                <w:sz w:val="24"/>
                <w:szCs w:val="24"/>
              </w:rPr>
              <w:t>(pašvaldību aptaujas rezultāti pielikumā</w:t>
            </w:r>
            <w:r w:rsidR="00617248">
              <w:rPr>
                <w:rFonts w:ascii="Times New Roman" w:hAnsi="Times New Roman"/>
                <w:sz w:val="24"/>
                <w:szCs w:val="24"/>
              </w:rPr>
              <w:t>).</w:t>
            </w:r>
            <w:r w:rsidR="00431137">
              <w:rPr>
                <w:rFonts w:ascii="Times New Roman" w:hAnsi="Times New Roman"/>
                <w:sz w:val="24"/>
                <w:szCs w:val="24"/>
              </w:rPr>
              <w:t xml:space="preserve"> Atbilstoši IzM sniegtajai informācijai</w:t>
            </w:r>
            <w:r w:rsidR="00996C39">
              <w:rPr>
                <w:rFonts w:ascii="Times New Roman" w:hAnsi="Times New Roman"/>
                <w:sz w:val="24"/>
                <w:szCs w:val="24"/>
              </w:rPr>
              <w:t>:</w:t>
            </w:r>
            <w:r>
              <w:rPr>
                <w:rFonts w:ascii="Times New Roman" w:hAnsi="Times New Roman"/>
                <w:sz w:val="24"/>
                <w:szCs w:val="24"/>
              </w:rPr>
              <w:t xml:space="preserve"> </w:t>
            </w:r>
          </w:p>
          <w:p w:rsidR="00996C39" w:rsidP="00996C39" w:rsidRDefault="008601F7" w14:paraId="26E75931" w14:textId="62FF3442">
            <w:pPr>
              <w:pStyle w:val="ListParagraph"/>
              <w:numPr>
                <w:ilvl w:val="0"/>
                <w:numId w:val="22"/>
              </w:numPr>
              <w:spacing w:after="120"/>
            </w:pPr>
            <w:r w:rsidRPr="00996C39">
              <w:lastRenderedPageBreak/>
              <w:t>6 izglītības iestādes</w:t>
            </w:r>
            <w:r w:rsidR="00996C39">
              <w:t xml:space="preserve"> </w:t>
            </w:r>
            <w:r w:rsidRPr="00996C39" w:rsidR="00996C39">
              <w:t xml:space="preserve">plāno konkrētas darbības “pēdējās jūdzes”  nodrošināšanai; </w:t>
            </w:r>
          </w:p>
          <w:p w:rsidR="00996C39" w:rsidP="00996C39" w:rsidRDefault="008601F7" w14:paraId="644C5403" w14:textId="74105499">
            <w:pPr>
              <w:pStyle w:val="ListParagraph"/>
              <w:numPr>
                <w:ilvl w:val="0"/>
                <w:numId w:val="22"/>
              </w:numPr>
              <w:spacing w:after="120"/>
            </w:pPr>
            <w:r w:rsidRPr="00996C39">
              <w:t xml:space="preserve">12 </w:t>
            </w:r>
            <w:r w:rsidR="00996C39">
              <w:t xml:space="preserve">izglītības iestāžu dibinātājas </w:t>
            </w:r>
            <w:r w:rsidRPr="00996C39">
              <w:t>pašvaldības</w:t>
            </w:r>
            <w:r w:rsidRPr="00996C39" w:rsidR="00996C39">
              <w:t xml:space="preserve"> </w:t>
            </w:r>
            <w:r w:rsidR="009F3AC9">
              <w:t xml:space="preserve">neplāno </w:t>
            </w:r>
            <w:r w:rsidRPr="00996C39" w:rsidR="00996C39">
              <w:t xml:space="preserve"> </w:t>
            </w:r>
            <w:r w:rsidR="009F3AC9">
              <w:t xml:space="preserve">veikt </w:t>
            </w:r>
            <w:r w:rsidRPr="00996C39" w:rsidR="00996C39">
              <w:t xml:space="preserve">“pēdējās jūdzes” </w:t>
            </w:r>
            <w:r w:rsidRPr="009F3AC9" w:rsidR="009F3AC9">
              <w:t>izveidi</w:t>
            </w:r>
            <w:r w:rsidR="009F3AC9">
              <w:t xml:space="preserve"> (</w:t>
            </w:r>
            <w:r w:rsidRPr="009F3AC9" w:rsidR="009F3AC9">
              <w:t xml:space="preserve">pārsvarā interneta </w:t>
            </w:r>
            <w:r w:rsidR="00486AC7">
              <w:t xml:space="preserve">pakalpojuma </w:t>
            </w:r>
            <w:r w:rsidRPr="009F3AC9" w:rsidR="009F3AC9">
              <w:t>izmaksu dēļ</w:t>
            </w:r>
            <w:r w:rsidR="009F3AC9">
              <w:t>)</w:t>
            </w:r>
            <w:r w:rsidR="00996C39">
              <w:t>;</w:t>
            </w:r>
          </w:p>
          <w:p w:rsidR="009F3AC9" w:rsidP="00996C39" w:rsidRDefault="00996C39" w14:paraId="3D297210" w14:textId="5872B714">
            <w:pPr>
              <w:pStyle w:val="ListParagraph"/>
              <w:numPr>
                <w:ilvl w:val="0"/>
                <w:numId w:val="22"/>
              </w:numPr>
              <w:spacing w:after="120"/>
            </w:pPr>
            <w:r>
              <w:t>11 izglītības iestād</w:t>
            </w:r>
            <w:r w:rsidR="009F3AC9">
              <w:t>ēs</w:t>
            </w:r>
            <w:r>
              <w:t xml:space="preserve"> pašvaldības izrādījušas interesi </w:t>
            </w:r>
            <w:r w:rsidR="009F3AC9">
              <w:t xml:space="preserve">par </w:t>
            </w:r>
            <w:r>
              <w:t>“pēdējās jūdzes” pieslēgum</w:t>
            </w:r>
            <w:r w:rsidR="009F3AC9">
              <w:t xml:space="preserve">a izveidi ar nosacījumu, </w:t>
            </w:r>
            <w:r w:rsidRPr="009F3AC9" w:rsidR="009F3AC9">
              <w:t>ja tiks atrasts risinājums operatoru noteikto pakalpojuma izmaksu segšanai</w:t>
            </w:r>
            <w:r w:rsidR="009F3AC9">
              <w:t>;</w:t>
            </w:r>
          </w:p>
          <w:p w:rsidR="006E4BF4" w:rsidP="00883357" w:rsidRDefault="008601F7" w14:paraId="366CF797" w14:textId="2CDE201A">
            <w:pPr>
              <w:pStyle w:val="ListParagraph"/>
              <w:numPr>
                <w:ilvl w:val="0"/>
                <w:numId w:val="22"/>
              </w:numPr>
              <w:spacing w:after="120"/>
            </w:pPr>
            <w:r w:rsidRPr="00996C39">
              <w:t xml:space="preserve">4 </w:t>
            </w:r>
            <w:r w:rsidR="009F3AC9">
              <w:t xml:space="preserve">izglītības iestādēs piekļuves punktu izbūve nav nepieciešama, jo </w:t>
            </w:r>
            <w:r w:rsidRPr="00996C39">
              <w:t>pašvaldības jau veikušas vai veic “vidējās jūdzes” pieslēguma izbūvi par saviem līdzekļiem</w:t>
            </w:r>
            <w:r w:rsidR="006E4BF4">
              <w:t>;</w:t>
            </w:r>
          </w:p>
          <w:p w:rsidRPr="006E4BF4" w:rsidR="006E4BF4" w:rsidP="007F365E" w:rsidRDefault="006E4BF4" w14:paraId="1BD75C8B" w14:textId="2F6D13B5">
            <w:pPr>
              <w:pStyle w:val="ListParagraph"/>
              <w:numPr>
                <w:ilvl w:val="0"/>
                <w:numId w:val="22"/>
              </w:numPr>
              <w:spacing w:after="120"/>
            </w:pPr>
            <w:r>
              <w:t xml:space="preserve">11 izglītības iestāžu dibinātājas pašvaldības </w:t>
            </w:r>
            <w:r w:rsidRPr="006E4BF4">
              <w:t>noteikumu projekta sagatavošanas laikā turpina apzināt “pēdējās jūdzes” iespējas un risinājumus un nav sniegušas atbildi uz IzM aptauju</w:t>
            </w:r>
            <w:r>
              <w:t>.</w:t>
            </w:r>
            <w:r w:rsidRPr="006E4BF4">
              <w:t xml:space="preserve">  </w:t>
            </w:r>
          </w:p>
          <w:p w:rsidR="006E4BF4" w:rsidP="00883357" w:rsidRDefault="005B102D" w14:paraId="71FBF312" w14:textId="25FDA1EB">
            <w:pPr>
              <w:spacing w:after="120" w:line="240" w:lineRule="auto"/>
              <w:jc w:val="both"/>
              <w:rPr>
                <w:rFonts w:ascii="Times New Roman" w:hAnsi="Times New Roman" w:eastAsia="Calibri" w:cs="Times New Roman"/>
                <w:sz w:val="24"/>
                <w:szCs w:val="24"/>
              </w:rPr>
            </w:pPr>
            <w:r w:rsidRPr="00A8374F">
              <w:rPr>
                <w:rFonts w:ascii="Times New Roman" w:hAnsi="Times New Roman" w:eastAsia="Calibri" w:cs="Times New Roman"/>
                <w:sz w:val="24"/>
                <w:szCs w:val="24"/>
              </w:rPr>
              <w:t>A</w:t>
            </w:r>
            <w:r w:rsidRPr="00A8374F" w:rsidR="00D26F9A">
              <w:rPr>
                <w:rFonts w:ascii="Times New Roman" w:hAnsi="Times New Roman" w:eastAsia="Calibri" w:cs="Times New Roman"/>
                <w:sz w:val="24"/>
                <w:szCs w:val="24"/>
              </w:rPr>
              <w:t xml:space="preserve">tbilstoši valsts atbalsta programmas </w:t>
            </w:r>
            <w:r w:rsidRPr="00A8374F">
              <w:rPr>
                <w:rFonts w:ascii="Times New Roman" w:hAnsi="Times New Roman" w:eastAsia="Calibri" w:cs="Times New Roman"/>
                <w:sz w:val="24"/>
                <w:szCs w:val="24"/>
              </w:rPr>
              <w:t xml:space="preserve">Nr. SA.33324(2011/N) “Nākamās paaudzes tīkli lauku teritorijās” </w:t>
            </w:r>
            <w:r w:rsidRPr="00A8374F" w:rsidR="00D26F9A">
              <w:rPr>
                <w:rFonts w:ascii="Times New Roman" w:hAnsi="Times New Roman" w:eastAsia="Calibri" w:cs="Times New Roman"/>
                <w:sz w:val="24"/>
                <w:szCs w:val="24"/>
              </w:rPr>
              <w:t>nosacījumiem</w:t>
            </w:r>
            <w:r w:rsidRPr="00D26F9A" w:rsidR="00D26F9A">
              <w:rPr>
                <w:rFonts w:ascii="Times New Roman" w:hAnsi="Times New Roman" w:eastAsia="Calibri" w:cs="Times New Roman"/>
                <w:sz w:val="24"/>
                <w:szCs w:val="24"/>
              </w:rPr>
              <w:t xml:space="preserve"> </w:t>
            </w:r>
            <w:r w:rsidRPr="0066695E" w:rsidR="0066695E">
              <w:rPr>
                <w:rFonts w:ascii="Times New Roman" w:hAnsi="Times New Roman" w:eastAsia="Calibri" w:cs="Times New Roman"/>
                <w:sz w:val="24"/>
                <w:szCs w:val="24"/>
              </w:rPr>
              <w:t xml:space="preserve">LVRTC </w:t>
            </w:r>
            <w:r w:rsidR="00F245B8">
              <w:t xml:space="preserve"> </w:t>
            </w:r>
            <w:r w:rsidRPr="00953BF2" w:rsidR="00953BF2">
              <w:rPr>
                <w:rFonts w:ascii="Times New Roman" w:hAnsi="Times New Roman" w:eastAsia="Calibri" w:cs="Times New Roman"/>
                <w:sz w:val="24"/>
                <w:szCs w:val="24"/>
              </w:rPr>
              <w:t>20 gadus pēc projekta ietvaros izveidotā optiskā tīkla un piekļuves punktu pieņemšanas ekspluatācijā nav tiesīgs nodrošināt interneta piekļuves</w:t>
            </w:r>
            <w:r w:rsidR="0051182D">
              <w:rPr>
                <w:rFonts w:ascii="Times New Roman" w:hAnsi="Times New Roman" w:eastAsia="Calibri" w:cs="Times New Roman"/>
                <w:sz w:val="24"/>
                <w:szCs w:val="24"/>
              </w:rPr>
              <w:t xml:space="preserve"> </w:t>
            </w:r>
            <w:r w:rsidRPr="0051182D" w:rsidR="0051182D">
              <w:rPr>
                <w:rFonts w:ascii="Times New Roman" w:hAnsi="Times New Roman" w:eastAsia="Calibri" w:cs="Times New Roman"/>
                <w:sz w:val="24"/>
                <w:szCs w:val="24"/>
              </w:rPr>
              <w:t xml:space="preserve">(t.i., “pēdējās jūdzes”) </w:t>
            </w:r>
            <w:r w:rsidRPr="00953BF2" w:rsidR="00953BF2">
              <w:rPr>
                <w:rFonts w:ascii="Times New Roman" w:hAnsi="Times New Roman" w:eastAsia="Calibri" w:cs="Times New Roman"/>
                <w:sz w:val="24"/>
                <w:szCs w:val="24"/>
              </w:rPr>
              <w:t xml:space="preserve"> pakalpojumu sniegšanu galalietotājiem, datu pārraides piekļuves pakalpojumu sniegšanu galalietotājiem un balss telefonijas pakalpojumu sniegšanu galalietotājiem</w:t>
            </w:r>
            <w:r>
              <w:rPr>
                <w:rStyle w:val="FootnoteReference"/>
                <w:rFonts w:ascii="Times New Roman" w:hAnsi="Times New Roman" w:eastAsia="Calibri" w:cs="Times New Roman"/>
                <w:sz w:val="24"/>
                <w:szCs w:val="24"/>
              </w:rPr>
              <w:footnoteReference w:id="7"/>
            </w:r>
            <w:r w:rsidR="00580FAC">
              <w:rPr>
                <w:rFonts w:ascii="Times New Roman" w:hAnsi="Times New Roman" w:eastAsia="Calibri" w:cs="Times New Roman"/>
                <w:sz w:val="24"/>
                <w:szCs w:val="24"/>
              </w:rPr>
              <w:t xml:space="preserve">. </w:t>
            </w:r>
            <w:r w:rsidR="00B6288E">
              <w:rPr>
                <w:rFonts w:ascii="Times New Roman" w:hAnsi="Times New Roman" w:eastAsia="Calibri" w:cs="Times New Roman"/>
                <w:sz w:val="24"/>
                <w:szCs w:val="24"/>
              </w:rPr>
              <w:t xml:space="preserve"> </w:t>
            </w:r>
          </w:p>
          <w:p w:rsidRPr="007F365E" w:rsidR="00431137" w:rsidP="00883357" w:rsidRDefault="00B6288E" w14:paraId="6E5529EC" w14:textId="64899CF3">
            <w:pPr>
              <w:spacing w:after="120" w:line="240" w:lineRule="auto"/>
              <w:jc w:val="both"/>
              <w:rPr>
                <w:rFonts w:ascii="Times New Roman" w:hAnsi="Times New Roman" w:cs="Times New Roman"/>
                <w:sz w:val="24"/>
                <w:szCs w:val="24"/>
              </w:rPr>
            </w:pPr>
            <w:r>
              <w:rPr>
                <w:rFonts w:ascii="Times New Roman" w:hAnsi="Times New Roman" w:eastAsia="Calibri" w:cs="Times New Roman"/>
                <w:sz w:val="24"/>
                <w:szCs w:val="24"/>
              </w:rPr>
              <w:t>Ņemot vērā minēto</w:t>
            </w:r>
            <w:r w:rsidR="005705FF">
              <w:rPr>
                <w:rFonts w:ascii="Times New Roman" w:hAnsi="Times New Roman" w:eastAsia="Calibri" w:cs="Times New Roman"/>
                <w:sz w:val="24"/>
                <w:szCs w:val="24"/>
              </w:rPr>
              <w:t>,</w:t>
            </w:r>
            <w:r w:rsidRPr="0066695E" w:rsidR="0066695E">
              <w:rPr>
                <w:rFonts w:ascii="Times New Roman" w:hAnsi="Times New Roman" w:eastAsia="Calibri" w:cs="Times New Roman"/>
                <w:sz w:val="24"/>
                <w:szCs w:val="24"/>
              </w:rPr>
              <w:t xml:space="preserve"> </w:t>
            </w:r>
            <w:r w:rsidR="0021750A">
              <w:rPr>
                <w:rFonts w:ascii="Times New Roman" w:hAnsi="Times New Roman" w:eastAsia="Calibri" w:cs="Times New Roman"/>
                <w:sz w:val="24"/>
                <w:szCs w:val="24"/>
              </w:rPr>
              <w:t xml:space="preserve">noteikumu projektā </w:t>
            </w:r>
            <w:r w:rsidR="00431137">
              <w:rPr>
                <w:rFonts w:ascii="Times New Roman" w:hAnsi="Times New Roman" w:eastAsia="Calibri" w:cs="Times New Roman"/>
                <w:sz w:val="24"/>
                <w:szCs w:val="24"/>
              </w:rPr>
              <w:t>noteiktajā rādītāj</w:t>
            </w:r>
            <w:r w:rsidR="00F85D85">
              <w:rPr>
                <w:rFonts w:ascii="Times New Roman" w:hAnsi="Times New Roman" w:eastAsia="Calibri" w:cs="Times New Roman"/>
                <w:sz w:val="24"/>
                <w:szCs w:val="24"/>
              </w:rPr>
              <w:t>ā</w:t>
            </w:r>
            <w:r w:rsidR="00431137">
              <w:rPr>
                <w:rFonts w:ascii="Times New Roman" w:hAnsi="Times New Roman" w:eastAsia="Calibri" w:cs="Times New Roman"/>
                <w:sz w:val="24"/>
                <w:szCs w:val="24"/>
              </w:rPr>
              <w:t xml:space="preserve"> - </w:t>
            </w:r>
            <w:r w:rsidR="00431137">
              <w:t xml:space="preserve"> </w:t>
            </w:r>
            <w:r w:rsidR="00617248">
              <w:t>“</w:t>
            </w:r>
            <w:r w:rsidRPr="007F365E" w:rsidR="00431137">
              <w:rPr>
                <w:rFonts w:ascii="Times New Roman" w:hAnsi="Times New Roman" w:eastAsia="Calibri" w:cs="Times New Roman"/>
                <w:i/>
                <w:iCs/>
                <w:sz w:val="24"/>
                <w:szCs w:val="24"/>
              </w:rPr>
              <w:t>izglītības iestāžu skaits, kurās ierīkots optiskā tīkla piekļuves punkts</w:t>
            </w:r>
            <w:r w:rsidR="00617248">
              <w:rPr>
                <w:rFonts w:ascii="Times New Roman" w:hAnsi="Times New Roman" w:eastAsia="Calibri" w:cs="Times New Roman"/>
                <w:i/>
                <w:iCs/>
                <w:sz w:val="24"/>
                <w:szCs w:val="24"/>
              </w:rPr>
              <w:t xml:space="preserve">” </w:t>
            </w:r>
            <w:r w:rsidR="00431137">
              <w:rPr>
                <w:rFonts w:ascii="Times New Roman" w:hAnsi="Times New Roman" w:eastAsia="Calibri" w:cs="Times New Roman"/>
                <w:sz w:val="24"/>
                <w:szCs w:val="24"/>
              </w:rPr>
              <w:t>ir iekļautas tikai t</w:t>
            </w:r>
            <w:r w:rsidR="00F85D85">
              <w:rPr>
                <w:rFonts w:ascii="Times New Roman" w:hAnsi="Times New Roman" w:eastAsia="Calibri" w:cs="Times New Roman"/>
                <w:sz w:val="24"/>
                <w:szCs w:val="24"/>
              </w:rPr>
              <w:t>ā</w:t>
            </w:r>
            <w:r w:rsidR="00431137">
              <w:rPr>
                <w:rFonts w:ascii="Times New Roman" w:hAnsi="Times New Roman" w:eastAsia="Calibri" w:cs="Times New Roman"/>
                <w:sz w:val="24"/>
                <w:szCs w:val="24"/>
              </w:rPr>
              <w:t>s izglītības iestādes, kuras atbilstoši IzM veiktajai aptaujai</w:t>
            </w:r>
            <w:r w:rsidR="0021750A">
              <w:rPr>
                <w:rFonts w:ascii="Times New Roman" w:hAnsi="Times New Roman" w:eastAsia="Calibri" w:cs="Times New Roman"/>
                <w:sz w:val="24"/>
                <w:szCs w:val="24"/>
              </w:rPr>
              <w:t xml:space="preserve">  </w:t>
            </w:r>
            <w:r w:rsidR="009D3DD0">
              <w:rPr>
                <w:rFonts w:ascii="Times New Roman" w:hAnsi="Times New Roman" w:eastAsia="Calibri" w:cs="Times New Roman"/>
                <w:sz w:val="24"/>
                <w:szCs w:val="24"/>
              </w:rPr>
              <w:t>plāno nepieciešamās darbības “pēdējās jūdzes” pieslēguma izveidei un interneta piekļuves pakalpojuma nodrošināšanai</w:t>
            </w:r>
            <w:r w:rsidR="0021750A">
              <w:rPr>
                <w:rFonts w:ascii="Times New Roman" w:hAnsi="Times New Roman" w:eastAsia="Calibri" w:cs="Times New Roman"/>
                <w:sz w:val="24"/>
                <w:szCs w:val="24"/>
              </w:rPr>
              <w:t xml:space="preserve">. </w:t>
            </w:r>
            <w:r w:rsidR="009D3DD0">
              <w:rPr>
                <w:rFonts w:ascii="Times New Roman" w:hAnsi="Times New Roman" w:eastAsia="Calibri" w:cs="Times New Roman"/>
                <w:sz w:val="24"/>
                <w:szCs w:val="24"/>
              </w:rPr>
              <w:t>A</w:t>
            </w:r>
            <w:r w:rsidRPr="009D3DD0" w:rsidR="009D3DD0">
              <w:rPr>
                <w:rFonts w:ascii="Times New Roman" w:hAnsi="Times New Roman" w:eastAsia="Calibri" w:cs="Times New Roman"/>
                <w:sz w:val="24"/>
                <w:szCs w:val="24"/>
              </w:rPr>
              <w:t>ttiecīgi pārēj</w:t>
            </w:r>
            <w:r w:rsidR="009D3DD0">
              <w:rPr>
                <w:rFonts w:ascii="Times New Roman" w:hAnsi="Times New Roman" w:eastAsia="Calibri" w:cs="Times New Roman"/>
                <w:sz w:val="24"/>
                <w:szCs w:val="24"/>
              </w:rPr>
              <w:t>ais</w:t>
            </w:r>
            <w:r w:rsidRPr="009D3DD0" w:rsidR="009D3DD0">
              <w:rPr>
                <w:rFonts w:ascii="Times New Roman" w:hAnsi="Times New Roman" w:eastAsia="Calibri" w:cs="Times New Roman"/>
                <w:sz w:val="24"/>
                <w:szCs w:val="24"/>
              </w:rPr>
              <w:t xml:space="preserve"> finansējum</w:t>
            </w:r>
            <w:r w:rsidR="009D3DD0">
              <w:rPr>
                <w:rFonts w:ascii="Times New Roman" w:hAnsi="Times New Roman" w:eastAsia="Calibri" w:cs="Times New Roman"/>
                <w:sz w:val="24"/>
                <w:szCs w:val="24"/>
              </w:rPr>
              <w:t>s</w:t>
            </w:r>
            <w:r w:rsidRPr="009D3DD0" w:rsidR="009D3DD0">
              <w:rPr>
                <w:rFonts w:ascii="Times New Roman" w:hAnsi="Times New Roman" w:eastAsia="Calibri" w:cs="Times New Roman"/>
                <w:sz w:val="24"/>
                <w:szCs w:val="24"/>
              </w:rPr>
              <w:t xml:space="preserve"> novirzām</w:t>
            </w:r>
            <w:r w:rsidR="009D3DD0">
              <w:rPr>
                <w:rFonts w:ascii="Times New Roman" w:hAnsi="Times New Roman" w:eastAsia="Calibri" w:cs="Times New Roman"/>
                <w:sz w:val="24"/>
                <w:szCs w:val="24"/>
              </w:rPr>
              <w:t>s</w:t>
            </w:r>
            <w:r w:rsidRPr="009D3DD0" w:rsidR="009D3DD0">
              <w:rPr>
                <w:rFonts w:ascii="Times New Roman" w:hAnsi="Times New Roman" w:eastAsia="Calibri" w:cs="Times New Roman"/>
                <w:sz w:val="24"/>
                <w:szCs w:val="24"/>
              </w:rPr>
              <w:t xml:space="preserve"> </w:t>
            </w:r>
            <w:r w:rsidR="009D3DD0">
              <w:rPr>
                <w:rFonts w:ascii="Times New Roman" w:hAnsi="Times New Roman" w:eastAsia="Calibri" w:cs="Times New Roman"/>
                <w:sz w:val="24"/>
                <w:szCs w:val="24"/>
              </w:rPr>
              <w:t>“</w:t>
            </w:r>
            <w:r w:rsidRPr="009D3DD0" w:rsidR="009D3DD0">
              <w:rPr>
                <w:rFonts w:ascii="Times New Roman" w:hAnsi="Times New Roman" w:eastAsia="Calibri" w:cs="Times New Roman"/>
                <w:sz w:val="24"/>
                <w:szCs w:val="24"/>
              </w:rPr>
              <w:t>vidējās jūdzes</w:t>
            </w:r>
            <w:r w:rsidR="009D3DD0">
              <w:rPr>
                <w:rFonts w:ascii="Times New Roman" w:hAnsi="Times New Roman" w:eastAsia="Calibri" w:cs="Times New Roman"/>
                <w:sz w:val="24"/>
                <w:szCs w:val="24"/>
              </w:rPr>
              <w:t xml:space="preserve">” </w:t>
            </w:r>
            <w:r w:rsidRPr="009D3DD0" w:rsidR="009D3DD0">
              <w:rPr>
                <w:rFonts w:ascii="Times New Roman" w:hAnsi="Times New Roman" w:eastAsia="Calibri" w:cs="Times New Roman"/>
                <w:sz w:val="24"/>
                <w:szCs w:val="24"/>
              </w:rPr>
              <w:t>izbūvei</w:t>
            </w:r>
            <w:r w:rsidR="00486AC7">
              <w:rPr>
                <w:rFonts w:ascii="Times New Roman" w:hAnsi="Times New Roman" w:eastAsia="Calibri" w:cs="Times New Roman"/>
                <w:sz w:val="24"/>
                <w:szCs w:val="24"/>
              </w:rPr>
              <w:t xml:space="preserve"> “baltajās teritorijās”</w:t>
            </w:r>
            <w:r w:rsidR="009D3DD0">
              <w:rPr>
                <w:rFonts w:ascii="Times New Roman" w:hAnsi="Times New Roman" w:eastAsia="Calibri" w:cs="Times New Roman"/>
                <w:sz w:val="24"/>
                <w:szCs w:val="24"/>
              </w:rPr>
              <w:t>,</w:t>
            </w:r>
            <w:r w:rsidRPr="009D3DD0" w:rsidR="009D3DD0">
              <w:rPr>
                <w:rFonts w:ascii="Times New Roman" w:hAnsi="Times New Roman" w:eastAsia="Calibri" w:cs="Times New Roman"/>
                <w:sz w:val="24"/>
                <w:szCs w:val="24"/>
              </w:rPr>
              <w:t xml:space="preserve"> nepieciešamības gadījumā to pārorientējot uz </w:t>
            </w:r>
            <w:r w:rsidR="009D3DD0">
              <w:rPr>
                <w:rFonts w:ascii="Times New Roman" w:hAnsi="Times New Roman" w:eastAsia="Calibri" w:cs="Times New Roman"/>
                <w:sz w:val="24"/>
                <w:szCs w:val="24"/>
              </w:rPr>
              <w:t xml:space="preserve">“vidējās jūdzes” </w:t>
            </w:r>
            <w:r w:rsidRPr="009D3DD0" w:rsidR="009D3DD0">
              <w:rPr>
                <w:rFonts w:ascii="Times New Roman" w:hAnsi="Times New Roman" w:eastAsia="Calibri" w:cs="Times New Roman"/>
                <w:sz w:val="24"/>
                <w:szCs w:val="24"/>
              </w:rPr>
              <w:t xml:space="preserve">izbūvi </w:t>
            </w:r>
            <w:r w:rsidR="00486AC7">
              <w:rPr>
                <w:rFonts w:ascii="Times New Roman" w:hAnsi="Times New Roman" w:eastAsia="Calibri" w:cs="Times New Roman"/>
                <w:sz w:val="24"/>
                <w:szCs w:val="24"/>
              </w:rPr>
              <w:t xml:space="preserve">tieši </w:t>
            </w:r>
            <w:r w:rsidRPr="009D3DD0" w:rsidR="009D3DD0">
              <w:rPr>
                <w:rFonts w:ascii="Times New Roman" w:hAnsi="Times New Roman" w:eastAsia="Calibri" w:cs="Times New Roman"/>
                <w:sz w:val="24"/>
                <w:szCs w:val="24"/>
              </w:rPr>
              <w:t>izglītības iestādēs</w:t>
            </w:r>
            <w:r w:rsidRPr="00883357" w:rsidR="00431137">
              <w:rPr>
                <w:rFonts w:ascii="Times New Roman" w:hAnsi="Times New Roman" w:eastAsia="Calibri" w:cs="Times New Roman"/>
                <w:sz w:val="24"/>
                <w:szCs w:val="24"/>
              </w:rPr>
              <w:t>, ja tiks rast</w:t>
            </w:r>
            <w:r w:rsidR="00883357">
              <w:rPr>
                <w:rFonts w:ascii="Times New Roman" w:hAnsi="Times New Roman" w:eastAsia="Calibri" w:cs="Times New Roman"/>
                <w:sz w:val="24"/>
                <w:szCs w:val="24"/>
              </w:rPr>
              <w:t>s</w:t>
            </w:r>
            <w:r w:rsidRPr="00883357" w:rsidR="00431137">
              <w:rPr>
                <w:rFonts w:ascii="Times New Roman" w:hAnsi="Times New Roman" w:eastAsia="Calibri" w:cs="Times New Roman"/>
                <w:sz w:val="24"/>
                <w:szCs w:val="24"/>
              </w:rPr>
              <w:t xml:space="preserve"> risinājums </w:t>
            </w:r>
            <w:r w:rsidRPr="00883357" w:rsidR="009D3DD0">
              <w:rPr>
                <w:rFonts w:ascii="Times New Roman" w:hAnsi="Times New Roman" w:eastAsia="Calibri" w:cs="Times New Roman"/>
                <w:sz w:val="24"/>
                <w:szCs w:val="24"/>
              </w:rPr>
              <w:t xml:space="preserve"> </w:t>
            </w:r>
            <w:r w:rsidRPr="007F365E" w:rsidR="00431137">
              <w:rPr>
                <w:rFonts w:ascii="Times New Roman" w:hAnsi="Times New Roman" w:cs="Times New Roman"/>
                <w:sz w:val="24"/>
                <w:szCs w:val="24"/>
              </w:rPr>
              <w:t xml:space="preserve">„pēdējās jūdzes” pieslēguma izveidei. </w:t>
            </w:r>
          </w:p>
          <w:p w:rsidR="008E022E" w:rsidP="00B17A7A" w:rsidRDefault="008E022E" w14:paraId="04657A63" w14:textId="4E82F942">
            <w:pPr>
              <w:spacing w:after="120" w:line="240" w:lineRule="auto"/>
              <w:jc w:val="both"/>
              <w:rPr>
                <w:rFonts w:ascii="Times New Roman" w:hAnsi="Times New Roman" w:eastAsia="Calibri" w:cs="Times New Roman"/>
                <w:sz w:val="24"/>
                <w:szCs w:val="24"/>
              </w:rPr>
            </w:pPr>
            <w:r w:rsidRPr="008E022E">
              <w:rPr>
                <w:rFonts w:ascii="Times New Roman" w:hAnsi="Times New Roman" w:eastAsia="Calibri" w:cs="Times New Roman"/>
                <w:sz w:val="24"/>
                <w:szCs w:val="24"/>
              </w:rPr>
              <w:t>Ņemot vērā IzM veikto aptauju, “vidējās jūdzes” izbūve visās sākotnēji identificētajās 47 izglītības iestādēs ir iespējama ar nosacījumu, ka tiek rasts atbalsts nepieciešamajām darbībām „pēdējās jūdzes” pieslēguma izveidei un interneta pakalpojuma piekļuves nodrošināšanai vai sakaru operatoru noteikto interneta pakalpojuma izmaksu mazināšanai. Lai nodrošinātu pēc iespējas lielāku “baltās teritorijās” identificēto izglītības iestāžu skaitu ar kvalitatīvu platjoslas internetu un IzM definētās pēdējās jūdzes problemātikas risinājumus, izvērtējama papildu finansējuma piesaistes iespējas “pēdējās jūdzes” pasākumu nodrošināšanai.</w:t>
            </w:r>
          </w:p>
          <w:p w:rsidR="00BF28D3" w:rsidP="0051182D" w:rsidRDefault="006037D2" w14:paraId="472F2C52" w14:textId="5644E46E">
            <w:pPr>
              <w:spacing w:after="12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lastRenderedPageBreak/>
              <w:t xml:space="preserve">Vienlaikus </w:t>
            </w:r>
            <w:r w:rsidRPr="00BF28D3" w:rsidR="00BF28D3">
              <w:rPr>
                <w:rFonts w:ascii="Times New Roman" w:hAnsi="Times New Roman" w:eastAsia="Calibri" w:cs="Times New Roman"/>
                <w:sz w:val="24"/>
                <w:szCs w:val="24"/>
              </w:rPr>
              <w:t xml:space="preserve">pasākumi “pēdējās jūdzes” infrastruktūras nodrošināšanai un pakalpojuma sniegšanai galalietotājiem, t.i., izglītības iestādēm, ir </w:t>
            </w:r>
            <w:r>
              <w:rPr>
                <w:rFonts w:ascii="Times New Roman" w:hAnsi="Times New Roman" w:eastAsia="Calibri" w:cs="Times New Roman"/>
                <w:sz w:val="24"/>
                <w:szCs w:val="24"/>
              </w:rPr>
              <w:t xml:space="preserve">veicami, ja ir </w:t>
            </w:r>
            <w:r w:rsidRPr="00BF28D3" w:rsidR="00BF28D3">
              <w:rPr>
                <w:rFonts w:ascii="Times New Roman" w:hAnsi="Times New Roman" w:eastAsia="Calibri" w:cs="Times New Roman"/>
                <w:sz w:val="24"/>
                <w:szCs w:val="24"/>
              </w:rPr>
              <w:t>skaidri pamatot</w:t>
            </w:r>
            <w:r>
              <w:rPr>
                <w:rFonts w:ascii="Times New Roman" w:hAnsi="Times New Roman" w:eastAsia="Calibri" w:cs="Times New Roman"/>
                <w:sz w:val="24"/>
                <w:szCs w:val="24"/>
              </w:rPr>
              <w:t>a</w:t>
            </w:r>
            <w:r w:rsidRPr="00BF28D3" w:rsidR="00BF28D3">
              <w:rPr>
                <w:rFonts w:ascii="Times New Roman" w:hAnsi="Times New Roman" w:eastAsia="Calibri" w:cs="Times New Roman"/>
                <w:sz w:val="24"/>
                <w:szCs w:val="24"/>
              </w:rPr>
              <w:t xml:space="preserve"> papildu “vidējās jūdzes” </w:t>
            </w:r>
            <w:r w:rsidR="007659C5">
              <w:rPr>
                <w:rFonts w:ascii="Times New Roman" w:hAnsi="Times New Roman" w:eastAsia="Calibri" w:cs="Times New Roman"/>
                <w:sz w:val="24"/>
                <w:szCs w:val="24"/>
              </w:rPr>
              <w:t>optiskā tīkla infrastruktūras</w:t>
            </w:r>
            <w:r w:rsidRPr="00BF28D3" w:rsidR="007659C5">
              <w:rPr>
                <w:rFonts w:ascii="Times New Roman" w:hAnsi="Times New Roman" w:eastAsia="Calibri" w:cs="Times New Roman"/>
                <w:sz w:val="24"/>
                <w:szCs w:val="24"/>
              </w:rPr>
              <w:t xml:space="preserve"> </w:t>
            </w:r>
            <w:r w:rsidRPr="00BF28D3" w:rsidR="00BF28D3">
              <w:rPr>
                <w:rFonts w:ascii="Times New Roman" w:hAnsi="Times New Roman" w:eastAsia="Calibri" w:cs="Times New Roman"/>
                <w:sz w:val="24"/>
                <w:szCs w:val="24"/>
              </w:rPr>
              <w:t>izveidošanas lietderīb</w:t>
            </w:r>
            <w:r>
              <w:rPr>
                <w:rFonts w:ascii="Times New Roman" w:hAnsi="Times New Roman" w:eastAsia="Calibri" w:cs="Times New Roman"/>
                <w:sz w:val="24"/>
                <w:szCs w:val="24"/>
              </w:rPr>
              <w:t>a</w:t>
            </w:r>
            <w:r w:rsidRPr="00BF28D3" w:rsidR="00BF28D3">
              <w:rPr>
                <w:rFonts w:ascii="Times New Roman" w:hAnsi="Times New Roman" w:eastAsia="Calibri" w:cs="Times New Roman"/>
                <w:sz w:val="24"/>
                <w:szCs w:val="24"/>
              </w:rPr>
              <w:t xml:space="preserve"> attiecīgo izglītības iestāžu vajadzībām īstenotā </w:t>
            </w:r>
            <w:r w:rsidR="007659C5">
              <w:rPr>
                <w:rFonts w:ascii="Times New Roman" w:hAnsi="Times New Roman" w:eastAsia="Calibri" w:cs="Times New Roman"/>
                <w:sz w:val="24"/>
                <w:szCs w:val="24"/>
              </w:rPr>
              <w:t>P</w:t>
            </w:r>
            <w:r w:rsidRPr="00BF28D3" w:rsidR="00BF28D3">
              <w:rPr>
                <w:rFonts w:ascii="Times New Roman" w:hAnsi="Times New Roman" w:eastAsia="Calibri" w:cs="Times New Roman"/>
                <w:sz w:val="24"/>
                <w:szCs w:val="24"/>
              </w:rPr>
              <w:t>rojekt</w:t>
            </w:r>
            <w:r w:rsidR="007659C5">
              <w:rPr>
                <w:rFonts w:ascii="Times New Roman" w:hAnsi="Times New Roman" w:eastAsia="Calibri" w:cs="Times New Roman"/>
                <w:sz w:val="24"/>
                <w:szCs w:val="24"/>
              </w:rPr>
              <w:t>a ietvaros</w:t>
            </w:r>
            <w:r w:rsidR="00317558">
              <w:rPr>
                <w:rFonts w:ascii="Times New Roman" w:hAnsi="Times New Roman" w:eastAsia="Calibri" w:cs="Times New Roman"/>
                <w:sz w:val="24"/>
                <w:szCs w:val="24"/>
              </w:rPr>
              <w:t xml:space="preserve">. Tāpēc ieguldījumi “vidējās jūdzes” </w:t>
            </w:r>
            <w:r w:rsidR="00AD38B3">
              <w:rPr>
                <w:rFonts w:ascii="Times New Roman" w:hAnsi="Times New Roman" w:eastAsia="Calibri" w:cs="Times New Roman"/>
                <w:sz w:val="24"/>
                <w:szCs w:val="24"/>
              </w:rPr>
              <w:t xml:space="preserve">piekļuves </w:t>
            </w:r>
            <w:r w:rsidR="00317558">
              <w:rPr>
                <w:rFonts w:ascii="Times New Roman" w:hAnsi="Times New Roman" w:eastAsia="Calibri" w:cs="Times New Roman"/>
                <w:sz w:val="24"/>
                <w:szCs w:val="24"/>
              </w:rPr>
              <w:t>punktu izveidei veicami, ja</w:t>
            </w:r>
            <w:r>
              <w:rPr>
                <w:rFonts w:ascii="Times New Roman" w:hAnsi="Times New Roman" w:eastAsia="Calibri" w:cs="Times New Roman"/>
                <w:sz w:val="24"/>
                <w:szCs w:val="24"/>
              </w:rPr>
              <w:t xml:space="preserve"> tiek </w:t>
            </w:r>
            <w:r w:rsidRPr="00317558" w:rsidR="00317558">
              <w:rPr>
                <w:rFonts w:ascii="Times New Roman" w:hAnsi="Times New Roman" w:eastAsia="Calibri" w:cs="Times New Roman"/>
                <w:sz w:val="24"/>
                <w:szCs w:val="24"/>
              </w:rPr>
              <w:t>rasts risinājums interneta pakalpojumu nodrošināšanai izbūvētajā piekļuves punktā</w:t>
            </w:r>
            <w:r w:rsidR="00317558">
              <w:rPr>
                <w:rFonts w:ascii="Times New Roman" w:hAnsi="Times New Roman" w:eastAsia="Calibri" w:cs="Times New Roman"/>
                <w:sz w:val="24"/>
                <w:szCs w:val="24"/>
              </w:rPr>
              <w:t xml:space="preserve"> un pašvaldība sniegs apliecinājumu par </w:t>
            </w:r>
            <w:r w:rsidRPr="00317558" w:rsidR="00317558">
              <w:rPr>
                <w:rFonts w:ascii="Times New Roman" w:hAnsi="Times New Roman" w:eastAsia="Calibri" w:cs="Times New Roman"/>
                <w:sz w:val="24"/>
                <w:szCs w:val="24"/>
              </w:rPr>
              <w:t>“pēdējās jūdzes“ risinājumu un par attiecīgās izglītības iestādes ilgtspēju</w:t>
            </w:r>
            <w:r w:rsidR="00AD38B3">
              <w:rPr>
                <w:rFonts w:ascii="Times New Roman" w:hAnsi="Times New Roman" w:eastAsia="Calibri" w:cs="Times New Roman"/>
                <w:sz w:val="24"/>
                <w:szCs w:val="24"/>
              </w:rPr>
              <w:t xml:space="preserve"> (pastāvēšanu kā tādu)</w:t>
            </w:r>
            <w:r w:rsidR="00317558">
              <w:rPr>
                <w:rFonts w:ascii="Times New Roman" w:hAnsi="Times New Roman" w:eastAsia="Calibri" w:cs="Times New Roman"/>
                <w:sz w:val="24"/>
                <w:szCs w:val="24"/>
              </w:rPr>
              <w:t xml:space="preserve">. </w:t>
            </w:r>
          </w:p>
          <w:p w:rsidRPr="008E022E" w:rsidR="008E022E" w:rsidP="008E022E" w:rsidRDefault="00161968" w14:paraId="39E6D510" w14:textId="1AD6C2A5">
            <w:pPr>
              <w:spacing w:after="120" w:line="240" w:lineRule="auto"/>
              <w:jc w:val="both"/>
              <w:rPr>
                <w:rFonts w:ascii="Times New Roman" w:hAnsi="Times New Roman" w:eastAsia="Calibri" w:cs="Times New Roman"/>
                <w:sz w:val="24"/>
                <w:szCs w:val="24"/>
              </w:rPr>
            </w:pPr>
            <w:r w:rsidRPr="00B17A7A">
              <w:rPr>
                <w:rFonts w:ascii="Times New Roman" w:hAnsi="Times New Roman" w:eastAsia="Calibri" w:cs="Times New Roman"/>
                <w:sz w:val="24"/>
                <w:szCs w:val="24"/>
              </w:rPr>
              <w:t xml:space="preserve">Ņemot vērā minētos apsvērumus </w:t>
            </w:r>
            <w:r w:rsidRPr="00B17A7A">
              <w:rPr>
                <w:rFonts w:ascii="Times New Roman" w:hAnsi="Times New Roman" w:cs="Times New Roman"/>
                <w:sz w:val="24"/>
                <w:szCs w:val="24"/>
              </w:rPr>
              <w:t xml:space="preserve">un nepieciešamību </w:t>
            </w:r>
            <w:r w:rsidRPr="00B17A7A" w:rsidR="00E90F3C">
              <w:rPr>
                <w:rFonts w:ascii="Times New Roman" w:hAnsi="Times New Roman" w:eastAsia="Calibri" w:cs="Times New Roman"/>
                <w:sz w:val="24"/>
                <w:szCs w:val="24"/>
              </w:rPr>
              <w:t>precīzi noteikt</w:t>
            </w:r>
            <w:r w:rsidRPr="00B17A7A">
              <w:rPr>
                <w:rFonts w:ascii="Times New Roman" w:hAnsi="Times New Roman" w:eastAsia="Calibri" w:cs="Times New Roman"/>
                <w:sz w:val="24"/>
                <w:szCs w:val="24"/>
              </w:rPr>
              <w:t xml:space="preserve"> papildu “vidējās jūdzes” </w:t>
            </w:r>
            <w:r w:rsidRPr="00B17A7A" w:rsidR="0022715D">
              <w:rPr>
                <w:rFonts w:ascii="Times New Roman" w:hAnsi="Times New Roman" w:eastAsia="Calibri" w:cs="Times New Roman"/>
                <w:sz w:val="24"/>
                <w:szCs w:val="24"/>
              </w:rPr>
              <w:t xml:space="preserve">optiskā tīkla infrastruktūras </w:t>
            </w:r>
            <w:r w:rsidRPr="00B17A7A">
              <w:rPr>
                <w:rFonts w:ascii="Times New Roman" w:hAnsi="Times New Roman" w:eastAsia="Calibri" w:cs="Times New Roman"/>
                <w:sz w:val="24"/>
                <w:szCs w:val="24"/>
              </w:rPr>
              <w:t>izveidošanas lietderību</w:t>
            </w:r>
            <w:r w:rsidRPr="00B17A7A" w:rsidR="0022715D">
              <w:rPr>
                <w:rFonts w:ascii="Times New Roman" w:hAnsi="Times New Roman" w:eastAsia="Calibri" w:cs="Times New Roman"/>
                <w:sz w:val="24"/>
                <w:szCs w:val="24"/>
              </w:rPr>
              <w:t xml:space="preserve"> </w:t>
            </w:r>
            <w:r w:rsidRPr="00B17A7A">
              <w:rPr>
                <w:rFonts w:ascii="Times New Roman" w:hAnsi="Times New Roman" w:eastAsia="Calibri" w:cs="Times New Roman"/>
                <w:sz w:val="24"/>
                <w:szCs w:val="24"/>
              </w:rPr>
              <w:t>attiecīgo izglītības iestāžu vajadzībām,</w:t>
            </w:r>
            <w:r w:rsidR="008E022E">
              <w:t xml:space="preserve"> </w:t>
            </w:r>
            <w:r w:rsidRPr="008E022E" w:rsidR="008E022E">
              <w:rPr>
                <w:rFonts w:ascii="Times New Roman" w:hAnsi="Times New Roman" w:eastAsia="Calibri" w:cs="Times New Roman"/>
                <w:sz w:val="24"/>
                <w:szCs w:val="24"/>
              </w:rPr>
              <w:t>LVRTC veidos “vidējās jūdzes” piekļuves punktus tikai tām izglītības iestādēm, par kurām būs iesniegts attiecīgās pašvaldības apliecinājums  par  izglītības iestādes ilgtspēju  un finansējuma nodrošināšanu un gatavību organizēt “pēdējās jūdzes” pakalpojuma saņemšanu, kā arī pašvaldība projekta īstenošanas laikā būs noslēgusi līgumu par piekļuves punkta izvietošanu un piekļuvi izglītības iestādes teritorijā.</w:t>
            </w:r>
          </w:p>
          <w:p w:rsidRPr="008E022E" w:rsidR="008E022E" w:rsidP="008E022E" w:rsidRDefault="008E022E" w14:paraId="6788AAEA" w14:textId="77777777">
            <w:pPr>
              <w:spacing w:after="120" w:line="240" w:lineRule="auto"/>
              <w:jc w:val="both"/>
              <w:rPr>
                <w:rFonts w:ascii="Times New Roman" w:hAnsi="Times New Roman" w:eastAsia="Calibri" w:cs="Times New Roman"/>
                <w:sz w:val="24"/>
                <w:szCs w:val="24"/>
              </w:rPr>
            </w:pPr>
            <w:r w:rsidRPr="008E022E">
              <w:rPr>
                <w:rFonts w:ascii="Times New Roman" w:hAnsi="Times New Roman" w:eastAsia="Calibri" w:cs="Times New Roman"/>
                <w:sz w:val="24"/>
                <w:szCs w:val="24"/>
              </w:rPr>
              <w:t xml:space="preserve">Apliecinājuma mērķis ir gūt pārliecību, ka “pēdējā jūdze” tiks izveidota un interneta pakalpojumi tiks nodrošināti attiecīgajā objektā (izglītības iestādē). Apliecinājumā pašvaldība iekļauj informāciju, ka: </w:t>
            </w:r>
          </w:p>
          <w:p w:rsidRPr="008E022E" w:rsidR="008E022E" w:rsidP="008E022E" w:rsidRDefault="008E022E" w14:paraId="0111C6A0" w14:textId="77777777">
            <w:pPr>
              <w:spacing w:after="120" w:line="240" w:lineRule="auto"/>
              <w:jc w:val="both"/>
              <w:rPr>
                <w:rFonts w:ascii="Times New Roman" w:hAnsi="Times New Roman" w:eastAsia="Calibri" w:cs="Times New Roman"/>
                <w:sz w:val="24"/>
                <w:szCs w:val="24"/>
              </w:rPr>
            </w:pPr>
            <w:r w:rsidRPr="008E022E">
              <w:rPr>
                <w:rFonts w:ascii="Times New Roman" w:hAnsi="Times New Roman" w:eastAsia="Calibri" w:cs="Times New Roman"/>
                <w:sz w:val="24"/>
                <w:szCs w:val="24"/>
              </w:rPr>
              <w:t>–</w:t>
            </w:r>
            <w:r w:rsidRPr="008E022E">
              <w:rPr>
                <w:rFonts w:ascii="Times New Roman" w:hAnsi="Times New Roman" w:eastAsia="Calibri" w:cs="Times New Roman"/>
                <w:sz w:val="24"/>
                <w:szCs w:val="24"/>
              </w:rPr>
              <w:tab/>
              <w:t>izglītības iestāde pastāvēs (būs ilgtspējīga);</w:t>
            </w:r>
          </w:p>
          <w:p w:rsidRPr="00F30820" w:rsidR="00CB240F" w:rsidP="008E022E" w:rsidRDefault="008E022E" w14:paraId="63F2E8CB" w14:textId="104BB474">
            <w:pPr>
              <w:spacing w:after="120" w:line="240" w:lineRule="auto"/>
              <w:jc w:val="both"/>
              <w:rPr>
                <w:rFonts w:cs="Times New Roman"/>
              </w:rPr>
            </w:pPr>
            <w:r w:rsidRPr="008E022E">
              <w:rPr>
                <w:rFonts w:ascii="Times New Roman" w:hAnsi="Times New Roman" w:eastAsia="Calibri" w:cs="Times New Roman"/>
                <w:sz w:val="24"/>
                <w:szCs w:val="24"/>
              </w:rPr>
              <w:t>–</w:t>
            </w:r>
            <w:r w:rsidRPr="008E022E">
              <w:rPr>
                <w:rFonts w:ascii="Times New Roman" w:hAnsi="Times New Roman" w:eastAsia="Calibri" w:cs="Times New Roman"/>
                <w:sz w:val="24"/>
                <w:szCs w:val="24"/>
              </w:rPr>
              <w:tab/>
              <w:t xml:space="preserve">pašvaldība nodrošinās  finansējumu  un organizēs, ievērojot normatīvo aktu prasības, “pēdējās jūdzes” pieslēguma pakalpojuma saņemšanu izglītības iestādē un tā ilgstošu  izmantošanu attiecīgās izglītības iestādes mācību procesā </w:t>
            </w:r>
            <w:r w:rsidRPr="00B17A7A" w:rsidR="00161968">
              <w:rPr>
                <w:rFonts w:ascii="Times New Roman" w:hAnsi="Times New Roman" w:eastAsia="Calibri" w:cs="Times New Roman"/>
                <w:sz w:val="24"/>
                <w:szCs w:val="24"/>
              </w:rPr>
              <w:t xml:space="preserve"> </w:t>
            </w:r>
          </w:p>
          <w:p w:rsidR="00CB240F" w:rsidP="00B17A7A" w:rsidRDefault="00CB240F" w14:paraId="3AF608F3" w14:textId="6FA52726">
            <w:pPr>
              <w:spacing w:after="120" w:line="240" w:lineRule="auto"/>
              <w:jc w:val="both"/>
              <w:rPr>
                <w:rFonts w:ascii="Times New Roman" w:hAnsi="Times New Roman" w:cs="Times New Roman"/>
                <w:sz w:val="24"/>
                <w:szCs w:val="24"/>
              </w:rPr>
            </w:pPr>
            <w:bookmarkStart w:name="_Hlk56073932" w:id="2"/>
            <w:r>
              <w:rPr>
                <w:rFonts w:ascii="Times New Roman" w:hAnsi="Times New Roman" w:cs="Times New Roman"/>
                <w:sz w:val="24"/>
                <w:szCs w:val="24"/>
              </w:rPr>
              <w:t xml:space="preserve">Apliecinājuma esamība ir galvenais apsvērums, lai nodrošinātu </w:t>
            </w:r>
            <w:r w:rsidR="00F8726F">
              <w:rPr>
                <w:rFonts w:ascii="Times New Roman" w:hAnsi="Times New Roman" w:cs="Times New Roman"/>
                <w:sz w:val="24"/>
                <w:szCs w:val="24"/>
              </w:rPr>
              <w:t xml:space="preserve">finansējuma ieguldīšanas </w:t>
            </w:r>
            <w:r>
              <w:rPr>
                <w:rFonts w:ascii="Times New Roman" w:hAnsi="Times New Roman" w:cs="Times New Roman"/>
                <w:sz w:val="24"/>
                <w:szCs w:val="24"/>
              </w:rPr>
              <w:t xml:space="preserve">lietderību konkrētajā objektā, t.i., izglītības iestādes </w:t>
            </w:r>
            <w:r w:rsidR="006A15A6">
              <w:rPr>
                <w:rFonts w:ascii="Times New Roman" w:hAnsi="Times New Roman" w:cs="Times New Roman"/>
                <w:sz w:val="24"/>
                <w:szCs w:val="24"/>
              </w:rPr>
              <w:t xml:space="preserve">piekļuves </w:t>
            </w:r>
            <w:r>
              <w:rPr>
                <w:rFonts w:ascii="Times New Roman" w:hAnsi="Times New Roman" w:cs="Times New Roman"/>
                <w:sz w:val="24"/>
                <w:szCs w:val="24"/>
              </w:rPr>
              <w:t>punkta izbūvē. Informācija par pašvaldību iesniegtajiem apliecinājumiem tiks ņemta vērā šādos projekta ieviešanas posmos:</w:t>
            </w:r>
          </w:p>
          <w:p w:rsidR="00CB240F" w:rsidP="00B17A7A" w:rsidRDefault="00CB240F" w14:paraId="0BC236FC" w14:textId="777777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LVRTC, novērtējot projekta kopējo nepieciešamo investīciju apjomu, </w:t>
            </w:r>
          </w:p>
          <w:p w:rsidR="00CB240F" w:rsidP="00B17A7A" w:rsidRDefault="00CB240F" w14:paraId="34C419D2" w14:textId="494B89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AB4F80">
              <w:t xml:space="preserve"> </w:t>
            </w:r>
            <w:r w:rsidRPr="00AB4F80" w:rsidR="00AB4F80">
              <w:rPr>
                <w:rFonts w:ascii="Times New Roman" w:hAnsi="Times New Roman" w:cs="Times New Roman"/>
                <w:sz w:val="24"/>
                <w:szCs w:val="24"/>
              </w:rPr>
              <w:t xml:space="preserve">Optiskā tīkla uzraudzības komiteja </w:t>
            </w:r>
            <w:r w:rsidR="00AB4F80">
              <w:rPr>
                <w:rFonts w:ascii="Times New Roman" w:hAnsi="Times New Roman" w:cs="Times New Roman"/>
                <w:sz w:val="24"/>
                <w:szCs w:val="24"/>
              </w:rPr>
              <w:t>(</w:t>
            </w:r>
            <w:r w:rsidR="00A43261">
              <w:rPr>
                <w:rFonts w:ascii="Times New Roman" w:hAnsi="Times New Roman" w:cs="Times New Roman"/>
                <w:sz w:val="24"/>
                <w:szCs w:val="24"/>
              </w:rPr>
              <w:t xml:space="preserve">turpmāk - </w:t>
            </w:r>
            <w:r>
              <w:rPr>
                <w:rFonts w:ascii="Times New Roman" w:hAnsi="Times New Roman" w:cs="Times New Roman"/>
                <w:sz w:val="24"/>
                <w:szCs w:val="24"/>
              </w:rPr>
              <w:t>OTUK</w:t>
            </w:r>
            <w:r w:rsidR="00AB4F80">
              <w:rPr>
                <w:rFonts w:ascii="Times New Roman" w:hAnsi="Times New Roman" w:cs="Times New Roman"/>
                <w:sz w:val="24"/>
                <w:szCs w:val="24"/>
              </w:rPr>
              <w:t>)</w:t>
            </w:r>
            <w:r>
              <w:rPr>
                <w:rFonts w:ascii="Times New Roman" w:hAnsi="Times New Roman" w:cs="Times New Roman"/>
                <w:sz w:val="24"/>
                <w:szCs w:val="24"/>
              </w:rPr>
              <w:t xml:space="preserve">, pieņemot lēmumu par katra konkrētā pieslēguma punkta projektēšanu un būvniecību. </w:t>
            </w:r>
          </w:p>
          <w:p w:rsidRPr="00F91E31" w:rsidR="00CB240F" w:rsidP="00B17A7A" w:rsidRDefault="00CB240F" w14:paraId="621F5093" w14:textId="69505F60">
            <w:pPr>
              <w:spacing w:after="120" w:line="240" w:lineRule="auto"/>
              <w:jc w:val="both"/>
              <w:rPr>
                <w:rFonts w:ascii="Times New Roman" w:hAnsi="Times New Roman" w:cs="Times New Roman"/>
                <w:sz w:val="24"/>
                <w:szCs w:val="24"/>
              </w:rPr>
            </w:pPr>
            <w:bookmarkStart w:name="_Hlk56426983" w:id="3"/>
            <w:r w:rsidRPr="00F91E31">
              <w:rPr>
                <w:rFonts w:ascii="Times New Roman" w:hAnsi="Times New Roman" w:cs="Times New Roman"/>
                <w:sz w:val="24"/>
                <w:szCs w:val="24"/>
              </w:rPr>
              <w:t>Gadījumā, ja konkrētā pašvaldība</w:t>
            </w:r>
            <w:r w:rsidRPr="00F91E31" w:rsidR="00A43261">
              <w:rPr>
                <w:rFonts w:ascii="Times New Roman" w:hAnsi="Times New Roman" w:cs="Times New Roman"/>
                <w:sz w:val="24"/>
                <w:szCs w:val="24"/>
              </w:rPr>
              <w:t xml:space="preserve"> līdz OTUK lēmuma pieņemšanai</w:t>
            </w:r>
            <w:r w:rsidRPr="00F91E31">
              <w:rPr>
                <w:rFonts w:ascii="Times New Roman" w:hAnsi="Times New Roman" w:cs="Times New Roman"/>
                <w:sz w:val="24"/>
                <w:szCs w:val="24"/>
              </w:rPr>
              <w:t xml:space="preserve"> </w:t>
            </w:r>
            <w:r w:rsidRPr="00F91E31" w:rsidR="00A43261">
              <w:rPr>
                <w:rFonts w:ascii="Times New Roman" w:hAnsi="Times New Roman" w:cs="Times New Roman"/>
                <w:sz w:val="24"/>
                <w:szCs w:val="24"/>
              </w:rPr>
              <w:t xml:space="preserve">par </w:t>
            </w:r>
            <w:r w:rsidRPr="00F91E31" w:rsidR="00A43261">
              <w:rPr>
                <w:sz w:val="24"/>
                <w:szCs w:val="24"/>
              </w:rPr>
              <w:t xml:space="preserve"> </w:t>
            </w:r>
            <w:r w:rsidRPr="00F91E31" w:rsidR="00A43261">
              <w:rPr>
                <w:rFonts w:ascii="Times New Roman" w:hAnsi="Times New Roman" w:cs="Times New Roman"/>
                <w:sz w:val="24"/>
                <w:szCs w:val="24"/>
              </w:rPr>
              <w:t xml:space="preserve">pieejas punkta izbūvi izglītības iestādes teritorijā </w:t>
            </w:r>
            <w:r w:rsidRPr="00F91E31" w:rsidR="00522CA7">
              <w:rPr>
                <w:rFonts w:ascii="Times New Roman" w:hAnsi="Times New Roman" w:cs="Times New Roman"/>
                <w:sz w:val="24"/>
                <w:szCs w:val="24"/>
              </w:rPr>
              <w:t xml:space="preserve">nebūs iesniegusi apliecinājumu, </w:t>
            </w:r>
            <w:r w:rsidRPr="00F91E31">
              <w:rPr>
                <w:rFonts w:ascii="Times New Roman" w:hAnsi="Times New Roman" w:cs="Times New Roman"/>
                <w:sz w:val="24"/>
                <w:szCs w:val="24"/>
              </w:rPr>
              <w:t xml:space="preserve">būvniecība attiecīgajā objektā </w:t>
            </w:r>
            <w:r w:rsidRPr="00F91E31" w:rsidR="00D72AAB">
              <w:rPr>
                <w:rFonts w:ascii="Times New Roman" w:hAnsi="Times New Roman" w:cs="Times New Roman"/>
                <w:sz w:val="24"/>
                <w:szCs w:val="24"/>
              </w:rPr>
              <w:t xml:space="preserve">(izglītības iestādē) </w:t>
            </w:r>
            <w:r w:rsidRPr="00F91E31">
              <w:rPr>
                <w:rFonts w:ascii="Times New Roman" w:hAnsi="Times New Roman" w:cs="Times New Roman"/>
                <w:sz w:val="24"/>
                <w:szCs w:val="24"/>
              </w:rPr>
              <w:t xml:space="preserve">netiek plānota, ņemot vērā risku </w:t>
            </w:r>
            <w:r w:rsidRPr="00F91E31" w:rsidR="00A2565F">
              <w:rPr>
                <w:rFonts w:ascii="Times New Roman" w:hAnsi="Times New Roman" w:cs="Times New Roman"/>
                <w:sz w:val="24"/>
                <w:szCs w:val="24"/>
              </w:rPr>
              <w:t xml:space="preserve">ieguldāmo finanšu līdzekļu </w:t>
            </w:r>
            <w:r w:rsidRPr="00F91E31">
              <w:rPr>
                <w:rFonts w:ascii="Times New Roman" w:hAnsi="Times New Roman" w:cs="Times New Roman"/>
                <w:sz w:val="24"/>
                <w:szCs w:val="24"/>
              </w:rPr>
              <w:t>lietderībai.</w:t>
            </w:r>
            <w:r w:rsidRPr="00F91E31" w:rsidR="00A43261">
              <w:rPr>
                <w:rFonts w:ascii="Times New Roman" w:hAnsi="Times New Roman" w:cs="Times New Roman"/>
                <w:sz w:val="24"/>
                <w:szCs w:val="24"/>
              </w:rPr>
              <w:t xml:space="preserve"> </w:t>
            </w:r>
            <w:r w:rsidRPr="00F91E31" w:rsidR="00BF51F6">
              <w:rPr>
                <w:sz w:val="24"/>
                <w:szCs w:val="24"/>
              </w:rPr>
              <w:t xml:space="preserve"> </w:t>
            </w:r>
            <w:r w:rsidRPr="00F91E31" w:rsidR="00BF51F6">
              <w:rPr>
                <w:rFonts w:ascii="Times New Roman" w:hAnsi="Times New Roman" w:cs="Times New Roman"/>
                <w:sz w:val="24"/>
                <w:szCs w:val="24"/>
              </w:rPr>
              <w:t>Papildus tam,</w:t>
            </w:r>
            <w:r w:rsidRPr="00F91E31" w:rsidR="00BF51F6">
              <w:rPr>
                <w:sz w:val="24"/>
                <w:szCs w:val="24"/>
              </w:rPr>
              <w:t xml:space="preserve"> </w:t>
            </w:r>
            <w:r w:rsidRPr="00F91E31" w:rsidR="00BF51F6">
              <w:rPr>
                <w:rFonts w:ascii="Times New Roman" w:hAnsi="Times New Roman" w:cs="Times New Roman"/>
                <w:sz w:val="24"/>
                <w:szCs w:val="24"/>
              </w:rPr>
              <w:t xml:space="preserve">ņemot vērā iepirkumu un būvniecības procesu specifiku, </w:t>
            </w:r>
            <w:r w:rsidRPr="00F91E31" w:rsidR="00BF51F6">
              <w:rPr>
                <w:rFonts w:ascii="Times New Roman" w:hAnsi="Times New Roman" w:cs="Times New Roman"/>
                <w:sz w:val="24"/>
                <w:szCs w:val="24"/>
              </w:rPr>
              <w:lastRenderedPageBreak/>
              <w:t>OTUK pieņem lēmumu par piekļuves punktu apstiprināšanu pēc iespējas drīzāk, lai būtu iespējams savlaicīgi uzsākt b</w:t>
            </w:r>
            <w:r w:rsidRPr="00F91E31" w:rsidR="005F034E">
              <w:rPr>
                <w:rFonts w:ascii="Times New Roman" w:hAnsi="Times New Roman" w:cs="Times New Roman"/>
                <w:sz w:val="24"/>
                <w:szCs w:val="24"/>
              </w:rPr>
              <w:t>ūvdarbus.</w:t>
            </w:r>
            <w:r w:rsidRPr="00F91E31" w:rsidR="00BF51F6">
              <w:rPr>
                <w:rFonts w:ascii="Times New Roman" w:hAnsi="Times New Roman" w:cs="Times New Roman"/>
                <w:sz w:val="24"/>
                <w:szCs w:val="24"/>
              </w:rPr>
              <w:t xml:space="preserve">  </w:t>
            </w:r>
          </w:p>
          <w:bookmarkEnd w:id="2"/>
          <w:bookmarkEnd w:id="3"/>
          <w:p w:rsidR="0066695E" w:rsidP="00B17A7A" w:rsidRDefault="0066695E" w14:paraId="672337CD" w14:textId="0DC6C5B0">
            <w:pPr>
              <w:spacing w:after="120" w:line="240" w:lineRule="auto"/>
              <w:jc w:val="both"/>
              <w:rPr>
                <w:rFonts w:ascii="Times New Roman" w:hAnsi="Times New Roman" w:eastAsia="Calibri" w:cs="Times New Roman"/>
                <w:sz w:val="24"/>
                <w:szCs w:val="24"/>
              </w:rPr>
            </w:pPr>
            <w:r w:rsidRPr="0066695E">
              <w:rPr>
                <w:rFonts w:ascii="Times New Roman" w:hAnsi="Times New Roman" w:eastAsia="Calibri" w:cs="Times New Roman"/>
                <w:sz w:val="24"/>
                <w:szCs w:val="24"/>
              </w:rPr>
              <w:t>Piekļuves punktu izbūvei izglītības iestādēs tiks veikti jauni iepirkumi projektēšanas un būvniecības nodrošināšanai</w:t>
            </w:r>
            <w:r w:rsidRPr="00562D1C" w:rsidR="00562D1C">
              <w:rPr>
                <w:rFonts w:ascii="Times New Roman" w:hAnsi="Times New Roman" w:eastAsia="Calibri" w:cs="Times New Roman"/>
                <w:sz w:val="24"/>
                <w:szCs w:val="24"/>
              </w:rPr>
              <w:t>, kā arī atbalsta pakalpojumu būvprojektu pārbaudes un būvuzraudzības nodrošināšanai.</w:t>
            </w:r>
          </w:p>
          <w:p w:rsidR="00B17070" w:rsidP="00B17070" w:rsidRDefault="00B17070" w14:paraId="110573D0" w14:textId="0315CAAB">
            <w:pPr>
              <w:spacing w:after="120" w:line="240" w:lineRule="auto"/>
              <w:jc w:val="both"/>
              <w:rPr>
                <w:rFonts w:ascii="Times New Roman" w:hAnsi="Times New Roman" w:eastAsia="Calibri" w:cs="Times New Roman"/>
                <w:sz w:val="24"/>
                <w:szCs w:val="24"/>
              </w:rPr>
            </w:pPr>
            <w:r w:rsidRPr="00B17070">
              <w:rPr>
                <w:rFonts w:ascii="Times New Roman" w:hAnsi="Times New Roman" w:eastAsia="Calibri" w:cs="Times New Roman"/>
                <w:sz w:val="24"/>
                <w:szCs w:val="24"/>
              </w:rPr>
              <w:t>Ievērojot minēto, noteikumu projekts paredz šādus grozījumus Ministru kabineta 2015. gada 24. novembra noteikumos Nr. 664 “Darbības programmas "Izaugsme un nodarbinātība" 2.1.1. specifiskā atbalsta mērķa "Uzlabot elektroniskās sakaru infrastruktūras pieejamību lauku teritorijās" pirmās projektu iesniegumu atlases kārtas īstenošanas noteikumi” (turpmāk – MK noteikumi Nr.664):</w:t>
            </w:r>
          </w:p>
          <w:p w:rsidRPr="00B17070" w:rsidR="00B17070" w:rsidP="00B17070" w:rsidRDefault="00B17070" w14:paraId="1938B819" w14:textId="13BE1735">
            <w:pPr>
              <w:pStyle w:val="ListParagraph"/>
              <w:numPr>
                <w:ilvl w:val="0"/>
                <w:numId w:val="20"/>
              </w:numPr>
              <w:spacing w:after="120"/>
              <w:rPr>
                <w:rFonts w:eastAsia="Calibri" w:cs="Times New Roman"/>
              </w:rPr>
            </w:pPr>
            <w:r w:rsidRPr="00B17070">
              <w:rPr>
                <w:rFonts w:eastAsia="Calibri" w:cs="Times New Roman"/>
              </w:rPr>
              <w:t xml:space="preserve">palielināt 2.1.1.SAM plānoto kopējo attiecināmo finansējumu par 3 000 000 euro, t.sk. ERAF par 2 550 000 euro un  privāto finansējumu par 450 000 euro, </w:t>
            </w:r>
          </w:p>
          <w:p w:rsidR="00B17070" w:rsidP="00B17070" w:rsidRDefault="00B17070" w14:paraId="2FFB6023" w14:textId="5C22C5BA">
            <w:pPr>
              <w:pStyle w:val="ListParagraph"/>
              <w:numPr>
                <w:ilvl w:val="0"/>
                <w:numId w:val="20"/>
              </w:numPr>
              <w:spacing w:after="120"/>
              <w:rPr>
                <w:rFonts w:eastAsia="Calibri" w:cs="Times New Roman"/>
              </w:rPr>
            </w:pPr>
            <w:r w:rsidRPr="00B17070">
              <w:rPr>
                <w:rFonts w:eastAsia="Calibri" w:cs="Times New Roman"/>
              </w:rPr>
              <w:t xml:space="preserve">papildināt 2.1.1.SAM ar jaunu </w:t>
            </w:r>
            <w:r w:rsidR="00D41EAA">
              <w:rPr>
                <w:rFonts w:eastAsia="Calibri" w:cs="Times New Roman"/>
              </w:rPr>
              <w:t xml:space="preserve">specifisko iznākuma </w:t>
            </w:r>
            <w:r w:rsidRPr="00B17070">
              <w:rPr>
                <w:rFonts w:eastAsia="Calibri" w:cs="Times New Roman"/>
              </w:rPr>
              <w:t xml:space="preserve"> rādītāju - izglītības iestāžu skaits, kur</w:t>
            </w:r>
            <w:r w:rsidR="00721736">
              <w:rPr>
                <w:rFonts w:eastAsia="Calibri" w:cs="Times New Roman"/>
              </w:rPr>
              <w:t>ā</w:t>
            </w:r>
            <w:r w:rsidRPr="00B17070">
              <w:rPr>
                <w:rFonts w:eastAsia="Calibri" w:cs="Times New Roman"/>
              </w:rPr>
              <w:t>s ierīkots optiskā tīkla piekļuves punkts</w:t>
            </w:r>
            <w:r w:rsidR="00721736">
              <w:rPr>
                <w:rFonts w:eastAsia="Calibri" w:cs="Times New Roman"/>
              </w:rPr>
              <w:t xml:space="preserve">: </w:t>
            </w:r>
            <w:r w:rsidR="009642E2">
              <w:rPr>
                <w:rFonts w:eastAsia="Calibri" w:cs="Times New Roman"/>
              </w:rPr>
              <w:t>6</w:t>
            </w:r>
            <w:r>
              <w:rPr>
                <w:rFonts w:eastAsia="Calibri" w:cs="Times New Roman"/>
              </w:rPr>
              <w:t xml:space="preserve"> </w:t>
            </w:r>
            <w:r w:rsidR="00721736">
              <w:rPr>
                <w:rFonts w:eastAsia="Calibri" w:cs="Times New Roman"/>
              </w:rPr>
              <w:t>iestādes</w:t>
            </w:r>
            <w:r w:rsidRPr="00B17070">
              <w:rPr>
                <w:rFonts w:eastAsia="Calibri" w:cs="Times New Roman"/>
              </w:rPr>
              <w:t>.</w:t>
            </w:r>
          </w:p>
          <w:p w:rsidRPr="00B17070" w:rsidR="001F0E50" w:rsidP="00B17070" w:rsidRDefault="00B17070" w14:paraId="42436013" w14:textId="5C008139">
            <w:pPr>
              <w:pStyle w:val="ListParagraph"/>
              <w:numPr>
                <w:ilvl w:val="0"/>
                <w:numId w:val="20"/>
              </w:numPr>
              <w:spacing w:after="120"/>
              <w:rPr>
                <w:rFonts w:eastAsia="Calibri" w:cs="Times New Roman"/>
              </w:rPr>
            </w:pPr>
            <w:r w:rsidRPr="00B17070">
              <w:rPr>
                <w:rFonts w:eastAsia="Calibri" w:cs="Times New Roman"/>
              </w:rPr>
              <w:t>svītrot MK noteikumu Nr.664 10.punktu, ņemot vērā, ka pēc MK 2019.gada 11.oktobra lēmuma  par snieguma rezerves finansējuma izmantošanu tas ir zaudējis aktualitāti.</w:t>
            </w:r>
          </w:p>
          <w:p w:rsidR="00810E3D" w:rsidP="00B17A7A" w:rsidRDefault="00810E3D" w14:paraId="534A11C0" w14:textId="6CB63E0C">
            <w:pPr>
              <w:spacing w:after="120" w:line="240" w:lineRule="auto"/>
              <w:jc w:val="both"/>
              <w:rPr>
                <w:rFonts w:ascii="Times New Roman" w:hAnsi="Times New Roman" w:eastAsia="Calibri" w:cs="Times New Roman"/>
                <w:sz w:val="24"/>
                <w:szCs w:val="24"/>
              </w:rPr>
            </w:pPr>
            <w:r w:rsidRPr="00810E3D">
              <w:rPr>
                <w:rFonts w:ascii="Times New Roman" w:hAnsi="Times New Roman" w:eastAsia="Calibri" w:cs="Times New Roman"/>
                <w:sz w:val="24"/>
                <w:szCs w:val="24"/>
              </w:rPr>
              <w:t>Darbības programmas grozījumu veikšanas brīdī  IzM  vēl nebija identificējis tās izglītības iestādes, kurās, ievērojot valsts atbalsta nosacījumus un “balto” teritoriju sarakstu, būtu iespējams izbūvēt piekļuves punktus. Ņemot vērā minēto un darbības programmas grozījumu saskaņošanas procesā panākto vienošanos, rādītājs  tiek noteikts MK noteikumos atbilstoši IzM veiktās  aptaujas rezultātiem</w:t>
            </w:r>
            <w:r w:rsidR="001B10FA">
              <w:rPr>
                <w:rFonts w:ascii="Times New Roman" w:hAnsi="Times New Roman" w:eastAsia="Calibri" w:cs="Times New Roman"/>
                <w:sz w:val="24"/>
                <w:szCs w:val="24"/>
              </w:rPr>
              <w:t>.</w:t>
            </w:r>
          </w:p>
          <w:p w:rsidRPr="0066695E" w:rsidR="001F0E50" w:rsidP="00B17A7A" w:rsidRDefault="00B17070" w14:paraId="011BD68E" w14:textId="7DB63CDE">
            <w:pPr>
              <w:spacing w:after="120" w:line="240" w:lineRule="auto"/>
              <w:jc w:val="both"/>
              <w:rPr>
                <w:rFonts w:ascii="Times New Roman" w:hAnsi="Times New Roman" w:eastAsia="Calibri" w:cs="Times New Roman"/>
                <w:sz w:val="24"/>
                <w:szCs w:val="24"/>
              </w:rPr>
            </w:pPr>
            <w:r w:rsidRPr="00B17070">
              <w:rPr>
                <w:rFonts w:ascii="Times New Roman" w:hAnsi="Times New Roman" w:eastAsia="Calibri" w:cs="Times New Roman"/>
                <w:sz w:val="24"/>
                <w:szCs w:val="24"/>
              </w:rPr>
              <w:t>Noteikumu projektā 2.1.1.SAM papildus piešķirtais finansējums nepārsniedz Eiropas Komisijai paziņoto shēmas budžetu, kas noteikts Eiropas Komisijas lēmuma SA.33324 “Nākamās paaudzes tīkli lauku teritorijās” 15.punktā – ne attiecībā uz plānoto kopējo atbalsta apjomu, ne arī attiecībā uz 2.posmā plānoto atbalsta apjomu.</w:t>
            </w:r>
          </w:p>
          <w:p w:rsidRPr="00434418" w:rsidR="0066695E" w:rsidP="00AF7967" w:rsidRDefault="0066695E" w14:paraId="04763683" w14:textId="2B41F1D9">
            <w:pPr>
              <w:spacing w:after="120" w:line="240" w:lineRule="auto"/>
              <w:jc w:val="both"/>
            </w:pPr>
            <w:r w:rsidRPr="0066695E">
              <w:rPr>
                <w:rFonts w:ascii="Times New Roman" w:hAnsi="Times New Roman" w:eastAsia="Times New Roman" w:cs="Times New Roman"/>
                <w:sz w:val="24"/>
                <w:szCs w:val="24"/>
                <w:lang w:eastAsia="lv-LV"/>
              </w:rPr>
              <w:t xml:space="preserve">Piekļuves punktu izbūves nepieciešamā attiecināmo izmaksu kopsumma ir 3 000 000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w:t>
            </w:r>
            <w:r w:rsidRPr="00B1139D">
              <w:rPr>
                <w:rFonts w:ascii="Times New Roman" w:hAnsi="Times New Roman" w:eastAsia="Times New Roman" w:cs="Times New Roman"/>
                <w:sz w:val="24"/>
                <w:szCs w:val="24"/>
                <w:lang w:eastAsia="lv-LV"/>
              </w:rPr>
              <w:t xml:space="preserve">2020.gadā 0 </w:t>
            </w:r>
            <w:r w:rsidRPr="00B1139D">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2021.gadā </w:t>
            </w:r>
            <w:r w:rsidR="00A155B1">
              <w:rPr>
                <w:rFonts w:ascii="Times New Roman" w:hAnsi="Times New Roman" w:eastAsia="Times New Roman" w:cs="Times New Roman"/>
                <w:sz w:val="24"/>
                <w:szCs w:val="24"/>
                <w:lang w:eastAsia="lv-LV"/>
              </w:rPr>
              <w:t>329</w:t>
            </w:r>
            <w:r w:rsidRPr="0066695E">
              <w:rPr>
                <w:rFonts w:ascii="Times New Roman" w:hAnsi="Times New Roman" w:eastAsia="Times New Roman" w:cs="Times New Roman"/>
                <w:sz w:val="24"/>
                <w:szCs w:val="24"/>
                <w:lang w:eastAsia="lv-LV"/>
              </w:rPr>
              <w:t xml:space="preserve"> 800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2022.gadā 501 200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un 2023.gadā 2 169 000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t.sk., ERAF finansējums 2 550 000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(2020.gadā 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2021.gadā 2</w:t>
            </w:r>
            <w:r w:rsidR="00A155B1">
              <w:rPr>
                <w:rFonts w:ascii="Times New Roman" w:hAnsi="Times New Roman" w:eastAsia="Times New Roman" w:cs="Times New Roman"/>
                <w:sz w:val="24"/>
                <w:szCs w:val="24"/>
                <w:lang w:eastAsia="lv-LV"/>
              </w:rPr>
              <w:t>80</w:t>
            </w:r>
            <w:r w:rsidRPr="0066695E">
              <w:rPr>
                <w:rFonts w:ascii="Times New Roman" w:hAnsi="Times New Roman" w:eastAsia="Times New Roman" w:cs="Times New Roman"/>
                <w:sz w:val="24"/>
                <w:szCs w:val="24"/>
                <w:lang w:eastAsia="lv-LV"/>
              </w:rPr>
              <w:t xml:space="preserve"> </w:t>
            </w:r>
            <w:r w:rsidR="00A155B1">
              <w:rPr>
                <w:rFonts w:ascii="Times New Roman" w:hAnsi="Times New Roman" w:eastAsia="Times New Roman" w:cs="Times New Roman"/>
                <w:sz w:val="24"/>
                <w:szCs w:val="24"/>
                <w:lang w:eastAsia="lv-LV"/>
              </w:rPr>
              <w:t>33</w:t>
            </w:r>
            <w:r w:rsidRPr="0066695E">
              <w:rPr>
                <w:rFonts w:ascii="Times New Roman" w:hAnsi="Times New Roman" w:eastAsia="Times New Roman" w:cs="Times New Roman"/>
                <w:sz w:val="24"/>
                <w:szCs w:val="24"/>
                <w:lang w:eastAsia="lv-LV"/>
              </w:rPr>
              <w:t xml:space="preserve">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2022.gadā 426 020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un 2023.gadā 1 843 650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un privātais finansējums 450 000 </w:t>
            </w:r>
            <w:r w:rsidRPr="0066695E">
              <w:rPr>
                <w:rFonts w:ascii="Times New Roman" w:hAnsi="Times New Roman" w:eastAsia="Times New Roman" w:cs="Times New Roman"/>
                <w:i/>
                <w:iCs/>
                <w:sz w:val="24"/>
                <w:szCs w:val="24"/>
                <w:lang w:eastAsia="lv-LV"/>
              </w:rPr>
              <w:t xml:space="preserve">euro </w:t>
            </w:r>
            <w:r w:rsidRPr="0066695E">
              <w:rPr>
                <w:rFonts w:ascii="Times New Roman" w:hAnsi="Times New Roman" w:eastAsia="Times New Roman" w:cs="Times New Roman"/>
                <w:sz w:val="24"/>
                <w:szCs w:val="24"/>
                <w:lang w:eastAsia="lv-LV"/>
              </w:rPr>
              <w:t xml:space="preserve">(2020.gadā 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2021.gadā 4</w:t>
            </w:r>
            <w:r w:rsidR="00A155B1">
              <w:rPr>
                <w:rFonts w:ascii="Times New Roman" w:hAnsi="Times New Roman" w:eastAsia="Times New Roman" w:cs="Times New Roman"/>
                <w:sz w:val="24"/>
                <w:szCs w:val="24"/>
                <w:lang w:eastAsia="lv-LV"/>
              </w:rPr>
              <w:t>9</w:t>
            </w:r>
            <w:r w:rsidRPr="0066695E">
              <w:rPr>
                <w:rFonts w:ascii="Times New Roman" w:hAnsi="Times New Roman" w:eastAsia="Times New Roman" w:cs="Times New Roman"/>
                <w:sz w:val="24"/>
                <w:szCs w:val="24"/>
                <w:lang w:eastAsia="lv-LV"/>
              </w:rPr>
              <w:t xml:space="preserve"> </w:t>
            </w:r>
            <w:r w:rsidR="00A155B1">
              <w:rPr>
                <w:rFonts w:ascii="Times New Roman" w:hAnsi="Times New Roman" w:eastAsia="Times New Roman" w:cs="Times New Roman"/>
                <w:sz w:val="24"/>
                <w:szCs w:val="24"/>
                <w:lang w:eastAsia="lv-LV"/>
              </w:rPr>
              <w:t>47</w:t>
            </w:r>
            <w:r w:rsidRPr="0066695E">
              <w:rPr>
                <w:rFonts w:ascii="Times New Roman" w:hAnsi="Times New Roman" w:eastAsia="Times New Roman" w:cs="Times New Roman"/>
                <w:sz w:val="24"/>
                <w:szCs w:val="24"/>
                <w:lang w:eastAsia="lv-LV"/>
              </w:rPr>
              <w:t xml:space="preserve">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2022.gadā 75 180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 xml:space="preserve"> un 2023.gadā 325 350 </w:t>
            </w:r>
            <w:r w:rsidRPr="0066695E">
              <w:rPr>
                <w:rFonts w:ascii="Times New Roman" w:hAnsi="Times New Roman" w:eastAsia="Times New Roman" w:cs="Times New Roman"/>
                <w:i/>
                <w:iCs/>
                <w:sz w:val="24"/>
                <w:szCs w:val="24"/>
                <w:lang w:eastAsia="lv-LV"/>
              </w:rPr>
              <w:t>euro</w:t>
            </w:r>
            <w:r w:rsidRPr="0066695E">
              <w:rPr>
                <w:rFonts w:ascii="Times New Roman" w:hAnsi="Times New Roman" w:eastAsia="Times New Roman" w:cs="Times New Roman"/>
                <w:sz w:val="24"/>
                <w:szCs w:val="24"/>
                <w:lang w:eastAsia="lv-LV"/>
              </w:rPr>
              <w:t>).</w:t>
            </w:r>
          </w:p>
        </w:tc>
      </w:tr>
      <w:tr w:rsidRPr="0077651F" w:rsidR="0077651F" w:rsidTr="007231DD" w14:paraId="4D915A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54E3B0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lastRenderedPageBreak/>
              <w:t>3.</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7231DD" w:rsidRDefault="00E5323B" w14:paraId="3DEEB6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7231DD" w:rsidRDefault="0066695E" w14:paraId="09E9132D" w14:textId="34687A45">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t>Satiksmes ministrija un Izglītības un zinātnes ministrija.</w:t>
            </w:r>
          </w:p>
        </w:tc>
      </w:tr>
      <w:tr w:rsidRPr="0077651F" w:rsidR="0077651F" w:rsidTr="007231DD" w14:paraId="388AB3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5C4005DE"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7231DD" w:rsidRDefault="00E5323B" w14:paraId="1F2DED7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66695E" w:rsidR="0066695E" w:rsidP="007231DD" w:rsidRDefault="0066695E" w14:paraId="76A8110E" w14:textId="1F3B2105">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sz w:val="24"/>
                <w:szCs w:val="24"/>
                <w:lang w:eastAsia="lv-LV"/>
              </w:rPr>
              <w:t xml:space="preserve">Noteikumu projektam ir ietekme uz Projektu, par kura īstenošanu LVRTC noslēgts līgums ar </w:t>
            </w:r>
            <w:r w:rsidR="006831E5">
              <w:rPr>
                <w:rFonts w:ascii="Times New Roman" w:hAnsi="Times New Roman" w:eastAsia="Times New Roman" w:cs="Times New Roman"/>
                <w:sz w:val="24"/>
                <w:szCs w:val="24"/>
                <w:lang w:eastAsia="lv-LV"/>
              </w:rPr>
              <w:t>Centrālo finanšu un līgumu aģentūru (turpmāk – CFLA)</w:t>
            </w:r>
            <w:r w:rsidRPr="0066695E">
              <w:rPr>
                <w:rFonts w:ascii="Times New Roman" w:hAnsi="Times New Roman" w:eastAsia="Times New Roman" w:cs="Times New Roman"/>
                <w:sz w:val="24"/>
                <w:szCs w:val="24"/>
                <w:lang w:eastAsia="lv-LV"/>
              </w:rPr>
              <w:t>.</w:t>
            </w:r>
          </w:p>
          <w:p w:rsidR="00E5323B" w:rsidP="007231DD" w:rsidRDefault="0066695E" w14:paraId="2393F32F" w14:textId="44B44130">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sz w:val="24"/>
                <w:szCs w:val="24"/>
                <w:lang w:eastAsia="lv-LV"/>
              </w:rPr>
              <w:t xml:space="preserve">Pēc grozījumu MK noteikumos Nr.664 spēkā stāšanās tiesiskā regulējuma izmaiņu rezultātā </w:t>
            </w:r>
            <w:r w:rsidR="006831E5">
              <w:rPr>
                <w:rFonts w:ascii="Times New Roman" w:hAnsi="Times New Roman" w:eastAsia="Times New Roman" w:cs="Times New Roman"/>
                <w:sz w:val="24"/>
                <w:szCs w:val="24"/>
                <w:lang w:eastAsia="lv-LV"/>
              </w:rPr>
              <w:t>CFLA</w:t>
            </w:r>
            <w:r w:rsidRPr="0066695E">
              <w:rPr>
                <w:rFonts w:ascii="Times New Roman" w:hAnsi="Times New Roman" w:eastAsia="Times New Roman" w:cs="Times New Roman"/>
                <w:sz w:val="24"/>
                <w:szCs w:val="24"/>
                <w:lang w:eastAsia="lv-LV"/>
              </w:rPr>
              <w:t xml:space="preserve"> un LVRTC būs jānodrošina grozījumu veikšana </w:t>
            </w:r>
            <w:r w:rsidR="00CD2A22">
              <w:t xml:space="preserve"> </w:t>
            </w:r>
            <w:r w:rsidRPr="00CD2A22" w:rsidR="00CD2A22">
              <w:rPr>
                <w:rFonts w:ascii="Times New Roman" w:hAnsi="Times New Roman" w:eastAsia="Times New Roman" w:cs="Times New Roman"/>
                <w:sz w:val="24"/>
                <w:szCs w:val="24"/>
                <w:lang w:eastAsia="lv-LV"/>
              </w:rPr>
              <w:t>06.07.2016</w:t>
            </w:r>
            <w:r w:rsidRPr="0066695E">
              <w:rPr>
                <w:rFonts w:ascii="Times New Roman" w:hAnsi="Times New Roman" w:eastAsia="Times New Roman" w:cs="Times New Roman"/>
                <w:sz w:val="24"/>
                <w:szCs w:val="24"/>
                <w:lang w:eastAsia="lv-LV"/>
              </w:rPr>
              <w:t>. noslēgtajā līgumā Nr.</w:t>
            </w:r>
            <w:r w:rsidR="00CD2A22">
              <w:t xml:space="preserve"> </w:t>
            </w:r>
            <w:r w:rsidRPr="00CD2A22" w:rsidR="00CD2A22">
              <w:rPr>
                <w:rFonts w:ascii="Times New Roman" w:hAnsi="Times New Roman" w:eastAsia="Times New Roman" w:cs="Times New Roman"/>
                <w:sz w:val="24"/>
                <w:szCs w:val="24"/>
                <w:lang w:eastAsia="lv-LV"/>
              </w:rPr>
              <w:t xml:space="preserve">2.1.1.0/16/I/001 </w:t>
            </w:r>
            <w:r w:rsidRPr="0066695E">
              <w:rPr>
                <w:rFonts w:ascii="Times New Roman" w:hAnsi="Times New Roman" w:eastAsia="Times New Roman" w:cs="Times New Roman"/>
                <w:sz w:val="24"/>
                <w:szCs w:val="24"/>
                <w:lang w:eastAsia="lv-LV"/>
              </w:rPr>
              <w:t xml:space="preserve"> par projekta “Elektroniskās sakaru infrastruktūras pieejamības uzlabošana lauku teritorijās” īstenošanu</w:t>
            </w:r>
            <w:r w:rsidR="00A07AFB">
              <w:rPr>
                <w:rFonts w:ascii="Times New Roman" w:hAnsi="Times New Roman" w:eastAsia="Times New Roman" w:cs="Times New Roman"/>
                <w:sz w:val="24"/>
                <w:szCs w:val="24"/>
                <w:lang w:eastAsia="lv-LV"/>
              </w:rPr>
              <w:t>.</w:t>
            </w:r>
            <w:r w:rsidR="00983413">
              <w:rPr>
                <w:rFonts w:ascii="Times New Roman" w:hAnsi="Times New Roman" w:eastAsia="Times New Roman" w:cs="Times New Roman"/>
                <w:sz w:val="24"/>
                <w:szCs w:val="24"/>
                <w:lang w:eastAsia="lv-LV"/>
              </w:rPr>
              <w:t xml:space="preserve"> </w:t>
            </w:r>
          </w:p>
          <w:p w:rsidR="00A05919" w:rsidP="007231DD" w:rsidRDefault="00A05919" w14:paraId="5235B011" w14:textId="55128460">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A05919">
              <w:rPr>
                <w:rFonts w:ascii="Times New Roman" w:hAnsi="Times New Roman" w:eastAsia="Times New Roman" w:cs="Times New Roman"/>
                <w:sz w:val="24"/>
                <w:szCs w:val="24"/>
                <w:lang w:eastAsia="lv-LV"/>
              </w:rPr>
              <w:t>Ar līguma grozījumiem netiek piešķirts jauns valsts atbalsts īstenošanā esošajam projektam. Nacionāli piešķirtais papildu finansējums projektam ir paredzēts jau esošajām valsts atbalsta programmā paredzētajām darbībām, t.sk. par kurām jau ir sniegts vērtējums par stimulējošo ietekmes prasību izpildi, un nepārsniedz valsts atbalsta programmā Nr.SA.33324(2011/N)„Nākamās paaudzes tīkli lauku teritorijās” 15. punktā noteikto shēmas budžetu.  Līdz ar to pēc būtības grozījumi ir tikai jauns datums/ brīdis atbalsta piešķiršanai</w:t>
            </w:r>
            <w:r w:rsidR="00711574">
              <w:rPr>
                <w:rFonts w:ascii="Times New Roman" w:hAnsi="Times New Roman" w:eastAsia="Times New Roman" w:cs="Times New Roman"/>
                <w:sz w:val="24"/>
                <w:szCs w:val="24"/>
                <w:lang w:eastAsia="lv-LV"/>
              </w:rPr>
              <w:t>.</w:t>
            </w:r>
          </w:p>
          <w:p w:rsidRPr="0066695E" w:rsidR="0056147C" w:rsidP="00E46F56" w:rsidRDefault="00983413" w14:paraId="3FFBC393" w14:textId="19F9AE07">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902197">
              <w:rPr>
                <w:rFonts w:ascii="Times New Roman" w:hAnsi="Times New Roman" w:eastAsia="Times New Roman" w:cs="Times New Roman"/>
                <w:sz w:val="24"/>
                <w:szCs w:val="24"/>
                <w:lang w:eastAsia="lv-LV"/>
              </w:rPr>
              <w:t>V</w:t>
            </w:r>
            <w:r w:rsidRPr="00902197" w:rsidR="00701AC0">
              <w:rPr>
                <w:rFonts w:ascii="Times New Roman" w:hAnsi="Times New Roman" w:eastAsia="Times New Roman" w:cs="Times New Roman"/>
                <w:sz w:val="24"/>
                <w:szCs w:val="24"/>
                <w:lang w:eastAsia="lv-LV"/>
              </w:rPr>
              <w:t>alsts atbalsta programm</w:t>
            </w:r>
            <w:r w:rsidRPr="00902197">
              <w:rPr>
                <w:rFonts w:ascii="Times New Roman" w:hAnsi="Times New Roman" w:eastAsia="Times New Roman" w:cs="Times New Roman"/>
                <w:sz w:val="24"/>
                <w:szCs w:val="24"/>
                <w:lang w:eastAsia="lv-LV"/>
              </w:rPr>
              <w:t>a</w:t>
            </w:r>
            <w:r w:rsidRPr="00902197" w:rsidR="00701AC0">
              <w:rPr>
                <w:rFonts w:ascii="Times New Roman" w:hAnsi="Times New Roman" w:eastAsia="Times New Roman" w:cs="Times New Roman"/>
                <w:sz w:val="24"/>
                <w:szCs w:val="24"/>
                <w:lang w:eastAsia="lv-LV"/>
              </w:rPr>
              <w:t xml:space="preserve"> Nr.SA.33324 (2011/N) “Nākamās paaudzes tīkli lauku teritorijās” </w:t>
            </w:r>
            <w:r w:rsidRPr="00902197">
              <w:t xml:space="preserve"> </w:t>
            </w:r>
            <w:r w:rsidRPr="00902197">
              <w:rPr>
                <w:rFonts w:ascii="Times New Roman" w:hAnsi="Times New Roman" w:eastAsia="Times New Roman" w:cs="Times New Roman"/>
                <w:sz w:val="24"/>
                <w:szCs w:val="24"/>
                <w:lang w:eastAsia="lv-LV"/>
              </w:rPr>
              <w:t>nosaka valsts atbalsta piešķiršana termiņu līdz 2020.gada 31.decembrim</w:t>
            </w:r>
            <w:r w:rsidRPr="00902197" w:rsidR="005F034E">
              <w:rPr>
                <w:rFonts w:ascii="Times New Roman" w:hAnsi="Times New Roman" w:eastAsia="Times New Roman" w:cs="Times New Roman"/>
                <w:sz w:val="24"/>
                <w:szCs w:val="24"/>
                <w:lang w:eastAsia="lv-LV"/>
              </w:rPr>
              <w:t xml:space="preserve">. </w:t>
            </w:r>
            <w:r w:rsidRPr="00902197" w:rsidR="00DB2CC3">
              <w:rPr>
                <w:rFonts w:ascii="Times New Roman" w:hAnsi="Times New Roman" w:eastAsia="Times New Roman" w:cs="Times New Roman"/>
                <w:sz w:val="24"/>
                <w:szCs w:val="24"/>
                <w:lang w:eastAsia="lv-LV"/>
              </w:rPr>
              <w:t xml:space="preserve">Ja valsts atbalsts </w:t>
            </w:r>
            <w:r w:rsidRPr="00902197" w:rsidR="00DB2CC3">
              <w:t xml:space="preserve"> </w:t>
            </w:r>
            <w:r w:rsidRPr="00902197" w:rsidR="00DB2CC3">
              <w:rPr>
                <w:rFonts w:ascii="Times New Roman" w:hAnsi="Times New Roman" w:eastAsia="Times New Roman" w:cs="Times New Roman"/>
                <w:sz w:val="24"/>
                <w:szCs w:val="24"/>
                <w:lang w:eastAsia="lv-LV"/>
              </w:rPr>
              <w:t xml:space="preserve">interneta pieejas punktiem izglītības iestādēs netiks piešķirts līdz noteiktajam termiņam, </w:t>
            </w:r>
            <w:r w:rsidRPr="00902197" w:rsidR="008F1F72">
              <w:rPr>
                <w:rFonts w:ascii="Times New Roman" w:hAnsi="Times New Roman" w:cs="Times New Roman"/>
              </w:rPr>
              <w:t xml:space="preserve"> </w:t>
            </w:r>
            <w:r w:rsidRPr="00902197" w:rsidR="005F034E">
              <w:rPr>
                <w:rFonts w:ascii="Times New Roman" w:hAnsi="Times New Roman" w:eastAsia="Times New Roman" w:cs="Times New Roman"/>
                <w:sz w:val="24"/>
                <w:szCs w:val="24"/>
                <w:lang w:eastAsia="lv-LV"/>
              </w:rPr>
              <w:t>pastāv risks šo finansējumu zaudēt.</w:t>
            </w:r>
          </w:p>
        </w:tc>
      </w:tr>
    </w:tbl>
    <w:p w:rsidRPr="0066695E" w:rsidR="00E5323B" w:rsidP="00E5323B" w:rsidRDefault="007231DD" w14:paraId="3C271B91" w14:textId="3D1752AC">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br w:type="textWrapping" w:clear="all"/>
      </w:r>
      <w:r w:rsidRPr="0066695E" w:rsidR="00E5323B">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77651F" w:rsidR="0077651F" w:rsidTr="00E5323B" w14:paraId="57EF694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435967C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77651F" w:rsidR="0077651F" w:rsidTr="00D0018A" w14:paraId="22AEEBE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16A5B7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6E7528B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Sabiedrības mērķgrupas, kuras tiesiskais regulējums ietekmē vai varētu ietekmēt</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004664" w:rsidRDefault="0066695E" w14:paraId="1FA89D80" w14:textId="5360B51B">
            <w:pPr>
              <w:spacing w:after="0" w:line="240" w:lineRule="auto"/>
              <w:jc w:val="both"/>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t>Informācijas sistēmu un elektronisko pakalpojumu lietotāji – komersanti, iestādes un mājsaimniecības.</w:t>
            </w:r>
          </w:p>
        </w:tc>
      </w:tr>
      <w:tr w:rsidRPr="0077651F" w:rsidR="0077651F" w:rsidTr="00D0018A" w14:paraId="6D76D3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2B9BC8F1"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27893D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Tiesiskā regulējuma ietekme uz tautsaimniecību un administratīvo slogu</w:t>
            </w:r>
          </w:p>
        </w:tc>
        <w:tc>
          <w:tcPr>
            <w:tcW w:w="3257" w:type="pct"/>
            <w:tcBorders>
              <w:top w:val="outset" w:color="auto" w:sz="6" w:space="0"/>
              <w:left w:val="outset" w:color="auto" w:sz="6" w:space="0"/>
              <w:bottom w:val="outset" w:color="auto" w:sz="6" w:space="0"/>
              <w:right w:val="outset" w:color="auto" w:sz="6" w:space="0"/>
            </w:tcBorders>
            <w:hideMark/>
          </w:tcPr>
          <w:p w:rsidRPr="0077651F" w:rsidR="00705953" w:rsidP="009E4178" w:rsidRDefault="0066695E" w14:paraId="36CCE4EB" w14:textId="2073FA19">
            <w:pPr>
              <w:widowControl w:val="0"/>
              <w:spacing w:after="0" w:line="240" w:lineRule="auto"/>
              <w:ind w:right="57"/>
              <w:contextualSpacing/>
              <w:jc w:val="both"/>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t>Projekts šo jomu neskar.</w:t>
            </w:r>
          </w:p>
        </w:tc>
      </w:tr>
      <w:tr w:rsidRPr="0077651F" w:rsidR="0077651F" w:rsidTr="00D0018A" w14:paraId="4C212C0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02923955"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3.</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EAE1CAA"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Administratīvo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E5323B" w:rsidRDefault="0066695E" w14:paraId="388E74BC" w14:textId="33D0B14F">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t>Projekts šo jomu neskar.</w:t>
            </w:r>
          </w:p>
        </w:tc>
      </w:tr>
      <w:tr w:rsidRPr="0077651F" w:rsidR="0077651F" w:rsidTr="00D0018A" w14:paraId="62F0D29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2FA22F2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BF7D09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Atbilstības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E5323B" w:rsidRDefault="0066695E" w14:paraId="6D0B3B5A" w14:textId="187370C6">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t>Projekts šo jomu neskar.</w:t>
            </w:r>
          </w:p>
        </w:tc>
      </w:tr>
      <w:tr w:rsidRPr="0077651F" w:rsidR="0077651F" w:rsidTr="00D0018A" w14:paraId="189E64F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4BCB1403"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5.</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48CBA34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E5323B" w:rsidRDefault="00354147" w14:paraId="47440C73" w14:textId="052A7AC6">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Pr="0077651F" w:rsidR="00E5323B" w:rsidP="00E5323B" w:rsidRDefault="00E5323B" w14:paraId="0F93C1EE"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897"/>
        <w:gridCol w:w="960"/>
        <w:gridCol w:w="1057"/>
        <w:gridCol w:w="867"/>
        <w:gridCol w:w="1057"/>
        <w:gridCol w:w="877"/>
        <w:gridCol w:w="1056"/>
        <w:gridCol w:w="1293"/>
      </w:tblGrid>
      <w:tr w:rsidRPr="0077651F" w:rsidR="0077651F" w:rsidTr="004974C8" w14:paraId="79E1F16A"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32838068"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lastRenderedPageBreak/>
              <w:t>III. Tiesību akta projekta ietekme uz valsts budžetu un pašvaldību budžetiem</w:t>
            </w:r>
          </w:p>
        </w:tc>
      </w:tr>
      <w:tr w:rsidRPr="0077651F" w:rsidR="0077651F" w:rsidTr="004974C8" w14:paraId="3035CD04" w14:textId="77777777">
        <w:trPr>
          <w:tblCellSpacing w:w="15" w:type="dxa"/>
        </w:trPr>
        <w:tc>
          <w:tcPr>
            <w:tcW w:w="1050"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BF77554"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Rādītāji</w:t>
            </w:r>
          </w:p>
        </w:tc>
        <w:tc>
          <w:tcPr>
            <w:tcW w:w="1097"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77651F" w:rsidR="00655F2C" w:rsidP="004C0814" w:rsidRDefault="004C0814" w14:paraId="0F5D013E" w14:textId="3D84706E">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2020.gads</w:t>
            </w:r>
          </w:p>
        </w:tc>
        <w:tc>
          <w:tcPr>
            <w:tcW w:w="2787" w:type="pct"/>
            <w:gridSpan w:val="5"/>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E05666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Turpmākie trīs gadi (</w:t>
            </w:r>
            <w:r w:rsidRPr="0077651F">
              <w:rPr>
                <w:rFonts w:ascii="Times New Roman" w:hAnsi="Times New Roman" w:eastAsia="Times New Roman" w:cs="Times New Roman"/>
                <w:i/>
                <w:iCs/>
                <w:color w:val="000000" w:themeColor="text1"/>
                <w:sz w:val="24"/>
                <w:szCs w:val="24"/>
                <w:lang w:eastAsia="lv-LV"/>
              </w:rPr>
              <w:t>euro</w:t>
            </w:r>
            <w:r w:rsidRPr="0077651F">
              <w:rPr>
                <w:rFonts w:ascii="Times New Roman" w:hAnsi="Times New Roman" w:eastAsia="Times New Roman" w:cs="Times New Roman"/>
                <w:iCs/>
                <w:color w:val="000000" w:themeColor="text1"/>
                <w:sz w:val="24"/>
                <w:szCs w:val="24"/>
                <w:lang w:eastAsia="lv-LV"/>
              </w:rPr>
              <w:t>)</w:t>
            </w:r>
          </w:p>
        </w:tc>
      </w:tr>
      <w:tr w:rsidRPr="0077651F" w:rsidR="0077651F" w:rsidTr="004974C8" w14:paraId="67D7406B"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B06DF68"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71B56129"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1047" w:type="pct"/>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4C0814" w14:paraId="565D4D91" w14:textId="7557054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2021.gads</w:t>
            </w:r>
          </w:p>
        </w:tc>
        <w:tc>
          <w:tcPr>
            <w:tcW w:w="1065" w:type="pct"/>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4C0814" w14:paraId="54758E43" w14:textId="5E649AD9">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2022.gads</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4C0814" w14:paraId="3CDF9155" w14:textId="7474925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2023.gads</w:t>
            </w:r>
          </w:p>
        </w:tc>
      </w:tr>
      <w:tr w:rsidRPr="0077651F" w:rsidR="0077651F" w:rsidTr="004974C8" w14:paraId="3A292102"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47CF4135"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5055D27"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saskaņā ar valsts budžetu kārtējam gadam</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9D3854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izmaiņas kārtējā gadā, salīdzinot ar valsts budžetu kārtējam gadam</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2AC9BA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saskaņā ar vidēja termiņa budžeta ietvaru</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2DD4677" w14:textId="18D8E5EA">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00420383">
              <w:rPr>
                <w:rFonts w:ascii="Times New Roman" w:hAnsi="Times New Roman" w:eastAsia="Times New Roman" w:cs="Times New Roman"/>
                <w:iCs/>
                <w:color w:val="000000" w:themeColor="text1"/>
                <w:sz w:val="24"/>
                <w:szCs w:val="24"/>
                <w:lang w:eastAsia="lv-LV"/>
              </w:rPr>
              <w:t>2021.</w:t>
            </w:r>
            <w:r w:rsidRPr="0077651F">
              <w:rPr>
                <w:rFonts w:ascii="Times New Roman" w:hAnsi="Times New Roman" w:eastAsia="Times New Roman" w:cs="Times New Roman"/>
                <w:iCs/>
                <w:color w:val="000000" w:themeColor="text1"/>
                <w:sz w:val="24"/>
                <w:szCs w:val="24"/>
                <w:lang w:eastAsia="lv-LV"/>
              </w:rPr>
              <w:t xml:space="preserve"> gadam</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5DE51E91"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saskaņā ar vidēja termiņa budžeta ietvaru</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39D28AA0" w14:textId="53F8FD33">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00420383">
              <w:rPr>
                <w:rFonts w:ascii="Times New Roman" w:hAnsi="Times New Roman" w:eastAsia="Times New Roman" w:cs="Times New Roman"/>
                <w:iCs/>
                <w:color w:val="000000" w:themeColor="text1"/>
                <w:sz w:val="24"/>
                <w:szCs w:val="24"/>
                <w:lang w:eastAsia="lv-LV"/>
              </w:rPr>
              <w:t>2022.</w:t>
            </w:r>
            <w:r w:rsidRPr="0077651F">
              <w:rPr>
                <w:rFonts w:ascii="Times New Roman" w:hAnsi="Times New Roman" w:eastAsia="Times New Roman" w:cs="Times New Roman"/>
                <w:iCs/>
                <w:color w:val="000000" w:themeColor="text1"/>
                <w:sz w:val="24"/>
                <w:szCs w:val="24"/>
                <w:lang w:eastAsia="lv-LV"/>
              </w:rPr>
              <w:t xml:space="preserve"> gadam</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5D1CEFD2" w14:textId="12167A6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00420383">
              <w:rPr>
                <w:rFonts w:ascii="Times New Roman" w:hAnsi="Times New Roman" w:eastAsia="Times New Roman" w:cs="Times New Roman"/>
                <w:iCs/>
                <w:color w:val="000000" w:themeColor="text1"/>
                <w:sz w:val="24"/>
                <w:szCs w:val="24"/>
                <w:lang w:eastAsia="lv-LV"/>
              </w:rPr>
              <w:t>2022.</w:t>
            </w:r>
            <w:r w:rsidRPr="0077651F">
              <w:rPr>
                <w:rFonts w:ascii="Times New Roman" w:hAnsi="Times New Roman" w:eastAsia="Times New Roman" w:cs="Times New Roman"/>
                <w:iCs/>
                <w:color w:val="000000" w:themeColor="text1"/>
                <w:sz w:val="24"/>
                <w:szCs w:val="24"/>
                <w:lang w:eastAsia="lv-LV"/>
              </w:rPr>
              <w:t xml:space="preserve"> gadam</w:t>
            </w:r>
          </w:p>
        </w:tc>
      </w:tr>
      <w:tr w:rsidRPr="0077651F" w:rsidR="0077651F" w:rsidTr="004974C8" w14:paraId="74C2D34A"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56E41BC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80A50C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ECA821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9EDA05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4</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C2D30B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CB22FF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AE7417F"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7</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4C8571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8</w:t>
            </w:r>
          </w:p>
        </w:tc>
      </w:tr>
      <w:tr w:rsidRPr="0077651F" w:rsidR="0077651F" w:rsidTr="004974C8" w14:paraId="35AC7476"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130C354"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 Budžeta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76C25AAF" w14:textId="1B724C66">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91DDE71" w14:textId="193F0A3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004C7742">
              <w:rPr>
                <w:rFonts w:ascii="Times New Roman" w:hAnsi="Times New Roman" w:eastAsia="Times New Roman" w:cs="Times New Roman"/>
                <w:iCs/>
                <w:color w:val="000000" w:themeColor="text1"/>
                <w:sz w:val="24"/>
                <w:szCs w:val="24"/>
                <w:lang w:eastAsia="lv-LV"/>
              </w:rPr>
              <w:t>0</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29EB5A10" w14:textId="41A6C762">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44EAD674" w14:textId="14DFC9C8">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66695E" w:rsidR="004974C8">
              <w:rPr>
                <w:rFonts w:ascii="Times New Roman" w:hAnsi="Times New Roman" w:cs="Times New Roman"/>
                <w:color w:val="000000" w:themeColor="text1"/>
                <w:sz w:val="24"/>
                <w:szCs w:val="24"/>
              </w:rPr>
              <w:t>2</w:t>
            </w:r>
            <w:r w:rsidR="004C7742">
              <w:rPr>
                <w:rFonts w:ascii="Times New Roman" w:hAnsi="Times New Roman" w:cs="Times New Roman"/>
                <w:color w:val="000000" w:themeColor="text1"/>
                <w:sz w:val="24"/>
                <w:szCs w:val="24"/>
              </w:rPr>
              <w:t>8</w:t>
            </w:r>
            <w:r w:rsidRPr="0066695E" w:rsidR="004974C8">
              <w:rPr>
                <w:rFonts w:ascii="Times New Roman" w:hAnsi="Times New Roman" w:cs="Times New Roman"/>
                <w:color w:val="000000" w:themeColor="text1"/>
                <w:sz w:val="24"/>
                <w:szCs w:val="24"/>
              </w:rPr>
              <w:t xml:space="preserve">0 </w:t>
            </w:r>
            <w:r w:rsidR="004C7742">
              <w:rPr>
                <w:rFonts w:ascii="Times New Roman" w:hAnsi="Times New Roman" w:cs="Times New Roman"/>
                <w:color w:val="000000" w:themeColor="text1"/>
                <w:sz w:val="24"/>
                <w:szCs w:val="24"/>
              </w:rPr>
              <w:t>33</w:t>
            </w:r>
            <w:r w:rsidRPr="0066695E" w:rsidR="004974C8">
              <w:rPr>
                <w:rFonts w:ascii="Times New Roman" w:hAnsi="Times New Roman" w:cs="Times New Roman"/>
                <w:color w:val="000000" w:themeColor="text1"/>
                <w:sz w:val="24"/>
                <w:szCs w:val="24"/>
              </w:rPr>
              <w:t>0</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0031F44A" w14:textId="59253E16">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7756DB0" w14:textId="3E77217F">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66695E" w:rsidR="004974C8">
              <w:rPr>
                <w:rFonts w:ascii="Times New Roman" w:hAnsi="Times New Roman" w:cs="Times New Roman"/>
                <w:color w:val="000000" w:themeColor="text1"/>
                <w:sz w:val="24"/>
                <w:szCs w:val="24"/>
              </w:rPr>
              <w:t>426 020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974C8" w14:paraId="0EFDB243" w14:textId="54D56924">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cs="Times New Roman"/>
                <w:color w:val="000000" w:themeColor="text1"/>
                <w:sz w:val="24"/>
                <w:szCs w:val="24"/>
              </w:rPr>
              <w:t>1 843 650</w:t>
            </w:r>
          </w:p>
        </w:tc>
      </w:tr>
      <w:tr w:rsidRPr="0077651F" w:rsidR="0077651F" w:rsidTr="004974C8" w14:paraId="219A2C76"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3FCA0C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1.1. valsts pamatbudžets, tai skaitā ieņēmumi no maksas pakalpojumiem un citi pašu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7DB0AA09" w14:textId="04CBC5AF">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974C8" w14:paraId="7D7820DD" w14:textId="5DE2F16D">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cs="Times New Roman"/>
                <w:color w:val="000000" w:themeColor="text1"/>
                <w:sz w:val="24"/>
                <w:szCs w:val="24"/>
              </w:rPr>
              <w:t>0</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0491B965" w14:textId="48A088F8">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65821BF3" w14:textId="185CF12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4C7742" w:rsidR="004C7742">
              <w:rPr>
                <w:rFonts w:ascii="Times New Roman" w:hAnsi="Times New Roman" w:eastAsia="Times New Roman" w:cs="Times New Roman"/>
                <w:iCs/>
                <w:color w:val="000000" w:themeColor="text1"/>
                <w:sz w:val="24"/>
                <w:szCs w:val="24"/>
                <w:lang w:eastAsia="lv-LV"/>
              </w:rPr>
              <w:t>280 330</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4B772553" w14:textId="1D947B42">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974C8" w14:paraId="34DFB825" w14:textId="7B4CD9F4">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cs="Times New Roman"/>
                <w:color w:val="000000" w:themeColor="text1"/>
                <w:sz w:val="24"/>
                <w:szCs w:val="24"/>
              </w:rPr>
              <w:t>426 020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974C8" w14:paraId="05A838DD" w14:textId="0B975B8E">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cs="Times New Roman"/>
                <w:color w:val="000000" w:themeColor="text1"/>
                <w:sz w:val="24"/>
                <w:szCs w:val="24"/>
              </w:rPr>
              <w:t>1 843 650</w:t>
            </w:r>
          </w:p>
        </w:tc>
      </w:tr>
      <w:tr w:rsidRPr="0077651F" w:rsidR="0077651F" w:rsidTr="004974C8" w14:paraId="259C884A"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2A86AD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0218320C" w14:textId="7300B3F8">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7544ABB5" w14:textId="5D80264A">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667C252E" w14:textId="1849DF0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43AB522B" w14:textId="64FD7923">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E7C0A26" w14:textId="6B1D2800">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79E1512" w14:textId="5894849B">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269B0F09" w14:textId="54B00AD8">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r>
      <w:tr w:rsidRPr="0077651F" w:rsidR="0077651F" w:rsidTr="004974C8" w14:paraId="6DAF7CD6"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125455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0DE10461" w14:textId="009CE6D3">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0C71A973" w14:textId="1E4FE4C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7F7E6632" w14:textId="7A085BA4">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2F238450" w14:textId="2DB09482">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0097C1C4" w14:textId="6A3E0D13">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58F1215E" w14:textId="6988878A">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3599F096" w14:textId="35C499B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r>
      <w:tr w:rsidRPr="0077651F" w:rsidR="0077651F" w:rsidTr="004974C8" w14:paraId="30C11286"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0550F7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 Budžeta izdevumi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5A3FD7B2" w14:textId="5249E07D">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C7742" w14:paraId="5E42A4BA" w14:textId="0CDEFA86">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3DB64C5C" w14:textId="251E3258">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C7742" w14:paraId="159C48A1" w14:textId="22BD3EAC">
            <w:pPr>
              <w:spacing w:after="0" w:line="240" w:lineRule="auto"/>
              <w:rPr>
                <w:rFonts w:ascii="Times New Roman" w:hAnsi="Times New Roman" w:eastAsia="Times New Roman" w:cs="Times New Roman"/>
                <w:iCs/>
                <w:color w:val="000000" w:themeColor="text1"/>
                <w:sz w:val="24"/>
                <w:szCs w:val="24"/>
                <w:lang w:eastAsia="lv-LV"/>
              </w:rPr>
            </w:pPr>
            <w:r w:rsidRPr="004C7742">
              <w:rPr>
                <w:rFonts w:ascii="Times New Roman" w:hAnsi="Times New Roman" w:eastAsia="Times New Roman" w:cs="Times New Roman"/>
                <w:iCs/>
                <w:color w:val="000000" w:themeColor="text1"/>
                <w:sz w:val="24"/>
                <w:szCs w:val="24"/>
                <w:lang w:eastAsia="lv-LV"/>
              </w:rPr>
              <w:t>280 330</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279B0ED9" w14:textId="3C78DADA">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029563D1" w14:textId="4E525728">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66695E" w:rsidR="004974C8">
              <w:rPr>
                <w:rFonts w:ascii="Times New Roman" w:hAnsi="Times New Roman" w:cs="Times New Roman"/>
                <w:color w:val="000000" w:themeColor="text1"/>
                <w:sz w:val="24"/>
                <w:szCs w:val="24"/>
              </w:rPr>
              <w:t>426 020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974C8" w14:paraId="3822F941" w14:textId="1A2F7707">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t>
            </w:r>
            <w:r w:rsidRPr="0066695E">
              <w:rPr>
                <w:rFonts w:ascii="Times New Roman" w:hAnsi="Times New Roman" w:cs="Times New Roman"/>
                <w:color w:val="000000" w:themeColor="text1"/>
                <w:sz w:val="24"/>
                <w:szCs w:val="24"/>
              </w:rPr>
              <w:t>843</w:t>
            </w:r>
            <w:r>
              <w:rPr>
                <w:rFonts w:ascii="Times New Roman" w:hAnsi="Times New Roman" w:cs="Times New Roman"/>
                <w:color w:val="000000" w:themeColor="text1"/>
                <w:sz w:val="24"/>
                <w:szCs w:val="24"/>
              </w:rPr>
              <w:t xml:space="preserve"> </w:t>
            </w:r>
            <w:r w:rsidRPr="0066695E">
              <w:rPr>
                <w:rFonts w:ascii="Times New Roman" w:hAnsi="Times New Roman" w:cs="Times New Roman"/>
                <w:color w:val="000000" w:themeColor="text1"/>
                <w:sz w:val="24"/>
                <w:szCs w:val="24"/>
              </w:rPr>
              <w:t>650</w:t>
            </w:r>
          </w:p>
        </w:tc>
      </w:tr>
      <w:tr w:rsidRPr="0077651F" w:rsidR="0077651F" w:rsidTr="004974C8" w14:paraId="375A0391"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9F07C5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9DEF165" w14:textId="747BE730">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C7742" w14:paraId="18DF76CD" w14:textId="677851CE">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4FDD5869" w14:textId="350DF9EF">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C7742" w14:paraId="799587FC" w14:textId="3FC321B1">
            <w:pPr>
              <w:spacing w:after="0" w:line="240" w:lineRule="auto"/>
              <w:rPr>
                <w:rFonts w:ascii="Times New Roman" w:hAnsi="Times New Roman" w:eastAsia="Times New Roman" w:cs="Times New Roman"/>
                <w:iCs/>
                <w:color w:val="000000" w:themeColor="text1"/>
                <w:sz w:val="24"/>
                <w:szCs w:val="24"/>
                <w:lang w:eastAsia="lv-LV"/>
              </w:rPr>
            </w:pPr>
            <w:r w:rsidRPr="004C7742">
              <w:rPr>
                <w:rFonts w:ascii="Times New Roman" w:hAnsi="Times New Roman" w:eastAsia="Times New Roman" w:cs="Times New Roman"/>
                <w:iCs/>
                <w:color w:val="000000" w:themeColor="text1"/>
                <w:sz w:val="24"/>
                <w:szCs w:val="24"/>
                <w:lang w:eastAsia="lv-LV"/>
              </w:rPr>
              <w:t>280 330</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788ED890" w14:textId="3CAD911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974C8" w14:paraId="1B16FCA2" w14:textId="47E67A90">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cs="Times New Roman"/>
                <w:color w:val="000000" w:themeColor="text1"/>
                <w:sz w:val="24"/>
                <w:szCs w:val="24"/>
              </w:rPr>
              <w:t>426 020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4974C8" w14:paraId="5BE6911E" w14:textId="0164D751">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cs="Times New Roman"/>
                <w:color w:val="000000" w:themeColor="text1"/>
                <w:sz w:val="24"/>
                <w:szCs w:val="24"/>
              </w:rPr>
              <w:t>1 843 650</w:t>
            </w:r>
          </w:p>
        </w:tc>
      </w:tr>
      <w:tr w:rsidRPr="0077651F" w:rsidR="0077651F" w:rsidTr="004974C8" w14:paraId="47B5DEE9"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347991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3CC89871" w14:textId="477B6C3F">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768CEA69" w14:textId="64F4826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1709A34D" w14:textId="133AA6BF">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67CA7CD7" w14:textId="4C1BA94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5E2422F7" w14:textId="5C390179">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2B5E35EC" w14:textId="11FA572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5847708E" w14:textId="4BEE1EA0">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r>
      <w:tr w:rsidRPr="0077651F" w:rsidR="0077651F" w:rsidTr="004974C8" w14:paraId="33391479"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7357CF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4A08E8C6" w14:textId="0919C774">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52D6DF3A" w14:textId="3D057320">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83E921C" w14:textId="151E5F2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3377EE13" w14:textId="493439EC">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1AF527B2" w14:textId="739EF0C4">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4A009481" w14:textId="33878DD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134E0596" w14:textId="7258FD5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r>
      <w:tr w:rsidRPr="0077651F" w:rsidR="0077651F" w:rsidTr="004974C8" w14:paraId="2268505D"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FD33CA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 Finansiālā ietekme</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55CA8C36" w14:textId="5AFAFD9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5671E0A3" w14:textId="69DE884D">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69C3B211" w14:textId="191FF00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139322C0" w14:textId="79471DC4">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0EA8DACC" w14:textId="384DEC6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7EDE7CAD" w14:textId="2072089A">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3861FE5F" w14:textId="51C0BABC">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r>
      <w:tr w:rsidRPr="0077651F" w:rsidR="0077651F" w:rsidTr="004974C8" w14:paraId="4DE7108E"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6DFCF10"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23175309" w14:textId="69C8A060">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50D938EA" w14:textId="50BD7A29">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38694F23" w14:textId="1004575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3B0DBB4C" w14:textId="1197029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18D71453" w14:textId="694B22DC">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0E337318" w14:textId="0285411F">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66D3295F" w14:textId="4D1FE4A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r>
      <w:tr w:rsidRPr="0077651F" w:rsidR="0077651F" w:rsidTr="004974C8" w14:paraId="5B7D8A29"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472F8C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3.2.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39BE6799" w14:textId="5B93C2D2">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58991DBD" w14:textId="4EA5CF33">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0516CE9B" w14:textId="4A0ABA5C">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5700B5D9" w14:textId="189C254E">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514D1FBF" w14:textId="394FD88F">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6C7BB08" w14:textId="4733BAC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075ED0D1" w14:textId="2690E2B9">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r>
      <w:tr w:rsidRPr="0077651F" w:rsidR="0077651F" w:rsidTr="004974C8" w14:paraId="3CB01AE8"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A2A357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4052DA25" w14:textId="25E5CAE4">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w:t>
            </w:r>
            <w:r w:rsidRPr="0077651F" w:rsidR="00AC6CB1">
              <w:rPr>
                <w:rFonts w:ascii="Times New Roman" w:hAnsi="Times New Roman" w:eastAsia="Times New Roman" w:cs="Times New Roman"/>
                <w:iCs/>
                <w:color w:val="000000" w:themeColor="text1"/>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4587A046" w14:textId="7BA5584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7F1C674E" w14:textId="113898A0">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7FB41F48" w14:textId="4343FD4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3C21086A" w14:textId="22586DC1">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5A4C9CB4" w14:textId="35773A3D">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AC6CB1" w14:paraId="48248932" w14:textId="3A0207AF">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r w:rsidRPr="0077651F" w:rsidR="00E5323B">
              <w:rPr>
                <w:rFonts w:ascii="Times New Roman" w:hAnsi="Times New Roman" w:eastAsia="Times New Roman" w:cs="Times New Roman"/>
                <w:iCs/>
                <w:color w:val="000000" w:themeColor="text1"/>
                <w:sz w:val="24"/>
                <w:szCs w:val="24"/>
                <w:lang w:eastAsia="lv-LV"/>
              </w:rPr>
              <w:t> </w:t>
            </w:r>
          </w:p>
        </w:tc>
      </w:tr>
      <w:tr w:rsidRPr="0077651F" w:rsidR="0077651F" w:rsidTr="004974C8" w14:paraId="1C5C22BF"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4B0504A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4. Finanšu līdzekļi papildu izdevumu </w:t>
            </w:r>
            <w:r w:rsidRPr="0077651F">
              <w:rPr>
                <w:rFonts w:ascii="Times New Roman" w:hAnsi="Times New Roman" w:eastAsia="Times New Roman" w:cs="Times New Roman"/>
                <w:iCs/>
                <w:color w:val="000000" w:themeColor="text1"/>
                <w:sz w:val="24"/>
                <w:szCs w:val="24"/>
                <w:lang w:eastAsia="lv-LV"/>
              </w:rPr>
              <w:lastRenderedPageBreak/>
              <w:t>finansēšanai (kompensējošu izdevumu samazinājumu norāda ar "+" zīmi)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CC0D2D" w:rsidRDefault="00CC0D2D" w14:paraId="1A907AB9"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lastRenderedPageBreak/>
              <w:t>X</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CC0D2D" w:rsidRDefault="00B4190F" w14:paraId="33C0CEF1" w14:textId="7DBB269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3" w:type="pct"/>
            <w:tcBorders>
              <w:top w:val="outset" w:color="auto" w:sz="6" w:space="0"/>
              <w:left w:val="outset" w:color="auto" w:sz="6" w:space="0"/>
              <w:bottom w:val="outset" w:color="auto" w:sz="6" w:space="0"/>
              <w:right w:val="outset" w:color="auto" w:sz="6" w:space="0"/>
            </w:tcBorders>
            <w:vAlign w:val="center"/>
            <w:hideMark/>
          </w:tcPr>
          <w:p w:rsidRPr="0077651F" w:rsidR="00E5323B" w:rsidP="00CC0D2D" w:rsidRDefault="00CC0D2D" w14:paraId="06CFD53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CC0D2D" w:rsidRDefault="004974C8" w14:paraId="6E32398C" w14:textId="59A41134">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82" w:type="pct"/>
            <w:tcBorders>
              <w:top w:val="outset" w:color="auto" w:sz="6" w:space="0"/>
              <w:left w:val="outset" w:color="auto" w:sz="6" w:space="0"/>
              <w:bottom w:val="outset" w:color="auto" w:sz="6" w:space="0"/>
              <w:right w:val="outset" w:color="auto" w:sz="6" w:space="0"/>
            </w:tcBorders>
            <w:vAlign w:val="center"/>
            <w:hideMark/>
          </w:tcPr>
          <w:p w:rsidRPr="0077651F" w:rsidR="00E5323B" w:rsidP="00CC0D2D" w:rsidRDefault="00CC0D2D" w14:paraId="17D6A905"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7" w:type="pct"/>
            <w:tcBorders>
              <w:top w:val="outset" w:color="auto" w:sz="6" w:space="0"/>
              <w:left w:val="outset" w:color="auto" w:sz="6" w:space="0"/>
              <w:bottom w:val="outset" w:color="auto" w:sz="6" w:space="0"/>
              <w:right w:val="outset" w:color="auto" w:sz="6" w:space="0"/>
            </w:tcBorders>
            <w:vAlign w:val="center"/>
          </w:tcPr>
          <w:p w:rsidRPr="0077651F" w:rsidR="00E5323B" w:rsidP="004974C8" w:rsidRDefault="004974C8" w14:paraId="211EF3B8" w14:textId="47E2F763">
            <w:pPr>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4974C8" w:rsidRDefault="004974C8" w14:paraId="3B789796" w14:textId="70BA7D64">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r>
      <w:tr w:rsidRPr="0077651F" w:rsidR="0077651F" w:rsidTr="004974C8" w14:paraId="03A525CF"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5ADB74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 Precizēta finansiālā ietekme</w:t>
            </w:r>
          </w:p>
        </w:tc>
        <w:tc>
          <w:tcPr>
            <w:tcW w:w="513"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E5323B" w:rsidP="00CC0D2D" w:rsidRDefault="00CC0D2D" w14:paraId="2551CF4D"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CC0D2D" w:rsidRDefault="00B4190F" w14:paraId="4E8A72D8" w14:textId="0FC55B63">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3"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CC0D2D" w:rsidP="00CC0D2D" w:rsidRDefault="00CC0D2D" w14:paraId="3064B950"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77651F" w:rsidR="00CC0D2D" w:rsidP="00CC0D2D" w:rsidRDefault="00CC0D2D" w14:paraId="2325FAAC"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77651F" w:rsidR="00CC0D2D" w:rsidP="00CC0D2D" w:rsidRDefault="00CC0D2D" w14:paraId="030E4C57"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77651F" w:rsidR="00CC0D2D" w:rsidP="00CC0D2D" w:rsidRDefault="00CC0D2D" w14:paraId="56934D64"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77651F" w:rsidR="00CC0D2D" w:rsidP="00CC0D2D" w:rsidRDefault="00CC0D2D" w14:paraId="6C0CE07A"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77651F" w:rsidR="00E5323B" w:rsidP="00CC0D2D" w:rsidRDefault="00CC0D2D" w14:paraId="450C8F6C"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0DE6F9AE" w14:textId="74082241">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82"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E5323B" w:rsidP="00CC0D2D" w:rsidRDefault="00CC0D2D" w14:paraId="5D0ACB4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02244200" w14:textId="5199C93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4404B51E" w14:textId="13C9705E">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4974C8" w14:paraId="3DE75ACB"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1A81B8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59345BF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48B8D172" w14:textId="03C64DA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7547DD8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610A5916" w14:textId="6C2574D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65088120"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124E8431" w14:textId="31E885C4">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6931FDED" w14:textId="40606BD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4974C8" w14:paraId="35D74EF4"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6F92F49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73BE0C5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5CEC242B" w14:textId="06ABBCF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6A34793C"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7A1BD70C" w14:textId="74004394">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915E8EA"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78950EBA" w14:textId="4E162DC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0962FED8" w14:textId="43E75C93">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4974C8" w14:paraId="245A1CCB"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FFCC01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3E62A101"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68C76AFE" w14:textId="2516BAC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456084FD"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22DABB46" w14:textId="492D7F2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3C4F2C58"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4465037C" w14:textId="1DD7441A">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Pr="0077651F" w:rsidR="00E5323B" w:rsidP="00B4190F" w:rsidRDefault="00B4190F" w14:paraId="72438BE1" w14:textId="665C64F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4974C8" w14:paraId="79031352"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00F5A8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901" w:type="pct"/>
            <w:gridSpan w:val="7"/>
            <w:vMerge w:val="restart"/>
            <w:tcBorders>
              <w:top w:val="outset" w:color="auto" w:sz="6" w:space="0"/>
              <w:left w:val="outset" w:color="auto" w:sz="6" w:space="0"/>
              <w:bottom w:val="outset" w:color="auto" w:sz="6" w:space="0"/>
              <w:right w:val="outset" w:color="auto" w:sz="6" w:space="0"/>
            </w:tcBorders>
            <w:vAlign w:val="center"/>
            <w:hideMark/>
          </w:tcPr>
          <w:p w:rsidR="0066695E" w:rsidP="00703A57" w:rsidRDefault="00705953" w14:paraId="7EA98270" w14:textId="73531C0C">
            <w:pPr>
              <w:spacing w:after="0" w:line="240" w:lineRule="auto"/>
              <w:jc w:val="both"/>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Projekta kopējās attiecināmās izmaksas </w:t>
            </w:r>
            <w:r w:rsidRPr="008B6E57" w:rsidR="00D663D7">
              <w:rPr>
                <w:rFonts w:ascii="Times New Roman" w:hAnsi="Times New Roman" w:cs="Times New Roman"/>
                <w:sz w:val="24"/>
                <w:szCs w:val="24"/>
              </w:rPr>
              <w:t xml:space="preserve">tiek palielinātas par </w:t>
            </w:r>
            <w:r w:rsidRPr="0066695E" w:rsidR="0066695E">
              <w:rPr>
                <w:rFonts w:ascii="Times New Roman" w:hAnsi="Times New Roman" w:cs="Times New Roman"/>
                <w:color w:val="000000" w:themeColor="text1"/>
                <w:sz w:val="24"/>
                <w:szCs w:val="24"/>
              </w:rPr>
              <w:t xml:space="preserve">3 000 000 </w:t>
            </w:r>
            <w:r w:rsidRPr="0066695E" w:rsidR="0066695E">
              <w:rPr>
                <w:rFonts w:ascii="Times New Roman" w:hAnsi="Times New Roman" w:cs="Times New Roman"/>
                <w:i/>
                <w:iCs/>
                <w:color w:val="000000" w:themeColor="text1"/>
                <w:sz w:val="24"/>
                <w:szCs w:val="24"/>
              </w:rPr>
              <w:t xml:space="preserve">euro </w:t>
            </w:r>
            <w:r w:rsidRPr="00AF3D77" w:rsidR="00AF3D77">
              <w:rPr>
                <w:rFonts w:ascii="Times New Roman" w:hAnsi="Times New Roman" w:cs="Times New Roman"/>
                <w:color w:val="000000" w:themeColor="text1"/>
                <w:sz w:val="24"/>
                <w:szCs w:val="24"/>
              </w:rPr>
              <w:t>(2020.gadā 0 euro, 2021.gadā 329 800 euro, 2022.gadā 501 200 euro un 2023.gadā 2 169 000 euro), t.sk., ERAF finansējums 2 550 000 euro (2020.gadā 0 euro, 2021.gadā 280 330 euro, 2022.gadā 426 020 euro un 2023.gadā 1 843 650 euro) un privātais finansējums 450 000 euro (2020.gadā 0 euro, 2021.gadā 49 470 euro, 2022.gadā 75 180 euro un 2023.gadā 325 350 euro).</w:t>
            </w:r>
          </w:p>
          <w:p w:rsidR="00705953" w:rsidP="00705953" w:rsidRDefault="004974C8" w14:paraId="1478AA73" w14:textId="6DF980E8">
            <w:pPr>
              <w:spacing w:after="0" w:line="240" w:lineRule="auto"/>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Finansējuma sadalījums pa gadiem norādīts indikatīvi un var tikt precizēts.</w:t>
            </w:r>
          </w:p>
          <w:p w:rsidR="00AF3D77" w:rsidP="00AF3D77" w:rsidRDefault="00E21659" w14:paraId="6E52039A" w14:textId="4AC42A06">
            <w:pPr>
              <w:spacing w:after="0" w:line="240" w:lineRule="auto"/>
              <w:jc w:val="both"/>
              <w:rPr>
                <w:rFonts w:ascii="Times New Roman" w:hAnsi="Times New Roman" w:eastAsia="Times New Roman" w:cs="Times New Roman"/>
                <w:color w:val="000000" w:themeColor="text1"/>
                <w:sz w:val="24"/>
                <w:szCs w:val="24"/>
              </w:rPr>
            </w:pPr>
            <w:r w:rsidRPr="00902197">
              <w:rPr>
                <w:rFonts w:ascii="Times New Roman" w:hAnsi="Times New Roman" w:eastAsia="Times New Roman" w:cs="Times New Roman"/>
                <w:color w:val="000000" w:themeColor="text1"/>
                <w:sz w:val="24"/>
                <w:szCs w:val="24"/>
              </w:rPr>
              <w:t xml:space="preserve">Finansējums paredzēts darbībām, kas atbilst </w:t>
            </w:r>
            <w:r w:rsidRPr="00902197" w:rsidR="00AF3D77">
              <w:rPr>
                <w:rFonts w:ascii="Times New Roman" w:hAnsi="Times New Roman" w:eastAsia="Times New Roman" w:cs="Times New Roman"/>
                <w:color w:val="000000" w:themeColor="text1"/>
                <w:sz w:val="24"/>
                <w:szCs w:val="24"/>
              </w:rPr>
              <w:t>EK īstenošanas regulā (ES) Nr. 215/2014 noteiktajai intervences kategorijai „Informācijas un komunikāciju tehnoloģiju infrastruktūra” – 046 IKT: ātrdarbīgs platjoslas tīkls (piekļuve/vietējā abonentlīnija; &gt;/= 30Mbps)</w:t>
            </w:r>
            <w:r w:rsidR="00B3553B">
              <w:rPr>
                <w:rFonts w:ascii="Times New Roman" w:hAnsi="Times New Roman" w:eastAsia="Times New Roman" w:cs="Times New Roman"/>
                <w:color w:val="000000" w:themeColor="text1"/>
                <w:sz w:val="24"/>
                <w:szCs w:val="24"/>
              </w:rPr>
              <w:t xml:space="preserve"> - </w:t>
            </w:r>
            <w:r w:rsidRPr="00B3553B" w:rsidR="00B3553B">
              <w:rPr>
                <w:rFonts w:ascii="Times New Roman" w:hAnsi="Times New Roman" w:eastAsia="Times New Roman" w:cs="Times New Roman"/>
                <w:color w:val="000000" w:themeColor="text1"/>
                <w:sz w:val="24"/>
                <w:szCs w:val="24"/>
              </w:rPr>
              <w:t>2 550 000 euro</w:t>
            </w:r>
            <w:r w:rsidRPr="00902197" w:rsidR="00AF3D77">
              <w:rPr>
                <w:rFonts w:ascii="Times New Roman" w:hAnsi="Times New Roman" w:eastAsia="Times New Roman" w:cs="Times New Roman"/>
                <w:color w:val="000000" w:themeColor="text1"/>
                <w:sz w:val="24"/>
                <w:szCs w:val="24"/>
              </w:rPr>
              <w:t>.</w:t>
            </w:r>
          </w:p>
          <w:p w:rsidRPr="0077651F" w:rsidR="00A2599A" w:rsidP="00D663D7" w:rsidRDefault="00A2599A" w14:paraId="581000FF" w14:textId="27BE4E07">
            <w:pPr>
              <w:spacing w:after="0" w:line="240" w:lineRule="auto"/>
              <w:jc w:val="both"/>
              <w:rPr>
                <w:rFonts w:ascii="Times New Roman" w:hAnsi="Times New Roman" w:eastAsia="Times New Roman" w:cs="Times New Roman"/>
                <w:color w:val="000000" w:themeColor="text1"/>
                <w:sz w:val="24"/>
                <w:szCs w:val="24"/>
              </w:rPr>
            </w:pPr>
          </w:p>
        </w:tc>
      </w:tr>
      <w:tr w:rsidRPr="0077651F" w:rsidR="0077651F" w:rsidTr="004974C8" w14:paraId="61FDC5B0"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609251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6.1. detalizēts ieņēmumu aprēķins</w:t>
            </w:r>
          </w:p>
        </w:tc>
        <w:tc>
          <w:tcPr>
            <w:tcW w:w="3901" w:type="pct"/>
            <w:gridSpan w:val="7"/>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27E04683"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77651F" w:rsidR="0077651F" w:rsidTr="004974C8" w14:paraId="06F94A08"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5F95D05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6.2. detalizēts izdevumu aprēķins</w:t>
            </w:r>
          </w:p>
        </w:tc>
        <w:tc>
          <w:tcPr>
            <w:tcW w:w="3901" w:type="pct"/>
            <w:gridSpan w:val="7"/>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165BC66"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77651F" w:rsidR="0077651F" w:rsidTr="004974C8" w14:paraId="23C42A50"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499D87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7. Amata vietu skaita izmaiņas</w:t>
            </w:r>
          </w:p>
        </w:tc>
        <w:tc>
          <w:tcPr>
            <w:tcW w:w="3901" w:type="pct"/>
            <w:gridSpan w:val="7"/>
            <w:tcBorders>
              <w:top w:val="outset" w:color="auto" w:sz="6" w:space="0"/>
              <w:left w:val="outset" w:color="auto" w:sz="6" w:space="0"/>
              <w:bottom w:val="outset" w:color="auto" w:sz="6" w:space="0"/>
              <w:right w:val="outset" w:color="auto" w:sz="6" w:space="0"/>
            </w:tcBorders>
            <w:hideMark/>
          </w:tcPr>
          <w:p w:rsidRPr="0077651F" w:rsidR="00E5323B" w:rsidP="00E5323B" w:rsidRDefault="00705953" w14:paraId="3D132D78" w14:textId="23503D9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Projekts neietekmē amata vietu skaita izmaiņas.</w:t>
            </w:r>
          </w:p>
        </w:tc>
      </w:tr>
      <w:tr w:rsidRPr="0077651F" w:rsidR="0077651F" w:rsidTr="004974C8" w14:paraId="1160A09E" w14:textId="77777777">
        <w:trPr>
          <w:tblCellSpacing w:w="15" w:type="dxa"/>
        </w:trPr>
        <w:tc>
          <w:tcPr>
            <w:tcW w:w="105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798111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8. Cita informācija</w:t>
            </w:r>
          </w:p>
        </w:tc>
        <w:tc>
          <w:tcPr>
            <w:tcW w:w="3901" w:type="pct"/>
            <w:gridSpan w:val="7"/>
            <w:tcBorders>
              <w:top w:val="outset" w:color="auto" w:sz="6" w:space="0"/>
              <w:left w:val="outset" w:color="auto" w:sz="6" w:space="0"/>
              <w:bottom w:val="outset" w:color="auto" w:sz="6" w:space="0"/>
              <w:right w:val="outset" w:color="auto" w:sz="6" w:space="0"/>
            </w:tcBorders>
            <w:hideMark/>
          </w:tcPr>
          <w:p w:rsidRPr="0077651F" w:rsidR="00E5323B" w:rsidP="001A6386" w:rsidRDefault="0066695E" w14:paraId="5FD5350A" w14:textId="2721EAEC">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Nav.</w:t>
            </w:r>
          </w:p>
        </w:tc>
      </w:tr>
    </w:tbl>
    <w:p w:rsidRPr="0077651F" w:rsidR="00E5323B" w:rsidP="00E5323B" w:rsidRDefault="00E5323B" w14:paraId="42FE9B0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Pr="0077651F" w:rsidR="0077651F" w:rsidTr="00E5323B" w14:paraId="31EB789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3C8E15E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77651F" w:rsidR="0077651F" w:rsidTr="00D0018A" w14:paraId="3F0D940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317E16B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w:t>
            </w:r>
          </w:p>
        </w:tc>
        <w:tc>
          <w:tcPr>
            <w:tcW w:w="1615"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4D3B415A"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Saistītie tiesību aktu projekti</w:t>
            </w:r>
          </w:p>
        </w:tc>
        <w:tc>
          <w:tcPr>
            <w:tcW w:w="3023" w:type="pct"/>
            <w:tcBorders>
              <w:top w:val="outset" w:color="auto" w:sz="6" w:space="0"/>
              <w:left w:val="outset" w:color="auto" w:sz="6" w:space="0"/>
              <w:bottom w:val="outset" w:color="auto" w:sz="6" w:space="0"/>
              <w:right w:val="outset" w:color="auto" w:sz="6" w:space="0"/>
            </w:tcBorders>
            <w:hideMark/>
          </w:tcPr>
          <w:p w:rsidRPr="0077651F" w:rsidR="00E5323B" w:rsidP="0077651F" w:rsidRDefault="00D843E0" w14:paraId="7546FAB9" w14:textId="6AF547DD">
            <w:pPr>
              <w:spacing w:after="0" w:line="240" w:lineRule="auto"/>
              <w:jc w:val="both"/>
              <w:rPr>
                <w:rFonts w:ascii="Times New Roman" w:hAnsi="Times New Roman" w:eastAsia="Times New Roman" w:cs="Times New Roman"/>
                <w:iCs/>
                <w:color w:val="000000" w:themeColor="text1"/>
                <w:sz w:val="24"/>
                <w:szCs w:val="24"/>
                <w:lang w:eastAsia="lv-LV"/>
              </w:rPr>
            </w:pPr>
            <w:r w:rsidRPr="00D843E0">
              <w:rPr>
                <w:rFonts w:ascii="Times New Roman" w:hAnsi="Times New Roman" w:eastAsia="Times New Roman" w:cs="Times New Roman"/>
                <w:sz w:val="24"/>
                <w:szCs w:val="24"/>
                <w:lang w:eastAsia="lv-LV"/>
              </w:rPr>
              <w:t>Projekts šo jomu neskar.</w:t>
            </w:r>
          </w:p>
        </w:tc>
      </w:tr>
      <w:tr w:rsidRPr="0077651F" w:rsidR="0077651F" w:rsidTr="00D0018A" w14:paraId="07F3BE5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06F49E1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w:t>
            </w:r>
          </w:p>
        </w:tc>
        <w:tc>
          <w:tcPr>
            <w:tcW w:w="1615"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161D87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Atbildīgā institūcija</w:t>
            </w:r>
          </w:p>
        </w:tc>
        <w:tc>
          <w:tcPr>
            <w:tcW w:w="302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D843E0" w14:paraId="51BAD7C0" w14:textId="5813144F">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Nav.</w:t>
            </w:r>
          </w:p>
        </w:tc>
      </w:tr>
      <w:tr w:rsidRPr="0077651F" w:rsidR="0077651F" w:rsidTr="00D0018A" w14:paraId="402C756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2CD9BE10"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1615"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85D36F7"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6D3B8A" w14:paraId="6B1282AF" w14:textId="4878CC38">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Pr="0077651F" w:rsidR="00E5323B" w:rsidP="00E5323B" w:rsidRDefault="00E5323B" w14:paraId="04A1A83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Pr="0077651F" w:rsidR="0077651F" w:rsidTr="00E5323B" w14:paraId="495944D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48BE5896"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77651F" w:rsidR="0077651F" w:rsidTr="00D0018A" w14:paraId="063DBD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00B2B77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lastRenderedPageBreak/>
              <w:t>1.</w:t>
            </w:r>
          </w:p>
        </w:tc>
        <w:tc>
          <w:tcPr>
            <w:tcW w:w="1615"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6335DF8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Saistības pret Eiropas Savienību</w:t>
            </w:r>
          </w:p>
        </w:tc>
        <w:tc>
          <w:tcPr>
            <w:tcW w:w="3023" w:type="pct"/>
            <w:tcBorders>
              <w:top w:val="outset" w:color="auto" w:sz="6" w:space="0"/>
              <w:left w:val="outset" w:color="auto" w:sz="6" w:space="0"/>
              <w:bottom w:val="outset" w:color="auto" w:sz="6" w:space="0"/>
              <w:right w:val="outset" w:color="auto" w:sz="6" w:space="0"/>
            </w:tcBorders>
            <w:hideMark/>
          </w:tcPr>
          <w:p w:rsidRPr="00D843E0" w:rsidR="00E5323B" w:rsidP="00D843E0" w:rsidRDefault="00D843E0" w14:paraId="24CDCCFD" w14:textId="33970A27">
            <w:pPr>
              <w:shd w:val="clear" w:color="auto" w:fill="FFFFFF"/>
              <w:spacing w:after="0" w:line="240" w:lineRule="auto"/>
              <w:ind w:left="80" w:right="113"/>
              <w:jc w:val="both"/>
              <w:rPr>
                <w:rFonts w:ascii="Times New Roman" w:hAnsi="Times New Roman" w:eastAsia="Calibri" w:cs="Times New Roman"/>
                <w:color w:val="000000" w:themeColor="text1"/>
                <w:sz w:val="24"/>
                <w:szCs w:val="24"/>
                <w:lang w:eastAsia="lv-LV"/>
              </w:rPr>
            </w:pPr>
            <w:r w:rsidRPr="00D843E0">
              <w:rPr>
                <w:rFonts w:ascii="Times New Roman" w:hAnsi="Times New Roman" w:eastAsia="Times New Roman" w:cs="Times New Roman"/>
                <w:iCs/>
                <w:sz w:val="24"/>
                <w:szCs w:val="24"/>
                <w:lang w:eastAsia="lv-LV"/>
              </w:rPr>
              <w:t>Komisijas paziņojums - ES pamatnostādnes valsts atbalsta noteikumu piemērošanai attiecībā uz platjoslas tīklu ātru izvēršanu (2013/C 25/01)  (publicētas ES Oficiālajā Vēstnesī C 209, 23.07.2013). Eiropas Komisijas 2011.gada 9.novembra lēmums Nr.C(2011)7699 „Par Valsts atbalstu Nr.SA.33324 (2011/N) - Nākamās paaudzes tīkli lauku teritorijās”.</w:t>
            </w:r>
          </w:p>
        </w:tc>
      </w:tr>
      <w:tr w:rsidRPr="0077651F" w:rsidR="0077651F" w:rsidTr="00D0018A" w14:paraId="2DFF71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09A1B54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w:t>
            </w:r>
          </w:p>
        </w:tc>
        <w:tc>
          <w:tcPr>
            <w:tcW w:w="1615"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BB3C660"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Citas starptautiskās saistības</w:t>
            </w:r>
          </w:p>
        </w:tc>
        <w:tc>
          <w:tcPr>
            <w:tcW w:w="302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8B1A14" w14:paraId="5ACE0E17" w14:textId="1694995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Noteikumu projekts šo jomu neskar.</w:t>
            </w:r>
          </w:p>
        </w:tc>
      </w:tr>
      <w:tr w:rsidRPr="0077651F" w:rsidR="0077651F" w:rsidTr="00D0018A" w14:paraId="4C620E2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3BB42F5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1615"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A885BB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8B1A14" w14:paraId="2C337025" w14:textId="446D573B">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r w:rsidR="00D843E0">
              <w:rPr>
                <w:rFonts w:ascii="Times New Roman" w:hAnsi="Times New Roman" w:eastAsia="Times New Roman" w:cs="Times New Roman"/>
                <w:iCs/>
                <w:color w:val="000000" w:themeColor="text1"/>
                <w:sz w:val="24"/>
                <w:szCs w:val="24"/>
                <w:lang w:eastAsia="lv-LV"/>
              </w:rPr>
              <w:t>.</w:t>
            </w:r>
          </w:p>
        </w:tc>
      </w:tr>
    </w:tbl>
    <w:p w:rsidRPr="0077651F" w:rsidR="00E5323B" w:rsidP="00E5323B" w:rsidRDefault="00E5323B" w14:paraId="68C6291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028"/>
        <w:gridCol w:w="2014"/>
        <w:gridCol w:w="1216"/>
        <w:gridCol w:w="1143"/>
        <w:gridCol w:w="2654"/>
      </w:tblGrid>
      <w:tr w:rsidRPr="0077651F" w:rsidR="0077651F" w:rsidTr="00E5323B" w14:paraId="25BE22BF"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15241ECC"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1. tabula</w:t>
            </w:r>
            <w:r w:rsidRPr="0077651F">
              <w:rPr>
                <w:rFonts w:ascii="Times New Roman" w:hAnsi="Times New Roman" w:eastAsia="Times New Roman" w:cs="Times New Roman"/>
                <w:b/>
                <w:bCs/>
                <w:iCs/>
                <w:color w:val="000000" w:themeColor="text1"/>
                <w:sz w:val="24"/>
                <w:szCs w:val="24"/>
                <w:lang w:eastAsia="lv-LV"/>
              </w:rPr>
              <w:br/>
              <w:t>Tiesību akta projekta atbilstība ES tiesību aktiem</w:t>
            </w:r>
          </w:p>
        </w:tc>
      </w:tr>
      <w:tr w:rsidRPr="0077651F" w:rsidR="0077651F" w:rsidTr="009220AB" w14:paraId="14664D9B"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A47BA6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Attiecīgā ES tiesību akta datums, numurs un nosaukums</w:t>
            </w:r>
          </w:p>
        </w:tc>
        <w:tc>
          <w:tcPr>
            <w:tcW w:w="3844" w:type="pct"/>
            <w:gridSpan w:val="4"/>
            <w:tcBorders>
              <w:top w:val="outset" w:color="auto" w:sz="6" w:space="0"/>
              <w:left w:val="outset" w:color="auto" w:sz="6" w:space="0"/>
              <w:bottom w:val="outset" w:color="auto" w:sz="6" w:space="0"/>
              <w:right w:val="outset" w:color="auto" w:sz="6" w:space="0"/>
            </w:tcBorders>
            <w:hideMark/>
          </w:tcPr>
          <w:p w:rsidRPr="0077651F" w:rsidR="00AF1F03" w:rsidP="00AF1F03" w:rsidRDefault="00AF1F03" w14:paraId="255A2935" w14:textId="77777777">
            <w:pPr>
              <w:shd w:val="clear" w:color="auto" w:fill="FFFFFF"/>
              <w:spacing w:after="0" w:line="240" w:lineRule="auto"/>
              <w:ind w:left="80" w:right="113"/>
              <w:jc w:val="both"/>
              <w:rPr>
                <w:rFonts w:ascii="Times New Roman" w:hAnsi="Times New Roman" w:eastAsia="Calibri" w:cs="Times New Roman"/>
                <w:color w:val="000000" w:themeColor="text1"/>
                <w:sz w:val="24"/>
                <w:szCs w:val="24"/>
                <w:lang w:eastAsia="lv-LV"/>
              </w:rPr>
            </w:pPr>
          </w:p>
          <w:p w:rsidRPr="0077651F" w:rsidR="00E5323B" w:rsidP="00E5323B" w:rsidRDefault="00E5323B" w14:paraId="7CC7B48C" w14:textId="1447D4AA">
            <w:pPr>
              <w:spacing w:after="0" w:line="240" w:lineRule="auto"/>
              <w:rPr>
                <w:rFonts w:ascii="Times New Roman" w:hAnsi="Times New Roman" w:eastAsia="Times New Roman" w:cs="Times New Roman"/>
                <w:iCs/>
                <w:color w:val="000000" w:themeColor="text1"/>
                <w:sz w:val="24"/>
                <w:szCs w:val="24"/>
                <w:lang w:eastAsia="lv-LV"/>
              </w:rPr>
            </w:pPr>
          </w:p>
        </w:tc>
      </w:tr>
      <w:tr w:rsidRPr="0077651F" w:rsidR="0077651F" w:rsidTr="009220AB" w14:paraId="4300805B"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33BBF8C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w:t>
            </w:r>
          </w:p>
        </w:tc>
        <w:tc>
          <w:tcPr>
            <w:tcW w:w="1107"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4D435FA7"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B</w:t>
            </w:r>
          </w:p>
        </w:tc>
        <w:tc>
          <w:tcPr>
            <w:tcW w:w="1282" w:type="pct"/>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2CB96B7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w:t>
            </w:r>
          </w:p>
        </w:tc>
        <w:tc>
          <w:tcPr>
            <w:tcW w:w="142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05BF630"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D</w:t>
            </w:r>
          </w:p>
        </w:tc>
      </w:tr>
      <w:tr w:rsidRPr="0077651F" w:rsidR="0077651F" w:rsidTr="009220AB" w14:paraId="62580EEB"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548F2A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Attiecīgā ES tiesību akta panta numurs (uzskaitot katru tiesību akta vienību – pantu, daļu, punktu, apakšpunktu)</w:t>
            </w:r>
          </w:p>
        </w:tc>
        <w:tc>
          <w:tcPr>
            <w:tcW w:w="1107"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5A9106F1"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282" w:type="pct"/>
            <w:gridSpan w:val="2"/>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8C44071"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77651F">
              <w:rPr>
                <w:rFonts w:ascii="Times New Roman" w:hAnsi="Times New Roman" w:eastAsia="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7651F">
              <w:rPr>
                <w:rFonts w:ascii="Times New Roman" w:hAnsi="Times New Roman" w:eastAsia="Times New Roman" w:cs="Times New Roman"/>
                <w:iCs/>
                <w:color w:val="000000" w:themeColor="text1"/>
                <w:sz w:val="24"/>
                <w:szCs w:val="24"/>
                <w:lang w:eastAsia="lv-LV"/>
              </w:rPr>
              <w:br/>
              <w:t>Norāda institūciju, kas ir atbildīga par šo saistību izpildi pilnībā</w:t>
            </w:r>
          </w:p>
        </w:tc>
        <w:tc>
          <w:tcPr>
            <w:tcW w:w="142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6BE8F050"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77651F">
              <w:rPr>
                <w:rFonts w:ascii="Times New Roman" w:hAnsi="Times New Roman" w:eastAsia="Times New Roman" w:cs="Times New Roman"/>
                <w:iCs/>
                <w:color w:val="000000" w:themeColor="text1"/>
                <w:sz w:val="24"/>
                <w:szCs w:val="24"/>
                <w:lang w:eastAsia="lv-LV"/>
              </w:rPr>
              <w:br/>
              <w:t>Ja projekts satur stingrākas prasības nekā attiecīgais ES tiesību akts, norāda pamatojumu un samērīgumu.</w:t>
            </w:r>
            <w:r w:rsidRPr="0077651F">
              <w:rPr>
                <w:rFonts w:ascii="Times New Roman" w:hAnsi="Times New Roman" w:eastAsia="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77651F" w:rsidR="0077651F" w:rsidTr="009220AB" w14:paraId="317C69FE"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8833B24"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844" w:type="pct"/>
            <w:gridSpan w:val="4"/>
            <w:tcBorders>
              <w:top w:val="outset" w:color="auto" w:sz="6" w:space="0"/>
              <w:left w:val="outset" w:color="auto" w:sz="6" w:space="0"/>
              <w:bottom w:val="outset" w:color="auto" w:sz="6" w:space="0"/>
              <w:right w:val="outset" w:color="auto" w:sz="6" w:space="0"/>
            </w:tcBorders>
            <w:hideMark/>
          </w:tcPr>
          <w:p w:rsidRPr="0077651F" w:rsidR="00E5323B" w:rsidP="00E5323B" w:rsidRDefault="009220AB" w14:paraId="5D80CE6F" w14:textId="456F0F36">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P</w:t>
            </w:r>
            <w:r w:rsidRPr="0077651F">
              <w:rPr>
                <w:rFonts w:ascii="Times New Roman" w:hAnsi="Times New Roman" w:eastAsia="Times New Roman" w:cs="Times New Roman"/>
                <w:iCs/>
                <w:color w:val="000000" w:themeColor="text1"/>
                <w:sz w:val="24"/>
                <w:szCs w:val="24"/>
                <w:lang w:eastAsia="lv-LV"/>
              </w:rPr>
              <w:t>rojekts šo jomu neskar.</w:t>
            </w:r>
          </w:p>
        </w:tc>
      </w:tr>
      <w:tr w:rsidRPr="0077651F" w:rsidR="0077651F" w:rsidTr="009220AB" w14:paraId="373546E7"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CFAFDCF"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Saistības sniegt paziņojumu ES </w:t>
            </w:r>
            <w:r w:rsidRPr="0077651F">
              <w:rPr>
                <w:rFonts w:ascii="Times New Roman" w:hAnsi="Times New Roman" w:eastAsia="Times New Roman" w:cs="Times New Roman"/>
                <w:iCs/>
                <w:color w:val="000000" w:themeColor="text1"/>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844" w:type="pct"/>
            <w:gridSpan w:val="4"/>
            <w:tcBorders>
              <w:top w:val="outset" w:color="auto" w:sz="6" w:space="0"/>
              <w:left w:val="outset" w:color="auto" w:sz="6" w:space="0"/>
              <w:bottom w:val="outset" w:color="auto" w:sz="6" w:space="0"/>
              <w:right w:val="outset" w:color="auto" w:sz="6" w:space="0"/>
            </w:tcBorders>
            <w:hideMark/>
          </w:tcPr>
          <w:p w:rsidRPr="0077651F" w:rsidR="00E5323B" w:rsidP="00E5323B" w:rsidRDefault="009220AB" w14:paraId="13E79B16" w14:textId="4243FCFA">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lastRenderedPageBreak/>
              <w:t>P</w:t>
            </w:r>
            <w:r w:rsidRPr="0077651F">
              <w:rPr>
                <w:rFonts w:ascii="Times New Roman" w:hAnsi="Times New Roman" w:eastAsia="Times New Roman" w:cs="Times New Roman"/>
                <w:iCs/>
                <w:color w:val="000000" w:themeColor="text1"/>
                <w:sz w:val="24"/>
                <w:szCs w:val="24"/>
                <w:lang w:eastAsia="lv-LV"/>
              </w:rPr>
              <w:t>rojekts šo jomu neskar.</w:t>
            </w:r>
          </w:p>
        </w:tc>
      </w:tr>
      <w:tr w:rsidRPr="0077651F" w:rsidR="0077651F" w:rsidTr="009220AB" w14:paraId="0F51DF78"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1EDD05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844" w:type="pct"/>
            <w:gridSpan w:val="4"/>
            <w:tcBorders>
              <w:top w:val="outset" w:color="auto" w:sz="6" w:space="0"/>
              <w:left w:val="outset" w:color="auto" w:sz="6" w:space="0"/>
              <w:bottom w:val="outset" w:color="auto" w:sz="6" w:space="0"/>
              <w:right w:val="outset" w:color="auto" w:sz="6" w:space="0"/>
            </w:tcBorders>
            <w:hideMark/>
          </w:tcPr>
          <w:p w:rsidRPr="0077651F" w:rsidR="00E5323B" w:rsidP="00E5323B" w:rsidRDefault="0077651F" w14:paraId="6B5DFA22" w14:textId="409309DC">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sz w:val="24"/>
                <w:szCs w:val="24"/>
                <w:lang w:eastAsia="lv-LV"/>
              </w:rPr>
              <w:t>Nav</w:t>
            </w:r>
          </w:p>
        </w:tc>
      </w:tr>
      <w:tr w:rsidRPr="0077651F" w:rsidR="0077651F" w:rsidTr="00E5323B" w14:paraId="5C90346B"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52F6AE7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2. tabula</w:t>
            </w:r>
            <w:r w:rsidRPr="0077651F">
              <w:rPr>
                <w:rFonts w:ascii="Times New Roman" w:hAnsi="Times New Roman" w:eastAsia="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77651F">
              <w:rPr>
                <w:rFonts w:ascii="Times New Roman" w:hAnsi="Times New Roman" w:eastAsia="Times New Roman" w:cs="Times New Roman"/>
                <w:b/>
                <w:bCs/>
                <w:iCs/>
                <w:color w:val="000000" w:themeColor="text1"/>
                <w:sz w:val="24"/>
                <w:szCs w:val="24"/>
                <w:lang w:eastAsia="lv-LV"/>
              </w:rPr>
              <w:br/>
              <w:t>Pasākumi šo saistību izpildei</w:t>
            </w:r>
          </w:p>
        </w:tc>
      </w:tr>
      <w:tr w:rsidRPr="0077651F" w:rsidR="0077651F" w:rsidTr="009220AB" w14:paraId="5A788BAE"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337CC4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3844" w:type="pct"/>
            <w:gridSpan w:val="4"/>
            <w:tcBorders>
              <w:top w:val="outset" w:color="auto" w:sz="6" w:space="0"/>
              <w:left w:val="outset" w:color="auto" w:sz="6" w:space="0"/>
              <w:bottom w:val="outset" w:color="auto" w:sz="6" w:space="0"/>
              <w:right w:val="outset" w:color="auto" w:sz="6" w:space="0"/>
            </w:tcBorders>
            <w:hideMark/>
          </w:tcPr>
          <w:p w:rsidRPr="0077651F" w:rsidR="00E5323B" w:rsidP="00E5323B" w:rsidRDefault="00A56489" w14:paraId="2EA3BC38" w14:textId="21B3558E">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Noteikumu projekts šo jomu neskar.</w:t>
            </w:r>
          </w:p>
        </w:tc>
      </w:tr>
      <w:tr w:rsidRPr="0077651F" w:rsidR="0077651F" w:rsidTr="009220AB" w14:paraId="4646DB73"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5D937C2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w:t>
            </w:r>
          </w:p>
        </w:tc>
        <w:tc>
          <w:tcPr>
            <w:tcW w:w="1768" w:type="pct"/>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E0F049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B</w:t>
            </w:r>
          </w:p>
        </w:tc>
        <w:tc>
          <w:tcPr>
            <w:tcW w:w="2060" w:type="pct"/>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212FEA9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w:t>
            </w:r>
          </w:p>
        </w:tc>
      </w:tr>
      <w:tr w:rsidRPr="0077651F" w:rsidR="0077651F" w:rsidTr="009220AB" w14:paraId="2B0A47F1"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75DA0A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Starptautiskās saistības (pēc būtības), kas izriet no norādītā starptautiskā dokumenta.</w:t>
            </w:r>
            <w:r w:rsidRPr="0077651F">
              <w:rPr>
                <w:rFonts w:ascii="Times New Roman" w:hAnsi="Times New Roman" w:eastAsia="Times New Roman" w:cs="Times New Roman"/>
                <w:iCs/>
                <w:color w:val="000000" w:themeColor="text1"/>
                <w:sz w:val="24"/>
                <w:szCs w:val="24"/>
                <w:lang w:eastAsia="lv-LV"/>
              </w:rPr>
              <w:br/>
              <w:t>Konkrēti veicamie pasākumi vai uzdevumi, kas nepieciešami šo starptautisko saistību izpildei</w:t>
            </w:r>
          </w:p>
        </w:tc>
        <w:tc>
          <w:tcPr>
            <w:tcW w:w="1768" w:type="pct"/>
            <w:gridSpan w:val="2"/>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4DE8B9E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0" w:type="pct"/>
            <w:gridSpan w:val="2"/>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43186B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Informācija par to, vai starptautiskās saistības, kas minētas šīs tabulas A ailē, tiek izpildītas pilnībā vai daļēji.</w:t>
            </w:r>
            <w:r w:rsidRPr="0077651F">
              <w:rPr>
                <w:rFonts w:ascii="Times New Roman" w:hAnsi="Times New Roman" w:eastAsia="Times New Roman" w:cs="Times New Roman"/>
                <w:iCs/>
                <w:color w:val="000000" w:themeColor="text1"/>
                <w:sz w:val="24"/>
                <w:szCs w:val="24"/>
                <w:lang w:eastAsia="lv-LV"/>
              </w:rPr>
              <w:br/>
              <w:t>Ja attiecīgās starptautiskās saistības tiek izpildītas daļēji, sniedz skaidrojumu, kā arī precīzi norāda, kad un kādā veidā starptautiskās saistības tiks izpildītas pilnībā.</w:t>
            </w:r>
            <w:r w:rsidRPr="0077651F">
              <w:rPr>
                <w:rFonts w:ascii="Times New Roman" w:hAnsi="Times New Roman" w:eastAsia="Times New Roman" w:cs="Times New Roman"/>
                <w:iCs/>
                <w:color w:val="000000" w:themeColor="text1"/>
                <w:sz w:val="24"/>
                <w:szCs w:val="24"/>
                <w:lang w:eastAsia="lv-LV"/>
              </w:rPr>
              <w:br/>
              <w:t>Norāda institūciju, kas ir atbildīga par šo saistību izpildi pilnībā</w:t>
            </w:r>
          </w:p>
        </w:tc>
      </w:tr>
      <w:tr w:rsidRPr="0077651F" w:rsidR="0077651F" w:rsidTr="009220AB" w14:paraId="1078F3A6"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hideMark/>
          </w:tcPr>
          <w:p w:rsidRPr="0077651F" w:rsidR="00E5323B" w:rsidP="00E5323B" w:rsidRDefault="00A56489" w14:paraId="4476AF35" w14:textId="76B1DFAB">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Noteikumu projekts šo jomu neskar.</w:t>
            </w:r>
          </w:p>
        </w:tc>
        <w:tc>
          <w:tcPr>
            <w:tcW w:w="1768" w:type="pct"/>
            <w:gridSpan w:val="2"/>
            <w:tcBorders>
              <w:top w:val="outset" w:color="auto" w:sz="6" w:space="0"/>
              <w:left w:val="outset" w:color="auto" w:sz="6" w:space="0"/>
              <w:bottom w:val="outset" w:color="auto" w:sz="6" w:space="0"/>
              <w:right w:val="outset" w:color="auto" w:sz="6" w:space="0"/>
            </w:tcBorders>
            <w:hideMark/>
          </w:tcPr>
          <w:p w:rsidRPr="0077651F" w:rsidR="00E5323B" w:rsidP="00E5323B" w:rsidRDefault="009220AB" w14:paraId="182C691C" w14:textId="498FA563">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P</w:t>
            </w:r>
            <w:r w:rsidRPr="0077651F" w:rsidR="00A56489">
              <w:rPr>
                <w:rFonts w:ascii="Times New Roman" w:hAnsi="Times New Roman" w:eastAsia="Times New Roman" w:cs="Times New Roman"/>
                <w:iCs/>
                <w:color w:val="000000" w:themeColor="text1"/>
                <w:sz w:val="24"/>
                <w:szCs w:val="24"/>
                <w:lang w:eastAsia="lv-LV"/>
              </w:rPr>
              <w:t>rojekts šo jomu neskar.</w:t>
            </w:r>
          </w:p>
        </w:tc>
        <w:tc>
          <w:tcPr>
            <w:tcW w:w="2060" w:type="pct"/>
            <w:gridSpan w:val="2"/>
            <w:tcBorders>
              <w:top w:val="outset" w:color="auto" w:sz="6" w:space="0"/>
              <w:left w:val="outset" w:color="auto" w:sz="6" w:space="0"/>
              <w:bottom w:val="outset" w:color="auto" w:sz="6" w:space="0"/>
              <w:right w:val="outset" w:color="auto" w:sz="6" w:space="0"/>
            </w:tcBorders>
            <w:hideMark/>
          </w:tcPr>
          <w:p w:rsidRPr="0077651F" w:rsidR="00E5323B" w:rsidP="00E5323B" w:rsidRDefault="009220AB" w14:paraId="7AC91D60" w14:textId="364EC4A3">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P</w:t>
            </w:r>
            <w:r w:rsidRPr="0077651F" w:rsidR="00A56489">
              <w:rPr>
                <w:rFonts w:ascii="Times New Roman" w:hAnsi="Times New Roman" w:eastAsia="Times New Roman" w:cs="Times New Roman"/>
                <w:iCs/>
                <w:color w:val="000000" w:themeColor="text1"/>
                <w:sz w:val="24"/>
                <w:szCs w:val="24"/>
                <w:lang w:eastAsia="lv-LV"/>
              </w:rPr>
              <w:t>rojekts šo jomu neskar.</w:t>
            </w:r>
          </w:p>
        </w:tc>
      </w:tr>
      <w:tr w:rsidRPr="0077651F" w:rsidR="0077651F" w:rsidTr="009220AB" w14:paraId="72911C78"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B27DFE1"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lastRenderedPageBreak/>
              <w:t>Vai starptautiskajā dokumentā paredzētās saistības nav pretrunā ar jau esošajām Latvijas Republikas starptautiskajām saistībām</w:t>
            </w:r>
          </w:p>
        </w:tc>
        <w:tc>
          <w:tcPr>
            <w:tcW w:w="3844" w:type="pct"/>
            <w:gridSpan w:val="4"/>
            <w:tcBorders>
              <w:top w:val="outset" w:color="auto" w:sz="6" w:space="0"/>
              <w:left w:val="outset" w:color="auto" w:sz="6" w:space="0"/>
              <w:bottom w:val="outset" w:color="auto" w:sz="6" w:space="0"/>
              <w:right w:val="outset" w:color="auto" w:sz="6" w:space="0"/>
            </w:tcBorders>
            <w:hideMark/>
          </w:tcPr>
          <w:p w:rsidRPr="0077651F" w:rsidR="00E5323B" w:rsidP="00E5323B" w:rsidRDefault="009220AB" w14:paraId="13C47389" w14:textId="2FED1FCF">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P</w:t>
            </w:r>
            <w:r w:rsidRPr="0077651F" w:rsidR="00A56489">
              <w:rPr>
                <w:rFonts w:ascii="Times New Roman" w:hAnsi="Times New Roman" w:eastAsia="Times New Roman" w:cs="Times New Roman"/>
                <w:iCs/>
                <w:color w:val="000000" w:themeColor="text1"/>
                <w:sz w:val="24"/>
                <w:szCs w:val="24"/>
                <w:lang w:eastAsia="lv-LV"/>
              </w:rPr>
              <w:t>rojekts šo jomu neskar.</w:t>
            </w:r>
          </w:p>
        </w:tc>
      </w:tr>
      <w:tr w:rsidRPr="0077651F" w:rsidR="0077651F" w:rsidTr="009220AB" w14:paraId="2D0625CD" w14:textId="77777777">
        <w:trPr>
          <w:tblCellSpacing w:w="15" w:type="dxa"/>
        </w:trPr>
        <w:tc>
          <w:tcPr>
            <w:tcW w:w="1106"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43FE0F4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844" w:type="pct"/>
            <w:gridSpan w:val="4"/>
            <w:tcBorders>
              <w:top w:val="outset" w:color="auto" w:sz="6" w:space="0"/>
              <w:left w:val="outset" w:color="auto" w:sz="6" w:space="0"/>
              <w:bottom w:val="outset" w:color="auto" w:sz="6" w:space="0"/>
              <w:right w:val="outset" w:color="auto" w:sz="6" w:space="0"/>
            </w:tcBorders>
            <w:hideMark/>
          </w:tcPr>
          <w:p w:rsidRPr="0077651F" w:rsidR="00E5323B" w:rsidP="00E5323B" w:rsidRDefault="00A56489" w14:paraId="049D9913" w14:textId="11072B13">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Pr="0077651F" w:rsidR="00E5323B" w:rsidP="00E5323B" w:rsidRDefault="00E5323B" w14:paraId="5FE4F047"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7651F" w:rsidR="0077651F" w:rsidTr="00E5323B" w14:paraId="52E9267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6CE2C695"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77651F" w:rsidR="0077651F" w:rsidTr="00E5323B" w14:paraId="7927040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557538B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D0E632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3314BB" w:rsidRDefault="00E52BD2" w14:paraId="7BFECDB8" w14:textId="100DB92B">
            <w:pPr>
              <w:spacing w:after="0" w:line="240" w:lineRule="auto"/>
              <w:jc w:val="both"/>
              <w:rPr>
                <w:rFonts w:ascii="Times New Roman" w:hAnsi="Times New Roman" w:eastAsia="Times New Roman" w:cs="Times New Roman"/>
                <w:iCs/>
                <w:color w:val="000000" w:themeColor="text1"/>
                <w:sz w:val="24"/>
                <w:szCs w:val="24"/>
                <w:lang w:eastAsia="lv-LV"/>
              </w:rPr>
            </w:pPr>
            <w:r w:rsidRPr="00E52BD2">
              <w:rPr>
                <w:rFonts w:ascii="Times New Roman" w:hAnsi="Times New Roman" w:cs="Times New Roman"/>
                <w:color w:val="000000" w:themeColor="text1"/>
                <w:sz w:val="24"/>
                <w:szCs w:val="24"/>
              </w:rPr>
              <w:t xml:space="preserve">Paziņojums par sabiedrības līdzdalības iespējām noteikumu projekta izstrādes posmā </w:t>
            </w:r>
            <w:r w:rsidR="000E5BEE">
              <w:rPr>
                <w:rFonts w:ascii="Times New Roman" w:hAnsi="Times New Roman" w:cs="Times New Roman"/>
                <w:color w:val="000000" w:themeColor="text1"/>
                <w:sz w:val="24"/>
                <w:szCs w:val="24"/>
              </w:rPr>
              <w:t xml:space="preserve">2020.gada 10.septembrī </w:t>
            </w:r>
            <w:r w:rsidR="00D238CE">
              <w:rPr>
                <w:rFonts w:ascii="Times New Roman" w:hAnsi="Times New Roman" w:cs="Times New Roman"/>
                <w:color w:val="000000" w:themeColor="text1"/>
                <w:sz w:val="24"/>
                <w:szCs w:val="24"/>
              </w:rPr>
              <w:t xml:space="preserve">tika </w:t>
            </w:r>
            <w:r w:rsidRPr="00E52BD2">
              <w:rPr>
                <w:rFonts w:ascii="Times New Roman" w:hAnsi="Times New Roman" w:cs="Times New Roman"/>
                <w:color w:val="000000" w:themeColor="text1"/>
                <w:sz w:val="24"/>
                <w:szCs w:val="24"/>
              </w:rPr>
              <w:t>ievietot</w:t>
            </w:r>
            <w:r w:rsidR="00D238CE">
              <w:rPr>
                <w:rFonts w:ascii="Times New Roman" w:hAnsi="Times New Roman" w:cs="Times New Roman"/>
                <w:color w:val="000000" w:themeColor="text1"/>
                <w:sz w:val="24"/>
                <w:szCs w:val="24"/>
              </w:rPr>
              <w:t>s</w:t>
            </w:r>
            <w:r w:rsidRPr="00E52BD2">
              <w:rPr>
                <w:rFonts w:ascii="Times New Roman" w:hAnsi="Times New Roman" w:cs="Times New Roman"/>
                <w:color w:val="000000" w:themeColor="text1"/>
                <w:sz w:val="24"/>
                <w:szCs w:val="24"/>
              </w:rPr>
              <w:t xml:space="preserve"> SM tīmekļa vietnē </w:t>
            </w:r>
            <w:r w:rsidRPr="000E5BEE" w:rsidR="000E5BEE">
              <w:rPr>
                <w:rFonts w:ascii="Times New Roman" w:hAnsi="Times New Roman" w:cs="Times New Roman"/>
                <w:color w:val="000000" w:themeColor="text1"/>
                <w:sz w:val="24"/>
                <w:szCs w:val="24"/>
              </w:rPr>
              <w:t>www.sam.gov.lv</w:t>
            </w:r>
            <w:r w:rsidR="000E5BEE">
              <w:rPr>
                <w:rFonts w:ascii="Times New Roman" w:hAnsi="Times New Roman" w:cs="Times New Roman"/>
                <w:color w:val="000000" w:themeColor="text1"/>
                <w:sz w:val="24"/>
                <w:szCs w:val="24"/>
              </w:rPr>
              <w:t xml:space="preserve"> </w:t>
            </w:r>
            <w:r w:rsidRPr="00E52BD2">
              <w:rPr>
                <w:rFonts w:ascii="Times New Roman" w:hAnsi="Times New Roman" w:cs="Times New Roman"/>
                <w:color w:val="000000" w:themeColor="text1"/>
                <w:sz w:val="24"/>
                <w:szCs w:val="24"/>
              </w:rPr>
              <w:t xml:space="preserve">un MK tīmekļa vietnē </w:t>
            </w:r>
            <w:r w:rsidRPr="000E5BEE" w:rsidR="000E5BEE">
              <w:rPr>
                <w:rFonts w:ascii="Times New Roman" w:hAnsi="Times New Roman" w:cs="Times New Roman"/>
                <w:color w:val="000000" w:themeColor="text1"/>
                <w:sz w:val="24"/>
                <w:szCs w:val="24"/>
              </w:rPr>
              <w:t>www.mk.gov.lv</w:t>
            </w:r>
            <w:r w:rsidR="000E5BEE">
              <w:rPr>
                <w:rFonts w:ascii="Times New Roman" w:hAnsi="Times New Roman" w:cs="Times New Roman"/>
                <w:color w:val="000000" w:themeColor="text1"/>
                <w:sz w:val="24"/>
                <w:szCs w:val="24"/>
              </w:rPr>
              <w:t xml:space="preserve"> ar priekšlikumu iesniegšanas termiņu līdz </w:t>
            </w:r>
            <w:r w:rsidRPr="000E5BEE" w:rsidR="000E5BEE">
              <w:rPr>
                <w:rFonts w:ascii="Times New Roman" w:hAnsi="Times New Roman" w:cs="Times New Roman"/>
                <w:color w:val="000000" w:themeColor="text1"/>
                <w:sz w:val="24"/>
                <w:szCs w:val="24"/>
              </w:rPr>
              <w:t>2020.gada 24.septembrim</w:t>
            </w:r>
            <w:r w:rsidR="000E0B42">
              <w:rPr>
                <w:rFonts w:ascii="Times New Roman" w:hAnsi="Times New Roman" w:cs="Times New Roman"/>
                <w:color w:val="000000" w:themeColor="text1"/>
                <w:sz w:val="24"/>
                <w:szCs w:val="24"/>
              </w:rPr>
              <w:t>.</w:t>
            </w:r>
          </w:p>
        </w:tc>
      </w:tr>
      <w:tr w:rsidRPr="0077651F" w:rsidR="0077651F" w:rsidTr="00E5323B" w14:paraId="0F9A5E0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68D267D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6AE79C11"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77651F" w:rsidR="00E52BD2" w:rsidP="00A56489" w:rsidRDefault="00E52BD2" w14:paraId="525B3202" w14:textId="234097AA">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Atbilstoši Ministru kabineta 2009.gada 25.augusta noteikumu Nr.970 „Sabiedrības līdzdalības kārtība attīstības plānošanas procesā” 7.4.</w:t>
            </w:r>
            <w:r w:rsidRPr="0077651F">
              <w:rPr>
                <w:rFonts w:ascii="Times New Roman" w:hAnsi="Times New Roman" w:cs="Times New Roman"/>
                <w:color w:val="000000" w:themeColor="text1"/>
                <w:sz w:val="24"/>
                <w:szCs w:val="24"/>
                <w:vertAlign w:val="superscript"/>
              </w:rPr>
              <w:t>1</w:t>
            </w:r>
            <w:r w:rsidRPr="0077651F">
              <w:rPr>
                <w:rFonts w:ascii="Times New Roman" w:hAnsi="Times New Roman" w:cs="Times New Roman"/>
                <w:color w:val="000000" w:themeColor="text1"/>
                <w:sz w:val="24"/>
                <w:szCs w:val="24"/>
              </w:rPr>
              <w:t xml:space="preserve"> apakšpunktam sabiedrībai </w:t>
            </w:r>
            <w:r w:rsidR="000E5BEE">
              <w:rPr>
                <w:rFonts w:ascii="Times New Roman" w:hAnsi="Times New Roman" w:cs="Times New Roman"/>
                <w:color w:val="000000" w:themeColor="text1"/>
                <w:sz w:val="24"/>
                <w:szCs w:val="24"/>
              </w:rPr>
              <w:t>tika</w:t>
            </w:r>
            <w:r w:rsidRPr="0077651F">
              <w:rPr>
                <w:rFonts w:ascii="Times New Roman" w:hAnsi="Times New Roman" w:cs="Times New Roman"/>
                <w:color w:val="000000" w:themeColor="text1"/>
                <w:sz w:val="24"/>
                <w:szCs w:val="24"/>
              </w:rPr>
              <w:t xml:space="preserve"> dota iespēja rakstiski sniegt viedokli par noteikumu projektu tā izstrādes stadijā.</w:t>
            </w:r>
          </w:p>
        </w:tc>
      </w:tr>
      <w:tr w:rsidRPr="0077651F" w:rsidR="0077651F" w:rsidTr="00CD2A22" w14:paraId="0F71DA8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3017051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E2A500A"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77651F" w:rsidR="00E5323B" w:rsidP="00E5323B" w:rsidRDefault="000E5BEE" w14:paraId="384D7AEE" w14:textId="10D7CB32">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sz w:val="24"/>
                <w:szCs w:val="24"/>
                <w:lang w:eastAsia="lv-LV"/>
              </w:rPr>
              <w:t>Priekšlikumi netika saņemti</w:t>
            </w:r>
            <w:r w:rsidRPr="00491736" w:rsidR="00491736">
              <w:rPr>
                <w:rFonts w:ascii="Times New Roman" w:hAnsi="Times New Roman" w:eastAsia="Times New Roman" w:cs="Times New Roman"/>
                <w:sz w:val="24"/>
                <w:szCs w:val="24"/>
                <w:lang w:eastAsia="lv-LV"/>
              </w:rPr>
              <w:t>.</w:t>
            </w:r>
          </w:p>
        </w:tc>
      </w:tr>
      <w:tr w:rsidRPr="0077651F" w:rsidR="0077651F" w:rsidTr="00E5323B" w14:paraId="24CC5B3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1DD8126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546D23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3314BB" w14:paraId="08FB1E76" w14:textId="29B63673">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Pr="0077651F" w:rsidR="00E5323B" w:rsidP="00E5323B" w:rsidRDefault="00E5323B" w14:paraId="4ED4890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7651F" w:rsidR="0077651F" w:rsidTr="00E5323B" w14:paraId="2656586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4A9A8E6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77651F" w:rsidR="0077651F" w:rsidTr="00E5323B" w14:paraId="10737D4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598AC787"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C156AE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A56489" w:rsidRDefault="00A56489" w14:paraId="1CB2BFC4" w14:textId="4C7C8613">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SM kā atbildīgā iestāde, CFLA kā sadarbības iestāde un L</w:t>
            </w:r>
            <w:r w:rsidR="00776D47">
              <w:rPr>
                <w:rFonts w:ascii="Times New Roman" w:hAnsi="Times New Roman" w:eastAsia="Times New Roman" w:cs="Times New Roman"/>
                <w:iCs/>
                <w:color w:val="000000" w:themeColor="text1"/>
                <w:sz w:val="24"/>
                <w:szCs w:val="24"/>
                <w:lang w:eastAsia="lv-LV"/>
              </w:rPr>
              <w:t>VRTC</w:t>
            </w:r>
            <w:r w:rsidRPr="0077651F">
              <w:rPr>
                <w:rFonts w:ascii="Times New Roman" w:hAnsi="Times New Roman" w:eastAsia="Times New Roman" w:cs="Times New Roman"/>
                <w:iCs/>
                <w:color w:val="000000" w:themeColor="text1"/>
                <w:sz w:val="24"/>
                <w:szCs w:val="24"/>
                <w:lang w:eastAsia="lv-LV"/>
              </w:rPr>
              <w:t xml:space="preserve"> kā finansējuma saņēmējs un projekta īstenotājs</w:t>
            </w:r>
          </w:p>
        </w:tc>
      </w:tr>
      <w:tr w:rsidRPr="0077651F" w:rsidR="0077651F" w:rsidTr="00E5323B" w14:paraId="7D255C0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3998B8D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2F72F7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77651F">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A56489" w14:paraId="4FE41C7A" w14:textId="5D2DE0AE">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Nav plānota jaunu institūciju izveide, esošu institūciju likvidācija vai reorganizācija.</w:t>
            </w:r>
          </w:p>
        </w:tc>
      </w:tr>
      <w:tr w:rsidRPr="0077651F" w:rsidR="00E5323B" w:rsidTr="00E5323B" w14:paraId="385DAA7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1D4814A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14CB5E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3314BB" w14:paraId="26EB9FC9" w14:textId="7F214BD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Pr="0077651F" w:rsidR="00C25B49" w:rsidP="00894C55" w:rsidRDefault="00C25B49" w14:paraId="7C61D698" w14:textId="77777777">
      <w:pPr>
        <w:spacing w:after="0" w:line="240" w:lineRule="auto"/>
        <w:rPr>
          <w:rFonts w:ascii="Times New Roman" w:hAnsi="Times New Roman" w:cs="Times New Roman"/>
          <w:color w:val="000000" w:themeColor="text1"/>
          <w:sz w:val="24"/>
          <w:szCs w:val="24"/>
        </w:rPr>
      </w:pPr>
    </w:p>
    <w:p w:rsidRPr="0077651F" w:rsidR="00894C55" w:rsidP="00E31729" w:rsidRDefault="00E31729" w14:paraId="53F117EE" w14:textId="3C09FBEC">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Satiksmes </w:t>
      </w:r>
      <w:r w:rsidRPr="0077651F" w:rsidR="00894C55">
        <w:rPr>
          <w:rFonts w:ascii="Times New Roman" w:hAnsi="Times New Roman" w:cs="Times New Roman"/>
          <w:color w:val="000000" w:themeColor="text1"/>
          <w:sz w:val="24"/>
          <w:szCs w:val="24"/>
        </w:rPr>
        <w:t>ministrs</w:t>
      </w:r>
      <w:r w:rsidRPr="0077651F" w:rsidR="00894C55">
        <w:rPr>
          <w:rFonts w:ascii="Times New Roman" w:hAnsi="Times New Roman" w:cs="Times New Roman"/>
          <w:color w:val="000000" w:themeColor="text1"/>
          <w:sz w:val="24"/>
          <w:szCs w:val="24"/>
        </w:rPr>
        <w:tab/>
      </w:r>
      <w:r w:rsidRPr="0077651F">
        <w:rPr>
          <w:rFonts w:ascii="Times New Roman" w:hAnsi="Times New Roman" w:cs="Times New Roman"/>
          <w:color w:val="000000" w:themeColor="text1"/>
          <w:sz w:val="24"/>
          <w:szCs w:val="24"/>
        </w:rPr>
        <w:t>T. Linkaits</w:t>
      </w:r>
    </w:p>
    <w:p w:rsidRPr="0077651F" w:rsidR="00E31729" w:rsidP="00E31729" w:rsidRDefault="00E31729" w14:paraId="07B73EC0" w14:textId="1BEEFCE8">
      <w:pPr>
        <w:tabs>
          <w:tab w:val="left" w:pos="6237"/>
        </w:tabs>
        <w:spacing w:after="0" w:line="240" w:lineRule="auto"/>
        <w:rPr>
          <w:rFonts w:ascii="Times New Roman" w:hAnsi="Times New Roman" w:cs="Times New Roman"/>
          <w:color w:val="000000" w:themeColor="text1"/>
          <w:sz w:val="24"/>
          <w:szCs w:val="24"/>
        </w:rPr>
      </w:pPr>
    </w:p>
    <w:p w:rsidRPr="0077651F" w:rsidR="00E31729" w:rsidP="00E31729" w:rsidRDefault="00E31729" w14:paraId="3A6909C0" w14:textId="3568128C">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Vīza:</w:t>
      </w:r>
    </w:p>
    <w:p w:rsidRPr="0077651F" w:rsidR="00E31729" w:rsidP="00E31729" w:rsidRDefault="00752930" w14:paraId="749C643D" w14:textId="4E539B90">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77651F" w:rsidR="00E31729">
        <w:rPr>
          <w:rFonts w:ascii="Times New Roman" w:hAnsi="Times New Roman" w:cs="Times New Roman"/>
          <w:color w:val="000000" w:themeColor="text1"/>
          <w:sz w:val="24"/>
          <w:szCs w:val="24"/>
        </w:rPr>
        <w:t>alsts sekretāre</w:t>
      </w:r>
      <w:r w:rsidRPr="0077651F" w:rsidR="00E31729">
        <w:rPr>
          <w:rFonts w:ascii="Times New Roman" w:hAnsi="Times New Roman" w:cs="Times New Roman"/>
          <w:color w:val="000000" w:themeColor="text1"/>
          <w:sz w:val="24"/>
          <w:szCs w:val="24"/>
        </w:rPr>
        <w:tab/>
        <w:t>I. Stepanova</w:t>
      </w:r>
    </w:p>
    <w:p w:rsidRPr="0077651F" w:rsidR="00894C55" w:rsidP="00894C55" w:rsidRDefault="00894C55" w14:paraId="632FE392" w14:textId="77777777">
      <w:pPr>
        <w:spacing w:after="0" w:line="240" w:lineRule="auto"/>
        <w:ind w:firstLine="720"/>
        <w:rPr>
          <w:rFonts w:ascii="Times New Roman" w:hAnsi="Times New Roman" w:cs="Times New Roman"/>
          <w:color w:val="000000" w:themeColor="text1"/>
          <w:sz w:val="24"/>
          <w:szCs w:val="24"/>
        </w:rPr>
      </w:pPr>
    </w:p>
    <w:p w:rsidRPr="0077651F" w:rsidR="00894C55" w:rsidP="00894C55" w:rsidRDefault="00894C55" w14:paraId="37674D19" w14:textId="77777777">
      <w:pPr>
        <w:tabs>
          <w:tab w:val="left" w:pos="6237"/>
        </w:tabs>
        <w:spacing w:after="0" w:line="240" w:lineRule="auto"/>
        <w:ind w:firstLine="720"/>
        <w:rPr>
          <w:rFonts w:ascii="Times New Roman" w:hAnsi="Times New Roman" w:cs="Times New Roman"/>
          <w:color w:val="000000" w:themeColor="text1"/>
          <w:sz w:val="24"/>
          <w:szCs w:val="24"/>
        </w:rPr>
      </w:pPr>
    </w:p>
    <w:p w:rsidRPr="009220AB" w:rsidR="009220AB" w:rsidP="009220AB" w:rsidRDefault="00ED6C4B" w14:paraId="6E8E446E" w14:textId="212C0FB1">
      <w:pPr>
        <w:tabs>
          <w:tab w:val="left" w:pos="6237"/>
        </w:tabs>
        <w:spacing w:after="0" w:line="240" w:lineRule="auto"/>
        <w:rPr>
          <w:rFonts w:ascii="Times New Roman" w:hAnsi="Times New Roman" w:eastAsia="Calibri" w:cs="Times New Roman"/>
          <w:color w:val="000000" w:themeColor="text1"/>
          <w:sz w:val="20"/>
          <w:szCs w:val="20"/>
        </w:rPr>
      </w:pPr>
      <w:r>
        <w:rPr>
          <w:rFonts w:ascii="Times New Roman" w:hAnsi="Times New Roman" w:eastAsia="Calibri" w:cs="Times New Roman"/>
          <w:color w:val="000000" w:themeColor="text1"/>
          <w:sz w:val="20"/>
          <w:szCs w:val="20"/>
        </w:rPr>
        <w:t>Pētersone</w:t>
      </w:r>
      <w:r w:rsidRPr="009220AB" w:rsidR="009220AB">
        <w:rPr>
          <w:rFonts w:ascii="Times New Roman" w:hAnsi="Times New Roman" w:eastAsia="Calibri" w:cs="Times New Roman"/>
          <w:color w:val="000000" w:themeColor="text1"/>
          <w:sz w:val="20"/>
          <w:szCs w:val="20"/>
        </w:rPr>
        <w:t>, 67028</w:t>
      </w:r>
      <w:r>
        <w:rPr>
          <w:rFonts w:ascii="Times New Roman" w:hAnsi="Times New Roman" w:eastAsia="Calibri" w:cs="Times New Roman"/>
          <w:color w:val="000000" w:themeColor="text1"/>
          <w:sz w:val="20"/>
          <w:szCs w:val="20"/>
        </w:rPr>
        <w:t>023</w:t>
      </w:r>
    </w:p>
    <w:p w:rsidRPr="0077651F" w:rsidR="00894C55" w:rsidP="00902197" w:rsidRDefault="009220AB" w14:paraId="11059BAA" w14:textId="45A1AADD">
      <w:pPr>
        <w:tabs>
          <w:tab w:val="left" w:pos="6237"/>
        </w:tabs>
        <w:spacing w:after="0" w:line="240" w:lineRule="auto"/>
        <w:rPr>
          <w:rFonts w:ascii="Times New Roman" w:hAnsi="Times New Roman" w:cs="Times New Roman"/>
          <w:color w:val="000000" w:themeColor="text1"/>
          <w:sz w:val="24"/>
          <w:szCs w:val="24"/>
        </w:rPr>
      </w:pPr>
      <w:r w:rsidRPr="009220AB">
        <w:rPr>
          <w:rFonts w:ascii="Times New Roman" w:hAnsi="Times New Roman" w:eastAsia="Calibri" w:cs="Times New Roman"/>
          <w:color w:val="000000" w:themeColor="text1"/>
          <w:sz w:val="20"/>
          <w:szCs w:val="20"/>
        </w:rPr>
        <w:t>andzela.</w:t>
      </w:r>
      <w:r w:rsidR="00ED6C4B">
        <w:rPr>
          <w:rFonts w:ascii="Times New Roman" w:hAnsi="Times New Roman" w:eastAsia="Calibri" w:cs="Times New Roman"/>
          <w:color w:val="000000" w:themeColor="text1"/>
          <w:sz w:val="20"/>
          <w:szCs w:val="20"/>
        </w:rPr>
        <w:t>petersone</w:t>
      </w:r>
      <w:r w:rsidRPr="009220AB">
        <w:rPr>
          <w:rFonts w:ascii="Times New Roman" w:hAnsi="Times New Roman" w:eastAsia="Calibri" w:cs="Times New Roman"/>
          <w:color w:val="000000" w:themeColor="text1"/>
          <w:sz w:val="20"/>
          <w:szCs w:val="20"/>
        </w:rPr>
        <w:t>@sam.gov.lv</w:t>
      </w:r>
    </w:p>
    <w:p w:rsidRPr="0077651F" w:rsidR="00894C55" w:rsidP="00894C55" w:rsidRDefault="00894C55" w14:paraId="1F318B99" w14:textId="107A7DE8">
      <w:pPr>
        <w:tabs>
          <w:tab w:val="left" w:pos="6237"/>
        </w:tabs>
        <w:spacing w:after="0" w:line="240" w:lineRule="auto"/>
        <w:ind w:firstLine="720"/>
        <w:rPr>
          <w:rFonts w:ascii="Times New Roman" w:hAnsi="Times New Roman" w:cs="Times New Roman"/>
          <w:color w:val="000000" w:themeColor="text1"/>
          <w:sz w:val="24"/>
          <w:szCs w:val="24"/>
        </w:rPr>
      </w:pPr>
    </w:p>
    <w:sectPr w:rsidRPr="0077651F" w:rsidR="00894C55" w:rsidSect="00C75305">
      <w:headerReference w:type="default" r:id="rId8"/>
      <w:footerReference w:type="default" r:id="rId9"/>
      <w:footerReference w:type="first" r:id="rId10"/>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CC72A" w14:textId="77777777" w:rsidR="001D2833" w:rsidRDefault="001D2833" w:rsidP="00894C55">
      <w:pPr>
        <w:spacing w:after="0" w:line="240" w:lineRule="auto"/>
      </w:pPr>
      <w:r>
        <w:separator/>
      </w:r>
    </w:p>
  </w:endnote>
  <w:endnote w:type="continuationSeparator" w:id="0">
    <w:p w14:paraId="6833F211" w14:textId="77777777" w:rsidR="001D2833" w:rsidRDefault="001D2833" w:rsidP="00894C55">
      <w:pPr>
        <w:spacing w:after="0" w:line="240" w:lineRule="auto"/>
      </w:pPr>
      <w:r>
        <w:continuationSeparator/>
      </w:r>
    </w:p>
  </w:endnote>
  <w:endnote w:type="continuationNotice" w:id="1">
    <w:p w14:paraId="72700D49" w14:textId="77777777" w:rsidR="001D2833" w:rsidRDefault="001D2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8C53" w14:textId="0BB90BB2" w:rsidR="0051182D" w:rsidRPr="00403C1F" w:rsidRDefault="0051182D" w:rsidP="00087463">
    <w:pPr>
      <w:pStyle w:val="Footer"/>
      <w:rPr>
        <w:rFonts w:ascii="Times New Roman" w:hAnsi="Times New Roman" w:cs="Times New Roman"/>
      </w:rPr>
    </w:pPr>
    <w:r w:rsidRPr="00403C1F">
      <w:rPr>
        <w:rFonts w:ascii="Times New Roman" w:hAnsi="Times New Roman" w:cs="Times New Roman"/>
      </w:rPr>
      <w:t>SMAnot_</w:t>
    </w:r>
    <w:r w:rsidR="00C72EA4">
      <w:rPr>
        <w:rFonts w:ascii="Times New Roman" w:hAnsi="Times New Roman" w:cs="Times New Roman"/>
      </w:rPr>
      <w:t>0</w:t>
    </w:r>
    <w:r w:rsidR="00405002">
      <w:rPr>
        <w:rFonts w:ascii="Times New Roman" w:hAnsi="Times New Roman" w:cs="Times New Roman"/>
      </w:rPr>
      <w:t>7</w:t>
    </w:r>
    <w:r w:rsidR="00C72EA4">
      <w:rPr>
        <w:rFonts w:ascii="Times New Roman" w:hAnsi="Times New Roman" w:cs="Times New Roman"/>
      </w:rPr>
      <w:t>12</w:t>
    </w:r>
    <w:r w:rsidRPr="00403C1F">
      <w:rPr>
        <w:rFonts w:ascii="Times New Roman" w:hAnsi="Times New Roman" w:cs="Times New Roman"/>
      </w:rPr>
      <w:t>2020_MKNgroz664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BDB1" w14:textId="01E9E0C6" w:rsidR="0051182D" w:rsidRPr="00403C1F" w:rsidRDefault="0051182D">
    <w:pPr>
      <w:pStyle w:val="Footer"/>
      <w:rPr>
        <w:rFonts w:ascii="Times New Roman" w:hAnsi="Times New Roman" w:cs="Times New Roman"/>
      </w:rPr>
    </w:pPr>
    <w:r w:rsidRPr="00403C1F">
      <w:rPr>
        <w:rFonts w:ascii="Times New Roman" w:hAnsi="Times New Roman" w:cs="Times New Roman"/>
      </w:rPr>
      <w:t>SMAnot_</w:t>
    </w:r>
    <w:r w:rsidR="00777237">
      <w:rPr>
        <w:rFonts w:ascii="Times New Roman" w:hAnsi="Times New Roman" w:cs="Times New Roman"/>
      </w:rPr>
      <w:t>0</w:t>
    </w:r>
    <w:r w:rsidR="00405002">
      <w:rPr>
        <w:rFonts w:ascii="Times New Roman" w:hAnsi="Times New Roman" w:cs="Times New Roman"/>
      </w:rPr>
      <w:t>7</w:t>
    </w:r>
    <w:r w:rsidR="00777237">
      <w:rPr>
        <w:rFonts w:ascii="Times New Roman" w:hAnsi="Times New Roman" w:cs="Times New Roman"/>
      </w:rPr>
      <w:t>12</w:t>
    </w:r>
    <w:r w:rsidRPr="00403C1F">
      <w:rPr>
        <w:rFonts w:ascii="Times New Roman" w:hAnsi="Times New Roman" w:cs="Times New Roman"/>
      </w:rPr>
      <w:t>2020_MKNgroz664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6C364" w14:textId="77777777" w:rsidR="001D2833" w:rsidRDefault="001D2833" w:rsidP="00894C55">
      <w:pPr>
        <w:spacing w:after="0" w:line="240" w:lineRule="auto"/>
      </w:pPr>
      <w:r>
        <w:separator/>
      </w:r>
    </w:p>
  </w:footnote>
  <w:footnote w:type="continuationSeparator" w:id="0">
    <w:p w14:paraId="6A281E79" w14:textId="77777777" w:rsidR="001D2833" w:rsidRDefault="001D2833" w:rsidP="00894C55">
      <w:pPr>
        <w:spacing w:after="0" w:line="240" w:lineRule="auto"/>
      </w:pPr>
      <w:r>
        <w:continuationSeparator/>
      </w:r>
    </w:p>
  </w:footnote>
  <w:footnote w:type="continuationNotice" w:id="1">
    <w:p w14:paraId="6C02F65C" w14:textId="77777777" w:rsidR="001D2833" w:rsidRDefault="001D2833">
      <w:pPr>
        <w:spacing w:after="0" w:line="240" w:lineRule="auto"/>
      </w:pPr>
    </w:p>
  </w:footnote>
  <w:footnote w:id="2">
    <w:p w14:paraId="4A0FB418" w14:textId="77777777" w:rsidR="0051182D" w:rsidRPr="00695FAA" w:rsidRDefault="0051182D" w:rsidP="0066695E">
      <w:pPr>
        <w:pStyle w:val="FootnoteText"/>
        <w:jc w:val="both"/>
        <w:rPr>
          <w:rFonts w:ascii="Times New Roman" w:hAnsi="Times New Roman"/>
        </w:rPr>
      </w:pPr>
      <w:r>
        <w:rPr>
          <w:rStyle w:val="FootnoteReference"/>
        </w:rPr>
        <w:footnoteRef/>
      </w:r>
      <w:r>
        <w:t xml:space="preserve"> </w:t>
      </w:r>
      <w:bookmarkStart w:id="1" w:name="_Hlk32509804"/>
      <w:r w:rsidRPr="00695FAA">
        <w:rPr>
          <w:rFonts w:ascii="Times New Roman" w:hAnsi="Times New Roman"/>
          <w:iCs/>
        </w:rPr>
        <w:t>“Grozījum</w:t>
      </w:r>
      <w:r>
        <w:rPr>
          <w:rFonts w:ascii="Times New Roman" w:hAnsi="Times New Roman"/>
          <w:iCs/>
        </w:rPr>
        <w:t>i</w:t>
      </w:r>
      <w:r w:rsidRPr="00695FAA">
        <w:rPr>
          <w:rFonts w:ascii="Times New Roman" w:hAnsi="Times New Roman"/>
          <w:iCs/>
        </w:rPr>
        <w:t xml:space="preserve"> Ministru kabineta 2015. gada 24. novembra noteikumos Nr. 664 “Darbības programmas “Izaugsme un nodarbinātība” 2.1.1. specifiskā atbalsta mērķa “Uzlabot elektroniskās sakaru infrastruktūras pieejamību lauku teritorijās” pirmās projektu iesniegumu atlases kārtas īstenošanas noteikumi”</w:t>
      </w:r>
      <w:bookmarkEnd w:id="1"/>
    </w:p>
  </w:footnote>
  <w:footnote w:id="3">
    <w:p w14:paraId="62D6E980" w14:textId="19CDDFF5" w:rsidR="0051182D" w:rsidRPr="00C242D5" w:rsidRDefault="0051182D" w:rsidP="0066695E">
      <w:pPr>
        <w:pStyle w:val="FootnoteText"/>
        <w:jc w:val="both"/>
        <w:rPr>
          <w:rFonts w:ascii="Times New Roman" w:hAnsi="Times New Roman"/>
        </w:rPr>
      </w:pPr>
      <w:r>
        <w:rPr>
          <w:rStyle w:val="FootnoteReference"/>
        </w:rPr>
        <w:footnoteRef/>
      </w:r>
      <w:r>
        <w:t xml:space="preserve"> </w:t>
      </w:r>
      <w:r w:rsidRPr="00C242D5">
        <w:rPr>
          <w:rFonts w:ascii="Times New Roman" w:hAnsi="Times New Roman"/>
        </w:rPr>
        <w:t>Ministru kabinet</w:t>
      </w:r>
      <w:r>
        <w:rPr>
          <w:rFonts w:ascii="Times New Roman" w:hAnsi="Times New Roman"/>
        </w:rPr>
        <w:t>a 2020.gada 19.maija sēdes protokola Nr.34</w:t>
      </w:r>
      <w:r w:rsidRPr="00C242D5">
        <w:rPr>
          <w:rFonts w:ascii="Times New Roman" w:hAnsi="Times New Roman"/>
        </w:rPr>
        <w:t xml:space="preserve"> </w:t>
      </w:r>
      <w:r>
        <w:rPr>
          <w:rFonts w:ascii="Times New Roman" w:hAnsi="Times New Roman"/>
        </w:rPr>
        <w:t>33</w:t>
      </w:r>
      <w:r w:rsidRPr="00C242D5">
        <w:rPr>
          <w:rFonts w:ascii="Times New Roman" w:hAnsi="Times New Roman"/>
        </w:rPr>
        <w:t>.§</w:t>
      </w:r>
      <w:r w:rsidRPr="00C242D5">
        <w:t xml:space="preserve"> </w:t>
      </w:r>
      <w:r>
        <w:t>“</w:t>
      </w:r>
      <w:r w:rsidRPr="00C242D5">
        <w:rPr>
          <w:rFonts w:ascii="Times New Roman" w:hAnsi="Times New Roman"/>
        </w:rPr>
        <w:t xml:space="preserve">Informatīvais ziņojums </w:t>
      </w:r>
      <w:r>
        <w:rPr>
          <w:rFonts w:ascii="Times New Roman" w:hAnsi="Times New Roman"/>
        </w:rPr>
        <w:t>“</w:t>
      </w:r>
      <w:r w:rsidRPr="00C242D5">
        <w:rPr>
          <w:rFonts w:ascii="Times New Roman" w:hAnsi="Times New Roman"/>
        </w:rPr>
        <w:t>Par Eiropas Savienības struktūrfondu un Kohēzijas fonda finansējuma pārdalēm un risinājumiem COVID-19 seku mazināšanai</w:t>
      </w:r>
      <w:r>
        <w:rPr>
          <w:rFonts w:ascii="Times New Roman" w:hAnsi="Times New Roman"/>
        </w:rPr>
        <w:t>””</w:t>
      </w:r>
    </w:p>
  </w:footnote>
  <w:footnote w:id="4">
    <w:p w14:paraId="2E8D5FE1" w14:textId="34CF8F42" w:rsidR="00297AC3" w:rsidRPr="00121396" w:rsidRDefault="00297AC3" w:rsidP="00121396">
      <w:pPr>
        <w:pStyle w:val="FootnoteText"/>
        <w:jc w:val="both"/>
        <w:rPr>
          <w:rFonts w:ascii="Times New Roman" w:hAnsi="Times New Roman"/>
        </w:rPr>
      </w:pPr>
      <w:r w:rsidRPr="00121396">
        <w:rPr>
          <w:rStyle w:val="FootnoteReference"/>
          <w:rFonts w:ascii="Times New Roman" w:hAnsi="Times New Roman"/>
        </w:rPr>
        <w:footnoteRef/>
      </w:r>
      <w:r w:rsidRPr="00121396">
        <w:rPr>
          <w:rFonts w:ascii="Times New Roman" w:hAnsi="Times New Roman"/>
        </w:rPr>
        <w:t xml:space="preserve"> Atbilstoši 2020.gada 4.septembra vēstulē Nr. 4-4.1e/20/2976 „Par grozījumiem 2.1.1. specifiskā atbalsta mērķa „Uzlabot elektroniskās sakaru infrastruktūras pieejamību lauku teritorijās” īstenošanas noteikumos” minētajam.</w:t>
      </w:r>
    </w:p>
  </w:footnote>
  <w:footnote w:id="5">
    <w:p w14:paraId="4C456C8F" w14:textId="3A9860B3" w:rsidR="00121396" w:rsidRDefault="00121396" w:rsidP="00121396">
      <w:pPr>
        <w:pStyle w:val="FootnoteText"/>
        <w:jc w:val="both"/>
      </w:pPr>
      <w:r w:rsidRPr="00121396">
        <w:rPr>
          <w:rStyle w:val="FootnoteReference"/>
          <w:rFonts w:ascii="Times New Roman" w:hAnsi="Times New Roman"/>
        </w:rPr>
        <w:footnoteRef/>
      </w:r>
      <w:r w:rsidRPr="00121396">
        <w:rPr>
          <w:rFonts w:ascii="Times New Roman" w:hAnsi="Times New Roman"/>
        </w:rPr>
        <w:t xml:space="preserve"> Ja izglītības iestādes izglītojamo skaita dinamika ir negatīva vairāk kā 10 procenti (no 2012.gada) </w:t>
      </w:r>
      <w:r w:rsidRPr="00121396">
        <w:rPr>
          <w:rFonts w:ascii="Times New Roman" w:hAnsi="Times New Roman"/>
        </w:rPr>
        <w:t>vai „vidējās jūdzes”</w:t>
      </w:r>
      <w:r>
        <w:rPr>
          <w:rFonts w:ascii="Times New Roman" w:hAnsi="Times New Roman"/>
        </w:rPr>
        <w:t xml:space="preserve"> pieslēguma izmaksas pārsniedz 200 000 euro</w:t>
      </w:r>
    </w:p>
  </w:footnote>
  <w:footnote w:id="6">
    <w:p w14:paraId="5496AC45" w14:textId="77777777" w:rsidR="0051182D" w:rsidRPr="007A04B2" w:rsidRDefault="0051182D" w:rsidP="00121396">
      <w:pPr>
        <w:pStyle w:val="FootnoteText"/>
        <w:jc w:val="both"/>
        <w:rPr>
          <w:rFonts w:ascii="Times New Roman" w:hAnsi="Times New Roman"/>
        </w:rPr>
      </w:pPr>
      <w:r w:rsidRPr="007A04B2">
        <w:rPr>
          <w:rStyle w:val="FootnoteReference"/>
          <w:rFonts w:ascii="Times New Roman" w:hAnsi="Times New Roman"/>
        </w:rPr>
        <w:footnoteRef/>
      </w:r>
      <w:r w:rsidRPr="007A04B2">
        <w:rPr>
          <w:rFonts w:ascii="Times New Roman" w:hAnsi="Times New Roman"/>
        </w:rPr>
        <w:t xml:space="preserve"> 2020.gada 19.novembra vēstule 4-4.1e/20/3987 “ Par turpmāko rīcību </w:t>
      </w:r>
      <w:r w:rsidRPr="007A04B2">
        <w:rPr>
          <w:rFonts w:ascii="Times New Roman" w:hAnsi="Times New Roman"/>
        </w:rPr>
        <w:t xml:space="preserve">“ vidējās jūdzes” pieslēgumu izveidē” </w:t>
      </w:r>
    </w:p>
  </w:footnote>
  <w:footnote w:id="7">
    <w:p w14:paraId="5011FB06" w14:textId="20F3A3DE" w:rsidR="0051182D" w:rsidRPr="00130BF2" w:rsidRDefault="0051182D">
      <w:pPr>
        <w:pStyle w:val="FootnoteText"/>
        <w:rPr>
          <w:rFonts w:ascii="Times New Roman" w:hAnsi="Times New Roman"/>
        </w:rPr>
      </w:pPr>
      <w:r w:rsidRPr="00130BF2">
        <w:rPr>
          <w:rStyle w:val="FootnoteReference"/>
          <w:rFonts w:ascii="Times New Roman" w:hAnsi="Times New Roman"/>
        </w:rPr>
        <w:footnoteRef/>
      </w:r>
      <w:r w:rsidRPr="00130BF2">
        <w:rPr>
          <w:rFonts w:ascii="Times New Roman" w:hAnsi="Times New Roman"/>
        </w:rPr>
        <w:t xml:space="preserve"> Minētie ierobežojumi neattiecas uz pakalpojumiem, kas ir saistīti ar valsts aizsardzības un drošības funkciju, kā arī valsts suverenitātes nodrošināšanu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51182D" w:rsidRDefault="0051182D" w14:paraId="3D3BDA10" w14:textId="620FEC4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255913"/>
    <w:multiLevelType w:val="hybridMultilevel"/>
    <w:tmpl w:val="E09AFE98"/>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C965B83"/>
    <w:multiLevelType w:val="hybridMultilevel"/>
    <w:tmpl w:val="D910B70E"/>
    <w:lvl w:ilvl="0" w:tplc="FD1A8472">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84216C"/>
    <w:multiLevelType w:val="hybridMultilevel"/>
    <w:tmpl w:val="EB90834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F4A6F"/>
    <w:multiLevelType w:val="hybridMultilevel"/>
    <w:tmpl w:val="B5A2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4786EB1"/>
    <w:multiLevelType w:val="hybridMultilevel"/>
    <w:tmpl w:val="AFF0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0">
    <w:nsid w:val="7E8B0194"/>
    <w:multiLevelType w:val="hybridMultilevel"/>
    <w:tmpl w:val="F9CE0BF4"/>
    <w:lvl w:ilvl="0" w:tplc="1188F0A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6"/>
  </w:num>
  <w:num w:numId="5">
    <w:abstractNumId w:val="8"/>
  </w:num>
  <w:num w:numId="6">
    <w:abstractNumId w:val="20"/>
  </w:num>
  <w:num w:numId="7">
    <w:abstractNumId w:val="4"/>
  </w:num>
  <w:num w:numId="8">
    <w:abstractNumId w:val="0"/>
  </w:num>
  <w:num w:numId="9">
    <w:abstractNumId w:val="7"/>
  </w:num>
  <w:num w:numId="10">
    <w:abstractNumId w:val="13"/>
  </w:num>
  <w:num w:numId="11">
    <w:abstractNumId w:val="10"/>
  </w:num>
  <w:num w:numId="12">
    <w:abstractNumId w:val="15"/>
  </w:num>
  <w:num w:numId="13">
    <w:abstractNumId w:val="17"/>
  </w:num>
  <w:num w:numId="14">
    <w:abstractNumId w:val="2"/>
  </w:num>
  <w:num w:numId="15">
    <w:abstractNumId w:val="19"/>
  </w:num>
  <w:num w:numId="16">
    <w:abstractNumId w:val="9"/>
  </w:num>
  <w:num w:numId="17">
    <w:abstractNumId w:val="18"/>
  </w:num>
  <w:num w:numId="18">
    <w:abstractNumId w:val="16"/>
  </w:num>
  <w:num w:numId="19">
    <w:abstractNumId w:val="14"/>
  </w:num>
  <w:num w:numId="20">
    <w:abstractNumId w:val="21"/>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grammar="clean"/>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D0D"/>
    <w:rsid w:val="00004664"/>
    <w:rsid w:val="00006AB6"/>
    <w:rsid w:val="000103C9"/>
    <w:rsid w:val="00020019"/>
    <w:rsid w:val="000223A8"/>
    <w:rsid w:val="00026445"/>
    <w:rsid w:val="00037C64"/>
    <w:rsid w:val="000414D3"/>
    <w:rsid w:val="00041FC4"/>
    <w:rsid w:val="000427FF"/>
    <w:rsid w:val="000454AC"/>
    <w:rsid w:val="000456BC"/>
    <w:rsid w:val="00067F23"/>
    <w:rsid w:val="00073474"/>
    <w:rsid w:val="00074D86"/>
    <w:rsid w:val="00087463"/>
    <w:rsid w:val="00090C4B"/>
    <w:rsid w:val="000A10DC"/>
    <w:rsid w:val="000B088F"/>
    <w:rsid w:val="000B5A35"/>
    <w:rsid w:val="000C1B30"/>
    <w:rsid w:val="000C4A0F"/>
    <w:rsid w:val="000D0856"/>
    <w:rsid w:val="000D3707"/>
    <w:rsid w:val="000E0B42"/>
    <w:rsid w:val="000E3E99"/>
    <w:rsid w:val="000E5BEE"/>
    <w:rsid w:val="000E7F7E"/>
    <w:rsid w:val="001063C6"/>
    <w:rsid w:val="00107B30"/>
    <w:rsid w:val="0011092A"/>
    <w:rsid w:val="001122A8"/>
    <w:rsid w:val="00113B3B"/>
    <w:rsid w:val="00114232"/>
    <w:rsid w:val="00115DE9"/>
    <w:rsid w:val="00117BA6"/>
    <w:rsid w:val="00120170"/>
    <w:rsid w:val="00120860"/>
    <w:rsid w:val="00121396"/>
    <w:rsid w:val="00130BF2"/>
    <w:rsid w:val="0013556E"/>
    <w:rsid w:val="001364C3"/>
    <w:rsid w:val="00151788"/>
    <w:rsid w:val="0015403C"/>
    <w:rsid w:val="00161968"/>
    <w:rsid w:val="00167603"/>
    <w:rsid w:val="0017116F"/>
    <w:rsid w:val="0017292D"/>
    <w:rsid w:val="00173A27"/>
    <w:rsid w:val="001824F2"/>
    <w:rsid w:val="00186FE2"/>
    <w:rsid w:val="001947ED"/>
    <w:rsid w:val="001A19F9"/>
    <w:rsid w:val="001A6386"/>
    <w:rsid w:val="001A672B"/>
    <w:rsid w:val="001A79BC"/>
    <w:rsid w:val="001A7C0D"/>
    <w:rsid w:val="001B10FA"/>
    <w:rsid w:val="001B2B45"/>
    <w:rsid w:val="001B637E"/>
    <w:rsid w:val="001C3000"/>
    <w:rsid w:val="001C6BAB"/>
    <w:rsid w:val="001D02DA"/>
    <w:rsid w:val="001D1299"/>
    <w:rsid w:val="001D2833"/>
    <w:rsid w:val="001D4F98"/>
    <w:rsid w:val="001D6CC2"/>
    <w:rsid w:val="001E7E75"/>
    <w:rsid w:val="001F0E50"/>
    <w:rsid w:val="00201BF2"/>
    <w:rsid w:val="0021750A"/>
    <w:rsid w:val="0022389D"/>
    <w:rsid w:val="00226928"/>
    <w:rsid w:val="0022715D"/>
    <w:rsid w:val="0023036F"/>
    <w:rsid w:val="00235844"/>
    <w:rsid w:val="00243426"/>
    <w:rsid w:val="00243805"/>
    <w:rsid w:val="00244D8A"/>
    <w:rsid w:val="002450B1"/>
    <w:rsid w:val="0025498B"/>
    <w:rsid w:val="00266C73"/>
    <w:rsid w:val="00270F21"/>
    <w:rsid w:val="002847BD"/>
    <w:rsid w:val="0028706A"/>
    <w:rsid w:val="00291307"/>
    <w:rsid w:val="00292397"/>
    <w:rsid w:val="00293E1A"/>
    <w:rsid w:val="00297AC3"/>
    <w:rsid w:val="002A14C6"/>
    <w:rsid w:val="002A3DBD"/>
    <w:rsid w:val="002C0F3C"/>
    <w:rsid w:val="002C324C"/>
    <w:rsid w:val="002C70D0"/>
    <w:rsid w:val="002D025A"/>
    <w:rsid w:val="002E1AD3"/>
    <w:rsid w:val="002E1C05"/>
    <w:rsid w:val="002E352E"/>
    <w:rsid w:val="002E36DC"/>
    <w:rsid w:val="002E4200"/>
    <w:rsid w:val="002F2B38"/>
    <w:rsid w:val="002F7EBB"/>
    <w:rsid w:val="00300321"/>
    <w:rsid w:val="00315477"/>
    <w:rsid w:val="00315927"/>
    <w:rsid w:val="00317558"/>
    <w:rsid w:val="00321CD1"/>
    <w:rsid w:val="00321D17"/>
    <w:rsid w:val="003272A2"/>
    <w:rsid w:val="0032738D"/>
    <w:rsid w:val="003314BB"/>
    <w:rsid w:val="003400E0"/>
    <w:rsid w:val="00343B5B"/>
    <w:rsid w:val="00354147"/>
    <w:rsid w:val="00355501"/>
    <w:rsid w:val="00366D78"/>
    <w:rsid w:val="00370F09"/>
    <w:rsid w:val="0037270C"/>
    <w:rsid w:val="003835AE"/>
    <w:rsid w:val="003863DF"/>
    <w:rsid w:val="00386CF8"/>
    <w:rsid w:val="00387C5B"/>
    <w:rsid w:val="003A54AD"/>
    <w:rsid w:val="003A54FF"/>
    <w:rsid w:val="003A6D91"/>
    <w:rsid w:val="003B0BF9"/>
    <w:rsid w:val="003B160E"/>
    <w:rsid w:val="003C0376"/>
    <w:rsid w:val="003C521C"/>
    <w:rsid w:val="003D2DCA"/>
    <w:rsid w:val="003D5944"/>
    <w:rsid w:val="003E0791"/>
    <w:rsid w:val="003F28AC"/>
    <w:rsid w:val="003F2B48"/>
    <w:rsid w:val="003F6EA3"/>
    <w:rsid w:val="00403C1F"/>
    <w:rsid w:val="00405002"/>
    <w:rsid w:val="00406E0A"/>
    <w:rsid w:val="00420383"/>
    <w:rsid w:val="0042431B"/>
    <w:rsid w:val="0042715C"/>
    <w:rsid w:val="00431137"/>
    <w:rsid w:val="00434418"/>
    <w:rsid w:val="004347D8"/>
    <w:rsid w:val="00435F99"/>
    <w:rsid w:val="00440B69"/>
    <w:rsid w:val="004454FE"/>
    <w:rsid w:val="00445B27"/>
    <w:rsid w:val="00456E40"/>
    <w:rsid w:val="00471E95"/>
    <w:rsid w:val="00471F27"/>
    <w:rsid w:val="00473315"/>
    <w:rsid w:val="00475CC6"/>
    <w:rsid w:val="00486AC7"/>
    <w:rsid w:val="00491736"/>
    <w:rsid w:val="004961B5"/>
    <w:rsid w:val="004974C8"/>
    <w:rsid w:val="004A1458"/>
    <w:rsid w:val="004B662B"/>
    <w:rsid w:val="004C06CA"/>
    <w:rsid w:val="004C0814"/>
    <w:rsid w:val="004C7742"/>
    <w:rsid w:val="004D4443"/>
    <w:rsid w:val="004F5802"/>
    <w:rsid w:val="00501342"/>
    <w:rsid w:val="0050178F"/>
    <w:rsid w:val="00504AFE"/>
    <w:rsid w:val="00510DC5"/>
    <w:rsid w:val="0051182D"/>
    <w:rsid w:val="005145B9"/>
    <w:rsid w:val="00515A8F"/>
    <w:rsid w:val="00521D40"/>
    <w:rsid w:val="00522CA7"/>
    <w:rsid w:val="00533B4F"/>
    <w:rsid w:val="0053603E"/>
    <w:rsid w:val="005515C2"/>
    <w:rsid w:val="0055777E"/>
    <w:rsid w:val="0056147C"/>
    <w:rsid w:val="0056218E"/>
    <w:rsid w:val="00562958"/>
    <w:rsid w:val="00562D1C"/>
    <w:rsid w:val="005656F0"/>
    <w:rsid w:val="005705FF"/>
    <w:rsid w:val="00570E83"/>
    <w:rsid w:val="00576993"/>
    <w:rsid w:val="00577933"/>
    <w:rsid w:val="00580FAC"/>
    <w:rsid w:val="005B102D"/>
    <w:rsid w:val="005B2B8B"/>
    <w:rsid w:val="005C1D65"/>
    <w:rsid w:val="005C2CC7"/>
    <w:rsid w:val="005D389E"/>
    <w:rsid w:val="005E2C31"/>
    <w:rsid w:val="005E7B3B"/>
    <w:rsid w:val="005F034E"/>
    <w:rsid w:val="005F1019"/>
    <w:rsid w:val="005F4A4B"/>
    <w:rsid w:val="005F7897"/>
    <w:rsid w:val="00601E3F"/>
    <w:rsid w:val="006037D2"/>
    <w:rsid w:val="0060629A"/>
    <w:rsid w:val="00615073"/>
    <w:rsid w:val="00616875"/>
    <w:rsid w:val="00617248"/>
    <w:rsid w:val="00620F44"/>
    <w:rsid w:val="00633408"/>
    <w:rsid w:val="00641699"/>
    <w:rsid w:val="006463E0"/>
    <w:rsid w:val="006514FF"/>
    <w:rsid w:val="00655F2C"/>
    <w:rsid w:val="006617F5"/>
    <w:rsid w:val="0066695E"/>
    <w:rsid w:val="00680544"/>
    <w:rsid w:val="006831E5"/>
    <w:rsid w:val="00691DFF"/>
    <w:rsid w:val="006927DD"/>
    <w:rsid w:val="00696105"/>
    <w:rsid w:val="006A15A6"/>
    <w:rsid w:val="006A4BEA"/>
    <w:rsid w:val="006A52D1"/>
    <w:rsid w:val="006A5B5A"/>
    <w:rsid w:val="006B04BA"/>
    <w:rsid w:val="006B247E"/>
    <w:rsid w:val="006B391D"/>
    <w:rsid w:val="006C3684"/>
    <w:rsid w:val="006D2E57"/>
    <w:rsid w:val="006D3B8A"/>
    <w:rsid w:val="006E1081"/>
    <w:rsid w:val="006E4BF4"/>
    <w:rsid w:val="00701AC0"/>
    <w:rsid w:val="00701EDA"/>
    <w:rsid w:val="00703A57"/>
    <w:rsid w:val="00705953"/>
    <w:rsid w:val="00707CE1"/>
    <w:rsid w:val="00711574"/>
    <w:rsid w:val="00717730"/>
    <w:rsid w:val="00720585"/>
    <w:rsid w:val="00721736"/>
    <w:rsid w:val="00722021"/>
    <w:rsid w:val="007231DD"/>
    <w:rsid w:val="00725710"/>
    <w:rsid w:val="00733CF9"/>
    <w:rsid w:val="00743CDC"/>
    <w:rsid w:val="00746AE2"/>
    <w:rsid w:val="00752930"/>
    <w:rsid w:val="00753298"/>
    <w:rsid w:val="00755615"/>
    <w:rsid w:val="007658B6"/>
    <w:rsid w:val="007659C5"/>
    <w:rsid w:val="00773AF6"/>
    <w:rsid w:val="007740FA"/>
    <w:rsid w:val="00774A6C"/>
    <w:rsid w:val="0077651F"/>
    <w:rsid w:val="00776D47"/>
    <w:rsid w:val="00777237"/>
    <w:rsid w:val="0078248A"/>
    <w:rsid w:val="00783E0B"/>
    <w:rsid w:val="00785F93"/>
    <w:rsid w:val="00795F71"/>
    <w:rsid w:val="007978C8"/>
    <w:rsid w:val="007A6664"/>
    <w:rsid w:val="007C48E5"/>
    <w:rsid w:val="007E24F3"/>
    <w:rsid w:val="007E5F7A"/>
    <w:rsid w:val="007E73AB"/>
    <w:rsid w:val="007F365E"/>
    <w:rsid w:val="00803D35"/>
    <w:rsid w:val="00810E3D"/>
    <w:rsid w:val="00810E98"/>
    <w:rsid w:val="00816C11"/>
    <w:rsid w:val="00817A9D"/>
    <w:rsid w:val="0082260A"/>
    <w:rsid w:val="00823011"/>
    <w:rsid w:val="0084154E"/>
    <w:rsid w:val="00842635"/>
    <w:rsid w:val="00844C59"/>
    <w:rsid w:val="00845A5D"/>
    <w:rsid w:val="008475F5"/>
    <w:rsid w:val="008601F7"/>
    <w:rsid w:val="00863273"/>
    <w:rsid w:val="00883357"/>
    <w:rsid w:val="0088354E"/>
    <w:rsid w:val="0089256E"/>
    <w:rsid w:val="00894C55"/>
    <w:rsid w:val="008A1A15"/>
    <w:rsid w:val="008A1F4C"/>
    <w:rsid w:val="008B16DE"/>
    <w:rsid w:val="008B1A14"/>
    <w:rsid w:val="008B6E57"/>
    <w:rsid w:val="008B79AA"/>
    <w:rsid w:val="008E022E"/>
    <w:rsid w:val="008E29D2"/>
    <w:rsid w:val="008E7ECD"/>
    <w:rsid w:val="008F1B09"/>
    <w:rsid w:val="008F1F72"/>
    <w:rsid w:val="008F4413"/>
    <w:rsid w:val="008F499A"/>
    <w:rsid w:val="008F719D"/>
    <w:rsid w:val="0090047F"/>
    <w:rsid w:val="00902197"/>
    <w:rsid w:val="00902865"/>
    <w:rsid w:val="00914DB1"/>
    <w:rsid w:val="009220AB"/>
    <w:rsid w:val="00925AB4"/>
    <w:rsid w:val="00946D62"/>
    <w:rsid w:val="00946F20"/>
    <w:rsid w:val="00953BF2"/>
    <w:rsid w:val="00957B17"/>
    <w:rsid w:val="009642E2"/>
    <w:rsid w:val="00964920"/>
    <w:rsid w:val="00975C9E"/>
    <w:rsid w:val="00983413"/>
    <w:rsid w:val="00984BA1"/>
    <w:rsid w:val="00996C39"/>
    <w:rsid w:val="00996FD0"/>
    <w:rsid w:val="009A2654"/>
    <w:rsid w:val="009B45AF"/>
    <w:rsid w:val="009B56DE"/>
    <w:rsid w:val="009B61CC"/>
    <w:rsid w:val="009C03C0"/>
    <w:rsid w:val="009C43E6"/>
    <w:rsid w:val="009D0F8A"/>
    <w:rsid w:val="009D3DD0"/>
    <w:rsid w:val="009E2DC7"/>
    <w:rsid w:val="009E4178"/>
    <w:rsid w:val="009F1A1F"/>
    <w:rsid w:val="009F3AC9"/>
    <w:rsid w:val="009F5605"/>
    <w:rsid w:val="00A00E33"/>
    <w:rsid w:val="00A05919"/>
    <w:rsid w:val="00A07AFB"/>
    <w:rsid w:val="00A10FC3"/>
    <w:rsid w:val="00A155B1"/>
    <w:rsid w:val="00A15A62"/>
    <w:rsid w:val="00A2565F"/>
    <w:rsid w:val="00A2599A"/>
    <w:rsid w:val="00A31950"/>
    <w:rsid w:val="00A43261"/>
    <w:rsid w:val="00A43677"/>
    <w:rsid w:val="00A43BBA"/>
    <w:rsid w:val="00A44110"/>
    <w:rsid w:val="00A45116"/>
    <w:rsid w:val="00A51FE4"/>
    <w:rsid w:val="00A54348"/>
    <w:rsid w:val="00A56489"/>
    <w:rsid w:val="00A6073E"/>
    <w:rsid w:val="00A62ED2"/>
    <w:rsid w:val="00A8374F"/>
    <w:rsid w:val="00A86216"/>
    <w:rsid w:val="00AA7AF6"/>
    <w:rsid w:val="00AB4F80"/>
    <w:rsid w:val="00AC6CB1"/>
    <w:rsid w:val="00AC7381"/>
    <w:rsid w:val="00AD38B3"/>
    <w:rsid w:val="00AE5567"/>
    <w:rsid w:val="00AF1239"/>
    <w:rsid w:val="00AF1599"/>
    <w:rsid w:val="00AF1F03"/>
    <w:rsid w:val="00AF3D77"/>
    <w:rsid w:val="00AF5C66"/>
    <w:rsid w:val="00AF7967"/>
    <w:rsid w:val="00B001AB"/>
    <w:rsid w:val="00B017FE"/>
    <w:rsid w:val="00B020C5"/>
    <w:rsid w:val="00B10F6D"/>
    <w:rsid w:val="00B1139D"/>
    <w:rsid w:val="00B15A19"/>
    <w:rsid w:val="00B16480"/>
    <w:rsid w:val="00B17070"/>
    <w:rsid w:val="00B17A7A"/>
    <w:rsid w:val="00B2165C"/>
    <w:rsid w:val="00B2475D"/>
    <w:rsid w:val="00B3553B"/>
    <w:rsid w:val="00B4190F"/>
    <w:rsid w:val="00B45B26"/>
    <w:rsid w:val="00B460FA"/>
    <w:rsid w:val="00B4791B"/>
    <w:rsid w:val="00B6288E"/>
    <w:rsid w:val="00B83D0A"/>
    <w:rsid w:val="00B87911"/>
    <w:rsid w:val="00B91105"/>
    <w:rsid w:val="00BA20AA"/>
    <w:rsid w:val="00BB5A12"/>
    <w:rsid w:val="00BC0180"/>
    <w:rsid w:val="00BC44ED"/>
    <w:rsid w:val="00BD1A19"/>
    <w:rsid w:val="00BD3207"/>
    <w:rsid w:val="00BD4403"/>
    <w:rsid w:val="00BD4425"/>
    <w:rsid w:val="00BE679C"/>
    <w:rsid w:val="00BF28D3"/>
    <w:rsid w:val="00BF2FBB"/>
    <w:rsid w:val="00BF51F6"/>
    <w:rsid w:val="00BF56D8"/>
    <w:rsid w:val="00BF783B"/>
    <w:rsid w:val="00BF7A05"/>
    <w:rsid w:val="00C02AA6"/>
    <w:rsid w:val="00C03632"/>
    <w:rsid w:val="00C06F8C"/>
    <w:rsid w:val="00C108B5"/>
    <w:rsid w:val="00C12C12"/>
    <w:rsid w:val="00C21638"/>
    <w:rsid w:val="00C25B49"/>
    <w:rsid w:val="00C37135"/>
    <w:rsid w:val="00C52692"/>
    <w:rsid w:val="00C53C76"/>
    <w:rsid w:val="00C57BD3"/>
    <w:rsid w:val="00C72EA4"/>
    <w:rsid w:val="00C75305"/>
    <w:rsid w:val="00C87ECA"/>
    <w:rsid w:val="00C92FE3"/>
    <w:rsid w:val="00C94E0D"/>
    <w:rsid w:val="00CB240F"/>
    <w:rsid w:val="00CB342A"/>
    <w:rsid w:val="00CB3A67"/>
    <w:rsid w:val="00CC0D2D"/>
    <w:rsid w:val="00CC263F"/>
    <w:rsid w:val="00CD1264"/>
    <w:rsid w:val="00CD2A22"/>
    <w:rsid w:val="00CD7221"/>
    <w:rsid w:val="00CE5657"/>
    <w:rsid w:val="00D0018A"/>
    <w:rsid w:val="00D019FF"/>
    <w:rsid w:val="00D05A37"/>
    <w:rsid w:val="00D10A37"/>
    <w:rsid w:val="00D133F8"/>
    <w:rsid w:val="00D14A3E"/>
    <w:rsid w:val="00D238CE"/>
    <w:rsid w:val="00D26F9A"/>
    <w:rsid w:val="00D356C4"/>
    <w:rsid w:val="00D41EAA"/>
    <w:rsid w:val="00D46131"/>
    <w:rsid w:val="00D515E8"/>
    <w:rsid w:val="00D575E2"/>
    <w:rsid w:val="00D61653"/>
    <w:rsid w:val="00D63267"/>
    <w:rsid w:val="00D65C6E"/>
    <w:rsid w:val="00D663D7"/>
    <w:rsid w:val="00D72AAB"/>
    <w:rsid w:val="00D75E5B"/>
    <w:rsid w:val="00D80924"/>
    <w:rsid w:val="00D843E0"/>
    <w:rsid w:val="00D95315"/>
    <w:rsid w:val="00D964CD"/>
    <w:rsid w:val="00DA2AD6"/>
    <w:rsid w:val="00DB1071"/>
    <w:rsid w:val="00DB2CC3"/>
    <w:rsid w:val="00DB4906"/>
    <w:rsid w:val="00DB7D53"/>
    <w:rsid w:val="00DC6740"/>
    <w:rsid w:val="00DD3A25"/>
    <w:rsid w:val="00DD686F"/>
    <w:rsid w:val="00DF0DC5"/>
    <w:rsid w:val="00DF47DB"/>
    <w:rsid w:val="00DF519C"/>
    <w:rsid w:val="00DF6A8A"/>
    <w:rsid w:val="00E14CE2"/>
    <w:rsid w:val="00E21659"/>
    <w:rsid w:val="00E22147"/>
    <w:rsid w:val="00E22E4F"/>
    <w:rsid w:val="00E27A5C"/>
    <w:rsid w:val="00E31729"/>
    <w:rsid w:val="00E32995"/>
    <w:rsid w:val="00E3716B"/>
    <w:rsid w:val="00E43CEA"/>
    <w:rsid w:val="00E46C72"/>
    <w:rsid w:val="00E46F56"/>
    <w:rsid w:val="00E52BD2"/>
    <w:rsid w:val="00E5323B"/>
    <w:rsid w:val="00E70A1E"/>
    <w:rsid w:val="00E71562"/>
    <w:rsid w:val="00E7298F"/>
    <w:rsid w:val="00E827B4"/>
    <w:rsid w:val="00E86ED1"/>
    <w:rsid w:val="00E8749E"/>
    <w:rsid w:val="00E90C01"/>
    <w:rsid w:val="00E90F3C"/>
    <w:rsid w:val="00E945BC"/>
    <w:rsid w:val="00E95646"/>
    <w:rsid w:val="00E95A5F"/>
    <w:rsid w:val="00EA1244"/>
    <w:rsid w:val="00EA13A4"/>
    <w:rsid w:val="00EA22E6"/>
    <w:rsid w:val="00EA486E"/>
    <w:rsid w:val="00EA7F05"/>
    <w:rsid w:val="00EC3208"/>
    <w:rsid w:val="00EC5B57"/>
    <w:rsid w:val="00ED39E6"/>
    <w:rsid w:val="00ED5075"/>
    <w:rsid w:val="00ED55EA"/>
    <w:rsid w:val="00ED6C4B"/>
    <w:rsid w:val="00ED7936"/>
    <w:rsid w:val="00EE4121"/>
    <w:rsid w:val="00EE5AA4"/>
    <w:rsid w:val="00EE6B1A"/>
    <w:rsid w:val="00EF4AC1"/>
    <w:rsid w:val="00EF7970"/>
    <w:rsid w:val="00F0283B"/>
    <w:rsid w:val="00F107F5"/>
    <w:rsid w:val="00F1088A"/>
    <w:rsid w:val="00F10A8C"/>
    <w:rsid w:val="00F116C6"/>
    <w:rsid w:val="00F1509F"/>
    <w:rsid w:val="00F16C28"/>
    <w:rsid w:val="00F245B8"/>
    <w:rsid w:val="00F265FD"/>
    <w:rsid w:val="00F30820"/>
    <w:rsid w:val="00F3679D"/>
    <w:rsid w:val="00F424D2"/>
    <w:rsid w:val="00F50D93"/>
    <w:rsid w:val="00F51162"/>
    <w:rsid w:val="00F515F2"/>
    <w:rsid w:val="00F52FB3"/>
    <w:rsid w:val="00F55C4E"/>
    <w:rsid w:val="00F57B0C"/>
    <w:rsid w:val="00F62A5A"/>
    <w:rsid w:val="00F70018"/>
    <w:rsid w:val="00F72BA5"/>
    <w:rsid w:val="00F735BB"/>
    <w:rsid w:val="00F81AA5"/>
    <w:rsid w:val="00F85D85"/>
    <w:rsid w:val="00F8726F"/>
    <w:rsid w:val="00F907A7"/>
    <w:rsid w:val="00F91E31"/>
    <w:rsid w:val="00FA1B3E"/>
    <w:rsid w:val="00FA6B3E"/>
    <w:rsid w:val="00FB3ABF"/>
    <w:rsid w:val="00FB44DD"/>
    <w:rsid w:val="00FC268C"/>
    <w:rsid w:val="00FF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
    <w:basedOn w:val="DefaultParagraphFont"/>
    <w:uiPriority w:val="99"/>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2"/>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qFormat/>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0E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9112678">
      <w:bodyDiv w:val="1"/>
      <w:marLeft w:val="0"/>
      <w:marRight w:val="0"/>
      <w:marTop w:val="0"/>
      <w:marBottom w:val="0"/>
      <w:divBdr>
        <w:top w:val="none" w:sz="0" w:space="0" w:color="auto"/>
        <w:left w:val="none" w:sz="0" w:space="0" w:color="auto"/>
        <w:bottom w:val="none" w:sz="0" w:space="0" w:color="auto"/>
        <w:right w:val="none" w:sz="0" w:space="0" w:color="auto"/>
      </w:divBdr>
      <w:divsChild>
        <w:div w:id="285238472">
          <w:marLeft w:val="0"/>
          <w:marRight w:val="0"/>
          <w:marTop w:val="480"/>
          <w:marBottom w:val="240"/>
          <w:divBdr>
            <w:top w:val="none" w:sz="0" w:space="0" w:color="auto"/>
            <w:left w:val="none" w:sz="0" w:space="0" w:color="auto"/>
            <w:bottom w:val="none" w:sz="0" w:space="0" w:color="auto"/>
            <w:right w:val="none" w:sz="0" w:space="0" w:color="auto"/>
          </w:divBdr>
        </w:div>
        <w:div w:id="1783570645">
          <w:marLeft w:val="0"/>
          <w:marRight w:val="0"/>
          <w:marTop w:val="0"/>
          <w:marBottom w:val="567"/>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539516980">
      <w:bodyDiv w:val="1"/>
      <w:marLeft w:val="0"/>
      <w:marRight w:val="0"/>
      <w:marTop w:val="0"/>
      <w:marBottom w:val="0"/>
      <w:divBdr>
        <w:top w:val="none" w:sz="0" w:space="0" w:color="auto"/>
        <w:left w:val="none" w:sz="0" w:space="0" w:color="auto"/>
        <w:bottom w:val="none" w:sz="0" w:space="0" w:color="auto"/>
        <w:right w:val="none" w:sz="0" w:space="0" w:color="auto"/>
      </w:divBdr>
    </w:div>
    <w:div w:id="825783374">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201474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528374483">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DEF6-E118-4CDF-8622-3F2B479A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24. novembra noteikumos Nr. 664 “Darbības programmas “Izaugsme un nodarbinātība”  2.1.1. specifiskā atbalsta mērķa “Uzlabot elektroniskās sakaru infrastruktūras pieejamību lauku t</vt:lpstr>
    </vt:vector>
  </TitlesOfParts>
  <Company>Satiksmes ministrija</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24. novembra noteikumos Nr. 664 “Darbības programmas “Izaugsme un nodarbinātība”  2.1.1. specifiskā atbalsta mērķa “Uzlabot elektroniskās sakaru infrastruktūras pieejamību lauku teritorijās” pirmās projektu iesniegumu atlases kārtas īstenošanas noteikumi” sākotnējās ietekmes novērtējuma ziņojums (anotācija)</dc:title>
  <dc:subject>MK noteikumu projekta anotācija</dc:subject>
  <dc:creator>Andzela.Petersone@sam.gov.lv</dc:creator>
  <cp:keywords>Anotācija</cp:keywords>
  <dc:description>67028023, andzela.petersone@sam.gov.lv</dc:description>
  <cp:lastModifiedBy>Baiba Jirgena</cp:lastModifiedBy>
  <cp:revision>5</cp:revision>
  <cp:lastPrinted>2020-11-23T12:58:00Z</cp:lastPrinted>
  <dcterms:created xsi:type="dcterms:W3CDTF">2020-12-08T07:29:00Z</dcterms:created>
  <dcterms:modified xsi:type="dcterms:W3CDTF">2020-12-08T14:24:00Z</dcterms:modified>
</cp:coreProperties>
</file>