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3246" w:rsidR="00E751CC" w:rsidP="00063258" w:rsidRDefault="00AE50EE" w14:paraId="7F838612" w14:textId="0FA1B2AD">
      <w:pPr>
        <w:spacing w:before="100" w:beforeAutospacing="1" w:after="100" w:afterAutospacing="1" w:line="240" w:lineRule="auto"/>
        <w:jc w:val="center"/>
        <w:rPr>
          <w:rFonts w:ascii="Times New Roman" w:hAnsi="Times New Roman" w:cs="Times New Roman"/>
          <w:b/>
          <w:bCs/>
          <w:color w:val="000000"/>
          <w:sz w:val="24"/>
          <w:szCs w:val="24"/>
          <w:lang w:eastAsia="lv-LV"/>
        </w:rPr>
      </w:pPr>
      <w:r w:rsidRPr="00F73246">
        <w:rPr>
          <w:rFonts w:ascii="Times New Roman" w:hAnsi="Times New Roman" w:cs="Times New Roman"/>
          <w:b/>
          <w:bCs/>
          <w:color w:val="000000"/>
          <w:sz w:val="24"/>
          <w:szCs w:val="24"/>
          <w:lang w:eastAsia="lv-LV"/>
        </w:rPr>
        <w:t xml:space="preserve">Ministru kabineta </w:t>
      </w:r>
      <w:r w:rsidRPr="00F73246" w:rsidR="00392411">
        <w:rPr>
          <w:rFonts w:ascii="Times New Roman" w:hAnsi="Times New Roman" w:cs="Times New Roman"/>
          <w:b/>
          <w:bCs/>
          <w:color w:val="000000"/>
          <w:sz w:val="24"/>
          <w:szCs w:val="24"/>
          <w:lang w:eastAsia="lv-LV"/>
        </w:rPr>
        <w:t xml:space="preserve">rīkojuma </w:t>
      </w:r>
      <w:r w:rsidRPr="00F73246">
        <w:rPr>
          <w:rFonts w:ascii="Times New Roman" w:hAnsi="Times New Roman" w:cs="Times New Roman"/>
          <w:b/>
          <w:bCs/>
          <w:color w:val="000000"/>
          <w:sz w:val="24"/>
          <w:szCs w:val="24"/>
          <w:lang w:eastAsia="lv-LV"/>
        </w:rPr>
        <w:t xml:space="preserve">projekta </w:t>
      </w:r>
      <w:r w:rsidRPr="00F73246" w:rsidR="000A15FF">
        <w:rPr>
          <w:rFonts w:ascii="Times New Roman" w:hAnsi="Times New Roman" w:cs="Times New Roman"/>
          <w:b/>
          <w:bCs/>
          <w:color w:val="000000"/>
          <w:sz w:val="24"/>
          <w:szCs w:val="24"/>
          <w:lang w:eastAsia="lv-LV"/>
        </w:rPr>
        <w:t xml:space="preserve">„Grozījumi Ministru kabineta 2019. gada 23. jūlija rīkojumā Nr. 385 “Par Satiksmes ministrijas ilgtermiņa saistībām jauno elektrovilcienu projekta īstenošanai”” </w:t>
      </w:r>
      <w:r w:rsidRPr="00F73246" w:rsidR="00E751CC">
        <w:rPr>
          <w:rFonts w:ascii="Times New Roman" w:hAnsi="Times New Roman" w:cs="Times New Roman"/>
          <w:b/>
          <w:bCs/>
          <w:color w:val="000000"/>
          <w:sz w:val="24"/>
          <w:szCs w:val="24"/>
          <w:lang w:eastAsia="lv-LV"/>
        </w:rPr>
        <w:t>sākotnējās ietekmes novērtējuma ziņojums (anotācija)</w:t>
      </w:r>
    </w:p>
    <w:tbl>
      <w:tblPr>
        <w:tblStyle w:val="TableGrid1"/>
        <w:tblW w:w="8931" w:type="dxa"/>
        <w:tblInd w:w="-5" w:type="dxa"/>
        <w:tblLook w:val="04A0" w:firstRow="1" w:lastRow="0" w:firstColumn="1" w:lastColumn="0" w:noHBand="0" w:noVBand="1"/>
      </w:tblPr>
      <w:tblGrid>
        <w:gridCol w:w="2268"/>
        <w:gridCol w:w="6663"/>
      </w:tblGrid>
      <w:tr w:rsidRPr="00F73246" w:rsidR="00422C8D" w:rsidTr="002C3C65" w14:paraId="1D71E84B" w14:textId="77777777">
        <w:tc>
          <w:tcPr>
            <w:tcW w:w="8931" w:type="dxa"/>
            <w:gridSpan w:val="2"/>
            <w:vAlign w:val="center"/>
          </w:tcPr>
          <w:p w:rsidRPr="00F73246" w:rsidR="00422C8D" w:rsidP="00AD25E8" w:rsidRDefault="00422C8D" w14:paraId="3AAD17AC" w14:textId="77777777">
            <w:pPr>
              <w:jc w:val="center"/>
              <w:rPr>
                <w:b/>
                <w:sz w:val="24"/>
                <w:szCs w:val="24"/>
              </w:rPr>
            </w:pPr>
            <w:r w:rsidRPr="00F73246">
              <w:rPr>
                <w:bCs/>
                <w:sz w:val="24"/>
                <w:szCs w:val="24"/>
              </w:rPr>
              <w:tab/>
            </w:r>
            <w:r w:rsidRPr="00F73246">
              <w:rPr>
                <w:b/>
                <w:bCs/>
                <w:iCs/>
                <w:sz w:val="24"/>
                <w:szCs w:val="24"/>
              </w:rPr>
              <w:t>Tiesību akta projekta anotācijas kopsavilkums</w:t>
            </w:r>
          </w:p>
        </w:tc>
      </w:tr>
      <w:tr w:rsidRPr="00F73246" w:rsidR="009A7AA9" w:rsidTr="002C3C65" w14:paraId="6466329B" w14:textId="77777777">
        <w:trPr>
          <w:trHeight w:val="1050"/>
        </w:trPr>
        <w:tc>
          <w:tcPr>
            <w:tcW w:w="2268" w:type="dxa"/>
          </w:tcPr>
          <w:p w:rsidRPr="00F73246" w:rsidR="009A7AA9" w:rsidP="009A7AA9" w:rsidRDefault="009A7AA9" w14:paraId="35E951AD" w14:textId="31246CDF">
            <w:pPr>
              <w:spacing w:after="0"/>
              <w:jc w:val="both"/>
              <w:rPr>
                <w:sz w:val="24"/>
                <w:szCs w:val="24"/>
              </w:rPr>
            </w:pPr>
            <w:r w:rsidRPr="00F73246">
              <w:rPr>
                <w:iCs/>
                <w:sz w:val="24"/>
                <w:szCs w:val="24"/>
              </w:rPr>
              <w:t>Mērķis, risinājums un projekta spēkā stāšanās laiks</w:t>
            </w:r>
            <w:r w:rsidRPr="00F73246" w:rsidR="008C3FCC">
              <w:rPr>
                <w:iCs/>
                <w:sz w:val="24"/>
                <w:szCs w:val="24"/>
              </w:rPr>
              <w:t>.</w:t>
            </w:r>
          </w:p>
        </w:tc>
        <w:tc>
          <w:tcPr>
            <w:tcW w:w="6663" w:type="dxa"/>
          </w:tcPr>
          <w:p w:rsidRPr="00F73246" w:rsidR="00B53DA2" w:rsidP="008C3FCC" w:rsidRDefault="00B53DA2" w14:paraId="79B88F78" w14:textId="27EC8F1D">
            <w:pPr>
              <w:pStyle w:val="NoSpacing"/>
              <w:ind w:right="35"/>
              <w:jc w:val="both"/>
              <w:rPr>
                <w:rStyle w:val="Strong"/>
                <w:rFonts w:cs="Times New Roman"/>
                <w:b w:val="0"/>
                <w:bCs w:val="0"/>
                <w:sz w:val="24"/>
                <w:szCs w:val="24"/>
              </w:rPr>
            </w:pPr>
            <w:r w:rsidRPr="00F73246">
              <w:rPr>
                <w:rStyle w:val="Strong"/>
                <w:rFonts w:cs="Times New Roman"/>
                <w:b w:val="0"/>
                <w:bCs w:val="0"/>
                <w:sz w:val="24"/>
                <w:szCs w:val="24"/>
              </w:rPr>
              <w:t>Ministru kabineta rīkojuma projekts “Grozījumi Ministru kabineta 2019. gada 23. jūlija rīkojumā Nr. 385 “Par Satiksmes ministrijas ilgtermiņa saistībām jauno elektrovilcienu projekta īstenošanai”” (turpmāk – Rīkojuma projekts) izstrādāts, lai atbilstoši šā brīža situācijai precizētu elektrovilcienu projekta īstenošana</w:t>
            </w:r>
            <w:r w:rsidR="00C60868">
              <w:rPr>
                <w:rStyle w:val="Strong"/>
                <w:rFonts w:cs="Times New Roman"/>
                <w:b w:val="0"/>
                <w:bCs w:val="0"/>
                <w:sz w:val="24"/>
                <w:szCs w:val="24"/>
              </w:rPr>
              <w:t>s</w:t>
            </w:r>
            <w:r w:rsidRPr="00F73246">
              <w:rPr>
                <w:rStyle w:val="Strong"/>
                <w:rFonts w:cs="Times New Roman"/>
                <w:b w:val="0"/>
                <w:bCs w:val="0"/>
                <w:sz w:val="24"/>
                <w:szCs w:val="24"/>
              </w:rPr>
              <w:t xml:space="preserve"> izmaksas un laika grafiku </w:t>
            </w:r>
            <w:r w:rsidRPr="00F73246">
              <w:rPr>
                <w:rStyle w:val="Strong"/>
                <w:b w:val="0"/>
                <w:bCs w:val="0"/>
                <w:sz w:val="24"/>
                <w:szCs w:val="24"/>
              </w:rPr>
              <w:t>efektīvāka un lietderīgāka rezultāta sasniegšanai.</w:t>
            </w:r>
          </w:p>
          <w:p w:rsidRPr="00EE1582" w:rsidR="00F54C8B" w:rsidP="00EE1582" w:rsidRDefault="001C2D3B" w14:paraId="4ECB32BC" w14:textId="742DF9F7">
            <w:pPr>
              <w:spacing w:after="0" w:line="240" w:lineRule="auto"/>
              <w:ind w:left="40"/>
              <w:jc w:val="both"/>
              <w:rPr>
                <w:rFonts w:cs="Times New Roman"/>
                <w:color w:val="000000"/>
                <w:sz w:val="24"/>
                <w:szCs w:val="24"/>
                <w:lang w:eastAsia="lv-LV"/>
              </w:rPr>
            </w:pPr>
            <w:r w:rsidRPr="001C2D3B">
              <w:rPr>
                <w:rFonts w:cs="Times New Roman"/>
                <w:color w:val="000000"/>
                <w:sz w:val="24"/>
                <w:szCs w:val="24"/>
                <w:lang w:eastAsia="lv-LV"/>
              </w:rPr>
              <w:t xml:space="preserve">Rīkojuma projekts </w:t>
            </w:r>
            <w:r w:rsidRPr="00F73246" w:rsidR="008C3FCC">
              <w:rPr>
                <w:rFonts w:cs="Times New Roman"/>
                <w:color w:val="000000"/>
                <w:sz w:val="24"/>
                <w:szCs w:val="24"/>
                <w:lang w:eastAsia="lv-LV"/>
              </w:rPr>
              <w:t xml:space="preserve">stājas spēkā </w:t>
            </w:r>
            <w:r w:rsidR="00C60868">
              <w:rPr>
                <w:rFonts w:cs="Times New Roman"/>
                <w:color w:val="000000"/>
                <w:sz w:val="24"/>
                <w:szCs w:val="24"/>
                <w:lang w:eastAsia="lv-LV"/>
              </w:rPr>
              <w:t>O</w:t>
            </w:r>
            <w:r w:rsidRPr="00F73246" w:rsidR="008C3FCC">
              <w:rPr>
                <w:rFonts w:cs="Times New Roman"/>
                <w:color w:val="000000"/>
                <w:sz w:val="24"/>
                <w:szCs w:val="24"/>
                <w:lang w:eastAsia="lv-LV"/>
              </w:rPr>
              <w:t>ficiālo publikāciju un tiesiskās informācijas likum</w:t>
            </w:r>
            <w:r w:rsidR="00C60868">
              <w:rPr>
                <w:rFonts w:cs="Times New Roman"/>
                <w:color w:val="000000"/>
                <w:sz w:val="24"/>
                <w:szCs w:val="24"/>
                <w:lang w:eastAsia="lv-LV"/>
              </w:rPr>
              <w:t>ā</w:t>
            </w:r>
            <w:r w:rsidRPr="00F73246" w:rsidR="008C3FCC">
              <w:rPr>
                <w:rFonts w:cs="Times New Roman"/>
                <w:color w:val="000000"/>
                <w:sz w:val="24"/>
                <w:szCs w:val="24"/>
                <w:lang w:eastAsia="lv-LV"/>
              </w:rPr>
              <w:t xml:space="preserve"> noteiktajā kārtībā.</w:t>
            </w:r>
          </w:p>
        </w:tc>
      </w:tr>
    </w:tbl>
    <w:p w:rsidRPr="00F73246" w:rsidR="0018114A" w:rsidP="00495B8E" w:rsidRDefault="0018114A" w14:paraId="17482F1E" w14:textId="77777777">
      <w:pPr>
        <w:spacing w:after="0" w:line="240" w:lineRule="auto"/>
        <w:jc w:val="center"/>
        <w:rPr>
          <w:rFonts w:ascii="Times New Roman" w:hAnsi="Times New Roman" w:cs="Times New Roman"/>
          <w:b/>
          <w:bCs/>
          <w:color w:val="000000"/>
          <w:sz w:val="24"/>
          <w:szCs w:val="24"/>
          <w:lang w:eastAsia="lv-LV"/>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305"/>
        <w:gridCol w:w="1857"/>
        <w:gridCol w:w="6899"/>
      </w:tblGrid>
      <w:tr w:rsidRPr="00F73246" w:rsidR="00E751CC" w:rsidTr="009C607B" w14:paraId="0FF201CF" w14:textId="77777777">
        <w:trPr>
          <w:trHeight w:val="419"/>
          <w:jc w:val="right"/>
        </w:trPr>
        <w:tc>
          <w:tcPr>
            <w:tcW w:w="9493" w:type="dxa"/>
            <w:gridSpan w:val="3"/>
          </w:tcPr>
          <w:p w:rsidRPr="00F73246" w:rsidR="00E751CC" w:rsidP="00902734" w:rsidRDefault="00E751CC" w14:paraId="434A2ECB" w14:textId="77777777">
            <w:pPr>
              <w:spacing w:after="0" w:line="240" w:lineRule="auto"/>
              <w:ind w:left="57" w:right="57"/>
              <w:jc w:val="center"/>
              <w:rPr>
                <w:rFonts w:ascii="Times New Roman" w:hAnsi="Times New Roman" w:cs="Times New Roman"/>
                <w:b/>
                <w:bCs/>
                <w:color w:val="000000"/>
                <w:sz w:val="24"/>
                <w:szCs w:val="24"/>
                <w:lang w:eastAsia="lv-LV"/>
              </w:rPr>
            </w:pPr>
            <w:r w:rsidRPr="00F73246">
              <w:rPr>
                <w:rFonts w:ascii="Times New Roman" w:hAnsi="Times New Roman" w:cs="Times New Roman"/>
                <w:b/>
                <w:bCs/>
                <w:color w:val="000000"/>
                <w:sz w:val="24"/>
                <w:szCs w:val="24"/>
                <w:lang w:eastAsia="lv-LV"/>
              </w:rPr>
              <w:t>I. Tiesību akta projekta izstrādes nepieciešamība</w:t>
            </w:r>
          </w:p>
        </w:tc>
      </w:tr>
      <w:tr w:rsidRPr="00F73246" w:rsidR="00E751CC" w:rsidTr="009C607B" w14:paraId="2E28D8A8" w14:textId="77777777">
        <w:trPr>
          <w:trHeight w:val="516"/>
          <w:jc w:val="right"/>
        </w:trPr>
        <w:tc>
          <w:tcPr>
            <w:tcW w:w="305" w:type="dxa"/>
          </w:tcPr>
          <w:p w:rsidRPr="00F73246" w:rsidR="00E751CC" w:rsidP="00902734" w:rsidRDefault="00E751CC" w14:paraId="523C106E"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1.</w:t>
            </w:r>
          </w:p>
        </w:tc>
        <w:tc>
          <w:tcPr>
            <w:tcW w:w="1857" w:type="dxa"/>
          </w:tcPr>
          <w:p w:rsidRPr="00F73246" w:rsidR="00E751CC" w:rsidP="00902734" w:rsidRDefault="00E751CC" w14:paraId="654F2892"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Pamatojums</w:t>
            </w:r>
          </w:p>
        </w:tc>
        <w:tc>
          <w:tcPr>
            <w:tcW w:w="7331" w:type="dxa"/>
          </w:tcPr>
          <w:p w:rsidRPr="00F73246" w:rsidR="00F66ABA" w:rsidP="00F2255F" w:rsidRDefault="00E43396" w14:paraId="170B78E0" w14:textId="740027F0">
            <w:pPr>
              <w:spacing w:after="0" w:line="240" w:lineRule="auto"/>
              <w:ind w:left="74" w:right="108"/>
              <w:jc w:val="both"/>
              <w:rPr>
                <w:rFonts w:ascii="Times New Roman" w:hAnsi="Times New Roman" w:cs="Times New Roman"/>
                <w:iCs/>
                <w:color w:val="000000" w:themeColor="text1"/>
                <w:sz w:val="24"/>
                <w:szCs w:val="24"/>
              </w:rPr>
            </w:pPr>
            <w:r w:rsidRPr="00F73246">
              <w:rPr>
                <w:rFonts w:ascii="Times New Roman" w:hAnsi="Times New Roman" w:cs="Times New Roman"/>
                <w:sz w:val="24"/>
                <w:szCs w:val="24"/>
              </w:rPr>
              <w:t>AS “Pasažieru vilciens”</w:t>
            </w:r>
            <w:r w:rsidRPr="00F73246" w:rsidR="00DA306C">
              <w:rPr>
                <w:rFonts w:ascii="Times New Roman" w:hAnsi="Times New Roman" w:cs="Times New Roman"/>
                <w:sz w:val="24"/>
                <w:szCs w:val="24"/>
              </w:rPr>
              <w:t xml:space="preserve"> </w:t>
            </w:r>
            <w:r w:rsidRPr="00F73246">
              <w:rPr>
                <w:rFonts w:ascii="Times New Roman" w:hAnsi="Times New Roman" w:cs="Times New Roman"/>
                <w:sz w:val="24"/>
                <w:szCs w:val="24"/>
              </w:rPr>
              <w:t>un Satiksmes ministrijas iniciatīva.</w:t>
            </w:r>
          </w:p>
        </w:tc>
      </w:tr>
      <w:tr w:rsidRPr="00F73246" w:rsidR="00617F88" w:rsidTr="009C607B" w14:paraId="3CFC52CA" w14:textId="77777777">
        <w:trPr>
          <w:trHeight w:val="557"/>
          <w:jc w:val="right"/>
        </w:trPr>
        <w:tc>
          <w:tcPr>
            <w:tcW w:w="305" w:type="dxa"/>
          </w:tcPr>
          <w:p w:rsidRPr="00F73246" w:rsidR="00617F88" w:rsidP="00617F88" w:rsidRDefault="00617F88" w14:paraId="346468EB" w14:textId="28C0C108">
            <w:pPr>
              <w:spacing w:after="0" w:line="240" w:lineRule="auto"/>
              <w:ind w:left="57" w:right="57"/>
              <w:jc w:val="both"/>
              <w:rPr>
                <w:rFonts w:ascii="Times New Roman" w:hAnsi="Times New Roman" w:cs="Times New Roman"/>
                <w:sz w:val="24"/>
                <w:szCs w:val="24"/>
                <w:lang w:eastAsia="lv-LV"/>
              </w:rPr>
            </w:pPr>
            <w:r w:rsidRPr="00F73246">
              <w:rPr>
                <w:rFonts w:ascii="Times New Roman" w:hAnsi="Times New Roman" w:cs="Times New Roman"/>
                <w:color w:val="000000"/>
                <w:sz w:val="24"/>
                <w:szCs w:val="24"/>
                <w:lang w:eastAsia="lv-LV"/>
              </w:rPr>
              <w:t>2.</w:t>
            </w:r>
          </w:p>
          <w:p w:rsidRPr="00F73246" w:rsidR="00617F88" w:rsidP="00617F88" w:rsidRDefault="00617F88" w14:paraId="2A85766C" w14:textId="77777777">
            <w:pPr>
              <w:rPr>
                <w:rFonts w:ascii="Times New Roman" w:hAnsi="Times New Roman" w:cs="Times New Roman"/>
                <w:sz w:val="24"/>
                <w:szCs w:val="24"/>
                <w:highlight w:val="green"/>
                <w:lang w:eastAsia="lv-LV"/>
              </w:rPr>
            </w:pPr>
          </w:p>
          <w:p w:rsidRPr="00F73246" w:rsidR="00617F88" w:rsidP="00617F88" w:rsidRDefault="00617F88" w14:paraId="700C701B" w14:textId="740B8AEE">
            <w:pPr>
              <w:rPr>
                <w:rFonts w:ascii="Times New Roman" w:hAnsi="Times New Roman" w:cs="Times New Roman"/>
                <w:sz w:val="24"/>
                <w:szCs w:val="24"/>
                <w:highlight w:val="green"/>
                <w:lang w:eastAsia="lv-LV"/>
              </w:rPr>
            </w:pPr>
          </w:p>
        </w:tc>
        <w:tc>
          <w:tcPr>
            <w:tcW w:w="1857" w:type="dxa"/>
          </w:tcPr>
          <w:p w:rsidRPr="00F73246" w:rsidR="00617F88" w:rsidP="00617F88" w:rsidRDefault="00617F88" w14:paraId="191799A1"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rsidRPr="00F73246" w:rsidR="00E3215B" w:rsidP="00E3215B" w:rsidRDefault="00E3215B" w14:paraId="39239214" w14:textId="77777777">
            <w:pPr>
              <w:rPr>
                <w:rFonts w:ascii="Times New Roman" w:hAnsi="Times New Roman" w:cs="Times New Roman"/>
                <w:sz w:val="24"/>
                <w:szCs w:val="24"/>
                <w:lang w:eastAsia="lv-LV"/>
              </w:rPr>
            </w:pPr>
          </w:p>
          <w:p w:rsidRPr="00F73246" w:rsidR="00E3215B" w:rsidP="00E3215B" w:rsidRDefault="00E3215B" w14:paraId="57C3345A" w14:textId="77777777">
            <w:pPr>
              <w:rPr>
                <w:rFonts w:ascii="Times New Roman" w:hAnsi="Times New Roman" w:cs="Times New Roman"/>
                <w:sz w:val="24"/>
                <w:szCs w:val="24"/>
                <w:lang w:eastAsia="lv-LV"/>
              </w:rPr>
            </w:pPr>
          </w:p>
          <w:p w:rsidRPr="00F73246" w:rsidR="00E3215B" w:rsidP="00E3215B" w:rsidRDefault="00E3215B" w14:paraId="2D6F1355" w14:textId="77777777">
            <w:pPr>
              <w:rPr>
                <w:rFonts w:ascii="Times New Roman" w:hAnsi="Times New Roman" w:cs="Times New Roman"/>
                <w:sz w:val="24"/>
                <w:szCs w:val="24"/>
                <w:lang w:eastAsia="lv-LV"/>
              </w:rPr>
            </w:pPr>
          </w:p>
          <w:p w:rsidRPr="00F73246" w:rsidR="00E3215B" w:rsidP="00E3215B" w:rsidRDefault="00E3215B" w14:paraId="17542BC8" w14:textId="77777777">
            <w:pPr>
              <w:rPr>
                <w:rFonts w:ascii="Times New Roman" w:hAnsi="Times New Roman" w:cs="Times New Roman"/>
                <w:sz w:val="24"/>
                <w:szCs w:val="24"/>
                <w:lang w:eastAsia="lv-LV"/>
              </w:rPr>
            </w:pPr>
          </w:p>
          <w:p w:rsidRPr="00F73246" w:rsidR="00E3215B" w:rsidP="00E3215B" w:rsidRDefault="00E3215B" w14:paraId="59A720BF" w14:textId="77777777">
            <w:pPr>
              <w:rPr>
                <w:rFonts w:ascii="Times New Roman" w:hAnsi="Times New Roman" w:cs="Times New Roman"/>
                <w:sz w:val="24"/>
                <w:szCs w:val="24"/>
                <w:lang w:eastAsia="lv-LV"/>
              </w:rPr>
            </w:pPr>
          </w:p>
          <w:p w:rsidRPr="00F73246" w:rsidR="00E3215B" w:rsidP="00E3215B" w:rsidRDefault="00E3215B" w14:paraId="489B503E" w14:textId="77777777">
            <w:pPr>
              <w:rPr>
                <w:rFonts w:ascii="Times New Roman" w:hAnsi="Times New Roman" w:cs="Times New Roman"/>
                <w:sz w:val="24"/>
                <w:szCs w:val="24"/>
                <w:lang w:eastAsia="lv-LV"/>
              </w:rPr>
            </w:pPr>
          </w:p>
          <w:p w:rsidRPr="00F73246" w:rsidR="00E3215B" w:rsidP="00E3215B" w:rsidRDefault="00E3215B" w14:paraId="161B357F" w14:textId="77777777">
            <w:pPr>
              <w:rPr>
                <w:rFonts w:ascii="Times New Roman" w:hAnsi="Times New Roman" w:cs="Times New Roman"/>
                <w:sz w:val="24"/>
                <w:szCs w:val="24"/>
                <w:lang w:eastAsia="lv-LV"/>
              </w:rPr>
            </w:pPr>
          </w:p>
          <w:p w:rsidRPr="00F73246" w:rsidR="00E3215B" w:rsidP="00E3215B" w:rsidRDefault="00E3215B" w14:paraId="29B11046" w14:textId="77777777">
            <w:pPr>
              <w:rPr>
                <w:rFonts w:ascii="Times New Roman" w:hAnsi="Times New Roman" w:cs="Times New Roman"/>
                <w:sz w:val="24"/>
                <w:szCs w:val="24"/>
                <w:lang w:eastAsia="lv-LV"/>
              </w:rPr>
            </w:pPr>
          </w:p>
          <w:p w:rsidRPr="00F73246" w:rsidR="00E3215B" w:rsidP="00E3215B" w:rsidRDefault="00E3215B" w14:paraId="4E6852B4" w14:textId="77777777">
            <w:pPr>
              <w:rPr>
                <w:rFonts w:ascii="Times New Roman" w:hAnsi="Times New Roman" w:cs="Times New Roman"/>
                <w:sz w:val="24"/>
                <w:szCs w:val="24"/>
                <w:lang w:eastAsia="lv-LV"/>
              </w:rPr>
            </w:pPr>
          </w:p>
          <w:p w:rsidRPr="00F73246" w:rsidR="00E3215B" w:rsidP="00E3215B" w:rsidRDefault="00E3215B" w14:paraId="250F6992" w14:textId="77777777">
            <w:pPr>
              <w:rPr>
                <w:rFonts w:ascii="Times New Roman" w:hAnsi="Times New Roman" w:cs="Times New Roman"/>
                <w:sz w:val="24"/>
                <w:szCs w:val="24"/>
                <w:lang w:eastAsia="lv-LV"/>
              </w:rPr>
            </w:pPr>
          </w:p>
          <w:p w:rsidRPr="00F73246" w:rsidR="00E3215B" w:rsidP="00E3215B" w:rsidRDefault="00E3215B" w14:paraId="6E711322" w14:textId="77777777">
            <w:pPr>
              <w:rPr>
                <w:rFonts w:ascii="Times New Roman" w:hAnsi="Times New Roman" w:cs="Times New Roman"/>
                <w:sz w:val="24"/>
                <w:szCs w:val="24"/>
                <w:lang w:eastAsia="lv-LV"/>
              </w:rPr>
            </w:pPr>
          </w:p>
          <w:p w:rsidRPr="00F73246" w:rsidR="00E3215B" w:rsidP="00294016" w:rsidRDefault="00E3215B" w14:paraId="7CA11886" w14:textId="77777777">
            <w:pPr>
              <w:jc w:val="center"/>
              <w:rPr>
                <w:rFonts w:ascii="Times New Roman" w:hAnsi="Times New Roman" w:cs="Times New Roman"/>
                <w:sz w:val="24"/>
                <w:szCs w:val="24"/>
                <w:lang w:eastAsia="lv-LV"/>
              </w:rPr>
            </w:pPr>
          </w:p>
          <w:p w:rsidRPr="00F73246" w:rsidR="00E3215B" w:rsidP="00E3215B" w:rsidRDefault="00E3215B" w14:paraId="0E005E24" w14:textId="77777777">
            <w:pPr>
              <w:rPr>
                <w:rFonts w:ascii="Times New Roman" w:hAnsi="Times New Roman" w:cs="Times New Roman"/>
                <w:sz w:val="24"/>
                <w:szCs w:val="24"/>
                <w:lang w:eastAsia="lv-LV"/>
              </w:rPr>
            </w:pPr>
          </w:p>
          <w:p w:rsidRPr="00F73246" w:rsidR="00E3215B" w:rsidP="00E3215B" w:rsidRDefault="00E3215B" w14:paraId="0967178F" w14:textId="77777777">
            <w:pPr>
              <w:rPr>
                <w:rFonts w:ascii="Times New Roman" w:hAnsi="Times New Roman" w:cs="Times New Roman"/>
                <w:sz w:val="24"/>
                <w:szCs w:val="24"/>
                <w:lang w:eastAsia="lv-LV"/>
              </w:rPr>
            </w:pPr>
          </w:p>
          <w:p w:rsidRPr="00F73246" w:rsidR="00E3215B" w:rsidP="00E3215B" w:rsidRDefault="00E3215B" w14:paraId="2E6392A0" w14:textId="77777777">
            <w:pPr>
              <w:rPr>
                <w:rFonts w:ascii="Times New Roman" w:hAnsi="Times New Roman" w:cs="Times New Roman"/>
                <w:sz w:val="24"/>
                <w:szCs w:val="24"/>
                <w:lang w:eastAsia="lv-LV"/>
              </w:rPr>
            </w:pPr>
          </w:p>
          <w:p w:rsidRPr="00F73246" w:rsidR="00E3215B" w:rsidP="00E3215B" w:rsidRDefault="00E3215B" w14:paraId="48B462BE" w14:textId="77777777">
            <w:pPr>
              <w:rPr>
                <w:rFonts w:ascii="Times New Roman" w:hAnsi="Times New Roman" w:cs="Times New Roman"/>
                <w:sz w:val="24"/>
                <w:szCs w:val="24"/>
                <w:lang w:eastAsia="lv-LV"/>
              </w:rPr>
            </w:pPr>
          </w:p>
          <w:p w:rsidRPr="00F73246" w:rsidR="00E3215B" w:rsidP="00E3215B" w:rsidRDefault="00E3215B" w14:paraId="4AF430A0" w14:textId="3CFCC8E9">
            <w:pPr>
              <w:ind w:firstLine="720"/>
              <w:rPr>
                <w:rFonts w:ascii="Times New Roman" w:hAnsi="Times New Roman" w:cs="Times New Roman"/>
                <w:sz w:val="24"/>
                <w:szCs w:val="24"/>
                <w:lang w:eastAsia="lv-LV"/>
              </w:rPr>
            </w:pPr>
          </w:p>
        </w:tc>
        <w:tc>
          <w:tcPr>
            <w:tcW w:w="7088" w:type="dxa"/>
          </w:tcPr>
          <w:p w:rsidRPr="00F73246" w:rsidR="00577DE6" w:rsidP="001D3F7F" w:rsidRDefault="00577DE6" w14:paraId="322C4E58" w14:textId="24CF3EED">
            <w:pPr>
              <w:spacing w:after="0" w:line="240" w:lineRule="auto"/>
              <w:ind w:right="130" w:firstLine="720"/>
              <w:jc w:val="both"/>
              <w:rPr>
                <w:rFonts w:ascii="Times New Roman" w:hAnsi="Times New Roman" w:cs="Times New Roman"/>
                <w:sz w:val="24"/>
                <w:szCs w:val="24"/>
              </w:rPr>
            </w:pPr>
            <w:r w:rsidRPr="00F73246">
              <w:rPr>
                <w:rFonts w:ascii="Times New Roman" w:hAnsi="Times New Roman" w:cs="Times New Roman"/>
                <w:sz w:val="24"/>
                <w:szCs w:val="24"/>
              </w:rPr>
              <w:lastRenderedPageBreak/>
              <w:t>Latvijas Nacionālajā attīstības plānā noteiktā enerģijas taupīšana un ilgtspējīga resursu izmantošana ir atbildīga sabiedrības rīcība ilgtspējīgas dzīves vides veidošanā un aprites ekonomikas nodrošināšanā. Tāpēc turpmāk, pieņemot lēmumus par politikām un investīcijām infrastruktūrā, būtu prioritāri vērtējams princips “energoefektivitāte pirmajā vietā”. Nozīmīgs enerģijas ietaupījums</w:t>
            </w:r>
            <w:r w:rsidR="001F6E3F">
              <w:rPr>
                <w:rFonts w:ascii="Times New Roman" w:hAnsi="Times New Roman" w:cs="Times New Roman"/>
                <w:sz w:val="24"/>
                <w:szCs w:val="24"/>
              </w:rPr>
              <w:t xml:space="preserve"> arī</w:t>
            </w:r>
            <w:r w:rsidRPr="00F73246">
              <w:rPr>
                <w:rFonts w:ascii="Times New Roman" w:hAnsi="Times New Roman" w:cs="Times New Roman"/>
                <w:sz w:val="24"/>
                <w:szCs w:val="24"/>
              </w:rPr>
              <w:t xml:space="preserve"> ir sasniedzams</w:t>
            </w:r>
            <w:r w:rsidR="001F6E3F">
              <w:rPr>
                <w:rFonts w:ascii="Times New Roman" w:hAnsi="Times New Roman" w:cs="Times New Roman"/>
                <w:sz w:val="24"/>
                <w:szCs w:val="24"/>
              </w:rPr>
              <w:t>,</w:t>
            </w:r>
            <w:r w:rsidRPr="00F73246">
              <w:rPr>
                <w:rFonts w:ascii="Times New Roman" w:hAnsi="Times New Roman" w:cs="Times New Roman"/>
                <w:sz w:val="24"/>
                <w:szCs w:val="24"/>
              </w:rPr>
              <w:t xml:space="preserve"> pārejot uz mazemisiju vai nulles emisiju dzelzceļa transportu.</w:t>
            </w:r>
          </w:p>
          <w:p w:rsidRPr="00F73246" w:rsidR="00577DE6" w:rsidP="00A42E80" w:rsidRDefault="00577DE6" w14:paraId="6BD8FB34" w14:textId="29F4557A">
            <w:pPr>
              <w:spacing w:after="0" w:line="240" w:lineRule="auto"/>
              <w:ind w:right="130" w:firstLine="720"/>
              <w:jc w:val="both"/>
              <w:rPr>
                <w:rFonts w:ascii="Times New Roman" w:hAnsi="Times New Roman" w:cs="Times New Roman"/>
                <w:sz w:val="24"/>
                <w:szCs w:val="24"/>
              </w:rPr>
            </w:pPr>
            <w:r w:rsidRPr="00F73246">
              <w:rPr>
                <w:rFonts w:ascii="Times New Roman" w:hAnsi="Times New Roman" w:cs="Times New Roman"/>
                <w:sz w:val="24"/>
                <w:szCs w:val="24"/>
              </w:rPr>
              <w:t xml:space="preserve">Valdības rīcības plāna </w:t>
            </w:r>
            <w:r w:rsidRPr="00961258" w:rsidR="00961258">
              <w:rPr>
                <w:rFonts w:ascii="Times New Roman" w:hAnsi="Times New Roman" w:cs="Times New Roman"/>
                <w:sz w:val="24"/>
                <w:szCs w:val="24"/>
              </w:rPr>
              <w:t xml:space="preserve">Deklarācijas par Artura Krišjāņa Kariņa vadītā Ministru kabineta iecerēto darbību īstenošanai </w:t>
            </w:r>
            <w:r w:rsidRPr="00F73246">
              <w:rPr>
                <w:rFonts w:ascii="Times New Roman" w:hAnsi="Times New Roman" w:cs="Times New Roman"/>
                <w:sz w:val="24"/>
                <w:szCs w:val="24"/>
              </w:rPr>
              <w:t xml:space="preserve">87.1. </w:t>
            </w:r>
            <w:r w:rsidR="00961258">
              <w:rPr>
                <w:rFonts w:ascii="Times New Roman" w:hAnsi="Times New Roman" w:cs="Times New Roman"/>
                <w:sz w:val="24"/>
                <w:szCs w:val="24"/>
              </w:rPr>
              <w:t>uzdevumā</w:t>
            </w:r>
            <w:r w:rsidRPr="00F73246">
              <w:rPr>
                <w:rFonts w:ascii="Times New Roman" w:hAnsi="Times New Roman" w:cs="Times New Roman"/>
                <w:sz w:val="24"/>
                <w:szCs w:val="24"/>
              </w:rPr>
              <w:t xml:space="preserve"> noteikts, ka tiks veikta sabiedriskā transporta maršrutu tīkla pārplānošana, veidojot integrētu transporta sistēmu un nosakot prioritāti dzelzceļam un savienotajiem reisiem. </w:t>
            </w:r>
          </w:p>
          <w:p w:rsidRPr="00F73246" w:rsidR="00577DE6" w:rsidP="00A42E80" w:rsidRDefault="00577DE6" w14:paraId="7E29E2C9" w14:textId="003ADDC1">
            <w:pPr>
              <w:spacing w:after="0" w:line="240" w:lineRule="auto"/>
              <w:ind w:right="130" w:firstLine="720"/>
              <w:jc w:val="both"/>
              <w:rPr>
                <w:rFonts w:ascii="Times New Roman" w:hAnsi="Times New Roman" w:cs="Times New Roman"/>
                <w:sz w:val="24"/>
                <w:szCs w:val="24"/>
              </w:rPr>
            </w:pPr>
            <w:r w:rsidRPr="00F73246">
              <w:rPr>
                <w:rFonts w:ascii="Times New Roman" w:hAnsi="Times New Roman" w:cs="Times New Roman"/>
                <w:sz w:val="24"/>
                <w:szCs w:val="24"/>
              </w:rPr>
              <w:t>Latvijas Nacionālajā attīstības plānā ir paredzēts, ka līdz 2027. gadam pasažieru skaits, kas tiek pārvadāts pa dzelzceļu, palielinās par 60% un atjaunojam</w:t>
            </w:r>
            <w:r w:rsidR="00C60868">
              <w:rPr>
                <w:rFonts w:ascii="Times New Roman" w:hAnsi="Times New Roman" w:cs="Times New Roman"/>
                <w:sz w:val="24"/>
                <w:szCs w:val="24"/>
              </w:rPr>
              <w:t>i</w:t>
            </w:r>
            <w:r w:rsidR="00C60868">
              <w:rPr>
                <w:rFonts w:ascii="Times New Roman" w:hAnsi="Times New Roman"/>
              </w:rPr>
              <w:t>em</w:t>
            </w:r>
            <w:r w:rsidRPr="00F73246">
              <w:rPr>
                <w:rFonts w:ascii="Times New Roman" w:hAnsi="Times New Roman" w:cs="Times New Roman"/>
                <w:sz w:val="24"/>
                <w:szCs w:val="24"/>
              </w:rPr>
              <w:t xml:space="preserve"> energoresurs</w:t>
            </w:r>
            <w:r w:rsidR="00C60868">
              <w:rPr>
                <w:rFonts w:ascii="Times New Roman" w:hAnsi="Times New Roman" w:cs="Times New Roman"/>
                <w:sz w:val="24"/>
                <w:szCs w:val="24"/>
              </w:rPr>
              <w:t>i</w:t>
            </w:r>
            <w:r w:rsidR="00C60868">
              <w:rPr>
                <w:rFonts w:ascii="Times New Roman" w:hAnsi="Times New Roman"/>
              </w:rPr>
              <w:t>em</w:t>
            </w:r>
            <w:r w:rsidRPr="00F73246">
              <w:rPr>
                <w:rFonts w:ascii="Times New Roman" w:hAnsi="Times New Roman" w:cs="Times New Roman"/>
                <w:sz w:val="24"/>
                <w:szCs w:val="24"/>
              </w:rPr>
              <w:t xml:space="preserve"> saražotās enerģijas īpatsvars transporta sektorā palielinās par 120%.</w:t>
            </w:r>
          </w:p>
          <w:p w:rsidRPr="00F73246" w:rsidR="00577DE6" w:rsidP="00A42E80" w:rsidRDefault="00577DE6" w14:paraId="58774EE1" w14:textId="2A5C8B83">
            <w:pPr>
              <w:spacing w:after="0" w:line="240" w:lineRule="auto"/>
              <w:ind w:right="130" w:firstLine="720"/>
              <w:jc w:val="both"/>
              <w:rPr>
                <w:rFonts w:ascii="Times New Roman" w:hAnsi="Times New Roman" w:cs="Times New Roman"/>
                <w:sz w:val="24"/>
                <w:szCs w:val="24"/>
              </w:rPr>
            </w:pPr>
            <w:r w:rsidRPr="00F73246">
              <w:rPr>
                <w:rFonts w:ascii="Times New Roman" w:hAnsi="Times New Roman" w:cs="Times New Roman"/>
                <w:sz w:val="24"/>
                <w:szCs w:val="24"/>
              </w:rPr>
              <w:t xml:space="preserve">Pašreizējā transporta sistēma </w:t>
            </w:r>
            <w:r w:rsidR="00C60868">
              <w:rPr>
                <w:rFonts w:ascii="Times New Roman" w:hAnsi="Times New Roman" w:cs="Times New Roman"/>
                <w:sz w:val="24"/>
                <w:szCs w:val="24"/>
              </w:rPr>
              <w:t>v</w:t>
            </w:r>
            <w:r w:rsidR="00C60868">
              <w:rPr>
                <w:rFonts w:ascii="Times New Roman" w:hAnsi="Times New Roman"/>
              </w:rPr>
              <w:t xml:space="preserve">alstī </w:t>
            </w:r>
            <w:r w:rsidRPr="00F73246">
              <w:rPr>
                <w:rFonts w:ascii="Times New Roman" w:hAnsi="Times New Roman" w:cs="Times New Roman"/>
                <w:sz w:val="24"/>
                <w:szCs w:val="24"/>
              </w:rPr>
              <w:t>nav uzskatāma par ilgtspējīgu. ES transporta politikas Baltajā grāmatā “Ceļvedis uz Eiropas vienoto transporta telpu – virzība uz konkurētspējīgu un resursefektīvu transporta sistēmu” ir ietverti vairāki mērķi konkurētspējīgas un resursefektīvas transporta sistēmas izveidei – kritēriji, lai sasniegtu mērķi par 60% samazināt SEG emisijas. 2019.</w:t>
            </w:r>
            <w:r w:rsidR="00C60868">
              <w:rPr>
                <w:rFonts w:ascii="Times New Roman" w:hAnsi="Times New Roman" w:cs="Times New Roman"/>
                <w:sz w:val="24"/>
                <w:szCs w:val="24"/>
              </w:rPr>
              <w:t xml:space="preserve"> </w:t>
            </w:r>
            <w:r w:rsidRPr="00F73246" w:rsidR="00DA306C">
              <w:rPr>
                <w:rFonts w:ascii="Times New Roman" w:hAnsi="Times New Roman" w:cs="Times New Roman"/>
                <w:sz w:val="24"/>
                <w:szCs w:val="24"/>
              </w:rPr>
              <w:t>gada 11.</w:t>
            </w:r>
            <w:r w:rsidR="00C60868">
              <w:rPr>
                <w:rFonts w:ascii="Times New Roman" w:hAnsi="Times New Roman" w:cs="Times New Roman"/>
                <w:sz w:val="24"/>
                <w:szCs w:val="24"/>
              </w:rPr>
              <w:t xml:space="preserve"> </w:t>
            </w:r>
            <w:r w:rsidRPr="00F73246" w:rsidR="00DA306C">
              <w:rPr>
                <w:rFonts w:ascii="Times New Roman" w:hAnsi="Times New Roman" w:cs="Times New Roman"/>
                <w:sz w:val="24"/>
                <w:szCs w:val="24"/>
              </w:rPr>
              <w:t>decembrī</w:t>
            </w:r>
            <w:r w:rsidRPr="00F73246">
              <w:rPr>
                <w:rFonts w:ascii="Times New Roman" w:hAnsi="Times New Roman" w:cs="Times New Roman"/>
                <w:sz w:val="24"/>
                <w:szCs w:val="24"/>
              </w:rPr>
              <w:t xml:space="preserve"> tika publicēts Eiropas Komisijas paziņojums “Eiropas zaļais kurss”, kur viens no mērķiem ir</w:t>
            </w:r>
            <w:r w:rsidR="00961258">
              <w:rPr>
                <w:rFonts w:ascii="Times New Roman" w:hAnsi="Times New Roman" w:cs="Times New Roman"/>
                <w:sz w:val="24"/>
                <w:szCs w:val="24"/>
              </w:rPr>
              <w:t xml:space="preserve"> </w:t>
            </w:r>
            <w:r w:rsidRPr="00F73246">
              <w:rPr>
                <w:rFonts w:ascii="Times New Roman" w:hAnsi="Times New Roman" w:cs="Times New Roman"/>
                <w:sz w:val="24"/>
                <w:szCs w:val="24"/>
              </w:rPr>
              <w:t>ieviest tīrākus, lētākus un veselīgākus privātā un sabiedriskā transporta veidus.</w:t>
            </w:r>
          </w:p>
          <w:p w:rsidR="00577DE6" w:rsidP="00A42E80" w:rsidRDefault="00577DE6" w14:paraId="7419EA92" w14:textId="15BB7B78">
            <w:pPr>
              <w:spacing w:after="0" w:line="240" w:lineRule="auto"/>
              <w:ind w:right="130" w:firstLine="720"/>
              <w:jc w:val="both"/>
              <w:rPr>
                <w:rFonts w:ascii="Times New Roman" w:hAnsi="Times New Roman" w:cs="Times New Roman"/>
                <w:sz w:val="24"/>
                <w:szCs w:val="24"/>
              </w:rPr>
            </w:pPr>
            <w:r w:rsidRPr="00F73246">
              <w:rPr>
                <w:rFonts w:ascii="Times New Roman" w:hAnsi="Times New Roman" w:cs="Times New Roman"/>
                <w:sz w:val="24"/>
                <w:szCs w:val="24"/>
              </w:rPr>
              <w:t>Viens no līdzekļiem, kā sasniegt mērķus, kas izvirzīti iepriekš minētajos politikas plānošanas dokumentos, ir izveidot mūsdienu prasībām atbilstošu, ērtu un ātru pasažieru pārvadājumu piedāvājumu pa dzelzceļu</w:t>
            </w:r>
            <w:r w:rsidR="00C60868">
              <w:rPr>
                <w:rFonts w:ascii="Times New Roman" w:hAnsi="Times New Roman" w:cs="Times New Roman"/>
                <w:sz w:val="24"/>
                <w:szCs w:val="24"/>
              </w:rPr>
              <w:t xml:space="preserve"> </w:t>
            </w:r>
            <w:r w:rsidR="00C60868">
              <w:rPr>
                <w:rFonts w:ascii="Times New Roman" w:hAnsi="Times New Roman"/>
              </w:rPr>
              <w:t>-</w:t>
            </w:r>
            <w:r w:rsidRPr="00F73246">
              <w:rPr>
                <w:rFonts w:ascii="Times New Roman" w:hAnsi="Times New Roman" w:cs="Times New Roman"/>
                <w:sz w:val="24"/>
                <w:szCs w:val="24"/>
              </w:rPr>
              <w:t xml:space="preserve"> panākot to, ka pasažieri izmanto ērtu sabiedrisko </w:t>
            </w:r>
            <w:r w:rsidRPr="00F73246">
              <w:rPr>
                <w:rFonts w:ascii="Times New Roman" w:hAnsi="Times New Roman" w:cs="Times New Roman"/>
                <w:sz w:val="24"/>
                <w:szCs w:val="24"/>
              </w:rPr>
              <w:lastRenderedPageBreak/>
              <w:t>transportu un samazinās cita autotransporta izmantošanas rezultātā pieaugošo SEG emisiju apjoms.</w:t>
            </w:r>
          </w:p>
          <w:p w:rsidR="00C60868" w:rsidRDefault="00C60868" w14:paraId="547C6962" w14:textId="43E3B6AF">
            <w:pPr>
              <w:spacing w:after="0" w:line="240" w:lineRule="auto"/>
              <w:ind w:firstLine="720"/>
              <w:jc w:val="both"/>
              <w:rPr>
                <w:rFonts w:ascii="Times New Roman" w:hAnsi="Times New Roman"/>
              </w:rPr>
            </w:pPr>
          </w:p>
          <w:p w:rsidRPr="00C60868" w:rsidR="00C60868" w:rsidP="00C60868" w:rsidRDefault="00C60868" w14:paraId="78F27091" w14:textId="77777777">
            <w:pPr>
              <w:pStyle w:val="NoSpacing"/>
              <w:jc w:val="center"/>
              <w:rPr>
                <w:rFonts w:ascii="Times New Roman" w:hAnsi="Times New Roman" w:cs="Times New Roman"/>
                <w:b/>
                <w:bCs/>
                <w:sz w:val="24"/>
                <w:szCs w:val="24"/>
                <w:u w:val="single"/>
              </w:rPr>
            </w:pPr>
            <w:r w:rsidRPr="00C60868">
              <w:rPr>
                <w:rFonts w:ascii="Times New Roman" w:hAnsi="Times New Roman" w:cs="Times New Roman"/>
                <w:b/>
                <w:bCs/>
                <w:sz w:val="24"/>
                <w:szCs w:val="24"/>
                <w:u w:val="single"/>
              </w:rPr>
              <w:t>AS “Pasažieru vilciens” (turpmāk - PV) ritošais sastāvs.</w:t>
            </w:r>
          </w:p>
          <w:p w:rsidR="00C60868" w:rsidP="001D3F7F" w:rsidRDefault="00C60868" w14:paraId="07D5621E" w14:textId="0F0580EC">
            <w:pPr>
              <w:spacing w:after="0" w:line="240" w:lineRule="auto"/>
              <w:ind w:right="130" w:firstLine="567"/>
              <w:jc w:val="both"/>
              <w:rPr>
                <w:rFonts w:ascii="Times New Roman" w:hAnsi="Times New Roman" w:cs="Times New Roman"/>
                <w:sz w:val="24"/>
                <w:szCs w:val="24"/>
              </w:rPr>
            </w:pPr>
            <w:bookmarkStart w:name="_Hlk504457631" w:id="0"/>
            <w:r w:rsidRPr="00F73246">
              <w:rPr>
                <w:rFonts w:ascii="Times New Roman" w:hAnsi="Times New Roman" w:cs="Times New Roman"/>
                <w:sz w:val="24"/>
                <w:szCs w:val="24"/>
              </w:rPr>
              <w:t xml:space="preserve">Šobrīd pasažieru pārvadājumu nodrošināšanai ikdienā tiek izmantoti 23 elektrovilcienu sastāvi un 18-19 dīzeļvilcienu sastāvi, papildus plānveida vai neplāna remontos atrodas 2 elektrovilcieni un 3 dīzeļvilcieni. </w:t>
            </w:r>
            <w:r w:rsidRPr="0012536D">
              <w:rPr>
                <w:rFonts w:ascii="Times New Roman" w:hAnsi="Times New Roman" w:cs="Times New Roman"/>
                <w:sz w:val="24"/>
                <w:szCs w:val="24"/>
              </w:rPr>
              <w:t>Lai nodrošinātu pasažieru pārvadājumus neelektrificētajās līnijās esošajā apjomā</w:t>
            </w:r>
            <w:r>
              <w:rPr>
                <w:rFonts w:ascii="Times New Roman" w:hAnsi="Times New Roman" w:cs="Times New Roman"/>
                <w:sz w:val="24"/>
                <w:szCs w:val="24"/>
              </w:rPr>
              <w:t>,</w:t>
            </w:r>
            <w:r w:rsidRPr="0012536D">
              <w:rPr>
                <w:rFonts w:ascii="Times New Roman" w:hAnsi="Times New Roman" w:cs="Times New Roman"/>
                <w:sz w:val="24"/>
                <w:szCs w:val="24"/>
              </w:rPr>
              <w:t xml:space="preserve"> vienlai</w:t>
            </w:r>
            <w:r w:rsidR="00335A79">
              <w:rPr>
                <w:rFonts w:ascii="Times New Roman" w:hAnsi="Times New Roman" w:cs="Times New Roman"/>
                <w:sz w:val="24"/>
                <w:szCs w:val="24"/>
              </w:rPr>
              <w:t>kus</w:t>
            </w:r>
            <w:r w:rsidRPr="0012536D">
              <w:rPr>
                <w:rFonts w:ascii="Times New Roman" w:hAnsi="Times New Roman" w:cs="Times New Roman"/>
                <w:sz w:val="24"/>
                <w:szCs w:val="24"/>
              </w:rPr>
              <w:t xml:space="preserve"> maršrutos atrodas 19 dīzeļvilcieni.</w:t>
            </w:r>
          </w:p>
          <w:p w:rsidRPr="00F73246" w:rsidR="00C60868" w:rsidP="00A42E80" w:rsidRDefault="00C60868" w14:paraId="2021BAB2" w14:textId="77777777">
            <w:pPr>
              <w:spacing w:after="0" w:line="240" w:lineRule="auto"/>
              <w:ind w:right="130" w:firstLine="567"/>
              <w:jc w:val="both"/>
              <w:rPr>
                <w:rFonts w:ascii="Times New Roman" w:hAnsi="Times New Roman" w:cs="Times New Roman"/>
                <w:sz w:val="24"/>
                <w:szCs w:val="24"/>
              </w:rPr>
            </w:pPr>
            <w:r w:rsidRPr="00F73246">
              <w:rPr>
                <w:rFonts w:ascii="Times New Roman" w:hAnsi="Times New Roman" w:cs="Times New Roman"/>
                <w:sz w:val="24"/>
                <w:szCs w:val="24"/>
              </w:rPr>
              <w:t>2019. gada 29. augustā tika noslēgts līgums ar Čehijas uzņēmumu “Škoda Vagonka” a.s. par 32 jaunu elektrovilcienu iegādi, lai no 2023. gada Pierīgā vilcienu elektrificētājā zonā (Rīga – Tukums, Rīga – Jelgava, Rīga – Aizkraukle un Rīga – Skulte) nodrošinātu augstu komforta līmeni pasažieriem, intervāla grafiku un brīvas pārvietošanās iespēju personām ar kustību traucējumiem</w:t>
            </w:r>
            <w:bookmarkEnd w:id="0"/>
            <w:r w:rsidRPr="00F73246">
              <w:rPr>
                <w:rFonts w:ascii="Times New Roman" w:hAnsi="Times New Roman" w:cs="Times New Roman"/>
                <w:sz w:val="24"/>
                <w:szCs w:val="24"/>
              </w:rPr>
              <w:t>.</w:t>
            </w:r>
          </w:p>
          <w:p w:rsidRPr="00F73246" w:rsidR="00C60868" w:rsidP="00A42E80" w:rsidRDefault="00C60868" w14:paraId="4903EF11" w14:textId="77777777">
            <w:pPr>
              <w:spacing w:after="0" w:line="240" w:lineRule="auto"/>
              <w:ind w:right="130" w:firstLine="567"/>
              <w:jc w:val="both"/>
              <w:rPr>
                <w:rFonts w:ascii="Times New Roman" w:hAnsi="Times New Roman" w:cs="Times New Roman"/>
                <w:sz w:val="24"/>
                <w:szCs w:val="24"/>
              </w:rPr>
            </w:pPr>
            <w:r w:rsidRPr="00F73246">
              <w:rPr>
                <w:rFonts w:ascii="Times New Roman" w:hAnsi="Times New Roman" w:cs="Times New Roman"/>
                <w:sz w:val="24"/>
                <w:szCs w:val="24"/>
              </w:rPr>
              <w:t>Šobrīd PV</w:t>
            </w:r>
            <w:r>
              <w:rPr>
                <w:rFonts w:ascii="Times New Roman" w:hAnsi="Times New Roman" w:cs="Times New Roman"/>
                <w:sz w:val="24"/>
                <w:szCs w:val="24"/>
              </w:rPr>
              <w:t xml:space="preserve"> rīcībā</w:t>
            </w:r>
            <w:r w:rsidRPr="00F73246">
              <w:rPr>
                <w:rFonts w:ascii="Times New Roman" w:hAnsi="Times New Roman" w:cs="Times New Roman"/>
                <w:sz w:val="24"/>
                <w:szCs w:val="24"/>
              </w:rPr>
              <w:t xml:space="preserve"> esošie dīzeļvilcieni nodrošina pasažieru pārvadāšanu no reģioniem un Pierīgas uz Rīgu. Dīzeļvilcieni ir ražoti laika posmā no 1980. līdz 1992. gadam, to atlikušais lietošanas laiks ir ierobežots.</w:t>
            </w:r>
          </w:p>
          <w:p w:rsidRPr="00C60868" w:rsidR="00C60868" w:rsidP="00A42E80" w:rsidRDefault="00C60868" w14:paraId="11E42880" w14:textId="3688CCA1">
            <w:pPr>
              <w:pStyle w:val="Stilsparskats"/>
              <w:spacing w:after="0"/>
              <w:ind w:right="130"/>
              <w:rPr>
                <w:rFonts w:eastAsia="Calibri"/>
                <w:lang w:eastAsia="en-US"/>
              </w:rPr>
            </w:pPr>
            <w:r w:rsidRPr="00F73246">
              <w:rPr>
                <w:rFonts w:eastAsia="Calibri"/>
                <w:lang w:eastAsia="en-US"/>
              </w:rPr>
              <w:t xml:space="preserve">Kopējais vilcienu līniju garums Latvijā, kas tiek izmantots pasažieru pārvadājumos, ir 981 km, no tām 249 km ir elektrificētas līnijas un 732 km – neelektrificētas līnijas. Jau no 2023. gada 24% Latvijas teritorijas, ko aptver vilcienu satiksme, PV nodrošinās ar mūsdienīgu dzelzceļa transportu, savukārt 76% Latvijas teritorijas PV aizvien nespēs piedāvāt iedzīvotājiem mūsdienu </w:t>
            </w:r>
            <w:r>
              <w:rPr>
                <w:rFonts w:eastAsia="Calibri"/>
                <w:lang w:eastAsia="en-US"/>
              </w:rPr>
              <w:t>prasībām</w:t>
            </w:r>
            <w:r w:rsidRPr="00F73246">
              <w:rPr>
                <w:rFonts w:eastAsia="Calibri"/>
                <w:lang w:eastAsia="en-US"/>
              </w:rPr>
              <w:t xml:space="preserve"> atbilstošu transportu.</w:t>
            </w:r>
          </w:p>
          <w:p w:rsidR="00FC6593" w:rsidP="00A42E80" w:rsidRDefault="00FC6593" w14:paraId="7AE42A3B" w14:textId="77777777">
            <w:pPr>
              <w:spacing w:after="0" w:line="240" w:lineRule="auto"/>
              <w:ind w:right="130" w:firstLine="720"/>
              <w:jc w:val="both"/>
              <w:rPr>
                <w:rFonts w:ascii="Times New Roman" w:hAnsi="Times New Roman" w:cs="Times New Roman"/>
                <w:sz w:val="24"/>
                <w:szCs w:val="24"/>
              </w:rPr>
            </w:pPr>
          </w:p>
          <w:p w:rsidRPr="00F73246" w:rsidR="00392411" w:rsidP="00A42E80" w:rsidRDefault="00392411" w14:paraId="6B99B3A5" w14:textId="3569D764">
            <w:pPr>
              <w:pStyle w:val="NoSpacing"/>
              <w:ind w:right="130"/>
              <w:jc w:val="both"/>
              <w:rPr>
                <w:rFonts w:ascii="Times New Roman" w:hAnsi="Times New Roman" w:cs="Times New Roman"/>
                <w:b/>
                <w:bCs/>
                <w:sz w:val="24"/>
                <w:szCs w:val="24"/>
                <w:u w:val="single"/>
              </w:rPr>
            </w:pPr>
            <w:r w:rsidRPr="00F73246">
              <w:rPr>
                <w:rFonts w:ascii="Times New Roman" w:hAnsi="Times New Roman" w:cs="Times New Roman"/>
                <w:b/>
                <w:bCs/>
                <w:sz w:val="24"/>
                <w:szCs w:val="24"/>
                <w:u w:val="single"/>
              </w:rPr>
              <w:t>Ministru kabineta 2019. gada 23. jūlija rīkojums Nr. 385 “Par Satiksmes ministrijas ilgtermiņa saistībām jauno elektrovilcienu projekta īstenošanai” (turpmāk –</w:t>
            </w:r>
            <w:r w:rsidR="00C60868">
              <w:rPr>
                <w:rFonts w:ascii="Times New Roman" w:hAnsi="Times New Roman" w:cs="Times New Roman"/>
                <w:b/>
                <w:bCs/>
                <w:sz w:val="24"/>
                <w:szCs w:val="24"/>
                <w:u w:val="single"/>
              </w:rPr>
              <w:t xml:space="preserve"> </w:t>
            </w:r>
            <w:r w:rsidRPr="00F73246">
              <w:rPr>
                <w:rFonts w:ascii="Times New Roman" w:hAnsi="Times New Roman" w:cs="Times New Roman"/>
                <w:b/>
                <w:bCs/>
                <w:sz w:val="24"/>
                <w:szCs w:val="24"/>
                <w:u w:val="single"/>
              </w:rPr>
              <w:t>Rīkojums Nr. 385) balstīts uz 2019. gada 16. jūlija informatīvo ziņojumu “Par jauno elektrovilcienu projektu”.</w:t>
            </w:r>
          </w:p>
          <w:p w:rsidRPr="00F73246" w:rsidR="00C5648F" w:rsidP="00A42E80" w:rsidRDefault="00C5648F" w14:paraId="3B350652" w14:textId="77777777">
            <w:pPr>
              <w:pStyle w:val="NoSpacing"/>
              <w:ind w:right="130"/>
              <w:jc w:val="both"/>
              <w:rPr>
                <w:rFonts w:ascii="Times New Roman" w:hAnsi="Times New Roman" w:cs="Times New Roman"/>
                <w:sz w:val="24"/>
                <w:szCs w:val="24"/>
              </w:rPr>
            </w:pPr>
          </w:p>
          <w:p w:rsidRPr="001C2D3B" w:rsidR="001C2D3B" w:rsidP="002C3C65" w:rsidRDefault="001C2D3B" w14:paraId="0346BD3E" w14:textId="3B95410D">
            <w:pPr>
              <w:pStyle w:val="NoSpacing"/>
              <w:ind w:firstLine="720"/>
              <w:jc w:val="both"/>
              <w:rPr>
                <w:rFonts w:ascii="Times New Roman" w:hAnsi="Times New Roman" w:cs="Times New Roman"/>
                <w:sz w:val="24"/>
                <w:szCs w:val="24"/>
              </w:rPr>
            </w:pPr>
            <w:r w:rsidRPr="001C2D3B">
              <w:rPr>
                <w:rFonts w:ascii="Times New Roman" w:hAnsi="Times New Roman" w:cs="Times New Roman"/>
                <w:sz w:val="24"/>
                <w:szCs w:val="24"/>
              </w:rPr>
              <w:t xml:space="preserve">Saskaņā ar </w:t>
            </w:r>
            <w:r w:rsidR="00C60868">
              <w:rPr>
                <w:rFonts w:ascii="Times New Roman" w:hAnsi="Times New Roman" w:cs="Times New Roman"/>
                <w:sz w:val="24"/>
                <w:szCs w:val="24"/>
              </w:rPr>
              <w:t>Ministru kabineta 2019. gada 23. jūlija</w:t>
            </w:r>
            <w:r w:rsidRPr="001C2D3B" w:rsidR="00C60868">
              <w:rPr>
                <w:rFonts w:ascii="Times New Roman" w:hAnsi="Times New Roman" w:cs="Times New Roman"/>
                <w:sz w:val="24"/>
                <w:szCs w:val="24"/>
              </w:rPr>
              <w:t xml:space="preserve"> </w:t>
            </w:r>
            <w:r w:rsidR="00C60868">
              <w:rPr>
                <w:rFonts w:ascii="Times New Roman" w:hAnsi="Times New Roman" w:cs="Times New Roman"/>
                <w:sz w:val="24"/>
                <w:szCs w:val="24"/>
              </w:rPr>
              <w:t>r</w:t>
            </w:r>
            <w:r w:rsidRPr="001C2D3B">
              <w:rPr>
                <w:rFonts w:ascii="Times New Roman" w:hAnsi="Times New Roman" w:cs="Times New Roman"/>
                <w:sz w:val="24"/>
                <w:szCs w:val="24"/>
              </w:rPr>
              <w:t xml:space="preserve">īkojumu Nr. 385 </w:t>
            </w:r>
            <w:r w:rsidRPr="00283AB1" w:rsidR="00C60868">
              <w:rPr>
                <w:rFonts w:ascii="Times New Roman" w:hAnsi="Times New Roman" w:cs="Times New Roman"/>
                <w:sz w:val="24"/>
                <w:szCs w:val="24"/>
              </w:rPr>
              <w:t>“Par Satiksmes ministrijas ilgtermiņa saistībām jauno elektrovilcienu projekta īstenošanai”</w:t>
            </w:r>
            <w:r w:rsidR="00C60868">
              <w:rPr>
                <w:rFonts w:ascii="Times New Roman" w:hAnsi="Times New Roman" w:cs="Times New Roman"/>
                <w:sz w:val="24"/>
                <w:szCs w:val="24"/>
              </w:rPr>
              <w:t xml:space="preserve"> (turpmāk – Rīkojums Nr.385) PV</w:t>
            </w:r>
            <w:r w:rsidRPr="001C2D3B">
              <w:rPr>
                <w:rFonts w:ascii="Times New Roman" w:hAnsi="Times New Roman" w:cs="Times New Roman"/>
                <w:sz w:val="24"/>
                <w:szCs w:val="24"/>
              </w:rPr>
              <w:t xml:space="preserve"> tika piešķirts finansējums 14 miljonu </w:t>
            </w:r>
            <w:r w:rsidR="004674B6">
              <w:rPr>
                <w:rFonts w:ascii="Times New Roman" w:hAnsi="Times New Roman" w:cs="Times New Roman"/>
                <w:i/>
                <w:iCs/>
                <w:sz w:val="24"/>
                <w:szCs w:val="24"/>
              </w:rPr>
              <w:t>euro</w:t>
            </w:r>
            <w:r w:rsidRPr="001C2D3B" w:rsidR="004674B6">
              <w:rPr>
                <w:rFonts w:ascii="Times New Roman" w:hAnsi="Times New Roman" w:cs="Times New Roman"/>
                <w:sz w:val="24"/>
                <w:szCs w:val="24"/>
              </w:rPr>
              <w:t xml:space="preserve"> </w:t>
            </w:r>
            <w:r w:rsidRPr="001C2D3B">
              <w:rPr>
                <w:rFonts w:ascii="Times New Roman" w:hAnsi="Times New Roman" w:cs="Times New Roman"/>
                <w:sz w:val="24"/>
                <w:szCs w:val="24"/>
              </w:rPr>
              <w:t>apmērā remontu centra izbūvei.</w:t>
            </w:r>
          </w:p>
          <w:p w:rsidRPr="001C2D3B" w:rsidR="001C2D3B" w:rsidP="002C3C65" w:rsidRDefault="00C60868" w14:paraId="4BD6A44D" w14:textId="0151489F">
            <w:pPr>
              <w:pStyle w:val="NoSpacing"/>
              <w:ind w:firstLine="720"/>
              <w:jc w:val="both"/>
              <w:rPr>
                <w:rFonts w:ascii="Times New Roman" w:hAnsi="Times New Roman" w:cs="Times New Roman"/>
                <w:sz w:val="24"/>
                <w:szCs w:val="24"/>
              </w:rPr>
            </w:pPr>
            <w:r w:rsidRPr="00F73246">
              <w:rPr>
                <w:rFonts w:ascii="Times New Roman" w:hAnsi="Times New Roman" w:cs="Times New Roman"/>
                <w:sz w:val="24"/>
                <w:szCs w:val="24"/>
              </w:rPr>
              <w:t xml:space="preserve">Šobrīd </w:t>
            </w:r>
            <w:r>
              <w:rPr>
                <w:rFonts w:ascii="Times New Roman" w:hAnsi="Times New Roman" w:cs="Times New Roman"/>
                <w:sz w:val="24"/>
                <w:szCs w:val="24"/>
              </w:rPr>
              <w:t>notikušas izmaiņas</w:t>
            </w:r>
            <w:r w:rsidRPr="00F73246">
              <w:rPr>
                <w:rFonts w:ascii="Times New Roman" w:hAnsi="Times New Roman" w:cs="Times New Roman"/>
                <w:sz w:val="24"/>
                <w:szCs w:val="24"/>
              </w:rPr>
              <w:t xml:space="preserve"> </w:t>
            </w:r>
            <w:r w:rsidR="0018214A">
              <w:rPr>
                <w:rFonts w:ascii="Times New Roman" w:hAnsi="Times New Roman" w:cs="Times New Roman"/>
                <w:sz w:val="24"/>
                <w:szCs w:val="24"/>
              </w:rPr>
              <w:t>elektrovilcienu projektā</w:t>
            </w:r>
            <w:r w:rsidRPr="00F73246">
              <w:rPr>
                <w:rFonts w:ascii="Times New Roman" w:hAnsi="Times New Roman" w:cs="Times New Roman"/>
                <w:sz w:val="24"/>
                <w:szCs w:val="24"/>
              </w:rPr>
              <w:t>, līdz ar to nepieciešams veikt grozījumus Rīkojumā Nr. 385</w:t>
            </w:r>
            <w:r w:rsidRPr="001C2D3B" w:rsidR="001C2D3B">
              <w:rPr>
                <w:rFonts w:ascii="Times New Roman" w:hAnsi="Times New Roman" w:cs="Times New Roman"/>
                <w:sz w:val="24"/>
                <w:szCs w:val="24"/>
              </w:rPr>
              <w:t>.</w:t>
            </w:r>
          </w:p>
          <w:p w:rsidR="001C2D3B" w:rsidP="001D3F7F" w:rsidRDefault="00C60868" w14:paraId="046A0155" w14:textId="7A32E728">
            <w:pPr>
              <w:pStyle w:val="NoSpacing"/>
              <w:ind w:right="130" w:firstLine="720"/>
              <w:jc w:val="both"/>
              <w:rPr>
                <w:rFonts w:ascii="Times New Roman" w:hAnsi="Times New Roman" w:cs="Times New Roman"/>
                <w:sz w:val="24"/>
                <w:szCs w:val="24"/>
              </w:rPr>
            </w:pPr>
            <w:r w:rsidRPr="00C60868">
              <w:rPr>
                <w:rFonts w:ascii="Times New Roman" w:hAnsi="Times New Roman" w:cs="Times New Roman"/>
                <w:sz w:val="24"/>
                <w:szCs w:val="24"/>
              </w:rPr>
              <w:t>2019. gadā</w:t>
            </w:r>
            <w:r w:rsidR="001D3F7F">
              <w:rPr>
                <w:rFonts w:ascii="Times New Roman" w:hAnsi="Times New Roman" w:cs="Times New Roman"/>
                <w:sz w:val="24"/>
                <w:szCs w:val="24"/>
              </w:rPr>
              <w:t>,</w:t>
            </w:r>
            <w:r w:rsidRPr="00C60868">
              <w:rPr>
                <w:rFonts w:ascii="Times New Roman" w:hAnsi="Times New Roman" w:cs="Times New Roman"/>
                <w:sz w:val="24"/>
                <w:szCs w:val="24"/>
              </w:rPr>
              <w:t xml:space="preserve"> sastādot prognozes plānotajām investīcijām, vēl nebija pieejama informācija par jauno elektrovilcienu remonta apjomiem un prasībām remonta centra pielāgošanai. Arī remontu centra būvniecības/rekonstrukcijas priekšizpēte, kas ļautu lēst remonta centra būvniecības aplēses, vēl nebija veikta, </w:t>
            </w:r>
            <w:r w:rsidR="0010289A">
              <w:rPr>
                <w:rFonts w:ascii="Times New Roman" w:hAnsi="Times New Roman" w:cs="Times New Roman"/>
                <w:sz w:val="24"/>
                <w:szCs w:val="24"/>
              </w:rPr>
              <w:t>j</w:t>
            </w:r>
            <w:r w:rsidRPr="00C60868">
              <w:rPr>
                <w:rFonts w:ascii="Times New Roman" w:hAnsi="Times New Roman" w:cs="Times New Roman"/>
                <w:sz w:val="24"/>
                <w:szCs w:val="24"/>
              </w:rPr>
              <w:t>o šai priekšizpēt</w:t>
            </w:r>
            <w:r w:rsidR="00335A79">
              <w:rPr>
                <w:rFonts w:ascii="Times New Roman" w:hAnsi="Times New Roman" w:cs="Times New Roman"/>
                <w:sz w:val="24"/>
                <w:szCs w:val="24"/>
              </w:rPr>
              <w:t>e</w:t>
            </w:r>
            <w:r w:rsidRPr="00C60868">
              <w:rPr>
                <w:rFonts w:ascii="Times New Roman" w:hAnsi="Times New Roman" w:cs="Times New Roman"/>
                <w:sz w:val="24"/>
                <w:szCs w:val="24"/>
              </w:rPr>
              <w:t xml:space="preserve">i finanšu līdzekļi tika piešķirti ar </w:t>
            </w:r>
            <w:r w:rsidR="0010289A">
              <w:rPr>
                <w:rFonts w:ascii="Times New Roman" w:hAnsi="Times New Roman" w:cs="Times New Roman"/>
                <w:sz w:val="24"/>
                <w:szCs w:val="24"/>
              </w:rPr>
              <w:t>R</w:t>
            </w:r>
            <w:r w:rsidRPr="00C60868">
              <w:rPr>
                <w:rFonts w:ascii="Times New Roman" w:hAnsi="Times New Roman" w:cs="Times New Roman"/>
                <w:sz w:val="24"/>
                <w:szCs w:val="24"/>
              </w:rPr>
              <w:t xml:space="preserve">īkojumu Nr. 385.  Pamatojoties uz 2019. gada nogalē veikto iepirkumu, konsultants SIA “Ernst &amp; Young Baltic” uzsāka priekšizpēti, kuras uzdevums bija ekonomiski pamatot, vai izdevīgāk būtu rekonstruēt/pārbūvēt esošo remonta centru Zasulaukā vai būvēt jaunu stratēģiski un saimnieciski izdevīgu remonta </w:t>
            </w:r>
            <w:r w:rsidRPr="00C60868">
              <w:rPr>
                <w:rFonts w:ascii="Times New Roman" w:hAnsi="Times New Roman" w:cs="Times New Roman"/>
                <w:sz w:val="24"/>
                <w:szCs w:val="24"/>
              </w:rPr>
              <w:lastRenderedPageBreak/>
              <w:t>centru citā</w:t>
            </w:r>
            <w:r w:rsidR="0010289A">
              <w:rPr>
                <w:rFonts w:ascii="Times New Roman" w:hAnsi="Times New Roman" w:cs="Times New Roman"/>
                <w:sz w:val="24"/>
                <w:szCs w:val="24"/>
              </w:rPr>
              <w:t xml:space="preserve"> </w:t>
            </w:r>
            <w:r w:rsidRPr="00C60868">
              <w:rPr>
                <w:rFonts w:ascii="Times New Roman" w:hAnsi="Times New Roman" w:cs="Times New Roman"/>
                <w:sz w:val="24"/>
                <w:szCs w:val="24"/>
              </w:rPr>
              <w:t>vietā, par pamatu ņemot esošā ritošā sastāva un jauno elektrovilcienu piegādātāja AS “Škoda Vagonka”remonta programmas tehniskās prasības.</w:t>
            </w:r>
          </w:p>
          <w:p w:rsidRPr="001C2D3B" w:rsidR="00F30277" w:rsidP="00F30277" w:rsidRDefault="00F30277" w14:paraId="3C435940" w14:textId="170CDD99">
            <w:pPr>
              <w:pStyle w:val="NoSpacing"/>
              <w:ind w:right="130" w:firstLine="720"/>
              <w:jc w:val="both"/>
              <w:rPr>
                <w:rFonts w:ascii="Times New Roman" w:hAnsi="Times New Roman" w:cs="Times New Roman"/>
                <w:sz w:val="24"/>
                <w:szCs w:val="24"/>
              </w:rPr>
            </w:pPr>
            <w:r w:rsidRPr="00F30277">
              <w:rPr>
                <w:rFonts w:ascii="Times New Roman" w:hAnsi="Times New Roman" w:cs="Times New Roman"/>
                <w:sz w:val="24"/>
                <w:szCs w:val="24"/>
              </w:rPr>
              <w:t>Ņemot vērā, ka jauno elektrovilcienu nodošanai ekspluatācijā un tehnisko apkopju un remontu veikšanai ir nepieciešamas atšķirīgas iekārtas</w:t>
            </w:r>
            <w:r w:rsidR="001F6E3F">
              <w:rPr>
                <w:rFonts w:ascii="Times New Roman" w:hAnsi="Times New Roman" w:cs="Times New Roman"/>
                <w:sz w:val="24"/>
                <w:szCs w:val="24"/>
              </w:rPr>
              <w:t>,</w:t>
            </w:r>
            <w:r w:rsidRPr="00F30277">
              <w:rPr>
                <w:rFonts w:ascii="Times New Roman" w:hAnsi="Times New Roman" w:cs="Times New Roman"/>
                <w:sz w:val="24"/>
                <w:szCs w:val="24"/>
              </w:rPr>
              <w:t xml:space="preserve"> salīdzinot ar esošo ritošo sastāvu</w:t>
            </w:r>
            <w:r w:rsidR="001F6E3F">
              <w:rPr>
                <w:rFonts w:ascii="Times New Roman" w:hAnsi="Times New Roman" w:cs="Times New Roman"/>
                <w:sz w:val="24"/>
                <w:szCs w:val="24"/>
              </w:rPr>
              <w:t>,</w:t>
            </w:r>
            <w:r w:rsidRPr="00F30277">
              <w:rPr>
                <w:rFonts w:ascii="Times New Roman" w:hAnsi="Times New Roman" w:cs="Times New Roman"/>
                <w:sz w:val="24"/>
                <w:szCs w:val="24"/>
              </w:rPr>
              <w:t xml:space="preserve"> un Zasulauka sliktais tehniskais stāvoklis, tad nepieciešama jauna remonta centra izbūve tuvākajā nākotnē. Ja netiks veikta remontu centra izbūve, jaunajiem elektrovilcieniem nevarēs veikt plānotās tehniskās apkopes un remontus, un tas var radīt riskus ekspluatēt jaunos elektrovilcienus un dīzeļvilcienus.</w:t>
            </w:r>
          </w:p>
          <w:p w:rsidRPr="001C2D3B" w:rsidR="001C2D3B" w:rsidP="00A42E80" w:rsidRDefault="001C2D3B" w14:paraId="71C1DECF" w14:textId="3DE97EF2">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Priekšizpētes rezultātā attiecībā uz esošā</w:t>
            </w:r>
            <w:r w:rsidR="0010289A">
              <w:rPr>
                <w:rFonts w:ascii="Times New Roman" w:hAnsi="Times New Roman" w:cs="Times New Roman"/>
                <w:sz w:val="24"/>
                <w:szCs w:val="24"/>
              </w:rPr>
              <w:t>s</w:t>
            </w:r>
            <w:r w:rsidRPr="001C2D3B">
              <w:rPr>
                <w:rFonts w:ascii="Times New Roman" w:hAnsi="Times New Roman" w:cs="Times New Roman"/>
                <w:sz w:val="24"/>
                <w:szCs w:val="24"/>
              </w:rPr>
              <w:t xml:space="preserve"> remonta bāzes Zasulaukā rekonstrukciju/pārbūvi tika secināts, ka tā ģeogrāfiskais novietojums pagarina apkopes cikla ietvaros veicamo attālumu </w:t>
            </w:r>
            <w:r w:rsidRPr="001C2D3B" w:rsidR="001F6E3F">
              <w:rPr>
                <w:rFonts w:ascii="Times New Roman" w:hAnsi="Times New Roman" w:cs="Times New Roman"/>
                <w:sz w:val="24"/>
                <w:szCs w:val="24"/>
              </w:rPr>
              <w:t>aptuveni par</w:t>
            </w:r>
            <w:r w:rsidRPr="001C2D3B">
              <w:rPr>
                <w:rFonts w:ascii="Times New Roman" w:hAnsi="Times New Roman" w:cs="Times New Roman"/>
                <w:sz w:val="24"/>
                <w:szCs w:val="24"/>
              </w:rPr>
              <w:t xml:space="preserve"> 8 km, tādejādi patērējot papildu energoresursus,</w:t>
            </w:r>
            <w:r w:rsidR="0010289A">
              <w:rPr>
                <w:rFonts w:ascii="Times New Roman" w:hAnsi="Times New Roman" w:cs="Times New Roman"/>
                <w:sz w:val="24"/>
                <w:szCs w:val="24"/>
              </w:rPr>
              <w:t xml:space="preserve"> palielinot</w:t>
            </w:r>
            <w:r w:rsidRPr="001C2D3B">
              <w:rPr>
                <w:rFonts w:ascii="Times New Roman" w:hAnsi="Times New Roman" w:cs="Times New Roman"/>
                <w:sz w:val="24"/>
                <w:szCs w:val="24"/>
              </w:rPr>
              <w:t xml:space="preserve"> infrastruktūras un citas izmaksas. Veicot esošā remonta bāzes Zasulaukā rekonstrukciju/pārbūvi, nav iespējams ekspluatēt esošo remonta bāzi, kas sadārdzina remonta izmaksas. Šobrīd vienīgā sertificētā alternatīva ir DLRR Daugavpilī.</w:t>
            </w:r>
          </w:p>
          <w:p w:rsidRPr="001C2D3B" w:rsidR="001C2D3B" w:rsidP="001722C3" w:rsidRDefault="0010289A" w14:paraId="358DAF99" w14:textId="642B71A5">
            <w:pPr>
              <w:pStyle w:val="NoSpacing"/>
              <w:ind w:right="130" w:firstLine="720"/>
              <w:jc w:val="both"/>
              <w:rPr>
                <w:rFonts w:ascii="Times New Roman" w:hAnsi="Times New Roman" w:cs="Times New Roman"/>
                <w:sz w:val="24"/>
                <w:szCs w:val="24"/>
              </w:rPr>
            </w:pPr>
            <w:r w:rsidRPr="0010289A">
              <w:rPr>
                <w:rFonts w:ascii="Times New Roman" w:hAnsi="Times New Roman" w:cs="Times New Roman"/>
                <w:sz w:val="24"/>
                <w:szCs w:val="24"/>
              </w:rPr>
              <w:t xml:space="preserve">Remontu centrā Zasulaukā būvēm (cehiem) veic padziļinātu izpēti, jo parādījušās plaisas, kā arī teritorijā </w:t>
            </w:r>
            <w:r w:rsidR="006E7FA0">
              <w:rPr>
                <w:rFonts w:ascii="Times New Roman" w:hAnsi="Times New Roman" w:cs="Times New Roman"/>
                <w:sz w:val="24"/>
                <w:szCs w:val="24"/>
              </w:rPr>
              <w:t>(</w:t>
            </w:r>
            <w:r w:rsidRPr="001C2D3B" w:rsidR="006E7FA0">
              <w:rPr>
                <w:rFonts w:ascii="Times New Roman" w:hAnsi="Times New Roman" w:cs="Times New Roman"/>
                <w:sz w:val="24"/>
                <w:szCs w:val="24"/>
              </w:rPr>
              <w:t>zemesgabali neatrodas AS “Pasažieru vilciens” īpašumā, un tie uz līguma pamata tiek nomāti no VAS “Latvijas dzelzceļš”</w:t>
            </w:r>
            <w:r w:rsidR="006E7FA0">
              <w:rPr>
                <w:rFonts w:ascii="Times New Roman" w:hAnsi="Times New Roman" w:cs="Times New Roman"/>
                <w:sz w:val="24"/>
                <w:szCs w:val="24"/>
              </w:rPr>
              <w:t xml:space="preserve">) </w:t>
            </w:r>
            <w:r w:rsidRPr="0010289A">
              <w:rPr>
                <w:rFonts w:ascii="Times New Roman" w:hAnsi="Times New Roman" w:cs="Times New Roman"/>
                <w:sz w:val="24"/>
                <w:szCs w:val="24"/>
              </w:rPr>
              <w:t xml:space="preserve">jāveic sanācija saistībā ar gruntsūdeņu vēsturisko piesārņojumu ar naftas produktiem, kas būtiski ietekmētu celtniecības uzsākšanas laika grafiku. Ņemot vērā iepriekš minēto, </w:t>
            </w:r>
            <w:r w:rsidRPr="00692A95" w:rsidR="00692A95">
              <w:rPr>
                <w:rFonts w:ascii="Times New Roman" w:hAnsi="Times New Roman" w:cs="Times New Roman"/>
                <w:sz w:val="24"/>
                <w:szCs w:val="24"/>
              </w:rPr>
              <w:t xml:space="preserve">izskatītas alternatīvas </w:t>
            </w:r>
            <w:r w:rsidRPr="0010289A">
              <w:rPr>
                <w:rFonts w:ascii="Times New Roman" w:hAnsi="Times New Roman" w:cs="Times New Roman"/>
                <w:sz w:val="24"/>
                <w:szCs w:val="24"/>
              </w:rPr>
              <w:t>par remontu centra būvniecību, lai izvēlētos ekonomiski visizdevīgāko variantu.</w:t>
            </w:r>
            <w:r w:rsidRPr="001C2D3B" w:rsidR="001C2D3B">
              <w:rPr>
                <w:rFonts w:ascii="Times New Roman" w:hAnsi="Times New Roman" w:cs="Times New Roman"/>
                <w:sz w:val="24"/>
                <w:szCs w:val="24"/>
              </w:rPr>
              <w:t xml:space="preserve"> </w:t>
            </w:r>
          </w:p>
          <w:p w:rsidRPr="001C2D3B" w:rsidR="001C2D3B" w:rsidP="001722C3" w:rsidRDefault="0010289A" w14:paraId="179658ED" w14:textId="5FC75240">
            <w:pPr>
              <w:pStyle w:val="NoSpacing"/>
              <w:ind w:right="130" w:firstLine="720"/>
              <w:jc w:val="both"/>
              <w:rPr>
                <w:rFonts w:ascii="Times New Roman" w:hAnsi="Times New Roman" w:cs="Times New Roman"/>
                <w:sz w:val="24"/>
                <w:szCs w:val="24"/>
              </w:rPr>
            </w:pPr>
            <w:r>
              <w:rPr>
                <w:rFonts w:ascii="Times New Roman" w:hAnsi="Times New Roman" w:cs="Times New Roman"/>
                <w:sz w:val="24"/>
                <w:szCs w:val="24"/>
              </w:rPr>
              <w:t>R</w:t>
            </w:r>
            <w:r w:rsidRPr="001C2D3B" w:rsidR="001C2D3B">
              <w:rPr>
                <w:rFonts w:ascii="Times New Roman" w:hAnsi="Times New Roman" w:cs="Times New Roman"/>
                <w:sz w:val="24"/>
                <w:szCs w:val="24"/>
              </w:rPr>
              <w:t>itošā sastāva remonta bāze “Zasulauks” sastāv no diviem zemesgabaliem Kandavas iela 42a, Rīga un Zārdu iela 7, Rīga un uz š</w:t>
            </w:r>
            <w:r>
              <w:rPr>
                <w:rFonts w:ascii="Times New Roman" w:hAnsi="Times New Roman" w:cs="Times New Roman"/>
                <w:sz w:val="24"/>
                <w:szCs w:val="24"/>
              </w:rPr>
              <w:t>iem</w:t>
            </w:r>
            <w:r w:rsidRPr="001C2D3B" w:rsidR="001C2D3B">
              <w:rPr>
                <w:rFonts w:ascii="Times New Roman" w:hAnsi="Times New Roman" w:cs="Times New Roman"/>
                <w:sz w:val="24"/>
                <w:szCs w:val="24"/>
              </w:rPr>
              <w:t xml:space="preserve"> zemesgabal</w:t>
            </w:r>
            <w:r>
              <w:rPr>
                <w:rFonts w:ascii="Times New Roman" w:hAnsi="Times New Roman" w:cs="Times New Roman"/>
                <w:sz w:val="24"/>
                <w:szCs w:val="24"/>
              </w:rPr>
              <w:t>iem</w:t>
            </w:r>
            <w:r w:rsidRPr="001C2D3B" w:rsidR="001C2D3B">
              <w:rPr>
                <w:rFonts w:ascii="Times New Roman" w:hAnsi="Times New Roman" w:cs="Times New Roman"/>
                <w:sz w:val="24"/>
                <w:szCs w:val="24"/>
              </w:rPr>
              <w:t xml:space="preserve"> esoš</w:t>
            </w:r>
            <w:r>
              <w:rPr>
                <w:rFonts w:ascii="Times New Roman" w:hAnsi="Times New Roman" w:cs="Times New Roman"/>
                <w:sz w:val="24"/>
                <w:szCs w:val="24"/>
              </w:rPr>
              <w:t>aj</w:t>
            </w:r>
            <w:r w:rsidRPr="001C2D3B" w:rsidR="001C2D3B">
              <w:rPr>
                <w:rFonts w:ascii="Times New Roman" w:hAnsi="Times New Roman" w:cs="Times New Roman"/>
                <w:sz w:val="24"/>
                <w:szCs w:val="24"/>
              </w:rPr>
              <w:t>ām ēkām un būvēm, kā arī sliežu pievedceļiem. Remontu bāzes zemesgabali neatrodas AS “Pasažieru vilciens” īpašumā, un tie uz līguma pamata tiek nomāti no VAS “Latvijas dzelzceļš”, savukārt ēkas, būves un sliežu pievedceļi ir AS “Pasažieru vilciens” īpašums. Saskaņā ar piesaistītā būvniecības eksperta SIA “CMB” 2020. gadā veikto ēkas detalizētu tehnisko apsekošanu, šīs ēkas, būves, kā arī inženierkomunikācijas ir morāli un tehniski novecojušas (ēkas uzsāka celt pirms 70. gadiem), un tajās ir jāveic būtiski ieguldījumi.</w:t>
            </w:r>
          </w:p>
          <w:p w:rsidRPr="001C2D3B" w:rsidR="001C2D3B" w:rsidP="001722C3" w:rsidRDefault="001C2D3B" w14:paraId="7DDE357D" w14:textId="0BB85C2F">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 xml:space="preserve">Saskaņā ar konsultanta SIA “Ernst &amp; Young Baltic” 2020. gada jūnija sākumā pabeigtās priekšizpētes rezultātiem, ritošā sastāva remonta bāzes </w:t>
            </w:r>
            <w:r w:rsidR="0010289A">
              <w:rPr>
                <w:rFonts w:ascii="Times New Roman" w:hAnsi="Times New Roman" w:cs="Times New Roman"/>
                <w:sz w:val="24"/>
                <w:szCs w:val="24"/>
              </w:rPr>
              <w:t xml:space="preserve">“Zasulauks” </w:t>
            </w:r>
            <w:r w:rsidRPr="001C2D3B">
              <w:rPr>
                <w:rFonts w:ascii="Times New Roman" w:hAnsi="Times New Roman" w:cs="Times New Roman"/>
                <w:sz w:val="24"/>
                <w:szCs w:val="24"/>
              </w:rPr>
              <w:t>pārbūve vai rekonstrukcija tika atzīta</w:t>
            </w:r>
            <w:r w:rsidR="0010289A">
              <w:rPr>
                <w:rFonts w:ascii="Times New Roman" w:hAnsi="Times New Roman" w:cs="Times New Roman"/>
                <w:sz w:val="24"/>
                <w:szCs w:val="24"/>
              </w:rPr>
              <w:t xml:space="preserve"> par</w:t>
            </w:r>
            <w:r w:rsidRPr="001C2D3B">
              <w:rPr>
                <w:rFonts w:ascii="Times New Roman" w:hAnsi="Times New Roman" w:cs="Times New Roman"/>
                <w:sz w:val="24"/>
                <w:szCs w:val="24"/>
              </w:rPr>
              <w:t xml:space="preserve"> ekonomiski neizdevīgāk</w:t>
            </w:r>
            <w:r w:rsidR="0010289A">
              <w:rPr>
                <w:rFonts w:ascii="Times New Roman" w:hAnsi="Times New Roman" w:cs="Times New Roman"/>
                <w:sz w:val="24"/>
                <w:szCs w:val="24"/>
              </w:rPr>
              <w:t>u</w:t>
            </w:r>
            <w:r w:rsidRPr="001C2D3B">
              <w:rPr>
                <w:rFonts w:ascii="Times New Roman" w:hAnsi="Times New Roman" w:cs="Times New Roman"/>
                <w:sz w:val="24"/>
                <w:szCs w:val="24"/>
              </w:rPr>
              <w:t xml:space="preserve">, jo </w:t>
            </w:r>
          </w:p>
          <w:p w:rsidRPr="001C2D3B" w:rsidR="001C2D3B" w:rsidP="001722C3" w:rsidRDefault="001C2D3B" w14:paraId="50B701DB" w14:textId="77777777">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w:t>
            </w:r>
            <w:r w:rsidRPr="001C2D3B">
              <w:rPr>
                <w:rFonts w:ascii="Times New Roman" w:hAnsi="Times New Roman" w:cs="Times New Roman"/>
                <w:sz w:val="24"/>
                <w:szCs w:val="24"/>
              </w:rPr>
              <w:tab/>
              <w:t>remonta centru nedrīkst ekspluatēt būvniecības laikā, tādēļ ir jāmeklē risinājumi, kā veikt vilcienu plānveida apkopes un remontus citās teritorijās būvniecības laikā,</w:t>
            </w:r>
          </w:p>
          <w:p w:rsidRPr="001C2D3B" w:rsidR="001C2D3B" w:rsidP="001722C3" w:rsidRDefault="001C2D3B" w14:paraId="17CF1BBB" w14:textId="77777777">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w:t>
            </w:r>
            <w:r w:rsidRPr="001C2D3B">
              <w:rPr>
                <w:rFonts w:ascii="Times New Roman" w:hAnsi="Times New Roman" w:cs="Times New Roman"/>
                <w:sz w:val="24"/>
                <w:szCs w:val="24"/>
              </w:rPr>
              <w:tab/>
              <w:t>remontdarbu ārpakalpojums pārejas periodā var nebūt brīvi pieejams par konkurētspējīgu cenu,</w:t>
            </w:r>
          </w:p>
          <w:p w:rsidRPr="001C2D3B" w:rsidR="001C2D3B" w:rsidP="001722C3" w:rsidRDefault="001C2D3B" w14:paraId="7F67A15B" w14:textId="50FACE3E">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w:t>
            </w:r>
            <w:r w:rsidRPr="001C2D3B">
              <w:rPr>
                <w:rFonts w:ascii="Times New Roman" w:hAnsi="Times New Roman" w:cs="Times New Roman"/>
                <w:sz w:val="24"/>
                <w:szCs w:val="24"/>
              </w:rPr>
              <w:tab/>
              <w:t xml:space="preserve">ja izmaksu taupīšanas nolūkos remontdarbu ārpakalpojuma izmantošanas laikā tiek optimizēts darbinieku skaits, ilgtermiņā var būt sarežģījumi ar kvalificēta </w:t>
            </w:r>
            <w:r w:rsidRPr="001C2D3B" w:rsidR="0010289A">
              <w:rPr>
                <w:rFonts w:ascii="Times New Roman" w:hAnsi="Times New Roman" w:cs="Times New Roman"/>
                <w:sz w:val="24"/>
                <w:szCs w:val="24"/>
              </w:rPr>
              <w:t>darbaspēka</w:t>
            </w:r>
            <w:r w:rsidRPr="001C2D3B">
              <w:rPr>
                <w:rFonts w:ascii="Times New Roman" w:hAnsi="Times New Roman" w:cs="Times New Roman"/>
                <w:sz w:val="24"/>
                <w:szCs w:val="24"/>
              </w:rPr>
              <w:t xml:space="preserve"> pieejamību,</w:t>
            </w:r>
          </w:p>
          <w:p w:rsidRPr="001C2D3B" w:rsidR="001C2D3B" w:rsidP="001722C3" w:rsidRDefault="001C2D3B" w14:paraId="45A62AC0" w14:textId="77777777">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lastRenderedPageBreak/>
              <w:t>•</w:t>
            </w:r>
            <w:r w:rsidRPr="001C2D3B">
              <w:rPr>
                <w:rFonts w:ascii="Times New Roman" w:hAnsi="Times New Roman" w:cs="Times New Roman"/>
                <w:sz w:val="24"/>
                <w:szCs w:val="24"/>
              </w:rPr>
              <w:tab/>
              <w:t>potenciālais depo atrodas relatīvi tālu no Centrālās stacijas, prasot lielāku resursu patēriņu katram pārbraucienam un radot negatīvu ietekmi uz siltumnīcefekta gāzu veidošanos ilgtermiņā</w:t>
            </w:r>
          </w:p>
          <w:p w:rsidRPr="001C2D3B" w:rsidR="001C2D3B" w:rsidP="001722C3" w:rsidRDefault="001C2D3B" w14:paraId="12C2E9FC" w14:textId="2CBED09D">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w:t>
            </w:r>
            <w:r w:rsidRPr="001C2D3B">
              <w:rPr>
                <w:rFonts w:ascii="Times New Roman" w:hAnsi="Times New Roman" w:cs="Times New Roman"/>
                <w:sz w:val="24"/>
                <w:szCs w:val="24"/>
              </w:rPr>
              <w:tab/>
              <w:t xml:space="preserve"> vilcieniem jāšķērso dzelzceļa tilts pāri Daugavai, tādējādi radot potenciālus sarežģījumus satiksmes organizēšanai ar maršruta pasažieru vilcieniem un kravu vilcieniem pēc Rail</w:t>
            </w:r>
            <w:r w:rsidR="0010289A">
              <w:rPr>
                <w:rFonts w:ascii="Times New Roman" w:hAnsi="Times New Roman" w:cs="Times New Roman"/>
                <w:sz w:val="24"/>
                <w:szCs w:val="24"/>
              </w:rPr>
              <w:t xml:space="preserve"> </w:t>
            </w:r>
            <w:r w:rsidRPr="001C2D3B">
              <w:rPr>
                <w:rFonts w:ascii="Times New Roman" w:hAnsi="Times New Roman" w:cs="Times New Roman"/>
                <w:sz w:val="24"/>
                <w:szCs w:val="24"/>
              </w:rPr>
              <w:t>Balti</w:t>
            </w:r>
            <w:r w:rsidR="0010289A">
              <w:rPr>
                <w:rFonts w:ascii="Times New Roman" w:hAnsi="Times New Roman" w:cs="Times New Roman"/>
                <w:sz w:val="24"/>
                <w:szCs w:val="24"/>
              </w:rPr>
              <w:t>c</w:t>
            </w:r>
            <w:r w:rsidRPr="001C2D3B">
              <w:rPr>
                <w:rFonts w:ascii="Times New Roman" w:hAnsi="Times New Roman" w:cs="Times New Roman"/>
                <w:sz w:val="24"/>
                <w:szCs w:val="24"/>
              </w:rPr>
              <w:t>a projekta realizācijas.</w:t>
            </w:r>
          </w:p>
          <w:p w:rsidRPr="001C2D3B" w:rsidR="001C2D3B" w:rsidP="001722C3" w:rsidRDefault="001C2D3B" w14:paraId="5A97210B" w14:textId="193E18B8">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w:t>
            </w:r>
            <w:r w:rsidRPr="001C2D3B">
              <w:rPr>
                <w:rFonts w:ascii="Times New Roman" w:hAnsi="Times New Roman" w:cs="Times New Roman"/>
                <w:sz w:val="24"/>
                <w:szCs w:val="24"/>
              </w:rPr>
              <w:tab/>
              <w:t xml:space="preserve">saskaņā ar </w:t>
            </w:r>
            <w:r w:rsidR="000A5154">
              <w:rPr>
                <w:rFonts w:ascii="Times New Roman" w:hAnsi="Times New Roman" w:cs="Times New Roman"/>
                <w:sz w:val="24"/>
                <w:szCs w:val="24"/>
              </w:rPr>
              <w:t>Rīgas domes</w:t>
            </w:r>
            <w:r w:rsidRPr="001C2D3B">
              <w:rPr>
                <w:rFonts w:ascii="Times New Roman" w:hAnsi="Times New Roman" w:cs="Times New Roman"/>
                <w:sz w:val="24"/>
                <w:szCs w:val="24"/>
              </w:rPr>
              <w:t xml:space="preserve"> saistošajiem noteikumiem Nr. 34 (2020.g.), pirms būvniecības uzsākšanas ir jāveic teritorijas sanācijas pilna procedūra, kas atliek būvniecības uzsākšanu vēl par 3-4 gadiem, kā arī teritorijas sanācijas izmaksas nav paredzamas un var sadārdzināties procesa laikā</w:t>
            </w:r>
            <w:r w:rsidR="0010289A">
              <w:rPr>
                <w:rFonts w:ascii="Times New Roman" w:hAnsi="Times New Roman" w:cs="Times New Roman"/>
                <w:sz w:val="24"/>
                <w:szCs w:val="24"/>
              </w:rPr>
              <w:t xml:space="preserve"> -</w:t>
            </w:r>
            <w:r w:rsidRPr="001C2D3B">
              <w:rPr>
                <w:rFonts w:ascii="Times New Roman" w:hAnsi="Times New Roman" w:cs="Times New Roman"/>
                <w:sz w:val="24"/>
                <w:szCs w:val="24"/>
              </w:rPr>
              <w:t xml:space="preserve"> </w:t>
            </w:r>
            <w:r w:rsidR="0010289A">
              <w:rPr>
                <w:rFonts w:ascii="Times New Roman" w:hAnsi="Times New Roman" w:cs="Times New Roman"/>
                <w:sz w:val="24"/>
                <w:szCs w:val="24"/>
              </w:rPr>
              <w:t>l</w:t>
            </w:r>
            <w:r w:rsidRPr="001C2D3B">
              <w:rPr>
                <w:rFonts w:ascii="Times New Roman" w:hAnsi="Times New Roman" w:cs="Times New Roman"/>
                <w:sz w:val="24"/>
                <w:szCs w:val="24"/>
              </w:rPr>
              <w:t>īdz ar to depo nebūs gatavs nepieciešamajā laikā, un nebūs iespējams veikt vilcienu plānveida apkopes un remontus.</w:t>
            </w:r>
          </w:p>
          <w:p w:rsidRPr="001C2D3B" w:rsidR="001C2D3B" w:rsidP="001722C3" w:rsidRDefault="001C2D3B" w14:paraId="72DB7B2F" w14:textId="77777777">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w:t>
            </w:r>
            <w:r w:rsidRPr="001C2D3B">
              <w:rPr>
                <w:rFonts w:ascii="Times New Roman" w:hAnsi="Times New Roman" w:cs="Times New Roman"/>
                <w:sz w:val="24"/>
                <w:szCs w:val="24"/>
              </w:rPr>
              <w:tab/>
              <w:t>ja depo nākotnē nepieciešams paplašināties, tam ir būtiski fiziski ierobežojumi teritorijas izmēru dēļ.</w:t>
            </w:r>
          </w:p>
          <w:p w:rsidRPr="001C2D3B" w:rsidR="001C2D3B" w:rsidP="001722C3" w:rsidRDefault="001C2D3B" w14:paraId="6911B242" w14:textId="73C05068">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Papildus jāatzīmē, ka esošo remontu cehu garums nav atbilstošs, lai pilnvērtīgi veiktu jauno “Škoda” elektrovilcienu apkopes un remontu darbus, kas savukārt nepieciešams, lai</w:t>
            </w:r>
            <w:r w:rsidR="0010289A">
              <w:rPr>
                <w:rFonts w:ascii="Times New Roman" w:hAnsi="Times New Roman" w:cs="Times New Roman"/>
                <w:sz w:val="24"/>
                <w:szCs w:val="24"/>
              </w:rPr>
              <w:t>,</w:t>
            </w:r>
            <w:r w:rsidRPr="001C2D3B">
              <w:rPr>
                <w:rFonts w:ascii="Times New Roman" w:hAnsi="Times New Roman" w:cs="Times New Roman"/>
                <w:sz w:val="24"/>
                <w:szCs w:val="24"/>
              </w:rPr>
              <w:t xml:space="preserve"> pamatojoties uz Pārvadājuma pasūtījuma līgumu, pasažieriem piedāvātu nepārtrauktus un drošus pasažieru pārvadājumus pa dzelzceļu visā elektrovilcienu dzīves cikla laikā.</w:t>
            </w:r>
          </w:p>
          <w:p w:rsidRPr="001C2D3B" w:rsidR="001C2D3B" w:rsidP="001722C3" w:rsidRDefault="001C2D3B" w14:paraId="66F0754D" w14:textId="2F87FF5E">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Priekšizpētes rezultātā kā optimālākā alternatīva tika izvēlēta jauna servisa centra būvniecība Rīgas pasažieru stacijas Vagonu parka “C” park</w:t>
            </w:r>
            <w:r w:rsidR="000C212F">
              <w:rPr>
                <w:rFonts w:ascii="Times New Roman" w:hAnsi="Times New Roman" w:cs="Times New Roman"/>
                <w:sz w:val="24"/>
                <w:szCs w:val="24"/>
              </w:rPr>
              <w:t>a</w:t>
            </w:r>
            <w:r w:rsidRPr="001C2D3B">
              <w:rPr>
                <w:rFonts w:ascii="Times New Roman" w:hAnsi="Times New Roman" w:cs="Times New Roman"/>
                <w:sz w:val="24"/>
                <w:szCs w:val="24"/>
              </w:rPr>
              <w:t xml:space="preserve"> teritorijā Rēznas ielā 9, k-9, Rīgā. Konsultējoties ar atbildīgajiem speciālistiem un jauno elektrovilcienu piegādātāju AS “Škoda Vagonka”, atbilstoši līguma prasībām, tika noteikti nepieciešamās ēkas aptuvenie izmēri ilgtermiņā efektīvi funkcionējošam kopējam servisa centram, kurā būtu iespējams veikt apkopes esošajam ritošajam sastāvam, jaunajiem elektrovilcieniem, kā arī jaunajiem dīzeļvilcieniem. </w:t>
            </w:r>
          </w:p>
          <w:p w:rsidRPr="00D92607" w:rsidR="001C2D3B" w:rsidP="006E7FA0" w:rsidRDefault="001C2D3B" w14:paraId="31D0F752" w14:textId="12EEE786">
            <w:pPr>
              <w:pStyle w:val="NoSpacing"/>
              <w:ind w:right="130" w:firstLine="720"/>
              <w:jc w:val="both"/>
              <w:rPr>
                <w:rFonts w:ascii="Times New Roman" w:hAnsi="Times New Roman" w:cs="Times New Roman"/>
                <w:sz w:val="24"/>
                <w:szCs w:val="24"/>
              </w:rPr>
            </w:pPr>
            <w:bookmarkStart w:name="_Hlk51764549" w:id="1"/>
            <w:r w:rsidRPr="001C2D3B">
              <w:rPr>
                <w:rFonts w:ascii="Times New Roman" w:hAnsi="Times New Roman" w:cs="Times New Roman"/>
                <w:sz w:val="24"/>
                <w:szCs w:val="24"/>
              </w:rPr>
              <w:t>Ņemot vērā servisa centra izmērus, veikts provizorisks nepieciešamo investīciju apjoma novērtējums. Provizoriskās prognozes rāda, ka remontu centra būvniecības izmaksas</w:t>
            </w:r>
            <w:r w:rsidR="0055080F">
              <w:rPr>
                <w:rFonts w:ascii="Times New Roman" w:hAnsi="Times New Roman" w:cs="Times New Roman"/>
                <w:sz w:val="24"/>
                <w:szCs w:val="24"/>
              </w:rPr>
              <w:t>, k</w:t>
            </w:r>
            <w:r w:rsidR="00DE09A4">
              <w:rPr>
                <w:rFonts w:ascii="Times New Roman" w:hAnsi="Times New Roman" w:cs="Times New Roman"/>
                <w:sz w:val="24"/>
                <w:szCs w:val="24"/>
              </w:rPr>
              <w:t xml:space="preserve">as iepriekš tika paredzētas 14 miljonu </w:t>
            </w:r>
            <w:r w:rsidR="00DE09A4">
              <w:rPr>
                <w:rFonts w:ascii="Times New Roman" w:hAnsi="Times New Roman" w:cs="Times New Roman"/>
                <w:i/>
                <w:iCs/>
                <w:sz w:val="24"/>
                <w:szCs w:val="24"/>
              </w:rPr>
              <w:t>euro</w:t>
            </w:r>
            <w:r w:rsidR="00DE09A4">
              <w:rPr>
                <w:rFonts w:ascii="Times New Roman" w:hAnsi="Times New Roman" w:cs="Times New Roman"/>
                <w:sz w:val="24"/>
                <w:szCs w:val="24"/>
              </w:rPr>
              <w:t xml:space="preserve"> apmērā no valsts budžeta līdzekļiem,</w:t>
            </w:r>
            <w:r w:rsidRPr="001C2D3B">
              <w:rPr>
                <w:rFonts w:ascii="Times New Roman" w:hAnsi="Times New Roman" w:cs="Times New Roman"/>
                <w:sz w:val="24"/>
                <w:szCs w:val="24"/>
              </w:rPr>
              <w:t xml:space="preserve"> palielināsies par 11,4 miljoniem </w:t>
            </w:r>
            <w:r w:rsidR="004674B6">
              <w:rPr>
                <w:rFonts w:ascii="Times New Roman" w:hAnsi="Times New Roman" w:cs="Times New Roman"/>
                <w:i/>
                <w:iCs/>
                <w:sz w:val="24"/>
                <w:szCs w:val="24"/>
              </w:rPr>
              <w:t>euro</w:t>
            </w:r>
            <w:r w:rsidRPr="001C2D3B" w:rsidR="004674B6">
              <w:rPr>
                <w:rFonts w:ascii="Times New Roman" w:hAnsi="Times New Roman" w:cs="Times New Roman"/>
                <w:sz w:val="24"/>
                <w:szCs w:val="24"/>
              </w:rPr>
              <w:t xml:space="preserve"> </w:t>
            </w:r>
            <w:r w:rsidRPr="001C2D3B">
              <w:rPr>
                <w:rFonts w:ascii="Times New Roman" w:hAnsi="Times New Roman" w:cs="Times New Roman"/>
                <w:sz w:val="24"/>
                <w:szCs w:val="24"/>
              </w:rPr>
              <w:t xml:space="preserve">(kopā remonta centra izveides provizoriskās izmaksas ir 25,4 miljonus </w:t>
            </w:r>
            <w:r w:rsidR="004674B6">
              <w:rPr>
                <w:rFonts w:ascii="Times New Roman" w:hAnsi="Times New Roman" w:cs="Times New Roman"/>
                <w:i/>
                <w:iCs/>
                <w:sz w:val="24"/>
                <w:szCs w:val="24"/>
              </w:rPr>
              <w:t>euro</w:t>
            </w:r>
            <w:r w:rsidRPr="001C2D3B">
              <w:rPr>
                <w:rFonts w:ascii="Times New Roman" w:hAnsi="Times New Roman" w:cs="Times New Roman"/>
                <w:sz w:val="24"/>
                <w:szCs w:val="24"/>
              </w:rPr>
              <w:t>) kā arī tā nodošan</w:t>
            </w:r>
            <w:r w:rsidR="000C212F">
              <w:rPr>
                <w:rFonts w:ascii="Times New Roman" w:hAnsi="Times New Roman" w:cs="Times New Roman"/>
                <w:sz w:val="24"/>
                <w:szCs w:val="24"/>
              </w:rPr>
              <w:t>a</w:t>
            </w:r>
            <w:r w:rsidRPr="001C2D3B">
              <w:rPr>
                <w:rFonts w:ascii="Times New Roman" w:hAnsi="Times New Roman" w:cs="Times New Roman"/>
                <w:sz w:val="24"/>
                <w:szCs w:val="24"/>
              </w:rPr>
              <w:t xml:space="preserve"> ekspluatācijā, laicīgi veicot projektēšanu un būvniecības iepirkumus</w:t>
            </w:r>
            <w:r w:rsidR="000C212F">
              <w:rPr>
                <w:rFonts w:ascii="Times New Roman" w:hAnsi="Times New Roman" w:cs="Times New Roman"/>
                <w:sz w:val="24"/>
                <w:szCs w:val="24"/>
              </w:rPr>
              <w:t>,</w:t>
            </w:r>
            <w:r w:rsidRPr="001C2D3B">
              <w:rPr>
                <w:rFonts w:ascii="Times New Roman" w:hAnsi="Times New Roman" w:cs="Times New Roman"/>
                <w:sz w:val="24"/>
                <w:szCs w:val="24"/>
              </w:rPr>
              <w:t xml:space="preserve"> ir iespējama ne ātrāk, kā 2025. gada beigās. </w:t>
            </w:r>
            <w:r w:rsidRPr="00D92607">
              <w:rPr>
                <w:rFonts w:ascii="Times New Roman" w:hAnsi="Times New Roman" w:cs="Times New Roman"/>
                <w:sz w:val="24"/>
                <w:szCs w:val="24"/>
              </w:rPr>
              <w:t>Precīzākas būvniecības izmaksas būs iespējams noteikt tikai Projektēšanas stadijā, izstrādājot servisa centra ražošanas tehnoloģiju</w:t>
            </w:r>
            <w:r w:rsidRPr="00D92607" w:rsidR="00DE09A4">
              <w:rPr>
                <w:rFonts w:ascii="Times New Roman" w:hAnsi="Times New Roman" w:cs="Times New Roman"/>
                <w:sz w:val="24"/>
                <w:szCs w:val="24"/>
              </w:rPr>
              <w:t xml:space="preserve">, taču ņemot vērā projekta finansējuma nepieciešamību gan </w:t>
            </w:r>
            <w:r w:rsidRPr="00D92607" w:rsidR="00332A8E">
              <w:rPr>
                <w:rFonts w:ascii="Times New Roman" w:hAnsi="Times New Roman" w:cs="Times New Roman"/>
                <w:sz w:val="24"/>
                <w:szCs w:val="24"/>
              </w:rPr>
              <w:t>p</w:t>
            </w:r>
            <w:r w:rsidRPr="00D92607" w:rsidR="00DE09A4">
              <w:rPr>
                <w:rFonts w:ascii="Times New Roman" w:hAnsi="Times New Roman" w:cs="Times New Roman"/>
                <w:sz w:val="24"/>
                <w:szCs w:val="24"/>
              </w:rPr>
              <w:t xml:space="preserve">rojektēšanas, gan būvniecības stadijās, jautājumam par papildus finansējuma piešķiršanu ir jābūt atrisinātam ne vēlāk kā 2022.gada sākumā.  </w:t>
            </w:r>
          </w:p>
          <w:bookmarkEnd w:id="1"/>
          <w:p w:rsidRPr="001C2D3B" w:rsidR="001C2D3B" w:rsidP="001722C3" w:rsidRDefault="001C2D3B" w14:paraId="58E5EF2E" w14:textId="447AB405">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 xml:space="preserve">Remontu centra izveide ir paredzēta visa </w:t>
            </w:r>
            <w:r w:rsidR="000C212F">
              <w:rPr>
                <w:rFonts w:ascii="Times New Roman" w:hAnsi="Times New Roman" w:cs="Times New Roman"/>
                <w:sz w:val="24"/>
                <w:szCs w:val="24"/>
              </w:rPr>
              <w:t>PV</w:t>
            </w:r>
            <w:r w:rsidRPr="001C2D3B">
              <w:rPr>
                <w:rFonts w:ascii="Times New Roman" w:hAnsi="Times New Roman" w:cs="Times New Roman"/>
                <w:sz w:val="24"/>
                <w:szCs w:val="24"/>
              </w:rPr>
              <w:t xml:space="preserve"> rīcībā esošā ritošā sastāva tehnisko apkopju un remontu procesu veikšanai. Jauno vilcienu defektus vai to bojājumus, kas radušies vilciena garantijas periodā, atbilstoši Līguma prasībām novērsīs ritošā sastāva ražotājs, taču katra ritošā sastāva ražotājs nosaka arī intervālus un biežumu plānveida tehnisko apkopju un remontu veikšanai, kā arī tehnoloģiskos procesus, kas ir nepieciešami, lai nodrošinātu drošu ritošā sastāva kustību </w:t>
            </w:r>
            <w:r w:rsidRPr="001C2D3B">
              <w:rPr>
                <w:rFonts w:ascii="Times New Roman" w:hAnsi="Times New Roman" w:cs="Times New Roman"/>
                <w:sz w:val="24"/>
                <w:szCs w:val="24"/>
              </w:rPr>
              <w:lastRenderedPageBreak/>
              <w:t>atbilstoši dzelzceļa jomu reglamentējošo dokumentu prasībām</w:t>
            </w:r>
            <w:r w:rsidR="000C212F">
              <w:rPr>
                <w:rFonts w:ascii="Times New Roman" w:hAnsi="Times New Roman" w:cs="Times New Roman"/>
                <w:sz w:val="24"/>
                <w:szCs w:val="24"/>
              </w:rPr>
              <w:t xml:space="preserve"> un </w:t>
            </w:r>
            <w:r w:rsidRPr="0012536D" w:rsidR="000C212F">
              <w:rPr>
                <w:rFonts w:ascii="Times New Roman" w:hAnsi="Times New Roman" w:cs="Times New Roman"/>
                <w:sz w:val="24"/>
                <w:szCs w:val="24"/>
              </w:rPr>
              <w:t>jānodrošina ritošā sastāva īpašniekam</w:t>
            </w:r>
            <w:r w:rsidR="000C212F">
              <w:rPr>
                <w:rFonts w:ascii="Times New Roman" w:hAnsi="Times New Roman" w:cs="Times New Roman"/>
                <w:sz w:val="24"/>
                <w:szCs w:val="24"/>
              </w:rPr>
              <w:t xml:space="preserve"> - Ministru kabineta 2010. gada 3. augusta noteikumi</w:t>
            </w:r>
            <w:r w:rsidRPr="001C2D3B">
              <w:rPr>
                <w:rFonts w:ascii="Times New Roman" w:hAnsi="Times New Roman" w:cs="Times New Roman"/>
                <w:sz w:val="24"/>
                <w:szCs w:val="24"/>
              </w:rPr>
              <w:t xml:space="preserve"> Nr.724 “Dzelzceļa tehniskās ekspluatācijas noteikumi” 413.</w:t>
            </w:r>
            <w:r w:rsidR="000C212F">
              <w:rPr>
                <w:rFonts w:ascii="Times New Roman" w:hAnsi="Times New Roman" w:cs="Times New Roman"/>
                <w:sz w:val="24"/>
                <w:szCs w:val="24"/>
              </w:rPr>
              <w:t xml:space="preserve"> </w:t>
            </w:r>
            <w:r w:rsidRPr="001C2D3B">
              <w:rPr>
                <w:rFonts w:ascii="Times New Roman" w:hAnsi="Times New Roman" w:cs="Times New Roman"/>
                <w:sz w:val="24"/>
                <w:szCs w:val="24"/>
              </w:rPr>
              <w:t>punkt</w:t>
            </w:r>
            <w:r w:rsidR="000C212F">
              <w:rPr>
                <w:rFonts w:ascii="Times New Roman" w:hAnsi="Times New Roman" w:cs="Times New Roman"/>
                <w:sz w:val="24"/>
                <w:szCs w:val="24"/>
              </w:rPr>
              <w:t>s</w:t>
            </w:r>
            <w:r w:rsidRPr="001C2D3B">
              <w:rPr>
                <w:rFonts w:ascii="Times New Roman" w:hAnsi="Times New Roman" w:cs="Times New Roman"/>
                <w:sz w:val="24"/>
                <w:szCs w:val="24"/>
              </w:rPr>
              <w:t>.</w:t>
            </w:r>
          </w:p>
          <w:p w:rsidRPr="001C2D3B" w:rsidR="001C2D3B" w:rsidP="001722C3" w:rsidRDefault="001C2D3B" w14:paraId="081595C0" w14:textId="19A61C1F">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 xml:space="preserve">Paralēli priekšizpētei, sākot ar 2020. gada 13. janvāri līdz šim brīdim, pēc AS “RB Rail” pasūtījuma konsultantu kompānija “RAMBOLL” </w:t>
            </w:r>
            <w:r w:rsidR="000C212F">
              <w:rPr>
                <w:rFonts w:ascii="Times New Roman" w:hAnsi="Times New Roman" w:cs="Times New Roman"/>
                <w:sz w:val="24"/>
                <w:szCs w:val="24"/>
              </w:rPr>
              <w:t>veic</w:t>
            </w:r>
            <w:r w:rsidRPr="001C2D3B">
              <w:rPr>
                <w:rFonts w:ascii="Times New Roman" w:hAnsi="Times New Roman" w:cs="Times New Roman"/>
                <w:sz w:val="24"/>
                <w:szCs w:val="24"/>
              </w:rPr>
              <w:t xml:space="preserve"> Rīgas mezgla optimizācijas izpēt</w:t>
            </w:r>
            <w:r w:rsidR="000C212F">
              <w:rPr>
                <w:rFonts w:ascii="Times New Roman" w:hAnsi="Times New Roman" w:cs="Times New Roman"/>
                <w:sz w:val="24"/>
                <w:szCs w:val="24"/>
              </w:rPr>
              <w:t>i</w:t>
            </w:r>
            <w:r w:rsidRPr="001C2D3B">
              <w:rPr>
                <w:rFonts w:ascii="Times New Roman" w:hAnsi="Times New Roman" w:cs="Times New Roman"/>
                <w:sz w:val="24"/>
                <w:szCs w:val="24"/>
              </w:rPr>
              <w:t xml:space="preserve"> Rail Baltica projekta ietvaros</w:t>
            </w:r>
            <w:r w:rsidR="000C212F">
              <w:rPr>
                <w:rFonts w:ascii="Times New Roman" w:hAnsi="Times New Roman" w:cs="Times New Roman"/>
                <w:sz w:val="24"/>
                <w:szCs w:val="24"/>
              </w:rPr>
              <w:t xml:space="preserve">, kas ietver </w:t>
            </w:r>
            <w:r w:rsidRPr="001C2D3B">
              <w:rPr>
                <w:rFonts w:ascii="Times New Roman" w:hAnsi="Times New Roman" w:cs="Times New Roman"/>
                <w:sz w:val="24"/>
                <w:szCs w:val="24"/>
              </w:rPr>
              <w:t>arī duālā servisa centra (servisa centrs, kur sinerģiski var apkalpot Latvijas standarta sliežu platuma 1520 milimetru un Eiropas standarta sliežu platuma 1435 milimetru vilcienus) lietderības izpēt</w:t>
            </w:r>
            <w:r w:rsidR="000C212F">
              <w:rPr>
                <w:rFonts w:ascii="Times New Roman" w:hAnsi="Times New Roman" w:cs="Times New Roman"/>
                <w:sz w:val="24"/>
                <w:szCs w:val="24"/>
              </w:rPr>
              <w:t>i</w:t>
            </w:r>
            <w:r w:rsidRPr="001C2D3B">
              <w:rPr>
                <w:rFonts w:ascii="Times New Roman" w:hAnsi="Times New Roman" w:cs="Times New Roman"/>
                <w:sz w:val="24"/>
                <w:szCs w:val="24"/>
              </w:rPr>
              <w:t>.</w:t>
            </w:r>
          </w:p>
          <w:p w:rsidRPr="001C2D3B" w:rsidR="001C2D3B" w:rsidP="001722C3" w:rsidRDefault="001C2D3B" w14:paraId="3F1E98A7" w14:textId="7ED381DF">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Ja pētījuma rezultātā ti</w:t>
            </w:r>
            <w:r w:rsidR="000C212F">
              <w:rPr>
                <w:rFonts w:ascii="Times New Roman" w:hAnsi="Times New Roman" w:cs="Times New Roman"/>
                <w:sz w:val="24"/>
                <w:szCs w:val="24"/>
              </w:rPr>
              <w:t>ks</w:t>
            </w:r>
            <w:r w:rsidRPr="001C2D3B">
              <w:rPr>
                <w:rFonts w:ascii="Times New Roman" w:hAnsi="Times New Roman" w:cs="Times New Roman"/>
                <w:sz w:val="24"/>
                <w:szCs w:val="24"/>
              </w:rPr>
              <w:t xml:space="preserve"> secināts, ka tehnoloģiski un ekonomiski pamatoti ir būvēt duālo servisa centru, šobrīd plānotais investīciju apmērs varētu mainīties.</w:t>
            </w:r>
          </w:p>
          <w:p w:rsidRPr="001C2D3B" w:rsidR="001C2D3B" w:rsidP="001722C3" w:rsidRDefault="001C2D3B" w14:paraId="2437C6B6" w14:textId="7C8C167A">
            <w:pPr>
              <w:pStyle w:val="NoSpacing"/>
              <w:ind w:right="130" w:firstLine="720"/>
              <w:jc w:val="both"/>
              <w:rPr>
                <w:rFonts w:ascii="Times New Roman" w:hAnsi="Times New Roman" w:cs="Times New Roman"/>
                <w:sz w:val="24"/>
                <w:szCs w:val="24"/>
              </w:rPr>
            </w:pPr>
            <w:r w:rsidRPr="001C2D3B">
              <w:rPr>
                <w:rFonts w:ascii="Times New Roman" w:hAnsi="Times New Roman" w:cs="Times New Roman"/>
                <w:sz w:val="24"/>
                <w:szCs w:val="24"/>
              </w:rPr>
              <w:t>2019. gada 29. augustā tika noslēgts līgums ar Čehijas uzņēmumu AS “Škoda Vagonka” par 32 (trīsdesmit divu) jaunu elektrovilcienu iegādi, kurā tika arī paredzēta</w:t>
            </w:r>
            <w:r w:rsidR="006E7FA0">
              <w:rPr>
                <w:rFonts w:ascii="Times New Roman" w:hAnsi="Times New Roman" w:cs="Times New Roman"/>
                <w:sz w:val="24"/>
                <w:szCs w:val="24"/>
              </w:rPr>
              <w:t>s PV tiesības veikt</w:t>
            </w:r>
            <w:r w:rsidRPr="001C2D3B">
              <w:rPr>
                <w:rFonts w:ascii="Times New Roman" w:hAnsi="Times New Roman" w:cs="Times New Roman"/>
                <w:sz w:val="24"/>
                <w:szCs w:val="24"/>
              </w:rPr>
              <w:t xml:space="preserve"> ražošanas uzraudzīb</w:t>
            </w:r>
            <w:r w:rsidR="006E7FA0">
              <w:rPr>
                <w:rFonts w:ascii="Times New Roman" w:hAnsi="Times New Roman" w:cs="Times New Roman"/>
                <w:sz w:val="24"/>
                <w:szCs w:val="24"/>
              </w:rPr>
              <w:t>u</w:t>
            </w:r>
            <w:r w:rsidRPr="001C2D3B">
              <w:rPr>
                <w:rFonts w:ascii="Times New Roman" w:hAnsi="Times New Roman" w:cs="Times New Roman"/>
                <w:sz w:val="24"/>
                <w:szCs w:val="24"/>
              </w:rPr>
              <w:t>. Ņemot vērā Latvijas dzelzceļa infrastruktūras specifiku, vilcieni, kas būtu piemēroti Latvijas dzelzceļa infrastruktūrai, iegādes brīdī tirgū nav pieejami. Šo vilcienu ražošanas process ir ļoti sarežģīts, jo vilcieni ir jāprojektē specifiski Latvijas dzelzceļa infrastruktūras prasībām, kā arī jāveic kontrole, lai ražošanas procesā viss tiek saražots atbilstoši PV prasībām. Lai samazinātu nekvalitatīvu vilcienu saražošanas risku, ir nepieciešams veikt vilcienu ražošanas uzraudzību</w:t>
            </w:r>
            <w:r w:rsidR="00293AD3">
              <w:rPr>
                <w:rFonts w:ascii="Times New Roman" w:hAnsi="Times New Roman" w:cs="Times New Roman"/>
                <w:sz w:val="24"/>
                <w:szCs w:val="24"/>
              </w:rPr>
              <w:t xml:space="preserve"> (līdzīgi, kā tiek piesaistīts būvuzraugs celtniecības projektos)</w:t>
            </w:r>
            <w:r w:rsidR="000C212F">
              <w:rPr>
                <w:rFonts w:ascii="Times New Roman" w:hAnsi="Times New Roman" w:cs="Times New Roman"/>
                <w:sz w:val="24"/>
                <w:szCs w:val="24"/>
              </w:rPr>
              <w:t>, noslēdzot attiecīgu līgumu</w:t>
            </w:r>
            <w:r w:rsidRPr="001C2D3B">
              <w:rPr>
                <w:rFonts w:ascii="Times New Roman" w:hAnsi="Times New Roman" w:cs="Times New Roman"/>
                <w:sz w:val="24"/>
                <w:szCs w:val="24"/>
              </w:rPr>
              <w:t xml:space="preserve"> jau 2021. gadā.   </w:t>
            </w:r>
          </w:p>
          <w:p w:rsidRPr="00F73246" w:rsidR="000C212F" w:rsidP="000C212F" w:rsidRDefault="000C212F" w14:paraId="3D7736BD" w14:textId="1265037E">
            <w:pPr>
              <w:pStyle w:val="NoSpacing"/>
              <w:ind w:left="146" w:right="137" w:firstLine="425"/>
              <w:jc w:val="both"/>
              <w:rPr>
                <w:rFonts w:ascii="Times New Roman" w:hAnsi="Times New Roman" w:cs="Times New Roman"/>
                <w:sz w:val="24"/>
                <w:szCs w:val="24"/>
              </w:rPr>
            </w:pPr>
            <w:bookmarkStart w:name="_Hlk51765005" w:id="2"/>
            <w:r w:rsidRPr="00F73246">
              <w:rPr>
                <w:rFonts w:ascii="Times New Roman" w:hAnsi="Times New Roman" w:cs="Times New Roman"/>
                <w:sz w:val="24"/>
                <w:szCs w:val="24"/>
              </w:rPr>
              <w:t xml:space="preserve">PV ir uzsācis sarunas ar starptautiska tirgus dalībniekiem, kas sniedz pakalpojumus vilcienu ražošanas uzraudzības prasību noteikšanā. Notiek darbs pie iepirkuma dokumentācijas un vilcienu ražošanas uzraudzības tehniskās specifikācijas izstrādes, </w:t>
            </w:r>
            <w:r w:rsidRPr="00F73246" w:rsidR="001F6E3F">
              <w:rPr>
                <w:rFonts w:ascii="Times New Roman" w:hAnsi="Times New Roman" w:cs="Times New Roman"/>
                <w:sz w:val="24"/>
                <w:szCs w:val="24"/>
              </w:rPr>
              <w:t>lai izsludinātu</w:t>
            </w:r>
            <w:r w:rsidRPr="00F73246">
              <w:rPr>
                <w:rFonts w:ascii="Times New Roman" w:hAnsi="Times New Roman" w:cs="Times New Roman"/>
                <w:sz w:val="24"/>
                <w:szCs w:val="24"/>
              </w:rPr>
              <w:t xml:space="preserve"> starptautisku iepirkumu vilcienu ražošanas uzraudzībai. Provizoriski šādas ražošanas uzraudzības izmaksas varētu būt aptuveni 2 miljoni </w:t>
            </w:r>
            <w:r w:rsidR="004674B6">
              <w:rPr>
                <w:rFonts w:ascii="Times New Roman" w:hAnsi="Times New Roman" w:cs="Times New Roman"/>
                <w:i/>
                <w:iCs/>
                <w:sz w:val="24"/>
                <w:szCs w:val="24"/>
              </w:rPr>
              <w:t>euro</w:t>
            </w:r>
            <w:r w:rsidRPr="00F73246">
              <w:rPr>
                <w:rFonts w:ascii="Times New Roman" w:hAnsi="Times New Roman" w:cs="Times New Roman"/>
                <w:sz w:val="24"/>
                <w:szCs w:val="24"/>
              </w:rPr>
              <w:t>. Precīza summa būs zināma pēc iepirkuma pabeigšanas.</w:t>
            </w:r>
            <w:bookmarkEnd w:id="2"/>
            <w:r w:rsidRPr="00F73246">
              <w:rPr>
                <w:rFonts w:ascii="Times New Roman" w:hAnsi="Times New Roman" w:cs="Times New Roman"/>
                <w:sz w:val="24"/>
                <w:szCs w:val="24"/>
              </w:rPr>
              <w:t xml:space="preserve"> MK lēmums par finansējuma piešķiršanu ir nepieciešams, lai izpildītu Ministru prezidenta 2018. gada 6. februāra rezolūciju Nr. 1.1.1/7 – ministrijām, to padotības iestādēm un kapitālsabiedrībām nav atļauts uzņemties finanšu saistības, kam nav piešķirts pietiekams finanšu segums.</w:t>
            </w:r>
          </w:p>
          <w:p w:rsidR="00DF5497" w:rsidP="009C607B" w:rsidRDefault="00DF5497" w14:paraId="6450E964" w14:textId="7972C7C8">
            <w:pPr>
              <w:pStyle w:val="NoSpacing"/>
              <w:ind w:firstLine="720"/>
              <w:jc w:val="both"/>
              <w:rPr>
                <w:rFonts w:ascii="Times New Roman" w:hAnsi="Times New Roman" w:cs="Times New Roman"/>
                <w:sz w:val="24"/>
                <w:szCs w:val="24"/>
              </w:rPr>
            </w:pPr>
          </w:p>
          <w:p w:rsidR="009C607B" w:rsidP="00A42E80" w:rsidRDefault="000C212F" w14:paraId="267769E8" w14:textId="2BFB39C9">
            <w:pPr>
              <w:pStyle w:val="NoSpacing"/>
              <w:ind w:right="130" w:firstLine="720"/>
              <w:jc w:val="center"/>
              <w:rPr>
                <w:rFonts w:ascii="Times New Roman" w:hAnsi="Times New Roman" w:cs="Times New Roman"/>
                <w:b/>
                <w:bCs/>
                <w:sz w:val="24"/>
                <w:szCs w:val="24"/>
              </w:rPr>
            </w:pPr>
            <w:bookmarkStart w:name="_Hlk51083910" w:id="3"/>
            <w:bookmarkStart w:name="_Hlk51081687" w:id="4"/>
            <w:r>
              <w:rPr>
                <w:rFonts w:ascii="Times New Roman" w:hAnsi="Times New Roman" w:cs="Times New Roman"/>
                <w:b/>
                <w:bCs/>
                <w:sz w:val="24"/>
                <w:szCs w:val="24"/>
              </w:rPr>
              <w:t>PV</w:t>
            </w:r>
            <w:r w:rsidR="009C607B">
              <w:rPr>
                <w:rFonts w:ascii="Times New Roman" w:hAnsi="Times New Roman" w:cs="Times New Roman"/>
                <w:b/>
                <w:bCs/>
                <w:sz w:val="24"/>
                <w:szCs w:val="24"/>
              </w:rPr>
              <w:t xml:space="preserve"> </w:t>
            </w:r>
            <w:r w:rsidRPr="00F73246" w:rsidR="009C607B">
              <w:rPr>
                <w:rFonts w:ascii="Times New Roman" w:hAnsi="Times New Roman" w:cs="Times New Roman"/>
                <w:b/>
                <w:bCs/>
                <w:sz w:val="24"/>
                <w:szCs w:val="24"/>
              </w:rPr>
              <w:t>ilgtermiņa saistības (naudas plūsma)</w:t>
            </w:r>
          </w:p>
          <w:p w:rsidRPr="00F73246" w:rsidR="0058470F" w:rsidP="00A42E80" w:rsidRDefault="0058470F" w14:paraId="5FE4A8FD" w14:textId="77777777">
            <w:pPr>
              <w:pStyle w:val="NoSpacing"/>
              <w:ind w:right="130" w:firstLine="720"/>
              <w:jc w:val="center"/>
              <w:rPr>
                <w:rFonts w:ascii="Times New Roman" w:hAnsi="Times New Roman" w:cs="Times New Roman"/>
                <w:sz w:val="24"/>
                <w:szCs w:val="24"/>
              </w:rPr>
            </w:pPr>
          </w:p>
          <w:p w:rsidR="009C607B" w:rsidP="001722C3" w:rsidRDefault="009C607B" w14:paraId="4E26ADFD" w14:textId="2F4EEA6F">
            <w:pPr>
              <w:pStyle w:val="NoSpacing"/>
              <w:ind w:right="130" w:firstLine="720"/>
              <w:jc w:val="both"/>
              <w:rPr>
                <w:rFonts w:ascii="Times New Roman" w:hAnsi="Times New Roman" w:cs="Times New Roman"/>
                <w:sz w:val="24"/>
                <w:szCs w:val="24"/>
              </w:rPr>
            </w:pPr>
            <w:r w:rsidRPr="00F73246">
              <w:rPr>
                <w:rFonts w:ascii="Times New Roman" w:hAnsi="Times New Roman" w:cs="Times New Roman"/>
                <w:sz w:val="24"/>
                <w:szCs w:val="24"/>
              </w:rPr>
              <w:t xml:space="preserve">Jauno elektrovilcienu projekta īstenošanai (Rīkojums Nr. 385) tika piešķirtas valsts budžeta ilgtermiņa saistības </w:t>
            </w:r>
            <w:r w:rsidRPr="002C3C65">
              <w:rPr>
                <w:rFonts w:ascii="Times New Roman" w:hAnsi="Times New Roman" w:cs="Times New Roman"/>
                <w:sz w:val="24"/>
                <w:szCs w:val="24"/>
              </w:rPr>
              <w:t>255 888 753</w:t>
            </w:r>
            <w:r w:rsidRPr="00F73246">
              <w:rPr>
                <w:rFonts w:ascii="Times New Roman" w:hAnsi="Times New Roman" w:cs="Times New Roman"/>
                <w:sz w:val="24"/>
                <w:szCs w:val="24"/>
              </w:rPr>
              <w:t> </w:t>
            </w:r>
            <w:r w:rsidR="004674B6">
              <w:rPr>
                <w:rFonts w:ascii="Times New Roman" w:hAnsi="Times New Roman" w:cs="Times New Roman"/>
                <w:i/>
                <w:iCs/>
                <w:sz w:val="24"/>
                <w:szCs w:val="24"/>
              </w:rPr>
              <w:t>euro</w:t>
            </w:r>
            <w:r w:rsidRPr="00F73246" w:rsidR="004674B6">
              <w:rPr>
                <w:rFonts w:ascii="Times New Roman" w:hAnsi="Times New Roman" w:cs="Times New Roman"/>
                <w:sz w:val="24"/>
                <w:szCs w:val="24"/>
              </w:rPr>
              <w:t xml:space="preserve"> </w:t>
            </w:r>
            <w:r w:rsidRPr="00F73246">
              <w:rPr>
                <w:rFonts w:ascii="Times New Roman" w:hAnsi="Times New Roman" w:cs="Times New Roman"/>
                <w:sz w:val="24"/>
                <w:szCs w:val="24"/>
              </w:rPr>
              <w:t>apmērā</w:t>
            </w:r>
            <w:r w:rsidRPr="00E05303">
              <w:rPr>
                <w:rFonts w:ascii="Times New Roman" w:hAnsi="Times New Roman" w:cs="Times New Roman"/>
                <w:sz w:val="24"/>
                <w:szCs w:val="24"/>
              </w:rPr>
              <w:t xml:space="preserve">. Ja tiek apstiprināts finansējums </w:t>
            </w:r>
            <w:r>
              <w:rPr>
                <w:rFonts w:ascii="Times New Roman" w:hAnsi="Times New Roman" w:cs="Times New Roman"/>
                <w:sz w:val="24"/>
                <w:szCs w:val="24"/>
              </w:rPr>
              <w:t xml:space="preserve">elektrovilcienu </w:t>
            </w:r>
            <w:r w:rsidR="002C3C65">
              <w:rPr>
                <w:rFonts w:ascii="Times New Roman" w:hAnsi="Times New Roman" w:cs="Times New Roman"/>
                <w:sz w:val="24"/>
                <w:szCs w:val="24"/>
              </w:rPr>
              <w:t xml:space="preserve">ražošanas </w:t>
            </w:r>
            <w:r>
              <w:rPr>
                <w:rFonts w:ascii="Times New Roman" w:hAnsi="Times New Roman" w:cs="Times New Roman"/>
                <w:sz w:val="24"/>
                <w:szCs w:val="24"/>
              </w:rPr>
              <w:t>uzraudzībai (palielinājums izdevumos, kas apstiprināti Rīkojumā Nr.385)</w:t>
            </w:r>
            <w:r w:rsidRPr="00E05303">
              <w:rPr>
                <w:rFonts w:ascii="Times New Roman" w:hAnsi="Times New Roman" w:cs="Times New Roman"/>
                <w:sz w:val="24"/>
                <w:szCs w:val="24"/>
              </w:rPr>
              <w:t xml:space="preserve">, kopējās septiņu gadu (no 2019. gada līdz 2025. gadam) valsts budžeta </w:t>
            </w:r>
            <w:r w:rsidRPr="00E05303">
              <w:rPr>
                <w:rFonts w:ascii="Times New Roman" w:hAnsi="Times New Roman" w:cs="Times New Roman"/>
                <w:b/>
                <w:bCs/>
                <w:sz w:val="24"/>
                <w:szCs w:val="24"/>
              </w:rPr>
              <w:t xml:space="preserve">ilgtermiņa saistības palielināsies </w:t>
            </w:r>
            <w:r w:rsidRPr="002C3C65">
              <w:rPr>
                <w:rFonts w:ascii="Times New Roman" w:hAnsi="Times New Roman" w:cs="Times New Roman"/>
                <w:b/>
                <w:bCs/>
                <w:sz w:val="24"/>
                <w:szCs w:val="24"/>
              </w:rPr>
              <w:t xml:space="preserve">par </w:t>
            </w:r>
            <w:r w:rsidR="00DE09A4">
              <w:rPr>
                <w:rFonts w:ascii="Times New Roman" w:hAnsi="Times New Roman" w:cs="Times New Roman"/>
                <w:b/>
                <w:bCs/>
                <w:sz w:val="24"/>
                <w:szCs w:val="24"/>
              </w:rPr>
              <w:t>2 000</w:t>
            </w:r>
            <w:r w:rsidRPr="002C3C65" w:rsidR="00DE09A4">
              <w:rPr>
                <w:rFonts w:ascii="Times New Roman" w:hAnsi="Times New Roman" w:cs="Times New Roman"/>
                <w:b/>
                <w:bCs/>
                <w:sz w:val="24"/>
                <w:szCs w:val="24"/>
              </w:rPr>
              <w:t xml:space="preserve"> </w:t>
            </w:r>
            <w:r w:rsidRPr="002C3C65">
              <w:rPr>
                <w:rFonts w:ascii="Times New Roman" w:hAnsi="Times New Roman" w:cs="Times New Roman"/>
                <w:b/>
                <w:bCs/>
                <w:sz w:val="24"/>
                <w:szCs w:val="24"/>
              </w:rPr>
              <w:t>000</w:t>
            </w:r>
            <w:r w:rsidRPr="00E05303">
              <w:rPr>
                <w:rFonts w:ascii="Times New Roman" w:hAnsi="Times New Roman" w:cs="Times New Roman"/>
                <w:b/>
                <w:bCs/>
                <w:sz w:val="24"/>
                <w:szCs w:val="24"/>
              </w:rPr>
              <w:t xml:space="preserve"> </w:t>
            </w:r>
            <w:r w:rsidR="004674B6">
              <w:rPr>
                <w:rFonts w:ascii="Times New Roman" w:hAnsi="Times New Roman" w:cs="Times New Roman"/>
                <w:b/>
                <w:bCs/>
                <w:i/>
                <w:iCs/>
                <w:sz w:val="24"/>
                <w:szCs w:val="24"/>
              </w:rPr>
              <w:t>euro</w:t>
            </w:r>
            <w:r w:rsidRPr="00E05303" w:rsidR="004674B6">
              <w:rPr>
                <w:rFonts w:ascii="Times New Roman" w:hAnsi="Times New Roman" w:cs="Times New Roman"/>
                <w:sz w:val="24"/>
                <w:szCs w:val="24"/>
              </w:rPr>
              <w:t xml:space="preserve"> </w:t>
            </w:r>
            <w:r w:rsidRPr="00E05303">
              <w:rPr>
                <w:rFonts w:ascii="Times New Roman" w:hAnsi="Times New Roman" w:cs="Times New Roman"/>
                <w:sz w:val="24"/>
                <w:szCs w:val="24"/>
              </w:rPr>
              <w:t>salīdzinājumā ar iepriekš noteiktajām valsts budžeta ilgtermiņa saistībām jeb pēc izmaiņām kopējā</w:t>
            </w:r>
            <w:r>
              <w:rPr>
                <w:rFonts w:ascii="Times New Roman" w:hAnsi="Times New Roman" w:cs="Times New Roman"/>
                <w:sz w:val="24"/>
                <w:szCs w:val="24"/>
              </w:rPr>
              <w:t>s</w:t>
            </w:r>
            <w:r w:rsidRPr="00E05303">
              <w:rPr>
                <w:rFonts w:ascii="Times New Roman" w:hAnsi="Times New Roman" w:cs="Times New Roman"/>
                <w:sz w:val="24"/>
                <w:szCs w:val="24"/>
              </w:rPr>
              <w:t xml:space="preserve"> septiņu gadu valsts budžeta ilgtermiņa saistības būs </w:t>
            </w:r>
            <w:r w:rsidR="00DE09A4">
              <w:rPr>
                <w:rFonts w:ascii="Times New Roman" w:hAnsi="Times New Roman" w:cs="Times New Roman"/>
                <w:sz w:val="24"/>
                <w:szCs w:val="24"/>
              </w:rPr>
              <w:t>257 </w:t>
            </w:r>
            <w:r w:rsidR="0058470F">
              <w:rPr>
                <w:rFonts w:ascii="Times New Roman" w:hAnsi="Times New Roman" w:cs="Times New Roman"/>
                <w:sz w:val="24"/>
                <w:szCs w:val="24"/>
              </w:rPr>
              <w:t xml:space="preserve">888 </w:t>
            </w:r>
            <w:r w:rsidR="00FC6593">
              <w:rPr>
                <w:rFonts w:ascii="Times New Roman" w:hAnsi="Times New Roman" w:cs="Times New Roman"/>
                <w:sz w:val="24"/>
                <w:szCs w:val="24"/>
              </w:rPr>
              <w:t>753</w:t>
            </w:r>
            <w:r w:rsidRPr="00E05303">
              <w:rPr>
                <w:rFonts w:ascii="Times New Roman" w:hAnsi="Times New Roman" w:cs="Times New Roman"/>
                <w:sz w:val="24"/>
                <w:szCs w:val="24"/>
              </w:rPr>
              <w:t xml:space="preserve"> </w:t>
            </w:r>
            <w:r w:rsidR="004674B6">
              <w:rPr>
                <w:rFonts w:ascii="Times New Roman" w:hAnsi="Times New Roman" w:cs="Times New Roman"/>
                <w:i/>
                <w:iCs/>
                <w:sz w:val="24"/>
                <w:szCs w:val="24"/>
              </w:rPr>
              <w:t>euro</w:t>
            </w:r>
            <w:r w:rsidRPr="00E05303" w:rsidR="004674B6">
              <w:rPr>
                <w:rFonts w:ascii="Times New Roman" w:hAnsi="Times New Roman" w:cs="Times New Roman"/>
                <w:sz w:val="24"/>
                <w:szCs w:val="24"/>
              </w:rPr>
              <w:t xml:space="preserve"> </w:t>
            </w:r>
            <w:r w:rsidRPr="00E05303">
              <w:rPr>
                <w:rFonts w:ascii="Times New Roman" w:hAnsi="Times New Roman" w:cs="Times New Roman"/>
                <w:sz w:val="24"/>
                <w:szCs w:val="24"/>
              </w:rPr>
              <w:t>apmērā.</w:t>
            </w:r>
          </w:p>
          <w:p w:rsidR="0058470F" w:rsidP="001722C3" w:rsidRDefault="0058470F" w14:paraId="22AEC480" w14:textId="0184704E">
            <w:pPr>
              <w:pStyle w:val="NoSpacing"/>
              <w:ind w:right="13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Ņemot vērā, ka remontu centra Projektēšanas stadiju ir plānots īstenot no 2022. līdz 2023. gadam, taču pēc iepriekš aprakstītajiem grozījumiem valsts budžeta finansējums šajos gados nav paredzēts, PV būs nepieciešams </w:t>
            </w:r>
            <w:r w:rsidR="006E7FA0">
              <w:rPr>
                <w:rFonts w:ascii="Times New Roman" w:hAnsi="Times New Roman" w:cs="Times New Roman"/>
                <w:sz w:val="24"/>
                <w:szCs w:val="24"/>
              </w:rPr>
              <w:t xml:space="preserve">uz laiku </w:t>
            </w:r>
            <w:r>
              <w:rPr>
                <w:rFonts w:ascii="Times New Roman" w:hAnsi="Times New Roman" w:cs="Times New Roman"/>
                <w:sz w:val="24"/>
                <w:szCs w:val="24"/>
              </w:rPr>
              <w:t xml:space="preserve">vietējo komercbanku finansējums 989 238 </w:t>
            </w:r>
            <w:r>
              <w:rPr>
                <w:rFonts w:ascii="Times New Roman" w:hAnsi="Times New Roman" w:cs="Times New Roman"/>
                <w:i/>
                <w:iCs/>
                <w:sz w:val="24"/>
                <w:szCs w:val="24"/>
              </w:rPr>
              <w:t>euro</w:t>
            </w:r>
            <w:r>
              <w:rPr>
                <w:rFonts w:ascii="Times New Roman" w:hAnsi="Times New Roman" w:cs="Times New Roman"/>
                <w:sz w:val="24"/>
                <w:szCs w:val="24"/>
              </w:rPr>
              <w:t xml:space="preserve"> apmērā 2022. gadā, kas paredzēts būvniecības ieceres izstrād</w:t>
            </w:r>
            <w:r w:rsidR="006E7FA0">
              <w:rPr>
                <w:rFonts w:ascii="Times New Roman" w:hAnsi="Times New Roman" w:cs="Times New Roman"/>
                <w:sz w:val="24"/>
                <w:szCs w:val="24"/>
              </w:rPr>
              <w:t>ei</w:t>
            </w:r>
            <w:r>
              <w:rPr>
                <w:rFonts w:ascii="Times New Roman" w:hAnsi="Times New Roman" w:cs="Times New Roman"/>
                <w:sz w:val="24"/>
                <w:szCs w:val="24"/>
              </w:rPr>
              <w:t xml:space="preserve">, un 4 989 200 </w:t>
            </w:r>
            <w:r>
              <w:rPr>
                <w:rFonts w:ascii="Times New Roman" w:hAnsi="Times New Roman" w:cs="Times New Roman"/>
                <w:i/>
                <w:iCs/>
                <w:sz w:val="24"/>
                <w:szCs w:val="24"/>
              </w:rPr>
              <w:t xml:space="preserve">euro </w:t>
            </w:r>
            <w:r>
              <w:rPr>
                <w:rFonts w:ascii="Times New Roman" w:hAnsi="Times New Roman" w:cs="Times New Roman"/>
                <w:sz w:val="24"/>
                <w:szCs w:val="24"/>
              </w:rPr>
              <w:t xml:space="preserve">apmērā 2023. gadā, kas paredzēts Projektēšanas stadijā. </w:t>
            </w:r>
          </w:p>
          <w:p w:rsidR="00FC6593" w:rsidP="009C607B" w:rsidRDefault="00FC6593" w14:paraId="25A89B6F" w14:textId="505FBE5A">
            <w:pPr>
              <w:pStyle w:val="NoSpacing"/>
              <w:ind w:firstLine="720"/>
              <w:jc w:val="both"/>
              <w:rPr>
                <w:rFonts w:ascii="Times New Roman" w:hAnsi="Times New Roman" w:cs="Times New Roman"/>
                <w:sz w:val="24"/>
                <w:szCs w:val="24"/>
              </w:rPr>
            </w:pPr>
          </w:p>
          <w:p w:rsidRPr="00F73246" w:rsidR="00FC6593" w:rsidP="00FC6593" w:rsidRDefault="00FC6593" w14:paraId="2D054C01" w14:textId="50D51ADB">
            <w:pPr>
              <w:pStyle w:val="NoSpacing"/>
              <w:ind w:right="137"/>
              <w:jc w:val="both"/>
              <w:rPr>
                <w:rFonts w:ascii="Times New Roman" w:hAnsi="Times New Roman" w:cs="Times New Roman"/>
                <w:sz w:val="24"/>
                <w:szCs w:val="24"/>
              </w:rPr>
            </w:pPr>
            <w:r w:rsidRPr="00F73246">
              <w:rPr>
                <w:rFonts w:ascii="Times New Roman" w:hAnsi="Times New Roman" w:cs="Times New Roman"/>
                <w:sz w:val="24"/>
                <w:szCs w:val="24"/>
              </w:rPr>
              <w:t>Izmaiņu detalizētāks atspoguļojums pa gadiem apkopots tabulās zemāk:</w:t>
            </w:r>
          </w:p>
          <w:tbl>
            <w:tblPr>
              <w:tblStyle w:val="PlainTable3"/>
              <w:tblW w:w="6832" w:type="dxa"/>
              <w:tblLook w:val="04A0" w:firstRow="1" w:lastRow="0" w:firstColumn="1" w:lastColumn="0" w:noHBand="0" w:noVBand="1"/>
            </w:tblPr>
            <w:tblGrid>
              <w:gridCol w:w="2243"/>
              <w:gridCol w:w="1188"/>
              <w:gridCol w:w="1044"/>
              <w:gridCol w:w="1083"/>
              <w:gridCol w:w="1274"/>
            </w:tblGrid>
            <w:tr w:rsidRPr="0092688A" w:rsidR="009C607B" w:rsidTr="002C3C65" w14:paraId="4A649AB7" w14:textId="77777777">
              <w:trPr>
                <w:cnfStyle w:val="100000000000" w:firstRow="1" w:lastRow="0" w:firstColumn="0" w:lastColumn="0" w:oddVBand="0" w:evenVBand="0" w:oddHBand="0" w:evenHBand="0" w:firstRowFirstColumn="0" w:firstRowLastColumn="0" w:lastRowFirstColumn="0" w:lastRowLastColumn="0"/>
                <w:trHeight w:val="218"/>
              </w:trPr>
              <w:tc>
                <w:tcPr>
                  <w:cnfStyle w:val="001000000100" w:firstRow="0" w:lastRow="0" w:firstColumn="1" w:lastColumn="0" w:oddVBand="0" w:evenVBand="0" w:oddHBand="0" w:evenHBand="0" w:firstRowFirstColumn="1" w:firstRowLastColumn="0" w:lastRowFirstColumn="0" w:lastRowLastColumn="0"/>
                  <w:tcW w:w="2243" w:type="dxa"/>
                </w:tcPr>
                <w:p w:rsidRPr="00A6093B" w:rsidR="009C607B" w:rsidP="009C607B" w:rsidRDefault="009C607B" w14:paraId="3CEDB267" w14:textId="77777777">
                  <w:pPr>
                    <w:pStyle w:val="NoSpacing"/>
                    <w:jc w:val="both"/>
                    <w:rPr>
                      <w:rFonts w:ascii="Times New Roman" w:hAnsi="Times New Roman" w:cs="Times New Roman"/>
                      <w:sz w:val="16"/>
                      <w:szCs w:val="16"/>
                    </w:rPr>
                  </w:pPr>
                </w:p>
              </w:tc>
              <w:tc>
                <w:tcPr>
                  <w:tcW w:w="1188" w:type="dxa"/>
                </w:tcPr>
                <w:p w:rsidRPr="00A6093B" w:rsidR="009C607B" w:rsidP="009C607B" w:rsidRDefault="009C607B" w14:paraId="05E1FE0D"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2019</w:t>
                  </w:r>
                </w:p>
              </w:tc>
              <w:tc>
                <w:tcPr>
                  <w:tcW w:w="1044" w:type="dxa"/>
                </w:tcPr>
                <w:p w:rsidRPr="00A6093B" w:rsidR="009C607B" w:rsidP="009C607B" w:rsidRDefault="009C607B" w14:paraId="49DBEA06"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2020</w:t>
                  </w:r>
                </w:p>
              </w:tc>
              <w:tc>
                <w:tcPr>
                  <w:tcW w:w="1083" w:type="dxa"/>
                </w:tcPr>
                <w:p w:rsidRPr="00A6093B" w:rsidR="009C607B" w:rsidP="009C607B" w:rsidRDefault="009C607B" w14:paraId="14ADD5F4"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2021</w:t>
                  </w:r>
                </w:p>
              </w:tc>
              <w:tc>
                <w:tcPr>
                  <w:tcW w:w="1274" w:type="dxa"/>
                </w:tcPr>
                <w:p w:rsidRPr="00A6093B" w:rsidR="009C607B" w:rsidP="009C607B" w:rsidRDefault="009C607B" w14:paraId="6BF5A916"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2022</w:t>
                  </w:r>
                </w:p>
              </w:tc>
            </w:tr>
            <w:tr w:rsidRPr="0092688A" w:rsidR="00FC6593" w:rsidTr="002C3C65" w14:paraId="32B00AB3"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243" w:type="dxa"/>
                </w:tcPr>
                <w:p w:rsidRPr="00A6093B" w:rsidR="00FC6593" w:rsidP="00FC6593" w:rsidRDefault="00FC6593" w14:paraId="109043B6" w14:textId="555E8304">
                  <w:pPr>
                    <w:pStyle w:val="NoSpacing"/>
                    <w:jc w:val="center"/>
                    <w:rPr>
                      <w:rFonts w:ascii="Times New Roman" w:hAnsi="Times New Roman" w:cs="Times New Roman"/>
                      <w:sz w:val="16"/>
                      <w:szCs w:val="16"/>
                    </w:rPr>
                  </w:pPr>
                  <w:r>
                    <w:rPr>
                      <w:rFonts w:ascii="Times New Roman" w:hAnsi="Times New Roman" w:cs="Times New Roman"/>
                      <w:sz w:val="16"/>
                      <w:szCs w:val="16"/>
                    </w:rPr>
                    <w:t>RĪKOJUMS nR. 385</w:t>
                  </w:r>
                </w:p>
              </w:tc>
              <w:tc>
                <w:tcPr>
                  <w:tcW w:w="1188" w:type="dxa"/>
                  <w:vAlign w:val="center"/>
                </w:tcPr>
                <w:p w:rsidRPr="00A6093B" w:rsidR="00FC6593" w:rsidP="00FC6593" w:rsidRDefault="00FC6593" w14:paraId="09825FCF" w14:textId="25D51A7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36 432 313</w:t>
                  </w:r>
                </w:p>
              </w:tc>
              <w:tc>
                <w:tcPr>
                  <w:tcW w:w="1044" w:type="dxa"/>
                  <w:vAlign w:val="center"/>
                </w:tcPr>
                <w:p w:rsidRPr="00A6093B" w:rsidR="00FC6593" w:rsidP="00FC6593" w:rsidRDefault="00FC6593" w14:paraId="69A22EA3" w14:textId="7B6594F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4 700 000</w:t>
                  </w:r>
                </w:p>
              </w:tc>
              <w:tc>
                <w:tcPr>
                  <w:tcW w:w="1083" w:type="dxa"/>
                  <w:vAlign w:val="center"/>
                </w:tcPr>
                <w:p w:rsidRPr="00A6093B" w:rsidR="00FC6593" w:rsidP="00FC6593" w:rsidRDefault="00FC6593" w14:paraId="0DE40407" w14:textId="4B95B2F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15 053 400</w:t>
                  </w:r>
                </w:p>
              </w:tc>
              <w:tc>
                <w:tcPr>
                  <w:tcW w:w="1274" w:type="dxa"/>
                  <w:vAlign w:val="center"/>
                </w:tcPr>
                <w:p w:rsidRPr="00A6093B" w:rsidR="00FC6593" w:rsidP="00FC6593" w:rsidRDefault="00FC6593" w14:paraId="7F7B27BA" w14:textId="48FE7A8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125 923 040</w:t>
                  </w:r>
                </w:p>
              </w:tc>
            </w:tr>
            <w:tr w:rsidRPr="0092688A" w:rsidR="00FC6593" w:rsidTr="002C3C65" w14:paraId="1E5ABB3E" w14:textId="77777777">
              <w:trPr>
                <w:trHeight w:val="234"/>
              </w:trPr>
              <w:tc>
                <w:tcPr>
                  <w:cnfStyle w:val="001000000000" w:firstRow="0" w:lastRow="0" w:firstColumn="1" w:lastColumn="0" w:oddVBand="0" w:evenVBand="0" w:oddHBand="0" w:evenHBand="0" w:firstRowFirstColumn="0" w:firstRowLastColumn="0" w:lastRowFirstColumn="0" w:lastRowLastColumn="0"/>
                  <w:tcW w:w="2243" w:type="dxa"/>
                </w:tcPr>
                <w:p w:rsidRPr="00A6093B" w:rsidR="00FC6593" w:rsidP="00FC6593" w:rsidRDefault="00FC6593" w14:paraId="26973FE2" w14:textId="65AE851F">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pĒC IZMAIŅĀM RĪKOJUMĀ NR.385 </w:t>
                  </w:r>
                </w:p>
              </w:tc>
              <w:tc>
                <w:tcPr>
                  <w:tcW w:w="1188" w:type="dxa"/>
                  <w:vAlign w:val="center"/>
                </w:tcPr>
                <w:p w:rsidRPr="00A6093B" w:rsidR="00FC6593" w:rsidP="00FC6593" w:rsidRDefault="00FC6593" w14:paraId="137A8630" w14:textId="7335E36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36 432 313</w:t>
                  </w:r>
                </w:p>
              </w:tc>
              <w:tc>
                <w:tcPr>
                  <w:tcW w:w="1044" w:type="dxa"/>
                  <w:vAlign w:val="center"/>
                </w:tcPr>
                <w:p w:rsidRPr="00A6093B" w:rsidR="00FC6593" w:rsidP="00FC6593" w:rsidRDefault="00EB0B48" w14:paraId="5E7AA50B" w14:textId="514E8CD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t>
                  </w:r>
                </w:p>
              </w:tc>
              <w:tc>
                <w:tcPr>
                  <w:tcW w:w="1083" w:type="dxa"/>
                  <w:vAlign w:val="center"/>
                </w:tcPr>
                <w:p w:rsidRPr="00A6093B" w:rsidR="00FC6593" w:rsidP="00FC6593" w:rsidRDefault="00FC6593" w14:paraId="221A8D63" w14:textId="7562E5C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7 902 400</w:t>
                  </w:r>
                </w:p>
              </w:tc>
              <w:tc>
                <w:tcPr>
                  <w:tcW w:w="1274" w:type="dxa"/>
                  <w:vAlign w:val="center"/>
                </w:tcPr>
                <w:p w:rsidRPr="00A6093B" w:rsidR="00FC6593" w:rsidP="00FC6593" w:rsidRDefault="00DE09A4" w14:paraId="6FAEC223" w14:textId="1A74181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125 923 040</w:t>
                  </w:r>
                </w:p>
              </w:tc>
            </w:tr>
            <w:tr w:rsidRPr="0092688A" w:rsidR="00FC6593" w:rsidTr="002C3C65" w14:paraId="2754D1CC" w14:textId="7777777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43" w:type="dxa"/>
                </w:tcPr>
                <w:p w:rsidRPr="0049542D" w:rsidR="00FC6593" w:rsidP="00FC6593" w:rsidRDefault="00FC6593" w14:paraId="19CDFD30" w14:textId="3125707F">
                  <w:pPr>
                    <w:pStyle w:val="NoSpacing"/>
                    <w:jc w:val="center"/>
                    <w:rPr>
                      <w:rFonts w:ascii="Times New Roman" w:hAnsi="Times New Roman" w:cs="Times New Roman"/>
                      <w:i/>
                      <w:iCs/>
                      <w:sz w:val="16"/>
                      <w:szCs w:val="16"/>
                      <w:highlight w:val="yellow"/>
                    </w:rPr>
                  </w:pPr>
                  <w:r>
                    <w:rPr>
                      <w:rFonts w:ascii="Times New Roman" w:hAnsi="Times New Roman" w:cs="Times New Roman"/>
                      <w:i/>
                      <w:iCs/>
                      <w:sz w:val="16"/>
                      <w:szCs w:val="16"/>
                    </w:rPr>
                    <w:t>Δ</w:t>
                  </w:r>
                </w:p>
              </w:tc>
              <w:tc>
                <w:tcPr>
                  <w:tcW w:w="1188" w:type="dxa"/>
                </w:tcPr>
                <w:p w:rsidRPr="0049542D" w:rsidR="00FC6593" w:rsidP="00FC6593" w:rsidRDefault="00FC6593" w14:paraId="0E76CEBE" w14:textId="0459971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yellow"/>
                    </w:rPr>
                  </w:pPr>
                  <w:r>
                    <w:rPr>
                      <w:rFonts w:ascii="Times New Roman" w:hAnsi="Times New Roman" w:cs="Times New Roman"/>
                      <w:i/>
                      <w:iCs/>
                      <w:sz w:val="16"/>
                      <w:szCs w:val="16"/>
                    </w:rPr>
                    <w:t>-</w:t>
                  </w:r>
                </w:p>
              </w:tc>
              <w:tc>
                <w:tcPr>
                  <w:tcW w:w="1044" w:type="dxa"/>
                  <w:vAlign w:val="center"/>
                </w:tcPr>
                <w:p w:rsidRPr="0049542D" w:rsidR="00FC6593" w:rsidP="00FC6593" w:rsidRDefault="00FC6593" w14:paraId="7EE5FA41" w14:textId="7C056CB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yellow"/>
                    </w:rPr>
                  </w:pPr>
                  <w:r>
                    <w:rPr>
                      <w:rFonts w:ascii="Times New Roman" w:hAnsi="Times New Roman" w:cs="Times New Roman"/>
                      <w:i/>
                      <w:iCs/>
                      <w:sz w:val="16"/>
                      <w:szCs w:val="16"/>
                    </w:rPr>
                    <w:t>-4 700 000</w:t>
                  </w:r>
                </w:p>
              </w:tc>
              <w:tc>
                <w:tcPr>
                  <w:tcW w:w="1083" w:type="dxa"/>
                  <w:vAlign w:val="center"/>
                </w:tcPr>
                <w:p w:rsidRPr="0049542D" w:rsidR="00FC6593" w:rsidDel="0093363F" w:rsidP="00FC6593" w:rsidRDefault="00FC6593" w14:paraId="57BE8866" w14:textId="4F4BB35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yellow"/>
                    </w:rPr>
                  </w:pPr>
                  <w:r>
                    <w:rPr>
                      <w:rFonts w:ascii="Times New Roman" w:hAnsi="Times New Roman" w:cs="Times New Roman"/>
                      <w:i/>
                      <w:iCs/>
                      <w:sz w:val="16"/>
                      <w:szCs w:val="16"/>
                    </w:rPr>
                    <w:t>-7 151 000</w:t>
                  </w:r>
                </w:p>
              </w:tc>
              <w:tc>
                <w:tcPr>
                  <w:tcW w:w="1274" w:type="dxa"/>
                  <w:vAlign w:val="center"/>
                </w:tcPr>
                <w:p w:rsidRPr="0049542D" w:rsidR="00FC6593" w:rsidDel="0093363F" w:rsidP="00FC6593" w:rsidRDefault="00FC6593" w14:paraId="43838367" w14:textId="2DFE5DF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yellow"/>
                    </w:rPr>
                  </w:pPr>
                  <w:r>
                    <w:rPr>
                      <w:rFonts w:ascii="Times New Roman" w:hAnsi="Times New Roman" w:cs="Times New Roman"/>
                      <w:i/>
                      <w:iCs/>
                      <w:sz w:val="16"/>
                      <w:szCs w:val="16"/>
                    </w:rPr>
                    <w:t xml:space="preserve">       </w:t>
                  </w:r>
                  <w:r w:rsidR="0058470F">
                    <w:rPr>
                      <w:rFonts w:ascii="Times New Roman" w:hAnsi="Times New Roman" w:cs="Times New Roman"/>
                      <w:i/>
                      <w:iCs/>
                      <w:sz w:val="16"/>
                      <w:szCs w:val="16"/>
                    </w:rPr>
                    <w:t>-</w:t>
                  </w:r>
                </w:p>
              </w:tc>
            </w:tr>
          </w:tbl>
          <w:p w:rsidR="009C607B" w:rsidP="009C607B" w:rsidRDefault="009C607B" w14:paraId="7B44DA92" w14:textId="10BB2DE2">
            <w:pPr>
              <w:pStyle w:val="NoSpacing"/>
              <w:jc w:val="center"/>
              <w:rPr>
                <w:rFonts w:ascii="Times New Roman" w:hAnsi="Times New Roman" w:cs="Times New Roman"/>
                <w:sz w:val="16"/>
                <w:szCs w:val="16"/>
              </w:rPr>
            </w:pPr>
          </w:p>
          <w:p w:rsidRPr="00A6093B" w:rsidR="000C212F" w:rsidP="009C607B" w:rsidRDefault="000C212F" w14:paraId="4121D1C1" w14:textId="77777777">
            <w:pPr>
              <w:pStyle w:val="NoSpacing"/>
              <w:jc w:val="center"/>
              <w:rPr>
                <w:rFonts w:ascii="Times New Roman" w:hAnsi="Times New Roman" w:cs="Times New Roman"/>
                <w:sz w:val="16"/>
                <w:szCs w:val="16"/>
              </w:rPr>
            </w:pPr>
          </w:p>
          <w:tbl>
            <w:tblPr>
              <w:tblStyle w:val="PlainTable3"/>
              <w:tblW w:w="6834" w:type="dxa"/>
              <w:tblLook w:val="04A0" w:firstRow="1" w:lastRow="0" w:firstColumn="1" w:lastColumn="0" w:noHBand="0" w:noVBand="1"/>
            </w:tblPr>
            <w:tblGrid>
              <w:gridCol w:w="1807"/>
              <w:gridCol w:w="1482"/>
              <w:gridCol w:w="954"/>
              <w:gridCol w:w="1482"/>
              <w:gridCol w:w="1109"/>
            </w:tblGrid>
            <w:tr w:rsidRPr="0092688A" w:rsidR="00FC6593" w:rsidTr="00FC6593" w14:paraId="18A5A597" w14:textId="77777777">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1807" w:type="dxa"/>
                </w:tcPr>
                <w:p w:rsidRPr="00A6093B" w:rsidR="009C607B" w:rsidP="009C607B" w:rsidRDefault="009C607B" w14:paraId="1B81FC2A" w14:textId="77777777">
                  <w:pPr>
                    <w:pStyle w:val="NoSpacing"/>
                    <w:jc w:val="both"/>
                    <w:rPr>
                      <w:rFonts w:ascii="Times New Roman" w:hAnsi="Times New Roman" w:cs="Times New Roman"/>
                      <w:sz w:val="16"/>
                      <w:szCs w:val="16"/>
                    </w:rPr>
                  </w:pPr>
                </w:p>
              </w:tc>
              <w:tc>
                <w:tcPr>
                  <w:tcW w:w="1482" w:type="dxa"/>
                </w:tcPr>
                <w:p w:rsidRPr="00A6093B" w:rsidR="009C607B" w:rsidP="009C607B" w:rsidRDefault="009C607B" w14:paraId="64B3AB1A"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2023</w:t>
                  </w:r>
                </w:p>
              </w:tc>
              <w:tc>
                <w:tcPr>
                  <w:tcW w:w="954" w:type="dxa"/>
                </w:tcPr>
                <w:p w:rsidRPr="00A6093B" w:rsidR="009C607B" w:rsidP="009C607B" w:rsidRDefault="009C607B" w14:paraId="5BB7E819"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2024</w:t>
                  </w:r>
                </w:p>
              </w:tc>
              <w:tc>
                <w:tcPr>
                  <w:tcW w:w="1482" w:type="dxa"/>
                </w:tcPr>
                <w:p w:rsidRPr="00A6093B" w:rsidR="009C607B" w:rsidP="009C607B" w:rsidRDefault="009C607B" w14:paraId="394FF740"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2025</w:t>
                  </w:r>
                </w:p>
              </w:tc>
              <w:tc>
                <w:tcPr>
                  <w:tcW w:w="1109" w:type="dxa"/>
                </w:tcPr>
                <w:p w:rsidRPr="00A6093B" w:rsidR="009C607B" w:rsidP="009C607B" w:rsidRDefault="009C607B" w14:paraId="4BCD28DE"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KOpā</w:t>
                  </w:r>
                </w:p>
              </w:tc>
            </w:tr>
            <w:tr w:rsidRPr="0092688A" w:rsidR="00FC6593" w:rsidTr="002C3C65" w14:paraId="013DD89A" w14:textId="7777777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807" w:type="dxa"/>
                </w:tcPr>
                <w:p w:rsidRPr="00A6093B" w:rsidR="00FC6593" w:rsidP="00FC6593" w:rsidRDefault="00FC6593" w14:paraId="25CE5CA3" w14:textId="06DAC0DA">
                  <w:pPr>
                    <w:pStyle w:val="NoSpacing"/>
                    <w:jc w:val="center"/>
                    <w:rPr>
                      <w:rFonts w:ascii="Times New Roman" w:hAnsi="Times New Roman" w:cs="Times New Roman"/>
                      <w:sz w:val="16"/>
                      <w:szCs w:val="16"/>
                    </w:rPr>
                  </w:pPr>
                  <w:r>
                    <w:rPr>
                      <w:rFonts w:ascii="Times New Roman" w:hAnsi="Times New Roman" w:cs="Times New Roman"/>
                      <w:sz w:val="16"/>
                      <w:szCs w:val="16"/>
                    </w:rPr>
                    <w:t>RĪKOJUMS nR. 385</w:t>
                  </w:r>
                </w:p>
              </w:tc>
              <w:tc>
                <w:tcPr>
                  <w:tcW w:w="1482" w:type="dxa"/>
                  <w:vAlign w:val="center"/>
                </w:tcPr>
                <w:p w:rsidRPr="00A6093B" w:rsidR="00FC6593" w:rsidP="00FC6593" w:rsidRDefault="00FC6593" w14:paraId="78C49754" w14:textId="5A6C634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44 268 000</w:t>
                  </w:r>
                </w:p>
              </w:tc>
              <w:tc>
                <w:tcPr>
                  <w:tcW w:w="954" w:type="dxa"/>
                  <w:vAlign w:val="center"/>
                </w:tcPr>
                <w:p w:rsidRPr="00A6093B" w:rsidR="00FC6593" w:rsidP="00FC6593" w:rsidRDefault="00FC6593" w14:paraId="28EE619C" w14:textId="0B28A72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29 512 000</w:t>
                  </w:r>
                </w:p>
              </w:tc>
              <w:tc>
                <w:tcPr>
                  <w:tcW w:w="1482" w:type="dxa"/>
                  <w:vAlign w:val="center"/>
                </w:tcPr>
                <w:p w:rsidRPr="00A6093B" w:rsidR="00FC6593" w:rsidP="00FC6593" w:rsidRDefault="00FC6593" w14:paraId="5C236D52" w14:textId="31A25F2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t>
                  </w:r>
                </w:p>
              </w:tc>
              <w:tc>
                <w:tcPr>
                  <w:tcW w:w="1109" w:type="dxa"/>
                  <w:vAlign w:val="center"/>
                </w:tcPr>
                <w:p w:rsidRPr="00A6093B" w:rsidR="00FC6593" w:rsidP="00FC6593" w:rsidRDefault="00FC6593" w14:paraId="5625BFD9" w14:textId="3D2889D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350D7">
                    <w:rPr>
                      <w:rFonts w:ascii="Times New Roman" w:hAnsi="Times New Roman" w:cs="Times New Roman"/>
                      <w:b/>
                      <w:bCs/>
                      <w:sz w:val="16"/>
                      <w:szCs w:val="16"/>
                    </w:rPr>
                    <w:t>255 888 753</w:t>
                  </w:r>
                </w:p>
              </w:tc>
            </w:tr>
            <w:tr w:rsidRPr="0092688A" w:rsidR="00FC6593" w:rsidTr="00FC6593" w14:paraId="3DFC5054" w14:textId="77777777">
              <w:trPr>
                <w:trHeight w:val="328"/>
              </w:trPr>
              <w:tc>
                <w:tcPr>
                  <w:cnfStyle w:val="001000000000" w:firstRow="0" w:lastRow="0" w:firstColumn="1" w:lastColumn="0" w:oddVBand="0" w:evenVBand="0" w:oddHBand="0" w:evenHBand="0" w:firstRowFirstColumn="0" w:firstRowLastColumn="0" w:lastRowFirstColumn="0" w:lastRowLastColumn="0"/>
                  <w:tcW w:w="1807" w:type="dxa"/>
                  <w:vAlign w:val="center"/>
                </w:tcPr>
                <w:p w:rsidRPr="00A6093B" w:rsidR="00FC6593" w:rsidP="00FC6593" w:rsidRDefault="00FC6593" w14:paraId="3CAB4D95" w14:textId="0196E72C">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pĒC IZMAIŅĀM RĪKOJUMĀ NR.385 </w:t>
                  </w:r>
                </w:p>
              </w:tc>
              <w:tc>
                <w:tcPr>
                  <w:tcW w:w="1482" w:type="dxa"/>
                  <w:vAlign w:val="center"/>
                </w:tcPr>
                <w:p w:rsidRPr="00A6093B" w:rsidR="00FC6593" w:rsidP="00FC6593" w:rsidRDefault="0058470F" w14:paraId="12CC2B78" w14:textId="1266898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44 268 000</w:t>
                  </w:r>
                </w:p>
              </w:tc>
              <w:tc>
                <w:tcPr>
                  <w:tcW w:w="954" w:type="dxa"/>
                  <w:vAlign w:val="center"/>
                </w:tcPr>
                <w:p w:rsidRPr="00A6093B" w:rsidR="00FC6593" w:rsidP="00FC6593" w:rsidRDefault="0058470F" w14:paraId="3DAC4D78" w14:textId="02B76CA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40 688 689</w:t>
                  </w:r>
                </w:p>
              </w:tc>
              <w:tc>
                <w:tcPr>
                  <w:tcW w:w="1482" w:type="dxa"/>
                  <w:vAlign w:val="center"/>
                </w:tcPr>
                <w:p w:rsidRPr="00A6093B" w:rsidR="00FC6593" w:rsidP="00FC6593" w:rsidRDefault="0058470F" w14:paraId="1624DB40" w14:textId="51D0A76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2 674 311</w:t>
                  </w:r>
                </w:p>
              </w:tc>
              <w:tc>
                <w:tcPr>
                  <w:tcW w:w="1109" w:type="dxa"/>
                  <w:vAlign w:val="center"/>
                </w:tcPr>
                <w:p w:rsidRPr="00A6093B" w:rsidR="00FC6593" w:rsidP="00FC6593" w:rsidRDefault="0058470F" w14:paraId="1EFBD3E2" w14:textId="2837E13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Pr>
                      <w:rFonts w:ascii="Times New Roman" w:hAnsi="Times New Roman" w:cs="Times New Roman"/>
                      <w:b/>
                      <w:bCs/>
                      <w:sz w:val="16"/>
                      <w:szCs w:val="16"/>
                    </w:rPr>
                    <w:t xml:space="preserve">257 888 </w:t>
                  </w:r>
                  <w:r w:rsidR="00FC6593">
                    <w:rPr>
                      <w:rFonts w:ascii="Times New Roman" w:hAnsi="Times New Roman" w:cs="Times New Roman"/>
                      <w:b/>
                      <w:bCs/>
                      <w:sz w:val="16"/>
                      <w:szCs w:val="16"/>
                    </w:rPr>
                    <w:t>753</w:t>
                  </w:r>
                </w:p>
              </w:tc>
            </w:tr>
            <w:tr w:rsidRPr="0092688A" w:rsidR="00FC6593" w:rsidTr="002C3C65" w14:paraId="6502BFA9"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807" w:type="dxa"/>
                  <w:vAlign w:val="center"/>
                </w:tcPr>
                <w:p w:rsidRPr="00A6093B" w:rsidR="00FC6593" w:rsidP="00FC6593" w:rsidRDefault="00FC6593" w14:paraId="13A28E72" w14:textId="7BAD729E">
                  <w:pPr>
                    <w:pStyle w:val="NoSpacing"/>
                    <w:jc w:val="center"/>
                    <w:rPr>
                      <w:rFonts w:ascii="Times New Roman" w:hAnsi="Times New Roman" w:cs="Times New Roman"/>
                      <w:b w:val="0"/>
                      <w:bCs w:val="0"/>
                      <w:i/>
                      <w:iCs/>
                      <w:sz w:val="16"/>
                      <w:szCs w:val="16"/>
                    </w:rPr>
                  </w:pPr>
                  <w:r>
                    <w:rPr>
                      <w:rFonts w:ascii="Times New Roman" w:hAnsi="Times New Roman" w:cs="Times New Roman"/>
                      <w:i/>
                      <w:iCs/>
                      <w:sz w:val="16"/>
                      <w:szCs w:val="16"/>
                    </w:rPr>
                    <w:t>Δ</w:t>
                  </w:r>
                </w:p>
              </w:tc>
              <w:tc>
                <w:tcPr>
                  <w:tcW w:w="1482" w:type="dxa"/>
                  <w:vAlign w:val="center"/>
                </w:tcPr>
                <w:p w:rsidRPr="00A6093B" w:rsidR="00FC6593" w:rsidP="00FC6593" w:rsidRDefault="0058470F" w14:paraId="5E3F5C6A" w14:textId="02C8AA5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w:t>
                  </w:r>
                </w:p>
              </w:tc>
              <w:tc>
                <w:tcPr>
                  <w:tcW w:w="954" w:type="dxa"/>
                  <w:vAlign w:val="center"/>
                </w:tcPr>
                <w:p w:rsidRPr="00A6093B" w:rsidR="00FC6593" w:rsidP="00FC6593" w:rsidRDefault="0058470F" w14:paraId="3FC946C5" w14:textId="673C9D6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11 176 689</w:t>
                  </w:r>
                </w:p>
              </w:tc>
              <w:tc>
                <w:tcPr>
                  <w:tcW w:w="1482" w:type="dxa"/>
                  <w:vAlign w:val="center"/>
                </w:tcPr>
                <w:p w:rsidRPr="00A6093B" w:rsidR="00FC6593" w:rsidP="00FC6593" w:rsidRDefault="0058470F" w14:paraId="27ACBB80" w14:textId="1B6E8C2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2 674 311</w:t>
                  </w:r>
                </w:p>
              </w:tc>
              <w:tc>
                <w:tcPr>
                  <w:tcW w:w="1109" w:type="dxa"/>
                  <w:vAlign w:val="center"/>
                </w:tcPr>
                <w:p w:rsidRPr="00A6093B" w:rsidR="00FC6593" w:rsidP="00FC6593" w:rsidRDefault="0058470F" w14:paraId="28A1DF5D" w14:textId="7B036C9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6"/>
                      <w:szCs w:val="16"/>
                    </w:rPr>
                  </w:pPr>
                  <w:r>
                    <w:rPr>
                      <w:rFonts w:ascii="Times New Roman" w:hAnsi="Times New Roman" w:cs="Times New Roman"/>
                      <w:b/>
                      <w:bCs/>
                      <w:i/>
                      <w:iCs/>
                      <w:sz w:val="16"/>
                      <w:szCs w:val="16"/>
                    </w:rPr>
                    <w:t>2 000 000</w:t>
                  </w:r>
                </w:p>
              </w:tc>
            </w:tr>
          </w:tbl>
          <w:p w:rsidR="009C607B" w:rsidP="009C607B" w:rsidRDefault="009C607B" w14:paraId="2CB758F7" w14:textId="77777777">
            <w:pPr>
              <w:pStyle w:val="NoSpacing"/>
              <w:jc w:val="both"/>
              <w:rPr>
                <w:rFonts w:ascii="Times New Roman" w:hAnsi="Times New Roman" w:cs="Times New Roman"/>
                <w:i/>
                <w:iCs/>
                <w:sz w:val="24"/>
                <w:szCs w:val="24"/>
              </w:rPr>
            </w:pPr>
          </w:p>
          <w:p w:rsidR="009C607B" w:rsidP="009C607B" w:rsidRDefault="009C607B" w14:paraId="2BA0DD65" w14:textId="416B5762">
            <w:pPr>
              <w:spacing w:after="0" w:line="240" w:lineRule="auto"/>
              <w:jc w:val="center"/>
              <w:rPr>
                <w:rFonts w:ascii="Times New Roman" w:hAnsi="Times New Roman" w:cs="Times New Roman"/>
                <w:b/>
                <w:bCs/>
                <w:sz w:val="24"/>
                <w:szCs w:val="24"/>
                <w:u w:val="single"/>
              </w:rPr>
            </w:pPr>
            <w:r w:rsidRPr="00F73246">
              <w:rPr>
                <w:rFonts w:ascii="Times New Roman" w:hAnsi="Times New Roman" w:cs="Times New Roman"/>
                <w:b/>
                <w:bCs/>
                <w:sz w:val="24"/>
                <w:szCs w:val="24"/>
                <w:u w:val="single"/>
              </w:rPr>
              <w:t>PV ietekme uz vispārējās valdības budžeta bilanci un parādu</w:t>
            </w:r>
          </w:p>
          <w:p w:rsidR="001F6E3F" w:rsidP="001722C3" w:rsidRDefault="001F6E3F" w14:paraId="19A8A19C" w14:textId="77777777">
            <w:pPr>
              <w:spacing w:after="0" w:line="240" w:lineRule="auto"/>
              <w:ind w:right="130" w:firstLine="567"/>
              <w:jc w:val="both"/>
              <w:rPr>
                <w:rFonts w:ascii="Times New Roman" w:hAnsi="Times New Roman" w:cs="Times New Roman"/>
                <w:sz w:val="24"/>
                <w:szCs w:val="24"/>
              </w:rPr>
            </w:pPr>
          </w:p>
          <w:p w:rsidRPr="006C16FA" w:rsidR="00FC6593" w:rsidP="001722C3" w:rsidRDefault="00FC6593" w14:paraId="506E5E3A" w14:textId="4C95609F">
            <w:pPr>
              <w:spacing w:after="0" w:line="240" w:lineRule="auto"/>
              <w:ind w:right="130" w:firstLine="567"/>
              <w:jc w:val="both"/>
              <w:rPr>
                <w:rFonts w:ascii="Times New Roman" w:hAnsi="Times New Roman" w:cs="Times New Roman"/>
                <w:sz w:val="24"/>
                <w:szCs w:val="24"/>
              </w:rPr>
            </w:pPr>
            <w:r w:rsidRPr="00EF2465">
              <w:rPr>
                <w:rFonts w:ascii="Times New Roman" w:hAnsi="Times New Roman" w:cs="Times New Roman"/>
                <w:sz w:val="24"/>
                <w:szCs w:val="24"/>
              </w:rPr>
              <w:t xml:space="preserve">Atbilstoši </w:t>
            </w:r>
            <w:r w:rsidRPr="00EF2465" w:rsidR="009C607B">
              <w:rPr>
                <w:rFonts w:ascii="Times New Roman" w:hAnsi="Times New Roman" w:cs="Times New Roman"/>
                <w:sz w:val="24"/>
                <w:szCs w:val="24"/>
              </w:rPr>
              <w:t xml:space="preserve">Eiropas Parlamenta un Padomes 2013. gada 21. maija Regulai Nr. 549/2013 (ES) par Eiropas nacionālo un reģionālo kontu sistēmu Eiropas Savienībā (turpmāk – EKS) PV ir iekļauta vispārējās valdības sektorā, un, gatavojot vispārējās valdības sektora budžeta prognozes, PV plānotā saimnieciskās darbības ietekme tiek iekļauta aprēķinos atbilstoši vienotajai EKS metodoloģijai. Atbilstoši šai metodoloģijai aktīvu vērtības pieaugumam (jauna elektrovilcienu ritošā sastāva iegāde, remontu centra būvniecība, </w:t>
            </w:r>
            <w:r w:rsidR="009C607B">
              <w:rPr>
                <w:rFonts w:ascii="Times New Roman" w:hAnsi="Times New Roman" w:cs="Times New Roman"/>
                <w:sz w:val="24"/>
                <w:szCs w:val="24"/>
              </w:rPr>
              <w:t>un vilcienu ražošanas uzraudzība</w:t>
            </w:r>
            <w:r w:rsidRPr="006C16FA" w:rsidR="009C607B">
              <w:rPr>
                <w:rFonts w:ascii="Times New Roman" w:hAnsi="Times New Roman" w:cs="Times New Roman"/>
                <w:sz w:val="24"/>
                <w:szCs w:val="24"/>
              </w:rPr>
              <w:t xml:space="preserve">) ir tieša ietekme uz vispārējās valdības sektora budžeta bilanci. </w:t>
            </w:r>
          </w:p>
          <w:p w:rsidR="00FC6593" w:rsidP="001722C3" w:rsidRDefault="00FC6593" w14:paraId="21AA77F5" w14:textId="37658468">
            <w:pPr>
              <w:spacing w:after="0" w:line="240" w:lineRule="auto"/>
              <w:ind w:right="130" w:firstLine="567"/>
              <w:jc w:val="both"/>
              <w:rPr>
                <w:rFonts w:ascii="Times New Roman" w:hAnsi="Times New Roman" w:cs="Times New Roman"/>
                <w:sz w:val="24"/>
                <w:szCs w:val="24"/>
              </w:rPr>
            </w:pPr>
            <w:r>
              <w:rPr>
                <w:rFonts w:ascii="Times New Roman" w:hAnsi="Times New Roman" w:cs="Times New Roman"/>
                <w:sz w:val="24"/>
                <w:szCs w:val="24"/>
              </w:rPr>
              <w:t>32 jaunu elektrovilcienu, rezerves daļu fonda 5 gadiem un elektrovilcienu uzturēšanas iekārtu iegādes, kā arī vilcienu remontu centra izbūve</w:t>
            </w:r>
            <w:r w:rsidR="009C607B">
              <w:rPr>
                <w:rFonts w:ascii="Times New Roman" w:hAnsi="Times New Roman" w:cs="Times New Roman"/>
                <w:sz w:val="24"/>
                <w:szCs w:val="24"/>
              </w:rPr>
              <w:t>i</w:t>
            </w:r>
            <w:r>
              <w:rPr>
                <w:rFonts w:ascii="Times New Roman" w:hAnsi="Times New Roman" w:cs="Times New Roman"/>
                <w:sz w:val="24"/>
                <w:szCs w:val="24"/>
              </w:rPr>
              <w:t xml:space="preserve"> i</w:t>
            </w:r>
            <w:r w:rsidR="009C607B">
              <w:rPr>
                <w:rFonts w:ascii="Times New Roman" w:hAnsi="Times New Roman" w:cs="Times New Roman"/>
                <w:sz w:val="24"/>
                <w:szCs w:val="24"/>
              </w:rPr>
              <w:t xml:space="preserve">lgtermiņa saistības </w:t>
            </w:r>
            <w:r w:rsidRPr="006C16FA" w:rsidR="009C607B">
              <w:rPr>
                <w:rFonts w:ascii="Times New Roman" w:hAnsi="Times New Roman" w:cs="Times New Roman"/>
                <w:sz w:val="24"/>
                <w:szCs w:val="24"/>
              </w:rPr>
              <w:t>tika apstiprināta</w:t>
            </w:r>
            <w:r w:rsidR="009C607B">
              <w:rPr>
                <w:rFonts w:ascii="Times New Roman" w:hAnsi="Times New Roman" w:cs="Times New Roman"/>
                <w:sz w:val="24"/>
                <w:szCs w:val="24"/>
              </w:rPr>
              <w:t>s</w:t>
            </w:r>
            <w:r w:rsidRPr="006C16FA" w:rsidR="009C607B">
              <w:rPr>
                <w:rFonts w:ascii="Times New Roman" w:hAnsi="Times New Roman" w:cs="Times New Roman"/>
                <w:sz w:val="24"/>
                <w:szCs w:val="24"/>
              </w:rPr>
              <w:t xml:space="preserve"> ar </w:t>
            </w:r>
            <w:r w:rsidR="000C212F">
              <w:rPr>
                <w:rFonts w:ascii="Times New Roman" w:hAnsi="Times New Roman" w:cs="Times New Roman"/>
                <w:sz w:val="24"/>
                <w:szCs w:val="24"/>
              </w:rPr>
              <w:t>R</w:t>
            </w:r>
            <w:r w:rsidRPr="006C16FA" w:rsidR="009C607B">
              <w:rPr>
                <w:rFonts w:ascii="Times New Roman" w:hAnsi="Times New Roman" w:cs="Times New Roman"/>
                <w:sz w:val="24"/>
                <w:szCs w:val="24"/>
              </w:rPr>
              <w:t>īkojumu Nr.385</w:t>
            </w:r>
            <w:r w:rsidR="001F6E3F">
              <w:rPr>
                <w:rFonts w:ascii="Times New Roman" w:hAnsi="Times New Roman" w:cs="Times New Roman"/>
                <w:sz w:val="24"/>
                <w:szCs w:val="24"/>
              </w:rPr>
              <w:t>,</w:t>
            </w:r>
            <w:r w:rsidRPr="006C16FA" w:rsidR="009C607B">
              <w:rPr>
                <w:rFonts w:ascii="Times New Roman" w:hAnsi="Times New Roman" w:cs="Times New Roman"/>
                <w:sz w:val="24"/>
                <w:szCs w:val="24"/>
              </w:rPr>
              <w:t xml:space="preserve"> </w:t>
            </w:r>
            <w:r w:rsidR="009C607B">
              <w:rPr>
                <w:rFonts w:ascii="Times New Roman" w:hAnsi="Times New Roman" w:cs="Times New Roman"/>
                <w:sz w:val="24"/>
                <w:szCs w:val="24"/>
              </w:rPr>
              <w:t xml:space="preserve">un </w:t>
            </w:r>
            <w:r w:rsidRPr="006C16FA" w:rsidR="009C607B">
              <w:rPr>
                <w:rFonts w:ascii="Times New Roman" w:hAnsi="Times New Roman" w:cs="Times New Roman"/>
                <w:sz w:val="24"/>
                <w:szCs w:val="24"/>
              </w:rPr>
              <w:t>ietekme uz vispārējās valdības budžetu</w:t>
            </w:r>
            <w:r w:rsidR="009C607B">
              <w:rPr>
                <w:rFonts w:ascii="Times New Roman" w:hAnsi="Times New Roman" w:cs="Times New Roman"/>
                <w:sz w:val="24"/>
                <w:szCs w:val="24"/>
              </w:rPr>
              <w:t xml:space="preserve"> tika saskaņota </w:t>
            </w:r>
            <w:r w:rsidR="00A42E80">
              <w:rPr>
                <w:rFonts w:ascii="Times New Roman" w:hAnsi="Times New Roman" w:cs="Times New Roman"/>
                <w:sz w:val="24"/>
                <w:szCs w:val="24"/>
              </w:rPr>
              <w:t xml:space="preserve">Ministru kabineta sēdes </w:t>
            </w:r>
            <w:r w:rsidR="009C607B">
              <w:rPr>
                <w:rFonts w:ascii="Times New Roman" w:hAnsi="Times New Roman" w:cs="Times New Roman"/>
                <w:sz w:val="24"/>
                <w:szCs w:val="24"/>
              </w:rPr>
              <w:t xml:space="preserve">protokollēmumā </w:t>
            </w:r>
            <w:r w:rsidRPr="00A42E80" w:rsidR="00A42E80">
              <w:rPr>
                <w:rFonts w:ascii="Times New Roman" w:hAnsi="Times New Roman" w:cs="Times New Roman"/>
                <w:sz w:val="24"/>
                <w:szCs w:val="24"/>
              </w:rPr>
              <w:t>(prot.Nr.33, 84.§) Informatīv</w:t>
            </w:r>
            <w:r w:rsidR="00A42E80">
              <w:rPr>
                <w:rFonts w:ascii="Times New Roman" w:hAnsi="Times New Roman" w:cs="Times New Roman"/>
                <w:sz w:val="24"/>
                <w:szCs w:val="24"/>
              </w:rPr>
              <w:t>ais</w:t>
            </w:r>
            <w:r w:rsidRPr="00A42E80" w:rsidR="00A42E80">
              <w:rPr>
                <w:rFonts w:ascii="Times New Roman" w:hAnsi="Times New Roman" w:cs="Times New Roman"/>
                <w:sz w:val="24"/>
                <w:szCs w:val="24"/>
              </w:rPr>
              <w:t xml:space="preserve"> ziņojum</w:t>
            </w:r>
            <w:r w:rsidR="00A42E80">
              <w:rPr>
                <w:rFonts w:ascii="Times New Roman" w:hAnsi="Times New Roman" w:cs="Times New Roman"/>
                <w:sz w:val="24"/>
                <w:szCs w:val="24"/>
              </w:rPr>
              <w:t>s</w:t>
            </w:r>
            <w:r w:rsidRPr="00A42E80" w:rsidR="00A42E80">
              <w:rPr>
                <w:rFonts w:ascii="Times New Roman" w:hAnsi="Times New Roman" w:cs="Times New Roman"/>
                <w:sz w:val="24"/>
                <w:szCs w:val="24"/>
              </w:rPr>
              <w:t xml:space="preserve"> “Par jauno elektrovilcienu projektu” (TA-1342)</w:t>
            </w:r>
            <w:r w:rsidR="009C607B">
              <w:rPr>
                <w:rFonts w:ascii="Times New Roman" w:hAnsi="Times New Roman" w:cs="Times New Roman"/>
                <w:sz w:val="24"/>
                <w:szCs w:val="24"/>
              </w:rPr>
              <w:t>.</w:t>
            </w:r>
          </w:p>
          <w:p w:rsidR="002C3C65" w:rsidP="001722C3" w:rsidRDefault="009C607B" w14:paraId="69C664D7" w14:textId="4D69AE14">
            <w:pPr>
              <w:spacing w:after="0" w:line="240" w:lineRule="auto"/>
              <w:ind w:right="130" w:firstLine="567"/>
              <w:jc w:val="both"/>
              <w:rPr>
                <w:rFonts w:ascii="Times New Roman" w:hAnsi="Times New Roman" w:cs="Times New Roman"/>
                <w:sz w:val="24"/>
                <w:szCs w:val="24"/>
              </w:rPr>
            </w:pPr>
            <w:r w:rsidRPr="00D91D7B">
              <w:rPr>
                <w:rFonts w:ascii="Times New Roman" w:hAnsi="Times New Roman" w:cs="Times New Roman"/>
                <w:sz w:val="24"/>
                <w:szCs w:val="24"/>
              </w:rPr>
              <w:t xml:space="preserve">Vienlaicīgi ar valsts budžeta ilgtermiņa saistību uzņemšanos ir nepieciešams apstiprināt </w:t>
            </w:r>
            <w:r w:rsidR="001A0B5E">
              <w:rPr>
                <w:rFonts w:ascii="Times New Roman" w:hAnsi="Times New Roman" w:cs="Times New Roman"/>
                <w:sz w:val="24"/>
                <w:szCs w:val="24"/>
              </w:rPr>
              <w:t xml:space="preserve">izmaiņas </w:t>
            </w:r>
            <w:r w:rsidRPr="00D91D7B">
              <w:rPr>
                <w:rFonts w:ascii="Times New Roman" w:hAnsi="Times New Roman" w:cs="Times New Roman"/>
                <w:sz w:val="24"/>
                <w:szCs w:val="24"/>
              </w:rPr>
              <w:t>ietekm</w:t>
            </w:r>
            <w:r w:rsidR="001A0B5E">
              <w:rPr>
                <w:rFonts w:ascii="Times New Roman" w:hAnsi="Times New Roman" w:cs="Times New Roman"/>
                <w:sz w:val="24"/>
                <w:szCs w:val="24"/>
              </w:rPr>
              <w:t>e</w:t>
            </w:r>
            <w:r w:rsidRPr="00D91D7B">
              <w:rPr>
                <w:rFonts w:ascii="Times New Roman" w:hAnsi="Times New Roman" w:cs="Times New Roman"/>
                <w:sz w:val="24"/>
                <w:szCs w:val="24"/>
              </w:rPr>
              <w:t xml:space="preserve">i uz vispārējās valdības sektora budžeta bilanci (fiskālo telpu) elektrovilcienu projektā (elektrovilcienu ražošanas uzraudzība un izmaiņas vilcienu servisa centra </w:t>
            </w:r>
            <w:r w:rsidR="006E7FA0">
              <w:rPr>
                <w:rFonts w:ascii="Times New Roman" w:hAnsi="Times New Roman" w:cs="Times New Roman"/>
                <w:sz w:val="24"/>
                <w:szCs w:val="24"/>
              </w:rPr>
              <w:t>izveides termiņā</w:t>
            </w:r>
            <w:r w:rsidRPr="00D91D7B">
              <w:rPr>
                <w:rFonts w:ascii="Times New Roman" w:hAnsi="Times New Roman" w:cs="Times New Roman"/>
                <w:sz w:val="24"/>
                <w:szCs w:val="24"/>
              </w:rPr>
              <w:t>).</w:t>
            </w:r>
          </w:p>
          <w:p w:rsidR="008B34EE" w:rsidP="008B34EE" w:rsidRDefault="008B34EE" w14:paraId="051B2F02" w14:textId="68E2D734">
            <w:pPr>
              <w:spacing w:after="0" w:line="240" w:lineRule="auto"/>
              <w:ind w:right="130" w:firstLine="567"/>
              <w:jc w:val="both"/>
              <w:rPr>
                <w:rFonts w:ascii="Times New Roman" w:hAnsi="Times New Roman" w:cs="Times New Roman"/>
                <w:sz w:val="24"/>
                <w:szCs w:val="24"/>
              </w:rPr>
            </w:pPr>
            <w:r>
              <w:rPr>
                <w:rFonts w:ascii="Times New Roman" w:hAnsi="Times New Roman" w:cs="Times New Roman"/>
                <w:sz w:val="24"/>
                <w:szCs w:val="24"/>
              </w:rPr>
              <w:t>Zemāk tabulās atspoguļotas izmaiņa</w:t>
            </w:r>
            <w:r w:rsidR="001A0B5E">
              <w:rPr>
                <w:rFonts w:ascii="Times New Roman" w:hAnsi="Times New Roman" w:cs="Times New Roman"/>
                <w:sz w:val="24"/>
                <w:szCs w:val="24"/>
              </w:rPr>
              <w:t xml:space="preserve">, kas saistītas ar elektrovilcienu ražošanas uzraudzību un izmaiņām servisa centra izveides laikā) un </w:t>
            </w:r>
            <w:r>
              <w:rPr>
                <w:rFonts w:ascii="Times New Roman" w:hAnsi="Times New Roman" w:cs="Times New Roman"/>
                <w:sz w:val="24"/>
                <w:szCs w:val="24"/>
              </w:rPr>
              <w:t>kas veido izmaiņas uz vispārējās valdības budžetu. Tabulās atspoguļota konkrēto projektu (</w:t>
            </w:r>
            <w:r w:rsidRPr="00D91D7B">
              <w:rPr>
                <w:rFonts w:ascii="Times New Roman" w:hAnsi="Times New Roman" w:cs="Times New Roman"/>
                <w:sz w:val="24"/>
                <w:szCs w:val="24"/>
              </w:rPr>
              <w:t>32 elektrovilcien</w:t>
            </w:r>
            <w:r>
              <w:rPr>
                <w:rFonts w:ascii="Times New Roman" w:hAnsi="Times New Roman" w:cs="Times New Roman"/>
                <w:sz w:val="24"/>
                <w:szCs w:val="24"/>
              </w:rPr>
              <w:t>u</w:t>
            </w:r>
            <w:r w:rsidRPr="00D91D7B">
              <w:rPr>
                <w:rFonts w:ascii="Times New Roman" w:hAnsi="Times New Roman" w:cs="Times New Roman"/>
                <w:sz w:val="24"/>
                <w:szCs w:val="24"/>
              </w:rPr>
              <w:t>, rezerves daļu fonda 5 gadiem un elektrovilcienu uzturēšanas iekārtu iegādes, ražošanas uzraudzības izmaksas un vilcienu remontu centra izbūve</w:t>
            </w:r>
            <w:r>
              <w:rPr>
                <w:rFonts w:ascii="Times New Roman" w:hAnsi="Times New Roman" w:cs="Times New Roman"/>
                <w:sz w:val="24"/>
                <w:szCs w:val="24"/>
              </w:rPr>
              <w:t xml:space="preserve">) </w:t>
            </w:r>
            <w:r>
              <w:rPr>
                <w:rFonts w:ascii="Times New Roman" w:hAnsi="Times New Roman" w:cs="Times New Roman"/>
                <w:sz w:val="24"/>
                <w:szCs w:val="24"/>
              </w:rPr>
              <w:lastRenderedPageBreak/>
              <w:t>ietekme uz vispārējās valdības budžetu, paredzot pieejamo ES Fondu finansējumu 2022. gadā</w:t>
            </w:r>
            <w:r w:rsidRPr="00D91D7B">
              <w:rPr>
                <w:rFonts w:ascii="Times New Roman" w:hAnsi="Times New Roman" w:cs="Times New Roman"/>
                <w:sz w:val="24"/>
                <w:szCs w:val="24"/>
              </w:rPr>
              <w:t>.</w:t>
            </w:r>
          </w:p>
          <w:p w:rsidR="000901E6" w:rsidP="009C607B" w:rsidRDefault="000901E6" w14:paraId="3090E4D2" w14:textId="5B2FF00A">
            <w:pPr>
              <w:pStyle w:val="NoSpacing"/>
              <w:jc w:val="both"/>
              <w:rPr>
                <w:rFonts w:ascii="Times New Roman" w:hAnsi="Times New Roman" w:cs="Times New Roman"/>
                <w:b/>
                <w:bCs/>
                <w:sz w:val="24"/>
                <w:szCs w:val="24"/>
              </w:rPr>
            </w:pPr>
          </w:p>
          <w:p w:rsidRPr="00F73246" w:rsidR="008B34EE" w:rsidP="009C607B" w:rsidRDefault="008B34EE" w14:paraId="6B07D8CB" w14:textId="77777777">
            <w:pPr>
              <w:pStyle w:val="NoSpacing"/>
              <w:jc w:val="both"/>
              <w:rPr>
                <w:rFonts w:ascii="Times New Roman" w:hAnsi="Times New Roman" w:cs="Times New Roman"/>
                <w:b/>
                <w:bCs/>
                <w:sz w:val="24"/>
                <w:szCs w:val="24"/>
              </w:rPr>
            </w:pPr>
          </w:p>
          <w:p w:rsidR="009C607B" w:rsidP="000C212F" w:rsidRDefault="000C212F" w14:paraId="3777654B" w14:textId="21A31F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PV</w:t>
            </w:r>
            <w:r w:rsidRPr="00F73246" w:rsidR="009C607B">
              <w:rPr>
                <w:rFonts w:ascii="Times New Roman" w:hAnsi="Times New Roman" w:cs="Times New Roman"/>
                <w:b/>
                <w:bCs/>
                <w:sz w:val="24"/>
                <w:szCs w:val="24"/>
              </w:rPr>
              <w:t xml:space="preserve"> ietekme uz vispārējās valdības budžetu (attiecīgā gada fiskālo telpu)</w:t>
            </w:r>
          </w:p>
          <w:p w:rsidR="008B34EE" w:rsidP="009C607B" w:rsidRDefault="008B34EE" w14:paraId="3A0133E0" w14:textId="77777777">
            <w:pPr>
              <w:spacing w:after="0" w:line="240" w:lineRule="auto"/>
              <w:jc w:val="both"/>
              <w:rPr>
                <w:rFonts w:ascii="Times New Roman" w:hAnsi="Times New Roman" w:cs="Times New Roman"/>
                <w:sz w:val="24"/>
                <w:szCs w:val="24"/>
              </w:rPr>
            </w:pPr>
          </w:p>
          <w:p w:rsidRPr="000F1EF3" w:rsidR="008B34EE" w:rsidP="009C607B" w:rsidRDefault="002C3C65" w14:paraId="66E441ED" w14:textId="35E62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1D7B" w:rsidR="009C607B">
              <w:rPr>
                <w:rFonts w:ascii="Times New Roman" w:hAnsi="Times New Roman" w:cs="Times New Roman"/>
                <w:sz w:val="24"/>
                <w:szCs w:val="24"/>
              </w:rPr>
              <w:t>Realizējot elektrovilcienu projekt</w:t>
            </w:r>
            <w:r w:rsidR="000901E6">
              <w:rPr>
                <w:rFonts w:ascii="Times New Roman" w:hAnsi="Times New Roman" w:cs="Times New Roman"/>
                <w:sz w:val="24"/>
                <w:szCs w:val="24"/>
              </w:rPr>
              <w:t>u</w:t>
            </w:r>
            <w:r w:rsidRPr="00D91D7B" w:rsidR="009C607B">
              <w:rPr>
                <w:rFonts w:ascii="Times New Roman" w:hAnsi="Times New Roman" w:cs="Times New Roman"/>
                <w:sz w:val="24"/>
                <w:szCs w:val="24"/>
              </w:rPr>
              <w:t xml:space="preserve"> (32 elektrovilcienu</w:t>
            </w:r>
            <w:r w:rsidR="00293AD3">
              <w:rPr>
                <w:rFonts w:ascii="Times New Roman" w:hAnsi="Times New Roman" w:cs="Times New Roman"/>
                <w:sz w:val="24"/>
                <w:szCs w:val="24"/>
              </w:rPr>
              <w:t xml:space="preserve"> </w:t>
            </w:r>
            <w:r w:rsidRPr="00293AD3" w:rsidR="00293AD3">
              <w:rPr>
                <w:rFonts w:ascii="Times New Roman" w:hAnsi="Times New Roman" w:cs="Times New Roman"/>
                <w:sz w:val="24"/>
                <w:szCs w:val="24"/>
              </w:rPr>
              <w:t>(EV)</w:t>
            </w:r>
            <w:r w:rsidRPr="00D91D7B" w:rsidR="009C607B">
              <w:rPr>
                <w:rFonts w:ascii="Times New Roman" w:hAnsi="Times New Roman" w:cs="Times New Roman"/>
                <w:sz w:val="24"/>
                <w:szCs w:val="24"/>
              </w:rPr>
              <w:t>, rezerves daļu fonda 5 gadiem un elektrovilcienu uzturēšanas iekārtu iegādes, ražošanas uzraudzības izmaksas, kā arī vilcienu remontu centra izbūve)</w:t>
            </w:r>
            <w:r w:rsidR="000901E6">
              <w:rPr>
                <w:rFonts w:ascii="Times New Roman" w:hAnsi="Times New Roman" w:cs="Times New Roman"/>
                <w:sz w:val="24"/>
                <w:szCs w:val="24"/>
              </w:rPr>
              <w:t>,</w:t>
            </w:r>
            <w:r w:rsidRPr="00D91D7B" w:rsidR="009C607B">
              <w:rPr>
                <w:rFonts w:ascii="Times New Roman" w:hAnsi="Times New Roman" w:cs="Times New Roman"/>
                <w:sz w:val="24"/>
                <w:szCs w:val="24"/>
              </w:rPr>
              <w:t xml:space="preserve"> rodas sekojoša ietekme uz vispārējo valdības budžetu: </w:t>
            </w:r>
          </w:p>
          <w:p w:rsidRPr="003E43F1" w:rsidR="008B34EE" w:rsidP="009C607B" w:rsidRDefault="008B34EE" w14:paraId="7A50C67B" w14:textId="77777777">
            <w:pPr>
              <w:spacing w:after="0" w:line="240" w:lineRule="auto"/>
              <w:jc w:val="both"/>
              <w:rPr>
                <w:rFonts w:ascii="Times New Roman" w:hAnsi="Times New Roman" w:cs="Times New Roman"/>
                <w:sz w:val="24"/>
                <w:szCs w:val="24"/>
                <w:highlight w:val="cyan"/>
              </w:rPr>
            </w:pPr>
          </w:p>
          <w:tbl>
            <w:tblPr>
              <w:tblStyle w:val="PlainTable3"/>
              <w:tblW w:w="0" w:type="auto"/>
              <w:tblLook w:val="04A0" w:firstRow="1" w:lastRow="0" w:firstColumn="1" w:lastColumn="0" w:noHBand="0" w:noVBand="1"/>
            </w:tblPr>
            <w:tblGrid>
              <w:gridCol w:w="2060"/>
              <w:gridCol w:w="1170"/>
              <w:gridCol w:w="962"/>
              <w:gridCol w:w="1039"/>
              <w:gridCol w:w="1535"/>
            </w:tblGrid>
            <w:tr w:rsidRPr="0092688A" w:rsidR="009C607B" w:rsidTr="002C3C65" w14:paraId="5F4304E5" w14:textId="77777777">
              <w:trPr>
                <w:cnfStyle w:val="100000000000" w:firstRow="1" w:lastRow="0" w:firstColumn="0" w:lastColumn="0" w:oddVBand="0" w:evenVBand="0" w:oddHBand="0" w:evenHBand="0" w:firstRowFirstColumn="0" w:firstRowLastColumn="0" w:lastRowFirstColumn="0" w:lastRowLastColumn="0"/>
                <w:trHeight w:val="327"/>
              </w:trPr>
              <w:tc>
                <w:tcPr>
                  <w:cnfStyle w:val="001000000100" w:firstRow="0" w:lastRow="0" w:firstColumn="1" w:lastColumn="0" w:oddVBand="0" w:evenVBand="0" w:oddHBand="0" w:evenHBand="0" w:firstRowFirstColumn="1" w:firstRowLastColumn="0" w:lastRowFirstColumn="0" w:lastRowLastColumn="0"/>
                  <w:tcW w:w="2060" w:type="dxa"/>
                </w:tcPr>
                <w:p w:rsidRPr="00A6093B" w:rsidR="009C607B" w:rsidP="009C607B" w:rsidRDefault="009C607B" w14:paraId="142DC14C" w14:textId="77777777">
                  <w:pPr>
                    <w:pStyle w:val="NoSpacing"/>
                    <w:jc w:val="both"/>
                    <w:rPr>
                      <w:rFonts w:ascii="Times New Roman" w:hAnsi="Times New Roman" w:cs="Times New Roman"/>
                      <w:sz w:val="16"/>
                      <w:szCs w:val="16"/>
                    </w:rPr>
                  </w:pPr>
                </w:p>
              </w:tc>
              <w:tc>
                <w:tcPr>
                  <w:tcW w:w="1170" w:type="dxa"/>
                </w:tcPr>
                <w:p w:rsidRPr="00A6093B" w:rsidR="009C607B" w:rsidP="009C607B" w:rsidRDefault="009C607B" w14:paraId="3A5D4565"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2019</w:t>
                  </w:r>
                </w:p>
              </w:tc>
              <w:tc>
                <w:tcPr>
                  <w:tcW w:w="962" w:type="dxa"/>
                </w:tcPr>
                <w:p w:rsidRPr="00A6093B" w:rsidR="009C607B" w:rsidP="009C607B" w:rsidRDefault="009C607B" w14:paraId="273C03CB"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B7E1D">
                    <w:rPr>
                      <w:rFonts w:ascii="Times New Roman" w:hAnsi="Times New Roman" w:cs="Times New Roman"/>
                      <w:sz w:val="16"/>
                      <w:szCs w:val="16"/>
                    </w:rPr>
                    <w:t>2020</w:t>
                  </w:r>
                </w:p>
              </w:tc>
              <w:tc>
                <w:tcPr>
                  <w:tcW w:w="1039" w:type="dxa"/>
                </w:tcPr>
                <w:p w:rsidRPr="00A6093B" w:rsidR="009C607B" w:rsidP="009C607B" w:rsidRDefault="009C607B" w14:paraId="446A3CE4"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B7E1D">
                    <w:rPr>
                      <w:rFonts w:ascii="Times New Roman" w:hAnsi="Times New Roman" w:cs="Times New Roman"/>
                      <w:sz w:val="16"/>
                      <w:szCs w:val="16"/>
                    </w:rPr>
                    <w:t>2021</w:t>
                  </w:r>
                </w:p>
              </w:tc>
              <w:tc>
                <w:tcPr>
                  <w:tcW w:w="1535" w:type="dxa"/>
                </w:tcPr>
                <w:p w:rsidRPr="00A6093B" w:rsidR="009C607B" w:rsidP="009C607B" w:rsidRDefault="009C607B" w14:paraId="3AAECEDF"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B7E1D">
                    <w:rPr>
                      <w:rFonts w:ascii="Times New Roman" w:hAnsi="Times New Roman" w:cs="Times New Roman"/>
                      <w:sz w:val="16"/>
                      <w:szCs w:val="16"/>
                    </w:rPr>
                    <w:t>2022</w:t>
                  </w:r>
                </w:p>
              </w:tc>
            </w:tr>
            <w:tr w:rsidRPr="0092688A" w:rsidR="002C3C65" w:rsidTr="002C3C65" w14:paraId="4BB3DA47"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60" w:type="dxa"/>
                  <w:vAlign w:val="center"/>
                </w:tcPr>
                <w:p w:rsidRPr="00A6093B" w:rsidR="002C3C65" w:rsidP="002C3C65" w:rsidRDefault="002C3C65" w14:paraId="291FB4C3" w14:textId="053CBF94">
                  <w:pPr>
                    <w:pStyle w:val="NoSpacing"/>
                    <w:jc w:val="center"/>
                    <w:rPr>
                      <w:rFonts w:ascii="Times New Roman" w:hAnsi="Times New Roman" w:cs="Times New Roman"/>
                      <w:sz w:val="16"/>
                      <w:szCs w:val="16"/>
                    </w:rPr>
                  </w:pPr>
                  <w:r>
                    <w:rPr>
                      <w:rFonts w:ascii="Times New Roman" w:hAnsi="Times New Roman" w:cs="Times New Roman"/>
                      <w:sz w:val="16"/>
                      <w:szCs w:val="16"/>
                    </w:rPr>
                    <w:t>EV un Remontu centra ietekme pirms izmaiņām**</w:t>
                  </w:r>
                </w:p>
              </w:tc>
              <w:tc>
                <w:tcPr>
                  <w:tcW w:w="1170" w:type="dxa"/>
                  <w:vAlign w:val="center"/>
                </w:tcPr>
                <w:p w:rsidRPr="00A6093B" w:rsidR="002C3C65" w:rsidP="002C3C65" w:rsidRDefault="0094386B" w14:paraId="40666213" w14:textId="1C0CB3D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149 000</w:t>
                  </w:r>
                </w:p>
              </w:tc>
              <w:tc>
                <w:tcPr>
                  <w:tcW w:w="962" w:type="dxa"/>
                  <w:vAlign w:val="center"/>
                </w:tcPr>
                <w:p w:rsidRPr="00A6093B" w:rsidR="002C3C65" w:rsidP="002C3C65" w:rsidRDefault="00B31154" w14:paraId="32CD4673" w14:textId="2C22C40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4 700 000</w:t>
                  </w:r>
                </w:p>
              </w:tc>
              <w:tc>
                <w:tcPr>
                  <w:tcW w:w="1039" w:type="dxa"/>
                  <w:vAlign w:val="center"/>
                </w:tcPr>
                <w:p w:rsidRPr="00A6093B" w:rsidR="002C3C65" w:rsidP="002C3C65" w:rsidRDefault="00B31154" w14:paraId="08147190" w14:textId="5E1E043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9 151 000</w:t>
                  </w:r>
                </w:p>
              </w:tc>
              <w:tc>
                <w:tcPr>
                  <w:tcW w:w="1535" w:type="dxa"/>
                  <w:vAlign w:val="center"/>
                </w:tcPr>
                <w:p w:rsidRPr="00A6093B" w:rsidR="002C3C65" w:rsidP="002C3C65" w:rsidRDefault="00B31154" w14:paraId="1355553E" w14:textId="7F22597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175 441 753</w:t>
                  </w:r>
                </w:p>
              </w:tc>
            </w:tr>
            <w:tr w:rsidRPr="0092688A" w:rsidR="00717636" w:rsidTr="002C3C65" w14:paraId="6BB063B3" w14:textId="77777777">
              <w:trPr>
                <w:trHeight w:val="355"/>
              </w:trPr>
              <w:tc>
                <w:tcPr>
                  <w:cnfStyle w:val="001000000000" w:firstRow="0" w:lastRow="0" w:firstColumn="1" w:lastColumn="0" w:oddVBand="0" w:evenVBand="0" w:oddHBand="0" w:evenHBand="0" w:firstRowFirstColumn="0" w:firstRowLastColumn="0" w:lastRowFirstColumn="0" w:lastRowLastColumn="0"/>
                  <w:tcW w:w="2060" w:type="dxa"/>
                  <w:vAlign w:val="center"/>
                </w:tcPr>
                <w:p w:rsidR="00717636" w:rsidP="002C3C65" w:rsidRDefault="00717636" w14:paraId="51D9B1E0" w14:textId="53462C2A">
                  <w:pPr>
                    <w:pStyle w:val="NoSpacing"/>
                    <w:jc w:val="center"/>
                    <w:rPr>
                      <w:rFonts w:ascii="Times New Roman" w:hAnsi="Times New Roman" w:cs="Times New Roman"/>
                      <w:sz w:val="16"/>
                      <w:szCs w:val="16"/>
                    </w:rPr>
                  </w:pPr>
                  <w:r>
                    <w:rPr>
                      <w:rFonts w:ascii="Times New Roman" w:hAnsi="Times New Roman" w:cs="Times New Roman"/>
                      <w:sz w:val="16"/>
                      <w:szCs w:val="16"/>
                    </w:rPr>
                    <w:t>Ev ražošanas uzraudzības aplēse***</w:t>
                  </w:r>
                </w:p>
              </w:tc>
              <w:tc>
                <w:tcPr>
                  <w:tcW w:w="1170" w:type="dxa"/>
                  <w:vAlign w:val="center"/>
                </w:tcPr>
                <w:p w:rsidRPr="00717636" w:rsidR="00717636" w:rsidP="002C3C65" w:rsidRDefault="00717636" w14:paraId="2789C1CF" w14:textId="095FD1F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717636">
                    <w:rPr>
                      <w:rFonts w:ascii="Times New Roman" w:hAnsi="Times New Roman" w:cs="Times New Roman"/>
                      <w:i/>
                      <w:iCs/>
                      <w:sz w:val="16"/>
                      <w:szCs w:val="16"/>
                    </w:rPr>
                    <w:t>-</w:t>
                  </w:r>
                </w:p>
              </w:tc>
              <w:tc>
                <w:tcPr>
                  <w:tcW w:w="962" w:type="dxa"/>
                  <w:vAlign w:val="center"/>
                </w:tcPr>
                <w:p w:rsidRPr="00717636" w:rsidR="00717636" w:rsidP="002C3C65" w:rsidRDefault="00717636" w14:paraId="6ADCD719" w14:textId="3C076D8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717636">
                    <w:rPr>
                      <w:rFonts w:ascii="Times New Roman" w:hAnsi="Times New Roman" w:cs="Times New Roman"/>
                      <w:i/>
                      <w:iCs/>
                      <w:sz w:val="16"/>
                      <w:szCs w:val="16"/>
                    </w:rPr>
                    <w:t>-</w:t>
                  </w:r>
                </w:p>
              </w:tc>
              <w:tc>
                <w:tcPr>
                  <w:tcW w:w="1039" w:type="dxa"/>
                  <w:vAlign w:val="center"/>
                </w:tcPr>
                <w:p w:rsidRPr="00717636" w:rsidR="00717636" w:rsidP="002C3C65" w:rsidRDefault="00717636" w14:paraId="3534BD10" w14:textId="04021B6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717636">
                    <w:rPr>
                      <w:rFonts w:ascii="Times New Roman" w:hAnsi="Times New Roman" w:cs="Times New Roman"/>
                      <w:i/>
                      <w:iCs/>
                      <w:sz w:val="16"/>
                      <w:szCs w:val="16"/>
                    </w:rPr>
                    <w:t>-</w:t>
                  </w:r>
                </w:p>
              </w:tc>
              <w:tc>
                <w:tcPr>
                  <w:tcW w:w="1535" w:type="dxa"/>
                  <w:vAlign w:val="center"/>
                </w:tcPr>
                <w:p w:rsidRPr="00717636" w:rsidR="00717636" w:rsidP="002C3C65" w:rsidRDefault="00717636" w14:paraId="4345E6B4" w14:textId="09B3AED3">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717636">
                    <w:rPr>
                      <w:rFonts w:ascii="Times New Roman" w:hAnsi="Times New Roman" w:cs="Times New Roman"/>
                      <w:i/>
                      <w:iCs/>
                      <w:sz w:val="16"/>
                      <w:szCs w:val="16"/>
                    </w:rPr>
                    <w:t>1 437 500</w:t>
                  </w:r>
                </w:p>
              </w:tc>
            </w:tr>
            <w:tr w:rsidRPr="0092688A" w:rsidR="002C3C65" w:rsidTr="002C3C65" w14:paraId="46788584" w14:textId="7777777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60" w:type="dxa"/>
                  <w:vAlign w:val="center"/>
                </w:tcPr>
                <w:p w:rsidRPr="00B82EDF" w:rsidR="002C3C65" w:rsidP="002C3C65" w:rsidRDefault="002C3C65" w14:paraId="4DC9BCD2" w14:textId="737F4CDD">
                  <w:pPr>
                    <w:pStyle w:val="NoSpacing"/>
                    <w:jc w:val="center"/>
                    <w:rPr>
                      <w:rFonts w:ascii="Times New Roman" w:hAnsi="Times New Roman" w:cs="Times New Roman"/>
                      <w:i/>
                      <w:iCs/>
                      <w:sz w:val="16"/>
                      <w:szCs w:val="16"/>
                    </w:rPr>
                  </w:pPr>
                  <w:r>
                    <w:rPr>
                      <w:rFonts w:ascii="Times New Roman" w:hAnsi="Times New Roman" w:cs="Times New Roman"/>
                      <w:i/>
                      <w:iCs/>
                      <w:sz w:val="16"/>
                      <w:szCs w:val="16"/>
                    </w:rPr>
                    <w:t>Remontu centra izmaksu aplēšu izmaiņa</w:t>
                  </w:r>
                </w:p>
              </w:tc>
              <w:tc>
                <w:tcPr>
                  <w:tcW w:w="1170" w:type="dxa"/>
                  <w:vAlign w:val="center"/>
                </w:tcPr>
                <w:p w:rsidRPr="00B82EDF" w:rsidR="002C3C65" w:rsidP="002C3C65" w:rsidRDefault="00B31154" w14:paraId="4F5D94C3" w14:textId="389CDEF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w:t>
                  </w:r>
                </w:p>
              </w:tc>
              <w:tc>
                <w:tcPr>
                  <w:tcW w:w="962" w:type="dxa"/>
                  <w:vAlign w:val="center"/>
                </w:tcPr>
                <w:p w:rsidRPr="00B31154" w:rsidR="002C3C65" w:rsidP="002C3C65" w:rsidRDefault="00B31154" w14:paraId="5420D9D3" w14:textId="7BA6EF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B31154">
                    <w:rPr>
                      <w:rFonts w:ascii="Times New Roman" w:hAnsi="Times New Roman" w:cs="Times New Roman"/>
                      <w:i/>
                      <w:iCs/>
                      <w:sz w:val="16"/>
                      <w:szCs w:val="16"/>
                    </w:rPr>
                    <w:t>-4 700 000</w:t>
                  </w:r>
                </w:p>
              </w:tc>
              <w:tc>
                <w:tcPr>
                  <w:tcW w:w="1039" w:type="dxa"/>
                  <w:vAlign w:val="center"/>
                </w:tcPr>
                <w:p w:rsidRPr="00B82EDF" w:rsidR="002C3C65" w:rsidP="002C3C65" w:rsidRDefault="00B31154" w14:paraId="0B515D74" w14:textId="2C34C56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-9 092 000</w:t>
                  </w:r>
                </w:p>
              </w:tc>
              <w:tc>
                <w:tcPr>
                  <w:tcW w:w="1535" w:type="dxa"/>
                  <w:vAlign w:val="center"/>
                </w:tcPr>
                <w:p w:rsidRPr="00B82EDF" w:rsidR="002C3C65" w:rsidDel="006918A9" w:rsidP="002C3C65" w:rsidRDefault="00B31154" w14:paraId="4B7AF0E6" w14:textId="168E67A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989 238</w:t>
                  </w:r>
                </w:p>
              </w:tc>
            </w:tr>
            <w:tr w:rsidRPr="0092688A" w:rsidR="00717636" w:rsidTr="002C3C65" w14:paraId="435D4B0F" w14:textId="77777777">
              <w:trPr>
                <w:trHeight w:val="354"/>
              </w:trPr>
              <w:tc>
                <w:tcPr>
                  <w:cnfStyle w:val="001000000000" w:firstRow="0" w:lastRow="0" w:firstColumn="1" w:lastColumn="0" w:oddVBand="0" w:evenVBand="0" w:oddHBand="0" w:evenHBand="0" w:firstRowFirstColumn="0" w:firstRowLastColumn="0" w:lastRowFirstColumn="0" w:lastRowLastColumn="0"/>
                  <w:tcW w:w="2060" w:type="dxa"/>
                  <w:vAlign w:val="center"/>
                </w:tcPr>
                <w:p w:rsidR="00717636" w:rsidP="002C3C65" w:rsidRDefault="00717636" w14:paraId="09A6FF79" w14:textId="47001D2A">
                  <w:pPr>
                    <w:pStyle w:val="NoSpacing"/>
                    <w:jc w:val="center"/>
                    <w:rPr>
                      <w:rFonts w:ascii="Times New Roman" w:hAnsi="Times New Roman" w:cs="Times New Roman"/>
                      <w:i/>
                      <w:iCs/>
                      <w:sz w:val="16"/>
                      <w:szCs w:val="16"/>
                    </w:rPr>
                  </w:pPr>
                  <w:r>
                    <w:rPr>
                      <w:rFonts w:ascii="Times New Roman" w:hAnsi="Times New Roman" w:cs="Times New Roman"/>
                      <w:i/>
                      <w:iCs/>
                      <w:sz w:val="16"/>
                      <w:szCs w:val="16"/>
                    </w:rPr>
                    <w:t>ES Fondu līdzfinansējuma piesaiste</w:t>
                  </w:r>
                </w:p>
              </w:tc>
              <w:tc>
                <w:tcPr>
                  <w:tcW w:w="1170" w:type="dxa"/>
                  <w:vAlign w:val="center"/>
                </w:tcPr>
                <w:p w:rsidR="00717636" w:rsidP="002C3C65" w:rsidRDefault="00717636" w14:paraId="66A38698" w14:textId="6A6BB0C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w:t>
                  </w:r>
                </w:p>
              </w:tc>
              <w:tc>
                <w:tcPr>
                  <w:tcW w:w="962" w:type="dxa"/>
                  <w:vAlign w:val="center"/>
                </w:tcPr>
                <w:p w:rsidR="00717636" w:rsidP="002C3C65" w:rsidRDefault="00717636" w14:paraId="2A6F538E" w14:textId="406A421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t>
                  </w:r>
                </w:p>
              </w:tc>
              <w:tc>
                <w:tcPr>
                  <w:tcW w:w="1039" w:type="dxa"/>
                  <w:vAlign w:val="center"/>
                </w:tcPr>
                <w:p w:rsidR="00717636" w:rsidP="002C3C65" w:rsidRDefault="00717636" w14:paraId="0BE53C5D" w14:textId="4776979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w:t>
                  </w:r>
                </w:p>
              </w:tc>
              <w:tc>
                <w:tcPr>
                  <w:tcW w:w="1535" w:type="dxa"/>
                  <w:vAlign w:val="center"/>
                </w:tcPr>
                <w:p w:rsidR="00717636" w:rsidP="002C3C65" w:rsidRDefault="00717636" w14:paraId="74498417" w14:textId="33A873A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-114 211 073</w:t>
                  </w:r>
                </w:p>
              </w:tc>
            </w:tr>
            <w:tr w:rsidRPr="0092688A" w:rsidR="002C3C65" w:rsidTr="002C3C65" w14:paraId="1DADC359" w14:textId="7777777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60" w:type="dxa"/>
                  <w:vAlign w:val="center"/>
                </w:tcPr>
                <w:p w:rsidRPr="000252B0" w:rsidR="002C3C65" w:rsidP="002C3C65" w:rsidRDefault="002C3C65" w14:paraId="18A6EA41" w14:textId="260CAC7F">
                  <w:pPr>
                    <w:pStyle w:val="NoSpacing"/>
                    <w:jc w:val="center"/>
                    <w:rPr>
                      <w:rFonts w:ascii="Times New Roman" w:hAnsi="Times New Roman" w:cs="Times New Roman"/>
                      <w:sz w:val="16"/>
                      <w:szCs w:val="16"/>
                    </w:rPr>
                  </w:pPr>
                  <w:r>
                    <w:rPr>
                      <w:rFonts w:ascii="Times New Roman" w:hAnsi="Times New Roman" w:cs="Times New Roman"/>
                      <w:sz w:val="16"/>
                      <w:szCs w:val="16"/>
                    </w:rPr>
                    <w:t>Pēc izmaiņām EV un REMONTU centra projektos</w:t>
                  </w:r>
                </w:p>
              </w:tc>
              <w:tc>
                <w:tcPr>
                  <w:tcW w:w="1170" w:type="dxa"/>
                  <w:vAlign w:val="center"/>
                </w:tcPr>
                <w:p w:rsidRPr="000252B0" w:rsidR="002C3C65" w:rsidP="002C3C65" w:rsidRDefault="00B31154" w14:paraId="56757629" w14:textId="15859F1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149 000</w:t>
                  </w:r>
                </w:p>
              </w:tc>
              <w:tc>
                <w:tcPr>
                  <w:tcW w:w="962" w:type="dxa"/>
                  <w:vAlign w:val="center"/>
                </w:tcPr>
                <w:p w:rsidRPr="000252B0" w:rsidR="002C3C65" w:rsidP="002C3C65" w:rsidRDefault="002C3C65" w14:paraId="7342E5B9" w14:textId="3FC015A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t>
                  </w:r>
                </w:p>
              </w:tc>
              <w:tc>
                <w:tcPr>
                  <w:tcW w:w="1039" w:type="dxa"/>
                  <w:vAlign w:val="center"/>
                </w:tcPr>
                <w:p w:rsidRPr="000252B0" w:rsidR="002C3C65" w:rsidDel="006918A9" w:rsidP="002C3C65" w:rsidRDefault="00B31154" w14:paraId="6873DA73" w14:textId="1E10F02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59 000</w:t>
                  </w:r>
                </w:p>
              </w:tc>
              <w:tc>
                <w:tcPr>
                  <w:tcW w:w="1535" w:type="dxa"/>
                  <w:vAlign w:val="center"/>
                </w:tcPr>
                <w:p w:rsidRPr="000252B0" w:rsidR="002C3C65" w:rsidDel="006918A9" w:rsidP="002C3C65" w:rsidRDefault="00B31154" w14:paraId="3F904B83" w14:textId="6B80E77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63 657 418</w:t>
                  </w:r>
                </w:p>
              </w:tc>
            </w:tr>
          </w:tbl>
          <w:p w:rsidRPr="00A6093B" w:rsidR="009C607B" w:rsidP="009C607B" w:rsidRDefault="009C607B" w14:paraId="0B89CF1E" w14:textId="77777777">
            <w:pPr>
              <w:pStyle w:val="NoSpacing"/>
              <w:rPr>
                <w:rFonts w:ascii="Times New Roman" w:hAnsi="Times New Roman" w:cs="Times New Roman"/>
                <w:sz w:val="16"/>
                <w:szCs w:val="16"/>
              </w:rPr>
            </w:pPr>
          </w:p>
          <w:tbl>
            <w:tblPr>
              <w:tblStyle w:val="PlainTable3"/>
              <w:tblW w:w="0" w:type="auto"/>
              <w:tblLook w:val="04A0" w:firstRow="1" w:lastRow="0" w:firstColumn="1" w:lastColumn="0" w:noHBand="0" w:noVBand="1"/>
            </w:tblPr>
            <w:tblGrid>
              <w:gridCol w:w="2050"/>
              <w:gridCol w:w="978"/>
              <w:gridCol w:w="974"/>
              <w:gridCol w:w="1447"/>
              <w:gridCol w:w="1317"/>
            </w:tblGrid>
            <w:tr w:rsidRPr="0092688A" w:rsidR="009C607B" w:rsidTr="002C3C65" w14:paraId="7A747423" w14:textId="77777777">
              <w:trPr>
                <w:cnfStyle w:val="100000000000" w:firstRow="1" w:lastRow="0" w:firstColumn="0" w:lastColumn="0" w:oddVBand="0" w:evenVBand="0" w:oddHBand="0" w:evenHBand="0" w:firstRowFirstColumn="0" w:firstRowLastColumn="0" w:lastRowFirstColumn="0" w:lastRowLastColumn="0"/>
                <w:trHeight w:val="303"/>
              </w:trPr>
              <w:tc>
                <w:tcPr>
                  <w:cnfStyle w:val="001000000100" w:firstRow="0" w:lastRow="0" w:firstColumn="1" w:lastColumn="0" w:oddVBand="0" w:evenVBand="0" w:oddHBand="0" w:evenHBand="0" w:firstRowFirstColumn="1" w:firstRowLastColumn="0" w:lastRowFirstColumn="0" w:lastRowLastColumn="0"/>
                  <w:tcW w:w="2050" w:type="dxa"/>
                </w:tcPr>
                <w:p w:rsidRPr="00A6093B" w:rsidR="009C607B" w:rsidP="009C607B" w:rsidRDefault="009C607B" w14:paraId="40DB752F" w14:textId="77777777">
                  <w:pPr>
                    <w:pStyle w:val="NoSpacing"/>
                    <w:jc w:val="both"/>
                    <w:rPr>
                      <w:rFonts w:ascii="Times New Roman" w:hAnsi="Times New Roman" w:cs="Times New Roman"/>
                      <w:sz w:val="16"/>
                      <w:szCs w:val="16"/>
                    </w:rPr>
                  </w:pPr>
                </w:p>
              </w:tc>
              <w:tc>
                <w:tcPr>
                  <w:tcW w:w="978" w:type="dxa"/>
                </w:tcPr>
                <w:p w:rsidRPr="00A6093B" w:rsidR="009C607B" w:rsidP="009C607B" w:rsidRDefault="009C607B" w14:paraId="3E2B6A42"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2023</w:t>
                  </w:r>
                </w:p>
              </w:tc>
              <w:tc>
                <w:tcPr>
                  <w:tcW w:w="974" w:type="dxa"/>
                </w:tcPr>
                <w:p w:rsidRPr="00A6093B" w:rsidR="009C607B" w:rsidP="009C607B" w:rsidRDefault="009C607B" w14:paraId="22984C2E"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2024</w:t>
                  </w:r>
                </w:p>
              </w:tc>
              <w:tc>
                <w:tcPr>
                  <w:tcW w:w="1447" w:type="dxa"/>
                </w:tcPr>
                <w:p w:rsidRPr="00A6093B" w:rsidR="009C607B" w:rsidP="009C607B" w:rsidRDefault="009C607B" w14:paraId="47AF5142"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093B">
                    <w:rPr>
                      <w:rFonts w:ascii="Times New Roman" w:hAnsi="Times New Roman" w:cs="Times New Roman"/>
                      <w:sz w:val="16"/>
                      <w:szCs w:val="16"/>
                    </w:rPr>
                    <w:t>2025</w:t>
                  </w:r>
                </w:p>
              </w:tc>
              <w:tc>
                <w:tcPr>
                  <w:tcW w:w="1317" w:type="dxa"/>
                </w:tcPr>
                <w:p w:rsidRPr="0092688A" w:rsidR="009C607B" w:rsidP="009C607B" w:rsidRDefault="009C607B" w14:paraId="2BCD34EF"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KOPā</w:t>
                  </w:r>
                </w:p>
              </w:tc>
            </w:tr>
            <w:tr w:rsidRPr="0092688A" w:rsidR="002C3C65" w:rsidTr="002C3C65" w14:paraId="38BF602C" w14:textId="77777777">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050" w:type="dxa"/>
                  <w:vAlign w:val="center"/>
                </w:tcPr>
                <w:p w:rsidRPr="00A6093B" w:rsidR="002C3C65" w:rsidP="002C3C65" w:rsidRDefault="002C3C65" w14:paraId="60984F36" w14:textId="6177B1FD">
                  <w:pPr>
                    <w:pStyle w:val="NoSpacing"/>
                    <w:jc w:val="center"/>
                    <w:rPr>
                      <w:rFonts w:ascii="Times New Roman" w:hAnsi="Times New Roman" w:cs="Times New Roman"/>
                      <w:sz w:val="16"/>
                      <w:szCs w:val="16"/>
                    </w:rPr>
                  </w:pPr>
                  <w:r>
                    <w:rPr>
                      <w:rFonts w:ascii="Times New Roman" w:hAnsi="Times New Roman" w:cs="Times New Roman"/>
                      <w:sz w:val="16"/>
                      <w:szCs w:val="16"/>
                    </w:rPr>
                    <w:t>EV un Remontu centra ietekme pirms izmaiņām**</w:t>
                  </w:r>
                </w:p>
              </w:tc>
              <w:tc>
                <w:tcPr>
                  <w:tcW w:w="978" w:type="dxa"/>
                  <w:vAlign w:val="center"/>
                </w:tcPr>
                <w:p w:rsidRPr="00A6093B" w:rsidR="002C3C65" w:rsidP="002C3C65" w:rsidRDefault="002C3C65" w14:paraId="4E23A50E" w14:textId="24FECE1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66 447</w:t>
                  </w:r>
                  <w:r w:rsidR="0094386B">
                    <w:rPr>
                      <w:rFonts w:ascii="Times New Roman" w:hAnsi="Times New Roman" w:cs="Times New Roman"/>
                      <w:sz w:val="16"/>
                      <w:szCs w:val="16"/>
                    </w:rPr>
                    <w:t> </w:t>
                  </w:r>
                  <w:r>
                    <w:rPr>
                      <w:rFonts w:ascii="Times New Roman" w:hAnsi="Times New Roman" w:cs="Times New Roman"/>
                      <w:sz w:val="16"/>
                      <w:szCs w:val="16"/>
                    </w:rPr>
                    <w:t>000</w:t>
                  </w:r>
                </w:p>
              </w:tc>
              <w:tc>
                <w:tcPr>
                  <w:tcW w:w="974" w:type="dxa"/>
                  <w:vAlign w:val="center"/>
                </w:tcPr>
                <w:p w:rsidRPr="00A6093B" w:rsidR="002C3C65" w:rsidP="002C3C65" w:rsidRDefault="002C3C65" w14:paraId="487FED24" w14:textId="7DF6309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t>
                  </w:r>
                </w:p>
              </w:tc>
              <w:tc>
                <w:tcPr>
                  <w:tcW w:w="1447" w:type="dxa"/>
                  <w:vAlign w:val="center"/>
                </w:tcPr>
                <w:p w:rsidRPr="00A6093B" w:rsidR="002C3C65" w:rsidP="002C3C65" w:rsidRDefault="002C3C65" w14:paraId="6EB95CDC" w14:textId="68B2D54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t>
                  </w:r>
                </w:p>
              </w:tc>
              <w:tc>
                <w:tcPr>
                  <w:tcW w:w="1317" w:type="dxa"/>
                  <w:vAlign w:val="center"/>
                </w:tcPr>
                <w:p w:rsidRPr="00717636" w:rsidR="002C3C65" w:rsidP="002C3C65" w:rsidRDefault="002C3C65" w14:paraId="582C5B82" w14:textId="2FAC656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717636">
                    <w:rPr>
                      <w:rFonts w:ascii="Times New Roman" w:hAnsi="Times New Roman" w:cs="Times New Roman"/>
                      <w:b/>
                      <w:bCs/>
                      <w:sz w:val="16"/>
                      <w:szCs w:val="16"/>
                    </w:rPr>
                    <w:t>255 888 753</w:t>
                  </w:r>
                </w:p>
              </w:tc>
            </w:tr>
            <w:tr w:rsidRPr="0092688A" w:rsidR="00717636" w:rsidTr="00717636" w14:paraId="64D821C0" w14:textId="77777777">
              <w:trPr>
                <w:trHeight w:val="361"/>
              </w:trPr>
              <w:tc>
                <w:tcPr>
                  <w:cnfStyle w:val="001000000000" w:firstRow="0" w:lastRow="0" w:firstColumn="1" w:lastColumn="0" w:oddVBand="0" w:evenVBand="0" w:oddHBand="0" w:evenHBand="0" w:firstRowFirstColumn="0" w:firstRowLastColumn="0" w:lastRowFirstColumn="0" w:lastRowLastColumn="0"/>
                  <w:tcW w:w="2050" w:type="dxa"/>
                  <w:vAlign w:val="center"/>
                </w:tcPr>
                <w:p w:rsidR="00717636" w:rsidP="00717636" w:rsidRDefault="00717636" w14:paraId="5C6B9D12" w14:textId="6F0D1063">
                  <w:pPr>
                    <w:pStyle w:val="NoSpacing"/>
                    <w:jc w:val="center"/>
                    <w:rPr>
                      <w:rFonts w:ascii="Times New Roman" w:hAnsi="Times New Roman" w:cs="Times New Roman"/>
                      <w:sz w:val="16"/>
                      <w:szCs w:val="16"/>
                    </w:rPr>
                  </w:pPr>
                  <w:r>
                    <w:rPr>
                      <w:rFonts w:ascii="Times New Roman" w:hAnsi="Times New Roman" w:cs="Times New Roman"/>
                      <w:sz w:val="16"/>
                      <w:szCs w:val="16"/>
                    </w:rPr>
                    <w:t>Ev ražošanas uzraudzības aplēse***</w:t>
                  </w:r>
                </w:p>
              </w:tc>
              <w:tc>
                <w:tcPr>
                  <w:tcW w:w="978" w:type="dxa"/>
                  <w:vAlign w:val="center"/>
                </w:tcPr>
                <w:p w:rsidRPr="00717636" w:rsidR="00717636" w:rsidP="00717636" w:rsidRDefault="00717636" w14:paraId="27759EE5" w14:textId="5F6CBB5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717636">
                    <w:rPr>
                      <w:rFonts w:ascii="Times New Roman" w:hAnsi="Times New Roman" w:cs="Times New Roman"/>
                      <w:i/>
                      <w:iCs/>
                      <w:sz w:val="16"/>
                      <w:szCs w:val="16"/>
                    </w:rPr>
                    <w:t>562 500</w:t>
                  </w:r>
                </w:p>
              </w:tc>
              <w:tc>
                <w:tcPr>
                  <w:tcW w:w="974" w:type="dxa"/>
                  <w:vAlign w:val="center"/>
                </w:tcPr>
                <w:p w:rsidRPr="00717636" w:rsidR="00717636" w:rsidP="00717636" w:rsidRDefault="00717636" w14:paraId="665D8B7C" w14:textId="224FE723">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717636">
                    <w:rPr>
                      <w:rFonts w:ascii="Times New Roman" w:hAnsi="Times New Roman" w:cs="Times New Roman"/>
                      <w:i/>
                      <w:iCs/>
                      <w:sz w:val="16"/>
                      <w:szCs w:val="16"/>
                    </w:rPr>
                    <w:t>-</w:t>
                  </w:r>
                </w:p>
              </w:tc>
              <w:tc>
                <w:tcPr>
                  <w:tcW w:w="1447" w:type="dxa"/>
                  <w:vAlign w:val="center"/>
                </w:tcPr>
                <w:p w:rsidRPr="00717636" w:rsidR="00717636" w:rsidP="00717636" w:rsidRDefault="00717636" w14:paraId="2DBCFB26" w14:textId="6E62F14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717636">
                    <w:rPr>
                      <w:rFonts w:ascii="Times New Roman" w:hAnsi="Times New Roman" w:cs="Times New Roman"/>
                      <w:i/>
                      <w:iCs/>
                      <w:sz w:val="16"/>
                      <w:szCs w:val="16"/>
                    </w:rPr>
                    <w:t>-</w:t>
                  </w:r>
                </w:p>
              </w:tc>
              <w:tc>
                <w:tcPr>
                  <w:tcW w:w="1317" w:type="dxa"/>
                  <w:vAlign w:val="center"/>
                </w:tcPr>
                <w:p w:rsidRPr="00717636" w:rsidR="00717636" w:rsidP="00717636" w:rsidRDefault="00717636" w14:paraId="45FBB83F" w14:textId="3B5A3D6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6"/>
                    </w:rPr>
                  </w:pPr>
                  <w:r w:rsidRPr="00717636">
                    <w:rPr>
                      <w:rFonts w:ascii="Times New Roman" w:hAnsi="Times New Roman" w:cs="Times New Roman"/>
                      <w:b/>
                      <w:bCs/>
                      <w:i/>
                      <w:iCs/>
                      <w:sz w:val="16"/>
                      <w:szCs w:val="16"/>
                    </w:rPr>
                    <w:t>2 000 000</w:t>
                  </w:r>
                </w:p>
              </w:tc>
            </w:tr>
            <w:tr w:rsidRPr="0092688A" w:rsidR="00717636" w:rsidTr="002C3C65" w14:paraId="406F95E0" w14:textId="7777777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050" w:type="dxa"/>
                  <w:vAlign w:val="center"/>
                </w:tcPr>
                <w:p w:rsidRPr="00B82EDF" w:rsidR="00717636" w:rsidP="00717636" w:rsidRDefault="00717636" w14:paraId="20D93893" w14:textId="68DA33F8">
                  <w:pPr>
                    <w:pStyle w:val="NoSpacing"/>
                    <w:jc w:val="center"/>
                    <w:rPr>
                      <w:rFonts w:ascii="Times New Roman" w:hAnsi="Times New Roman" w:cs="Times New Roman"/>
                      <w:i/>
                      <w:iCs/>
                      <w:sz w:val="16"/>
                      <w:szCs w:val="16"/>
                    </w:rPr>
                  </w:pPr>
                  <w:r>
                    <w:rPr>
                      <w:rFonts w:ascii="Times New Roman" w:hAnsi="Times New Roman" w:cs="Times New Roman"/>
                      <w:i/>
                      <w:iCs/>
                      <w:sz w:val="16"/>
                      <w:szCs w:val="16"/>
                    </w:rPr>
                    <w:t>Remontu centra izmaksu aplēšu izmaiņa</w:t>
                  </w:r>
                </w:p>
              </w:tc>
              <w:tc>
                <w:tcPr>
                  <w:tcW w:w="978" w:type="dxa"/>
                  <w:vAlign w:val="center"/>
                </w:tcPr>
                <w:p w:rsidRPr="00B82EDF" w:rsidR="00717636" w:rsidP="00717636" w:rsidRDefault="00B31154" w14:paraId="485C28E8" w14:textId="58E1D74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4 989 200</w:t>
                  </w:r>
                </w:p>
              </w:tc>
              <w:tc>
                <w:tcPr>
                  <w:tcW w:w="974" w:type="dxa"/>
                  <w:vAlign w:val="center"/>
                </w:tcPr>
                <w:p w:rsidRPr="00B82EDF" w:rsidR="00717636" w:rsidP="00717636" w:rsidRDefault="00B31154" w14:paraId="129A2D64" w14:textId="500EB98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5 860 172</w:t>
                  </w:r>
                </w:p>
              </w:tc>
              <w:tc>
                <w:tcPr>
                  <w:tcW w:w="1447" w:type="dxa"/>
                  <w:vAlign w:val="center"/>
                </w:tcPr>
                <w:p w:rsidRPr="00B82EDF" w:rsidR="00717636" w:rsidP="00717636" w:rsidRDefault="00B31154" w14:paraId="3FCC1864" w14:textId="6E4E7F4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1 953 390</w:t>
                  </w:r>
                </w:p>
              </w:tc>
              <w:tc>
                <w:tcPr>
                  <w:tcW w:w="1317" w:type="dxa"/>
                  <w:vAlign w:val="center"/>
                </w:tcPr>
                <w:p w:rsidRPr="00B82EDF" w:rsidR="00717636" w:rsidP="00717636" w:rsidRDefault="0058470F" w14:paraId="13D07D9C" w14:textId="4123549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6"/>
                      <w:szCs w:val="16"/>
                    </w:rPr>
                  </w:pPr>
                  <w:r>
                    <w:rPr>
                      <w:rFonts w:ascii="Times New Roman" w:hAnsi="Times New Roman" w:cs="Times New Roman"/>
                      <w:b/>
                      <w:bCs/>
                      <w:i/>
                      <w:iCs/>
                      <w:sz w:val="16"/>
                      <w:szCs w:val="16"/>
                    </w:rPr>
                    <w:t>-</w:t>
                  </w:r>
                </w:p>
              </w:tc>
            </w:tr>
            <w:tr w:rsidRPr="0092688A" w:rsidR="00717636" w:rsidTr="002C3C65" w14:paraId="1F02DC7A" w14:textId="77777777">
              <w:trPr>
                <w:trHeight w:val="327"/>
              </w:trPr>
              <w:tc>
                <w:tcPr>
                  <w:cnfStyle w:val="001000000000" w:firstRow="0" w:lastRow="0" w:firstColumn="1" w:lastColumn="0" w:oddVBand="0" w:evenVBand="0" w:oddHBand="0" w:evenHBand="0" w:firstRowFirstColumn="0" w:firstRowLastColumn="0" w:lastRowFirstColumn="0" w:lastRowLastColumn="0"/>
                  <w:tcW w:w="2050" w:type="dxa"/>
                  <w:vAlign w:val="center"/>
                </w:tcPr>
                <w:p w:rsidR="00717636" w:rsidP="00717636" w:rsidRDefault="00717636" w14:paraId="38B27626" w14:textId="04C90A2B">
                  <w:pPr>
                    <w:pStyle w:val="NoSpacing"/>
                    <w:jc w:val="center"/>
                    <w:rPr>
                      <w:rFonts w:ascii="Times New Roman" w:hAnsi="Times New Roman" w:cs="Times New Roman"/>
                      <w:i/>
                      <w:iCs/>
                      <w:sz w:val="16"/>
                      <w:szCs w:val="16"/>
                    </w:rPr>
                  </w:pPr>
                  <w:r>
                    <w:rPr>
                      <w:rFonts w:ascii="Times New Roman" w:hAnsi="Times New Roman" w:cs="Times New Roman"/>
                      <w:i/>
                      <w:iCs/>
                      <w:sz w:val="16"/>
                      <w:szCs w:val="16"/>
                    </w:rPr>
                    <w:t>ES Fondu līdzfinansējuma piesaiste</w:t>
                  </w:r>
                </w:p>
              </w:tc>
              <w:tc>
                <w:tcPr>
                  <w:tcW w:w="978" w:type="dxa"/>
                  <w:vAlign w:val="center"/>
                </w:tcPr>
                <w:p w:rsidR="00717636" w:rsidP="00717636" w:rsidRDefault="00717636" w14:paraId="316B5DE2" w14:textId="2F97C7B3">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w:t>
                  </w:r>
                </w:p>
              </w:tc>
              <w:tc>
                <w:tcPr>
                  <w:tcW w:w="974" w:type="dxa"/>
                  <w:vAlign w:val="center"/>
                </w:tcPr>
                <w:p w:rsidR="00717636" w:rsidP="00717636" w:rsidRDefault="00717636" w14:paraId="7EFD64EA" w14:textId="6CD4DAB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w:t>
                  </w:r>
                </w:p>
              </w:tc>
              <w:tc>
                <w:tcPr>
                  <w:tcW w:w="1447" w:type="dxa"/>
                  <w:vAlign w:val="center"/>
                </w:tcPr>
                <w:p w:rsidR="00717636" w:rsidP="00717636" w:rsidRDefault="00717636" w14:paraId="5A155F97" w14:textId="3CD7A3A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Pr>
                      <w:rFonts w:ascii="Times New Roman" w:hAnsi="Times New Roman" w:cs="Times New Roman"/>
                      <w:i/>
                      <w:iCs/>
                      <w:sz w:val="16"/>
                      <w:szCs w:val="16"/>
                    </w:rPr>
                    <w:t>-</w:t>
                  </w:r>
                </w:p>
              </w:tc>
              <w:tc>
                <w:tcPr>
                  <w:tcW w:w="1317" w:type="dxa"/>
                  <w:vAlign w:val="center"/>
                </w:tcPr>
                <w:p w:rsidR="00717636" w:rsidP="00717636" w:rsidRDefault="00717636" w14:paraId="010103FE" w14:textId="29788A5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6"/>
                    </w:rPr>
                  </w:pPr>
                  <w:r>
                    <w:rPr>
                      <w:rFonts w:ascii="Times New Roman" w:hAnsi="Times New Roman" w:cs="Times New Roman"/>
                      <w:b/>
                      <w:bCs/>
                      <w:i/>
                      <w:iCs/>
                      <w:sz w:val="16"/>
                      <w:szCs w:val="16"/>
                    </w:rPr>
                    <w:t>-114 211 073</w:t>
                  </w:r>
                </w:p>
              </w:tc>
            </w:tr>
            <w:tr w:rsidRPr="0092688A" w:rsidR="00717636" w:rsidTr="002C3C65" w14:paraId="039AA025" w14:textId="7777777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050" w:type="dxa"/>
                  <w:vAlign w:val="center"/>
                </w:tcPr>
                <w:p w:rsidRPr="0092688A" w:rsidR="00717636" w:rsidP="00717636" w:rsidRDefault="00717636" w14:paraId="13D581CD" w14:textId="75BF811C">
                  <w:pPr>
                    <w:pStyle w:val="NoSpacing"/>
                    <w:jc w:val="center"/>
                    <w:rPr>
                      <w:rFonts w:ascii="Times New Roman" w:hAnsi="Times New Roman" w:cs="Times New Roman"/>
                      <w:sz w:val="16"/>
                      <w:szCs w:val="16"/>
                    </w:rPr>
                  </w:pPr>
                  <w:r>
                    <w:rPr>
                      <w:rFonts w:ascii="Times New Roman" w:hAnsi="Times New Roman" w:cs="Times New Roman"/>
                      <w:sz w:val="16"/>
                      <w:szCs w:val="16"/>
                    </w:rPr>
                    <w:t>Pēc izmaiņām EV un REMONTU centra projektos</w:t>
                  </w:r>
                </w:p>
              </w:tc>
              <w:tc>
                <w:tcPr>
                  <w:tcW w:w="978" w:type="dxa"/>
                  <w:vAlign w:val="center"/>
                </w:tcPr>
                <w:p w:rsidRPr="009A6288" w:rsidR="00717636" w:rsidDel="006918A9" w:rsidP="00717636" w:rsidRDefault="00B31154" w14:paraId="00E15DA2" w14:textId="40DCA94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71 998 700</w:t>
                  </w:r>
                </w:p>
              </w:tc>
              <w:tc>
                <w:tcPr>
                  <w:tcW w:w="974" w:type="dxa"/>
                  <w:vAlign w:val="center"/>
                </w:tcPr>
                <w:p w:rsidRPr="009A6288" w:rsidR="00717636" w:rsidP="00717636" w:rsidRDefault="00B31154" w14:paraId="60D1C041" w14:textId="00E62F2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5 860 172</w:t>
                  </w:r>
                </w:p>
              </w:tc>
              <w:tc>
                <w:tcPr>
                  <w:tcW w:w="1447" w:type="dxa"/>
                  <w:vAlign w:val="center"/>
                </w:tcPr>
                <w:p w:rsidRPr="009A6288" w:rsidR="00717636" w:rsidP="00717636" w:rsidRDefault="00B31154" w14:paraId="69C9647D" w14:textId="2ADEBEF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1 953 390</w:t>
                  </w:r>
                </w:p>
              </w:tc>
              <w:tc>
                <w:tcPr>
                  <w:tcW w:w="1317" w:type="dxa"/>
                  <w:vAlign w:val="center"/>
                </w:tcPr>
                <w:p w:rsidRPr="009A6288" w:rsidR="00717636" w:rsidP="00717636" w:rsidRDefault="002C10F3" w14:paraId="6E2103C5" w14:textId="17BE2DD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Pr>
                      <w:rFonts w:ascii="Times New Roman" w:hAnsi="Times New Roman" w:cs="Times New Roman"/>
                      <w:b/>
                      <w:bCs/>
                      <w:sz w:val="16"/>
                      <w:szCs w:val="16"/>
                    </w:rPr>
                    <w:t>143 677 680</w:t>
                  </w:r>
                </w:p>
              </w:tc>
            </w:tr>
          </w:tbl>
          <w:p w:rsidR="009C607B" w:rsidP="009C607B" w:rsidRDefault="009C607B" w14:paraId="34B8129B" w14:textId="77777777">
            <w:pPr>
              <w:pStyle w:val="NoSpacing"/>
              <w:jc w:val="both"/>
              <w:rPr>
                <w:rFonts w:ascii="Times New Roman" w:hAnsi="Times New Roman" w:cs="Times New Roman" w:eastAsiaTheme="minorHAnsi"/>
                <w:i/>
                <w:iCs/>
                <w:sz w:val="24"/>
                <w:szCs w:val="24"/>
              </w:rPr>
            </w:pPr>
            <w:r w:rsidRPr="00F73246">
              <w:rPr>
                <w:rFonts w:ascii="Times New Roman" w:hAnsi="Times New Roman" w:cs="Times New Roman"/>
                <w:i/>
                <w:iCs/>
                <w:sz w:val="24"/>
                <w:szCs w:val="24"/>
              </w:rPr>
              <w:t xml:space="preserve">*Izmaiņas bez mīnuss zīmes apzīmē </w:t>
            </w:r>
            <w:r>
              <w:rPr>
                <w:rFonts w:ascii="Times New Roman" w:hAnsi="Times New Roman" w:cs="Times New Roman"/>
                <w:i/>
                <w:iCs/>
                <w:sz w:val="24"/>
                <w:szCs w:val="24"/>
              </w:rPr>
              <w:t>negatīvu</w:t>
            </w:r>
            <w:r w:rsidRPr="00F73246">
              <w:rPr>
                <w:rFonts w:ascii="Times New Roman" w:hAnsi="Times New Roman" w:cs="Times New Roman"/>
                <w:i/>
                <w:iCs/>
                <w:sz w:val="24"/>
                <w:szCs w:val="24"/>
              </w:rPr>
              <w:t xml:space="preserve"> ietekmi uz vispārējās valdības budžetu.</w:t>
            </w:r>
          </w:p>
          <w:p w:rsidR="00717636" w:rsidP="009C607B" w:rsidRDefault="009C607B" w14:paraId="4F586BB7" w14:textId="25B9096A">
            <w:pPr>
              <w:pStyle w:val="NoSpacing"/>
              <w:jc w:val="both"/>
              <w:rPr>
                <w:rFonts w:ascii="Times New Roman" w:hAnsi="Times New Roman" w:cs="Times New Roman" w:eastAsiaTheme="minorHAnsi"/>
                <w:i/>
                <w:iCs/>
                <w:sz w:val="24"/>
                <w:szCs w:val="24"/>
              </w:rPr>
            </w:pPr>
            <w:r>
              <w:rPr>
                <w:rFonts w:ascii="Times New Roman" w:hAnsi="Times New Roman" w:cs="Times New Roman" w:eastAsiaTheme="minorHAnsi"/>
                <w:i/>
                <w:iCs/>
                <w:sz w:val="24"/>
                <w:szCs w:val="24"/>
              </w:rPr>
              <w:t>** I</w:t>
            </w:r>
            <w:r w:rsidRPr="00D91D7B">
              <w:rPr>
                <w:rFonts w:ascii="Times New Roman" w:hAnsi="Times New Roman" w:cs="Times New Roman" w:eastAsiaTheme="minorHAnsi"/>
                <w:i/>
                <w:iCs/>
                <w:sz w:val="24"/>
                <w:szCs w:val="24"/>
              </w:rPr>
              <w:t>etekmes aprēķins tiek veikts tikai no elektrovilcienu projekta (32 elektrovilcienu, rezerves daļu fonda 5 gadiem un elektrovilcienu uzturēšanas iekārtu iegādes, kā arī vilcienu remontu centra izbūve)</w:t>
            </w:r>
            <w:bookmarkEnd w:id="3"/>
            <w:bookmarkEnd w:id="4"/>
            <w:r w:rsidR="00717636">
              <w:rPr>
                <w:rFonts w:ascii="Times New Roman" w:hAnsi="Times New Roman" w:cs="Times New Roman" w:eastAsiaTheme="minorHAnsi"/>
                <w:i/>
                <w:iCs/>
                <w:sz w:val="24"/>
                <w:szCs w:val="24"/>
              </w:rPr>
              <w:t>.</w:t>
            </w:r>
          </w:p>
          <w:p w:rsidRPr="00717636" w:rsidR="00717636" w:rsidP="009C607B" w:rsidRDefault="00717636" w14:paraId="66BEB395" w14:textId="67AE5328">
            <w:pPr>
              <w:pStyle w:val="NoSpacing"/>
              <w:jc w:val="both"/>
              <w:rPr>
                <w:rFonts w:ascii="Times New Roman" w:hAnsi="Times New Roman" w:cs="Times New Roman" w:eastAsiaTheme="minorHAnsi"/>
                <w:i/>
                <w:iCs/>
                <w:sz w:val="24"/>
                <w:szCs w:val="24"/>
              </w:rPr>
            </w:pPr>
            <w:r>
              <w:rPr>
                <w:rFonts w:ascii="Times New Roman" w:hAnsi="Times New Roman" w:cs="Times New Roman" w:eastAsiaTheme="minorHAnsi"/>
                <w:i/>
                <w:iCs/>
                <w:sz w:val="24"/>
                <w:szCs w:val="24"/>
              </w:rPr>
              <w:t>*** I</w:t>
            </w:r>
            <w:r w:rsidRPr="00D91D7B">
              <w:rPr>
                <w:rFonts w:ascii="Times New Roman" w:hAnsi="Times New Roman" w:cs="Times New Roman" w:eastAsiaTheme="minorHAnsi"/>
                <w:i/>
                <w:iCs/>
                <w:sz w:val="24"/>
                <w:szCs w:val="24"/>
              </w:rPr>
              <w:t>etekmes aprēķin</w:t>
            </w:r>
            <w:r>
              <w:rPr>
                <w:rFonts w:ascii="Times New Roman" w:hAnsi="Times New Roman" w:cs="Times New Roman" w:eastAsiaTheme="minorHAnsi"/>
                <w:i/>
                <w:iCs/>
                <w:sz w:val="24"/>
                <w:szCs w:val="24"/>
              </w:rPr>
              <w:t>ā</w:t>
            </w:r>
            <w:r w:rsidRPr="00D91D7B">
              <w:rPr>
                <w:rFonts w:ascii="Times New Roman" w:hAnsi="Times New Roman" w:cs="Times New Roman" w:eastAsiaTheme="minorHAnsi"/>
                <w:i/>
                <w:iCs/>
                <w:sz w:val="24"/>
                <w:szCs w:val="24"/>
              </w:rPr>
              <w:t xml:space="preserve"> elektrovilcienu </w:t>
            </w:r>
            <w:r>
              <w:rPr>
                <w:rFonts w:ascii="Times New Roman" w:hAnsi="Times New Roman" w:cs="Times New Roman" w:eastAsiaTheme="minorHAnsi"/>
                <w:i/>
                <w:iCs/>
                <w:sz w:val="24"/>
                <w:szCs w:val="24"/>
              </w:rPr>
              <w:t>ražošanas uzraudzības izmaksas tiek atzītas proporcionāli pieņemot katru individuālu elektrovilcienu ekspluatācijā.</w:t>
            </w:r>
          </w:p>
        </w:tc>
      </w:tr>
      <w:tr w:rsidRPr="00F73246" w:rsidR="00617F88" w:rsidTr="009C607B" w14:paraId="0C9A2A08" w14:textId="77777777">
        <w:trPr>
          <w:trHeight w:val="476"/>
          <w:jc w:val="right"/>
        </w:trPr>
        <w:tc>
          <w:tcPr>
            <w:tcW w:w="305" w:type="dxa"/>
          </w:tcPr>
          <w:p w:rsidRPr="00F73246" w:rsidR="00617F88" w:rsidP="00617F88" w:rsidRDefault="00617F88" w14:paraId="3700EC4B" w14:textId="77777777">
            <w:pPr>
              <w:spacing w:after="0" w:line="240" w:lineRule="auto"/>
              <w:ind w:left="57" w:right="57"/>
              <w:jc w:val="both"/>
              <w:rPr>
                <w:rFonts w:ascii="Times New Roman" w:hAnsi="Times New Roman" w:cs="Times New Roman"/>
                <w:color w:val="000000"/>
                <w:sz w:val="24"/>
                <w:szCs w:val="24"/>
                <w:highlight w:val="green"/>
                <w:lang w:eastAsia="lv-LV"/>
              </w:rPr>
            </w:pPr>
            <w:r w:rsidRPr="00F73246">
              <w:rPr>
                <w:rFonts w:ascii="Times New Roman" w:hAnsi="Times New Roman" w:cs="Times New Roman"/>
                <w:color w:val="000000"/>
                <w:sz w:val="24"/>
                <w:szCs w:val="24"/>
                <w:lang w:eastAsia="lv-LV"/>
              </w:rPr>
              <w:lastRenderedPageBreak/>
              <w:t>3.</w:t>
            </w:r>
          </w:p>
        </w:tc>
        <w:tc>
          <w:tcPr>
            <w:tcW w:w="1857" w:type="dxa"/>
          </w:tcPr>
          <w:p w:rsidRPr="00F73246" w:rsidR="00617F88" w:rsidP="00617F88" w:rsidRDefault="00617F88" w14:paraId="3975DC14" w14:textId="0FD3456E">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Projekta izstrādē iesaistītās institūcijas un publiskas personas kapitālsabiedrības</w:t>
            </w:r>
          </w:p>
        </w:tc>
        <w:tc>
          <w:tcPr>
            <w:tcW w:w="7331" w:type="dxa"/>
          </w:tcPr>
          <w:p w:rsidRPr="00F73246" w:rsidR="00617F88" w:rsidP="00D85E8A" w:rsidRDefault="00617F88" w14:paraId="7988B524" w14:textId="32AC2730">
            <w:pPr>
              <w:spacing w:after="0" w:line="240" w:lineRule="auto"/>
              <w:ind w:left="140" w:right="124"/>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 xml:space="preserve">Satiksmes ministrija, </w:t>
            </w:r>
            <w:r w:rsidRPr="00F73246" w:rsidR="00196886">
              <w:rPr>
                <w:rFonts w:ascii="Times New Roman" w:hAnsi="Times New Roman" w:cs="Times New Roman"/>
                <w:color w:val="000000"/>
                <w:sz w:val="24"/>
                <w:szCs w:val="24"/>
                <w:lang w:eastAsia="lv-LV"/>
              </w:rPr>
              <w:t>AS “Pasažieru vilciens”.</w:t>
            </w:r>
            <w:r w:rsidRPr="00F73246">
              <w:rPr>
                <w:rFonts w:ascii="Times New Roman" w:hAnsi="Times New Roman" w:cs="Times New Roman"/>
                <w:color w:val="000000"/>
                <w:sz w:val="24"/>
                <w:szCs w:val="24"/>
                <w:lang w:eastAsia="lv-LV"/>
              </w:rPr>
              <w:t xml:space="preserve"> </w:t>
            </w:r>
          </w:p>
        </w:tc>
      </w:tr>
      <w:tr w:rsidRPr="00F73246" w:rsidR="00617F88" w:rsidTr="009C607B" w14:paraId="6B4AE821" w14:textId="77777777">
        <w:trPr>
          <w:trHeight w:val="398"/>
          <w:jc w:val="right"/>
        </w:trPr>
        <w:tc>
          <w:tcPr>
            <w:tcW w:w="305" w:type="dxa"/>
          </w:tcPr>
          <w:p w:rsidRPr="00F73246" w:rsidR="00617F88" w:rsidP="00617F88" w:rsidRDefault="00617F88" w14:paraId="114B2371" w14:textId="77777777">
            <w:pPr>
              <w:spacing w:after="0" w:line="240" w:lineRule="auto"/>
              <w:ind w:left="57" w:right="57"/>
              <w:jc w:val="both"/>
              <w:rPr>
                <w:rFonts w:ascii="Times New Roman" w:hAnsi="Times New Roman" w:cs="Times New Roman"/>
                <w:color w:val="000000"/>
                <w:sz w:val="24"/>
                <w:szCs w:val="24"/>
                <w:highlight w:val="green"/>
                <w:lang w:eastAsia="lv-LV"/>
              </w:rPr>
            </w:pPr>
            <w:r w:rsidRPr="00F73246">
              <w:rPr>
                <w:rFonts w:ascii="Times New Roman" w:hAnsi="Times New Roman" w:cs="Times New Roman"/>
                <w:color w:val="000000"/>
                <w:sz w:val="24"/>
                <w:szCs w:val="24"/>
                <w:lang w:eastAsia="lv-LV"/>
              </w:rPr>
              <w:t>4.</w:t>
            </w:r>
          </w:p>
        </w:tc>
        <w:tc>
          <w:tcPr>
            <w:tcW w:w="1857" w:type="dxa"/>
          </w:tcPr>
          <w:p w:rsidRPr="00F73246" w:rsidR="00617F88" w:rsidP="00617F88" w:rsidRDefault="00617F88" w14:paraId="0A9B51D0"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Cita informācija</w:t>
            </w:r>
          </w:p>
        </w:tc>
        <w:tc>
          <w:tcPr>
            <w:tcW w:w="7331" w:type="dxa"/>
          </w:tcPr>
          <w:p w:rsidRPr="00F73246" w:rsidR="00617F88" w:rsidP="00B81D75" w:rsidRDefault="00617F88" w14:paraId="039E4F0A" w14:textId="78CECAAE">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Nav</w:t>
            </w:r>
            <w:r w:rsidRPr="00F73246" w:rsidR="00C73326">
              <w:rPr>
                <w:rFonts w:ascii="Times New Roman" w:hAnsi="Times New Roman" w:cs="Times New Roman"/>
                <w:color w:val="000000"/>
                <w:sz w:val="24"/>
                <w:szCs w:val="24"/>
                <w:lang w:eastAsia="lv-LV"/>
              </w:rPr>
              <w:t>.</w:t>
            </w:r>
          </w:p>
        </w:tc>
      </w:tr>
    </w:tbl>
    <w:p w:rsidRPr="00F73246" w:rsidR="00E751CC" w:rsidP="007F3370" w:rsidRDefault="00E751CC" w14:paraId="448CEF7E" w14:textId="77777777">
      <w:pPr>
        <w:spacing w:after="0" w:line="240" w:lineRule="auto"/>
        <w:jc w:val="both"/>
        <w:rPr>
          <w:rFonts w:ascii="Times New Roman" w:hAnsi="Times New Roman" w:cs="Times New Roman"/>
          <w:color w:val="000000"/>
          <w:sz w:val="24"/>
          <w:szCs w:val="24"/>
          <w:lang w:eastAsia="lv-LV"/>
        </w:rPr>
      </w:pPr>
    </w:p>
    <w:tbl>
      <w:tblPr>
        <w:tblW w:w="9214" w:type="dxa"/>
        <w:tblInd w:w="-147"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770"/>
        <w:gridCol w:w="2960"/>
        <w:gridCol w:w="5484"/>
      </w:tblGrid>
      <w:tr w:rsidRPr="00F73246" w:rsidR="00E751CC" w:rsidTr="007077AB" w14:paraId="5BCCEB9A" w14:textId="77777777">
        <w:trPr>
          <w:trHeight w:val="675"/>
        </w:trPr>
        <w:tc>
          <w:tcPr>
            <w:tcW w:w="9214" w:type="dxa"/>
            <w:gridSpan w:val="3"/>
            <w:tcBorders>
              <w:top w:val="single" w:color="auto" w:sz="4" w:space="0"/>
              <w:left w:val="single" w:color="auto" w:sz="4" w:space="0"/>
              <w:bottom w:val="outset" w:color="000000" w:sz="6" w:space="0"/>
              <w:right w:val="single" w:color="auto" w:sz="4" w:space="0"/>
            </w:tcBorders>
          </w:tcPr>
          <w:p w:rsidRPr="00F73246" w:rsidR="00E751CC" w:rsidP="007F3370" w:rsidRDefault="00E751CC" w14:paraId="6DCC9069" w14:textId="77777777">
            <w:pPr>
              <w:spacing w:after="0" w:line="240" w:lineRule="auto"/>
              <w:jc w:val="center"/>
              <w:rPr>
                <w:rFonts w:ascii="Times New Roman" w:hAnsi="Times New Roman" w:cs="Times New Roman"/>
                <w:b/>
                <w:bCs/>
                <w:color w:val="000000"/>
                <w:sz w:val="24"/>
                <w:szCs w:val="24"/>
                <w:lang w:eastAsia="lv-LV"/>
              </w:rPr>
            </w:pPr>
            <w:r w:rsidRPr="00F73246">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Pr="00F73246" w:rsidR="00E751CC" w:rsidTr="007077AB" w14:paraId="585C2E83" w14:textId="77777777">
        <w:trPr>
          <w:trHeight w:val="977"/>
        </w:trPr>
        <w:tc>
          <w:tcPr>
            <w:tcW w:w="770" w:type="dxa"/>
            <w:tcBorders>
              <w:top w:val="outset" w:color="000000" w:sz="6" w:space="0"/>
              <w:bottom w:val="outset" w:color="000000" w:sz="6" w:space="0"/>
              <w:right w:val="outset" w:color="000000" w:sz="6" w:space="0"/>
            </w:tcBorders>
          </w:tcPr>
          <w:p w:rsidRPr="00F73246" w:rsidR="00E751CC" w:rsidP="007F3370" w:rsidRDefault="00E751CC" w14:paraId="5F775CAB" w14:textId="77777777">
            <w:pPr>
              <w:spacing w:after="0" w:line="240" w:lineRule="auto"/>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1.</w:t>
            </w:r>
          </w:p>
        </w:tc>
        <w:tc>
          <w:tcPr>
            <w:tcW w:w="2960" w:type="dxa"/>
            <w:tcBorders>
              <w:top w:val="outset" w:color="000000" w:sz="6" w:space="0"/>
              <w:left w:val="outset" w:color="000000" w:sz="6" w:space="0"/>
              <w:bottom w:val="outset" w:color="000000" w:sz="6" w:space="0"/>
              <w:right w:val="outset" w:color="000000" w:sz="6" w:space="0"/>
            </w:tcBorders>
          </w:tcPr>
          <w:p w:rsidRPr="00F73246" w:rsidR="00387F9D" w:rsidP="001704B1" w:rsidRDefault="00E751CC" w14:paraId="012AF147" w14:textId="715B8410">
            <w:pPr>
              <w:spacing w:after="0" w:line="240" w:lineRule="auto"/>
              <w:jc w:val="both"/>
              <w:rPr>
                <w:rFonts w:ascii="Times New Roman" w:hAnsi="Times New Roman" w:cs="Times New Roman"/>
                <w:sz w:val="24"/>
                <w:szCs w:val="24"/>
                <w:lang w:eastAsia="lv-LV"/>
              </w:rPr>
            </w:pPr>
            <w:r w:rsidRPr="00F73246">
              <w:rPr>
                <w:rFonts w:ascii="Times New Roman" w:hAnsi="Times New Roman" w:cs="Times New Roman"/>
                <w:sz w:val="24"/>
                <w:szCs w:val="24"/>
                <w:lang w:eastAsia="lv-LV"/>
              </w:rPr>
              <w:t>Sabiedrības mēr</w:t>
            </w:r>
            <w:r w:rsidRPr="00F73246" w:rsidR="00DF4338">
              <w:rPr>
                <w:rFonts w:ascii="Times New Roman" w:hAnsi="Times New Roman" w:cs="Times New Roman"/>
                <w:sz w:val="24"/>
                <w:szCs w:val="24"/>
                <w:lang w:eastAsia="lv-LV"/>
              </w:rPr>
              <w:t>ķ</w:t>
            </w:r>
            <w:r w:rsidRPr="00F73246">
              <w:rPr>
                <w:rFonts w:ascii="Times New Roman" w:hAnsi="Times New Roman" w:cs="Times New Roman"/>
                <w:sz w:val="24"/>
                <w:szCs w:val="24"/>
                <w:lang w:eastAsia="lv-LV"/>
              </w:rPr>
              <w:t>grupas, kuras tiesiskais regulējums ietekmē vai varētu ietekmēt</w:t>
            </w:r>
          </w:p>
        </w:tc>
        <w:tc>
          <w:tcPr>
            <w:tcW w:w="5484" w:type="dxa"/>
            <w:tcBorders>
              <w:top w:val="outset" w:color="000000" w:sz="6" w:space="0"/>
              <w:left w:val="outset" w:color="000000" w:sz="6" w:space="0"/>
              <w:bottom w:val="outset" w:color="000000" w:sz="6" w:space="0"/>
            </w:tcBorders>
          </w:tcPr>
          <w:p w:rsidRPr="00F73246" w:rsidR="00831E52" w:rsidP="008867B3" w:rsidRDefault="00A05FF3" w14:paraId="6776EC82" w14:textId="35459211">
            <w:pPr>
              <w:spacing w:after="0" w:line="240" w:lineRule="auto"/>
              <w:ind w:left="72" w:right="109"/>
              <w:jc w:val="both"/>
              <w:rPr>
                <w:rFonts w:ascii="Times New Roman" w:hAnsi="Times New Roman" w:cs="Times New Roman"/>
                <w:color w:val="FF0000"/>
                <w:sz w:val="24"/>
                <w:szCs w:val="24"/>
                <w:lang w:eastAsia="lv-LV"/>
              </w:rPr>
            </w:pPr>
            <w:r w:rsidRPr="00A05FF3">
              <w:rPr>
                <w:rFonts w:ascii="Times New Roman" w:hAnsi="Times New Roman" w:cs="Times New Roman"/>
                <w:sz w:val="24"/>
                <w:szCs w:val="24"/>
              </w:rPr>
              <w:t>Personas, kas izmantos pasažieru pārvadājumu par dzelzceļa pakalpojumus.</w:t>
            </w:r>
          </w:p>
        </w:tc>
      </w:tr>
      <w:tr w:rsidRPr="00F73246" w:rsidR="00E751CC" w:rsidTr="007077AB" w14:paraId="3682A39E" w14:textId="77777777">
        <w:tc>
          <w:tcPr>
            <w:tcW w:w="770" w:type="dxa"/>
            <w:tcBorders>
              <w:top w:val="outset" w:color="000000" w:sz="6" w:space="0"/>
              <w:bottom w:val="outset" w:color="000000" w:sz="6" w:space="0"/>
              <w:right w:val="outset" w:color="000000" w:sz="6" w:space="0"/>
            </w:tcBorders>
          </w:tcPr>
          <w:p w:rsidRPr="00F73246" w:rsidR="00E751CC" w:rsidP="00902734" w:rsidRDefault="00E751CC" w14:paraId="6371437C"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2.</w:t>
            </w:r>
          </w:p>
        </w:tc>
        <w:tc>
          <w:tcPr>
            <w:tcW w:w="2960" w:type="dxa"/>
            <w:tcBorders>
              <w:top w:val="outset" w:color="000000" w:sz="6" w:space="0"/>
              <w:left w:val="outset" w:color="000000" w:sz="6" w:space="0"/>
              <w:bottom w:val="outset" w:color="000000" w:sz="6" w:space="0"/>
              <w:right w:val="outset" w:color="000000" w:sz="6" w:space="0"/>
            </w:tcBorders>
          </w:tcPr>
          <w:p w:rsidRPr="00F73246" w:rsidR="00E751CC" w:rsidP="00902734" w:rsidRDefault="00E751CC" w14:paraId="0B36DB78" w14:textId="2E4EFBAC">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Tiesiskā regulējuma ietekme uz tautsaimniecību un administratīvo slogu</w:t>
            </w:r>
          </w:p>
        </w:tc>
        <w:tc>
          <w:tcPr>
            <w:tcW w:w="5484" w:type="dxa"/>
            <w:tcBorders>
              <w:top w:val="outset" w:color="000000" w:sz="6" w:space="0"/>
              <w:left w:val="outset" w:color="000000" w:sz="6" w:space="0"/>
              <w:bottom w:val="outset" w:color="000000" w:sz="6" w:space="0"/>
            </w:tcBorders>
          </w:tcPr>
          <w:p w:rsidRPr="00F73246" w:rsidR="007B1DD7" w:rsidP="00BA2139" w:rsidRDefault="00F73ED3" w14:paraId="528E41E4" w14:textId="21CA5D7A">
            <w:pPr>
              <w:spacing w:after="0" w:line="240" w:lineRule="auto"/>
              <w:ind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Rīkojuma projekts šo jomu neskar.</w:t>
            </w:r>
          </w:p>
        </w:tc>
      </w:tr>
      <w:tr w:rsidRPr="00F73246" w:rsidR="00E751CC" w:rsidTr="007077AB" w14:paraId="6F3BF7E5" w14:textId="77777777">
        <w:tc>
          <w:tcPr>
            <w:tcW w:w="770" w:type="dxa"/>
            <w:tcBorders>
              <w:top w:val="outset" w:color="000000" w:sz="6" w:space="0"/>
              <w:bottom w:val="outset" w:color="000000" w:sz="6" w:space="0"/>
              <w:right w:val="outset" w:color="000000" w:sz="6" w:space="0"/>
            </w:tcBorders>
          </w:tcPr>
          <w:p w:rsidRPr="00F73246" w:rsidR="00E751CC" w:rsidP="00902734" w:rsidRDefault="00E751CC" w14:paraId="4CCBAB6E"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3.</w:t>
            </w:r>
          </w:p>
        </w:tc>
        <w:tc>
          <w:tcPr>
            <w:tcW w:w="2960" w:type="dxa"/>
            <w:tcBorders>
              <w:top w:val="outset" w:color="000000" w:sz="6" w:space="0"/>
              <w:left w:val="outset" w:color="000000" w:sz="6" w:space="0"/>
              <w:bottom w:val="outset" w:color="000000" w:sz="6" w:space="0"/>
              <w:right w:val="outset" w:color="000000" w:sz="6" w:space="0"/>
            </w:tcBorders>
          </w:tcPr>
          <w:p w:rsidRPr="00F73246" w:rsidR="00E751CC" w:rsidP="00902734" w:rsidRDefault="00E751CC" w14:paraId="4CB9D6F4"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Administratīvo izmaksu monetārs novērtējums</w:t>
            </w:r>
          </w:p>
          <w:p w:rsidRPr="00F73246" w:rsidR="002F4911" w:rsidP="002F4911" w:rsidRDefault="002F4911" w14:paraId="3C7C7C4B" w14:textId="294EBD1D">
            <w:pPr>
              <w:ind w:firstLine="720"/>
              <w:rPr>
                <w:rFonts w:ascii="Times New Roman" w:hAnsi="Times New Roman" w:cs="Times New Roman"/>
                <w:sz w:val="24"/>
                <w:szCs w:val="24"/>
                <w:lang w:eastAsia="lv-LV"/>
              </w:rPr>
            </w:pPr>
          </w:p>
        </w:tc>
        <w:tc>
          <w:tcPr>
            <w:tcW w:w="5484" w:type="dxa"/>
            <w:tcBorders>
              <w:top w:val="outset" w:color="000000" w:sz="6" w:space="0"/>
              <w:left w:val="outset" w:color="000000" w:sz="6" w:space="0"/>
              <w:bottom w:val="outset" w:color="000000" w:sz="6" w:space="0"/>
            </w:tcBorders>
          </w:tcPr>
          <w:p w:rsidRPr="00F73246" w:rsidR="00E751CC" w:rsidP="00902734" w:rsidRDefault="00F73ED3" w14:paraId="0EB92137" w14:textId="1B25D7F3">
            <w:pPr>
              <w:spacing w:after="0" w:line="240" w:lineRule="auto"/>
              <w:ind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Rīkojuma projekts šo jomu neskar.</w:t>
            </w:r>
          </w:p>
        </w:tc>
      </w:tr>
      <w:tr w:rsidRPr="00F73246" w:rsidR="007B42EA" w:rsidTr="007077AB" w14:paraId="59BCF960" w14:textId="77777777">
        <w:tc>
          <w:tcPr>
            <w:tcW w:w="770" w:type="dxa"/>
            <w:tcBorders>
              <w:top w:val="outset" w:color="000000" w:sz="6" w:space="0"/>
              <w:bottom w:val="outset" w:color="000000" w:sz="6" w:space="0"/>
              <w:right w:val="outset" w:color="000000" w:sz="6" w:space="0"/>
            </w:tcBorders>
          </w:tcPr>
          <w:p w:rsidRPr="00F73246" w:rsidR="007B42EA" w:rsidP="00902734" w:rsidRDefault="007B42EA" w14:paraId="4E937624" w14:textId="3E5A94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4.</w:t>
            </w:r>
          </w:p>
        </w:tc>
        <w:tc>
          <w:tcPr>
            <w:tcW w:w="2960" w:type="dxa"/>
            <w:tcBorders>
              <w:top w:val="outset" w:color="000000" w:sz="6" w:space="0"/>
              <w:left w:val="outset" w:color="000000" w:sz="6" w:space="0"/>
              <w:bottom w:val="outset" w:color="000000" w:sz="6" w:space="0"/>
              <w:right w:val="outset" w:color="000000" w:sz="6" w:space="0"/>
            </w:tcBorders>
          </w:tcPr>
          <w:p w:rsidRPr="00F73246" w:rsidR="007B42EA" w:rsidP="00902734" w:rsidRDefault="007B42EA" w14:paraId="0A2825D6" w14:textId="5E657A34">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Atbilstības izmaksu monetārs novērtējums</w:t>
            </w:r>
          </w:p>
        </w:tc>
        <w:tc>
          <w:tcPr>
            <w:tcW w:w="5484" w:type="dxa"/>
            <w:tcBorders>
              <w:top w:val="outset" w:color="000000" w:sz="6" w:space="0"/>
              <w:left w:val="outset" w:color="000000" w:sz="6" w:space="0"/>
              <w:bottom w:val="outset" w:color="000000" w:sz="6" w:space="0"/>
            </w:tcBorders>
          </w:tcPr>
          <w:p w:rsidRPr="00F73246" w:rsidR="007B42EA" w:rsidP="00902734" w:rsidRDefault="00F73ED3" w14:paraId="414045A7" w14:textId="1A849D62">
            <w:pPr>
              <w:spacing w:after="0" w:line="240" w:lineRule="auto"/>
              <w:ind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Rīkojuma projekts šo jomu neskar.</w:t>
            </w:r>
          </w:p>
        </w:tc>
      </w:tr>
      <w:tr w:rsidRPr="00F73246" w:rsidR="00E751CC" w:rsidTr="007077AB" w14:paraId="517D0FB6" w14:textId="77777777">
        <w:trPr>
          <w:trHeight w:val="262"/>
        </w:trPr>
        <w:tc>
          <w:tcPr>
            <w:tcW w:w="770" w:type="dxa"/>
            <w:tcBorders>
              <w:top w:val="outset" w:color="000000" w:sz="6" w:space="0"/>
              <w:bottom w:val="outset" w:color="414142" w:sz="6" w:space="0"/>
              <w:right w:val="outset" w:color="000000" w:sz="6" w:space="0"/>
            </w:tcBorders>
          </w:tcPr>
          <w:p w:rsidRPr="00F73246" w:rsidR="00E751CC" w:rsidP="00902734" w:rsidRDefault="006F435B" w14:paraId="6AA1FFE1" w14:textId="6CE33896">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5</w:t>
            </w:r>
            <w:r w:rsidRPr="00F73246" w:rsidR="00E751CC">
              <w:rPr>
                <w:rFonts w:ascii="Times New Roman" w:hAnsi="Times New Roman" w:cs="Times New Roman"/>
                <w:color w:val="000000"/>
                <w:sz w:val="24"/>
                <w:szCs w:val="24"/>
                <w:lang w:eastAsia="lv-LV"/>
              </w:rPr>
              <w:t>.</w:t>
            </w:r>
          </w:p>
        </w:tc>
        <w:tc>
          <w:tcPr>
            <w:tcW w:w="2960" w:type="dxa"/>
            <w:tcBorders>
              <w:top w:val="outset" w:color="000000" w:sz="6" w:space="0"/>
              <w:left w:val="outset" w:color="000000" w:sz="6" w:space="0"/>
              <w:bottom w:val="outset" w:color="414142" w:sz="6" w:space="0"/>
              <w:right w:val="outset" w:color="000000" w:sz="6" w:space="0"/>
            </w:tcBorders>
          </w:tcPr>
          <w:p w:rsidRPr="00F73246" w:rsidR="00E751CC" w:rsidP="00902734" w:rsidRDefault="00E751CC" w14:paraId="63E245F5"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 Cita informācija</w:t>
            </w:r>
          </w:p>
        </w:tc>
        <w:tc>
          <w:tcPr>
            <w:tcW w:w="5484" w:type="dxa"/>
            <w:tcBorders>
              <w:top w:val="outset" w:color="000000" w:sz="6" w:space="0"/>
              <w:left w:val="outset" w:color="000000" w:sz="6" w:space="0"/>
              <w:bottom w:val="outset" w:color="414142" w:sz="6" w:space="0"/>
            </w:tcBorders>
          </w:tcPr>
          <w:p w:rsidRPr="00F73246" w:rsidR="00E751CC" w:rsidP="00104816" w:rsidRDefault="00E751CC" w14:paraId="7AA2C56E" w14:textId="1BC3454A">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Nav</w:t>
            </w:r>
            <w:r w:rsidRPr="00F73246" w:rsidR="00C73326">
              <w:rPr>
                <w:rFonts w:ascii="Times New Roman" w:hAnsi="Times New Roman" w:cs="Times New Roman"/>
                <w:color w:val="000000"/>
                <w:sz w:val="24"/>
                <w:szCs w:val="24"/>
                <w:lang w:eastAsia="lv-LV"/>
              </w:rPr>
              <w:t>.</w:t>
            </w:r>
          </w:p>
        </w:tc>
      </w:tr>
    </w:tbl>
    <w:p w:rsidRPr="00F73246" w:rsidR="00D6095D" w:rsidP="007F3370" w:rsidRDefault="00D6095D" w14:paraId="46A3105E" w14:textId="77777777">
      <w:pPr>
        <w:spacing w:after="0" w:line="240" w:lineRule="auto"/>
        <w:jc w:val="both"/>
        <w:rPr>
          <w:rFonts w:ascii="Times New Roman" w:hAnsi="Times New Roman" w:cs="Times New Roman"/>
          <w:color w:val="000000"/>
          <w:sz w:val="24"/>
          <w:szCs w:val="24"/>
          <w:lang w:eastAsia="lv-LV"/>
        </w:rPr>
      </w:pPr>
    </w:p>
    <w:tbl>
      <w:tblPr>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056"/>
        <w:gridCol w:w="995"/>
        <w:gridCol w:w="1134"/>
        <w:gridCol w:w="992"/>
        <w:gridCol w:w="1134"/>
        <w:gridCol w:w="992"/>
        <w:gridCol w:w="1134"/>
      </w:tblGrid>
      <w:tr w:rsidRPr="00F73246" w:rsidR="004A3FB9" w:rsidTr="007077AB" w14:paraId="5A226585" w14:textId="77777777">
        <w:trPr>
          <w:trHeight w:val="212"/>
        </w:trPr>
        <w:tc>
          <w:tcPr>
            <w:tcW w:w="9214" w:type="dxa"/>
            <w:gridSpan w:val="8"/>
            <w:tcBorders>
              <w:top w:val="single" w:color="auto" w:sz="4" w:space="0"/>
              <w:left w:val="single" w:color="auto" w:sz="4" w:space="0"/>
              <w:bottom w:val="single" w:color="auto" w:sz="4" w:space="0"/>
              <w:right w:val="single" w:color="auto" w:sz="4" w:space="0"/>
            </w:tcBorders>
            <w:shd w:val="clear" w:color="auto" w:fill="auto"/>
            <w:hideMark/>
          </w:tcPr>
          <w:p w:rsidRPr="00F73246" w:rsidR="0021097B" w:rsidP="0021097B" w:rsidRDefault="004A3FB9" w14:paraId="6D185930" w14:textId="4AFAD6EA">
            <w:pPr>
              <w:jc w:val="center"/>
              <w:rPr>
                <w:rFonts w:ascii="Times New Roman" w:hAnsi="Times New Roman" w:cs="Times New Roman"/>
                <w:b/>
                <w:bCs/>
                <w:sz w:val="24"/>
                <w:szCs w:val="24"/>
              </w:rPr>
            </w:pPr>
            <w:r w:rsidRPr="00F73246">
              <w:rPr>
                <w:rFonts w:ascii="Times New Roman" w:hAnsi="Times New Roman" w:cs="Times New Roman"/>
                <w:b/>
                <w:bCs/>
                <w:sz w:val="24"/>
                <w:szCs w:val="24"/>
              </w:rPr>
              <w:t>III. Tiesību akta projekta ietekme uz valsts budžetu un pašvaldību budžetiem</w:t>
            </w:r>
          </w:p>
        </w:tc>
      </w:tr>
      <w:tr w:rsidRPr="00F73246" w:rsidR="004A3FB9" w:rsidTr="007077AB" w14:paraId="70922368"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F73246" w:rsidR="004A3FB9" w:rsidP="00AD25E8" w:rsidRDefault="004A3FB9" w14:paraId="749D8C7C" w14:textId="77777777">
            <w:pPr>
              <w:jc w:val="center"/>
              <w:rPr>
                <w:rFonts w:ascii="Times New Roman" w:hAnsi="Times New Roman" w:cs="Times New Roman"/>
                <w:bCs/>
                <w:sz w:val="24"/>
                <w:szCs w:val="24"/>
              </w:rPr>
            </w:pPr>
            <w:r w:rsidRPr="00F73246">
              <w:rPr>
                <w:rFonts w:ascii="Times New Roman" w:hAnsi="Times New Roman" w:cs="Times New Roman"/>
                <w:bCs/>
                <w:sz w:val="24"/>
                <w:szCs w:val="24"/>
              </w:rPr>
              <w:t>Rādītāji</w:t>
            </w:r>
          </w:p>
          <w:p w:rsidR="004A3FB9" w:rsidP="00AD25E8" w:rsidRDefault="004A3FB9" w14:paraId="1022F822" w14:textId="77777777">
            <w:pPr>
              <w:rPr>
                <w:rFonts w:ascii="Times New Roman" w:hAnsi="Times New Roman" w:cs="Times New Roman"/>
                <w:sz w:val="24"/>
                <w:szCs w:val="24"/>
              </w:rPr>
            </w:pPr>
          </w:p>
          <w:p w:rsidR="00D0245E" w:rsidP="00D0245E" w:rsidRDefault="00D0245E" w14:paraId="1C65AA41" w14:textId="77777777">
            <w:pPr>
              <w:rPr>
                <w:rFonts w:ascii="Times New Roman" w:hAnsi="Times New Roman" w:cs="Times New Roman"/>
                <w:sz w:val="24"/>
                <w:szCs w:val="24"/>
              </w:rPr>
            </w:pPr>
          </w:p>
          <w:p w:rsidRPr="00D0245E" w:rsidR="00D0245E" w:rsidP="00D0245E" w:rsidRDefault="00D0245E" w14:paraId="2E307857" w14:textId="2895F85C">
            <w:pPr>
              <w:rPr>
                <w:rFonts w:ascii="Times New Roman" w:hAnsi="Times New Roman" w:cs="Times New Roman"/>
                <w:sz w:val="24"/>
                <w:szCs w:val="24"/>
              </w:rPr>
            </w:pPr>
          </w:p>
        </w:tc>
        <w:tc>
          <w:tcPr>
            <w:tcW w:w="2051"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14857335" w14:textId="455512EC">
            <w:pPr>
              <w:jc w:val="center"/>
              <w:rPr>
                <w:rFonts w:ascii="Times New Roman" w:hAnsi="Times New Roman" w:cs="Times New Roman"/>
                <w:bCs/>
                <w:sz w:val="24"/>
                <w:szCs w:val="24"/>
              </w:rPr>
            </w:pPr>
            <w:r w:rsidRPr="00F73246">
              <w:rPr>
                <w:rFonts w:ascii="Times New Roman" w:hAnsi="Times New Roman" w:cs="Times New Roman"/>
                <w:bCs/>
                <w:sz w:val="24"/>
                <w:szCs w:val="24"/>
              </w:rPr>
              <w:t>2020. gads</w:t>
            </w:r>
          </w:p>
        </w:tc>
        <w:tc>
          <w:tcPr>
            <w:tcW w:w="5386"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5EA1644F" w14:textId="1C933969">
            <w:pPr>
              <w:jc w:val="center"/>
              <w:rPr>
                <w:rFonts w:ascii="Times New Roman" w:hAnsi="Times New Roman" w:cs="Times New Roman"/>
                <w:sz w:val="24"/>
                <w:szCs w:val="24"/>
              </w:rPr>
            </w:pPr>
            <w:r w:rsidRPr="00F73246">
              <w:rPr>
                <w:rFonts w:ascii="Times New Roman" w:hAnsi="Times New Roman" w:cs="Times New Roman"/>
                <w:sz w:val="24"/>
                <w:szCs w:val="24"/>
              </w:rPr>
              <w:t>Turpmākie trīs gadi (</w:t>
            </w:r>
            <w:r w:rsidRPr="00F73246" w:rsidR="004674B6">
              <w:rPr>
                <w:rFonts w:ascii="Times New Roman" w:hAnsi="Times New Roman" w:cs="Times New Roman"/>
                <w:i/>
                <w:iCs/>
                <w:sz w:val="24"/>
                <w:szCs w:val="24"/>
              </w:rPr>
              <w:t>e</w:t>
            </w:r>
            <w:r w:rsidR="004674B6">
              <w:rPr>
                <w:rFonts w:ascii="Times New Roman" w:hAnsi="Times New Roman" w:cs="Times New Roman"/>
                <w:i/>
                <w:iCs/>
                <w:sz w:val="24"/>
                <w:szCs w:val="24"/>
              </w:rPr>
              <w:t>u</w:t>
            </w:r>
            <w:r w:rsidRPr="00F73246" w:rsidR="004674B6">
              <w:rPr>
                <w:rFonts w:ascii="Times New Roman" w:hAnsi="Times New Roman" w:cs="Times New Roman"/>
                <w:i/>
                <w:iCs/>
                <w:sz w:val="24"/>
                <w:szCs w:val="24"/>
              </w:rPr>
              <w:t>ro</w:t>
            </w:r>
            <w:r w:rsidRPr="00F73246">
              <w:rPr>
                <w:rFonts w:ascii="Times New Roman" w:hAnsi="Times New Roman" w:cs="Times New Roman"/>
                <w:sz w:val="24"/>
                <w:szCs w:val="24"/>
              </w:rPr>
              <w:t>)</w:t>
            </w:r>
          </w:p>
        </w:tc>
      </w:tr>
      <w:tr w:rsidRPr="00F73246" w:rsidR="004A3FB9" w:rsidTr="0094386B" w14:paraId="441E8819"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4A3FB9" w:rsidP="00AD25E8" w:rsidRDefault="004A3FB9" w14:paraId="31653E86" w14:textId="77777777">
            <w:pPr>
              <w:jc w:val="center"/>
              <w:rPr>
                <w:rFonts w:ascii="Times New Roman" w:hAnsi="Times New Roman" w:cs="Times New Roman"/>
                <w:bCs/>
                <w:sz w:val="24"/>
                <w:szCs w:val="24"/>
              </w:rPr>
            </w:pPr>
          </w:p>
        </w:tc>
        <w:tc>
          <w:tcPr>
            <w:tcW w:w="2051"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4A3FB9" w:rsidP="00AD25E8" w:rsidRDefault="004A3FB9" w14:paraId="141C6A55" w14:textId="77777777">
            <w:pPr>
              <w:jc w:val="center"/>
              <w:rPr>
                <w:rFonts w:ascii="Times New Roman" w:hAnsi="Times New Roman" w:cs="Times New Roman"/>
                <w:bCs/>
                <w:sz w:val="24"/>
                <w:szCs w:val="24"/>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2127F594" w14:textId="4D9010F9">
            <w:pPr>
              <w:jc w:val="center"/>
              <w:rPr>
                <w:rFonts w:ascii="Times New Roman" w:hAnsi="Times New Roman" w:cs="Times New Roman"/>
                <w:bCs/>
                <w:sz w:val="24"/>
                <w:szCs w:val="24"/>
              </w:rPr>
            </w:pPr>
            <w:r w:rsidRPr="00F73246">
              <w:rPr>
                <w:rFonts w:ascii="Times New Roman" w:hAnsi="Times New Roman" w:cs="Times New Roman"/>
                <w:bCs/>
                <w:sz w:val="24"/>
                <w:szCs w:val="24"/>
              </w:rPr>
              <w:t>2021</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1504F92C" w14:textId="2268710A">
            <w:pPr>
              <w:jc w:val="center"/>
              <w:rPr>
                <w:rFonts w:ascii="Times New Roman" w:hAnsi="Times New Roman" w:cs="Times New Roman"/>
                <w:bCs/>
                <w:sz w:val="24"/>
                <w:szCs w:val="24"/>
              </w:rPr>
            </w:pPr>
            <w:r w:rsidRPr="00F73246">
              <w:rPr>
                <w:rFonts w:ascii="Times New Roman" w:hAnsi="Times New Roman" w:cs="Times New Roman"/>
                <w:bCs/>
                <w:sz w:val="24"/>
                <w:szCs w:val="24"/>
              </w:rPr>
              <w:t>2022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7AD7CE9E" w14:textId="7C2A61F5">
            <w:pPr>
              <w:jc w:val="center"/>
              <w:rPr>
                <w:rFonts w:ascii="Times New Roman" w:hAnsi="Times New Roman" w:cs="Times New Roman"/>
                <w:bCs/>
                <w:sz w:val="24"/>
                <w:szCs w:val="24"/>
              </w:rPr>
            </w:pPr>
            <w:r w:rsidRPr="00F73246">
              <w:rPr>
                <w:rFonts w:ascii="Times New Roman" w:hAnsi="Times New Roman" w:cs="Times New Roman"/>
                <w:bCs/>
                <w:sz w:val="24"/>
                <w:szCs w:val="24"/>
              </w:rPr>
              <w:t>2023</w:t>
            </w:r>
          </w:p>
        </w:tc>
      </w:tr>
      <w:tr w:rsidRPr="00F73246" w:rsidR="004A3FB9" w:rsidTr="0094386B" w14:paraId="3426D932"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4A3FB9" w:rsidP="00AD25E8" w:rsidRDefault="004A3FB9" w14:paraId="6257F4EE" w14:textId="77777777">
            <w:pPr>
              <w:jc w:val="center"/>
              <w:rPr>
                <w:rFonts w:ascii="Times New Roman" w:hAnsi="Times New Roman" w:cs="Times New Roman"/>
                <w:b/>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14D5" w:rsidR="004A3FB9" w:rsidP="007077AB" w:rsidRDefault="004A3FB9" w14:paraId="635C4419" w14:textId="77777777">
            <w:pPr>
              <w:spacing w:after="0" w:line="240" w:lineRule="auto"/>
              <w:jc w:val="center"/>
              <w:rPr>
                <w:rFonts w:ascii="Times New Roman" w:hAnsi="Times New Roman" w:cs="Times New Roman"/>
                <w:sz w:val="20"/>
                <w:szCs w:val="20"/>
              </w:rPr>
            </w:pPr>
            <w:r w:rsidRPr="001A14D5">
              <w:rPr>
                <w:rFonts w:ascii="Times New Roman" w:hAnsi="Times New Roman" w:cs="Times New Roman"/>
                <w:sz w:val="20"/>
                <w:szCs w:val="20"/>
              </w:rPr>
              <w:t>saskaņā ar valsts budžetu kārtējam gadam</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14D5" w:rsidR="004A3FB9" w:rsidP="007077AB" w:rsidRDefault="004A3FB9" w14:paraId="65AD53AA" w14:textId="77777777">
            <w:pPr>
              <w:spacing w:after="0" w:line="240" w:lineRule="auto"/>
              <w:jc w:val="center"/>
              <w:rPr>
                <w:rFonts w:ascii="Times New Roman" w:hAnsi="Times New Roman" w:cs="Times New Roman"/>
                <w:sz w:val="20"/>
                <w:szCs w:val="20"/>
              </w:rPr>
            </w:pPr>
            <w:r w:rsidRPr="001A14D5">
              <w:rPr>
                <w:rFonts w:ascii="Times New Roman" w:hAnsi="Times New Roman" w:cs="Times New Roman"/>
                <w:sz w:val="20"/>
                <w:szCs w:val="20"/>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14D5" w:rsidR="004A3FB9" w:rsidP="007077AB" w:rsidRDefault="004A3FB9" w14:paraId="456F7FC4" w14:textId="77777777">
            <w:pPr>
              <w:spacing w:after="0" w:line="240" w:lineRule="auto"/>
              <w:jc w:val="center"/>
              <w:rPr>
                <w:rFonts w:ascii="Times New Roman" w:hAnsi="Times New Roman" w:cs="Times New Roman"/>
                <w:sz w:val="20"/>
                <w:szCs w:val="20"/>
              </w:rPr>
            </w:pPr>
            <w:r w:rsidRPr="001A14D5">
              <w:rPr>
                <w:rFonts w:ascii="Times New Roman" w:hAnsi="Times New Roman" w:cs="Times New Roman"/>
                <w:sz w:val="20"/>
                <w:szCs w:val="20"/>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14D5" w:rsidR="004A3FB9" w:rsidP="007077AB" w:rsidRDefault="004A3FB9" w14:paraId="61856854" w14:textId="78C7DFDA">
            <w:pPr>
              <w:spacing w:after="0" w:line="240" w:lineRule="auto"/>
              <w:jc w:val="center"/>
              <w:rPr>
                <w:rFonts w:ascii="Times New Roman" w:hAnsi="Times New Roman" w:cs="Times New Roman"/>
                <w:sz w:val="20"/>
                <w:szCs w:val="20"/>
              </w:rPr>
            </w:pPr>
            <w:r w:rsidRPr="001A14D5">
              <w:rPr>
                <w:rFonts w:ascii="Times New Roman" w:hAnsi="Times New Roman" w:cs="Times New Roman"/>
                <w:sz w:val="20"/>
                <w:szCs w:val="20"/>
              </w:rPr>
              <w:t>izmaiņas, salīdzinot ar vidēja termiņa budžeta ietvaru 2021.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14D5" w:rsidR="004A3FB9" w:rsidP="007077AB" w:rsidRDefault="004A3FB9" w14:paraId="56004E75" w14:textId="77777777">
            <w:pPr>
              <w:spacing w:after="0" w:line="240" w:lineRule="auto"/>
              <w:jc w:val="center"/>
              <w:rPr>
                <w:rFonts w:ascii="Times New Roman" w:hAnsi="Times New Roman" w:cs="Times New Roman"/>
                <w:sz w:val="20"/>
                <w:szCs w:val="20"/>
              </w:rPr>
            </w:pPr>
            <w:r w:rsidRPr="001A14D5">
              <w:rPr>
                <w:rFonts w:ascii="Times New Roman" w:hAnsi="Times New Roman" w:cs="Times New Roman"/>
                <w:sz w:val="20"/>
                <w:szCs w:val="20"/>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14D5" w:rsidR="004A3FB9" w:rsidP="007077AB" w:rsidRDefault="004A3FB9" w14:paraId="64CEC694" w14:textId="75FF3DE9">
            <w:pPr>
              <w:spacing w:after="0" w:line="240" w:lineRule="auto"/>
              <w:jc w:val="center"/>
              <w:rPr>
                <w:rFonts w:ascii="Times New Roman" w:hAnsi="Times New Roman" w:cs="Times New Roman"/>
                <w:sz w:val="20"/>
                <w:szCs w:val="20"/>
              </w:rPr>
            </w:pPr>
            <w:r w:rsidRPr="001A14D5">
              <w:rPr>
                <w:rFonts w:ascii="Times New Roman" w:hAnsi="Times New Roman" w:cs="Times New Roman"/>
                <w:sz w:val="20"/>
                <w:szCs w:val="20"/>
              </w:rPr>
              <w:t>izmaiņas, salīdzinot ar vidēja termiņa budžeta ietvaru 202</w:t>
            </w:r>
            <w:r w:rsidRPr="001A14D5" w:rsidR="00134EFE">
              <w:rPr>
                <w:rFonts w:ascii="Times New Roman" w:hAnsi="Times New Roman" w:cs="Times New Roman"/>
                <w:sz w:val="20"/>
                <w:szCs w:val="20"/>
              </w:rPr>
              <w:t>2</w:t>
            </w:r>
            <w:r w:rsidRPr="001A14D5">
              <w:rPr>
                <w:rFonts w:ascii="Times New Roman" w:hAnsi="Times New Roman" w:cs="Times New Roman"/>
                <w:sz w:val="20"/>
                <w:szCs w:val="20"/>
              </w:rPr>
              <w:t>.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14D5" w:rsidR="004A3FB9" w:rsidP="007077AB" w:rsidRDefault="004A3FB9" w14:paraId="6BA50111" w14:textId="70903C1E">
            <w:pPr>
              <w:spacing w:after="0" w:line="240" w:lineRule="auto"/>
              <w:jc w:val="center"/>
              <w:rPr>
                <w:rFonts w:ascii="Times New Roman" w:hAnsi="Times New Roman" w:cs="Times New Roman"/>
                <w:sz w:val="20"/>
                <w:szCs w:val="20"/>
              </w:rPr>
            </w:pPr>
            <w:r w:rsidRPr="001A14D5">
              <w:rPr>
                <w:rFonts w:ascii="Times New Roman" w:hAnsi="Times New Roman" w:cs="Times New Roman"/>
                <w:sz w:val="20"/>
                <w:szCs w:val="20"/>
              </w:rPr>
              <w:t>izmaiņas, salīdzinot ar vidēja termiņa budžeta ietvaru 202</w:t>
            </w:r>
            <w:r w:rsidR="00070CED">
              <w:rPr>
                <w:rFonts w:ascii="Times New Roman" w:hAnsi="Times New Roman" w:cs="Times New Roman"/>
                <w:sz w:val="20"/>
                <w:szCs w:val="20"/>
              </w:rPr>
              <w:t>2</w:t>
            </w:r>
            <w:r w:rsidRPr="001A14D5">
              <w:rPr>
                <w:rFonts w:ascii="Times New Roman" w:hAnsi="Times New Roman" w:cs="Times New Roman"/>
                <w:sz w:val="20"/>
                <w:szCs w:val="20"/>
              </w:rPr>
              <w:t>. gadam</w:t>
            </w:r>
          </w:p>
        </w:tc>
      </w:tr>
      <w:tr w:rsidRPr="00F73246" w:rsidR="004A3FB9" w:rsidTr="0094386B" w14:paraId="07E9830F"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51671BEB" w14:textId="77777777">
            <w:pPr>
              <w:jc w:val="center"/>
              <w:rPr>
                <w:rFonts w:ascii="Times New Roman" w:hAnsi="Times New Roman" w:cs="Times New Roman"/>
                <w:sz w:val="24"/>
                <w:szCs w:val="24"/>
              </w:rPr>
            </w:pPr>
            <w:r w:rsidRPr="00F73246">
              <w:rPr>
                <w:rFonts w:ascii="Times New Roman" w:hAnsi="Times New Roman" w:cs="Times New Roman"/>
                <w:sz w:val="24"/>
                <w:szCs w:val="24"/>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7BA6EE85" w14:textId="77777777">
            <w:pPr>
              <w:jc w:val="center"/>
              <w:rPr>
                <w:rFonts w:ascii="Times New Roman" w:hAnsi="Times New Roman" w:cs="Times New Roman"/>
                <w:sz w:val="24"/>
                <w:szCs w:val="24"/>
              </w:rPr>
            </w:pPr>
            <w:r w:rsidRPr="00F73246">
              <w:rPr>
                <w:rFonts w:ascii="Times New Roman" w:hAnsi="Times New Roman" w:cs="Times New Roman"/>
                <w:sz w:val="24"/>
                <w:szCs w:val="24"/>
              </w:rPr>
              <w:t>2</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4E195096" w14:textId="77777777">
            <w:pPr>
              <w:jc w:val="center"/>
              <w:rPr>
                <w:rFonts w:ascii="Times New Roman" w:hAnsi="Times New Roman" w:cs="Times New Roman"/>
                <w:sz w:val="24"/>
                <w:szCs w:val="24"/>
              </w:rPr>
            </w:pPr>
            <w:r w:rsidRPr="00F73246">
              <w:rPr>
                <w:rFonts w:ascii="Times New Roman" w:hAnsi="Times New Roman"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3C357677" w14:textId="77777777">
            <w:pPr>
              <w:jc w:val="center"/>
              <w:rPr>
                <w:rFonts w:ascii="Times New Roman" w:hAnsi="Times New Roman" w:cs="Times New Roman"/>
                <w:sz w:val="24"/>
                <w:szCs w:val="24"/>
              </w:rPr>
            </w:pPr>
            <w:r w:rsidRPr="00F73246">
              <w:rPr>
                <w:rFonts w:ascii="Times New Roman" w:hAnsi="Times New Roman" w:cs="Times New Roman"/>
                <w:sz w:val="24"/>
                <w:szCs w:val="24"/>
              </w:rPr>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6A0E8340" w14:textId="77777777">
            <w:pPr>
              <w:jc w:val="center"/>
              <w:rPr>
                <w:rFonts w:ascii="Times New Roman" w:hAnsi="Times New Roman" w:cs="Times New Roman"/>
                <w:sz w:val="24"/>
                <w:szCs w:val="24"/>
              </w:rPr>
            </w:pPr>
            <w:r w:rsidRPr="00F73246">
              <w:rPr>
                <w:rFonts w:ascii="Times New Roman" w:hAnsi="Times New Roman"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49CE2E27" w14:textId="77777777">
            <w:pPr>
              <w:jc w:val="center"/>
              <w:rPr>
                <w:rFonts w:ascii="Times New Roman" w:hAnsi="Times New Roman" w:cs="Times New Roman"/>
                <w:sz w:val="24"/>
                <w:szCs w:val="24"/>
              </w:rPr>
            </w:pPr>
            <w:r w:rsidRPr="00F73246">
              <w:rPr>
                <w:rFonts w:ascii="Times New Roman" w:hAnsi="Times New Roman" w:cs="Times New Roman"/>
                <w:sz w:val="24"/>
                <w:szCs w:val="24"/>
              </w:rPr>
              <w:t>6</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05CD6A55" w14:textId="77777777">
            <w:pPr>
              <w:jc w:val="center"/>
              <w:rPr>
                <w:rFonts w:ascii="Times New Roman" w:hAnsi="Times New Roman" w:cs="Times New Roman"/>
                <w:sz w:val="24"/>
                <w:szCs w:val="24"/>
              </w:rPr>
            </w:pPr>
            <w:r w:rsidRPr="00F73246">
              <w:rPr>
                <w:rFonts w:ascii="Times New Roman" w:hAnsi="Times New Roman" w:cs="Times New Roman"/>
                <w:sz w:val="24"/>
                <w:szCs w:val="24"/>
              </w:rPr>
              <w:t>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4A3FB9" w:rsidP="00AD25E8" w:rsidRDefault="004A3FB9" w14:paraId="34750264" w14:textId="77777777">
            <w:pPr>
              <w:jc w:val="center"/>
              <w:rPr>
                <w:rFonts w:ascii="Times New Roman" w:hAnsi="Times New Roman" w:cs="Times New Roman"/>
                <w:sz w:val="24"/>
                <w:szCs w:val="24"/>
              </w:rPr>
            </w:pPr>
            <w:r w:rsidRPr="00F73246">
              <w:rPr>
                <w:rFonts w:ascii="Times New Roman" w:hAnsi="Times New Roman" w:cs="Times New Roman"/>
                <w:sz w:val="24"/>
                <w:szCs w:val="24"/>
              </w:rPr>
              <w:t>8</w:t>
            </w:r>
          </w:p>
        </w:tc>
      </w:tr>
      <w:tr w:rsidRPr="00F73246" w:rsidR="007077AB" w:rsidTr="007077AB" w14:paraId="140E0D8E"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2C3C65" w:rsidR="002C3C65" w:rsidP="002C3C65" w:rsidRDefault="002C3C65" w14:paraId="245589ED" w14:textId="5B6F59C8">
            <w:pPr>
              <w:rPr>
                <w:rFonts w:ascii="Times New Roman" w:hAnsi="Times New Roman" w:cs="Times New Roman"/>
                <w:sz w:val="24"/>
                <w:szCs w:val="24"/>
              </w:rPr>
            </w:pPr>
            <w:r w:rsidRPr="002C3C65">
              <w:rPr>
                <w:rFonts w:ascii="Times New Roman" w:hAnsi="Times New Roman"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tcPr>
          <w:p w:rsidRPr="00BB6B89" w:rsidR="002C3C65" w:rsidP="00BB6B89" w:rsidRDefault="000901E6" w14:paraId="00991AC6" w14:textId="2C83519E">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995"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tcPr>
          <w:p w:rsidRPr="00BB6B89" w:rsidR="002C3C65" w:rsidP="00BB6B89" w:rsidRDefault="00E31B7B" w14:paraId="0CA4D0F6" w14:textId="570E2B83">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tcPr>
          <w:p w:rsidRPr="00BB6B89" w:rsidR="002C3C65" w:rsidP="00BB6B89" w:rsidRDefault="000901E6" w14:paraId="29F1153B" w14:textId="2B4F66B9">
            <w:pPr>
              <w:spacing w:after="0"/>
              <w:jc w:val="center"/>
              <w:rPr>
                <w:rFonts w:ascii="Times New Roman" w:hAnsi="Times New Roman" w:cs="Times New Roman"/>
                <w:sz w:val="20"/>
                <w:szCs w:val="20"/>
              </w:rPr>
            </w:pPr>
            <w:r w:rsidRPr="00BB6B89">
              <w:rPr>
                <w:rFonts w:ascii="Times New Roman" w:hAnsi="Times New Roman" w:cs="Times New Roman"/>
                <w:sz w:val="20"/>
                <w:szCs w:val="20"/>
              </w:rPr>
              <w:t>15 053 400</w:t>
            </w:r>
          </w:p>
        </w:tc>
        <w:tc>
          <w:tcPr>
            <w:tcW w:w="992"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tcPr>
          <w:p w:rsidRPr="00BB6B89" w:rsidR="002C3C65" w:rsidP="00BB6B89" w:rsidRDefault="00E31B7B" w14:paraId="20C84FB1" w14:textId="55A82D89">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tcPr>
          <w:p w:rsidRPr="00BB6B89" w:rsidR="002C3C65" w:rsidP="00BB6B89" w:rsidRDefault="000901E6" w14:paraId="3FA5ED90" w14:textId="764DC657">
            <w:pPr>
              <w:spacing w:after="0"/>
              <w:jc w:val="center"/>
              <w:rPr>
                <w:rFonts w:ascii="Times New Roman" w:hAnsi="Times New Roman" w:cs="Times New Roman"/>
                <w:sz w:val="20"/>
                <w:szCs w:val="20"/>
              </w:rPr>
            </w:pPr>
            <w:r w:rsidRPr="00BB6B89">
              <w:rPr>
                <w:rFonts w:ascii="Times New Roman" w:hAnsi="Times New Roman" w:cs="Times New Roman"/>
                <w:sz w:val="20"/>
                <w:szCs w:val="20"/>
              </w:rPr>
              <w:t>125 923 040</w:t>
            </w:r>
          </w:p>
        </w:tc>
        <w:tc>
          <w:tcPr>
            <w:tcW w:w="992"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hideMark/>
          </w:tcPr>
          <w:p w:rsidRPr="00BB6B89" w:rsidR="002C3C65" w:rsidP="00BB6B89" w:rsidRDefault="00E31B7B" w14:paraId="5B978E9B" w14:textId="2FE7BEA8">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hideMark/>
          </w:tcPr>
          <w:p w:rsidRPr="00BB6B89" w:rsidR="002C3C65" w:rsidP="00BB6B89" w:rsidRDefault="00E31B7B" w14:paraId="6046B802" w14:textId="6889FD5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2C3C65" w:rsidTr="0018214A" w14:paraId="0C1E06D0"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7A2AB87B" w14:textId="4EDBCFFD">
            <w:pPr>
              <w:rPr>
                <w:rFonts w:ascii="Times New Roman" w:hAnsi="Times New Roman" w:cs="Times New Roman"/>
                <w:sz w:val="24"/>
                <w:szCs w:val="24"/>
              </w:rPr>
            </w:pPr>
            <w:r w:rsidRPr="002C3C65">
              <w:rPr>
                <w:rFonts w:ascii="Times New Roman" w:hAnsi="Times New Roman"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CC1D07" w14:paraId="53F433DA" w14:textId="10C99375">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2C3C65" w14:paraId="5A76250F" w14:textId="25AA3A9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CC1D07" w14:paraId="01789BC0" w14:textId="202AAB99">
            <w:pPr>
              <w:spacing w:after="0"/>
              <w:jc w:val="center"/>
              <w:rPr>
                <w:rFonts w:ascii="Times New Roman" w:hAnsi="Times New Roman" w:cs="Times New Roman"/>
                <w:sz w:val="20"/>
                <w:szCs w:val="20"/>
              </w:rPr>
            </w:pPr>
            <w:r w:rsidRPr="00BB6B89">
              <w:rPr>
                <w:rFonts w:ascii="Times New Roman" w:hAnsi="Times New Roman" w:cs="Times New Roman"/>
                <w:sz w:val="20"/>
                <w:szCs w:val="20"/>
              </w:rPr>
              <w:t>15 053 400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2C3C65" w14:paraId="0AFBCC6D" w14:textId="4F7EBDA9">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CC1D07" w14:paraId="78DE237F" w14:textId="2005D9FC">
            <w:pPr>
              <w:spacing w:after="0"/>
              <w:jc w:val="center"/>
              <w:rPr>
                <w:rFonts w:ascii="Times New Roman" w:hAnsi="Times New Roman" w:cs="Times New Roman"/>
                <w:sz w:val="20"/>
                <w:szCs w:val="20"/>
              </w:rPr>
            </w:pPr>
            <w:r w:rsidRPr="00BB6B89">
              <w:rPr>
                <w:rFonts w:ascii="Times New Roman" w:hAnsi="Times New Roman" w:cs="Times New Roman"/>
                <w:sz w:val="20"/>
                <w:szCs w:val="20"/>
              </w:rPr>
              <w:t>125 923 040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7D04C9CA" w14:textId="576FB887">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BBE3C59" w14:textId="16DECCC4">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2C3C65" w:rsidTr="0018214A" w14:paraId="0BAD1207"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76F8234A" w14:textId="7C622E3A">
            <w:pPr>
              <w:rPr>
                <w:rFonts w:ascii="Times New Roman" w:hAnsi="Times New Roman" w:cs="Times New Roman"/>
                <w:sz w:val="24"/>
                <w:szCs w:val="24"/>
              </w:rPr>
            </w:pPr>
            <w:r w:rsidRPr="002C3C65">
              <w:rPr>
                <w:rFonts w:ascii="Times New Roman" w:hAnsi="Times New Roman" w:cs="Times New Roman"/>
                <w:sz w:val="24"/>
                <w:szCs w:val="24"/>
              </w:rPr>
              <w:lastRenderedPageBreak/>
              <w:t>1.2.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286EC3E6" w14:textId="5D945BA8">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C5E0554" w14:textId="1F8D2E26">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7DFF38E2" w14:textId="063033C9">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43364058" w14:textId="023F608B">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34F4EC2" w14:textId="546762A7">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648D1355" w14:textId="1D407651">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32BA030" w14:textId="4D07BD25">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2C3C65" w:rsidTr="0018214A" w14:paraId="021E0A6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0999600D" w14:textId="3CF0055D">
            <w:pPr>
              <w:rPr>
                <w:rFonts w:ascii="Times New Roman" w:hAnsi="Times New Roman" w:cs="Times New Roman"/>
                <w:sz w:val="24"/>
                <w:szCs w:val="24"/>
              </w:rPr>
            </w:pPr>
            <w:r w:rsidRPr="002C3C65">
              <w:rPr>
                <w:rFonts w:ascii="Times New Roman" w:hAnsi="Times New Roman"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5C068D77" w14:textId="5F0AA137">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026DF7A9" w14:textId="35D7B26B">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4FC2B14F" w14:textId="2EE47AE1">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7B191643" w14:textId="0E4AD292">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0C781522" w14:textId="677CF3CB">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75CF7883" w14:textId="3FA19AE6">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34F3E84" w14:textId="35C02F77">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0901E6" w:rsidTr="0018214A" w14:paraId="10C29FDC"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0901E6" w:rsidP="000901E6" w:rsidRDefault="000901E6" w14:paraId="55829B1D" w14:textId="28E9ADC4">
            <w:pPr>
              <w:rPr>
                <w:rFonts w:ascii="Times New Roman" w:hAnsi="Times New Roman" w:cs="Times New Roman"/>
                <w:sz w:val="24"/>
                <w:szCs w:val="24"/>
              </w:rPr>
            </w:pPr>
            <w:r w:rsidRPr="002C3C65">
              <w:rPr>
                <w:rFonts w:ascii="Times New Roman" w:hAnsi="Times New Roman"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0901E6" w:rsidP="00BB6B89" w:rsidRDefault="000901E6" w14:paraId="0E858520" w14:textId="4FDADAC0">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0901E6" w:rsidP="00BB6B89" w:rsidRDefault="000901E6" w14:paraId="3350E216" w14:textId="12390451">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0901E6" w:rsidP="00BB6B89" w:rsidRDefault="000901E6" w14:paraId="40FE2814" w14:textId="057AB40D">
            <w:pPr>
              <w:spacing w:after="0"/>
              <w:jc w:val="center"/>
              <w:rPr>
                <w:rFonts w:ascii="Times New Roman" w:hAnsi="Times New Roman" w:cs="Times New Roman"/>
                <w:sz w:val="20"/>
                <w:szCs w:val="20"/>
              </w:rPr>
            </w:pPr>
            <w:r w:rsidRPr="00BB6B89">
              <w:rPr>
                <w:rFonts w:ascii="Times New Roman" w:hAnsi="Times New Roman" w:cs="Times New Roman"/>
                <w:sz w:val="20"/>
                <w:szCs w:val="20"/>
              </w:rPr>
              <w:t>15 053 400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0901E6" w:rsidP="00BB6B89" w:rsidRDefault="000901E6" w14:paraId="7154690B" w14:textId="4C713642">
            <w:pPr>
              <w:spacing w:after="0"/>
              <w:jc w:val="center"/>
              <w:rPr>
                <w:rFonts w:ascii="Times New Roman" w:hAnsi="Times New Roman" w:cs="Times New Roman"/>
                <w:sz w:val="20"/>
                <w:szCs w:val="20"/>
              </w:rPr>
            </w:pPr>
            <w:r w:rsidRPr="00BB6B89">
              <w:rPr>
                <w:rFonts w:ascii="Times New Roman" w:hAnsi="Times New Roman" w:cs="Times New Roman"/>
                <w:sz w:val="20"/>
                <w:szCs w:val="20"/>
              </w:rPr>
              <w:t>-7 151 000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0901E6" w:rsidP="00BB6B89" w:rsidRDefault="000901E6" w14:paraId="4E4ECCC5" w14:textId="3868F9A3">
            <w:pPr>
              <w:spacing w:after="0"/>
              <w:jc w:val="center"/>
              <w:rPr>
                <w:rFonts w:ascii="Times New Roman" w:hAnsi="Times New Roman" w:cs="Times New Roman"/>
                <w:sz w:val="20"/>
                <w:szCs w:val="20"/>
              </w:rPr>
            </w:pPr>
            <w:r w:rsidRPr="00BB6B89">
              <w:rPr>
                <w:rFonts w:ascii="Times New Roman" w:hAnsi="Times New Roman" w:cs="Times New Roman"/>
                <w:sz w:val="20"/>
                <w:szCs w:val="20"/>
              </w:rPr>
              <w:t>125 923 040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0901E6" w:rsidP="00BB6B89" w:rsidRDefault="002C10F3" w14:paraId="4012927C" w14:textId="2924E977">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0901E6" w:rsidP="00BB6B89" w:rsidRDefault="002C10F3" w14:paraId="238A6E9F" w14:textId="081D38A6">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Pr="00F73246" w:rsidR="000901E6" w:rsidTr="0018214A" w14:paraId="60C220F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0901E6" w:rsidP="000901E6" w:rsidRDefault="000901E6" w14:paraId="157B6316" w14:textId="1C2481B6">
            <w:pPr>
              <w:rPr>
                <w:rFonts w:ascii="Times New Roman" w:hAnsi="Times New Roman" w:cs="Times New Roman"/>
                <w:sz w:val="24"/>
                <w:szCs w:val="24"/>
              </w:rPr>
            </w:pPr>
            <w:r w:rsidRPr="002C3C65">
              <w:rPr>
                <w:rFonts w:ascii="Times New Roman" w:hAnsi="Times New Roman"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0901E6" w:rsidP="00BB6B89" w:rsidRDefault="000901E6" w14:paraId="39950441" w14:textId="7211D3E2">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0901E6" w:rsidP="00BB6B89" w:rsidRDefault="000901E6" w14:paraId="24D11379" w14:textId="11BFA25D">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0901E6" w:rsidP="00BB6B89" w:rsidRDefault="000901E6" w14:paraId="03E4C4FB" w14:textId="333F3FE5">
            <w:pPr>
              <w:spacing w:after="0"/>
              <w:jc w:val="center"/>
              <w:rPr>
                <w:rFonts w:ascii="Times New Roman" w:hAnsi="Times New Roman" w:cs="Times New Roman"/>
                <w:sz w:val="20"/>
                <w:szCs w:val="20"/>
              </w:rPr>
            </w:pPr>
            <w:r w:rsidRPr="00BB6B89">
              <w:rPr>
                <w:rFonts w:ascii="Times New Roman" w:hAnsi="Times New Roman" w:cs="Times New Roman"/>
                <w:sz w:val="20"/>
                <w:szCs w:val="20"/>
              </w:rPr>
              <w:t>15 053 400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0901E6" w:rsidP="00BB6B89" w:rsidRDefault="000901E6" w14:paraId="7A657140" w14:textId="6BA9CFF9">
            <w:pPr>
              <w:spacing w:after="0"/>
              <w:jc w:val="center"/>
              <w:rPr>
                <w:rFonts w:ascii="Times New Roman" w:hAnsi="Times New Roman" w:cs="Times New Roman"/>
                <w:sz w:val="20"/>
                <w:szCs w:val="20"/>
              </w:rPr>
            </w:pPr>
            <w:r w:rsidRPr="00BB6B89">
              <w:rPr>
                <w:rFonts w:ascii="Times New Roman" w:hAnsi="Times New Roman" w:cs="Times New Roman"/>
                <w:sz w:val="20"/>
                <w:szCs w:val="20"/>
              </w:rPr>
              <w:t>-7 151 000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0901E6" w:rsidP="00BB6B89" w:rsidRDefault="000901E6" w14:paraId="20B69A90" w14:textId="46BC7275">
            <w:pPr>
              <w:spacing w:after="0"/>
              <w:jc w:val="center"/>
              <w:rPr>
                <w:rFonts w:ascii="Times New Roman" w:hAnsi="Times New Roman" w:cs="Times New Roman"/>
                <w:sz w:val="20"/>
                <w:szCs w:val="20"/>
              </w:rPr>
            </w:pPr>
            <w:r w:rsidRPr="00BB6B89">
              <w:rPr>
                <w:rFonts w:ascii="Times New Roman" w:hAnsi="Times New Roman" w:cs="Times New Roman"/>
                <w:sz w:val="20"/>
                <w:szCs w:val="20"/>
              </w:rPr>
              <w:t>125 923 040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0901E6" w:rsidP="00BB6B89" w:rsidRDefault="002C10F3" w14:paraId="185458F6" w14:textId="6412F78B">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0901E6" w:rsidP="00BB6B89" w:rsidRDefault="002C10F3" w14:paraId="76E59641" w14:textId="46AF7506">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Pr="00F73246" w:rsidR="002C3C65" w:rsidTr="0018214A" w14:paraId="2E7DE58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127880F9" w14:textId="1715C2F6">
            <w:pPr>
              <w:rPr>
                <w:rFonts w:ascii="Times New Roman" w:hAnsi="Times New Roman" w:cs="Times New Roman"/>
                <w:sz w:val="24"/>
                <w:szCs w:val="24"/>
              </w:rPr>
            </w:pPr>
            <w:r w:rsidRPr="002C3C65">
              <w:rPr>
                <w:rFonts w:ascii="Times New Roman" w:hAnsi="Times New Roman"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3F89BFC" w14:textId="38E52525">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6384EFFB" w14:textId="49CEC4BF">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7DF75D6D" w14:textId="1C5EB818">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5C8185C" w14:textId="78C928FD">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85B3B58" w14:textId="58365B8F">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F00621B" w14:textId="38635B49">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6CC0760E" w14:textId="56B1CD4B">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2C3C65" w:rsidTr="0018214A" w14:paraId="3C5F82B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2EDB625B" w14:textId="4BD9AB3D">
            <w:pPr>
              <w:tabs>
                <w:tab w:val="left" w:pos="1245"/>
              </w:tabs>
              <w:rPr>
                <w:rFonts w:ascii="Times New Roman" w:hAnsi="Times New Roman" w:cs="Times New Roman"/>
                <w:sz w:val="24"/>
                <w:szCs w:val="24"/>
              </w:rPr>
            </w:pPr>
            <w:r w:rsidRPr="002C3C65">
              <w:rPr>
                <w:rFonts w:ascii="Times New Roman" w:hAnsi="Times New Roman"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1590FA1" w14:textId="788B295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40B973C5" w14:textId="0DBEA556">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259B3611" w14:textId="65D991E8">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4E75FA6C" w14:textId="66BF5DED">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F14EFAE" w14:textId="56833579">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013BB604" w14:textId="02A73DC6">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6AC255B9" w14:textId="64F98E19">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2C3C65" w:rsidTr="0018214A" w14:paraId="535945B0"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37273426" w14:textId="54CD45A0">
            <w:pPr>
              <w:rPr>
                <w:rFonts w:ascii="Times New Roman" w:hAnsi="Times New Roman" w:cs="Times New Roman"/>
                <w:sz w:val="24"/>
                <w:szCs w:val="24"/>
              </w:rPr>
            </w:pPr>
            <w:r w:rsidRPr="002C3C65">
              <w:rPr>
                <w:rFonts w:ascii="Times New Roman" w:hAnsi="Times New Roman"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E31B7B" w14:paraId="76086513" w14:textId="69D71A0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B1A90D9" w14:textId="1C1BB30D">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E31B7B" w14:paraId="0533B3EC" w14:textId="7C0F399D">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2B8A051B" w14:textId="3CD6878D">
            <w:pPr>
              <w:spacing w:after="0"/>
              <w:jc w:val="center"/>
              <w:rPr>
                <w:rFonts w:ascii="Times New Roman" w:hAnsi="Times New Roman" w:cs="Times New Roman"/>
                <w:sz w:val="20"/>
                <w:szCs w:val="20"/>
              </w:rPr>
            </w:pPr>
            <w:r w:rsidRPr="00BB6B89">
              <w:rPr>
                <w:rFonts w:ascii="Times New Roman" w:hAnsi="Times New Roman" w:cs="Times New Roman"/>
                <w:sz w:val="20"/>
                <w:szCs w:val="20"/>
              </w:rPr>
              <w:t>7 151 000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E31B7B" w14:paraId="68F2A244" w14:textId="6F223484">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2C10F3" w14:paraId="3F47F327" w14:textId="542945BD">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2C10F3" w14:paraId="464800F3" w14:textId="4E654657">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Pr="00F73246" w:rsidR="002C3C65" w:rsidTr="0018214A" w14:paraId="6085011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22D361DB" w14:textId="15D4EBE6">
            <w:pPr>
              <w:rPr>
                <w:rFonts w:ascii="Times New Roman" w:hAnsi="Times New Roman" w:cs="Times New Roman"/>
                <w:sz w:val="24"/>
                <w:szCs w:val="24"/>
              </w:rPr>
            </w:pPr>
            <w:r w:rsidRPr="002C3C65">
              <w:rPr>
                <w:rFonts w:ascii="Times New Roman" w:hAnsi="Times New Roman"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E31B7B" w14:paraId="225DDE22" w14:textId="225D471B">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061F9473" w14:textId="2E2A7CAA">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E31B7B" w14:paraId="048EA7F1" w14:textId="6F7DABC6">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6FCD89D0" w14:textId="5D2F01D1">
            <w:pPr>
              <w:spacing w:after="0"/>
              <w:jc w:val="center"/>
              <w:rPr>
                <w:rFonts w:ascii="Times New Roman" w:hAnsi="Times New Roman" w:cs="Times New Roman"/>
                <w:sz w:val="20"/>
                <w:szCs w:val="20"/>
              </w:rPr>
            </w:pPr>
            <w:r w:rsidRPr="00BB6B89">
              <w:rPr>
                <w:rFonts w:ascii="Times New Roman" w:hAnsi="Times New Roman" w:cs="Times New Roman"/>
                <w:sz w:val="20"/>
                <w:szCs w:val="20"/>
              </w:rPr>
              <w:t>7 151 000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E31B7B" w14:paraId="3B2CD26B" w14:textId="4333CA62">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10F3" w14:paraId="41913567" w14:textId="1E4859EA">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10F3" w14:paraId="7ABA84C9" w14:textId="58AE2579">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Pr="00F73246" w:rsidR="002C3C65" w:rsidTr="0018214A" w14:paraId="744B2A41"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6987A2C0" w14:textId="735B5460">
            <w:pPr>
              <w:rPr>
                <w:rFonts w:ascii="Times New Roman" w:hAnsi="Times New Roman" w:cs="Times New Roman"/>
                <w:sz w:val="24"/>
                <w:szCs w:val="24"/>
              </w:rPr>
            </w:pPr>
            <w:r w:rsidRPr="002C3C65">
              <w:rPr>
                <w:rFonts w:ascii="Times New Roman" w:hAnsi="Times New Roman"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37B7FF6" w14:textId="11C0C91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03E8BC8A" w14:textId="2BEFEFBF">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295A824" w14:textId="2ECD2B2F">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26034CA" w14:textId="0FFE77C7">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0FD5D658" w14:textId="3045CEA2">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198CA0D9" w14:textId="0114DF51">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4303651F" w14:textId="18C7DE53">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2C3C65" w:rsidTr="0018214A" w14:paraId="2658EBC0"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02A0F135" w14:textId="46A8DCF6">
            <w:pPr>
              <w:rPr>
                <w:rFonts w:ascii="Times New Roman" w:hAnsi="Times New Roman" w:cs="Times New Roman"/>
                <w:sz w:val="24"/>
                <w:szCs w:val="24"/>
              </w:rPr>
            </w:pPr>
            <w:r w:rsidRPr="002C3C65">
              <w:rPr>
                <w:rFonts w:ascii="Times New Roman" w:hAnsi="Times New Roman"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73523FD0" w14:textId="5731A14B">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5670C4C" w14:textId="2605AD30">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4D4F8238" w14:textId="42D1D657">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7E438A89" w14:textId="0718A186">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0026B511" w14:textId="56F943F5">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67FCF410" w14:textId="33B0E346">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6E2BEE11" w14:textId="240BC308">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2C3C65" w:rsidTr="0018214A" w14:paraId="07FAC444"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3C58FC0B" w14:textId="7B9B6672">
            <w:pPr>
              <w:rPr>
                <w:rFonts w:ascii="Times New Roman" w:hAnsi="Times New Roman" w:cs="Times New Roman"/>
                <w:sz w:val="24"/>
                <w:szCs w:val="24"/>
              </w:rPr>
            </w:pPr>
            <w:r w:rsidRPr="002C3C65">
              <w:rPr>
                <w:rFonts w:ascii="Times New Roman" w:hAnsi="Times New Roman" w:cs="Times New Roman"/>
                <w:sz w:val="24"/>
                <w:szCs w:val="24"/>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3CC9FCED" w14:textId="13B62C9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2BF8DC27" w14:textId="4EDA26A0">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BB6B89" w:rsidRDefault="002C3C65" w14:paraId="052285A9" w14:textId="2208ACAE">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2C3C65" w14:paraId="186E4E6F" w14:textId="41D55FE9">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2C3C65" w14:paraId="5AC3A7FA" w14:textId="31CD392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2C3C65" w14:paraId="1F100FBE" w14:textId="29172A6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tcPr>
          <w:p w:rsidRPr="00BB6B89" w:rsidR="002C3C65" w:rsidP="00BB6B89" w:rsidRDefault="002C3C65" w14:paraId="4638B168" w14:textId="78C3381D">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85766A" w:rsidTr="0018214A" w14:paraId="3BC68FB7"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85766A" w:rsidP="0085766A" w:rsidRDefault="0085766A" w14:paraId="3A48243E" w14:textId="744CAA4A">
            <w:pPr>
              <w:rPr>
                <w:rFonts w:ascii="Times New Roman" w:hAnsi="Times New Roman" w:cs="Times New Roman"/>
                <w:sz w:val="24"/>
                <w:szCs w:val="24"/>
              </w:rPr>
            </w:pPr>
            <w:r w:rsidRPr="002C3C65">
              <w:rPr>
                <w:rFonts w:ascii="Times New Roman" w:hAnsi="Times New Roman"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hideMark/>
          </w:tcPr>
          <w:p w:rsidRPr="00BB6B89" w:rsidR="0085766A" w:rsidP="0031406B" w:rsidRDefault="0085766A" w14:paraId="4ED7C067" w14:textId="4017E189">
            <w:pPr>
              <w:spacing w:after="0"/>
              <w:jc w:val="center"/>
              <w:rPr>
                <w:rFonts w:ascii="Times New Roman" w:hAnsi="Times New Roman" w:cs="Times New Roman"/>
                <w:sz w:val="20"/>
                <w:szCs w:val="20"/>
              </w:rPr>
            </w:pPr>
            <w:r w:rsidRPr="00BB6B89">
              <w:rPr>
                <w:rFonts w:ascii="Times New Roman" w:hAnsi="Times New Roman" w:cs="Times New Roman"/>
                <w:sz w:val="20"/>
                <w:szCs w:val="20"/>
              </w:rPr>
              <w:t>X</w:t>
            </w: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BB6B89" w:rsidRDefault="0085766A" w14:paraId="45FD0775" w14:textId="6F340B20">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hideMark/>
          </w:tcPr>
          <w:p w:rsidRPr="00BB6B89" w:rsidR="0085766A" w:rsidP="0031406B" w:rsidRDefault="0085766A" w14:paraId="4D987506" w14:textId="3A9BB9F8">
            <w:pPr>
              <w:spacing w:after="0"/>
              <w:jc w:val="center"/>
              <w:rPr>
                <w:rFonts w:ascii="Times New Roman" w:hAnsi="Times New Roman" w:cs="Times New Roman"/>
                <w:sz w:val="20"/>
                <w:szCs w:val="20"/>
              </w:rPr>
            </w:pPr>
            <w:r w:rsidRPr="00BB6B89">
              <w:rPr>
                <w:rFonts w:ascii="Times New Roman" w:hAnsi="Times New Roman" w:cs="Times New Roman"/>
                <w:sz w:val="20"/>
                <w:szCs w:val="20"/>
              </w:rPr>
              <w:t>X</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BB6B89" w:rsidRDefault="0085766A" w14:paraId="6CCE3AB9" w14:textId="033A35F1">
            <w:pPr>
              <w:spacing w:after="0"/>
              <w:jc w:val="center"/>
              <w:rPr>
                <w:rFonts w:ascii="Times New Roman" w:hAnsi="Times New Roman" w:cs="Times New Roman"/>
                <w:sz w:val="20"/>
                <w:szCs w:val="20"/>
              </w:rPr>
            </w:pPr>
            <w:r w:rsidRPr="00BB6B89">
              <w:rPr>
                <w:rFonts w:ascii="Times New Roman" w:hAnsi="Times New Roman" w:cs="Times New Roman"/>
                <w:sz w:val="20"/>
                <w:szCs w:val="20"/>
              </w:rPr>
              <w:t>7 151 000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hideMark/>
          </w:tcPr>
          <w:p w:rsidRPr="00BB6B89" w:rsidR="0085766A" w:rsidP="00BB6B89" w:rsidRDefault="0085766A" w14:paraId="3EAFB95A" w14:textId="6B33FFAB">
            <w:pPr>
              <w:spacing w:after="0"/>
              <w:jc w:val="center"/>
              <w:rPr>
                <w:rFonts w:ascii="Times New Roman" w:hAnsi="Times New Roman" w:cs="Times New Roman"/>
                <w:sz w:val="20"/>
                <w:szCs w:val="20"/>
              </w:rPr>
            </w:pPr>
            <w:r w:rsidRPr="00BB6B89">
              <w:rPr>
                <w:rFonts w:ascii="Times New Roman" w:hAnsi="Times New Roman" w:cs="Times New Roman"/>
                <w:sz w:val="20"/>
                <w:szCs w:val="20"/>
              </w:rPr>
              <w:t>X</w:t>
            </w: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BB6B89" w:rsidRDefault="002C10F3" w14:paraId="76668C21" w14:textId="2BE06707">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BB6B89" w:rsidRDefault="002C10F3" w14:paraId="571AD768" w14:textId="5ADD49BD">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Pr="00F73246" w:rsidR="0085766A" w:rsidTr="0018214A" w14:paraId="19D5BCA5"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85766A" w:rsidP="0085766A" w:rsidRDefault="0085766A" w14:paraId="4B843EA4" w14:textId="12F5BACD">
            <w:pPr>
              <w:rPr>
                <w:rFonts w:ascii="Times New Roman" w:hAnsi="Times New Roman" w:cs="Times New Roman"/>
                <w:sz w:val="24"/>
                <w:szCs w:val="24"/>
              </w:rPr>
            </w:pPr>
            <w:r w:rsidRPr="002C3C65">
              <w:rPr>
                <w:rFonts w:ascii="Times New Roman" w:hAnsi="Times New Roman" w:cs="Times New Roman"/>
                <w:sz w:val="24"/>
                <w:szCs w:val="24"/>
              </w:rPr>
              <w:t>5.1. valsts pamatbudžets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94386B" w:rsidRDefault="0085766A" w14:paraId="2B63E748" w14:textId="77777777">
            <w:pPr>
              <w:spacing w:after="0"/>
              <w:jc w:val="center"/>
              <w:rPr>
                <w:rFonts w:ascii="Times New Roman" w:hAnsi="Times New Roman" w:cs="Times New Roman"/>
                <w:sz w:val="20"/>
                <w:szCs w:val="20"/>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94386B" w:rsidRDefault="0085766A" w14:paraId="32AC767F" w14:textId="2775C45C">
            <w:pPr>
              <w:spacing w:after="0"/>
              <w:jc w:val="center"/>
              <w:rPr>
                <w:rFonts w:ascii="Times New Roman" w:hAnsi="Times New Roman" w:cs="Times New Roman"/>
                <w:sz w:val="20"/>
                <w:szCs w:val="20"/>
              </w:rPr>
            </w:pPr>
            <w:r w:rsidRPr="00BB6B89">
              <w:rPr>
                <w:rFonts w:ascii="Times New Roman" w:hAnsi="Times New Roman" w:cs="Times New Roman"/>
                <w:sz w:val="20"/>
                <w:szCs w:val="20"/>
              </w:rPr>
              <w:t>4 700 000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94386B" w:rsidRDefault="0085766A" w14:paraId="1D4AA89A" w14:textId="77777777">
            <w:pPr>
              <w:spacing w:after="0"/>
              <w:jc w:val="center"/>
              <w:rPr>
                <w:rFonts w:ascii="Times New Roman" w:hAnsi="Times New Roman" w:cs="Times New Roman"/>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94386B" w:rsidRDefault="0085766A" w14:paraId="5432D3D7" w14:textId="6BFAB697">
            <w:pPr>
              <w:spacing w:after="0"/>
              <w:jc w:val="center"/>
              <w:rPr>
                <w:rFonts w:ascii="Times New Roman" w:hAnsi="Times New Roman" w:cs="Times New Roman"/>
                <w:sz w:val="20"/>
                <w:szCs w:val="20"/>
              </w:rPr>
            </w:pPr>
            <w:r w:rsidRPr="00BB6B89">
              <w:rPr>
                <w:rFonts w:ascii="Times New Roman" w:hAnsi="Times New Roman" w:cs="Times New Roman"/>
                <w:sz w:val="20"/>
                <w:szCs w:val="20"/>
              </w:rPr>
              <w:t>7 151 000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94386B" w:rsidRDefault="0085766A" w14:paraId="3CF5CC47" w14:textId="77777777">
            <w:pPr>
              <w:spacing w:after="0"/>
              <w:jc w:val="center"/>
              <w:rPr>
                <w:rFonts w:ascii="Times New Roman" w:hAnsi="Times New Roman" w:cs="Times New Roman"/>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94386B" w:rsidRDefault="002C10F3" w14:paraId="3CAA8C38" w14:textId="7662BB76">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85766A" w:rsidP="0094386B" w:rsidRDefault="002C10F3" w14:paraId="75D224AB" w14:textId="44BE9BF9">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Pr="00F73246" w:rsidR="002C3C65" w:rsidTr="0018214A" w14:paraId="64611D91"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37B2B79F" w14:textId="794E4EEE">
            <w:pPr>
              <w:rPr>
                <w:rFonts w:ascii="Times New Roman" w:hAnsi="Times New Roman" w:cs="Times New Roman"/>
                <w:sz w:val="24"/>
                <w:szCs w:val="24"/>
              </w:rPr>
            </w:pPr>
            <w:r w:rsidRPr="002C3C65">
              <w:rPr>
                <w:rFonts w:ascii="Times New Roman" w:hAnsi="Times New Roman" w:cs="Times New Roman"/>
                <w:sz w:val="24"/>
                <w:szCs w:val="24"/>
              </w:rPr>
              <w:lastRenderedPageBreak/>
              <w:t>5.2. speciālais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5E3B12A5" w14:textId="77777777">
            <w:pPr>
              <w:spacing w:after="0"/>
              <w:jc w:val="center"/>
              <w:rPr>
                <w:rFonts w:ascii="Times New Roman" w:hAnsi="Times New Roman" w:cs="Times New Roman"/>
                <w:sz w:val="20"/>
                <w:szCs w:val="20"/>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1B473383" w14:textId="567A9F1B">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158FEDD4" w14:textId="77777777">
            <w:pPr>
              <w:spacing w:after="0"/>
              <w:jc w:val="center"/>
              <w:rPr>
                <w:rFonts w:ascii="Times New Roman" w:hAnsi="Times New Roman" w:cs="Times New Roman"/>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4DA38B32" w14:textId="3936B6A9">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161FEB50" w14:textId="77777777">
            <w:pPr>
              <w:spacing w:after="0"/>
              <w:jc w:val="center"/>
              <w:rPr>
                <w:rFonts w:ascii="Times New Roman" w:hAnsi="Times New Roman" w:cs="Times New Roman"/>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61930FFC" w14:textId="030A41CC">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61D93207" w14:textId="3B8ADEC4">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2C3C65" w:rsidTr="0018214A" w14:paraId="4524D85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2C3C65" w:rsidR="002C3C65" w:rsidP="002C3C65" w:rsidRDefault="002C3C65" w14:paraId="7CB83A82" w14:textId="1133529F">
            <w:pPr>
              <w:rPr>
                <w:rFonts w:ascii="Times New Roman" w:hAnsi="Times New Roman" w:cs="Times New Roman"/>
                <w:sz w:val="24"/>
                <w:szCs w:val="24"/>
              </w:rPr>
            </w:pPr>
            <w:r w:rsidRPr="002C3C65">
              <w:rPr>
                <w:rFonts w:ascii="Times New Roman" w:hAnsi="Times New Roman" w:cs="Times New Roman"/>
                <w:sz w:val="24"/>
                <w:szCs w:val="24"/>
              </w:rPr>
              <w:t>5.3. pašvaldību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42A99093" w14:textId="77777777">
            <w:pPr>
              <w:spacing w:after="0"/>
              <w:jc w:val="center"/>
              <w:rPr>
                <w:rFonts w:ascii="Times New Roman" w:hAnsi="Times New Roman" w:cs="Times New Roman"/>
                <w:sz w:val="20"/>
                <w:szCs w:val="20"/>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7E1C4146" w14:textId="5990CCC3">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1D010D86" w14:textId="77777777">
            <w:pPr>
              <w:spacing w:after="0"/>
              <w:jc w:val="center"/>
              <w:rPr>
                <w:rFonts w:ascii="Times New Roman" w:hAnsi="Times New Roman" w:cs="Times New Roman"/>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4C708128" w14:textId="230C313B">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1317AD35" w14:textId="77777777">
            <w:pPr>
              <w:spacing w:after="0"/>
              <w:jc w:val="center"/>
              <w:rPr>
                <w:rFonts w:ascii="Times New Roman" w:hAnsi="Times New Roman" w:cs="Times New Roman"/>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0E5C7D49" w14:textId="25C9567D">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hideMark/>
          </w:tcPr>
          <w:p w:rsidRPr="00BB6B89" w:rsidR="002C3C65" w:rsidP="0094386B" w:rsidRDefault="002C3C65" w14:paraId="0D3F0163" w14:textId="3807B9C6">
            <w:pPr>
              <w:spacing w:after="0"/>
              <w:jc w:val="center"/>
              <w:rPr>
                <w:rFonts w:ascii="Times New Roman" w:hAnsi="Times New Roman" w:cs="Times New Roman"/>
                <w:sz w:val="20"/>
                <w:szCs w:val="20"/>
              </w:rPr>
            </w:pPr>
            <w:r w:rsidRPr="00BB6B89">
              <w:rPr>
                <w:rFonts w:ascii="Times New Roman" w:hAnsi="Times New Roman" w:cs="Times New Roman"/>
                <w:sz w:val="20"/>
                <w:szCs w:val="20"/>
              </w:rPr>
              <w:t>0</w:t>
            </w:r>
          </w:p>
        </w:tc>
      </w:tr>
      <w:tr w:rsidRPr="00F73246" w:rsidR="00C861DB" w:rsidTr="007077AB" w14:paraId="2CADBE95"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F73246" w:rsidR="00C861DB" w:rsidP="00C861DB" w:rsidRDefault="00C861DB" w14:paraId="318CE709" w14:textId="77777777">
            <w:pPr>
              <w:rPr>
                <w:rFonts w:ascii="Times New Roman" w:hAnsi="Times New Roman" w:cs="Times New Roman"/>
                <w:sz w:val="24"/>
                <w:szCs w:val="24"/>
              </w:rPr>
            </w:pPr>
            <w:r w:rsidRPr="00F73246">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37"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F73246" w:rsidR="00C861DB" w:rsidP="00C861DB" w:rsidRDefault="004674B6" w14:paraId="53061DB0" w14:textId="43EF3DF0">
            <w:pPr>
              <w:jc w:val="both"/>
              <w:rPr>
                <w:rFonts w:ascii="Times New Roman" w:hAnsi="Times New Roman" w:cs="Times New Roman"/>
                <w:sz w:val="24"/>
                <w:szCs w:val="24"/>
                <w:highlight w:val="green"/>
              </w:rPr>
            </w:pPr>
            <w:r>
              <w:rPr>
                <w:rFonts w:ascii="Times New Roman" w:hAnsi="Times New Roman" w:cs="Times New Roman"/>
                <w:sz w:val="24"/>
                <w:szCs w:val="24"/>
              </w:rPr>
              <w:t xml:space="preserve">Šī dokumenta I daļas 2.punktā pievienots detalizēts apraksts attiecībā uz  provizoriskajām servisa centra būvniecības izmaksām, kas sastāda 25,4 milj. </w:t>
            </w:r>
            <w:r>
              <w:rPr>
                <w:rFonts w:ascii="Times New Roman" w:hAnsi="Times New Roman" w:cs="Times New Roman"/>
                <w:i/>
                <w:iCs/>
                <w:sz w:val="24"/>
                <w:szCs w:val="24"/>
              </w:rPr>
              <w:t>euro</w:t>
            </w:r>
            <w:r>
              <w:rPr>
                <w:rFonts w:ascii="Times New Roman" w:hAnsi="Times New Roman" w:cs="Times New Roman"/>
                <w:sz w:val="24"/>
                <w:szCs w:val="24"/>
              </w:rPr>
              <w:t xml:space="preserve">. </w:t>
            </w:r>
            <w:r w:rsidRPr="004674B6">
              <w:rPr>
                <w:rFonts w:ascii="Times New Roman" w:hAnsi="Times New Roman" w:cs="Times New Roman"/>
                <w:sz w:val="24"/>
                <w:szCs w:val="24"/>
              </w:rPr>
              <w:t>Konsultējoties ar atbildīgajiem speciālistiem un AS “Škoda Vagonka”, tika noteikti nepieciešamās ēkas aptuvenie izmēri ilgtermiņā efektīvi funkcionējošam servisa centram.</w:t>
            </w:r>
            <w:r>
              <w:rPr>
                <w:rFonts w:ascii="Times New Roman" w:hAnsi="Times New Roman" w:cs="Times New Roman"/>
                <w:sz w:val="24"/>
                <w:szCs w:val="24"/>
              </w:rPr>
              <w:t xml:space="preserve"> Ņemot vērā servisa centra izmērus, tika veikts provizorisks nepieciešamo investīciju novērtējums, ārpakalpojuma konsultants SIA “Ernst &amp; Young Baltic” veica šādas ēkas investīciju aprēķinu, kas provizoriski lēšamas 25,4 milj. </w:t>
            </w:r>
            <w:r>
              <w:rPr>
                <w:rFonts w:ascii="Times New Roman" w:hAnsi="Times New Roman" w:cs="Times New Roman"/>
                <w:i/>
                <w:iCs/>
                <w:sz w:val="24"/>
                <w:szCs w:val="24"/>
              </w:rPr>
              <w:t>euro</w:t>
            </w:r>
            <w:r>
              <w:rPr>
                <w:rFonts w:ascii="Times New Roman" w:hAnsi="Times New Roman" w:cs="Times New Roman"/>
                <w:sz w:val="24"/>
                <w:szCs w:val="24"/>
              </w:rPr>
              <w:t xml:space="preserve"> apmērā (precīzākas būvniecības izmaksas būs iespējams noteikt tikai projektēšanas stadijā, izstrādājot servisa centra ražošanas tehnoloģiju)</w:t>
            </w:r>
            <w:r w:rsidRPr="00514DB1" w:rsidR="007077AB">
              <w:rPr>
                <w:rFonts w:ascii="Times New Roman" w:hAnsi="Times New Roman" w:cs="Times New Roman"/>
                <w:sz w:val="24"/>
                <w:szCs w:val="24"/>
              </w:rPr>
              <w:t>.</w:t>
            </w:r>
            <w:r w:rsidR="001A0B5E">
              <w:rPr>
                <w:rFonts w:ascii="Times New Roman" w:hAnsi="Times New Roman" w:cs="Times New Roman"/>
                <w:sz w:val="24"/>
                <w:szCs w:val="24"/>
              </w:rPr>
              <w:t xml:space="preserve"> </w:t>
            </w:r>
            <w:r w:rsidR="001270DC">
              <w:rPr>
                <w:rFonts w:ascii="Times New Roman" w:hAnsi="Times New Roman" w:cs="Times New Roman"/>
                <w:sz w:val="24"/>
                <w:szCs w:val="24"/>
              </w:rPr>
              <w:t xml:space="preserve">Remonta </w:t>
            </w:r>
            <w:r w:rsidR="001A0B5E">
              <w:rPr>
                <w:rFonts w:ascii="Times New Roman" w:hAnsi="Times New Roman" w:cs="Times New Roman"/>
                <w:sz w:val="24"/>
                <w:szCs w:val="24"/>
              </w:rPr>
              <w:t xml:space="preserve">centra </w:t>
            </w:r>
            <w:r w:rsidRPr="001C2D3B" w:rsidR="001A0B5E">
              <w:rPr>
                <w:rFonts w:ascii="Times New Roman" w:hAnsi="Times New Roman" w:cs="Times New Roman"/>
                <w:sz w:val="24"/>
                <w:szCs w:val="24"/>
              </w:rPr>
              <w:t>nodošan</w:t>
            </w:r>
            <w:r w:rsidR="001A0B5E">
              <w:rPr>
                <w:rFonts w:ascii="Times New Roman" w:hAnsi="Times New Roman" w:cs="Times New Roman"/>
                <w:sz w:val="24"/>
                <w:szCs w:val="24"/>
              </w:rPr>
              <w:t>a</w:t>
            </w:r>
            <w:r w:rsidRPr="001C2D3B" w:rsidR="001A0B5E">
              <w:rPr>
                <w:rFonts w:ascii="Times New Roman" w:hAnsi="Times New Roman" w:cs="Times New Roman"/>
                <w:sz w:val="24"/>
                <w:szCs w:val="24"/>
              </w:rPr>
              <w:t xml:space="preserve"> ekspluatācijā, laicīgi veicot projektēšanu un būvniecības iepirkumus</w:t>
            </w:r>
            <w:r w:rsidR="001A0B5E">
              <w:rPr>
                <w:rFonts w:ascii="Times New Roman" w:hAnsi="Times New Roman" w:cs="Times New Roman"/>
                <w:sz w:val="24"/>
                <w:szCs w:val="24"/>
              </w:rPr>
              <w:t>,</w:t>
            </w:r>
            <w:r w:rsidRPr="001C2D3B" w:rsidR="001A0B5E">
              <w:rPr>
                <w:rFonts w:ascii="Times New Roman" w:hAnsi="Times New Roman" w:cs="Times New Roman"/>
                <w:sz w:val="24"/>
                <w:szCs w:val="24"/>
              </w:rPr>
              <w:t xml:space="preserve"> ir iespējama ne ātrāk, kā 2025. gada beigā</w:t>
            </w:r>
            <w:r w:rsidR="001A0B5E">
              <w:rPr>
                <w:rFonts w:ascii="Times New Roman" w:hAnsi="Times New Roman" w:cs="Times New Roman"/>
                <w:sz w:val="24"/>
                <w:szCs w:val="24"/>
              </w:rPr>
              <w:t>s.</w:t>
            </w:r>
            <w:r>
              <w:rPr>
                <w:rFonts w:ascii="Times New Roman" w:hAnsi="Times New Roman" w:cs="Times New Roman"/>
                <w:sz w:val="24"/>
                <w:szCs w:val="24"/>
              </w:rPr>
              <w:t xml:space="preserve">AS “Pasažieru vilciens” ir uzsācis sarunas ar starptautiska tirgus dalībniekiem, kas sniedz pakalpojumus vilcienu ražošanas uzraudzības prasību noteikšanā. Konsultējoties ar tirgus dalībniekiem, tika konstatēts, ka provizoriskās aplēses šāda ražošanas procesa uzraudzībai tiek lēstas aptuveni 2 milj. </w:t>
            </w:r>
            <w:r>
              <w:rPr>
                <w:rFonts w:ascii="Times New Roman" w:hAnsi="Times New Roman" w:cs="Times New Roman"/>
                <w:i/>
                <w:iCs/>
                <w:sz w:val="24"/>
                <w:szCs w:val="24"/>
              </w:rPr>
              <w:t>euro</w:t>
            </w:r>
            <w:r>
              <w:rPr>
                <w:rFonts w:ascii="Times New Roman" w:hAnsi="Times New Roman" w:cs="Times New Roman"/>
                <w:sz w:val="24"/>
                <w:szCs w:val="24"/>
              </w:rPr>
              <w:t xml:space="preserve"> apmērā, taču precīza summa būs zināma pēc starptautiskā iepirkuma procesa noslēguma.</w:t>
            </w:r>
          </w:p>
        </w:tc>
      </w:tr>
      <w:tr w:rsidRPr="00F73246" w:rsidR="00C861DB" w:rsidTr="007077AB" w14:paraId="64DC54EB" w14:textId="77777777">
        <w:trPr>
          <w:trHeight w:val="94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F73246" w:rsidR="00C861DB" w:rsidP="00C861DB" w:rsidRDefault="00C861DB" w14:paraId="1BED7DB4" w14:textId="76D09C92">
            <w:pPr>
              <w:rPr>
                <w:rFonts w:ascii="Times New Roman" w:hAnsi="Times New Roman" w:cs="Times New Roman"/>
                <w:sz w:val="24"/>
                <w:szCs w:val="24"/>
                <w:highlight w:val="yellow"/>
              </w:rPr>
            </w:pPr>
            <w:r w:rsidRPr="00F73246">
              <w:rPr>
                <w:rFonts w:ascii="Times New Roman" w:hAnsi="Times New Roman" w:cs="Times New Roman"/>
                <w:sz w:val="24"/>
                <w:szCs w:val="24"/>
              </w:rPr>
              <w:t>6.1. detalizēts ieņēmumu aprēķins</w:t>
            </w:r>
          </w:p>
        </w:tc>
        <w:tc>
          <w:tcPr>
            <w:tcW w:w="743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C861DB" w:rsidP="00C861DB" w:rsidRDefault="00C861DB" w14:paraId="00FC29CD" w14:textId="77777777">
            <w:pPr>
              <w:rPr>
                <w:rFonts w:ascii="Times New Roman" w:hAnsi="Times New Roman" w:cs="Times New Roman"/>
                <w:sz w:val="24"/>
                <w:szCs w:val="24"/>
                <w:highlight w:val="yellow"/>
              </w:rPr>
            </w:pPr>
          </w:p>
        </w:tc>
      </w:tr>
      <w:tr w:rsidRPr="00F73246" w:rsidR="00C861DB" w:rsidTr="007077AB" w14:paraId="3A860F62"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F73246" w:rsidR="00C861DB" w:rsidP="00C861DB" w:rsidRDefault="00C861DB" w14:paraId="73B2A518" w14:textId="77777777">
            <w:pPr>
              <w:rPr>
                <w:rFonts w:ascii="Times New Roman" w:hAnsi="Times New Roman" w:cs="Times New Roman"/>
                <w:sz w:val="24"/>
                <w:szCs w:val="24"/>
              </w:rPr>
            </w:pPr>
            <w:r w:rsidRPr="00F73246">
              <w:rPr>
                <w:rFonts w:ascii="Times New Roman" w:hAnsi="Times New Roman" w:cs="Times New Roman"/>
                <w:sz w:val="24"/>
                <w:szCs w:val="24"/>
              </w:rPr>
              <w:t>6.2. detalizēts izdevumu aprēķins</w:t>
            </w:r>
          </w:p>
        </w:tc>
        <w:tc>
          <w:tcPr>
            <w:tcW w:w="743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C861DB" w:rsidP="00C861DB" w:rsidRDefault="00C861DB" w14:paraId="27747A56" w14:textId="77777777">
            <w:pPr>
              <w:rPr>
                <w:rFonts w:ascii="Times New Roman" w:hAnsi="Times New Roman" w:cs="Times New Roman"/>
                <w:sz w:val="24"/>
                <w:szCs w:val="24"/>
              </w:rPr>
            </w:pPr>
          </w:p>
        </w:tc>
      </w:tr>
      <w:tr w:rsidRPr="00F73246" w:rsidR="00C861DB" w:rsidTr="007077AB" w14:paraId="2E142FD3"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F73246" w:rsidR="00C861DB" w:rsidP="00C861DB" w:rsidRDefault="00C861DB" w14:paraId="4408E9C9" w14:textId="77777777">
            <w:pPr>
              <w:rPr>
                <w:rFonts w:ascii="Times New Roman" w:hAnsi="Times New Roman" w:cs="Times New Roman"/>
                <w:sz w:val="24"/>
                <w:szCs w:val="24"/>
              </w:rPr>
            </w:pPr>
            <w:r w:rsidRPr="00F73246">
              <w:rPr>
                <w:rFonts w:ascii="Times New Roman" w:hAnsi="Times New Roman" w:cs="Times New Roman"/>
                <w:sz w:val="24"/>
                <w:szCs w:val="24"/>
              </w:rPr>
              <w:t>7. Amata vietu skaita izmaiņas</w:t>
            </w:r>
          </w:p>
        </w:tc>
        <w:tc>
          <w:tcPr>
            <w:tcW w:w="7437" w:type="dxa"/>
            <w:gridSpan w:val="7"/>
            <w:tcBorders>
              <w:top w:val="single" w:color="auto" w:sz="4" w:space="0"/>
              <w:left w:val="single" w:color="auto" w:sz="4" w:space="0"/>
              <w:bottom w:val="single" w:color="auto" w:sz="4" w:space="0"/>
              <w:right w:val="single" w:color="auto" w:sz="4" w:space="0"/>
            </w:tcBorders>
            <w:shd w:val="clear" w:color="auto" w:fill="auto"/>
          </w:tcPr>
          <w:p w:rsidRPr="00F73246" w:rsidR="00C861DB" w:rsidP="00C861DB" w:rsidRDefault="00C861DB" w14:paraId="24FD8CED" w14:textId="77777777">
            <w:pPr>
              <w:rPr>
                <w:rFonts w:ascii="Times New Roman" w:hAnsi="Times New Roman" w:cs="Times New Roman"/>
                <w:sz w:val="24"/>
                <w:szCs w:val="24"/>
              </w:rPr>
            </w:pPr>
            <w:r w:rsidRPr="00F73246">
              <w:rPr>
                <w:rFonts w:ascii="Times New Roman" w:hAnsi="Times New Roman" w:cs="Times New Roman"/>
                <w:sz w:val="24"/>
                <w:szCs w:val="24"/>
              </w:rPr>
              <w:t>Nav attiecināms.</w:t>
            </w:r>
          </w:p>
        </w:tc>
      </w:tr>
      <w:tr w:rsidRPr="00F73246" w:rsidR="00C861DB" w:rsidTr="007077AB" w14:paraId="4D6791EA"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F73246" w:rsidR="00C861DB" w:rsidP="00C861DB" w:rsidRDefault="00C861DB" w14:paraId="577B6F51" w14:textId="77777777">
            <w:pPr>
              <w:rPr>
                <w:rFonts w:ascii="Times New Roman" w:hAnsi="Times New Roman" w:cs="Times New Roman"/>
                <w:sz w:val="24"/>
                <w:szCs w:val="24"/>
              </w:rPr>
            </w:pPr>
            <w:r w:rsidRPr="00F73246">
              <w:rPr>
                <w:rFonts w:ascii="Times New Roman" w:hAnsi="Times New Roman" w:cs="Times New Roman"/>
                <w:sz w:val="24"/>
                <w:szCs w:val="24"/>
              </w:rPr>
              <w:t>8. Cita informācija</w:t>
            </w:r>
          </w:p>
        </w:tc>
        <w:tc>
          <w:tcPr>
            <w:tcW w:w="743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F73246" w:rsidR="00C861DB" w:rsidP="001722C3" w:rsidRDefault="006C4880" w14:paraId="356A6313" w14:textId="1967DB04">
            <w:pPr>
              <w:spacing w:after="0" w:line="240" w:lineRule="auto"/>
              <w:ind w:right="74"/>
              <w:jc w:val="both"/>
              <w:rPr>
                <w:rFonts w:ascii="Times New Roman" w:hAnsi="Times New Roman" w:cs="Times New Roman"/>
                <w:sz w:val="24"/>
                <w:szCs w:val="24"/>
              </w:rPr>
            </w:pPr>
            <w:r w:rsidRPr="00F73246">
              <w:rPr>
                <w:rFonts w:ascii="Times New Roman" w:hAnsi="Times New Roman" w:cs="Times New Roman"/>
                <w:sz w:val="24"/>
                <w:szCs w:val="24"/>
              </w:rPr>
              <w:t>Šīs daļas tabulā (1. līdz 5. punktam) atspoguļotas iepriekš apstiprinātās (MK Rīkojums Nr.385) valsts ilgtermiņa saistības un to izmaiņas pēc anotācijā aprakstītajām izmaiņām saistībā ar esošo elektrovilcienu iepirkumu (remonta centra būvniecību izmaksu aplēses izmaiņas un papildinājumi par ražošanas uzraudzību). Šajā informācijas apkopojumā netiek atspoguļota ietekme no paredzamās Eiropas Savienības Fondu piesaistes 23 elektrovilcienu iepirkuma atbalsta nodrošināšanā 2022.</w:t>
            </w:r>
            <w:r w:rsidR="000901E6">
              <w:rPr>
                <w:rFonts w:ascii="Times New Roman" w:hAnsi="Times New Roman" w:cs="Times New Roman"/>
                <w:sz w:val="24"/>
                <w:szCs w:val="24"/>
              </w:rPr>
              <w:t xml:space="preserve"> </w:t>
            </w:r>
            <w:r w:rsidRPr="00F73246">
              <w:rPr>
                <w:rFonts w:ascii="Times New Roman" w:hAnsi="Times New Roman" w:cs="Times New Roman"/>
                <w:sz w:val="24"/>
                <w:szCs w:val="24"/>
              </w:rPr>
              <w:t xml:space="preserve">gadā. </w:t>
            </w:r>
          </w:p>
        </w:tc>
      </w:tr>
    </w:tbl>
    <w:p w:rsidRPr="00F73246" w:rsidR="004A3FB9" w:rsidP="007F3370" w:rsidRDefault="004A3FB9" w14:paraId="3200AD49" w14:textId="5F04A6BB">
      <w:pPr>
        <w:spacing w:after="0" w:line="240" w:lineRule="auto"/>
        <w:jc w:val="both"/>
        <w:rPr>
          <w:rFonts w:ascii="Times New Roman" w:hAnsi="Times New Roman" w:cs="Times New Roman"/>
          <w:color w:val="000000"/>
          <w:sz w:val="24"/>
          <w:szCs w:val="24"/>
          <w:lang w:eastAsia="lv-LV"/>
        </w:rPr>
      </w:pPr>
    </w:p>
    <w:p w:rsidRPr="00F73246" w:rsidR="00C03825" w:rsidP="007F3370" w:rsidRDefault="00C03825" w14:paraId="4BA1034D" w14:textId="77777777">
      <w:pPr>
        <w:spacing w:after="0" w:line="240" w:lineRule="auto"/>
        <w:jc w:val="both"/>
        <w:rPr>
          <w:rFonts w:ascii="Times New Roman" w:hAnsi="Times New Roman" w:cs="Times New Roman"/>
          <w:color w:val="000000"/>
          <w:sz w:val="24"/>
          <w:szCs w:val="24"/>
          <w:lang w:eastAsia="lv-LV"/>
        </w:rPr>
      </w:pPr>
    </w:p>
    <w:tbl>
      <w:tblPr>
        <w:tblW w:w="9213"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213"/>
      </w:tblGrid>
      <w:tr w:rsidRPr="00F73246" w:rsidR="00712012" w:rsidTr="00173922" w14:paraId="3C27A98F" w14:textId="77777777">
        <w:trPr>
          <w:trHeight w:val="372"/>
        </w:trPr>
        <w:tc>
          <w:tcPr>
            <w:tcW w:w="9213" w:type="dxa"/>
            <w:tcBorders>
              <w:top w:val="outset" w:color="000000" w:sz="6" w:space="0"/>
              <w:left w:val="outset" w:color="000000" w:sz="6" w:space="0"/>
              <w:bottom w:val="outset" w:color="000000" w:sz="6" w:space="0"/>
              <w:right w:val="outset" w:color="000000" w:sz="6" w:space="0"/>
            </w:tcBorders>
            <w:hideMark/>
          </w:tcPr>
          <w:p w:rsidRPr="00F73246" w:rsidR="00712012" w:rsidP="00AD25E8" w:rsidRDefault="00712012" w14:paraId="127C0DBC" w14:textId="77777777">
            <w:pPr>
              <w:tabs>
                <w:tab w:val="left" w:pos="1110"/>
                <w:tab w:val="center" w:pos="4789"/>
              </w:tabs>
              <w:spacing w:after="0" w:line="240" w:lineRule="auto"/>
              <w:rPr>
                <w:rFonts w:ascii="Times New Roman" w:hAnsi="Times New Roman" w:eastAsia="Times New Roman"/>
                <w:b/>
                <w:sz w:val="24"/>
                <w:szCs w:val="24"/>
                <w:lang w:eastAsia="lv-LV"/>
              </w:rPr>
            </w:pPr>
            <w:r w:rsidRPr="00F73246">
              <w:rPr>
                <w:rFonts w:ascii="Times New Roman" w:hAnsi="Times New Roman" w:eastAsia="Times New Roman"/>
                <w:bCs/>
                <w:sz w:val="24"/>
                <w:szCs w:val="24"/>
                <w:lang w:eastAsia="lv-LV"/>
              </w:rPr>
              <w:tab/>
            </w:r>
            <w:r w:rsidRPr="00F73246">
              <w:rPr>
                <w:rFonts w:ascii="Times New Roman" w:hAnsi="Times New Roman" w:eastAsia="Times New Roman"/>
                <w:bCs/>
                <w:sz w:val="24"/>
                <w:szCs w:val="24"/>
                <w:lang w:eastAsia="lv-LV"/>
              </w:rPr>
              <w:tab/>
            </w:r>
            <w:r w:rsidRPr="00F73246">
              <w:rPr>
                <w:rFonts w:ascii="Times New Roman" w:hAnsi="Times New Roman" w:eastAsia="Times New Roman"/>
                <w:b/>
                <w:sz w:val="24"/>
                <w:szCs w:val="24"/>
                <w:lang w:eastAsia="lv-LV"/>
              </w:rPr>
              <w:t>IV. Tiesību akta projekta ietekme uz spēkā esošo tiesību normu sistēmu</w:t>
            </w:r>
          </w:p>
        </w:tc>
      </w:tr>
      <w:tr w:rsidRPr="00F73246" w:rsidR="003F5DA1" w:rsidTr="00173922" w14:paraId="58B24AAC" w14:textId="77777777">
        <w:trPr>
          <w:trHeight w:val="372"/>
        </w:trPr>
        <w:tc>
          <w:tcPr>
            <w:tcW w:w="9213" w:type="dxa"/>
            <w:tcBorders>
              <w:top w:val="outset" w:color="000000" w:sz="6" w:space="0"/>
              <w:left w:val="outset" w:color="000000" w:sz="6" w:space="0"/>
              <w:bottom w:val="outset" w:color="000000" w:sz="6" w:space="0"/>
              <w:right w:val="outset" w:color="000000" w:sz="6" w:space="0"/>
            </w:tcBorders>
          </w:tcPr>
          <w:p w:rsidRPr="00F73246" w:rsidR="003F5DA1" w:rsidP="003F5DA1" w:rsidRDefault="003F5DA1" w14:paraId="48254419" w14:textId="249DDC70">
            <w:pPr>
              <w:tabs>
                <w:tab w:val="left" w:pos="1110"/>
                <w:tab w:val="center" w:pos="4789"/>
              </w:tabs>
              <w:spacing w:after="0" w:line="240" w:lineRule="auto"/>
              <w:jc w:val="center"/>
              <w:rPr>
                <w:rFonts w:ascii="Times New Roman" w:hAnsi="Times New Roman" w:eastAsia="Times New Roman"/>
                <w:bCs/>
                <w:sz w:val="24"/>
                <w:szCs w:val="24"/>
                <w:lang w:eastAsia="lv-LV"/>
              </w:rPr>
            </w:pPr>
            <w:r w:rsidRPr="00F73246">
              <w:rPr>
                <w:rFonts w:ascii="Times New Roman" w:hAnsi="Times New Roman" w:eastAsia="Times New Roman" w:cs="Times New Roman"/>
                <w:bCs/>
                <w:sz w:val="24"/>
                <w:szCs w:val="24"/>
                <w:lang w:eastAsia="lv-LV"/>
              </w:rPr>
              <w:t>Rīkojuma projekts šo jomu neskar.</w:t>
            </w:r>
          </w:p>
        </w:tc>
      </w:tr>
    </w:tbl>
    <w:p w:rsidRPr="00F73246" w:rsidR="003918C3" w:rsidP="00B71945" w:rsidRDefault="003918C3" w14:paraId="7B08B439" w14:textId="04FCD4EE">
      <w:pPr>
        <w:spacing w:after="0" w:line="240" w:lineRule="auto"/>
        <w:jc w:val="both"/>
        <w:rPr>
          <w:rFonts w:ascii="Arial" w:hAnsi="Arial" w:cs="Arial"/>
          <w:color w:val="414142"/>
          <w:shd w:val="clear" w:color="auto" w:fill="FFFFFF"/>
        </w:rPr>
      </w:pPr>
    </w:p>
    <w:tbl>
      <w:tblPr>
        <w:tblW w:w="9206"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6"/>
      </w:tblGrid>
      <w:tr w:rsidRPr="00F73246" w:rsidR="003918C3" w:rsidTr="00AD25E8" w14:paraId="3D1556DE" w14:textId="77777777">
        <w:trPr>
          <w:trHeight w:val="450"/>
        </w:trPr>
        <w:tc>
          <w:tcPr>
            <w:tcW w:w="9206" w:type="dxa"/>
            <w:tcBorders>
              <w:top w:val="outset" w:color="414142" w:sz="6" w:space="0"/>
              <w:left w:val="outset" w:color="414142" w:sz="6" w:space="0"/>
              <w:bottom w:val="outset" w:color="414142" w:sz="6" w:space="0"/>
              <w:right w:val="outset" w:color="414142" w:sz="6" w:space="0"/>
            </w:tcBorders>
            <w:vAlign w:val="center"/>
            <w:hideMark/>
          </w:tcPr>
          <w:p w:rsidRPr="00F73246" w:rsidR="003918C3" w:rsidP="00AD25E8" w:rsidRDefault="003918C3" w14:paraId="32BAA33E" w14:textId="055DDB9D">
            <w:pPr>
              <w:spacing w:after="0" w:line="240" w:lineRule="auto"/>
              <w:ind w:firstLine="300"/>
              <w:jc w:val="center"/>
              <w:rPr>
                <w:rFonts w:ascii="Times New Roman" w:hAnsi="Times New Roman" w:eastAsia="Times New Roman" w:cs="Times New Roman"/>
                <w:b/>
                <w:bCs/>
                <w:sz w:val="24"/>
                <w:szCs w:val="24"/>
                <w:lang w:eastAsia="lv-LV"/>
              </w:rPr>
            </w:pPr>
            <w:r w:rsidRPr="00F73246">
              <w:rPr>
                <w:rFonts w:ascii="Times New Roman" w:hAnsi="Times New Roman" w:cs="Times New Roman"/>
                <w:b/>
                <w:bCs/>
                <w:color w:val="000000"/>
                <w:sz w:val="24"/>
                <w:szCs w:val="24"/>
                <w:lang w:eastAsia="lv-LV"/>
              </w:rPr>
              <w:t xml:space="preserve">V. </w:t>
            </w:r>
            <w:r w:rsidRPr="00F73246">
              <w:rPr>
                <w:rFonts w:ascii="Times New Roman" w:hAnsi="Times New Roman" w:cs="Times New Roman"/>
                <w:b/>
                <w:bCs/>
                <w:iCs/>
                <w:sz w:val="24"/>
                <w:szCs w:val="24"/>
              </w:rPr>
              <w:t>Tiesību akta projekta atbilstība Latvijas Republikas starptautiskajām saistībām</w:t>
            </w:r>
          </w:p>
        </w:tc>
      </w:tr>
      <w:tr w:rsidRPr="00F73246" w:rsidR="003918C3" w:rsidTr="00AD25E8" w14:paraId="32EF2074" w14:textId="77777777">
        <w:trPr>
          <w:trHeight w:val="354"/>
        </w:trPr>
        <w:tc>
          <w:tcPr>
            <w:tcW w:w="9206" w:type="dxa"/>
            <w:tcBorders>
              <w:top w:val="outset" w:color="414142" w:sz="6" w:space="0"/>
              <w:left w:val="outset" w:color="414142" w:sz="6" w:space="0"/>
              <w:bottom w:val="outset" w:color="414142" w:sz="6" w:space="0"/>
              <w:right w:val="outset" w:color="414142" w:sz="6" w:space="0"/>
            </w:tcBorders>
            <w:vAlign w:val="center"/>
            <w:hideMark/>
          </w:tcPr>
          <w:p w:rsidRPr="00F73246" w:rsidR="003918C3" w:rsidP="00AD25E8" w:rsidRDefault="00F73ED3" w14:paraId="76B25837" w14:textId="2BA0CCFD">
            <w:pPr>
              <w:spacing w:after="0" w:line="240" w:lineRule="auto"/>
              <w:ind w:firstLine="301"/>
              <w:jc w:val="center"/>
              <w:rPr>
                <w:rFonts w:ascii="Times New Roman" w:hAnsi="Times New Roman" w:eastAsia="Times New Roman" w:cs="Times New Roman"/>
                <w:bCs/>
                <w:sz w:val="24"/>
                <w:szCs w:val="24"/>
                <w:lang w:eastAsia="lv-LV"/>
              </w:rPr>
            </w:pPr>
            <w:r w:rsidRPr="00F73246">
              <w:rPr>
                <w:rFonts w:ascii="Times New Roman" w:hAnsi="Times New Roman" w:eastAsia="Times New Roman" w:cs="Times New Roman"/>
                <w:bCs/>
                <w:sz w:val="24"/>
                <w:szCs w:val="24"/>
                <w:lang w:eastAsia="lv-LV"/>
              </w:rPr>
              <w:t>Rīkojuma projekts šo jomu neskar.</w:t>
            </w:r>
          </w:p>
        </w:tc>
      </w:tr>
    </w:tbl>
    <w:p w:rsidRPr="00F73246" w:rsidR="003918C3" w:rsidP="00B71945" w:rsidRDefault="003918C3" w14:paraId="53BDC851" w14:textId="77777777">
      <w:pPr>
        <w:spacing w:after="0" w:line="240" w:lineRule="auto"/>
        <w:jc w:val="both"/>
        <w:rPr>
          <w:rFonts w:ascii="Arial" w:hAnsi="Arial" w:cs="Arial"/>
          <w:color w:val="414142"/>
          <w:shd w:val="clear" w:color="auto" w:fill="FFFFFF"/>
        </w:rPr>
      </w:pPr>
    </w:p>
    <w:tbl>
      <w:tblPr>
        <w:tblW w:w="9206"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6"/>
      </w:tblGrid>
      <w:tr w:rsidRPr="00F73246" w:rsidR="008F0621" w:rsidTr="008F0621" w14:paraId="0F3DCEFF" w14:textId="77777777">
        <w:trPr>
          <w:trHeight w:val="450"/>
        </w:trPr>
        <w:tc>
          <w:tcPr>
            <w:tcW w:w="9206" w:type="dxa"/>
            <w:tcBorders>
              <w:top w:val="outset" w:color="414142" w:sz="6" w:space="0"/>
              <w:left w:val="outset" w:color="414142" w:sz="6" w:space="0"/>
              <w:bottom w:val="outset" w:color="414142" w:sz="6" w:space="0"/>
              <w:right w:val="outset" w:color="414142" w:sz="6" w:space="0"/>
            </w:tcBorders>
            <w:vAlign w:val="center"/>
            <w:hideMark/>
          </w:tcPr>
          <w:p w:rsidRPr="00F73246" w:rsidR="008F0621" w:rsidP="00AD25E8" w:rsidRDefault="008F0621" w14:paraId="6E3F58C7" w14:textId="77777777">
            <w:pPr>
              <w:spacing w:after="0" w:line="240" w:lineRule="auto"/>
              <w:ind w:firstLine="300"/>
              <w:jc w:val="center"/>
              <w:rPr>
                <w:rFonts w:ascii="Times New Roman" w:hAnsi="Times New Roman" w:eastAsia="Times New Roman" w:cs="Times New Roman"/>
                <w:b/>
                <w:bCs/>
                <w:sz w:val="24"/>
                <w:szCs w:val="24"/>
                <w:lang w:eastAsia="lv-LV"/>
              </w:rPr>
            </w:pPr>
            <w:r w:rsidRPr="00F73246">
              <w:rPr>
                <w:rFonts w:ascii="Times New Roman" w:hAnsi="Times New Roman" w:cs="Times New Roman"/>
                <w:b/>
                <w:bCs/>
                <w:color w:val="000000"/>
                <w:sz w:val="24"/>
                <w:szCs w:val="24"/>
                <w:lang w:eastAsia="lv-LV"/>
              </w:rPr>
              <w:lastRenderedPageBreak/>
              <w:t>VI. Sabiedrības līdzdalība un komunikācijas aktivitātes</w:t>
            </w:r>
          </w:p>
        </w:tc>
      </w:tr>
      <w:tr w:rsidRPr="00F73246" w:rsidR="008F0621" w:rsidTr="008F0621" w14:paraId="541CFEE6" w14:textId="77777777">
        <w:trPr>
          <w:trHeight w:val="354"/>
        </w:trPr>
        <w:tc>
          <w:tcPr>
            <w:tcW w:w="9206" w:type="dxa"/>
            <w:tcBorders>
              <w:top w:val="outset" w:color="414142" w:sz="6" w:space="0"/>
              <w:left w:val="outset" w:color="414142" w:sz="6" w:space="0"/>
              <w:bottom w:val="outset" w:color="414142" w:sz="6" w:space="0"/>
              <w:right w:val="outset" w:color="414142" w:sz="6" w:space="0"/>
            </w:tcBorders>
            <w:vAlign w:val="center"/>
            <w:hideMark/>
          </w:tcPr>
          <w:p w:rsidRPr="00F73246" w:rsidR="008F0621" w:rsidP="00AD25E8" w:rsidRDefault="00F73ED3" w14:paraId="513AB420" w14:textId="3BB12A9B">
            <w:pPr>
              <w:spacing w:after="0" w:line="240" w:lineRule="auto"/>
              <w:ind w:firstLine="301"/>
              <w:jc w:val="center"/>
              <w:rPr>
                <w:rFonts w:ascii="Times New Roman" w:hAnsi="Times New Roman" w:eastAsia="Times New Roman" w:cs="Times New Roman"/>
                <w:bCs/>
                <w:sz w:val="24"/>
                <w:szCs w:val="24"/>
                <w:lang w:eastAsia="lv-LV"/>
              </w:rPr>
            </w:pPr>
            <w:r w:rsidRPr="00F73246">
              <w:rPr>
                <w:rFonts w:ascii="Times New Roman" w:hAnsi="Times New Roman" w:eastAsia="Times New Roman" w:cs="Times New Roman"/>
                <w:bCs/>
                <w:sz w:val="24"/>
                <w:szCs w:val="24"/>
                <w:lang w:eastAsia="lv-LV"/>
              </w:rPr>
              <w:t xml:space="preserve">Rīkojuma projekts </w:t>
            </w:r>
            <w:r w:rsidRPr="00F73246" w:rsidR="008F0621">
              <w:rPr>
                <w:rFonts w:ascii="Times New Roman" w:hAnsi="Times New Roman" w:eastAsia="Times New Roman" w:cs="Times New Roman"/>
                <w:bCs/>
                <w:sz w:val="24"/>
                <w:szCs w:val="24"/>
                <w:lang w:eastAsia="lv-LV"/>
              </w:rPr>
              <w:t>šo jomu neskar.</w:t>
            </w:r>
          </w:p>
        </w:tc>
      </w:tr>
    </w:tbl>
    <w:p w:rsidRPr="00F73246" w:rsidR="009B6B60" w:rsidP="00B71945" w:rsidRDefault="009B6B60" w14:paraId="0A64D467" w14:textId="77777777">
      <w:pPr>
        <w:spacing w:after="0" w:line="240" w:lineRule="auto"/>
        <w:jc w:val="both"/>
        <w:rPr>
          <w:rFonts w:ascii="Arial" w:hAnsi="Arial" w:cs="Arial"/>
          <w:color w:val="414142"/>
          <w:shd w:val="clear" w:color="auto" w:fill="FFFFFF"/>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Pr="00F73246" w:rsidR="00E751CC" w:rsidTr="000B7140" w14:paraId="5D031FEA" w14:textId="77777777">
        <w:trPr>
          <w:trHeight w:val="381"/>
        </w:trPr>
        <w:tc>
          <w:tcPr>
            <w:tcW w:w="9209" w:type="dxa"/>
            <w:gridSpan w:val="3"/>
          </w:tcPr>
          <w:p w:rsidRPr="00F73246" w:rsidR="00E751CC" w:rsidP="007F3370" w:rsidRDefault="00E751CC" w14:paraId="5332C02B" w14:textId="77777777">
            <w:pPr>
              <w:spacing w:after="0" w:line="240" w:lineRule="auto"/>
              <w:ind w:left="57" w:right="57"/>
              <w:jc w:val="center"/>
              <w:rPr>
                <w:rFonts w:ascii="Times New Roman" w:hAnsi="Times New Roman" w:cs="Times New Roman"/>
                <w:color w:val="000000"/>
                <w:sz w:val="24"/>
                <w:szCs w:val="24"/>
                <w:lang w:eastAsia="lv-LV"/>
              </w:rPr>
            </w:pPr>
            <w:r w:rsidRPr="00F73246">
              <w:rPr>
                <w:rFonts w:ascii="Times New Roman" w:hAnsi="Times New Roman" w:cs="Times New Roman"/>
                <w:b/>
                <w:bCs/>
                <w:color w:val="000000"/>
                <w:sz w:val="24"/>
                <w:szCs w:val="24"/>
                <w:lang w:eastAsia="lv-LV"/>
              </w:rPr>
              <w:t>VII. Tiesību akta projekta izpildes nodrošināšana un tās ietekme uz institūcijām</w:t>
            </w:r>
          </w:p>
        </w:tc>
      </w:tr>
      <w:tr w:rsidRPr="00F73246" w:rsidR="00E751CC" w:rsidTr="000711E7" w14:paraId="14B2CFC6" w14:textId="77777777">
        <w:trPr>
          <w:trHeight w:val="699"/>
        </w:trPr>
        <w:tc>
          <w:tcPr>
            <w:tcW w:w="478" w:type="dxa"/>
          </w:tcPr>
          <w:p w:rsidRPr="00F73246" w:rsidR="00E751CC" w:rsidP="007F3370" w:rsidRDefault="00E751CC" w14:paraId="5BEC3C3B"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1.</w:t>
            </w:r>
          </w:p>
        </w:tc>
        <w:tc>
          <w:tcPr>
            <w:tcW w:w="2636" w:type="dxa"/>
          </w:tcPr>
          <w:p w:rsidRPr="00F73246" w:rsidR="00E751CC" w:rsidP="007F3370" w:rsidRDefault="00E751CC" w14:paraId="10CF96AD" w14:textId="360A50AD">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Projekta izpildē iesaistītās institūcijas</w:t>
            </w:r>
            <w:r w:rsidRPr="00F73246" w:rsidR="00C73326">
              <w:rPr>
                <w:rFonts w:ascii="Times New Roman" w:hAnsi="Times New Roman" w:cs="Times New Roman"/>
                <w:color w:val="000000"/>
                <w:sz w:val="24"/>
                <w:szCs w:val="24"/>
                <w:lang w:eastAsia="lv-LV"/>
              </w:rPr>
              <w:t>.</w:t>
            </w:r>
          </w:p>
        </w:tc>
        <w:tc>
          <w:tcPr>
            <w:tcW w:w="6095" w:type="dxa"/>
          </w:tcPr>
          <w:p w:rsidRPr="00F73246" w:rsidR="00E751CC" w:rsidP="00CF5FA1" w:rsidRDefault="00C80847" w14:paraId="06D42C44" w14:textId="505632C3">
            <w:pPr>
              <w:shd w:val="clear" w:color="auto" w:fill="FFFFFF"/>
              <w:spacing w:after="0" w:line="240" w:lineRule="auto"/>
              <w:ind w:left="112" w:right="109"/>
              <w:jc w:val="both"/>
              <w:rPr>
                <w:rFonts w:ascii="Times New Roman" w:hAnsi="Times New Roman" w:cs="Times New Roman"/>
                <w:color w:val="000000"/>
                <w:sz w:val="24"/>
                <w:szCs w:val="24"/>
                <w:lang w:eastAsia="lv-LV"/>
              </w:rPr>
            </w:pPr>
            <w:bookmarkStart w:name="p69" w:id="5"/>
            <w:bookmarkStart w:name="p68" w:id="6"/>
            <w:bookmarkStart w:name="p67" w:id="7"/>
            <w:bookmarkStart w:name="p66" w:id="8"/>
            <w:bookmarkEnd w:id="5"/>
            <w:bookmarkEnd w:id="6"/>
            <w:bookmarkEnd w:id="7"/>
            <w:bookmarkEnd w:id="8"/>
            <w:r w:rsidRPr="00F73246">
              <w:rPr>
                <w:rFonts w:ascii="Times New Roman" w:hAnsi="Times New Roman" w:cs="Times New Roman"/>
                <w:color w:val="000000"/>
                <w:sz w:val="24"/>
                <w:szCs w:val="24"/>
                <w:lang w:eastAsia="lv-LV"/>
              </w:rPr>
              <w:t>Satiksmes ministrija</w:t>
            </w:r>
            <w:r w:rsidR="004625B7">
              <w:rPr>
                <w:rFonts w:ascii="Times New Roman" w:hAnsi="Times New Roman" w:cs="Times New Roman"/>
                <w:color w:val="000000"/>
                <w:sz w:val="24"/>
                <w:szCs w:val="24"/>
                <w:lang w:eastAsia="lv-LV"/>
              </w:rPr>
              <w:t xml:space="preserve"> un</w:t>
            </w:r>
            <w:r w:rsidRPr="00F73246">
              <w:rPr>
                <w:rFonts w:ascii="Times New Roman" w:hAnsi="Times New Roman" w:cs="Times New Roman"/>
                <w:color w:val="000000"/>
                <w:sz w:val="24"/>
                <w:szCs w:val="24"/>
                <w:lang w:eastAsia="lv-LV"/>
              </w:rPr>
              <w:t xml:space="preserve"> AS “Pasažieru vilciens</w:t>
            </w:r>
          </w:p>
        </w:tc>
      </w:tr>
      <w:tr w:rsidRPr="00F73246" w:rsidR="00E751CC" w:rsidTr="00946BEE" w14:paraId="3A59137D" w14:textId="77777777">
        <w:trPr>
          <w:trHeight w:val="671"/>
        </w:trPr>
        <w:tc>
          <w:tcPr>
            <w:tcW w:w="478" w:type="dxa"/>
          </w:tcPr>
          <w:p w:rsidRPr="00F73246" w:rsidR="00E751CC" w:rsidP="00902734" w:rsidRDefault="00E751CC" w14:paraId="2AD992B5"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2.</w:t>
            </w:r>
          </w:p>
        </w:tc>
        <w:tc>
          <w:tcPr>
            <w:tcW w:w="2636" w:type="dxa"/>
          </w:tcPr>
          <w:p w:rsidRPr="00F73246" w:rsidR="00E751CC" w:rsidP="00902734" w:rsidRDefault="00E751CC" w14:paraId="77DDF0EF"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Projekta izpildes ietekme uz pār</w:t>
            </w:r>
            <w:r w:rsidRPr="00F73246">
              <w:rPr>
                <w:rFonts w:ascii="Times New Roman" w:hAnsi="Times New Roman" w:cs="Times New Roman"/>
                <w:color w:val="000000"/>
                <w:sz w:val="24"/>
                <w:szCs w:val="24"/>
                <w:lang w:eastAsia="lv-LV"/>
              </w:rPr>
              <w:softHyphen/>
              <w:t>valdes funkcijām un institucionālo struktūru.</w:t>
            </w:r>
          </w:p>
          <w:p w:rsidRPr="00F73246" w:rsidR="00266405" w:rsidP="00563C14" w:rsidRDefault="00E751CC" w14:paraId="1870F018" w14:textId="7746012D">
            <w:pPr>
              <w:spacing w:after="0" w:line="240" w:lineRule="auto"/>
              <w:ind w:left="57" w:right="57"/>
              <w:jc w:val="both"/>
              <w:rPr>
                <w:rFonts w:ascii="Times New Roman" w:hAnsi="Times New Roman" w:cs="Times New Roman"/>
                <w:sz w:val="24"/>
                <w:szCs w:val="24"/>
                <w:lang w:eastAsia="lv-LV"/>
              </w:rPr>
            </w:pPr>
            <w:r w:rsidRPr="00F73246">
              <w:rPr>
                <w:rFonts w:ascii="Times New Roman" w:hAnsi="Times New Roman" w:cs="Times New Roman"/>
                <w:color w:val="000000"/>
                <w:sz w:val="24"/>
                <w:szCs w:val="24"/>
                <w:lang w:eastAsia="lv-LV"/>
              </w:rPr>
              <w:t>Jaunu institūciju izveide, esošu institūciju likvidācija vai reorga</w:t>
            </w:r>
            <w:r w:rsidRPr="00F73246">
              <w:rPr>
                <w:rFonts w:ascii="Times New Roman" w:hAnsi="Times New Roman" w:cs="Times New Roman"/>
                <w:color w:val="000000"/>
                <w:sz w:val="24"/>
                <w:szCs w:val="24"/>
                <w:lang w:eastAsia="lv-LV"/>
              </w:rPr>
              <w:softHyphen/>
              <w:t>nizācija, to ietekme uz institūcijas cilvēkresursiem</w:t>
            </w:r>
          </w:p>
        </w:tc>
        <w:tc>
          <w:tcPr>
            <w:tcW w:w="6095" w:type="dxa"/>
          </w:tcPr>
          <w:p w:rsidRPr="00F73246" w:rsidR="00F575BD" w:rsidP="00CF5FA1" w:rsidRDefault="00F73ED3" w14:paraId="1F8487C3" w14:textId="53CB8FC2">
            <w:pPr>
              <w:shd w:val="clear" w:color="auto" w:fill="FFFFFF"/>
              <w:spacing w:before="100" w:beforeAutospacing="1" w:after="0" w:line="240" w:lineRule="auto"/>
              <w:ind w:left="112" w:right="109"/>
              <w:jc w:val="both"/>
              <w:rPr>
                <w:rFonts w:ascii="Times New Roman" w:hAnsi="Times New Roman" w:cs="Times New Roman"/>
                <w:color w:val="000000"/>
                <w:sz w:val="24"/>
                <w:szCs w:val="24"/>
                <w:lang w:eastAsia="lv-LV"/>
              </w:rPr>
            </w:pPr>
            <w:r w:rsidRPr="00F73246">
              <w:rPr>
                <w:rFonts w:ascii="Times New Roman" w:hAnsi="Times New Roman" w:cs="Times New Roman"/>
                <w:sz w:val="24"/>
                <w:szCs w:val="24"/>
                <w:shd w:val="clear" w:color="auto" w:fill="FFFFFF"/>
              </w:rPr>
              <w:t xml:space="preserve">Rīkojuma projekta </w:t>
            </w:r>
            <w:r w:rsidRPr="00F73246" w:rsidR="00F575BD">
              <w:rPr>
                <w:rFonts w:ascii="Times New Roman" w:hAnsi="Times New Roman" w:cs="Times New Roman"/>
                <w:sz w:val="24"/>
                <w:szCs w:val="24"/>
                <w:shd w:val="clear" w:color="auto" w:fill="FFFFFF"/>
              </w:rPr>
              <w:t xml:space="preserve">izpilde neietekmē </w:t>
            </w:r>
            <w:r w:rsidRPr="00F73246" w:rsidR="008F0621">
              <w:rPr>
                <w:rFonts w:ascii="Times New Roman" w:hAnsi="Times New Roman" w:cs="Times New Roman"/>
                <w:sz w:val="24"/>
                <w:szCs w:val="24"/>
                <w:shd w:val="clear" w:color="auto" w:fill="FFFFFF"/>
              </w:rPr>
              <w:t>iestāžu pārvaldes</w:t>
            </w:r>
            <w:r w:rsidRPr="00F73246" w:rsidR="00F575BD">
              <w:rPr>
                <w:rFonts w:ascii="Times New Roman" w:hAnsi="Times New Roman" w:cs="Times New Roman"/>
                <w:sz w:val="24"/>
                <w:szCs w:val="24"/>
                <w:shd w:val="clear" w:color="auto" w:fill="FFFFFF"/>
              </w:rPr>
              <w:t xml:space="preserve"> funkcijas un uzdevumu</w:t>
            </w:r>
            <w:r w:rsidRPr="00F73246" w:rsidR="00576E8C">
              <w:rPr>
                <w:rFonts w:ascii="Times New Roman" w:hAnsi="Times New Roman" w:cs="Times New Roman"/>
                <w:sz w:val="24"/>
                <w:szCs w:val="24"/>
                <w:shd w:val="clear" w:color="auto" w:fill="FFFFFF"/>
              </w:rPr>
              <w:t>s un t</w:t>
            </w:r>
            <w:r w:rsidRPr="00F73246" w:rsidR="008F0621">
              <w:rPr>
                <w:rFonts w:ascii="Times New Roman" w:hAnsi="Times New Roman" w:cs="Times New Roman"/>
                <w:sz w:val="24"/>
                <w:szCs w:val="24"/>
              </w:rPr>
              <w:t>ām</w:t>
            </w:r>
            <w:r w:rsidRPr="00F73246" w:rsidR="00F575BD">
              <w:rPr>
                <w:rFonts w:ascii="Times New Roman" w:hAnsi="Times New Roman" w:cs="Times New Roman"/>
                <w:sz w:val="24"/>
                <w:szCs w:val="24"/>
              </w:rPr>
              <w:t xml:space="preserve"> pieejamos cilvēkresursus</w:t>
            </w:r>
            <w:r w:rsidRPr="00F73246" w:rsidR="00576E8C">
              <w:rPr>
                <w:rFonts w:ascii="Times New Roman" w:hAnsi="Times New Roman" w:cs="Times New Roman"/>
                <w:sz w:val="24"/>
                <w:szCs w:val="24"/>
              </w:rPr>
              <w:t>.</w:t>
            </w:r>
            <w:r w:rsidRPr="00F73246" w:rsidR="00F575BD">
              <w:rPr>
                <w:rFonts w:ascii="Times New Roman" w:hAnsi="Times New Roman" w:cs="Times New Roman"/>
                <w:sz w:val="24"/>
                <w:szCs w:val="24"/>
              </w:rPr>
              <w:t xml:space="preserve"> </w:t>
            </w:r>
            <w:r w:rsidRPr="00F73246" w:rsidR="00576E8C">
              <w:rPr>
                <w:rFonts w:ascii="Times New Roman" w:hAnsi="Times New Roman" w:cs="Times New Roman"/>
                <w:sz w:val="24"/>
                <w:szCs w:val="24"/>
              </w:rPr>
              <w:t>S</w:t>
            </w:r>
            <w:r w:rsidRPr="00F73246" w:rsidR="00F575BD">
              <w:rPr>
                <w:rFonts w:ascii="Times New Roman" w:hAnsi="Times New Roman" w:cs="Times New Roman"/>
                <w:sz w:val="24"/>
                <w:szCs w:val="24"/>
              </w:rPr>
              <w:t xml:space="preserve">aistībā ar </w:t>
            </w:r>
            <w:r w:rsidRPr="00F73246">
              <w:rPr>
                <w:rFonts w:ascii="Times New Roman" w:hAnsi="Times New Roman" w:cs="Times New Roman"/>
                <w:sz w:val="24"/>
                <w:szCs w:val="24"/>
              </w:rPr>
              <w:t xml:space="preserve">Rīkojuma projekta </w:t>
            </w:r>
            <w:r w:rsidRPr="00F73246" w:rsidR="00F575BD">
              <w:rPr>
                <w:rFonts w:ascii="Times New Roman" w:hAnsi="Times New Roman" w:cs="Times New Roman"/>
                <w:sz w:val="24"/>
                <w:szCs w:val="24"/>
              </w:rPr>
              <w:t>izpildi nav nepieciešams veidot jaunas institūcijas, likvidēt vai reorganizēt esošās.</w:t>
            </w:r>
          </w:p>
        </w:tc>
      </w:tr>
      <w:tr w:rsidRPr="00F73246" w:rsidR="00E751CC" w:rsidTr="000B7140" w14:paraId="75542191" w14:textId="77777777">
        <w:trPr>
          <w:trHeight w:val="402"/>
        </w:trPr>
        <w:tc>
          <w:tcPr>
            <w:tcW w:w="478" w:type="dxa"/>
          </w:tcPr>
          <w:p w:rsidRPr="00F73246" w:rsidR="00E751CC" w:rsidP="00902734" w:rsidRDefault="00E751CC" w14:paraId="064D7F7A" w14:textId="77777777">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3.</w:t>
            </w:r>
          </w:p>
        </w:tc>
        <w:tc>
          <w:tcPr>
            <w:tcW w:w="2636" w:type="dxa"/>
          </w:tcPr>
          <w:p w:rsidRPr="00F73246" w:rsidR="00E751CC" w:rsidP="00902734" w:rsidRDefault="00E751CC" w14:paraId="66200F5C" w14:textId="6C28E0D3">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Cita informācija</w:t>
            </w:r>
          </w:p>
        </w:tc>
        <w:tc>
          <w:tcPr>
            <w:tcW w:w="6095" w:type="dxa"/>
          </w:tcPr>
          <w:p w:rsidRPr="00F73246" w:rsidR="00E751CC" w:rsidP="00902734" w:rsidRDefault="00E751CC" w14:paraId="76FA246B" w14:textId="3827DBD2">
            <w:pPr>
              <w:spacing w:after="0" w:line="240" w:lineRule="auto"/>
              <w:ind w:left="57" w:right="57"/>
              <w:jc w:val="both"/>
              <w:rPr>
                <w:rFonts w:ascii="Times New Roman" w:hAnsi="Times New Roman" w:cs="Times New Roman"/>
                <w:color w:val="000000"/>
                <w:sz w:val="24"/>
                <w:szCs w:val="24"/>
                <w:lang w:eastAsia="lv-LV"/>
              </w:rPr>
            </w:pPr>
            <w:r w:rsidRPr="00F73246">
              <w:rPr>
                <w:rFonts w:ascii="Times New Roman" w:hAnsi="Times New Roman" w:cs="Times New Roman"/>
                <w:color w:val="000000"/>
                <w:sz w:val="24"/>
                <w:szCs w:val="24"/>
                <w:lang w:eastAsia="lv-LV"/>
              </w:rPr>
              <w:t>Nav</w:t>
            </w:r>
            <w:r w:rsidRPr="00F73246" w:rsidR="00C73326">
              <w:rPr>
                <w:rFonts w:ascii="Times New Roman" w:hAnsi="Times New Roman" w:cs="Times New Roman"/>
                <w:color w:val="000000"/>
                <w:sz w:val="24"/>
                <w:szCs w:val="24"/>
                <w:lang w:eastAsia="lv-LV"/>
              </w:rPr>
              <w:t>.</w:t>
            </w:r>
          </w:p>
        </w:tc>
      </w:tr>
    </w:tbl>
    <w:p w:rsidRPr="00F73246" w:rsidR="001C0862" w:rsidP="00902734" w:rsidRDefault="001C0862" w14:paraId="02A8875F" w14:textId="7D8064B1">
      <w:pPr>
        <w:spacing w:after="120" w:line="259" w:lineRule="auto"/>
        <w:jc w:val="both"/>
        <w:rPr>
          <w:rFonts w:ascii="Times New Roman" w:hAnsi="Times New Roman" w:cs="Times New Roman"/>
          <w:sz w:val="24"/>
          <w:szCs w:val="24"/>
        </w:rPr>
      </w:pPr>
    </w:p>
    <w:p w:rsidRPr="00F73246" w:rsidR="00B81D75" w:rsidP="00B81D75" w:rsidRDefault="00B81D75" w14:paraId="758D9951" w14:textId="77777777">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F73246">
        <w:rPr>
          <w:rFonts w:ascii="Times New Roman" w:hAnsi="Times New Roman" w:cs="Times New Roman"/>
          <w:sz w:val="24"/>
          <w:szCs w:val="24"/>
        </w:rPr>
        <w:t>Satiksmes ministrs</w:t>
      </w:r>
      <w:r w:rsidRPr="00F73246">
        <w:rPr>
          <w:rFonts w:ascii="Times New Roman" w:hAnsi="Times New Roman" w:cs="Times New Roman"/>
          <w:sz w:val="24"/>
          <w:szCs w:val="24"/>
        </w:rPr>
        <w:tab/>
      </w:r>
      <w:r w:rsidRPr="00F73246">
        <w:rPr>
          <w:rFonts w:ascii="Times New Roman" w:hAnsi="Times New Roman" w:cs="Times New Roman"/>
          <w:sz w:val="24"/>
          <w:szCs w:val="24"/>
        </w:rPr>
        <w:tab/>
        <w:t xml:space="preserve">       T. Linkaits</w:t>
      </w:r>
    </w:p>
    <w:p w:rsidRPr="00F73246" w:rsidR="00B81D75" w:rsidP="00C33FB3" w:rsidRDefault="00C33FB3" w14:paraId="543FB136" w14:textId="08DC6435">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Pr="00F73246" w:rsidR="00E751CC" w:rsidP="00B81D75" w:rsidRDefault="00B81D75" w14:paraId="34D7E498" w14:textId="643F25DB">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F73246">
        <w:rPr>
          <w:rFonts w:ascii="Times New Roman" w:hAnsi="Times New Roman" w:cs="Times New Roman"/>
          <w:sz w:val="24"/>
          <w:szCs w:val="24"/>
        </w:rPr>
        <w:t>Vīza: valsts sekretār</w:t>
      </w:r>
      <w:r w:rsidRPr="00F73246" w:rsidR="00935EF4">
        <w:rPr>
          <w:rFonts w:ascii="Times New Roman" w:hAnsi="Times New Roman" w:cs="Times New Roman"/>
          <w:sz w:val="24"/>
          <w:szCs w:val="24"/>
        </w:rPr>
        <w:t>e</w:t>
      </w:r>
      <w:r w:rsidRPr="00F73246">
        <w:rPr>
          <w:rFonts w:ascii="Times New Roman" w:hAnsi="Times New Roman" w:cs="Times New Roman"/>
          <w:sz w:val="24"/>
          <w:szCs w:val="24"/>
        </w:rPr>
        <w:tab/>
      </w:r>
      <w:r w:rsidRPr="00F73246">
        <w:rPr>
          <w:rFonts w:ascii="Times New Roman" w:hAnsi="Times New Roman" w:cs="Times New Roman"/>
          <w:sz w:val="24"/>
          <w:szCs w:val="24"/>
        </w:rPr>
        <w:tab/>
        <w:t xml:space="preserve"> </w:t>
      </w:r>
      <w:r w:rsidRPr="00F73246">
        <w:rPr>
          <w:rFonts w:ascii="Times New Roman" w:hAnsi="Times New Roman" w:cs="Times New Roman"/>
          <w:sz w:val="24"/>
          <w:szCs w:val="24"/>
        </w:rPr>
        <w:tab/>
      </w:r>
      <w:r w:rsidRPr="00F73246">
        <w:rPr>
          <w:rFonts w:ascii="Times New Roman" w:hAnsi="Times New Roman" w:cs="Times New Roman"/>
          <w:sz w:val="24"/>
          <w:szCs w:val="24"/>
        </w:rPr>
        <w:tab/>
      </w:r>
      <w:r w:rsidRPr="00F73246" w:rsidR="00935EF4">
        <w:rPr>
          <w:rFonts w:ascii="Times New Roman" w:hAnsi="Times New Roman" w:cs="Times New Roman"/>
          <w:sz w:val="24"/>
          <w:szCs w:val="24"/>
        </w:rPr>
        <w:t>I. Stepanova</w:t>
      </w:r>
    </w:p>
    <w:p w:rsidRPr="00F73246" w:rsidR="00935EF4" w:rsidP="00173922" w:rsidRDefault="00935EF4" w14:paraId="38334E52" w14:textId="2350737C">
      <w:pPr>
        <w:tabs>
          <w:tab w:val="left" w:pos="1065"/>
        </w:tabs>
        <w:rPr>
          <w:rFonts w:ascii="Times New Roman" w:hAnsi="Times New Roman" w:cs="Times New Roman"/>
          <w:sz w:val="24"/>
          <w:szCs w:val="24"/>
        </w:rPr>
      </w:pPr>
      <w:r w:rsidRPr="00F73246">
        <w:rPr>
          <w:rFonts w:ascii="Times New Roman" w:hAnsi="Times New Roman" w:cs="Times New Roman"/>
          <w:sz w:val="24"/>
          <w:szCs w:val="24"/>
        </w:rPr>
        <w:tab/>
      </w:r>
    </w:p>
    <w:sectPr w:rsidRPr="00F73246" w:rsidR="00935EF4" w:rsidSect="00D6095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E54D" w14:textId="77777777" w:rsidR="005B1FE0" w:rsidRDefault="005B1FE0" w:rsidP="00137447">
      <w:pPr>
        <w:spacing w:after="0" w:line="240" w:lineRule="auto"/>
      </w:pPr>
      <w:r>
        <w:separator/>
      </w:r>
    </w:p>
  </w:endnote>
  <w:endnote w:type="continuationSeparator" w:id="0">
    <w:p w14:paraId="20723125" w14:textId="77777777" w:rsidR="005B1FE0" w:rsidRDefault="005B1FE0"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96F1" w14:textId="77777777" w:rsidR="00294016" w:rsidRDefault="00294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3E01" w14:textId="77777777" w:rsidR="0058470F" w:rsidRDefault="0058470F" w:rsidP="00B81D75">
    <w:pPr>
      <w:pStyle w:val="Footer"/>
      <w:rPr>
        <w:rFonts w:ascii="Times New Roman" w:hAnsi="Times New Roman" w:cs="Times New Roman"/>
        <w:sz w:val="20"/>
        <w:szCs w:val="20"/>
      </w:rPr>
    </w:pPr>
  </w:p>
  <w:p w14:paraId="19041FA8" w14:textId="43585C28" w:rsidR="0058470F" w:rsidRPr="00B81D75" w:rsidRDefault="0058470F" w:rsidP="00B81D75">
    <w:pPr>
      <w:pStyle w:val="Footer"/>
      <w:rPr>
        <w:rFonts w:ascii="Times New Roman" w:hAnsi="Times New Roman" w:cs="Times New Roman"/>
        <w:sz w:val="20"/>
        <w:szCs w:val="20"/>
      </w:rPr>
    </w:pPr>
    <w:r w:rsidRPr="004A5B9B">
      <w:rPr>
        <w:rFonts w:ascii="Times New Roman" w:hAnsi="Times New Roman" w:cs="Times New Roman"/>
        <w:sz w:val="20"/>
        <w:szCs w:val="20"/>
      </w:rPr>
      <w:t>SMAnot_</w:t>
    </w:r>
    <w:r w:rsidR="00B31154">
      <w:rPr>
        <w:rFonts w:ascii="Times New Roman" w:hAnsi="Times New Roman" w:cs="Times New Roman"/>
        <w:sz w:val="20"/>
        <w:szCs w:val="20"/>
      </w:rPr>
      <w:t>2</w:t>
    </w:r>
    <w:r w:rsidR="000F1EF3">
      <w:rPr>
        <w:rFonts w:ascii="Times New Roman" w:hAnsi="Times New Roman" w:cs="Times New Roman"/>
        <w:sz w:val="20"/>
        <w:szCs w:val="20"/>
      </w:rPr>
      <w:t>5</w:t>
    </w:r>
    <w:r w:rsidR="002C10F3">
      <w:rPr>
        <w:rFonts w:ascii="Times New Roman" w:hAnsi="Times New Roman" w:cs="Times New Roman"/>
        <w:sz w:val="20"/>
        <w:szCs w:val="20"/>
      </w:rPr>
      <w:t>1</w:t>
    </w:r>
    <w:r w:rsidR="00B31154">
      <w:rPr>
        <w:rFonts w:ascii="Times New Roman" w:hAnsi="Times New Roman" w:cs="Times New Roman"/>
        <w:sz w:val="20"/>
        <w:szCs w:val="20"/>
      </w:rPr>
      <w:t>1</w:t>
    </w:r>
    <w:r w:rsidR="002C10F3">
      <w:rPr>
        <w:rFonts w:ascii="Times New Roman" w:hAnsi="Times New Roman" w:cs="Times New Roman"/>
        <w:sz w:val="20"/>
        <w:szCs w:val="20"/>
      </w:rPr>
      <w:t>20</w:t>
    </w:r>
    <w:r w:rsidRPr="00E3215B">
      <w:rPr>
        <w:rFonts w:ascii="Times New Roman" w:hAnsi="Times New Roman" w:cs="Times New Roman"/>
        <w:sz w:val="20"/>
        <w:szCs w:val="20"/>
      </w:rPr>
      <w:t>_</w:t>
    </w:r>
    <w:r>
      <w:rPr>
        <w:rFonts w:ascii="Times New Roman" w:hAnsi="Times New Roman" w:cs="Times New Roman"/>
        <w:sz w:val="20"/>
        <w:szCs w:val="20"/>
      </w:rPr>
      <w:t>groz385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E0B8" w14:textId="2C517E73" w:rsidR="0058470F" w:rsidRPr="00B81D75" w:rsidRDefault="0058470F" w:rsidP="001A6559">
    <w:pPr>
      <w:pStyle w:val="Footer"/>
      <w:rPr>
        <w:rFonts w:ascii="Times New Roman" w:hAnsi="Times New Roman" w:cs="Times New Roman"/>
        <w:sz w:val="20"/>
        <w:szCs w:val="20"/>
      </w:rPr>
    </w:pPr>
    <w:r w:rsidRPr="004A5B9B">
      <w:rPr>
        <w:rFonts w:ascii="Times New Roman" w:hAnsi="Times New Roman" w:cs="Times New Roman"/>
        <w:sz w:val="20"/>
        <w:szCs w:val="20"/>
      </w:rPr>
      <w:t>SMAnot_</w:t>
    </w:r>
    <w:r w:rsidR="00294016">
      <w:rPr>
        <w:rFonts w:ascii="Times New Roman" w:hAnsi="Times New Roman" w:cs="Times New Roman"/>
        <w:sz w:val="20"/>
        <w:szCs w:val="20"/>
      </w:rPr>
      <w:t>2</w:t>
    </w:r>
    <w:r w:rsidR="000F1EF3">
      <w:rPr>
        <w:rFonts w:ascii="Times New Roman" w:hAnsi="Times New Roman" w:cs="Times New Roman"/>
        <w:sz w:val="20"/>
        <w:szCs w:val="20"/>
      </w:rPr>
      <w:t>5</w:t>
    </w:r>
    <w:r w:rsidR="002C10F3">
      <w:rPr>
        <w:rFonts w:ascii="Times New Roman" w:hAnsi="Times New Roman" w:cs="Times New Roman"/>
        <w:sz w:val="20"/>
        <w:szCs w:val="20"/>
      </w:rPr>
      <w:t>1</w:t>
    </w:r>
    <w:r w:rsidR="00294016">
      <w:rPr>
        <w:rFonts w:ascii="Times New Roman" w:hAnsi="Times New Roman" w:cs="Times New Roman"/>
        <w:sz w:val="20"/>
        <w:szCs w:val="20"/>
      </w:rPr>
      <w:t>1</w:t>
    </w:r>
    <w:r w:rsidR="002C10F3" w:rsidRPr="004A5B9B">
      <w:rPr>
        <w:rFonts w:ascii="Times New Roman" w:hAnsi="Times New Roman" w:cs="Times New Roman"/>
        <w:sz w:val="20"/>
        <w:szCs w:val="20"/>
      </w:rPr>
      <w:t>20</w:t>
    </w:r>
    <w:r w:rsidRPr="004A5B9B">
      <w:rPr>
        <w:rFonts w:ascii="Times New Roman" w:hAnsi="Times New Roman" w:cs="Times New Roman"/>
        <w:sz w:val="20"/>
        <w:szCs w:val="20"/>
      </w:rPr>
      <w:t>_</w:t>
    </w:r>
    <w:r>
      <w:rPr>
        <w:rFonts w:ascii="Times New Roman" w:hAnsi="Times New Roman" w:cs="Times New Roman"/>
        <w:sz w:val="20"/>
        <w:szCs w:val="20"/>
      </w:rPr>
      <w:t>groz385</w:t>
    </w:r>
  </w:p>
  <w:p w14:paraId="1A25CCA1" w14:textId="175E9612" w:rsidR="0058470F" w:rsidRPr="001A6559" w:rsidRDefault="0058470F" w:rsidP="001A6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37097" w14:textId="77777777" w:rsidR="005B1FE0" w:rsidRDefault="005B1FE0" w:rsidP="00137447">
      <w:pPr>
        <w:spacing w:after="0" w:line="240" w:lineRule="auto"/>
      </w:pPr>
      <w:r>
        <w:separator/>
      </w:r>
    </w:p>
  </w:footnote>
  <w:footnote w:type="continuationSeparator" w:id="0">
    <w:p w14:paraId="6E840CE5" w14:textId="77777777" w:rsidR="005B1FE0" w:rsidRDefault="005B1FE0" w:rsidP="0013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70F" w:rsidP="00902734" w:rsidRDefault="0058470F" w14:paraId="638E78F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470F" w:rsidRDefault="0058470F" w14:paraId="6BC3D1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73922" w:rsidR="0058470F" w:rsidP="00902734" w:rsidRDefault="0058470F" w14:paraId="6F3DC475" w14:textId="0B02AB36">
    <w:pPr>
      <w:pStyle w:val="Header"/>
      <w:framePr w:wrap="around" w:hAnchor="margin" w:vAnchor="text" w:xAlign="center" w:y="1"/>
      <w:rPr>
        <w:rStyle w:val="PageNumber"/>
        <w:rFonts w:ascii="Times New Roman" w:hAnsi="Times New Roman" w:cs="Times New Roman"/>
        <w:sz w:val="24"/>
        <w:szCs w:val="24"/>
      </w:rPr>
    </w:pPr>
    <w:r w:rsidRPr="00173922">
      <w:rPr>
        <w:rStyle w:val="PageNumber"/>
        <w:rFonts w:ascii="Times New Roman" w:hAnsi="Times New Roman" w:cs="Times New Roman"/>
        <w:sz w:val="24"/>
        <w:szCs w:val="24"/>
      </w:rPr>
      <w:fldChar w:fldCharType="begin"/>
    </w:r>
    <w:r w:rsidRPr="00173922">
      <w:rPr>
        <w:rStyle w:val="PageNumber"/>
        <w:rFonts w:ascii="Times New Roman" w:hAnsi="Times New Roman" w:cs="Times New Roman"/>
        <w:sz w:val="24"/>
        <w:szCs w:val="24"/>
      </w:rPr>
      <w:instrText xml:space="preserve">PAGE  </w:instrText>
    </w:r>
    <w:r w:rsidRPr="00173922">
      <w:rPr>
        <w:rStyle w:val="PageNumber"/>
        <w:rFonts w:ascii="Times New Roman" w:hAnsi="Times New Roman" w:cs="Times New Roman"/>
        <w:sz w:val="24"/>
        <w:szCs w:val="24"/>
      </w:rPr>
      <w:fldChar w:fldCharType="separate"/>
    </w:r>
    <w:r w:rsidR="00F11E5E">
      <w:rPr>
        <w:rStyle w:val="PageNumber"/>
        <w:rFonts w:ascii="Times New Roman" w:hAnsi="Times New Roman" w:cs="Times New Roman"/>
        <w:noProof/>
        <w:sz w:val="24"/>
        <w:szCs w:val="24"/>
      </w:rPr>
      <w:t>2</w:t>
    </w:r>
    <w:r w:rsidRPr="00173922">
      <w:rPr>
        <w:rStyle w:val="PageNumber"/>
        <w:rFonts w:ascii="Times New Roman" w:hAnsi="Times New Roman" w:cs="Times New Roman"/>
        <w:sz w:val="24"/>
        <w:szCs w:val="24"/>
      </w:rPr>
      <w:fldChar w:fldCharType="end"/>
    </w:r>
  </w:p>
  <w:p w:rsidR="0058470F" w:rsidRDefault="0058470F" w14:paraId="2FA6B00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016" w:rsidRDefault="00294016" w14:paraId="0871F2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8CC"/>
    <w:multiLevelType w:val="hybridMultilevel"/>
    <w:tmpl w:val="5FF25528"/>
    <w:lvl w:ilvl="0" w:tplc="4AB0C850">
      <w:start w:val="2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A89"/>
    <w:multiLevelType w:val="hybridMultilevel"/>
    <w:tmpl w:val="09822032"/>
    <w:lvl w:ilvl="0" w:tplc="7AC439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3F"/>
    <w:multiLevelType w:val="hybridMultilevel"/>
    <w:tmpl w:val="8C087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EF7F0D"/>
    <w:multiLevelType w:val="hybridMultilevel"/>
    <w:tmpl w:val="BC74590E"/>
    <w:lvl w:ilvl="0" w:tplc="B3CE9286">
      <w:start w:val="2020"/>
      <w:numFmt w:val="bullet"/>
      <w:lvlText w:val="-"/>
      <w:lvlJc w:val="left"/>
      <w:pPr>
        <w:ind w:left="931" w:hanging="360"/>
      </w:pPr>
      <w:rPr>
        <w:rFonts w:ascii="Times New Roman" w:eastAsia="Calibri" w:hAnsi="Times New Roman" w:cs="Times New Roma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 w15:restartNumberingAfterBreak="0">
    <w:nsid w:val="1F606323"/>
    <w:multiLevelType w:val="hybridMultilevel"/>
    <w:tmpl w:val="DDD01CF4"/>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6" w15:restartNumberingAfterBreak="0">
    <w:nsid w:val="24D13046"/>
    <w:multiLevelType w:val="multilevel"/>
    <w:tmpl w:val="880EFE9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39E70A70"/>
    <w:multiLevelType w:val="hybridMultilevel"/>
    <w:tmpl w:val="147E6208"/>
    <w:lvl w:ilvl="0" w:tplc="73F2844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1" w15:restartNumberingAfterBreak="0">
    <w:nsid w:val="44D43986"/>
    <w:multiLevelType w:val="hybridMultilevel"/>
    <w:tmpl w:val="6A4671EA"/>
    <w:lvl w:ilvl="0" w:tplc="5BEE3ACE">
      <w:start w:val="20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0EF"/>
    <w:multiLevelType w:val="hybridMultilevel"/>
    <w:tmpl w:val="0B482A2C"/>
    <w:lvl w:ilvl="0" w:tplc="ADF66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5" w15:restartNumberingAfterBreak="0">
    <w:nsid w:val="765D2C90"/>
    <w:multiLevelType w:val="hybridMultilevel"/>
    <w:tmpl w:val="FBD6023E"/>
    <w:lvl w:ilvl="0" w:tplc="8114429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5"/>
  </w:num>
  <w:num w:numId="2">
    <w:abstractNumId w:val="10"/>
  </w:num>
  <w:num w:numId="3">
    <w:abstractNumId w:val="9"/>
  </w:num>
  <w:num w:numId="4">
    <w:abstractNumId w:val="7"/>
  </w:num>
  <w:num w:numId="5">
    <w:abstractNumId w:val="13"/>
  </w:num>
  <w:num w:numId="6">
    <w:abstractNumId w:val="16"/>
  </w:num>
  <w:num w:numId="7">
    <w:abstractNumId w:val="14"/>
  </w:num>
  <w:num w:numId="8">
    <w:abstractNumId w:val="8"/>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5"/>
  </w:num>
  <w:num w:numId="15">
    <w:abstractNumId w:val="1"/>
  </w:num>
  <w:num w:numId="16">
    <w:abstractNumId w:val="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3E"/>
    <w:rsid w:val="00001D7C"/>
    <w:rsid w:val="000104DC"/>
    <w:rsid w:val="00010D9A"/>
    <w:rsid w:val="00011271"/>
    <w:rsid w:val="0001298C"/>
    <w:rsid w:val="00013971"/>
    <w:rsid w:val="00014070"/>
    <w:rsid w:val="00014553"/>
    <w:rsid w:val="00016E2E"/>
    <w:rsid w:val="00017425"/>
    <w:rsid w:val="000207E2"/>
    <w:rsid w:val="000236DA"/>
    <w:rsid w:val="00024892"/>
    <w:rsid w:val="00026B19"/>
    <w:rsid w:val="00030C9E"/>
    <w:rsid w:val="0003198C"/>
    <w:rsid w:val="0003278D"/>
    <w:rsid w:val="00032F58"/>
    <w:rsid w:val="00033AEA"/>
    <w:rsid w:val="00034AE8"/>
    <w:rsid w:val="00036429"/>
    <w:rsid w:val="00036BB2"/>
    <w:rsid w:val="000376BF"/>
    <w:rsid w:val="00040CA8"/>
    <w:rsid w:val="00042CA5"/>
    <w:rsid w:val="00042D24"/>
    <w:rsid w:val="00043748"/>
    <w:rsid w:val="0004699A"/>
    <w:rsid w:val="00047102"/>
    <w:rsid w:val="000472F4"/>
    <w:rsid w:val="0005040C"/>
    <w:rsid w:val="00050CD9"/>
    <w:rsid w:val="00052299"/>
    <w:rsid w:val="00055457"/>
    <w:rsid w:val="00056173"/>
    <w:rsid w:val="000566B9"/>
    <w:rsid w:val="00057C3D"/>
    <w:rsid w:val="0006157F"/>
    <w:rsid w:val="00061B7B"/>
    <w:rsid w:val="00062CD7"/>
    <w:rsid w:val="00063258"/>
    <w:rsid w:val="00063B17"/>
    <w:rsid w:val="000660E9"/>
    <w:rsid w:val="00070CED"/>
    <w:rsid w:val="000711E7"/>
    <w:rsid w:val="0007369B"/>
    <w:rsid w:val="000826E1"/>
    <w:rsid w:val="00084D9B"/>
    <w:rsid w:val="0008560A"/>
    <w:rsid w:val="00086B83"/>
    <w:rsid w:val="000901E6"/>
    <w:rsid w:val="00091439"/>
    <w:rsid w:val="000939E3"/>
    <w:rsid w:val="00094283"/>
    <w:rsid w:val="00094655"/>
    <w:rsid w:val="000952BA"/>
    <w:rsid w:val="00096E2E"/>
    <w:rsid w:val="000A15FF"/>
    <w:rsid w:val="000A1FEA"/>
    <w:rsid w:val="000A5154"/>
    <w:rsid w:val="000A5454"/>
    <w:rsid w:val="000A5F42"/>
    <w:rsid w:val="000B240B"/>
    <w:rsid w:val="000B57A5"/>
    <w:rsid w:val="000B7140"/>
    <w:rsid w:val="000C178B"/>
    <w:rsid w:val="000C212F"/>
    <w:rsid w:val="000C22C9"/>
    <w:rsid w:val="000C366F"/>
    <w:rsid w:val="000C5377"/>
    <w:rsid w:val="000C5A83"/>
    <w:rsid w:val="000C6316"/>
    <w:rsid w:val="000C691E"/>
    <w:rsid w:val="000C7BA8"/>
    <w:rsid w:val="000D13AE"/>
    <w:rsid w:val="000D146B"/>
    <w:rsid w:val="000D2425"/>
    <w:rsid w:val="000D3D6C"/>
    <w:rsid w:val="000D41A6"/>
    <w:rsid w:val="000D6E39"/>
    <w:rsid w:val="000D745B"/>
    <w:rsid w:val="000E03BF"/>
    <w:rsid w:val="000E38FE"/>
    <w:rsid w:val="000E5896"/>
    <w:rsid w:val="000E7563"/>
    <w:rsid w:val="000F1EF3"/>
    <w:rsid w:val="000F466C"/>
    <w:rsid w:val="000F60D3"/>
    <w:rsid w:val="000F7C8A"/>
    <w:rsid w:val="001007FC"/>
    <w:rsid w:val="0010289A"/>
    <w:rsid w:val="0010433C"/>
    <w:rsid w:val="00104816"/>
    <w:rsid w:val="00107719"/>
    <w:rsid w:val="001111B8"/>
    <w:rsid w:val="00115080"/>
    <w:rsid w:val="0011723D"/>
    <w:rsid w:val="001172E6"/>
    <w:rsid w:val="0012008D"/>
    <w:rsid w:val="00120797"/>
    <w:rsid w:val="00121BFD"/>
    <w:rsid w:val="00122DDA"/>
    <w:rsid w:val="001240C3"/>
    <w:rsid w:val="0012414C"/>
    <w:rsid w:val="001266B4"/>
    <w:rsid w:val="001270DC"/>
    <w:rsid w:val="0013064C"/>
    <w:rsid w:val="00132AFC"/>
    <w:rsid w:val="00134EFE"/>
    <w:rsid w:val="00135A67"/>
    <w:rsid w:val="00137336"/>
    <w:rsid w:val="00137447"/>
    <w:rsid w:val="0014329A"/>
    <w:rsid w:val="0014468E"/>
    <w:rsid w:val="001518C2"/>
    <w:rsid w:val="00162344"/>
    <w:rsid w:val="0016247C"/>
    <w:rsid w:val="00163E88"/>
    <w:rsid w:val="00166559"/>
    <w:rsid w:val="00166600"/>
    <w:rsid w:val="001704B1"/>
    <w:rsid w:val="00171FCA"/>
    <w:rsid w:val="001722C3"/>
    <w:rsid w:val="00173922"/>
    <w:rsid w:val="0017455E"/>
    <w:rsid w:val="001760B9"/>
    <w:rsid w:val="00177852"/>
    <w:rsid w:val="00177E4A"/>
    <w:rsid w:val="00180148"/>
    <w:rsid w:val="0018114A"/>
    <w:rsid w:val="00181438"/>
    <w:rsid w:val="0018214A"/>
    <w:rsid w:val="00187A6D"/>
    <w:rsid w:val="00192290"/>
    <w:rsid w:val="001946F6"/>
    <w:rsid w:val="001959FF"/>
    <w:rsid w:val="00195F59"/>
    <w:rsid w:val="00196886"/>
    <w:rsid w:val="001A02E8"/>
    <w:rsid w:val="001A0B5E"/>
    <w:rsid w:val="001A14D5"/>
    <w:rsid w:val="001A6559"/>
    <w:rsid w:val="001A6FC8"/>
    <w:rsid w:val="001B644C"/>
    <w:rsid w:val="001B697E"/>
    <w:rsid w:val="001C0213"/>
    <w:rsid w:val="001C0553"/>
    <w:rsid w:val="001C0862"/>
    <w:rsid w:val="001C1219"/>
    <w:rsid w:val="001C1FD1"/>
    <w:rsid w:val="001C2D3B"/>
    <w:rsid w:val="001C2FD6"/>
    <w:rsid w:val="001C4765"/>
    <w:rsid w:val="001C4A18"/>
    <w:rsid w:val="001C79A7"/>
    <w:rsid w:val="001C7BFD"/>
    <w:rsid w:val="001D20CE"/>
    <w:rsid w:val="001D2414"/>
    <w:rsid w:val="001D3F7F"/>
    <w:rsid w:val="001E1772"/>
    <w:rsid w:val="001E25D9"/>
    <w:rsid w:val="001E28C0"/>
    <w:rsid w:val="001E4E91"/>
    <w:rsid w:val="001E62E1"/>
    <w:rsid w:val="001E6BF5"/>
    <w:rsid w:val="001E6CF9"/>
    <w:rsid w:val="001F1AE5"/>
    <w:rsid w:val="001F3A76"/>
    <w:rsid w:val="001F6E3F"/>
    <w:rsid w:val="00202940"/>
    <w:rsid w:val="00202AB5"/>
    <w:rsid w:val="00204B66"/>
    <w:rsid w:val="0020581C"/>
    <w:rsid w:val="00205F7A"/>
    <w:rsid w:val="002100A2"/>
    <w:rsid w:val="00210351"/>
    <w:rsid w:val="0021097B"/>
    <w:rsid w:val="0021348C"/>
    <w:rsid w:val="00215CD4"/>
    <w:rsid w:val="002207F2"/>
    <w:rsid w:val="0022192C"/>
    <w:rsid w:val="002227D1"/>
    <w:rsid w:val="00222EE4"/>
    <w:rsid w:val="00231D24"/>
    <w:rsid w:val="0023362C"/>
    <w:rsid w:val="002337BB"/>
    <w:rsid w:val="0024134A"/>
    <w:rsid w:val="00246752"/>
    <w:rsid w:val="00247D19"/>
    <w:rsid w:val="002502F8"/>
    <w:rsid w:val="00250B5D"/>
    <w:rsid w:val="00250EB8"/>
    <w:rsid w:val="00250F7E"/>
    <w:rsid w:val="0025631F"/>
    <w:rsid w:val="002618CA"/>
    <w:rsid w:val="00265042"/>
    <w:rsid w:val="00265560"/>
    <w:rsid w:val="00266405"/>
    <w:rsid w:val="00273B27"/>
    <w:rsid w:val="002770F4"/>
    <w:rsid w:val="002801ED"/>
    <w:rsid w:val="002810DD"/>
    <w:rsid w:val="0028274A"/>
    <w:rsid w:val="00282AC9"/>
    <w:rsid w:val="00283BE4"/>
    <w:rsid w:val="00285F8E"/>
    <w:rsid w:val="00287588"/>
    <w:rsid w:val="00293AD3"/>
    <w:rsid w:val="00293C62"/>
    <w:rsid w:val="00294016"/>
    <w:rsid w:val="0029578D"/>
    <w:rsid w:val="0029587B"/>
    <w:rsid w:val="0029591B"/>
    <w:rsid w:val="00295C0E"/>
    <w:rsid w:val="00296796"/>
    <w:rsid w:val="0029772E"/>
    <w:rsid w:val="002A13D1"/>
    <w:rsid w:val="002A1EDF"/>
    <w:rsid w:val="002A55EB"/>
    <w:rsid w:val="002A7F37"/>
    <w:rsid w:val="002B0AAE"/>
    <w:rsid w:val="002B6FF6"/>
    <w:rsid w:val="002B7CAA"/>
    <w:rsid w:val="002C10F3"/>
    <w:rsid w:val="002C20EB"/>
    <w:rsid w:val="002C23CB"/>
    <w:rsid w:val="002C3C65"/>
    <w:rsid w:val="002C447B"/>
    <w:rsid w:val="002C78E7"/>
    <w:rsid w:val="002C7E72"/>
    <w:rsid w:val="002D13D0"/>
    <w:rsid w:val="002D25E2"/>
    <w:rsid w:val="002D3AC4"/>
    <w:rsid w:val="002D7F2C"/>
    <w:rsid w:val="002E11BF"/>
    <w:rsid w:val="002E3F68"/>
    <w:rsid w:val="002E4AA0"/>
    <w:rsid w:val="002E4BC5"/>
    <w:rsid w:val="002E4CD0"/>
    <w:rsid w:val="002E6486"/>
    <w:rsid w:val="002E7CAF"/>
    <w:rsid w:val="002F0CF6"/>
    <w:rsid w:val="002F25DF"/>
    <w:rsid w:val="002F4911"/>
    <w:rsid w:val="002F6281"/>
    <w:rsid w:val="002F72E0"/>
    <w:rsid w:val="002F7E17"/>
    <w:rsid w:val="003016EB"/>
    <w:rsid w:val="00302347"/>
    <w:rsid w:val="0030504D"/>
    <w:rsid w:val="0030631F"/>
    <w:rsid w:val="00313F1E"/>
    <w:rsid w:val="0031406B"/>
    <w:rsid w:val="0031429A"/>
    <w:rsid w:val="0031689A"/>
    <w:rsid w:val="003226A1"/>
    <w:rsid w:val="003303E1"/>
    <w:rsid w:val="0033130A"/>
    <w:rsid w:val="00331DCA"/>
    <w:rsid w:val="00332A8E"/>
    <w:rsid w:val="0033553E"/>
    <w:rsid w:val="00335A79"/>
    <w:rsid w:val="00336769"/>
    <w:rsid w:val="0034264D"/>
    <w:rsid w:val="00346AAD"/>
    <w:rsid w:val="00350794"/>
    <w:rsid w:val="0035129D"/>
    <w:rsid w:val="0035385B"/>
    <w:rsid w:val="00354165"/>
    <w:rsid w:val="003542FA"/>
    <w:rsid w:val="00356F10"/>
    <w:rsid w:val="003575DC"/>
    <w:rsid w:val="00357A06"/>
    <w:rsid w:val="0036180F"/>
    <w:rsid w:val="00363566"/>
    <w:rsid w:val="00363C88"/>
    <w:rsid w:val="0036513F"/>
    <w:rsid w:val="003668D1"/>
    <w:rsid w:val="00374CD7"/>
    <w:rsid w:val="0037545E"/>
    <w:rsid w:val="0037616F"/>
    <w:rsid w:val="00381572"/>
    <w:rsid w:val="00382FB6"/>
    <w:rsid w:val="003846EF"/>
    <w:rsid w:val="00385A2B"/>
    <w:rsid w:val="00387F9D"/>
    <w:rsid w:val="0039130E"/>
    <w:rsid w:val="00391586"/>
    <w:rsid w:val="003918C3"/>
    <w:rsid w:val="00392411"/>
    <w:rsid w:val="00394D8D"/>
    <w:rsid w:val="003967F3"/>
    <w:rsid w:val="003A1987"/>
    <w:rsid w:val="003A1C22"/>
    <w:rsid w:val="003A1EBD"/>
    <w:rsid w:val="003A3229"/>
    <w:rsid w:val="003A5F7F"/>
    <w:rsid w:val="003A6908"/>
    <w:rsid w:val="003B091F"/>
    <w:rsid w:val="003B51B5"/>
    <w:rsid w:val="003C24DF"/>
    <w:rsid w:val="003D61D5"/>
    <w:rsid w:val="003D6C10"/>
    <w:rsid w:val="003D6D25"/>
    <w:rsid w:val="003E1BBB"/>
    <w:rsid w:val="003E2A79"/>
    <w:rsid w:val="003E32CB"/>
    <w:rsid w:val="003E494C"/>
    <w:rsid w:val="003E4C41"/>
    <w:rsid w:val="003E585C"/>
    <w:rsid w:val="003F08D7"/>
    <w:rsid w:val="003F217E"/>
    <w:rsid w:val="003F2EEF"/>
    <w:rsid w:val="003F3BCB"/>
    <w:rsid w:val="003F43CF"/>
    <w:rsid w:val="003F5DA1"/>
    <w:rsid w:val="003F6117"/>
    <w:rsid w:val="004008D6"/>
    <w:rsid w:val="00400E8C"/>
    <w:rsid w:val="004128C4"/>
    <w:rsid w:val="0041377A"/>
    <w:rsid w:val="00422C8D"/>
    <w:rsid w:val="004262F8"/>
    <w:rsid w:val="004278E5"/>
    <w:rsid w:val="004323D7"/>
    <w:rsid w:val="00433A9B"/>
    <w:rsid w:val="00435A50"/>
    <w:rsid w:val="00436759"/>
    <w:rsid w:val="00442A7D"/>
    <w:rsid w:val="00447CB3"/>
    <w:rsid w:val="0045001E"/>
    <w:rsid w:val="00450586"/>
    <w:rsid w:val="004513B3"/>
    <w:rsid w:val="00451D39"/>
    <w:rsid w:val="00452D12"/>
    <w:rsid w:val="004540C5"/>
    <w:rsid w:val="00461160"/>
    <w:rsid w:val="0046204D"/>
    <w:rsid w:val="004625B7"/>
    <w:rsid w:val="00462656"/>
    <w:rsid w:val="00465523"/>
    <w:rsid w:val="004674B6"/>
    <w:rsid w:val="004739A3"/>
    <w:rsid w:val="00474C41"/>
    <w:rsid w:val="0047529C"/>
    <w:rsid w:val="004752BD"/>
    <w:rsid w:val="004838D3"/>
    <w:rsid w:val="004838DF"/>
    <w:rsid w:val="00486EFE"/>
    <w:rsid w:val="004927BE"/>
    <w:rsid w:val="00493936"/>
    <w:rsid w:val="00494DB5"/>
    <w:rsid w:val="0049542D"/>
    <w:rsid w:val="00495B8E"/>
    <w:rsid w:val="00495D43"/>
    <w:rsid w:val="00496199"/>
    <w:rsid w:val="00497E25"/>
    <w:rsid w:val="004A165C"/>
    <w:rsid w:val="004A28C6"/>
    <w:rsid w:val="004A3FB9"/>
    <w:rsid w:val="004A5B9B"/>
    <w:rsid w:val="004A5FD1"/>
    <w:rsid w:val="004B2B97"/>
    <w:rsid w:val="004B5A95"/>
    <w:rsid w:val="004C1838"/>
    <w:rsid w:val="004C40B8"/>
    <w:rsid w:val="004C662F"/>
    <w:rsid w:val="004D13CE"/>
    <w:rsid w:val="004D2357"/>
    <w:rsid w:val="004D29F2"/>
    <w:rsid w:val="004D6873"/>
    <w:rsid w:val="004D7820"/>
    <w:rsid w:val="004E08F8"/>
    <w:rsid w:val="004E686E"/>
    <w:rsid w:val="004F145C"/>
    <w:rsid w:val="004F16BD"/>
    <w:rsid w:val="004F16DE"/>
    <w:rsid w:val="004F2BD1"/>
    <w:rsid w:val="004F5B51"/>
    <w:rsid w:val="004F5E97"/>
    <w:rsid w:val="00500C2F"/>
    <w:rsid w:val="0050165A"/>
    <w:rsid w:val="005039EA"/>
    <w:rsid w:val="005065AF"/>
    <w:rsid w:val="005103A9"/>
    <w:rsid w:val="00511CA2"/>
    <w:rsid w:val="00513DE6"/>
    <w:rsid w:val="005146B1"/>
    <w:rsid w:val="005146CD"/>
    <w:rsid w:val="00514D47"/>
    <w:rsid w:val="00514DB1"/>
    <w:rsid w:val="00514F2C"/>
    <w:rsid w:val="0051753F"/>
    <w:rsid w:val="005251E2"/>
    <w:rsid w:val="0053134D"/>
    <w:rsid w:val="005334AF"/>
    <w:rsid w:val="005356A4"/>
    <w:rsid w:val="00543501"/>
    <w:rsid w:val="00543875"/>
    <w:rsid w:val="00543F97"/>
    <w:rsid w:val="005442CD"/>
    <w:rsid w:val="00544E1A"/>
    <w:rsid w:val="00544E68"/>
    <w:rsid w:val="00546CBF"/>
    <w:rsid w:val="005504A3"/>
    <w:rsid w:val="0055080F"/>
    <w:rsid w:val="0055669F"/>
    <w:rsid w:val="00562230"/>
    <w:rsid w:val="00562DE7"/>
    <w:rsid w:val="00563C14"/>
    <w:rsid w:val="005651FC"/>
    <w:rsid w:val="00566097"/>
    <w:rsid w:val="005660C8"/>
    <w:rsid w:val="00567F16"/>
    <w:rsid w:val="0057015D"/>
    <w:rsid w:val="00572B0D"/>
    <w:rsid w:val="00573FF4"/>
    <w:rsid w:val="00575242"/>
    <w:rsid w:val="005758A3"/>
    <w:rsid w:val="00576E8C"/>
    <w:rsid w:val="00577DE6"/>
    <w:rsid w:val="00580532"/>
    <w:rsid w:val="00580CFE"/>
    <w:rsid w:val="0058470F"/>
    <w:rsid w:val="00586B95"/>
    <w:rsid w:val="0059047D"/>
    <w:rsid w:val="0059366C"/>
    <w:rsid w:val="00594308"/>
    <w:rsid w:val="00595A4C"/>
    <w:rsid w:val="005968B4"/>
    <w:rsid w:val="00597572"/>
    <w:rsid w:val="0059780A"/>
    <w:rsid w:val="005A01C9"/>
    <w:rsid w:val="005A1849"/>
    <w:rsid w:val="005A2D48"/>
    <w:rsid w:val="005A40D8"/>
    <w:rsid w:val="005A68DA"/>
    <w:rsid w:val="005B193B"/>
    <w:rsid w:val="005B1FE0"/>
    <w:rsid w:val="005B45E4"/>
    <w:rsid w:val="005B4CE1"/>
    <w:rsid w:val="005B5944"/>
    <w:rsid w:val="005B64AC"/>
    <w:rsid w:val="005B65B3"/>
    <w:rsid w:val="005C0645"/>
    <w:rsid w:val="005D331C"/>
    <w:rsid w:val="005D4722"/>
    <w:rsid w:val="005D4964"/>
    <w:rsid w:val="005E2E17"/>
    <w:rsid w:val="005E3AA7"/>
    <w:rsid w:val="005E44CB"/>
    <w:rsid w:val="005E5C2A"/>
    <w:rsid w:val="005F0203"/>
    <w:rsid w:val="005F0750"/>
    <w:rsid w:val="005F2314"/>
    <w:rsid w:val="005F5B54"/>
    <w:rsid w:val="005F6A51"/>
    <w:rsid w:val="005F6CC7"/>
    <w:rsid w:val="005F7AC8"/>
    <w:rsid w:val="005F7C46"/>
    <w:rsid w:val="0060072C"/>
    <w:rsid w:val="00600A96"/>
    <w:rsid w:val="00601596"/>
    <w:rsid w:val="00601980"/>
    <w:rsid w:val="0060547E"/>
    <w:rsid w:val="00613D9C"/>
    <w:rsid w:val="0061642A"/>
    <w:rsid w:val="00616923"/>
    <w:rsid w:val="00617F88"/>
    <w:rsid w:val="0062205B"/>
    <w:rsid w:val="00622860"/>
    <w:rsid w:val="006250DA"/>
    <w:rsid w:val="006251CE"/>
    <w:rsid w:val="0062782C"/>
    <w:rsid w:val="00633462"/>
    <w:rsid w:val="00634FB0"/>
    <w:rsid w:val="00636696"/>
    <w:rsid w:val="00641C2F"/>
    <w:rsid w:val="0064281C"/>
    <w:rsid w:val="00642993"/>
    <w:rsid w:val="00645A4B"/>
    <w:rsid w:val="006462D3"/>
    <w:rsid w:val="00647307"/>
    <w:rsid w:val="00651B4C"/>
    <w:rsid w:val="00652A95"/>
    <w:rsid w:val="00653F2C"/>
    <w:rsid w:val="0065527C"/>
    <w:rsid w:val="00662031"/>
    <w:rsid w:val="00670CF6"/>
    <w:rsid w:val="006716F0"/>
    <w:rsid w:val="006769CB"/>
    <w:rsid w:val="00677140"/>
    <w:rsid w:val="00677222"/>
    <w:rsid w:val="00677F36"/>
    <w:rsid w:val="00683D08"/>
    <w:rsid w:val="00683D46"/>
    <w:rsid w:val="0069139E"/>
    <w:rsid w:val="006918A9"/>
    <w:rsid w:val="00692A95"/>
    <w:rsid w:val="00693CFC"/>
    <w:rsid w:val="00695260"/>
    <w:rsid w:val="0069671B"/>
    <w:rsid w:val="006970C8"/>
    <w:rsid w:val="006974E6"/>
    <w:rsid w:val="0069794F"/>
    <w:rsid w:val="006A3B79"/>
    <w:rsid w:val="006A57F4"/>
    <w:rsid w:val="006A6969"/>
    <w:rsid w:val="006A6D36"/>
    <w:rsid w:val="006B5035"/>
    <w:rsid w:val="006B5B51"/>
    <w:rsid w:val="006C16F7"/>
    <w:rsid w:val="006C16FA"/>
    <w:rsid w:val="006C1EC1"/>
    <w:rsid w:val="006C3060"/>
    <w:rsid w:val="006C45BB"/>
    <w:rsid w:val="006C4880"/>
    <w:rsid w:val="006C6D4A"/>
    <w:rsid w:val="006C7001"/>
    <w:rsid w:val="006C71CC"/>
    <w:rsid w:val="006D1542"/>
    <w:rsid w:val="006D180E"/>
    <w:rsid w:val="006D1B17"/>
    <w:rsid w:val="006D1BD6"/>
    <w:rsid w:val="006D2A87"/>
    <w:rsid w:val="006D2AF6"/>
    <w:rsid w:val="006D3494"/>
    <w:rsid w:val="006D73FE"/>
    <w:rsid w:val="006E1592"/>
    <w:rsid w:val="006E23E1"/>
    <w:rsid w:val="006E2567"/>
    <w:rsid w:val="006E2A08"/>
    <w:rsid w:val="006E3134"/>
    <w:rsid w:val="006E38B8"/>
    <w:rsid w:val="006E52AD"/>
    <w:rsid w:val="006E6813"/>
    <w:rsid w:val="006E7FA0"/>
    <w:rsid w:val="006F1040"/>
    <w:rsid w:val="006F15C0"/>
    <w:rsid w:val="006F308B"/>
    <w:rsid w:val="006F3985"/>
    <w:rsid w:val="006F435B"/>
    <w:rsid w:val="006F4A4C"/>
    <w:rsid w:val="006F538A"/>
    <w:rsid w:val="006F57AB"/>
    <w:rsid w:val="006F5D5D"/>
    <w:rsid w:val="007011E7"/>
    <w:rsid w:val="0070179A"/>
    <w:rsid w:val="00702DE7"/>
    <w:rsid w:val="00703D67"/>
    <w:rsid w:val="007077AB"/>
    <w:rsid w:val="00710864"/>
    <w:rsid w:val="00712012"/>
    <w:rsid w:val="00716407"/>
    <w:rsid w:val="007174AD"/>
    <w:rsid w:val="00717636"/>
    <w:rsid w:val="00717D0E"/>
    <w:rsid w:val="0072036C"/>
    <w:rsid w:val="007334E1"/>
    <w:rsid w:val="00734383"/>
    <w:rsid w:val="007344E7"/>
    <w:rsid w:val="0073534B"/>
    <w:rsid w:val="00735A74"/>
    <w:rsid w:val="0073644A"/>
    <w:rsid w:val="00740163"/>
    <w:rsid w:val="007401A0"/>
    <w:rsid w:val="00743D94"/>
    <w:rsid w:val="00745BA1"/>
    <w:rsid w:val="00746C29"/>
    <w:rsid w:val="0075112B"/>
    <w:rsid w:val="007533B4"/>
    <w:rsid w:val="007543D5"/>
    <w:rsid w:val="00754959"/>
    <w:rsid w:val="00755ACB"/>
    <w:rsid w:val="00756F24"/>
    <w:rsid w:val="0075713C"/>
    <w:rsid w:val="00757E2F"/>
    <w:rsid w:val="00761DFD"/>
    <w:rsid w:val="007651BE"/>
    <w:rsid w:val="007678F5"/>
    <w:rsid w:val="00770FEE"/>
    <w:rsid w:val="00771451"/>
    <w:rsid w:val="007737A7"/>
    <w:rsid w:val="00774278"/>
    <w:rsid w:val="00774FDD"/>
    <w:rsid w:val="0078106B"/>
    <w:rsid w:val="0078124D"/>
    <w:rsid w:val="00787741"/>
    <w:rsid w:val="00790AA6"/>
    <w:rsid w:val="00793359"/>
    <w:rsid w:val="00795106"/>
    <w:rsid w:val="0079562A"/>
    <w:rsid w:val="007A16FF"/>
    <w:rsid w:val="007A1BF7"/>
    <w:rsid w:val="007A59C6"/>
    <w:rsid w:val="007A66D9"/>
    <w:rsid w:val="007A6F2E"/>
    <w:rsid w:val="007A79E0"/>
    <w:rsid w:val="007B1042"/>
    <w:rsid w:val="007B128C"/>
    <w:rsid w:val="007B1CAC"/>
    <w:rsid w:val="007B1DD7"/>
    <w:rsid w:val="007B42EA"/>
    <w:rsid w:val="007B4890"/>
    <w:rsid w:val="007B53EF"/>
    <w:rsid w:val="007C1079"/>
    <w:rsid w:val="007C264E"/>
    <w:rsid w:val="007D0E5B"/>
    <w:rsid w:val="007D1A9E"/>
    <w:rsid w:val="007E2173"/>
    <w:rsid w:val="007E28C8"/>
    <w:rsid w:val="007E3FEE"/>
    <w:rsid w:val="007E6268"/>
    <w:rsid w:val="007E7969"/>
    <w:rsid w:val="007F0AB5"/>
    <w:rsid w:val="007F0AC2"/>
    <w:rsid w:val="007F1DD0"/>
    <w:rsid w:val="007F3370"/>
    <w:rsid w:val="007F6735"/>
    <w:rsid w:val="00800754"/>
    <w:rsid w:val="00801212"/>
    <w:rsid w:val="00801F63"/>
    <w:rsid w:val="0080610A"/>
    <w:rsid w:val="008075FF"/>
    <w:rsid w:val="00807DA0"/>
    <w:rsid w:val="00811805"/>
    <w:rsid w:val="00811A67"/>
    <w:rsid w:val="00812AD4"/>
    <w:rsid w:val="0081390F"/>
    <w:rsid w:val="00813B68"/>
    <w:rsid w:val="00814AE3"/>
    <w:rsid w:val="00815B65"/>
    <w:rsid w:val="008175FB"/>
    <w:rsid w:val="0082010E"/>
    <w:rsid w:val="008204D7"/>
    <w:rsid w:val="00824020"/>
    <w:rsid w:val="008251C2"/>
    <w:rsid w:val="00825421"/>
    <w:rsid w:val="00826912"/>
    <w:rsid w:val="0082766D"/>
    <w:rsid w:val="0083168F"/>
    <w:rsid w:val="00831E52"/>
    <w:rsid w:val="00832E45"/>
    <w:rsid w:val="00835260"/>
    <w:rsid w:val="00835C83"/>
    <w:rsid w:val="00835E00"/>
    <w:rsid w:val="008423CC"/>
    <w:rsid w:val="008437C8"/>
    <w:rsid w:val="00845F89"/>
    <w:rsid w:val="008467ED"/>
    <w:rsid w:val="00846BC3"/>
    <w:rsid w:val="008471A0"/>
    <w:rsid w:val="00847B53"/>
    <w:rsid w:val="00847C96"/>
    <w:rsid w:val="008519D6"/>
    <w:rsid w:val="008522D5"/>
    <w:rsid w:val="00852BA2"/>
    <w:rsid w:val="00857391"/>
    <w:rsid w:val="0085766A"/>
    <w:rsid w:val="008623E0"/>
    <w:rsid w:val="008626D2"/>
    <w:rsid w:val="00862D95"/>
    <w:rsid w:val="00864BE4"/>
    <w:rsid w:val="008658E3"/>
    <w:rsid w:val="00865B34"/>
    <w:rsid w:val="00873003"/>
    <w:rsid w:val="00875703"/>
    <w:rsid w:val="008773F3"/>
    <w:rsid w:val="00877FAD"/>
    <w:rsid w:val="0088306D"/>
    <w:rsid w:val="00885FD2"/>
    <w:rsid w:val="008863DE"/>
    <w:rsid w:val="0088657E"/>
    <w:rsid w:val="008867B3"/>
    <w:rsid w:val="00887605"/>
    <w:rsid w:val="00891236"/>
    <w:rsid w:val="00891790"/>
    <w:rsid w:val="00892084"/>
    <w:rsid w:val="00892F83"/>
    <w:rsid w:val="008935FF"/>
    <w:rsid w:val="0089492C"/>
    <w:rsid w:val="008A1A5F"/>
    <w:rsid w:val="008A66FF"/>
    <w:rsid w:val="008A6BAE"/>
    <w:rsid w:val="008B04D4"/>
    <w:rsid w:val="008B253F"/>
    <w:rsid w:val="008B34EE"/>
    <w:rsid w:val="008B3BF0"/>
    <w:rsid w:val="008B5D33"/>
    <w:rsid w:val="008B5F6A"/>
    <w:rsid w:val="008B6E60"/>
    <w:rsid w:val="008B738B"/>
    <w:rsid w:val="008C149C"/>
    <w:rsid w:val="008C22B0"/>
    <w:rsid w:val="008C3FCC"/>
    <w:rsid w:val="008C55A6"/>
    <w:rsid w:val="008C6E1D"/>
    <w:rsid w:val="008D42D8"/>
    <w:rsid w:val="008D57D6"/>
    <w:rsid w:val="008D58BB"/>
    <w:rsid w:val="008D611A"/>
    <w:rsid w:val="008D7096"/>
    <w:rsid w:val="008D72E8"/>
    <w:rsid w:val="008D75AE"/>
    <w:rsid w:val="008D7625"/>
    <w:rsid w:val="008E2847"/>
    <w:rsid w:val="008F0601"/>
    <w:rsid w:val="008F0621"/>
    <w:rsid w:val="008F08F6"/>
    <w:rsid w:val="008F4F35"/>
    <w:rsid w:val="008F7AC2"/>
    <w:rsid w:val="00902734"/>
    <w:rsid w:val="00902DEB"/>
    <w:rsid w:val="0090551E"/>
    <w:rsid w:val="00907F2F"/>
    <w:rsid w:val="009117C2"/>
    <w:rsid w:val="00914ABF"/>
    <w:rsid w:val="00914F93"/>
    <w:rsid w:val="009152BB"/>
    <w:rsid w:val="00920C53"/>
    <w:rsid w:val="00924A5F"/>
    <w:rsid w:val="0092688A"/>
    <w:rsid w:val="00927C18"/>
    <w:rsid w:val="009332C6"/>
    <w:rsid w:val="0093363F"/>
    <w:rsid w:val="00934FBB"/>
    <w:rsid w:val="00935EF4"/>
    <w:rsid w:val="00936B00"/>
    <w:rsid w:val="00937503"/>
    <w:rsid w:val="009375BD"/>
    <w:rsid w:val="00940860"/>
    <w:rsid w:val="00940B57"/>
    <w:rsid w:val="0094292C"/>
    <w:rsid w:val="00943131"/>
    <w:rsid w:val="00943813"/>
    <w:rsid w:val="0094386B"/>
    <w:rsid w:val="00944006"/>
    <w:rsid w:val="0094419A"/>
    <w:rsid w:val="009441B4"/>
    <w:rsid w:val="00945FF9"/>
    <w:rsid w:val="00946BEE"/>
    <w:rsid w:val="0094721D"/>
    <w:rsid w:val="0094772D"/>
    <w:rsid w:val="00947D1D"/>
    <w:rsid w:val="0095220A"/>
    <w:rsid w:val="00957FF5"/>
    <w:rsid w:val="00961258"/>
    <w:rsid w:val="009649D8"/>
    <w:rsid w:val="009659E6"/>
    <w:rsid w:val="00965B7F"/>
    <w:rsid w:val="009663B3"/>
    <w:rsid w:val="00971A5B"/>
    <w:rsid w:val="009725E2"/>
    <w:rsid w:val="009728AD"/>
    <w:rsid w:val="00973096"/>
    <w:rsid w:val="009761C2"/>
    <w:rsid w:val="00977E43"/>
    <w:rsid w:val="00980953"/>
    <w:rsid w:val="00984C88"/>
    <w:rsid w:val="00985B82"/>
    <w:rsid w:val="00993DD9"/>
    <w:rsid w:val="00994979"/>
    <w:rsid w:val="009975BB"/>
    <w:rsid w:val="009A11A2"/>
    <w:rsid w:val="009A2831"/>
    <w:rsid w:val="009A2972"/>
    <w:rsid w:val="009A78BA"/>
    <w:rsid w:val="009A7AA9"/>
    <w:rsid w:val="009B0A41"/>
    <w:rsid w:val="009B1029"/>
    <w:rsid w:val="009B1494"/>
    <w:rsid w:val="009B3E75"/>
    <w:rsid w:val="009B6B60"/>
    <w:rsid w:val="009B7F1B"/>
    <w:rsid w:val="009C026E"/>
    <w:rsid w:val="009C03CF"/>
    <w:rsid w:val="009C5192"/>
    <w:rsid w:val="009C56DE"/>
    <w:rsid w:val="009C607B"/>
    <w:rsid w:val="009D1908"/>
    <w:rsid w:val="009D306B"/>
    <w:rsid w:val="009D3494"/>
    <w:rsid w:val="009D4FE4"/>
    <w:rsid w:val="009D5BCA"/>
    <w:rsid w:val="009D60A2"/>
    <w:rsid w:val="009D74F0"/>
    <w:rsid w:val="009E24D3"/>
    <w:rsid w:val="009E2A96"/>
    <w:rsid w:val="009E4198"/>
    <w:rsid w:val="009E61FD"/>
    <w:rsid w:val="009E6418"/>
    <w:rsid w:val="009E69A0"/>
    <w:rsid w:val="009F1044"/>
    <w:rsid w:val="009F122E"/>
    <w:rsid w:val="009F34AD"/>
    <w:rsid w:val="009F3DAE"/>
    <w:rsid w:val="009F3F03"/>
    <w:rsid w:val="009F6986"/>
    <w:rsid w:val="009F76F6"/>
    <w:rsid w:val="00A000D7"/>
    <w:rsid w:val="00A012E1"/>
    <w:rsid w:val="00A022AA"/>
    <w:rsid w:val="00A0288A"/>
    <w:rsid w:val="00A04E30"/>
    <w:rsid w:val="00A04E6A"/>
    <w:rsid w:val="00A05FF3"/>
    <w:rsid w:val="00A0686F"/>
    <w:rsid w:val="00A07A94"/>
    <w:rsid w:val="00A13CAA"/>
    <w:rsid w:val="00A16D41"/>
    <w:rsid w:val="00A17017"/>
    <w:rsid w:val="00A20065"/>
    <w:rsid w:val="00A254A3"/>
    <w:rsid w:val="00A25633"/>
    <w:rsid w:val="00A25AAE"/>
    <w:rsid w:val="00A30479"/>
    <w:rsid w:val="00A345AF"/>
    <w:rsid w:val="00A36A2F"/>
    <w:rsid w:val="00A424F7"/>
    <w:rsid w:val="00A42E80"/>
    <w:rsid w:val="00A46650"/>
    <w:rsid w:val="00A4778A"/>
    <w:rsid w:val="00A558AF"/>
    <w:rsid w:val="00A605C0"/>
    <w:rsid w:val="00A6093B"/>
    <w:rsid w:val="00A61A4F"/>
    <w:rsid w:val="00A62DC1"/>
    <w:rsid w:val="00A665D7"/>
    <w:rsid w:val="00A70834"/>
    <w:rsid w:val="00A71E07"/>
    <w:rsid w:val="00A82A12"/>
    <w:rsid w:val="00A8729F"/>
    <w:rsid w:val="00A9208C"/>
    <w:rsid w:val="00A96A38"/>
    <w:rsid w:val="00A972A0"/>
    <w:rsid w:val="00AA2A28"/>
    <w:rsid w:val="00AA3112"/>
    <w:rsid w:val="00AA508D"/>
    <w:rsid w:val="00AA73C3"/>
    <w:rsid w:val="00AB0427"/>
    <w:rsid w:val="00AB39DF"/>
    <w:rsid w:val="00AB43C6"/>
    <w:rsid w:val="00AB4802"/>
    <w:rsid w:val="00AB4D50"/>
    <w:rsid w:val="00AB7BD1"/>
    <w:rsid w:val="00AC229F"/>
    <w:rsid w:val="00AC75DC"/>
    <w:rsid w:val="00AC77A8"/>
    <w:rsid w:val="00AD19A1"/>
    <w:rsid w:val="00AD25E8"/>
    <w:rsid w:val="00AD3ED3"/>
    <w:rsid w:val="00AD5D6D"/>
    <w:rsid w:val="00AD6C6A"/>
    <w:rsid w:val="00AD7479"/>
    <w:rsid w:val="00AE1D72"/>
    <w:rsid w:val="00AE1E06"/>
    <w:rsid w:val="00AE2BB5"/>
    <w:rsid w:val="00AE3988"/>
    <w:rsid w:val="00AE50EE"/>
    <w:rsid w:val="00AE6D7F"/>
    <w:rsid w:val="00AE73D9"/>
    <w:rsid w:val="00AF04E2"/>
    <w:rsid w:val="00AF0724"/>
    <w:rsid w:val="00AF3F87"/>
    <w:rsid w:val="00AF5400"/>
    <w:rsid w:val="00AF7231"/>
    <w:rsid w:val="00B01702"/>
    <w:rsid w:val="00B0204A"/>
    <w:rsid w:val="00B04B1F"/>
    <w:rsid w:val="00B057A1"/>
    <w:rsid w:val="00B079C7"/>
    <w:rsid w:val="00B1268E"/>
    <w:rsid w:val="00B14405"/>
    <w:rsid w:val="00B15144"/>
    <w:rsid w:val="00B16008"/>
    <w:rsid w:val="00B1719B"/>
    <w:rsid w:val="00B22773"/>
    <w:rsid w:val="00B240F5"/>
    <w:rsid w:val="00B246D7"/>
    <w:rsid w:val="00B25E2D"/>
    <w:rsid w:val="00B26772"/>
    <w:rsid w:val="00B30EA1"/>
    <w:rsid w:val="00B31154"/>
    <w:rsid w:val="00B361A4"/>
    <w:rsid w:val="00B36574"/>
    <w:rsid w:val="00B41E5E"/>
    <w:rsid w:val="00B42A35"/>
    <w:rsid w:val="00B44350"/>
    <w:rsid w:val="00B46906"/>
    <w:rsid w:val="00B5179C"/>
    <w:rsid w:val="00B53DA2"/>
    <w:rsid w:val="00B56086"/>
    <w:rsid w:val="00B577D2"/>
    <w:rsid w:val="00B661C3"/>
    <w:rsid w:val="00B669FD"/>
    <w:rsid w:val="00B67E87"/>
    <w:rsid w:val="00B700C5"/>
    <w:rsid w:val="00B70B30"/>
    <w:rsid w:val="00B70DC3"/>
    <w:rsid w:val="00B70F2F"/>
    <w:rsid w:val="00B71623"/>
    <w:rsid w:val="00B71945"/>
    <w:rsid w:val="00B71BF8"/>
    <w:rsid w:val="00B77948"/>
    <w:rsid w:val="00B80D11"/>
    <w:rsid w:val="00B80D39"/>
    <w:rsid w:val="00B814B9"/>
    <w:rsid w:val="00B81D75"/>
    <w:rsid w:val="00B82E61"/>
    <w:rsid w:val="00B86E1C"/>
    <w:rsid w:val="00B90481"/>
    <w:rsid w:val="00B90820"/>
    <w:rsid w:val="00B91054"/>
    <w:rsid w:val="00B9125C"/>
    <w:rsid w:val="00B93CC9"/>
    <w:rsid w:val="00B94012"/>
    <w:rsid w:val="00B94813"/>
    <w:rsid w:val="00B950B3"/>
    <w:rsid w:val="00BA1A76"/>
    <w:rsid w:val="00BA2139"/>
    <w:rsid w:val="00BA2BFC"/>
    <w:rsid w:val="00BA4517"/>
    <w:rsid w:val="00BA79B9"/>
    <w:rsid w:val="00BB020D"/>
    <w:rsid w:val="00BB107F"/>
    <w:rsid w:val="00BB27B2"/>
    <w:rsid w:val="00BB6B6B"/>
    <w:rsid w:val="00BB6B89"/>
    <w:rsid w:val="00BB7141"/>
    <w:rsid w:val="00BB74F0"/>
    <w:rsid w:val="00BB7E85"/>
    <w:rsid w:val="00BC215B"/>
    <w:rsid w:val="00BC3161"/>
    <w:rsid w:val="00BC4AA0"/>
    <w:rsid w:val="00BC6CC7"/>
    <w:rsid w:val="00BC72B4"/>
    <w:rsid w:val="00BC7A9E"/>
    <w:rsid w:val="00BD0EA2"/>
    <w:rsid w:val="00BD142C"/>
    <w:rsid w:val="00BD1D00"/>
    <w:rsid w:val="00BD1E91"/>
    <w:rsid w:val="00BD2811"/>
    <w:rsid w:val="00BD30E9"/>
    <w:rsid w:val="00BD43D3"/>
    <w:rsid w:val="00BD6B9A"/>
    <w:rsid w:val="00BD7243"/>
    <w:rsid w:val="00BE0BAC"/>
    <w:rsid w:val="00BE3AFA"/>
    <w:rsid w:val="00BE3C5A"/>
    <w:rsid w:val="00BE4505"/>
    <w:rsid w:val="00BE6739"/>
    <w:rsid w:val="00BF111F"/>
    <w:rsid w:val="00BF2509"/>
    <w:rsid w:val="00BF5A9C"/>
    <w:rsid w:val="00C03825"/>
    <w:rsid w:val="00C03B64"/>
    <w:rsid w:val="00C059DC"/>
    <w:rsid w:val="00C0674D"/>
    <w:rsid w:val="00C07971"/>
    <w:rsid w:val="00C07AB4"/>
    <w:rsid w:val="00C07B3E"/>
    <w:rsid w:val="00C07F40"/>
    <w:rsid w:val="00C10687"/>
    <w:rsid w:val="00C1383D"/>
    <w:rsid w:val="00C1781B"/>
    <w:rsid w:val="00C20319"/>
    <w:rsid w:val="00C20DB8"/>
    <w:rsid w:val="00C21270"/>
    <w:rsid w:val="00C22631"/>
    <w:rsid w:val="00C24BBA"/>
    <w:rsid w:val="00C26639"/>
    <w:rsid w:val="00C3118F"/>
    <w:rsid w:val="00C32C12"/>
    <w:rsid w:val="00C32E60"/>
    <w:rsid w:val="00C33FB3"/>
    <w:rsid w:val="00C411FA"/>
    <w:rsid w:val="00C436A3"/>
    <w:rsid w:val="00C43892"/>
    <w:rsid w:val="00C44B38"/>
    <w:rsid w:val="00C50AB2"/>
    <w:rsid w:val="00C5149F"/>
    <w:rsid w:val="00C524FC"/>
    <w:rsid w:val="00C53116"/>
    <w:rsid w:val="00C5351E"/>
    <w:rsid w:val="00C537B9"/>
    <w:rsid w:val="00C539E2"/>
    <w:rsid w:val="00C5648F"/>
    <w:rsid w:val="00C60868"/>
    <w:rsid w:val="00C61323"/>
    <w:rsid w:val="00C61AF4"/>
    <w:rsid w:val="00C64321"/>
    <w:rsid w:val="00C64735"/>
    <w:rsid w:val="00C650D7"/>
    <w:rsid w:val="00C66A03"/>
    <w:rsid w:val="00C70878"/>
    <w:rsid w:val="00C7119E"/>
    <w:rsid w:val="00C713E6"/>
    <w:rsid w:val="00C72B55"/>
    <w:rsid w:val="00C73326"/>
    <w:rsid w:val="00C73BDB"/>
    <w:rsid w:val="00C73ED5"/>
    <w:rsid w:val="00C7431F"/>
    <w:rsid w:val="00C74924"/>
    <w:rsid w:val="00C749E7"/>
    <w:rsid w:val="00C757A4"/>
    <w:rsid w:val="00C759EF"/>
    <w:rsid w:val="00C76A11"/>
    <w:rsid w:val="00C77811"/>
    <w:rsid w:val="00C80847"/>
    <w:rsid w:val="00C821B9"/>
    <w:rsid w:val="00C82412"/>
    <w:rsid w:val="00C8556E"/>
    <w:rsid w:val="00C861DB"/>
    <w:rsid w:val="00C8789C"/>
    <w:rsid w:val="00C902E6"/>
    <w:rsid w:val="00C92815"/>
    <w:rsid w:val="00C93080"/>
    <w:rsid w:val="00C9784D"/>
    <w:rsid w:val="00CA0071"/>
    <w:rsid w:val="00CA046B"/>
    <w:rsid w:val="00CA214D"/>
    <w:rsid w:val="00CA347E"/>
    <w:rsid w:val="00CA4589"/>
    <w:rsid w:val="00CA7FE6"/>
    <w:rsid w:val="00CB03A7"/>
    <w:rsid w:val="00CB26BD"/>
    <w:rsid w:val="00CB426C"/>
    <w:rsid w:val="00CB5676"/>
    <w:rsid w:val="00CB7161"/>
    <w:rsid w:val="00CC1258"/>
    <w:rsid w:val="00CC1D07"/>
    <w:rsid w:val="00CC2497"/>
    <w:rsid w:val="00CC2813"/>
    <w:rsid w:val="00CC39EC"/>
    <w:rsid w:val="00CC3BDE"/>
    <w:rsid w:val="00CC4AEA"/>
    <w:rsid w:val="00CC7465"/>
    <w:rsid w:val="00CC7E9C"/>
    <w:rsid w:val="00CD107E"/>
    <w:rsid w:val="00CD2F3B"/>
    <w:rsid w:val="00CD5D0B"/>
    <w:rsid w:val="00CE0B09"/>
    <w:rsid w:val="00CE209E"/>
    <w:rsid w:val="00CE2653"/>
    <w:rsid w:val="00CE2E7A"/>
    <w:rsid w:val="00CE2F7A"/>
    <w:rsid w:val="00CE5058"/>
    <w:rsid w:val="00CE591D"/>
    <w:rsid w:val="00CE6B43"/>
    <w:rsid w:val="00CE7ADF"/>
    <w:rsid w:val="00CF02F3"/>
    <w:rsid w:val="00CF08D0"/>
    <w:rsid w:val="00CF1182"/>
    <w:rsid w:val="00CF134E"/>
    <w:rsid w:val="00CF503A"/>
    <w:rsid w:val="00CF5FA1"/>
    <w:rsid w:val="00CF6213"/>
    <w:rsid w:val="00CF6429"/>
    <w:rsid w:val="00CF7E21"/>
    <w:rsid w:val="00D0245E"/>
    <w:rsid w:val="00D033F7"/>
    <w:rsid w:val="00D03BAE"/>
    <w:rsid w:val="00D05464"/>
    <w:rsid w:val="00D05C44"/>
    <w:rsid w:val="00D073C4"/>
    <w:rsid w:val="00D1324B"/>
    <w:rsid w:val="00D16C0B"/>
    <w:rsid w:val="00D2038F"/>
    <w:rsid w:val="00D2137C"/>
    <w:rsid w:val="00D241C3"/>
    <w:rsid w:val="00D24EC4"/>
    <w:rsid w:val="00D25FB6"/>
    <w:rsid w:val="00D26528"/>
    <w:rsid w:val="00D30273"/>
    <w:rsid w:val="00D307FD"/>
    <w:rsid w:val="00D33528"/>
    <w:rsid w:val="00D35062"/>
    <w:rsid w:val="00D35207"/>
    <w:rsid w:val="00D41AE6"/>
    <w:rsid w:val="00D43B58"/>
    <w:rsid w:val="00D44588"/>
    <w:rsid w:val="00D45FC5"/>
    <w:rsid w:val="00D505B1"/>
    <w:rsid w:val="00D51605"/>
    <w:rsid w:val="00D5174C"/>
    <w:rsid w:val="00D5361C"/>
    <w:rsid w:val="00D549FE"/>
    <w:rsid w:val="00D55107"/>
    <w:rsid w:val="00D5692E"/>
    <w:rsid w:val="00D573B7"/>
    <w:rsid w:val="00D6083B"/>
    <w:rsid w:val="00D6095D"/>
    <w:rsid w:val="00D60A85"/>
    <w:rsid w:val="00D61E82"/>
    <w:rsid w:val="00D62B28"/>
    <w:rsid w:val="00D63C9A"/>
    <w:rsid w:val="00D66C77"/>
    <w:rsid w:val="00D70FAB"/>
    <w:rsid w:val="00D75336"/>
    <w:rsid w:val="00D76FE9"/>
    <w:rsid w:val="00D82622"/>
    <w:rsid w:val="00D83CB8"/>
    <w:rsid w:val="00D85CCB"/>
    <w:rsid w:val="00D85E8A"/>
    <w:rsid w:val="00D872F1"/>
    <w:rsid w:val="00D917B2"/>
    <w:rsid w:val="00D92505"/>
    <w:rsid w:val="00D92607"/>
    <w:rsid w:val="00D93ECF"/>
    <w:rsid w:val="00D94B0D"/>
    <w:rsid w:val="00D95058"/>
    <w:rsid w:val="00D9516B"/>
    <w:rsid w:val="00D95439"/>
    <w:rsid w:val="00D9636D"/>
    <w:rsid w:val="00DA306C"/>
    <w:rsid w:val="00DA4433"/>
    <w:rsid w:val="00DA4D8A"/>
    <w:rsid w:val="00DA790F"/>
    <w:rsid w:val="00DA7BC5"/>
    <w:rsid w:val="00DB29F0"/>
    <w:rsid w:val="00DB3BD4"/>
    <w:rsid w:val="00DB4514"/>
    <w:rsid w:val="00DB65EF"/>
    <w:rsid w:val="00DB763F"/>
    <w:rsid w:val="00DC0D1F"/>
    <w:rsid w:val="00DC0F55"/>
    <w:rsid w:val="00DC3E16"/>
    <w:rsid w:val="00DC4441"/>
    <w:rsid w:val="00DC4A76"/>
    <w:rsid w:val="00DC74F2"/>
    <w:rsid w:val="00DD02F4"/>
    <w:rsid w:val="00DD0409"/>
    <w:rsid w:val="00DD2500"/>
    <w:rsid w:val="00DD2C72"/>
    <w:rsid w:val="00DD6B01"/>
    <w:rsid w:val="00DE09A4"/>
    <w:rsid w:val="00DE1995"/>
    <w:rsid w:val="00DF0949"/>
    <w:rsid w:val="00DF1191"/>
    <w:rsid w:val="00DF2A4F"/>
    <w:rsid w:val="00DF4338"/>
    <w:rsid w:val="00DF4692"/>
    <w:rsid w:val="00DF5497"/>
    <w:rsid w:val="00E02A05"/>
    <w:rsid w:val="00E104E9"/>
    <w:rsid w:val="00E11124"/>
    <w:rsid w:val="00E114B3"/>
    <w:rsid w:val="00E1429F"/>
    <w:rsid w:val="00E15BBD"/>
    <w:rsid w:val="00E16847"/>
    <w:rsid w:val="00E16951"/>
    <w:rsid w:val="00E17AC8"/>
    <w:rsid w:val="00E210DD"/>
    <w:rsid w:val="00E214E9"/>
    <w:rsid w:val="00E216A3"/>
    <w:rsid w:val="00E26077"/>
    <w:rsid w:val="00E26BBD"/>
    <w:rsid w:val="00E3036F"/>
    <w:rsid w:val="00E30942"/>
    <w:rsid w:val="00E31B7B"/>
    <w:rsid w:val="00E3215B"/>
    <w:rsid w:val="00E3244E"/>
    <w:rsid w:val="00E328F9"/>
    <w:rsid w:val="00E3295D"/>
    <w:rsid w:val="00E33154"/>
    <w:rsid w:val="00E33767"/>
    <w:rsid w:val="00E35FF2"/>
    <w:rsid w:val="00E40F1B"/>
    <w:rsid w:val="00E42547"/>
    <w:rsid w:val="00E429C6"/>
    <w:rsid w:val="00E43396"/>
    <w:rsid w:val="00E43BC3"/>
    <w:rsid w:val="00E44A33"/>
    <w:rsid w:val="00E452CB"/>
    <w:rsid w:val="00E457CB"/>
    <w:rsid w:val="00E47FC3"/>
    <w:rsid w:val="00E501B8"/>
    <w:rsid w:val="00E6274E"/>
    <w:rsid w:val="00E7010E"/>
    <w:rsid w:val="00E72DEF"/>
    <w:rsid w:val="00E73A7E"/>
    <w:rsid w:val="00E751CC"/>
    <w:rsid w:val="00E772F2"/>
    <w:rsid w:val="00E77F8E"/>
    <w:rsid w:val="00E80B88"/>
    <w:rsid w:val="00E811D0"/>
    <w:rsid w:val="00E813B3"/>
    <w:rsid w:val="00E82021"/>
    <w:rsid w:val="00E82963"/>
    <w:rsid w:val="00E85CB8"/>
    <w:rsid w:val="00E8643E"/>
    <w:rsid w:val="00E91188"/>
    <w:rsid w:val="00E9673B"/>
    <w:rsid w:val="00EA2FA5"/>
    <w:rsid w:val="00EA4617"/>
    <w:rsid w:val="00EA665E"/>
    <w:rsid w:val="00EB0B48"/>
    <w:rsid w:val="00EB11EC"/>
    <w:rsid w:val="00EB36B8"/>
    <w:rsid w:val="00EB4229"/>
    <w:rsid w:val="00EB474D"/>
    <w:rsid w:val="00EB5889"/>
    <w:rsid w:val="00EC6341"/>
    <w:rsid w:val="00ED482C"/>
    <w:rsid w:val="00ED7C62"/>
    <w:rsid w:val="00EE0BEB"/>
    <w:rsid w:val="00EE1582"/>
    <w:rsid w:val="00EE2266"/>
    <w:rsid w:val="00EE3A76"/>
    <w:rsid w:val="00EE3A80"/>
    <w:rsid w:val="00EF0471"/>
    <w:rsid w:val="00EF2465"/>
    <w:rsid w:val="00EF2B33"/>
    <w:rsid w:val="00EF3BED"/>
    <w:rsid w:val="00EF4FA5"/>
    <w:rsid w:val="00EF568E"/>
    <w:rsid w:val="00F01A2D"/>
    <w:rsid w:val="00F01BEA"/>
    <w:rsid w:val="00F03C52"/>
    <w:rsid w:val="00F04FA9"/>
    <w:rsid w:val="00F05854"/>
    <w:rsid w:val="00F05D2E"/>
    <w:rsid w:val="00F079B9"/>
    <w:rsid w:val="00F111E0"/>
    <w:rsid w:val="00F1156D"/>
    <w:rsid w:val="00F11E5E"/>
    <w:rsid w:val="00F146DB"/>
    <w:rsid w:val="00F176B3"/>
    <w:rsid w:val="00F21CA2"/>
    <w:rsid w:val="00F21F16"/>
    <w:rsid w:val="00F2255F"/>
    <w:rsid w:val="00F23C41"/>
    <w:rsid w:val="00F27203"/>
    <w:rsid w:val="00F30277"/>
    <w:rsid w:val="00F33D1E"/>
    <w:rsid w:val="00F36F63"/>
    <w:rsid w:val="00F37DB4"/>
    <w:rsid w:val="00F41DED"/>
    <w:rsid w:val="00F45A64"/>
    <w:rsid w:val="00F4674A"/>
    <w:rsid w:val="00F51909"/>
    <w:rsid w:val="00F51D8A"/>
    <w:rsid w:val="00F543AB"/>
    <w:rsid w:val="00F54C8B"/>
    <w:rsid w:val="00F55369"/>
    <w:rsid w:val="00F56D86"/>
    <w:rsid w:val="00F575BD"/>
    <w:rsid w:val="00F608FD"/>
    <w:rsid w:val="00F61194"/>
    <w:rsid w:val="00F61898"/>
    <w:rsid w:val="00F62E01"/>
    <w:rsid w:val="00F636F4"/>
    <w:rsid w:val="00F65FCD"/>
    <w:rsid w:val="00F66ABA"/>
    <w:rsid w:val="00F70AAF"/>
    <w:rsid w:val="00F71FC2"/>
    <w:rsid w:val="00F73246"/>
    <w:rsid w:val="00F73ED3"/>
    <w:rsid w:val="00F80A8F"/>
    <w:rsid w:val="00F81D38"/>
    <w:rsid w:val="00F823CD"/>
    <w:rsid w:val="00F82C3F"/>
    <w:rsid w:val="00F85CDA"/>
    <w:rsid w:val="00F874B1"/>
    <w:rsid w:val="00F96AB8"/>
    <w:rsid w:val="00FA055C"/>
    <w:rsid w:val="00FA0C86"/>
    <w:rsid w:val="00FA0FB7"/>
    <w:rsid w:val="00FA1541"/>
    <w:rsid w:val="00FA4A0D"/>
    <w:rsid w:val="00FA4CE9"/>
    <w:rsid w:val="00FA6887"/>
    <w:rsid w:val="00FA6CDE"/>
    <w:rsid w:val="00FB141F"/>
    <w:rsid w:val="00FB7226"/>
    <w:rsid w:val="00FC0169"/>
    <w:rsid w:val="00FC4DE5"/>
    <w:rsid w:val="00FC6593"/>
    <w:rsid w:val="00FD1680"/>
    <w:rsid w:val="00FD29B0"/>
    <w:rsid w:val="00FD3EE7"/>
    <w:rsid w:val="00FD48C9"/>
    <w:rsid w:val="00FD5838"/>
    <w:rsid w:val="00FD58AF"/>
    <w:rsid w:val="00FE174D"/>
    <w:rsid w:val="00FE2C4A"/>
    <w:rsid w:val="00FE3536"/>
    <w:rsid w:val="00FE3B28"/>
    <w:rsid w:val="00FE3F00"/>
    <w:rsid w:val="00FE58E3"/>
    <w:rsid w:val="00FF0706"/>
    <w:rsid w:val="00FF255E"/>
    <w:rsid w:val="00FF44BE"/>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7056FE"/>
  <w15:docId w15:val="{BD98CB58-C360-4717-9F82-ECF98B4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42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2A12"/>
    <w:rPr>
      <w:color w:val="605E5C"/>
      <w:shd w:val="clear" w:color="auto" w:fill="E1DFDD"/>
    </w:rPr>
  </w:style>
  <w:style w:type="paragraph" w:styleId="NormalWeb">
    <w:name w:val="Normal (Web)"/>
    <w:basedOn w:val="Normal"/>
    <w:uiPriority w:val="99"/>
    <w:semiHidden/>
    <w:rsid w:val="001E62E1"/>
    <w:pPr>
      <w:spacing w:before="120" w:after="0" w:line="240" w:lineRule="auto"/>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BA79B9"/>
  </w:style>
  <w:style w:type="paragraph" w:styleId="NoSpacing">
    <w:name w:val="No Spacing"/>
    <w:uiPriority w:val="1"/>
    <w:qFormat/>
    <w:rsid w:val="004838D3"/>
    <w:rPr>
      <w:rFonts w:cs="Calibri"/>
      <w:sz w:val="22"/>
      <w:szCs w:val="22"/>
      <w:lang w:eastAsia="en-US"/>
    </w:rPr>
  </w:style>
  <w:style w:type="paragraph" w:customStyle="1" w:styleId="Stilsparskats">
    <w:name w:val="Stils_parskats"/>
    <w:basedOn w:val="Normal"/>
    <w:link w:val="StilsparskatsChar"/>
    <w:qFormat/>
    <w:rsid w:val="00C32E60"/>
    <w:pPr>
      <w:spacing w:after="120" w:line="240" w:lineRule="auto"/>
      <w:ind w:firstLine="567"/>
      <w:jc w:val="both"/>
    </w:pPr>
    <w:rPr>
      <w:rFonts w:ascii="Times New Roman" w:eastAsia="Times New Roman" w:hAnsi="Times New Roman" w:cs="Times New Roman"/>
      <w:sz w:val="24"/>
      <w:szCs w:val="24"/>
      <w:lang w:eastAsia="lv-LV"/>
    </w:rPr>
  </w:style>
  <w:style w:type="character" w:customStyle="1" w:styleId="StilsparskatsChar">
    <w:name w:val="Stils_parskats Char"/>
    <w:link w:val="Stilsparskats"/>
    <w:rsid w:val="00C32E60"/>
    <w:rPr>
      <w:rFonts w:ascii="Times New Roman" w:eastAsia="Times New Roman" w:hAnsi="Times New Roman"/>
      <w:sz w:val="24"/>
      <w:szCs w:val="24"/>
    </w:rPr>
  </w:style>
  <w:style w:type="table" w:styleId="PlainTable3">
    <w:name w:val="Plain Table 3"/>
    <w:basedOn w:val="TableNormal"/>
    <w:uiPriority w:val="43"/>
    <w:rsid w:val="00D608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070CE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4360072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569656394">
      <w:bodyDiv w:val="1"/>
      <w:marLeft w:val="0"/>
      <w:marRight w:val="0"/>
      <w:marTop w:val="0"/>
      <w:marBottom w:val="0"/>
      <w:divBdr>
        <w:top w:val="none" w:sz="0" w:space="0" w:color="auto"/>
        <w:left w:val="none" w:sz="0" w:space="0" w:color="auto"/>
        <w:bottom w:val="none" w:sz="0" w:space="0" w:color="auto"/>
        <w:right w:val="none" w:sz="0" w:space="0" w:color="auto"/>
      </w:divBdr>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657807279">
      <w:bodyDiv w:val="1"/>
      <w:marLeft w:val="0"/>
      <w:marRight w:val="0"/>
      <w:marTop w:val="0"/>
      <w:marBottom w:val="0"/>
      <w:divBdr>
        <w:top w:val="none" w:sz="0" w:space="0" w:color="auto"/>
        <w:left w:val="none" w:sz="0" w:space="0" w:color="auto"/>
        <w:bottom w:val="none" w:sz="0" w:space="0" w:color="auto"/>
        <w:right w:val="none" w:sz="0" w:space="0" w:color="auto"/>
      </w:divBdr>
    </w:div>
    <w:div w:id="664824579">
      <w:bodyDiv w:val="1"/>
      <w:marLeft w:val="0"/>
      <w:marRight w:val="0"/>
      <w:marTop w:val="0"/>
      <w:marBottom w:val="0"/>
      <w:divBdr>
        <w:top w:val="none" w:sz="0" w:space="0" w:color="auto"/>
        <w:left w:val="none" w:sz="0" w:space="0" w:color="auto"/>
        <w:bottom w:val="none" w:sz="0" w:space="0" w:color="auto"/>
        <w:right w:val="none" w:sz="0" w:space="0" w:color="auto"/>
      </w:divBdr>
    </w:div>
    <w:div w:id="707410177">
      <w:bodyDiv w:val="1"/>
      <w:marLeft w:val="0"/>
      <w:marRight w:val="0"/>
      <w:marTop w:val="0"/>
      <w:marBottom w:val="0"/>
      <w:divBdr>
        <w:top w:val="none" w:sz="0" w:space="0" w:color="auto"/>
        <w:left w:val="none" w:sz="0" w:space="0" w:color="auto"/>
        <w:bottom w:val="none" w:sz="0" w:space="0" w:color="auto"/>
        <w:right w:val="none" w:sz="0" w:space="0" w:color="auto"/>
      </w:divBdr>
    </w:div>
    <w:div w:id="859322056">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1670405858">
      <w:bodyDiv w:val="1"/>
      <w:marLeft w:val="0"/>
      <w:marRight w:val="0"/>
      <w:marTop w:val="0"/>
      <w:marBottom w:val="0"/>
      <w:divBdr>
        <w:top w:val="none" w:sz="0" w:space="0" w:color="auto"/>
        <w:left w:val="none" w:sz="0" w:space="0" w:color="auto"/>
        <w:bottom w:val="none" w:sz="0" w:space="0" w:color="auto"/>
        <w:right w:val="none" w:sz="0" w:space="0" w:color="auto"/>
      </w:divBdr>
    </w:div>
    <w:div w:id="1748918486">
      <w:bodyDiv w:val="1"/>
      <w:marLeft w:val="0"/>
      <w:marRight w:val="0"/>
      <w:marTop w:val="0"/>
      <w:marBottom w:val="0"/>
      <w:divBdr>
        <w:top w:val="none" w:sz="0" w:space="0" w:color="auto"/>
        <w:left w:val="none" w:sz="0" w:space="0" w:color="auto"/>
        <w:bottom w:val="none" w:sz="0" w:space="0" w:color="auto"/>
        <w:right w:val="none" w:sz="0" w:space="0" w:color="auto"/>
      </w:divBdr>
    </w:div>
    <w:div w:id="1752502924">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A59D-8B98-4F0B-92DE-692B02BF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3231</Words>
  <Characters>21161</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Grozījumi Ministru kabineta 2019. gada 23. jūlija rīkojumā Nr. 385</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23. jūlija rīkojumā Nr. 385“Par Satiksmes ministrijas ilgtermiņa saistībām jauno elektrovilcienu projekta īstenošanai””</dc:title>
  <dc:creator>Ineta Vula</dc:creator>
  <cp:keywords>Anotācija</cp:keywords>
  <dc:description>Grīnvalde  67028373
kristine.grinvalde@sam.gov.lv</dc:description>
  <cp:lastModifiedBy>Baiba Jirgena</cp:lastModifiedBy>
  <cp:revision>4</cp:revision>
  <cp:lastPrinted>2020-09-07T08:41:00Z</cp:lastPrinted>
  <dcterms:created xsi:type="dcterms:W3CDTF">2020-12-07T06:50:00Z</dcterms:created>
  <dcterms:modified xsi:type="dcterms:W3CDTF">2020-12-08T14:59:00Z</dcterms:modified>
</cp:coreProperties>
</file>