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00AD2E8E" w:rsidP="00857DEC" w:rsidRDefault="000A531F" w14:paraId="1D4723AD" w14:textId="77777777">
      <w:pPr>
        <w:jc w:val="center"/>
        <w:rPr>
          <w:b/>
          <w:sz w:val="28"/>
          <w:szCs w:val="28"/>
        </w:rPr>
      </w:pPr>
      <w:r w:rsidRPr="00AA30C8">
        <w:rPr>
          <w:b/>
          <w:sz w:val="28"/>
          <w:szCs w:val="28"/>
        </w:rPr>
        <w:t>„</w:t>
      </w:r>
      <w:bookmarkStart w:name="_Hlk8293146" w:id="1"/>
      <w:r w:rsidRPr="00857DEC" w:rsidR="00857DEC">
        <w:rPr>
          <w:b/>
          <w:sz w:val="28"/>
          <w:szCs w:val="28"/>
        </w:rPr>
        <w:t xml:space="preserve">Par Ozolnieku novada pašvaldības nekustamo īpašumu Ozolnieku pagastā, </w:t>
      </w:r>
    </w:p>
    <w:p w:rsidRPr="00857DEC" w:rsidR="000A531F" w:rsidP="00857DEC" w:rsidRDefault="00857DEC" w14:paraId="458B585A" w14:textId="41C0D20D">
      <w:pPr>
        <w:jc w:val="center"/>
        <w:rPr>
          <w:b/>
          <w:sz w:val="26"/>
          <w:szCs w:val="26"/>
        </w:rPr>
      </w:pPr>
      <w:r w:rsidRPr="00857DEC">
        <w:rPr>
          <w:b/>
          <w:sz w:val="28"/>
          <w:szCs w:val="28"/>
        </w:rPr>
        <w:t>Ozolnieku novadā, pārņemšanu valsts īpašumā</w:t>
      </w:r>
      <w:bookmarkEnd w:id="1"/>
      <w:r w:rsidR="00AD11BD">
        <w:rPr>
          <w:b/>
          <w:sz w:val="28"/>
          <w:szCs w:val="28"/>
        </w:rPr>
        <w:t xml:space="preserve">” </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06B04" w:rsidP="00390339" w:rsidRDefault="00A06B04" w14:paraId="640F418F" w14:textId="77777777">
      <w:pPr>
        <w:jc w:val="center"/>
        <w:rPr>
          <w:b/>
        </w:rPr>
      </w:pPr>
    </w:p>
    <w:p w:rsidRPr="0053729A" w:rsidR="000A531F" w:rsidP="00390339" w:rsidRDefault="000A531F" w14:paraId="0C266C57" w14:textId="517A8363">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6A50AEBA">
            <w:r w:rsidRPr="003E112E">
              <w:t xml:space="preserve"> </w:t>
            </w:r>
            <w:r w:rsidR="00C00671">
              <w:t>20</w:t>
            </w:r>
            <w:r w:rsidR="00287132">
              <w:t>21. gada 18. janvāris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E91313" w14:paraId="11A709A3" w14:textId="612BD280">
            <w:r>
              <w:t>Finanšu mi</w:t>
            </w:r>
            <w:r w:rsidR="00C24205">
              <w:t>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287132" w:rsidP="00390339" w:rsidRDefault="00287132" w14:paraId="25300080" w14:textId="77777777">
      <w:pPr>
        <w:pStyle w:val="naisf"/>
        <w:spacing w:before="0" w:after="0"/>
        <w:ind w:firstLine="0"/>
        <w:jc w:val="center"/>
        <w:rPr>
          <w:b/>
          <w:sz w:val="28"/>
          <w:szCs w:val="28"/>
        </w:rPr>
      </w:pPr>
    </w:p>
    <w:p w:rsidR="00287132" w:rsidP="00390339" w:rsidRDefault="00287132" w14:paraId="573E3E90" w14:textId="77777777">
      <w:pPr>
        <w:pStyle w:val="naisf"/>
        <w:spacing w:before="0" w:after="0"/>
        <w:ind w:firstLine="0"/>
        <w:jc w:val="center"/>
        <w:rPr>
          <w:b/>
          <w:sz w:val="28"/>
          <w:szCs w:val="28"/>
        </w:rPr>
      </w:pPr>
    </w:p>
    <w:p w:rsidR="00C73711" w:rsidP="00390339" w:rsidRDefault="000A531F" w14:paraId="7FB632DB" w14:textId="3D8FF888">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014"/>
        <w:gridCol w:w="5783"/>
        <w:gridCol w:w="2580"/>
        <w:gridCol w:w="3122"/>
      </w:tblGrid>
      <w:tr w:rsidR="005D403F" w:rsidTr="00C04CD1"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014"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5783"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580"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122"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C04CD1"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2014" w:type="dxa"/>
          </w:tcPr>
          <w:p w:rsidR="00BC2DDD" w:rsidP="00305A13" w:rsidRDefault="00AD2E8E" w14:paraId="24E64D93" w14:textId="6FB3B8F8">
            <w:pPr>
              <w:jc w:val="both"/>
              <w:rPr>
                <w:lang w:eastAsia="ko-KR"/>
              </w:rPr>
            </w:pPr>
            <w:r>
              <w:rPr>
                <w:lang w:eastAsia="ko-KR"/>
              </w:rPr>
              <w:t xml:space="preserve">Rīkojuma projekta </w:t>
            </w:r>
            <w:r w:rsidR="00BC2DDD">
              <w:rPr>
                <w:lang w:eastAsia="ko-KR"/>
              </w:rPr>
              <w:t xml:space="preserve">anotācijas I sadaļas </w:t>
            </w:r>
            <w:r w:rsidR="00305A13">
              <w:rPr>
                <w:lang w:eastAsia="ko-KR"/>
              </w:rPr>
              <w:t>2.</w:t>
            </w:r>
            <w:r w:rsidR="00BC2DDD">
              <w:rPr>
                <w:lang w:eastAsia="ko-KR"/>
              </w:rPr>
              <w:t>punkts.</w:t>
            </w:r>
          </w:p>
          <w:p w:rsidR="00491E1F" w:rsidP="00491E1F" w:rsidRDefault="00491E1F" w14:paraId="1A4FA300" w14:textId="55221ED5">
            <w:pPr>
              <w:jc w:val="both"/>
              <w:rPr>
                <w:lang w:eastAsia="ko-KR"/>
              </w:rPr>
            </w:pPr>
          </w:p>
        </w:tc>
        <w:tc>
          <w:tcPr>
            <w:tcW w:w="5783" w:type="dxa"/>
          </w:tcPr>
          <w:p w:rsidRPr="004D4836" w:rsidR="00AD11BD" w:rsidP="00AD2E8E" w:rsidRDefault="00F34EE4" w14:paraId="1A74AF82" w14:textId="77777777">
            <w:pPr>
              <w:ind w:right="11" w:firstLine="709"/>
              <w:contextualSpacing/>
              <w:jc w:val="center"/>
              <w:rPr>
                <w:b/>
              </w:rPr>
            </w:pPr>
            <w:r w:rsidRPr="004D4836">
              <w:rPr>
                <w:b/>
              </w:rPr>
              <w:t>Finanšu ministrija</w:t>
            </w:r>
          </w:p>
          <w:p w:rsidRPr="004D4836" w:rsidR="004D4836" w:rsidP="004D4836" w:rsidRDefault="004D4836" w14:paraId="790649C2" w14:textId="77777777">
            <w:pPr>
              <w:pStyle w:val="ListParagraph"/>
              <w:numPr>
                <w:ilvl w:val="0"/>
                <w:numId w:val="2"/>
              </w:numPr>
              <w:tabs>
                <w:tab w:val="left" w:pos="993"/>
              </w:tabs>
              <w:ind w:left="0" w:firstLine="709"/>
              <w:contextualSpacing w:val="0"/>
              <w:jc w:val="both"/>
            </w:pPr>
            <w:r w:rsidRPr="004D4836">
              <w:t>Ar rīkojuma projektu paredzēts pārņemt valsts īpašumā Satiksmes ministrijas valdījumā Ozolnieku novada pašvaldības īpašumā esošus nekustamos īpašumus. Atbilstoši rīkojuma projekta anotācijā norādītājam minētie nekustamie īpašumi nepieciešami būvprojekta “Valsts reģionālā autoceļa P100 Jelgava-</w:t>
            </w:r>
            <w:proofErr w:type="spellStart"/>
            <w:r w:rsidRPr="004D4836">
              <w:t>Dalbe</w:t>
            </w:r>
            <w:proofErr w:type="spellEnd"/>
            <w:r w:rsidRPr="004D4836">
              <w:t xml:space="preserve"> un Eglaines/Skolas ielas krustojumā Ozolniekos” īstenošanai.</w:t>
            </w:r>
          </w:p>
          <w:p w:rsidRPr="00C04CD1" w:rsidR="00F34EE4" w:rsidP="00C04CD1" w:rsidRDefault="004D4836" w14:paraId="724A8C63" w14:textId="2F2CE8BC">
            <w:pPr>
              <w:pStyle w:val="ListParagraph"/>
              <w:ind w:left="0" w:firstLine="720"/>
              <w:jc w:val="both"/>
            </w:pPr>
            <w:r w:rsidRPr="004D4836">
              <w:t xml:space="preserve">Ozolnieku novada domes 16.08.2018. lēmuma 2.punktā noteikts, ka atļauj veikt apbūvi būvprojekta “Valsts reģionālā autoceļa P100 Jelgava – </w:t>
            </w:r>
            <w:proofErr w:type="spellStart"/>
            <w:r w:rsidRPr="004D4836">
              <w:t>Dalbe</w:t>
            </w:r>
            <w:proofErr w:type="spellEnd"/>
            <w:r w:rsidRPr="004D4836">
              <w:t xml:space="preserve"> un Eglaines/ Skolas ielas krustojumā Ozolniekos” īstenošanai pirms nododamo īpašumu atsavināšanas procesa pabeigšanas”. Ievērojot minēto, lūdzam, tiesiskās skaidrības nodrošināšanai, rīkojuma projekta anotācijā skaidrot, vai ir uzsāktas kādas darbības pārbūves īstenošanai.  </w:t>
            </w:r>
          </w:p>
        </w:tc>
        <w:tc>
          <w:tcPr>
            <w:tcW w:w="2580" w:type="dxa"/>
          </w:tcPr>
          <w:p w:rsidRPr="007F5237" w:rsidR="00D56442" w:rsidP="00C04CD1" w:rsidRDefault="00C04CD1" w14:paraId="4F11965E" w14:textId="5CCBEF90">
            <w:pPr>
              <w:pStyle w:val="naisf"/>
              <w:spacing w:before="0" w:after="0"/>
              <w:ind w:firstLine="0"/>
              <w:jc w:val="center"/>
              <w:rPr>
                <w:b/>
                <w:bCs/>
              </w:rPr>
            </w:pPr>
            <w:r>
              <w:rPr>
                <w:b/>
                <w:bCs/>
              </w:rPr>
              <w:t>Iebildums ņemts vērā</w:t>
            </w:r>
            <w:r w:rsidR="00305A13">
              <w:rPr>
                <w:b/>
                <w:bCs/>
              </w:rPr>
              <w:t>.</w:t>
            </w:r>
          </w:p>
        </w:tc>
        <w:tc>
          <w:tcPr>
            <w:tcW w:w="3122" w:type="dxa"/>
          </w:tcPr>
          <w:p w:rsidRPr="00287132" w:rsidR="005B7B05" w:rsidP="00491E1F" w:rsidRDefault="007302C7" w14:paraId="2BB4635D" w14:textId="03108B6C">
            <w:pPr>
              <w:jc w:val="both"/>
            </w:pPr>
            <w:r w:rsidRPr="007302C7">
              <w:rPr>
                <w:lang w:eastAsia="ko-KR"/>
              </w:rPr>
              <w:t>Papildināts rīkojuma projekta anotācijas I sadaļas 2. punkts ar teikumu šādā redakcijā:</w:t>
            </w:r>
            <w:r w:rsidRPr="007302C7">
              <w:rPr>
                <w:lang w:eastAsia="ko-KR"/>
              </w:rPr>
              <w:t xml:space="preserve"> </w:t>
            </w:r>
            <w:r w:rsidR="00581188">
              <w:t>“</w:t>
            </w:r>
            <w:r w:rsidRPr="00287132" w:rsidR="00076A77">
              <w:t>Būvprojekts “Valsts reģionālā autoceļa P100 Jelgava-</w:t>
            </w:r>
            <w:proofErr w:type="spellStart"/>
            <w:r w:rsidRPr="00287132" w:rsidR="00076A77">
              <w:t>Dalbe</w:t>
            </w:r>
            <w:proofErr w:type="spellEnd"/>
            <w:r w:rsidRPr="00287132" w:rsidR="00076A77">
              <w:t xml:space="preserve"> un Eglaines/Skolas ielas krustojumā Ozolniekos” pabeigts 2019. gadā.</w:t>
            </w:r>
            <w:r w:rsidR="00581188">
              <w:t>”</w:t>
            </w:r>
          </w:p>
        </w:tc>
      </w:tr>
      <w:tr w:rsidR="00D44F99" w:rsidTr="00C04CD1" w14:paraId="55C26A27" w14:textId="77777777">
        <w:tc>
          <w:tcPr>
            <w:tcW w:w="675" w:type="dxa"/>
          </w:tcPr>
          <w:p w:rsidR="00D44F99" w:rsidP="005D403F" w:rsidRDefault="00D44F99" w14:paraId="5CB0EE9D" w14:textId="29CC522E">
            <w:pPr>
              <w:pStyle w:val="naisf"/>
              <w:spacing w:before="0" w:after="0"/>
              <w:ind w:firstLine="0"/>
              <w:jc w:val="center"/>
            </w:pPr>
            <w:r>
              <w:t>2.</w:t>
            </w:r>
          </w:p>
        </w:tc>
        <w:tc>
          <w:tcPr>
            <w:tcW w:w="2014" w:type="dxa"/>
          </w:tcPr>
          <w:p w:rsidR="00D44F99" w:rsidP="00491E1F" w:rsidRDefault="00910235" w14:paraId="0ABEDDB2" w14:textId="502E3B52">
            <w:pPr>
              <w:jc w:val="both"/>
              <w:rPr>
                <w:lang w:eastAsia="ko-KR"/>
              </w:rPr>
            </w:pPr>
            <w:r w:rsidRPr="00910235">
              <w:rPr>
                <w:lang w:eastAsia="ko-KR"/>
              </w:rPr>
              <w:t>Rīkojuma projekta anotācijas I sadaļas 2.punkts.</w:t>
            </w:r>
          </w:p>
        </w:tc>
        <w:tc>
          <w:tcPr>
            <w:tcW w:w="5783" w:type="dxa"/>
          </w:tcPr>
          <w:p w:rsidRPr="00C04CD1" w:rsidR="00D44F99" w:rsidP="00C04CD1" w:rsidRDefault="00C04CD1" w14:paraId="574BB547" w14:textId="2AFA38EF">
            <w:pPr>
              <w:pStyle w:val="ListParagraph"/>
              <w:numPr>
                <w:ilvl w:val="0"/>
                <w:numId w:val="2"/>
              </w:numPr>
              <w:tabs>
                <w:tab w:val="left" w:pos="993"/>
              </w:tabs>
              <w:ind w:left="0" w:firstLine="709"/>
              <w:contextualSpacing w:val="0"/>
              <w:jc w:val="both"/>
            </w:pPr>
            <w:r w:rsidRPr="00C04CD1">
              <w:t xml:space="preserve">Atbilstoši rīkojuma projekta anotācijā norādītajam nekustamajam īpašumam “P100-Iecavas krastmala” (nekustamā īpašuma kadastra Nr. 5466 001 1355) ir noteikts apgrūtinājums: ceļa servitūta teritorija – 0,0146 ha platībā, kā arī zemes vienībai ar kadastra apzīmējumu 5466 001 1331 ir noteikts apgrūtinājums: ceļa servitūta teritorija – 0,0025 ha platībā. Ievērojot minēto, </w:t>
            </w:r>
            <w:r w:rsidRPr="00C04CD1">
              <w:lastRenderedPageBreak/>
              <w:t>lūdzam rīkojuma projekta anotācijā skaidrot minēto apgrūtinājumu ietekmi, ņemot vērā to, ka nekustamie īpašumi no Ozolnieku novada pašvaldības tiek pārņemti būvprojekta “Valsts reģionālā autoceļa P100 Jelgava-</w:t>
            </w:r>
            <w:proofErr w:type="spellStart"/>
            <w:r w:rsidRPr="00C04CD1">
              <w:t>Dalbe</w:t>
            </w:r>
            <w:proofErr w:type="spellEnd"/>
            <w:r w:rsidRPr="00C04CD1">
              <w:t xml:space="preserve"> un Eglaines/Skolas ielas krustojumā Ozolniekos” īstenošanai.</w:t>
            </w:r>
          </w:p>
        </w:tc>
        <w:tc>
          <w:tcPr>
            <w:tcW w:w="2580" w:type="dxa"/>
          </w:tcPr>
          <w:p w:rsidRPr="007F5237" w:rsidR="00D44F99" w:rsidP="00C04CD1" w:rsidRDefault="00C04CD1" w14:paraId="0E7646CD" w14:textId="18A69CF9">
            <w:pPr>
              <w:pStyle w:val="naisf"/>
              <w:spacing w:before="0" w:after="0"/>
              <w:ind w:firstLine="0"/>
              <w:jc w:val="center"/>
              <w:rPr>
                <w:b/>
                <w:bCs/>
              </w:rPr>
            </w:pPr>
            <w:r>
              <w:rPr>
                <w:b/>
                <w:bCs/>
              </w:rPr>
              <w:lastRenderedPageBreak/>
              <w:t>Iebildums ņemts vērā</w:t>
            </w:r>
            <w:r w:rsidR="00910235">
              <w:rPr>
                <w:b/>
                <w:bCs/>
              </w:rPr>
              <w:t>.</w:t>
            </w:r>
          </w:p>
        </w:tc>
        <w:tc>
          <w:tcPr>
            <w:tcW w:w="3122" w:type="dxa"/>
          </w:tcPr>
          <w:p w:rsidR="00910235" w:rsidP="00910235" w:rsidRDefault="007302C7" w14:paraId="5DC3CBCA" w14:textId="736C0036">
            <w:pPr>
              <w:ind w:left="40"/>
              <w:jc w:val="both"/>
              <w:rPr>
                <w:lang w:eastAsia="ko-KR"/>
              </w:rPr>
            </w:pPr>
            <w:r>
              <w:rPr>
                <w:lang w:eastAsia="ko-KR"/>
              </w:rPr>
              <w:t>P</w:t>
            </w:r>
            <w:r w:rsidRPr="00910235">
              <w:rPr>
                <w:lang w:eastAsia="ko-KR"/>
              </w:rPr>
              <w:t>apildināts</w:t>
            </w:r>
            <w:r w:rsidRPr="00910235">
              <w:rPr>
                <w:lang w:eastAsia="ko-KR"/>
              </w:rPr>
              <w:t xml:space="preserve"> </w:t>
            </w:r>
            <w:r>
              <w:rPr>
                <w:lang w:eastAsia="ko-KR"/>
              </w:rPr>
              <w:t>r</w:t>
            </w:r>
            <w:r w:rsidRPr="00910235" w:rsidR="00910235">
              <w:rPr>
                <w:lang w:eastAsia="ko-KR"/>
              </w:rPr>
              <w:t>īkojuma projekta anotācijas I sadaļas 2. punkts ar teikumu šādā redakcijā:</w:t>
            </w:r>
          </w:p>
          <w:p w:rsidRPr="00910235" w:rsidR="00D44F99" w:rsidP="00910235" w:rsidRDefault="00910235" w14:paraId="6A86F06D" w14:textId="4CEB804A">
            <w:pPr>
              <w:ind w:left="40"/>
              <w:jc w:val="both"/>
            </w:pPr>
            <w:r>
              <w:rPr>
                <w:lang w:eastAsia="ko-KR"/>
              </w:rPr>
              <w:t>“</w:t>
            </w:r>
            <w:r w:rsidRPr="00287132" w:rsidR="0019436D">
              <w:t>Minētais apgrūtinājums neietekmē ne būvprojekta “Valsts reģionālā autoceļa P100 Jelgava-</w:t>
            </w:r>
            <w:proofErr w:type="spellStart"/>
            <w:r w:rsidRPr="00287132" w:rsidR="0019436D">
              <w:t>Dalbe</w:t>
            </w:r>
            <w:proofErr w:type="spellEnd"/>
            <w:r w:rsidRPr="00287132" w:rsidR="0019436D">
              <w:t xml:space="preserve"> un </w:t>
            </w:r>
            <w:r w:rsidRPr="00287132" w:rsidR="0019436D">
              <w:lastRenderedPageBreak/>
              <w:t>Eglaines/Skolas ielas krustojumā Ozolniekos” īstenošanu, ne turpmāko īpašuma uzturēšanu.</w:t>
            </w:r>
            <w:r>
              <w:t>”</w:t>
            </w:r>
          </w:p>
        </w:tc>
      </w:tr>
    </w:tbl>
    <w:p w:rsidR="002E3DBA" w:rsidP="000A531F" w:rsidRDefault="002E3DBA" w14:paraId="6DD613F6" w14:textId="2E5284BC">
      <w:pPr>
        <w:jc w:val="both"/>
      </w:pPr>
    </w:p>
    <w:p w:rsidR="00521F29" w:rsidP="000A531F" w:rsidRDefault="00521F29" w14:paraId="2EBAE41C"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296CC5" w14:paraId="448E9A74" w14:textId="23113AD1">
      <w:pPr>
        <w:jc w:val="both"/>
      </w:pPr>
      <w:r>
        <w:t>Anda Dundure</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314F617F">
      <w:pPr>
        <w:jc w:val="both"/>
      </w:pPr>
      <w:r w:rsidRPr="00EA0FF1">
        <w:t>Tālr.67028</w:t>
      </w:r>
      <w:r w:rsidR="00641A95">
        <w:t>249</w:t>
      </w:r>
      <w:r w:rsidRPr="00EA0FF1" w:rsidR="000A531F">
        <w:t xml:space="preserve">, e-pasts: </w:t>
      </w:r>
      <w:r w:rsidR="00520A44">
        <w:t>anda</w:t>
      </w:r>
      <w:r w:rsidRPr="00EA0FF1">
        <w:t>.</w:t>
      </w:r>
      <w:r w:rsidR="00520A44">
        <w:t>dundure</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753F" w14:textId="194A34C3" w:rsidR="00296CC5" w:rsidRPr="00FC51C5" w:rsidRDefault="00296CC5" w:rsidP="00296CC5">
    <w:pPr>
      <w:jc w:val="both"/>
      <w:rPr>
        <w:bCs/>
        <w:sz w:val="20"/>
        <w:szCs w:val="20"/>
        <w:lang w:eastAsia="ko-KR"/>
      </w:rPr>
    </w:pPr>
    <w:r>
      <w:rPr>
        <w:sz w:val="20"/>
        <w:szCs w:val="20"/>
      </w:rPr>
      <w:t>SMizz_</w:t>
    </w:r>
    <w:r w:rsidR="00287132">
      <w:rPr>
        <w:sz w:val="20"/>
        <w:szCs w:val="20"/>
      </w:rPr>
      <w:t>26</w:t>
    </w:r>
    <w:r>
      <w:rPr>
        <w:sz w:val="20"/>
        <w:szCs w:val="20"/>
      </w:rPr>
      <w:t>0121_VSS-1058</w:t>
    </w:r>
  </w:p>
  <w:p w14:paraId="0E9B010F" w14:textId="77777777" w:rsidR="00013AD7" w:rsidRPr="00570BB9" w:rsidRDefault="007302C7"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DCBDF26" w:rsidR="00EA4FB1" w:rsidRPr="00FC51C5" w:rsidRDefault="008D3595" w:rsidP="00EA4FB1">
    <w:pPr>
      <w:jc w:val="both"/>
      <w:rPr>
        <w:bCs/>
        <w:sz w:val="20"/>
        <w:szCs w:val="20"/>
        <w:lang w:eastAsia="ko-KR"/>
      </w:rPr>
    </w:pPr>
    <w:r>
      <w:rPr>
        <w:sz w:val="20"/>
        <w:szCs w:val="20"/>
      </w:rPr>
      <w:t>SMi</w:t>
    </w:r>
    <w:r w:rsidR="00E9372F">
      <w:rPr>
        <w:sz w:val="20"/>
        <w:szCs w:val="20"/>
      </w:rPr>
      <w:t>zz_</w:t>
    </w:r>
    <w:r w:rsidR="00287132">
      <w:rPr>
        <w:sz w:val="20"/>
        <w:szCs w:val="20"/>
      </w:rPr>
      <w:t>26</w:t>
    </w:r>
    <w:r w:rsidR="00296CC5">
      <w:rPr>
        <w:sz w:val="20"/>
        <w:szCs w:val="20"/>
      </w:rPr>
      <w:t>0121_VSS-1058</w:t>
    </w:r>
  </w:p>
  <w:p w14:paraId="71D70F49" w14:textId="77777777" w:rsidR="00E65AF3" w:rsidRPr="00E15A76" w:rsidRDefault="00E65AF3" w:rsidP="00E65AF3">
    <w:pPr>
      <w:jc w:val="both"/>
      <w:rPr>
        <w:bCs/>
        <w:sz w:val="20"/>
        <w:szCs w:val="20"/>
      </w:rPr>
    </w:pPr>
  </w:p>
  <w:p w14:paraId="627254F6" w14:textId="77777777" w:rsidR="00013AD7" w:rsidRPr="0022701B" w:rsidRDefault="007302C7"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7302C7"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7302C7"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577E0C"/>
    <w:multiLevelType w:val="hybridMultilevel"/>
    <w:tmpl w:val="5EFEC8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1886944"/>
    <w:multiLevelType w:val="hybridMultilevel"/>
    <w:tmpl w:val="1EFC0AA2"/>
    <w:lvl w:ilvl="0" w:tplc="BB50835E">
      <w:numFmt w:val="bullet"/>
      <w:lvlText w:val="-"/>
      <w:lvlJc w:val="left"/>
      <w:pPr>
        <w:ind w:left="643" w:hanging="360"/>
      </w:pPr>
      <w:rPr>
        <w:rFonts w:ascii="Times New Roman" w:eastAsia="Times New Roman" w:hAnsi="Times New Roman" w:cs="Times New Roman" w:hint="default"/>
      </w:rPr>
    </w:lvl>
    <w:lvl w:ilvl="1" w:tplc="04260003">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064F"/>
    <w:rsid w:val="00036659"/>
    <w:rsid w:val="00054FE8"/>
    <w:rsid w:val="0006139E"/>
    <w:rsid w:val="000661E6"/>
    <w:rsid w:val="00076A77"/>
    <w:rsid w:val="000A39DD"/>
    <w:rsid w:val="000A531F"/>
    <w:rsid w:val="000B045E"/>
    <w:rsid w:val="000B5ECF"/>
    <w:rsid w:val="000F14A8"/>
    <w:rsid w:val="00110F5C"/>
    <w:rsid w:val="00120338"/>
    <w:rsid w:val="00120A54"/>
    <w:rsid w:val="0013486B"/>
    <w:rsid w:val="00136416"/>
    <w:rsid w:val="001616A0"/>
    <w:rsid w:val="00161C98"/>
    <w:rsid w:val="00180E9A"/>
    <w:rsid w:val="00185895"/>
    <w:rsid w:val="001914B9"/>
    <w:rsid w:val="0019436D"/>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132"/>
    <w:rsid w:val="00287A40"/>
    <w:rsid w:val="00290A24"/>
    <w:rsid w:val="00296CC5"/>
    <w:rsid w:val="002D588B"/>
    <w:rsid w:val="002D7A98"/>
    <w:rsid w:val="002E3DBA"/>
    <w:rsid w:val="002E51C4"/>
    <w:rsid w:val="00302611"/>
    <w:rsid w:val="00304936"/>
    <w:rsid w:val="00305A13"/>
    <w:rsid w:val="00307E7E"/>
    <w:rsid w:val="003101D8"/>
    <w:rsid w:val="00326543"/>
    <w:rsid w:val="003501C0"/>
    <w:rsid w:val="003712CD"/>
    <w:rsid w:val="00390339"/>
    <w:rsid w:val="003B1972"/>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0480"/>
    <w:rsid w:val="004911C0"/>
    <w:rsid w:val="00491E1F"/>
    <w:rsid w:val="0049672C"/>
    <w:rsid w:val="004A3325"/>
    <w:rsid w:val="004A4217"/>
    <w:rsid w:val="004D4836"/>
    <w:rsid w:val="004F65A9"/>
    <w:rsid w:val="005023AC"/>
    <w:rsid w:val="00506860"/>
    <w:rsid w:val="00511A74"/>
    <w:rsid w:val="00517539"/>
    <w:rsid w:val="00520A44"/>
    <w:rsid w:val="00521F29"/>
    <w:rsid w:val="00523477"/>
    <w:rsid w:val="0053729A"/>
    <w:rsid w:val="00546049"/>
    <w:rsid w:val="00557845"/>
    <w:rsid w:val="00557BA5"/>
    <w:rsid w:val="005617F5"/>
    <w:rsid w:val="00562EF2"/>
    <w:rsid w:val="00567ED8"/>
    <w:rsid w:val="0057339C"/>
    <w:rsid w:val="005776CA"/>
    <w:rsid w:val="00580CD2"/>
    <w:rsid w:val="00581188"/>
    <w:rsid w:val="005A5CE7"/>
    <w:rsid w:val="005B5C10"/>
    <w:rsid w:val="005B7B05"/>
    <w:rsid w:val="005C28F5"/>
    <w:rsid w:val="005D403F"/>
    <w:rsid w:val="005F3723"/>
    <w:rsid w:val="005F3BB5"/>
    <w:rsid w:val="005F437F"/>
    <w:rsid w:val="005F4B79"/>
    <w:rsid w:val="00602FC3"/>
    <w:rsid w:val="00606571"/>
    <w:rsid w:val="00640D28"/>
    <w:rsid w:val="00641A95"/>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16F47"/>
    <w:rsid w:val="007210AF"/>
    <w:rsid w:val="0072704D"/>
    <w:rsid w:val="007302C7"/>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341D"/>
    <w:rsid w:val="00857BEB"/>
    <w:rsid w:val="00857DEC"/>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10235"/>
    <w:rsid w:val="00930695"/>
    <w:rsid w:val="00940187"/>
    <w:rsid w:val="0094059F"/>
    <w:rsid w:val="00955F6B"/>
    <w:rsid w:val="00961073"/>
    <w:rsid w:val="009637BC"/>
    <w:rsid w:val="009702A1"/>
    <w:rsid w:val="00971B02"/>
    <w:rsid w:val="00974FA1"/>
    <w:rsid w:val="00975516"/>
    <w:rsid w:val="009777E5"/>
    <w:rsid w:val="00977DFB"/>
    <w:rsid w:val="009903D9"/>
    <w:rsid w:val="009D0DE2"/>
    <w:rsid w:val="009D6B36"/>
    <w:rsid w:val="009E765A"/>
    <w:rsid w:val="009E7D11"/>
    <w:rsid w:val="00A06B04"/>
    <w:rsid w:val="00A34347"/>
    <w:rsid w:val="00A36F3C"/>
    <w:rsid w:val="00A67E47"/>
    <w:rsid w:val="00A70AA2"/>
    <w:rsid w:val="00A91A94"/>
    <w:rsid w:val="00AA30C8"/>
    <w:rsid w:val="00AA4796"/>
    <w:rsid w:val="00AA6CE9"/>
    <w:rsid w:val="00AB2D31"/>
    <w:rsid w:val="00AC59EC"/>
    <w:rsid w:val="00AD0322"/>
    <w:rsid w:val="00AD080E"/>
    <w:rsid w:val="00AD11BD"/>
    <w:rsid w:val="00AD2E8E"/>
    <w:rsid w:val="00AD3972"/>
    <w:rsid w:val="00AF7C82"/>
    <w:rsid w:val="00B06A0E"/>
    <w:rsid w:val="00B13F24"/>
    <w:rsid w:val="00B14512"/>
    <w:rsid w:val="00B44F89"/>
    <w:rsid w:val="00B45DE0"/>
    <w:rsid w:val="00B641E0"/>
    <w:rsid w:val="00B65773"/>
    <w:rsid w:val="00B87422"/>
    <w:rsid w:val="00B93C32"/>
    <w:rsid w:val="00BA5981"/>
    <w:rsid w:val="00BA5B5C"/>
    <w:rsid w:val="00BB5CE6"/>
    <w:rsid w:val="00BC0E1F"/>
    <w:rsid w:val="00BC2DDD"/>
    <w:rsid w:val="00BF1B92"/>
    <w:rsid w:val="00BF46D9"/>
    <w:rsid w:val="00BF56C6"/>
    <w:rsid w:val="00C00671"/>
    <w:rsid w:val="00C03748"/>
    <w:rsid w:val="00C04CD1"/>
    <w:rsid w:val="00C24205"/>
    <w:rsid w:val="00C24317"/>
    <w:rsid w:val="00C319A3"/>
    <w:rsid w:val="00C6361E"/>
    <w:rsid w:val="00C708D6"/>
    <w:rsid w:val="00C73711"/>
    <w:rsid w:val="00C759D4"/>
    <w:rsid w:val="00C770D2"/>
    <w:rsid w:val="00C77313"/>
    <w:rsid w:val="00C80A32"/>
    <w:rsid w:val="00C908F5"/>
    <w:rsid w:val="00CA0484"/>
    <w:rsid w:val="00CA590E"/>
    <w:rsid w:val="00CC0355"/>
    <w:rsid w:val="00CD3D34"/>
    <w:rsid w:val="00CD59D2"/>
    <w:rsid w:val="00CD5ABC"/>
    <w:rsid w:val="00CF228A"/>
    <w:rsid w:val="00D17E2B"/>
    <w:rsid w:val="00D201AD"/>
    <w:rsid w:val="00D44F99"/>
    <w:rsid w:val="00D47019"/>
    <w:rsid w:val="00D56442"/>
    <w:rsid w:val="00D56DC4"/>
    <w:rsid w:val="00D66F4C"/>
    <w:rsid w:val="00D84BD2"/>
    <w:rsid w:val="00DA2FA4"/>
    <w:rsid w:val="00DA5A2A"/>
    <w:rsid w:val="00DC28A7"/>
    <w:rsid w:val="00DD7B61"/>
    <w:rsid w:val="00DF3EEC"/>
    <w:rsid w:val="00DF59E7"/>
    <w:rsid w:val="00DF5CFC"/>
    <w:rsid w:val="00E15A76"/>
    <w:rsid w:val="00E41B15"/>
    <w:rsid w:val="00E51EB0"/>
    <w:rsid w:val="00E5280C"/>
    <w:rsid w:val="00E65AF3"/>
    <w:rsid w:val="00E71BDB"/>
    <w:rsid w:val="00E90C3C"/>
    <w:rsid w:val="00E91313"/>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4910"/>
    <w:rsid w:val="00F07B97"/>
    <w:rsid w:val="00F12CA2"/>
    <w:rsid w:val="00F34EE4"/>
    <w:rsid w:val="00F5533C"/>
    <w:rsid w:val="00F57C7D"/>
    <w:rsid w:val="00F62623"/>
    <w:rsid w:val="00F6373F"/>
    <w:rsid w:val="00F73D99"/>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9A88-9072-4700-B10F-8B074F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Ozolnieku novada pašvaldības nekustamo īpašumu Ozolnieku pagastā, Ozolnieku novadā, pārņemšanu valsts īpašumā</vt:lpstr>
      <vt:lpstr>Par Ozolnieku novada pašvaldības nekustamo īpašumu Ozolnieku pagastā, Ozolnieku novadā, pārņemšanu valsts īpašumā</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Ozolnieku novada pašvaldības nekustamo īpašumu Ozolnieku pagastā, Ozolnieku novadā, pārņemšanu valsts īpašumā</dc:title>
  <dc:creator>Anda.dundure@sam.gov.lv;Satiksmes ministrijas Juridiskā departamenta Nekustamo īpašumu nodaļas vecākā referente;tālr. 67028249;VSIA "Latvijas Valsts ceļi" jurists Varis Putāns;67028149;varis.putans@lvceli.lv</dc:creator>
  <cp:keywords>Izziņa par atzinumos sniegtajiem iebidlumiem</cp:keywords>
  <dc:description>varis.putans@lvceli.lv, 67028149; anda.dundure@sam.gov.lv, 67028249</dc:description>
  <cp:lastModifiedBy>Ineta Vula</cp:lastModifiedBy>
  <cp:revision>62</cp:revision>
  <cp:lastPrinted>2018-07-23T10:08:00Z</cp:lastPrinted>
  <dcterms:created xsi:type="dcterms:W3CDTF">2019-12-09T14:00:00Z</dcterms:created>
  <dcterms:modified xsi:type="dcterms:W3CDTF">2021-02-04T11:14:00Z</dcterms:modified>
</cp:coreProperties>
</file>