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15BE" w:rsidR="00954C2F" w:rsidP="005015BE" w:rsidRDefault="007116C7" w14:paraId="3F642F35" w14:textId="6C456DA7">
      <w:pPr>
        <w:jc w:val="center"/>
        <w:rPr>
          <w:b/>
          <w:bCs/>
        </w:rPr>
      </w:pPr>
      <w:bookmarkStart w:name="_GoBack" w:id="0"/>
      <w:bookmarkEnd w:id="0"/>
      <w:r w:rsidRPr="005015BE">
        <w:rPr>
          <w:b/>
          <w:bCs/>
        </w:rPr>
        <w:t>Izziņa par atzinumos sniegtajiem iebildumiem</w:t>
      </w:r>
      <w:r w:rsidRPr="005015BE" w:rsidR="00A34601">
        <w:rPr>
          <w:b/>
          <w:bCs/>
        </w:rPr>
        <w:t xml:space="preserve"> </w:t>
      </w:r>
      <w:r w:rsidRPr="005015BE" w:rsidR="000A5A53">
        <w:rPr>
          <w:b/>
          <w:bCs/>
        </w:rPr>
        <w:t xml:space="preserve">par </w:t>
      </w:r>
      <w:bookmarkStart w:name="_Hlk18939717" w:id="1"/>
      <w:r w:rsidRPr="005015BE" w:rsidR="00BA2615">
        <w:rPr>
          <w:b/>
          <w:bCs/>
        </w:rPr>
        <w:t xml:space="preserve">Ministru kabineta noteikumu projektu </w:t>
      </w:r>
      <w:r w:rsidRPr="005015BE" w:rsidR="000A758E">
        <w:rPr>
          <w:b/>
          <w:bCs/>
        </w:rPr>
        <w:t>"</w:t>
      </w:r>
      <w:r w:rsidRPr="001E3688" w:rsidR="001E3688">
        <w:rPr>
          <w:b/>
          <w:bCs/>
        </w:rPr>
        <w:t>Noteikumi par uzņēmējdarbības riska valsts nodevu 202</w:t>
      </w:r>
      <w:r w:rsidR="008C498F">
        <w:rPr>
          <w:b/>
          <w:bCs/>
        </w:rPr>
        <w:t>1</w:t>
      </w:r>
      <w:r w:rsidRPr="001E3688" w:rsidR="001E3688">
        <w:rPr>
          <w:b/>
          <w:bCs/>
        </w:rPr>
        <w:t>. gadā</w:t>
      </w:r>
      <w:r w:rsidRPr="005015BE" w:rsidR="005015BE">
        <w:rPr>
          <w:b/>
          <w:bCs/>
        </w:rPr>
        <w:t>"</w:t>
      </w:r>
    </w:p>
    <w:bookmarkEnd w:id="1"/>
    <w:p w:rsidRPr="009C1AA1" w:rsidR="00054B6C" w:rsidP="00CE13A3" w:rsidRDefault="00054B6C" w14:paraId="0173CB24" w14:textId="77777777">
      <w:pPr>
        <w:pStyle w:val="naisnod"/>
        <w:spacing w:before="0" w:after="0"/>
        <w:jc w:val="left"/>
        <w:rPr>
          <w:sz w:val="28"/>
          <w:szCs w:val="28"/>
        </w:rPr>
      </w:pPr>
    </w:p>
    <w:p w:rsidRPr="009C1AA1" w:rsidR="00E93DAF" w:rsidP="0074723F" w:rsidRDefault="00E93DAF" w14:paraId="5244D11C" w14:textId="77777777">
      <w:pPr>
        <w:pStyle w:val="naisf"/>
        <w:spacing w:before="0" w:after="0"/>
        <w:ind w:firstLine="0"/>
        <w:jc w:val="center"/>
        <w:outlineLvl w:val="0"/>
        <w:rPr>
          <w:b/>
        </w:rPr>
      </w:pPr>
      <w:r w:rsidRPr="009C1AA1">
        <w:rPr>
          <w:b/>
        </w:rPr>
        <w:t>I. Jautājumi, par kuriem saskaņošanā vienošanās nav panākta</w:t>
      </w:r>
    </w:p>
    <w:p w:rsidRPr="009C1AA1" w:rsidR="00E93DAF" w:rsidP="00E93DAF" w:rsidRDefault="00E93DAF" w14:paraId="3516FF62"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7"/>
        <w:gridCol w:w="3088"/>
        <w:gridCol w:w="3117"/>
        <w:gridCol w:w="2973"/>
        <w:gridCol w:w="2298"/>
        <w:gridCol w:w="2085"/>
      </w:tblGrid>
      <w:tr w:rsidRPr="009C1AA1" w:rsidR="00E93DAF" w:rsidTr="00CE13A3" w14:paraId="4A5E6A27" w14:textId="77777777">
        <w:tc>
          <w:tcPr>
            <w:tcW w:w="707"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4E501A3C" w14:textId="77777777">
            <w:pPr>
              <w:pStyle w:val="naisc"/>
              <w:spacing w:before="0" w:after="0"/>
            </w:pPr>
            <w:r w:rsidRPr="009C1AA1">
              <w:t>Nr. p.k.</w:t>
            </w:r>
          </w:p>
        </w:tc>
        <w:tc>
          <w:tcPr>
            <w:tcW w:w="3088"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720B3C25" w14:textId="77777777">
            <w:pPr>
              <w:pStyle w:val="naisc"/>
              <w:spacing w:before="0" w:after="0"/>
              <w:ind w:firstLine="12"/>
            </w:pPr>
            <w:r w:rsidRPr="009C1AA1">
              <w:t>Saskaņošanai nosūtītā projekta redakcija (konkrēta punkta (panta) redakcija)</w:t>
            </w:r>
          </w:p>
        </w:tc>
        <w:tc>
          <w:tcPr>
            <w:tcW w:w="3117"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340F5B2B" w14:textId="77777777">
            <w:pPr>
              <w:pStyle w:val="naisc"/>
              <w:spacing w:before="0" w:after="0"/>
              <w:ind w:right="3"/>
            </w:pPr>
            <w:r w:rsidRPr="009C1AA1">
              <w:t>Atzinumā norādītais ministrijas (citas institūcijas) iebildums, kā arī saskaņošanā papildus izteiktais iebildums par projekta konkrēto punktu (pantu)</w:t>
            </w:r>
          </w:p>
        </w:tc>
        <w:tc>
          <w:tcPr>
            <w:tcW w:w="2973" w:type="dxa"/>
            <w:tcBorders>
              <w:top w:val="single" w:color="000000" w:sz="6" w:space="0"/>
              <w:left w:val="single" w:color="000000" w:sz="6" w:space="0"/>
              <w:bottom w:val="single" w:color="000000" w:sz="6" w:space="0"/>
              <w:right w:val="single" w:color="000000" w:sz="6" w:space="0"/>
            </w:tcBorders>
            <w:vAlign w:val="center"/>
          </w:tcPr>
          <w:p w:rsidRPr="009C1AA1" w:rsidR="00E93DAF" w:rsidP="00F57D95" w:rsidRDefault="00E93DAF" w14:paraId="4C2940AF" w14:textId="77777777">
            <w:pPr>
              <w:pStyle w:val="naisc"/>
              <w:spacing w:before="0" w:after="0"/>
              <w:ind w:firstLine="21"/>
            </w:pPr>
            <w:r w:rsidRPr="009C1AA1">
              <w:t>Atbildīgās ministrijas pamatojums iebilduma noraidījumam</w:t>
            </w:r>
          </w:p>
        </w:tc>
        <w:tc>
          <w:tcPr>
            <w:tcW w:w="2298" w:type="dxa"/>
            <w:tcBorders>
              <w:top w:val="single" w:color="auto" w:sz="4" w:space="0"/>
              <w:left w:val="single" w:color="auto" w:sz="4" w:space="0"/>
              <w:bottom w:val="single" w:color="auto" w:sz="4" w:space="0"/>
              <w:right w:val="single" w:color="auto" w:sz="4" w:space="0"/>
            </w:tcBorders>
            <w:vAlign w:val="center"/>
          </w:tcPr>
          <w:p w:rsidRPr="009C1AA1" w:rsidR="00E93DAF" w:rsidP="00F57D95" w:rsidRDefault="00E93DAF" w14:paraId="65A35F06" w14:textId="77777777">
            <w:pPr>
              <w:jc w:val="center"/>
            </w:pPr>
            <w:r w:rsidRPr="009C1AA1">
              <w:t>Atzinuma sniedzēja uzturētais iebildums, ja tas atšķiras no atzinumā norādītā iebilduma pamatojuma</w:t>
            </w:r>
          </w:p>
        </w:tc>
        <w:tc>
          <w:tcPr>
            <w:tcW w:w="2085" w:type="dxa"/>
            <w:tcBorders>
              <w:top w:val="single" w:color="auto" w:sz="4" w:space="0"/>
              <w:left w:val="single" w:color="auto" w:sz="4" w:space="0"/>
              <w:bottom w:val="single" w:color="auto" w:sz="4" w:space="0"/>
            </w:tcBorders>
            <w:vAlign w:val="center"/>
          </w:tcPr>
          <w:p w:rsidRPr="009C1AA1" w:rsidR="00E93DAF" w:rsidP="00F57D95" w:rsidRDefault="00E93DAF" w14:paraId="47816722" w14:textId="77777777">
            <w:pPr>
              <w:jc w:val="center"/>
            </w:pPr>
            <w:r w:rsidRPr="009C1AA1">
              <w:t>Projekta attiecīgā punkta (panta) galīgā redakcija</w:t>
            </w:r>
          </w:p>
        </w:tc>
      </w:tr>
      <w:tr w:rsidRPr="009C1AA1" w:rsidR="00E93DAF" w:rsidTr="00CE13A3" w14:paraId="3D87CD1F" w14:textId="77777777">
        <w:tc>
          <w:tcPr>
            <w:tcW w:w="707"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231B3C1A" w14:textId="77777777">
            <w:pPr>
              <w:pStyle w:val="naisc"/>
              <w:spacing w:before="0" w:after="0"/>
              <w:rPr>
                <w:sz w:val="20"/>
                <w:szCs w:val="20"/>
              </w:rPr>
            </w:pPr>
            <w:r w:rsidRPr="009C1AA1">
              <w:rPr>
                <w:sz w:val="20"/>
                <w:szCs w:val="20"/>
              </w:rPr>
              <w:t>1</w:t>
            </w:r>
          </w:p>
        </w:tc>
        <w:tc>
          <w:tcPr>
            <w:tcW w:w="3088" w:type="dxa"/>
            <w:tcBorders>
              <w:top w:val="single" w:color="000000" w:sz="6" w:space="0"/>
              <w:left w:val="single" w:color="000000" w:sz="6" w:space="0"/>
              <w:bottom w:val="single" w:color="000000" w:sz="6" w:space="0"/>
              <w:right w:val="single" w:color="000000" w:sz="6" w:space="0"/>
            </w:tcBorders>
          </w:tcPr>
          <w:p w:rsidRPr="009C1AA1" w:rsidR="00E93DAF" w:rsidP="00F57D95" w:rsidRDefault="00E93DAF" w14:paraId="66DD746E" w14:textId="77777777">
            <w:pPr>
              <w:pStyle w:val="naisc"/>
              <w:spacing w:before="0" w:after="0"/>
              <w:ind w:firstLine="720"/>
              <w:rPr>
                <w:sz w:val="20"/>
                <w:szCs w:val="20"/>
              </w:rPr>
            </w:pPr>
            <w:r w:rsidRPr="009C1AA1">
              <w:rPr>
                <w:sz w:val="20"/>
                <w:szCs w:val="20"/>
              </w:rPr>
              <w:t>2</w:t>
            </w:r>
          </w:p>
        </w:tc>
        <w:tc>
          <w:tcPr>
            <w:tcW w:w="3117" w:type="dxa"/>
            <w:tcBorders>
              <w:top w:val="single" w:color="000000" w:sz="6" w:space="0"/>
              <w:left w:val="single" w:color="000000" w:sz="6" w:space="0"/>
              <w:bottom w:val="single" w:color="000000" w:sz="6" w:space="0"/>
              <w:right w:val="single" w:color="auto" w:sz="4" w:space="0"/>
            </w:tcBorders>
          </w:tcPr>
          <w:p w:rsidRPr="009C1AA1" w:rsidR="00E93DAF" w:rsidP="00F57D95" w:rsidRDefault="00E93DAF" w14:paraId="58C888A2" w14:textId="77777777">
            <w:pPr>
              <w:pStyle w:val="naisc"/>
              <w:spacing w:before="0" w:after="0"/>
              <w:ind w:firstLine="720"/>
              <w:rPr>
                <w:sz w:val="20"/>
                <w:szCs w:val="20"/>
              </w:rPr>
            </w:pPr>
            <w:r w:rsidRPr="009C1AA1">
              <w:rPr>
                <w:sz w:val="20"/>
                <w:szCs w:val="20"/>
              </w:rPr>
              <w:t>3</w:t>
            </w:r>
          </w:p>
        </w:tc>
        <w:tc>
          <w:tcPr>
            <w:tcW w:w="2973" w:type="dxa"/>
            <w:tcBorders>
              <w:top w:val="single" w:color="000000" w:sz="6" w:space="0"/>
              <w:left w:val="single" w:color="auto" w:sz="4" w:space="0"/>
              <w:bottom w:val="single" w:color="000000" w:sz="6" w:space="0"/>
              <w:right w:val="single" w:color="000000" w:sz="6" w:space="0"/>
            </w:tcBorders>
          </w:tcPr>
          <w:p w:rsidRPr="009C1AA1" w:rsidR="00E93DAF" w:rsidP="00F57D95" w:rsidRDefault="00E93DAF" w14:paraId="202EA58A" w14:textId="77777777">
            <w:pPr>
              <w:pStyle w:val="naisc"/>
              <w:spacing w:before="0" w:after="0"/>
              <w:ind w:firstLine="720"/>
              <w:rPr>
                <w:sz w:val="20"/>
                <w:szCs w:val="20"/>
              </w:rPr>
            </w:pPr>
            <w:r w:rsidRPr="009C1AA1">
              <w:rPr>
                <w:sz w:val="20"/>
                <w:szCs w:val="20"/>
              </w:rPr>
              <w:t>4</w:t>
            </w:r>
          </w:p>
        </w:tc>
        <w:tc>
          <w:tcPr>
            <w:tcW w:w="2298" w:type="dxa"/>
            <w:tcBorders>
              <w:top w:val="single" w:color="auto" w:sz="4" w:space="0"/>
              <w:left w:val="single" w:color="auto" w:sz="4" w:space="0"/>
              <w:bottom w:val="single" w:color="auto" w:sz="4" w:space="0"/>
              <w:right w:val="single" w:color="auto" w:sz="4" w:space="0"/>
            </w:tcBorders>
          </w:tcPr>
          <w:p w:rsidRPr="009C1AA1" w:rsidR="00E93DAF" w:rsidP="00F57D95" w:rsidRDefault="00E93DAF" w14:paraId="38916E2F" w14:textId="77777777">
            <w:pPr>
              <w:jc w:val="center"/>
              <w:rPr>
                <w:sz w:val="20"/>
                <w:szCs w:val="20"/>
              </w:rPr>
            </w:pPr>
            <w:r w:rsidRPr="009C1AA1">
              <w:rPr>
                <w:sz w:val="20"/>
                <w:szCs w:val="20"/>
              </w:rPr>
              <w:t>5</w:t>
            </w:r>
          </w:p>
        </w:tc>
        <w:tc>
          <w:tcPr>
            <w:tcW w:w="2085" w:type="dxa"/>
            <w:tcBorders>
              <w:top w:val="single" w:color="auto" w:sz="4" w:space="0"/>
              <w:left w:val="single" w:color="auto" w:sz="4" w:space="0"/>
              <w:bottom w:val="single" w:color="auto" w:sz="4" w:space="0"/>
            </w:tcBorders>
          </w:tcPr>
          <w:p w:rsidRPr="009C1AA1" w:rsidR="00E93DAF" w:rsidP="00F57D95" w:rsidRDefault="00E93DAF" w14:paraId="3E3CCCC1" w14:textId="77777777">
            <w:pPr>
              <w:jc w:val="center"/>
              <w:rPr>
                <w:sz w:val="20"/>
                <w:szCs w:val="20"/>
              </w:rPr>
            </w:pPr>
            <w:r w:rsidRPr="009C1AA1">
              <w:rPr>
                <w:sz w:val="20"/>
                <w:szCs w:val="20"/>
              </w:rPr>
              <w:t>6</w:t>
            </w:r>
          </w:p>
        </w:tc>
      </w:tr>
      <w:tr w:rsidRPr="009C1AA1" w:rsidR="00E47968" w:rsidTr="003C3992" w14:paraId="0FEB1BDA" w14:textId="5CA8E9EE">
        <w:tc>
          <w:tcPr>
            <w:tcW w:w="707" w:type="dxa"/>
            <w:tcBorders>
              <w:left w:val="single" w:color="000000" w:sz="6" w:space="0"/>
              <w:bottom w:val="single" w:color="auto" w:sz="4" w:space="0"/>
              <w:right w:val="single" w:color="auto" w:sz="4" w:space="0"/>
            </w:tcBorders>
          </w:tcPr>
          <w:p w:rsidRPr="009C1AA1" w:rsidR="00E47968" w:rsidP="00A45040" w:rsidRDefault="00E47968" w14:paraId="1DD50344" w14:textId="39A4D6E1">
            <w:pPr>
              <w:jc w:val="center"/>
            </w:pPr>
          </w:p>
        </w:tc>
        <w:tc>
          <w:tcPr>
            <w:tcW w:w="13561" w:type="dxa"/>
            <w:gridSpan w:val="5"/>
            <w:tcBorders>
              <w:left w:val="single" w:color="auto" w:sz="4" w:space="0"/>
              <w:bottom w:val="single" w:color="auto" w:sz="4" w:space="0"/>
            </w:tcBorders>
          </w:tcPr>
          <w:p w:rsidRPr="009C1AA1" w:rsidR="00E47968" w:rsidP="00E47968" w:rsidRDefault="00E47968" w14:paraId="5723494B" w14:textId="5EFE83ED">
            <w:pPr>
              <w:jc w:val="center"/>
            </w:pPr>
            <w:r>
              <w:t>Nav.</w:t>
            </w:r>
          </w:p>
        </w:tc>
      </w:tr>
    </w:tbl>
    <w:p w:rsidR="00E93DAF" w:rsidP="0076678F" w:rsidRDefault="0076678F" w14:paraId="49982CFF" w14:textId="2F620123">
      <w:pPr>
        <w:pStyle w:val="naisnod"/>
        <w:tabs>
          <w:tab w:val="left" w:pos="11400"/>
        </w:tabs>
        <w:spacing w:before="0" w:after="0"/>
        <w:jc w:val="left"/>
        <w:rPr>
          <w:sz w:val="28"/>
          <w:szCs w:val="28"/>
        </w:rPr>
      </w:pPr>
      <w:r>
        <w:rPr>
          <w:sz w:val="28"/>
          <w:szCs w:val="28"/>
        </w:rPr>
        <w:tab/>
      </w:r>
    </w:p>
    <w:p w:rsidRPr="009C1AA1" w:rsidR="00954C2F" w:rsidP="0074723F" w:rsidRDefault="00954C2F" w14:paraId="6E031251" w14:textId="77777777">
      <w:pPr>
        <w:pStyle w:val="naisf"/>
        <w:ind w:firstLine="0"/>
        <w:jc w:val="left"/>
        <w:outlineLvl w:val="0"/>
        <w:rPr>
          <w:b/>
        </w:rPr>
      </w:pPr>
      <w:r w:rsidRPr="009C1AA1">
        <w:rPr>
          <w:b/>
        </w:rPr>
        <w:t>Informācija par starpministriju (starpinstitūciju) sanāksmi vai elektronisko saskaņošanu</w:t>
      </w:r>
    </w:p>
    <w:p w:rsidRPr="003E5955" w:rsidR="00987985" w:rsidP="00954C2F" w:rsidRDefault="00987985" w14:paraId="06E2ABE9" w14:textId="77777777">
      <w:pPr>
        <w:pStyle w:val="naisf"/>
        <w:ind w:firstLine="0"/>
        <w:jc w:val="left"/>
      </w:pPr>
    </w:p>
    <w:p w:rsidRPr="009C1AA1" w:rsidR="000E3B24" w:rsidP="000E3B24" w:rsidRDefault="00954C2F" w14:paraId="12B64F31" w14:textId="18394A73">
      <w:pPr>
        <w:pStyle w:val="naisf"/>
        <w:tabs>
          <w:tab w:val="left" w:pos="4536"/>
        </w:tabs>
        <w:spacing w:before="0" w:after="0"/>
        <w:ind w:left="4530" w:hanging="4530"/>
        <w:outlineLvl w:val="0"/>
        <w:rPr>
          <w:sz w:val="22"/>
        </w:rPr>
      </w:pPr>
      <w:r w:rsidRPr="009C1AA1">
        <w:rPr>
          <w:sz w:val="22"/>
        </w:rPr>
        <w:t>Datums:</w:t>
      </w:r>
      <w:r w:rsidR="00F735DE">
        <w:rPr>
          <w:sz w:val="22"/>
        </w:rPr>
        <w:tab/>
      </w:r>
      <w:r w:rsidR="00F735DE">
        <w:rPr>
          <w:sz w:val="22"/>
        </w:rPr>
        <w:tab/>
      </w:r>
      <w:r w:rsidR="0079330E">
        <w:rPr>
          <w:sz w:val="22"/>
        </w:rPr>
        <w:t>20</w:t>
      </w:r>
      <w:r w:rsidR="00D375C8">
        <w:rPr>
          <w:sz w:val="22"/>
        </w:rPr>
        <w:t>20</w:t>
      </w:r>
      <w:r w:rsidR="0079330E">
        <w:rPr>
          <w:sz w:val="22"/>
        </w:rPr>
        <w:t>. </w:t>
      </w:r>
      <w:r w:rsidRPr="00C656AB" w:rsidR="0079330E">
        <w:rPr>
          <w:sz w:val="22"/>
        </w:rPr>
        <w:t xml:space="preserve">gada </w:t>
      </w:r>
      <w:r w:rsidR="00D375C8">
        <w:rPr>
          <w:sz w:val="22"/>
        </w:rPr>
        <w:t>24</w:t>
      </w:r>
      <w:r w:rsidRPr="00C656AB" w:rsidR="00D17ECE">
        <w:rPr>
          <w:sz w:val="22"/>
        </w:rPr>
        <w:t>. </w:t>
      </w:r>
      <w:r w:rsidRPr="00C656AB" w:rsidR="0079330E">
        <w:rPr>
          <w:sz w:val="22"/>
        </w:rPr>
        <w:t>novembris</w:t>
      </w:r>
      <w:r w:rsidRPr="00C656AB" w:rsidR="00D17ECE">
        <w:rPr>
          <w:sz w:val="22"/>
        </w:rPr>
        <w:t xml:space="preserve"> </w:t>
      </w:r>
      <w:r w:rsidRPr="00C656AB" w:rsidR="000E3B24">
        <w:rPr>
          <w:sz w:val="22"/>
        </w:rPr>
        <w:t>(</w:t>
      </w:r>
      <w:r w:rsidR="000E3B24">
        <w:rPr>
          <w:sz w:val="22"/>
        </w:rPr>
        <w:t>elektroniskā saskaņošana)</w:t>
      </w:r>
    </w:p>
    <w:p w:rsidRPr="009C1AA1" w:rsidR="00651D4A" w:rsidP="005A3316" w:rsidRDefault="00651D4A" w14:paraId="5FCA39CC" w14:textId="3F3C84F5">
      <w:pPr>
        <w:pStyle w:val="naisf"/>
        <w:tabs>
          <w:tab w:val="left" w:pos="4536"/>
        </w:tabs>
        <w:spacing w:before="0" w:after="0"/>
        <w:ind w:left="4530" w:hanging="4530"/>
        <w:outlineLvl w:val="0"/>
      </w:pPr>
    </w:p>
    <w:p w:rsidRPr="003C3AE8" w:rsidR="003C3AE8" w:rsidP="003C3AE8" w:rsidRDefault="00954C2F" w14:paraId="23E143AE" w14:textId="6D8ED677">
      <w:pPr>
        <w:pStyle w:val="naisf"/>
        <w:tabs>
          <w:tab w:val="left" w:pos="4536"/>
        </w:tabs>
        <w:ind w:left="4536" w:hanging="4536"/>
        <w:rPr>
          <w:sz w:val="22"/>
        </w:rPr>
      </w:pPr>
      <w:r w:rsidRPr="009C1AA1">
        <w:rPr>
          <w:sz w:val="22"/>
        </w:rPr>
        <w:t>Saskaņošanas dalībnieki:</w:t>
      </w:r>
      <w:r w:rsidR="00F735DE">
        <w:rPr>
          <w:sz w:val="22"/>
        </w:rPr>
        <w:tab/>
      </w:r>
      <w:r w:rsidRPr="009C1AA1" w:rsidR="003E5EC7">
        <w:rPr>
          <w:sz w:val="22"/>
        </w:rPr>
        <w:t>Finanšu ministrija</w:t>
      </w:r>
      <w:r w:rsidRPr="009C1AA1" w:rsidR="002A7ED3">
        <w:rPr>
          <w:sz w:val="22"/>
        </w:rPr>
        <w:t xml:space="preserve">, </w:t>
      </w:r>
      <w:bookmarkStart w:name="_Hlk519668969" w:id="2"/>
      <w:r w:rsidRPr="0079330E" w:rsidR="0079330E">
        <w:rPr>
          <w:sz w:val="22"/>
        </w:rPr>
        <w:t>Labklājības ministrija, Latvijas Brīvo arodbiedrību savienība</w:t>
      </w:r>
      <w:bookmarkStart w:name="_Hlk25155376" w:id="3"/>
      <w:r w:rsidRPr="0079330E" w:rsidR="0079330E">
        <w:rPr>
          <w:sz w:val="22"/>
        </w:rPr>
        <w:t>, Latvijas Darba devēju konfederācija</w:t>
      </w:r>
      <w:bookmarkEnd w:id="2"/>
      <w:bookmarkEnd w:id="3"/>
      <w:r w:rsidRPr="003C3AE8" w:rsidR="003C3AE8">
        <w:rPr>
          <w:sz w:val="22"/>
        </w:rPr>
        <w:t>.</w:t>
      </w:r>
    </w:p>
    <w:p w:rsidR="007233B5" w:rsidP="0074723F" w:rsidRDefault="007233B5" w14:paraId="776C7CA6" w14:textId="77777777">
      <w:pPr>
        <w:pStyle w:val="naisf"/>
        <w:spacing w:before="0" w:after="0"/>
        <w:ind w:firstLine="0"/>
        <w:outlineLvl w:val="0"/>
        <w:rPr>
          <w:sz w:val="22"/>
        </w:rPr>
      </w:pPr>
    </w:p>
    <w:p w:rsidRPr="009C1AA1" w:rsidR="00954C2F" w:rsidP="0074723F" w:rsidRDefault="00954C2F" w14:paraId="17F6EC36" w14:textId="77777777">
      <w:pPr>
        <w:pStyle w:val="naisf"/>
        <w:spacing w:before="0" w:after="0"/>
        <w:ind w:firstLine="0"/>
        <w:outlineLvl w:val="0"/>
        <w:rPr>
          <w:sz w:val="22"/>
        </w:rPr>
      </w:pPr>
      <w:r w:rsidRPr="009C1AA1">
        <w:rPr>
          <w:sz w:val="22"/>
        </w:rPr>
        <w:t>Saskaņoša</w:t>
      </w:r>
      <w:r w:rsidRPr="009C1AA1" w:rsidR="00BA2615">
        <w:rPr>
          <w:sz w:val="22"/>
        </w:rPr>
        <w:t>nas dalībnieki izskatīja šādu</w:t>
      </w:r>
    </w:p>
    <w:p w:rsidRPr="009C1AA1" w:rsidR="002670AD" w:rsidP="00F735DE" w:rsidRDefault="00954C2F" w14:paraId="76D0897D" w14:textId="151F6314">
      <w:pPr>
        <w:pStyle w:val="naisf"/>
        <w:tabs>
          <w:tab w:val="left" w:pos="4536"/>
        </w:tabs>
        <w:spacing w:before="0" w:after="0"/>
        <w:ind w:left="4536" w:hanging="4536"/>
        <w:rPr>
          <w:sz w:val="22"/>
        </w:rPr>
      </w:pPr>
      <w:r w:rsidRPr="009C1AA1">
        <w:rPr>
          <w:sz w:val="22"/>
        </w:rPr>
        <w:t>ministriju (citu institūciju) iebildumus:</w:t>
      </w:r>
      <w:r w:rsidR="00F735DE">
        <w:rPr>
          <w:sz w:val="22"/>
        </w:rPr>
        <w:tab/>
      </w:r>
      <w:r w:rsidRPr="009C1AA1" w:rsidR="002D1ED4">
        <w:rPr>
          <w:sz w:val="22"/>
        </w:rPr>
        <w:t>Finanšu ministrija</w:t>
      </w:r>
      <w:r w:rsidR="0079330E">
        <w:rPr>
          <w:sz w:val="22"/>
        </w:rPr>
        <w:t>.</w:t>
      </w:r>
    </w:p>
    <w:p w:rsidRPr="009C1AA1" w:rsidR="00954C2F" w:rsidP="004C7D86" w:rsidRDefault="00954C2F" w14:paraId="39377141" w14:textId="77777777">
      <w:pPr>
        <w:pStyle w:val="naisf"/>
        <w:spacing w:before="0" w:after="0"/>
        <w:ind w:firstLine="0"/>
        <w:rPr>
          <w:sz w:val="22"/>
        </w:rPr>
      </w:pPr>
    </w:p>
    <w:tbl>
      <w:tblPr>
        <w:tblW w:w="14600" w:type="dxa"/>
        <w:tblLook w:val="00A0" w:firstRow="1" w:lastRow="0" w:firstColumn="1" w:lastColumn="0" w:noHBand="0" w:noVBand="0"/>
      </w:tblPr>
      <w:tblGrid>
        <w:gridCol w:w="4536"/>
        <w:gridCol w:w="10064"/>
      </w:tblGrid>
      <w:tr w:rsidRPr="00EB680F" w:rsidR="00781E7F" w:rsidTr="00F735DE" w14:paraId="669500E1" w14:textId="77777777">
        <w:tc>
          <w:tcPr>
            <w:tcW w:w="4536" w:type="dxa"/>
            <w:hideMark/>
          </w:tcPr>
          <w:p w:rsidRPr="009C1AA1" w:rsidR="00781E7F" w:rsidP="00F735DE" w:rsidRDefault="00781E7F" w14:paraId="1F00935F" w14:textId="77777777">
            <w:pPr>
              <w:pStyle w:val="naisf"/>
              <w:ind w:left="-105" w:right="329" w:firstLine="0"/>
              <w:rPr>
                <w:sz w:val="22"/>
              </w:rPr>
            </w:pPr>
            <w:r w:rsidRPr="009C1AA1">
              <w:rPr>
                <w:sz w:val="22"/>
              </w:rPr>
              <w:t>Ministrijas (citas institūcijas), kuras nav ieradušās uz sanāksmi vai kuras nav atbildējušas uz uzaicinājumu piedalīties elektroniskajā saskaņošanā:</w:t>
            </w:r>
          </w:p>
        </w:tc>
        <w:tc>
          <w:tcPr>
            <w:tcW w:w="10064" w:type="dxa"/>
          </w:tcPr>
          <w:p w:rsidRPr="00D83FF2" w:rsidR="00781E7F" w:rsidP="00D22FC9" w:rsidRDefault="00D375C8" w14:paraId="7422654C" w14:textId="21993108">
            <w:pPr>
              <w:pStyle w:val="naisf"/>
              <w:ind w:firstLine="0"/>
              <w:rPr>
                <w:sz w:val="22"/>
                <w:szCs w:val="22"/>
              </w:rPr>
            </w:pPr>
            <w:r>
              <w:rPr>
                <w:sz w:val="22"/>
                <w:szCs w:val="22"/>
              </w:rPr>
              <w:t>Nav</w:t>
            </w:r>
            <w:r w:rsidR="00D22FC9">
              <w:rPr>
                <w:sz w:val="22"/>
                <w:szCs w:val="22"/>
              </w:rPr>
              <w:t>.</w:t>
            </w:r>
          </w:p>
        </w:tc>
      </w:tr>
      <w:tr w:rsidRPr="009C1AA1" w:rsidR="00781E7F" w:rsidTr="00F735DE" w14:paraId="37C4379E" w14:textId="77777777">
        <w:tc>
          <w:tcPr>
            <w:tcW w:w="4536" w:type="dxa"/>
            <w:hideMark/>
          </w:tcPr>
          <w:p w:rsidRPr="00D83FF2" w:rsidR="00EB680F" w:rsidP="00EB680F" w:rsidRDefault="00EB680F" w14:paraId="7D4FA3B5" w14:textId="77777777">
            <w:pPr>
              <w:pStyle w:val="naisf"/>
              <w:ind w:firstLine="0"/>
            </w:pPr>
            <w:r>
              <w:br w:type="page"/>
            </w:r>
          </w:p>
        </w:tc>
        <w:tc>
          <w:tcPr>
            <w:tcW w:w="10064" w:type="dxa"/>
          </w:tcPr>
          <w:p w:rsidRPr="009C1AA1" w:rsidR="002F3595" w:rsidP="00D83FF2" w:rsidRDefault="002F3595" w14:paraId="73484D23" w14:textId="77777777">
            <w:pPr>
              <w:pStyle w:val="naisf"/>
              <w:ind w:firstLine="0"/>
            </w:pPr>
          </w:p>
        </w:tc>
      </w:tr>
    </w:tbl>
    <w:p w:rsidRPr="009C1AA1" w:rsidR="00D375C8" w:rsidP="00D375C8" w:rsidRDefault="00EB680F" w14:paraId="3DB33006" w14:textId="77777777">
      <w:pPr>
        <w:pStyle w:val="naisf"/>
        <w:spacing w:before="0" w:after="0"/>
        <w:ind w:firstLine="0"/>
        <w:jc w:val="center"/>
        <w:rPr>
          <w:b/>
        </w:rPr>
      </w:pPr>
      <w:r>
        <w:rPr>
          <w:b/>
        </w:rPr>
        <w:br w:type="page"/>
      </w:r>
      <w:r w:rsidRPr="009C1AA1" w:rsidR="00D375C8">
        <w:rPr>
          <w:b/>
        </w:rPr>
        <w:lastRenderedPageBreak/>
        <w:t>II. Jautājumi, par kuriem saskaņošanā vienošanās ir panākta</w:t>
      </w:r>
    </w:p>
    <w:p w:rsidRPr="009C1AA1" w:rsidR="00D375C8" w:rsidP="00D375C8" w:rsidRDefault="00D375C8" w14:paraId="1E462A8D" w14:textId="77777777">
      <w:pPr>
        <w:pStyle w:val="naisf"/>
        <w:spacing w:before="0" w:after="0"/>
        <w:ind w:left="1800" w:firstLine="0"/>
        <w:rPr>
          <w:b/>
        </w:rPr>
      </w:pPr>
    </w:p>
    <w:tbl>
      <w:tblPr>
        <w:tblW w:w="144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8"/>
        <w:gridCol w:w="2355"/>
        <w:gridCol w:w="3969"/>
        <w:gridCol w:w="2861"/>
        <w:gridCol w:w="4677"/>
      </w:tblGrid>
      <w:tr w:rsidRPr="009C1AA1" w:rsidR="00D375C8" w:rsidTr="00E96EEB" w14:paraId="7D5FFD74" w14:textId="77777777">
        <w:trPr>
          <w:trHeight w:val="411"/>
        </w:trPr>
        <w:tc>
          <w:tcPr>
            <w:tcW w:w="588" w:type="dxa"/>
            <w:tcBorders>
              <w:top w:val="single" w:color="000000" w:sz="6" w:space="0"/>
              <w:left w:val="single" w:color="000000" w:sz="6" w:space="0"/>
              <w:bottom w:val="single" w:color="000000" w:sz="6" w:space="0"/>
              <w:right w:val="single" w:color="000000" w:sz="6" w:space="0"/>
            </w:tcBorders>
            <w:vAlign w:val="center"/>
          </w:tcPr>
          <w:p w:rsidRPr="009C1AA1" w:rsidR="00D375C8" w:rsidP="00E96EEB" w:rsidRDefault="00D375C8" w14:paraId="04DB2AEF" w14:textId="77777777">
            <w:pPr>
              <w:pStyle w:val="naisc"/>
              <w:spacing w:before="0" w:after="0"/>
            </w:pPr>
            <w:r w:rsidRPr="009C1AA1">
              <w:t>Nr. p.k.</w:t>
            </w:r>
          </w:p>
        </w:tc>
        <w:tc>
          <w:tcPr>
            <w:tcW w:w="2355" w:type="dxa"/>
            <w:tcBorders>
              <w:top w:val="single" w:color="000000" w:sz="6" w:space="0"/>
              <w:left w:val="single" w:color="000000" w:sz="6" w:space="0"/>
              <w:bottom w:val="single" w:color="000000" w:sz="6" w:space="0"/>
              <w:right w:val="single" w:color="000000" w:sz="6" w:space="0"/>
            </w:tcBorders>
            <w:vAlign w:val="center"/>
          </w:tcPr>
          <w:p w:rsidRPr="009C1AA1" w:rsidR="00D375C8" w:rsidP="00E96EEB" w:rsidRDefault="00D375C8" w14:paraId="670ABFC7" w14:textId="77777777">
            <w:pPr>
              <w:pStyle w:val="naisc"/>
              <w:spacing w:before="0" w:after="0"/>
              <w:ind w:firstLine="12"/>
            </w:pPr>
            <w:r w:rsidRPr="009C1AA1">
              <w:t>Saskaņošanai nosūtītā projekta redakcija (konkrēta punkta (panta) redakcija)</w:t>
            </w:r>
          </w:p>
        </w:tc>
        <w:tc>
          <w:tcPr>
            <w:tcW w:w="3969" w:type="dxa"/>
            <w:tcBorders>
              <w:top w:val="single" w:color="000000" w:sz="6" w:space="0"/>
              <w:left w:val="single" w:color="000000" w:sz="6" w:space="0"/>
              <w:bottom w:val="single" w:color="000000" w:sz="6" w:space="0"/>
              <w:right w:val="single" w:color="000000" w:sz="6" w:space="0"/>
            </w:tcBorders>
            <w:vAlign w:val="center"/>
          </w:tcPr>
          <w:p w:rsidRPr="009C1AA1" w:rsidR="00D375C8" w:rsidP="00E96EEB" w:rsidRDefault="00D375C8" w14:paraId="226C34E6" w14:textId="77777777">
            <w:pPr>
              <w:pStyle w:val="naisc"/>
              <w:spacing w:before="0" w:after="0"/>
              <w:ind w:right="3"/>
            </w:pPr>
            <w:r w:rsidRPr="009C1AA1">
              <w:t>Atzinumā norādītais ministrijas (citas institūcijas) iebildums, kā arī saskaņošanā papildus izteiktais iebildums par projekta konkrēto punktu (pantu)</w:t>
            </w:r>
          </w:p>
        </w:tc>
        <w:tc>
          <w:tcPr>
            <w:tcW w:w="2861" w:type="dxa"/>
            <w:tcBorders>
              <w:top w:val="single" w:color="000000" w:sz="6" w:space="0"/>
              <w:left w:val="single" w:color="000000" w:sz="6" w:space="0"/>
              <w:bottom w:val="single" w:color="000000" w:sz="6" w:space="0"/>
              <w:right w:val="single" w:color="000000" w:sz="6" w:space="0"/>
            </w:tcBorders>
            <w:vAlign w:val="center"/>
          </w:tcPr>
          <w:p w:rsidRPr="009C1AA1" w:rsidR="00D375C8" w:rsidP="00E96EEB" w:rsidRDefault="00D375C8" w14:paraId="2C361BD8" w14:textId="77777777">
            <w:pPr>
              <w:pStyle w:val="naisc"/>
              <w:spacing w:before="0" w:after="0"/>
              <w:ind w:firstLine="21"/>
            </w:pPr>
            <w:r w:rsidRPr="009C1AA1">
              <w:t>Atbildīgās ministrijas norāde par to, ka iebildums ir ņemts vērā, vai informācija par saskaņošanā panākto alternatīvo risinājumu</w:t>
            </w:r>
          </w:p>
        </w:tc>
        <w:tc>
          <w:tcPr>
            <w:tcW w:w="4677" w:type="dxa"/>
            <w:tcBorders>
              <w:top w:val="single" w:color="auto" w:sz="4" w:space="0"/>
              <w:left w:val="single" w:color="auto" w:sz="4" w:space="0"/>
              <w:bottom w:val="single" w:color="auto" w:sz="4" w:space="0"/>
            </w:tcBorders>
            <w:vAlign w:val="center"/>
          </w:tcPr>
          <w:p w:rsidRPr="009C1AA1" w:rsidR="00D375C8" w:rsidP="00E96EEB" w:rsidRDefault="00D375C8" w14:paraId="32D70177" w14:textId="77777777">
            <w:pPr>
              <w:jc w:val="center"/>
            </w:pPr>
            <w:r w:rsidRPr="009C1AA1">
              <w:t>Projekta attiecīgā punkta (panta) galīgā redakcija</w:t>
            </w:r>
          </w:p>
        </w:tc>
      </w:tr>
      <w:tr w:rsidRPr="009C1AA1" w:rsidR="00D375C8" w:rsidTr="00E96EEB" w14:paraId="0E5B83B2"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D375C8" w:rsidP="00E96EEB" w:rsidRDefault="00D375C8" w14:paraId="668B596D" w14:textId="77777777">
            <w:pPr>
              <w:pStyle w:val="naisc"/>
              <w:spacing w:before="0" w:after="0"/>
              <w:jc w:val="left"/>
            </w:pPr>
            <w:r w:rsidRPr="009C1AA1">
              <w:t>1.</w:t>
            </w:r>
          </w:p>
        </w:tc>
        <w:tc>
          <w:tcPr>
            <w:tcW w:w="2355" w:type="dxa"/>
            <w:tcBorders>
              <w:top w:val="single" w:color="000000" w:sz="6" w:space="0"/>
              <w:left w:val="single" w:color="000000" w:sz="6" w:space="0"/>
              <w:bottom w:val="single" w:color="000000" w:sz="6" w:space="0"/>
              <w:right w:val="single" w:color="000000" w:sz="6" w:space="0"/>
            </w:tcBorders>
          </w:tcPr>
          <w:p w:rsidR="00D375C8" w:rsidP="00E96EEB" w:rsidRDefault="00D375C8" w14:paraId="0AF2A868" w14:textId="77777777">
            <w:pPr>
              <w:jc w:val="both"/>
              <w:rPr>
                <w:color w:val="000000"/>
              </w:rPr>
            </w:pPr>
            <w:r>
              <w:rPr>
                <w:color w:val="000000"/>
              </w:rPr>
              <w:t xml:space="preserve">Noteikumu projekta 5. un </w:t>
            </w:r>
            <w:r w:rsidRPr="005015BE">
              <w:rPr>
                <w:color w:val="000000"/>
              </w:rPr>
              <w:t>6.</w:t>
            </w:r>
            <w:r>
              <w:rPr>
                <w:color w:val="000000"/>
              </w:rPr>
              <w:t> </w:t>
            </w:r>
            <w:r w:rsidRPr="005015BE">
              <w:rPr>
                <w:color w:val="000000"/>
              </w:rPr>
              <w:t>punkts</w:t>
            </w:r>
            <w:r>
              <w:rPr>
                <w:color w:val="000000"/>
              </w:rPr>
              <w:t>:</w:t>
            </w:r>
          </w:p>
          <w:p w:rsidRPr="001E1A45" w:rsidR="00D375C8" w:rsidP="00E96EEB" w:rsidRDefault="00D375C8" w14:paraId="1A335049" w14:textId="77777777">
            <w:pPr>
              <w:jc w:val="both"/>
              <w:rPr>
                <w:color w:val="000000"/>
              </w:rPr>
            </w:pPr>
            <w:r w:rsidRPr="00D42FEA">
              <w:rPr>
                <w:color w:val="000000"/>
              </w:rPr>
              <w:t>"</w:t>
            </w:r>
            <w:r w:rsidRPr="001E1A45">
              <w:rPr>
                <w:color w:val="000000"/>
              </w:rPr>
              <w:t xml:space="preserve">5. Valsts ieņēmumu dienests katru mēnesi līdz piecpadsmitajam un divdesmit piektajam datumam, kā arī līdz 2021. gada 29. decembrim iekasētos valsts nodevas ieņēmumus ieskaita Tieslietu ministrijas pamatbudžeta apakšprogrammas 06.04.00 "Darbinieku prasījumu garantiju fonds" kontā pašu ieņēmumos, nepārsniedzot likuma "Par valsts budžetu 2021. gadam" 2. pielikumā noteiktās valsts nodevas </w:t>
            </w:r>
            <w:r w:rsidRPr="001E1A45">
              <w:rPr>
                <w:color w:val="000000"/>
              </w:rPr>
              <w:lastRenderedPageBreak/>
              <w:t>iemaksājamās daļas apjomu.</w:t>
            </w:r>
          </w:p>
          <w:p w:rsidRPr="001E1A45" w:rsidR="00D375C8" w:rsidP="00E96EEB" w:rsidRDefault="00D375C8" w14:paraId="3D9BC455" w14:textId="77777777">
            <w:pPr>
              <w:jc w:val="both"/>
              <w:rPr>
                <w:color w:val="000000"/>
              </w:rPr>
            </w:pPr>
          </w:p>
          <w:p w:rsidRPr="001E1A45" w:rsidR="00D375C8" w:rsidP="00E96EEB" w:rsidRDefault="00D375C8" w14:paraId="1BC7B31E" w14:textId="77777777">
            <w:pPr>
              <w:jc w:val="both"/>
              <w:rPr>
                <w:color w:val="000000"/>
              </w:rPr>
            </w:pPr>
            <w:r w:rsidRPr="001E1A45">
              <w:rPr>
                <w:color w:val="000000"/>
              </w:rPr>
              <w:t>6. Valsts nodevas ieņēmumus, kas līdz 2021. gada 30. decembra plkst. 12.00 iekasēti vairāk par likuma "Par valsts budžetu 2021. gadam" 2. pielikumā plānoto valsts nodevas iemaksājamās daļas apjomu, Valsts ieņēmumu dienests saimnieciskā gada pēdējā darbdienā ieskaita Tieslietu ministrijas pamatbudžeta apakšprogrammas 06.04.00 "Darbinieku prasījumu garantiju fonds" kontā pašu ieņēmumos</w:t>
            </w:r>
            <w:r w:rsidRPr="00D42FEA">
              <w:rPr>
                <w:color w:val="000000"/>
              </w:rPr>
              <w:t>"</w:t>
            </w:r>
            <w:r w:rsidRPr="001E1A45">
              <w:rPr>
                <w:color w:val="000000"/>
              </w:rPr>
              <w:t>.</w:t>
            </w:r>
          </w:p>
        </w:tc>
        <w:tc>
          <w:tcPr>
            <w:tcW w:w="3969" w:type="dxa"/>
            <w:tcBorders>
              <w:top w:val="single" w:color="000000" w:sz="6" w:space="0"/>
              <w:left w:val="single" w:color="000000" w:sz="6" w:space="0"/>
              <w:bottom w:val="single" w:color="000000" w:sz="6" w:space="0"/>
              <w:right w:val="single" w:color="000000" w:sz="6" w:space="0"/>
            </w:tcBorders>
          </w:tcPr>
          <w:p w:rsidRPr="009C1AA1" w:rsidR="00D375C8" w:rsidP="00E96EEB" w:rsidRDefault="00D375C8" w14:paraId="572F4F41" w14:textId="77777777">
            <w:pPr>
              <w:pStyle w:val="naisc"/>
              <w:spacing w:before="0" w:after="0"/>
              <w:rPr>
                <w:b/>
              </w:rPr>
            </w:pPr>
            <w:r w:rsidRPr="009C1AA1">
              <w:rPr>
                <w:b/>
              </w:rPr>
              <w:lastRenderedPageBreak/>
              <w:t>Finanšu ministrija</w:t>
            </w:r>
          </w:p>
          <w:p w:rsidRPr="001E1A45" w:rsidR="00D375C8" w:rsidP="00E96EEB" w:rsidRDefault="00D375C8" w14:paraId="4D0043C9" w14:textId="77777777">
            <w:pPr>
              <w:pStyle w:val="naisc"/>
              <w:spacing w:before="0" w:after="0"/>
              <w:jc w:val="both"/>
            </w:pPr>
            <w:r w:rsidRPr="001E1A45">
              <w:t xml:space="preserve">Ievērojot likuma </w:t>
            </w:r>
            <w:r w:rsidRPr="00D42FEA">
              <w:rPr>
                <w:color w:val="000000"/>
              </w:rPr>
              <w:t>"</w:t>
            </w:r>
            <w:r w:rsidRPr="001E1A45">
              <w:t>Par nodokļiem un nodevām</w:t>
            </w:r>
            <w:r w:rsidRPr="00D42FEA">
              <w:rPr>
                <w:color w:val="000000"/>
              </w:rPr>
              <w:t>"</w:t>
            </w:r>
            <w:r w:rsidRPr="001E1A45">
              <w:t xml:space="preserve"> 23.</w:t>
            </w:r>
            <w:r w:rsidRPr="001E1A45">
              <w:rPr>
                <w:vertAlign w:val="superscript"/>
              </w:rPr>
              <w:t>1</w:t>
            </w:r>
            <w:r>
              <w:rPr>
                <w:vertAlign w:val="superscript"/>
              </w:rPr>
              <w:t> </w:t>
            </w:r>
            <w:r w:rsidRPr="001E1A45">
              <w:t>panta desmito daļu (redakcijā, kas stāsies spēkā 2021.</w:t>
            </w:r>
            <w:r>
              <w:t> </w:t>
            </w:r>
            <w:r w:rsidRPr="001E1A45">
              <w:t>gada 1.</w:t>
            </w:r>
            <w:r>
              <w:t> </w:t>
            </w:r>
            <w:r w:rsidRPr="001E1A45">
              <w:t>janvārī), Ministru kabinets nosaka kārtību, kādā Valsts ieņēmumu dienests administrē nodokļu maksātāja vienotajā nodokļu kontā ieskaitītos maksājumus, kārtību, kādā tos novirza konkrēta nodokļa, nodevas, citu valsts noteikto maksājumu un ar tiem saistīto maksājumu saistību segšanai, un maksājumu veikšanas kārtību vienotajā nodokļu kontā. Ministru kabineta 2018.</w:t>
            </w:r>
            <w:r>
              <w:t> </w:t>
            </w:r>
            <w:r w:rsidRPr="001E1A45">
              <w:t>gada 30.</w:t>
            </w:r>
            <w:r>
              <w:t> </w:t>
            </w:r>
            <w:r w:rsidRPr="001E1A45">
              <w:t>oktobra noteikumos Nr.</w:t>
            </w:r>
            <w:r>
              <w:t> </w:t>
            </w:r>
            <w:r w:rsidRPr="001E1A45">
              <w:t>661</w:t>
            </w:r>
            <w:r>
              <w:t> </w:t>
            </w:r>
            <w:r w:rsidRPr="00D42FEA">
              <w:rPr>
                <w:color w:val="000000"/>
              </w:rPr>
              <w:t>"</w:t>
            </w:r>
            <w:r w:rsidRPr="001E1A45">
              <w:t>Kārtība, kādā maksā nodokļus, nodevas, citus valsts noteiktos maksājumus un ar tiem saistītos maksājumus un novirza tos saistību segšanai</w:t>
            </w:r>
            <w:r w:rsidRPr="00D42FEA">
              <w:rPr>
                <w:color w:val="000000"/>
              </w:rPr>
              <w:t>"</w:t>
            </w:r>
            <w:r w:rsidRPr="001E1A45">
              <w:t xml:space="preserve"> ir noteikta kārtība, kādā vienotajā nodokļu kontā saņemtie maksājumi tiek novirzīti konkrēta nodokļa, nodevas, citu valsts noteikto maksājumu un ar tiem saistīto </w:t>
            </w:r>
            <w:r w:rsidRPr="001E1A45">
              <w:lastRenderedPageBreak/>
              <w:t>maksājumu segšanai. Vienlaikus ar vienotā nodokļu konta ieviešanu no 2021.</w:t>
            </w:r>
            <w:r>
              <w:t> </w:t>
            </w:r>
            <w:r w:rsidRPr="001E1A45">
              <w:t>gada 1.</w:t>
            </w:r>
            <w:r>
              <w:t> </w:t>
            </w:r>
            <w:r w:rsidRPr="001E1A45">
              <w:t>janvāra tiks ieviests arī vienotais nodokļu (t.sk uzņēmējdarbības riska valsts nodevas) maksāšanas termiņš (Ministru kabineta 2017.</w:t>
            </w:r>
            <w:r>
              <w:t> </w:t>
            </w:r>
            <w:r w:rsidRPr="001E1A45">
              <w:t>gada 26.</w:t>
            </w:r>
            <w:r>
              <w:t> </w:t>
            </w:r>
            <w:r w:rsidRPr="001E1A45">
              <w:t>septembra protokola Nr.</w:t>
            </w:r>
            <w:r>
              <w:t> </w:t>
            </w:r>
            <w:r w:rsidRPr="001E1A45">
              <w:t>48 44.</w:t>
            </w:r>
            <w:r>
              <w:t> </w:t>
            </w:r>
            <w:r w:rsidRPr="001E1A45">
              <w:t>§ 3. un 4.</w:t>
            </w:r>
            <w:r>
              <w:t> </w:t>
            </w:r>
            <w:r w:rsidRPr="001E1A45">
              <w:t>punkts). Tādējādi lielākā daļa nodokļu, t.sk. uzņēmējdarbības riska valsts nodevas, maksājumu valsts budžetā tiks veikti mēneša 23.</w:t>
            </w:r>
            <w:r>
              <w:t> </w:t>
            </w:r>
            <w:r w:rsidRPr="001E1A45">
              <w:t>datumā.  </w:t>
            </w:r>
          </w:p>
          <w:p w:rsidRPr="00B514B2" w:rsidR="00D375C8" w:rsidP="00E96EEB" w:rsidRDefault="00D375C8" w14:paraId="1E354153" w14:textId="77777777">
            <w:pPr>
              <w:jc w:val="both"/>
              <w:rPr>
                <w:lang w:eastAsia="en-US"/>
              </w:rPr>
            </w:pPr>
            <w:r w:rsidRPr="00B514B2">
              <w:rPr>
                <w:lang w:eastAsia="en-US"/>
              </w:rPr>
              <w:t>Ņemot vērā minēto, noteikumu projekta 5. un 6.</w:t>
            </w:r>
            <w:r>
              <w:rPr>
                <w:lang w:eastAsia="en-US"/>
              </w:rPr>
              <w:t> </w:t>
            </w:r>
            <w:r w:rsidRPr="00B514B2">
              <w:rPr>
                <w:lang w:eastAsia="en-US"/>
              </w:rPr>
              <w:t>punktu nepieciešams izteikt šādā redakcijā:</w:t>
            </w:r>
          </w:p>
          <w:p w:rsidRPr="00B514B2" w:rsidR="00D375C8" w:rsidP="00E96EEB" w:rsidRDefault="00D375C8" w14:paraId="7C17D5AE" w14:textId="77777777">
            <w:pPr>
              <w:jc w:val="both"/>
              <w:rPr>
                <w:lang w:eastAsia="en-US"/>
              </w:rPr>
            </w:pPr>
            <w:r w:rsidRPr="001E1A45">
              <w:rPr>
                <w:color w:val="000000"/>
              </w:rPr>
              <w:t>"</w:t>
            </w:r>
            <w:r w:rsidRPr="00B514B2">
              <w:rPr>
                <w:lang w:eastAsia="en-US"/>
              </w:rPr>
              <w:t>5. Valsts ieņēmumu dienests 2021.</w:t>
            </w:r>
            <w:r>
              <w:rPr>
                <w:lang w:eastAsia="en-US"/>
              </w:rPr>
              <w:t> </w:t>
            </w:r>
            <w:r w:rsidRPr="00B514B2">
              <w:rPr>
                <w:lang w:eastAsia="en-US"/>
              </w:rPr>
              <w:t>gadā vienotajā nodokļu kontā saņemtos un uz valsts nodevu attiecinātos ieņēmumus katru mēnesi līdz divdesmit piektajam datumam ieskaita Tieslietu ministrijas pamatbudžeta apakšprogrammas 06.04.00 </w:t>
            </w:r>
            <w:r w:rsidRPr="001E1A45">
              <w:rPr>
                <w:color w:val="000000"/>
              </w:rPr>
              <w:t>"</w:t>
            </w:r>
            <w:r w:rsidRPr="00B514B2">
              <w:rPr>
                <w:lang w:eastAsia="en-US"/>
              </w:rPr>
              <w:t>Darbinieku prasījumu garantiju fonds</w:t>
            </w:r>
            <w:r w:rsidRPr="001E1A45">
              <w:rPr>
                <w:color w:val="000000"/>
              </w:rPr>
              <w:t>"</w:t>
            </w:r>
            <w:r w:rsidRPr="00B514B2">
              <w:rPr>
                <w:lang w:eastAsia="en-US"/>
              </w:rPr>
              <w:t xml:space="preserve"> kontā pašu ieņēmumos, ievērojot likuma </w:t>
            </w:r>
            <w:r w:rsidRPr="001E1A45">
              <w:rPr>
                <w:color w:val="000000"/>
              </w:rPr>
              <w:t>"</w:t>
            </w:r>
            <w:r w:rsidRPr="00B514B2">
              <w:rPr>
                <w:lang w:eastAsia="en-US"/>
              </w:rPr>
              <w:t>Par valsts budžetu 2021.</w:t>
            </w:r>
            <w:r>
              <w:rPr>
                <w:lang w:eastAsia="en-US"/>
              </w:rPr>
              <w:t> </w:t>
            </w:r>
            <w:r w:rsidRPr="00B514B2">
              <w:rPr>
                <w:lang w:eastAsia="en-US"/>
              </w:rPr>
              <w:t>gadam</w:t>
            </w:r>
            <w:r w:rsidRPr="001E1A45">
              <w:rPr>
                <w:color w:val="000000"/>
              </w:rPr>
              <w:t>"</w:t>
            </w:r>
            <w:r w:rsidRPr="00B514B2">
              <w:rPr>
                <w:lang w:eastAsia="en-US"/>
              </w:rPr>
              <w:t xml:space="preserve"> 2.</w:t>
            </w:r>
            <w:r>
              <w:rPr>
                <w:lang w:eastAsia="en-US"/>
              </w:rPr>
              <w:t> </w:t>
            </w:r>
            <w:r w:rsidRPr="00B514B2">
              <w:rPr>
                <w:lang w:eastAsia="en-US"/>
              </w:rPr>
              <w:t xml:space="preserve">pielikumā noteikto valsts nodevas iemaksājamās daļas apjomu. </w:t>
            </w:r>
          </w:p>
          <w:p w:rsidRPr="009C1AA1" w:rsidR="00D375C8" w:rsidP="00E96EEB" w:rsidRDefault="00D375C8" w14:paraId="396D6DD2" w14:textId="77777777">
            <w:pPr>
              <w:jc w:val="both"/>
              <w:rPr>
                <w:lang w:eastAsia="en-US"/>
              </w:rPr>
            </w:pPr>
            <w:r w:rsidRPr="00B514B2">
              <w:rPr>
                <w:lang w:eastAsia="en-US"/>
              </w:rPr>
              <w:t>6.</w:t>
            </w:r>
            <w:r>
              <w:rPr>
                <w:lang w:eastAsia="en-US"/>
              </w:rPr>
              <w:t> </w:t>
            </w:r>
            <w:r w:rsidRPr="00B514B2">
              <w:rPr>
                <w:lang w:eastAsia="en-US"/>
              </w:rPr>
              <w:t>Valsts nodevas ieņēmumus, kas līdz 2021.</w:t>
            </w:r>
            <w:r>
              <w:rPr>
                <w:lang w:eastAsia="en-US"/>
              </w:rPr>
              <w:t> </w:t>
            </w:r>
            <w:r w:rsidRPr="00B514B2">
              <w:rPr>
                <w:lang w:eastAsia="en-US"/>
              </w:rPr>
              <w:t>gada 30.</w:t>
            </w:r>
            <w:r>
              <w:rPr>
                <w:lang w:eastAsia="en-US"/>
              </w:rPr>
              <w:t> </w:t>
            </w:r>
            <w:r w:rsidRPr="00B514B2">
              <w:rPr>
                <w:lang w:eastAsia="en-US"/>
              </w:rPr>
              <w:t>decembra plkst.</w:t>
            </w:r>
            <w:r>
              <w:rPr>
                <w:lang w:eastAsia="en-US"/>
              </w:rPr>
              <w:t> </w:t>
            </w:r>
            <w:r w:rsidRPr="00B514B2">
              <w:rPr>
                <w:lang w:eastAsia="en-US"/>
              </w:rPr>
              <w:t xml:space="preserve">12.00 iemaksāti vienotajā nodokļu kontā un attiecināti valsts nodevas ieņēmumos </w:t>
            </w:r>
            <w:r w:rsidRPr="00B514B2">
              <w:rPr>
                <w:lang w:eastAsia="en-US"/>
              </w:rPr>
              <w:lastRenderedPageBreak/>
              <w:t xml:space="preserve">vairāk par likuma </w:t>
            </w:r>
            <w:r w:rsidRPr="001E1A45">
              <w:rPr>
                <w:color w:val="000000"/>
              </w:rPr>
              <w:t>"</w:t>
            </w:r>
            <w:r w:rsidRPr="00B514B2">
              <w:rPr>
                <w:lang w:eastAsia="en-US"/>
              </w:rPr>
              <w:t>Par valsts budžetu 2021.</w:t>
            </w:r>
            <w:r>
              <w:rPr>
                <w:lang w:eastAsia="en-US"/>
              </w:rPr>
              <w:t> </w:t>
            </w:r>
            <w:r w:rsidRPr="00B514B2">
              <w:rPr>
                <w:lang w:eastAsia="en-US"/>
              </w:rPr>
              <w:t>gadam</w:t>
            </w:r>
            <w:r w:rsidRPr="001E1A45">
              <w:rPr>
                <w:color w:val="000000"/>
              </w:rPr>
              <w:t>"</w:t>
            </w:r>
            <w:r w:rsidRPr="00B514B2">
              <w:rPr>
                <w:lang w:eastAsia="en-US"/>
              </w:rPr>
              <w:t xml:space="preserve"> 2.</w:t>
            </w:r>
            <w:r>
              <w:rPr>
                <w:lang w:eastAsia="en-US"/>
              </w:rPr>
              <w:t> </w:t>
            </w:r>
            <w:r w:rsidRPr="00B514B2">
              <w:rPr>
                <w:lang w:eastAsia="en-US"/>
              </w:rPr>
              <w:t>pielikumā plānoto valsts nodevas iemaksājamās daļas apjomu, Valsts ieņēmumu dienests saimnieciskā gada pēdējā darbdienā ieskaita Tieslietu ministrijas pamatbudžeta apakšprogrammas 06.04.00</w:t>
            </w:r>
            <w:r>
              <w:rPr>
                <w:lang w:eastAsia="en-US"/>
              </w:rPr>
              <w:t> </w:t>
            </w:r>
            <w:r w:rsidRPr="001E1A45">
              <w:rPr>
                <w:color w:val="000000"/>
              </w:rPr>
              <w:t>"</w:t>
            </w:r>
            <w:r w:rsidRPr="00B514B2">
              <w:rPr>
                <w:lang w:eastAsia="en-US"/>
              </w:rPr>
              <w:t>Darbinieku prasījumu garantiju fonds</w:t>
            </w:r>
            <w:r w:rsidRPr="001E1A45">
              <w:rPr>
                <w:color w:val="000000"/>
              </w:rPr>
              <w:t>"</w:t>
            </w:r>
            <w:r w:rsidRPr="00B514B2">
              <w:rPr>
                <w:lang w:eastAsia="en-US"/>
              </w:rPr>
              <w:t xml:space="preserve"> kontā pašu ieņēmumos.</w:t>
            </w:r>
            <w:r w:rsidRPr="001E1A45">
              <w:rPr>
                <w:color w:val="000000"/>
              </w:rPr>
              <w:t>"</w:t>
            </w:r>
          </w:p>
        </w:tc>
        <w:tc>
          <w:tcPr>
            <w:tcW w:w="2861" w:type="dxa"/>
            <w:tcBorders>
              <w:top w:val="single" w:color="000000" w:sz="6" w:space="0"/>
              <w:left w:val="single" w:color="000000" w:sz="6" w:space="0"/>
              <w:bottom w:val="single" w:color="000000" w:sz="6" w:space="0"/>
              <w:right w:val="single" w:color="000000" w:sz="6" w:space="0"/>
            </w:tcBorders>
          </w:tcPr>
          <w:p w:rsidRPr="009C1AA1" w:rsidR="00D375C8" w:rsidP="00E96EEB" w:rsidRDefault="00D375C8" w14:paraId="361AE3A3" w14:textId="77777777">
            <w:pPr>
              <w:pStyle w:val="naisc"/>
              <w:spacing w:before="0" w:after="0"/>
            </w:pPr>
            <w:r w:rsidRPr="009C1AA1">
              <w:rPr>
                <w:b/>
              </w:rPr>
              <w:lastRenderedPageBreak/>
              <w:t>Iebildums ņemts vērā.</w:t>
            </w:r>
          </w:p>
          <w:p w:rsidRPr="009C1AA1" w:rsidR="00D375C8" w:rsidP="00E96EEB" w:rsidRDefault="00D375C8" w14:paraId="409BAF98" w14:textId="77777777">
            <w:pPr>
              <w:pStyle w:val="naisc"/>
              <w:spacing w:before="0" w:after="0"/>
            </w:pPr>
          </w:p>
          <w:p w:rsidRPr="009C1AA1" w:rsidR="00D375C8" w:rsidP="00E96EEB" w:rsidRDefault="00D375C8" w14:paraId="2FAC29B8" w14:textId="77777777">
            <w:pPr>
              <w:pStyle w:val="naisc"/>
              <w:spacing w:before="0" w:after="0"/>
              <w:jc w:val="both"/>
            </w:pPr>
          </w:p>
        </w:tc>
        <w:tc>
          <w:tcPr>
            <w:tcW w:w="4677" w:type="dxa"/>
            <w:tcBorders>
              <w:top w:val="single" w:color="auto" w:sz="4" w:space="0"/>
              <w:left w:val="single" w:color="auto" w:sz="4" w:space="0"/>
              <w:bottom w:val="single" w:color="auto" w:sz="4" w:space="0"/>
            </w:tcBorders>
          </w:tcPr>
          <w:p w:rsidRPr="00692042" w:rsidR="00D375C8" w:rsidP="00E96EEB" w:rsidRDefault="00D375C8" w14:paraId="7AC946F7" w14:textId="77777777">
            <w:pPr>
              <w:pStyle w:val="naisf"/>
              <w:spacing w:before="0" w:after="0"/>
              <w:ind w:firstLine="0"/>
              <w:rPr>
                <w:i/>
              </w:rPr>
            </w:pPr>
            <w:r w:rsidRPr="00692042">
              <w:rPr>
                <w:i/>
              </w:rPr>
              <w:t>Atbilstoši precizēts noteikumu projekta 5. un 6. punkts:</w:t>
            </w:r>
          </w:p>
          <w:p w:rsidRPr="001E1A45" w:rsidR="00D375C8" w:rsidP="00E96EEB" w:rsidRDefault="00D375C8" w14:paraId="16B46ABE" w14:textId="77777777">
            <w:pPr>
              <w:jc w:val="both"/>
              <w:rPr>
                <w:lang w:eastAsia="en-US"/>
              </w:rPr>
            </w:pPr>
            <w:r w:rsidRPr="001E1A45">
              <w:rPr>
                <w:lang w:eastAsia="en-US"/>
              </w:rPr>
              <w:t xml:space="preserve">5. Valsts ieņēmumu dienests 2021. gadā vienotajā nodokļu kontā saņemtos un uz valsts nodevu attiecinātos ieņēmumus katru mēnesi līdz divdesmit piektajam datumam ieskaita Tieslietu ministrijas pamatbudžeta apakšprogrammas 06.04.00 "Darbinieku prasījumu garantiju fonds" kontā pašu ieņēmumos, ievērojot likuma "Par valsts budžetu 2021. gadam" 2. pielikumā noteikto valsts nodevas iemaksājamās daļas apjomu. </w:t>
            </w:r>
          </w:p>
          <w:p w:rsidRPr="001E1A45" w:rsidR="00D375C8" w:rsidP="00E96EEB" w:rsidRDefault="00D375C8" w14:paraId="226FBBFD" w14:textId="77777777">
            <w:pPr>
              <w:jc w:val="both"/>
              <w:rPr>
                <w:lang w:eastAsia="en-US"/>
              </w:rPr>
            </w:pPr>
            <w:r w:rsidRPr="001E1A45">
              <w:rPr>
                <w:lang w:eastAsia="en-US"/>
              </w:rPr>
              <w:t>6. Valsts nodevas ieņēmumus, kas līdz 2021. gada 30. decembra plkst. 12.00 iemaksāti vienotajā nodokļu kontā un attiecināti valsts nodevas ieņēmumos vairāk par likuma "Par valsts budžetu 2021. gadam" 2. pielikumā plānoto valsts nodevas iemaksājamās daļas apjomu, Valsts ieņēmumu dienests saimnieciskā gada pēdējā darbdienā ieskaita Tieslietu ministrijas pamatbudžeta apakšprogrammas 06.04.00 "Darbinieku prasījumu garantiju fonds" kontā pašu ieņēmumos.</w:t>
            </w:r>
          </w:p>
          <w:p w:rsidRPr="00A24221" w:rsidR="00D375C8" w:rsidP="00E96EEB" w:rsidRDefault="00D375C8" w14:paraId="338B9EE5" w14:textId="77777777">
            <w:pPr>
              <w:ind w:firstLine="603"/>
              <w:jc w:val="both"/>
            </w:pPr>
          </w:p>
        </w:tc>
      </w:tr>
      <w:tr w:rsidRPr="009C1AA1" w:rsidR="00D375C8" w:rsidTr="00E96EEB" w14:paraId="3DE87C06"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9C1AA1" w:rsidR="00D375C8" w:rsidP="00E96EEB" w:rsidRDefault="00D375C8" w14:paraId="67D80899" w14:textId="77777777">
            <w:pPr>
              <w:pStyle w:val="naisc"/>
              <w:spacing w:before="0" w:after="0"/>
              <w:jc w:val="left"/>
            </w:pPr>
            <w:r>
              <w:lastRenderedPageBreak/>
              <w:t>2.</w:t>
            </w:r>
          </w:p>
        </w:tc>
        <w:tc>
          <w:tcPr>
            <w:tcW w:w="2355" w:type="dxa"/>
            <w:tcBorders>
              <w:top w:val="single" w:color="000000" w:sz="6" w:space="0"/>
              <w:left w:val="single" w:color="000000" w:sz="6" w:space="0"/>
              <w:bottom w:val="single" w:color="000000" w:sz="6" w:space="0"/>
              <w:right w:val="single" w:color="000000" w:sz="6" w:space="0"/>
            </w:tcBorders>
          </w:tcPr>
          <w:p w:rsidRPr="00FA7FB8" w:rsidR="00D375C8" w:rsidP="00E96EEB" w:rsidRDefault="00D375C8" w14:paraId="65CEB39D" w14:textId="77777777">
            <w:pPr>
              <w:jc w:val="both"/>
            </w:pPr>
            <w:r w:rsidRPr="00D42FEA">
              <w:rPr>
                <w:bCs/>
              </w:rPr>
              <w:t>Anotācijas I sadaļas 2. punkt</w:t>
            </w:r>
            <w:r>
              <w:rPr>
                <w:bCs/>
              </w:rPr>
              <w:t>s</w:t>
            </w:r>
          </w:p>
        </w:tc>
        <w:tc>
          <w:tcPr>
            <w:tcW w:w="3969" w:type="dxa"/>
            <w:tcBorders>
              <w:top w:val="single" w:color="000000" w:sz="6" w:space="0"/>
              <w:left w:val="single" w:color="000000" w:sz="6" w:space="0"/>
              <w:bottom w:val="single" w:color="000000" w:sz="6" w:space="0"/>
              <w:right w:val="single" w:color="000000" w:sz="6" w:space="0"/>
            </w:tcBorders>
          </w:tcPr>
          <w:p w:rsidR="00D375C8" w:rsidP="00E96EEB" w:rsidRDefault="00D375C8" w14:paraId="45CD8CAA" w14:textId="77777777">
            <w:pPr>
              <w:pStyle w:val="naisc"/>
              <w:spacing w:before="0" w:after="0"/>
              <w:rPr>
                <w:b/>
              </w:rPr>
            </w:pPr>
            <w:r>
              <w:rPr>
                <w:b/>
              </w:rPr>
              <w:t>Finanšu</w:t>
            </w:r>
            <w:r w:rsidRPr="004039BD">
              <w:rPr>
                <w:b/>
              </w:rPr>
              <w:t xml:space="preserve"> ministrija</w:t>
            </w:r>
          </w:p>
          <w:p w:rsidRPr="003428DC" w:rsidR="00D375C8" w:rsidP="00E96EEB" w:rsidRDefault="00D375C8" w14:paraId="799A2E8B" w14:textId="77777777">
            <w:pPr>
              <w:widowControl w:val="0"/>
              <w:tabs>
                <w:tab w:val="left" w:pos="993"/>
              </w:tabs>
              <w:contextualSpacing/>
              <w:jc w:val="both"/>
              <w:rPr>
                <w:rFonts w:eastAsia="Calibri"/>
                <w:lang w:eastAsia="en-US"/>
              </w:rPr>
            </w:pPr>
            <w:r w:rsidRPr="003428DC">
              <w:rPr>
                <w:rFonts w:eastAsia="Calibri"/>
                <w:lang w:eastAsia="en-US"/>
              </w:rPr>
              <w:t xml:space="preserve">Nepieciešams papildināt noteikumu projekta anotācijas I. sadaļas 2. punkta 5. apakšpunktu ar informāciju, proti, ka saskaņā ar likuma </w:t>
            </w:r>
            <w:r w:rsidRPr="003428DC">
              <w:t>"</w:t>
            </w:r>
            <w:r w:rsidRPr="003428DC">
              <w:rPr>
                <w:rFonts w:eastAsia="Calibri"/>
                <w:lang w:eastAsia="en-US"/>
              </w:rPr>
              <w:t>Par nodokļiem un nodevām</w:t>
            </w:r>
            <w:r w:rsidRPr="003428DC">
              <w:t>"</w:t>
            </w:r>
            <w:r w:rsidRPr="003428DC">
              <w:rPr>
                <w:rFonts w:eastAsia="Calibri"/>
                <w:lang w:eastAsia="en-US"/>
              </w:rPr>
              <w:t xml:space="preserve"> 23.</w:t>
            </w:r>
            <w:r w:rsidRPr="003428DC">
              <w:rPr>
                <w:rFonts w:eastAsia="Calibri"/>
                <w:vertAlign w:val="superscript"/>
                <w:lang w:eastAsia="en-US"/>
              </w:rPr>
              <w:t>1 </w:t>
            </w:r>
            <w:r w:rsidRPr="003428DC">
              <w:rPr>
                <w:rFonts w:eastAsia="Calibri"/>
                <w:lang w:eastAsia="en-US"/>
              </w:rPr>
              <w:t xml:space="preserve">panta pirmo daļu un minētā likuma </w:t>
            </w:r>
            <w:r>
              <w:rPr>
                <w:rFonts w:eastAsia="Calibri"/>
                <w:lang w:eastAsia="en-US"/>
              </w:rPr>
              <w:t>p</w:t>
            </w:r>
            <w:r w:rsidRPr="003428DC">
              <w:rPr>
                <w:rFonts w:eastAsia="Calibri"/>
                <w:lang w:eastAsia="en-US"/>
              </w:rPr>
              <w:t>ārejas noteikumu 207. punktu no 2021.</w:t>
            </w:r>
            <w:r>
              <w:rPr>
                <w:rFonts w:eastAsia="Calibri"/>
                <w:lang w:eastAsia="en-US"/>
              </w:rPr>
              <w:t> </w:t>
            </w:r>
            <w:r w:rsidRPr="003428DC">
              <w:rPr>
                <w:rFonts w:eastAsia="Calibri"/>
                <w:lang w:eastAsia="en-US"/>
              </w:rPr>
              <w:t>gada 1.</w:t>
            </w:r>
            <w:r>
              <w:rPr>
                <w:rFonts w:eastAsia="Calibri"/>
                <w:lang w:eastAsia="en-US"/>
              </w:rPr>
              <w:t> </w:t>
            </w:r>
            <w:r w:rsidRPr="003428DC">
              <w:rPr>
                <w:rFonts w:eastAsia="Calibri"/>
                <w:lang w:eastAsia="en-US"/>
              </w:rPr>
              <w:t>janvāra vienotajā nodokļu kontā iemaksātos nodokļus, nodevas un citus valsts noteiktos maksājumus, tai skaitā uzņēmējdarbības riska valsts nodevu, administrēs Valsts ieņēmumu dienests, kā arī Valsts ieņēmumu dienests, sākot ar 2021.</w:t>
            </w:r>
            <w:r>
              <w:rPr>
                <w:rFonts w:eastAsia="Calibri"/>
                <w:lang w:eastAsia="en-US"/>
              </w:rPr>
              <w:t> </w:t>
            </w:r>
            <w:r w:rsidRPr="003428DC">
              <w:rPr>
                <w:rFonts w:eastAsia="Calibri"/>
                <w:lang w:eastAsia="en-US"/>
              </w:rPr>
              <w:t xml:space="preserve">gadu, nodrošinās vienotajā nodokļu kontā saņemto un uz </w:t>
            </w:r>
            <w:r>
              <w:rPr>
                <w:rFonts w:eastAsia="Calibri"/>
                <w:lang w:eastAsia="en-US"/>
              </w:rPr>
              <w:t>d</w:t>
            </w:r>
            <w:r w:rsidRPr="003428DC">
              <w:rPr>
                <w:rFonts w:eastAsia="Calibri"/>
                <w:lang w:eastAsia="en-US"/>
              </w:rPr>
              <w:t>arbinieku prasījumu garantiju fondu attiecināto uzņēmējdarbības riska valsts nodevas ieņēmumu daļas ieskaitīšanu Tieslietu ministrijas pamatbudžeta apakšprogrammas 06.04.00</w:t>
            </w:r>
            <w:r>
              <w:rPr>
                <w:rFonts w:eastAsia="Calibri"/>
                <w:lang w:eastAsia="en-US"/>
              </w:rPr>
              <w:t> </w:t>
            </w:r>
            <w:r w:rsidRPr="003428DC">
              <w:t>"</w:t>
            </w:r>
            <w:r w:rsidRPr="003428DC">
              <w:rPr>
                <w:rFonts w:eastAsia="Calibri"/>
                <w:lang w:eastAsia="en-US"/>
              </w:rPr>
              <w:t xml:space="preserve">Darbinieku prasījumu </w:t>
            </w:r>
            <w:r w:rsidRPr="003428DC">
              <w:rPr>
                <w:rFonts w:eastAsia="Calibri"/>
                <w:lang w:eastAsia="en-US"/>
              </w:rPr>
              <w:lastRenderedPageBreak/>
              <w:t>garantiju fonds</w:t>
            </w:r>
            <w:r w:rsidRPr="003428DC">
              <w:t>"</w:t>
            </w:r>
            <w:r w:rsidRPr="003428DC">
              <w:rPr>
                <w:rFonts w:eastAsia="Calibri"/>
                <w:lang w:eastAsia="en-US"/>
              </w:rPr>
              <w:t xml:space="preserve"> kontā. </w:t>
            </w:r>
          </w:p>
        </w:tc>
        <w:tc>
          <w:tcPr>
            <w:tcW w:w="2861" w:type="dxa"/>
            <w:tcBorders>
              <w:top w:val="single" w:color="000000" w:sz="6" w:space="0"/>
              <w:left w:val="single" w:color="000000" w:sz="6" w:space="0"/>
              <w:bottom w:val="single" w:color="000000" w:sz="6" w:space="0"/>
              <w:right w:val="single" w:color="000000" w:sz="6" w:space="0"/>
            </w:tcBorders>
          </w:tcPr>
          <w:p w:rsidR="00D375C8" w:rsidP="00E96EEB" w:rsidRDefault="00D375C8" w14:paraId="2AF89411" w14:textId="77777777">
            <w:pPr>
              <w:pStyle w:val="naisc"/>
              <w:spacing w:before="0" w:after="0"/>
            </w:pPr>
            <w:r>
              <w:rPr>
                <w:b/>
              </w:rPr>
              <w:lastRenderedPageBreak/>
              <w:t xml:space="preserve">Priekšlikums </w:t>
            </w:r>
            <w:r w:rsidRPr="009C1AA1">
              <w:rPr>
                <w:b/>
              </w:rPr>
              <w:t>ņemts vērā.</w:t>
            </w:r>
          </w:p>
          <w:p w:rsidRPr="005F6AC5" w:rsidR="00D375C8" w:rsidP="00E96EEB" w:rsidRDefault="00D375C8" w14:paraId="1D551689" w14:textId="77777777">
            <w:pPr>
              <w:pStyle w:val="naisc"/>
              <w:spacing w:before="0" w:after="0"/>
              <w:jc w:val="both"/>
            </w:pPr>
          </w:p>
        </w:tc>
        <w:tc>
          <w:tcPr>
            <w:tcW w:w="4677" w:type="dxa"/>
            <w:tcBorders>
              <w:top w:val="single" w:color="auto" w:sz="4" w:space="0"/>
              <w:left w:val="single" w:color="auto" w:sz="4" w:space="0"/>
              <w:bottom w:val="single" w:color="auto" w:sz="4" w:space="0"/>
            </w:tcBorders>
          </w:tcPr>
          <w:p w:rsidR="00D375C8" w:rsidP="00E96EEB" w:rsidRDefault="00D375C8" w14:paraId="644E4EBF" w14:textId="77777777">
            <w:pPr>
              <w:pStyle w:val="naisf"/>
              <w:spacing w:before="0" w:after="0"/>
              <w:ind w:firstLine="0"/>
              <w:rPr>
                <w:i/>
              </w:rPr>
            </w:pPr>
            <w:r>
              <w:rPr>
                <w:i/>
              </w:rPr>
              <w:t>Anotācija precizēta šādā redakcijā:</w:t>
            </w:r>
          </w:p>
          <w:p w:rsidRPr="003428DC" w:rsidR="00D375C8" w:rsidP="00E96EEB" w:rsidRDefault="00D375C8" w14:paraId="2B2FF272" w14:textId="77777777">
            <w:pPr>
              <w:pStyle w:val="naisf"/>
              <w:spacing w:before="0" w:after="0"/>
              <w:ind w:firstLine="0"/>
              <w:rPr>
                <w:iCs/>
              </w:rPr>
            </w:pPr>
            <w:r w:rsidRPr="000A2681">
              <w:rPr>
                <w:iCs/>
              </w:rPr>
              <w:t>[..]</w:t>
            </w:r>
            <w:r>
              <w:rPr>
                <w:iCs/>
              </w:rPr>
              <w:t> </w:t>
            </w:r>
            <w:r w:rsidRPr="003428DC">
              <w:rPr>
                <w:rFonts w:eastAsia="Calibri"/>
                <w:lang w:eastAsia="en-US"/>
              </w:rPr>
              <w:t>kā arī Valsts ieņēmumu dienests, sākot ar 2021. gadu, nodrošinās vienotajā nodokļu kontā saņemto un uz darbinieku prasījumu garantiju fondu attiecināto URVN ieņēmumu daļas ieskaitīšanu Tieslietu ministrijas pamatbudžeta apakšprogrammas 06.04.00</w:t>
            </w:r>
            <w:r>
              <w:rPr>
                <w:rFonts w:eastAsia="Calibri"/>
                <w:lang w:eastAsia="en-US"/>
              </w:rPr>
              <w:t> </w:t>
            </w:r>
            <w:r w:rsidRPr="003428DC">
              <w:t>"</w:t>
            </w:r>
            <w:r w:rsidRPr="003428DC">
              <w:rPr>
                <w:rFonts w:eastAsia="Calibri"/>
                <w:lang w:eastAsia="en-US"/>
              </w:rPr>
              <w:t>Darbinieku prasījumu garantiju fonds</w:t>
            </w:r>
            <w:r w:rsidRPr="003428DC">
              <w:t>"</w:t>
            </w:r>
            <w:r w:rsidRPr="003428DC">
              <w:rPr>
                <w:rFonts w:eastAsia="Calibri"/>
                <w:lang w:eastAsia="en-US"/>
              </w:rPr>
              <w:t xml:space="preserve"> kontā.</w:t>
            </w:r>
          </w:p>
          <w:p w:rsidRPr="00E77BA8" w:rsidR="00D375C8" w:rsidP="00E96EEB" w:rsidRDefault="00D375C8" w14:paraId="6974B8F5" w14:textId="77777777">
            <w:pPr>
              <w:pStyle w:val="Parastais"/>
              <w:jc w:val="both"/>
              <w:rPr>
                <w:color w:val="000000"/>
              </w:rPr>
            </w:pPr>
          </w:p>
        </w:tc>
      </w:tr>
      <w:tr w:rsidRPr="009C1AA1" w:rsidR="00D375C8" w:rsidTr="00E96EEB" w14:paraId="007A97FD"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00D375C8" w:rsidP="00E96EEB" w:rsidRDefault="00D375C8" w14:paraId="1AEAD709" w14:textId="77777777">
            <w:pPr>
              <w:pStyle w:val="naisc"/>
              <w:spacing w:before="0" w:after="0"/>
              <w:jc w:val="left"/>
            </w:pPr>
            <w:r>
              <w:t>3.</w:t>
            </w:r>
          </w:p>
        </w:tc>
        <w:tc>
          <w:tcPr>
            <w:tcW w:w="2355" w:type="dxa"/>
            <w:tcBorders>
              <w:top w:val="single" w:color="000000" w:sz="6" w:space="0"/>
              <w:left w:val="single" w:color="000000" w:sz="6" w:space="0"/>
              <w:bottom w:val="single" w:color="000000" w:sz="6" w:space="0"/>
              <w:right w:val="single" w:color="000000" w:sz="6" w:space="0"/>
            </w:tcBorders>
          </w:tcPr>
          <w:p w:rsidR="00D375C8" w:rsidP="00E96EEB" w:rsidRDefault="00D375C8" w14:paraId="3E483A7A" w14:textId="77777777">
            <w:pPr>
              <w:jc w:val="both"/>
              <w:rPr>
                <w:color w:val="000000"/>
              </w:rPr>
            </w:pPr>
            <w:r>
              <w:rPr>
                <w:bCs/>
                <w:color w:val="000000"/>
              </w:rPr>
              <w:t>Skat. noteikumu projekta anotāciju</w:t>
            </w:r>
          </w:p>
        </w:tc>
        <w:tc>
          <w:tcPr>
            <w:tcW w:w="3969" w:type="dxa"/>
            <w:tcBorders>
              <w:top w:val="single" w:color="000000" w:sz="6" w:space="0"/>
              <w:left w:val="single" w:color="000000" w:sz="6" w:space="0"/>
              <w:bottom w:val="single" w:color="000000" w:sz="6" w:space="0"/>
              <w:right w:val="single" w:color="000000" w:sz="6" w:space="0"/>
            </w:tcBorders>
          </w:tcPr>
          <w:p w:rsidR="00D375C8" w:rsidP="00E96EEB" w:rsidRDefault="00D375C8" w14:paraId="73F83BB9" w14:textId="77777777">
            <w:pPr>
              <w:pStyle w:val="naisc"/>
              <w:spacing w:before="0" w:after="0"/>
              <w:rPr>
                <w:b/>
              </w:rPr>
            </w:pPr>
            <w:r>
              <w:rPr>
                <w:b/>
              </w:rPr>
              <w:t>Finanšu ministrija</w:t>
            </w:r>
          </w:p>
          <w:p w:rsidRPr="008E5892" w:rsidR="00D375C8" w:rsidP="00E96EEB" w:rsidRDefault="00D375C8" w14:paraId="15182D82" w14:textId="77777777">
            <w:pPr>
              <w:jc w:val="both"/>
            </w:pPr>
            <w:r w:rsidRPr="00DA0362">
              <w:t>Nepieciešams noteikumu projekta anotācijā skaidrot, ka vienotajā nodokļu kontā 2021.</w:t>
            </w:r>
            <w:r>
              <w:t> </w:t>
            </w:r>
            <w:r w:rsidRPr="00DA0362">
              <w:t>gada beigās saņemtos, bet vēl uz uzņēmējdarbības riska valsts nodevas ieņēmumiem neattiecinātos ieņēmumus Valsts ieņēmumu dienests pēc to attiecināšanas ieskaitīs Tieslietu ministrijas pamatbudžeta apakšprogrammas 06.04.00 "Darbinieku prasījumu garantiju fonds" kontā pašu ieņēmumos nākamajā saimnieciskajā gadā.</w:t>
            </w:r>
          </w:p>
        </w:tc>
        <w:tc>
          <w:tcPr>
            <w:tcW w:w="2861" w:type="dxa"/>
            <w:tcBorders>
              <w:top w:val="single" w:color="000000" w:sz="6" w:space="0"/>
              <w:left w:val="single" w:color="000000" w:sz="6" w:space="0"/>
              <w:bottom w:val="single" w:color="000000" w:sz="6" w:space="0"/>
              <w:right w:val="single" w:color="000000" w:sz="6" w:space="0"/>
            </w:tcBorders>
          </w:tcPr>
          <w:p w:rsidR="00D375C8" w:rsidP="00E96EEB" w:rsidRDefault="00D375C8" w14:paraId="5B968D19" w14:textId="77777777">
            <w:pPr>
              <w:pStyle w:val="naisc"/>
              <w:spacing w:before="0" w:after="0"/>
            </w:pPr>
            <w:r>
              <w:rPr>
                <w:b/>
              </w:rPr>
              <w:t xml:space="preserve">Priekšlikums </w:t>
            </w:r>
            <w:r w:rsidRPr="009C1AA1">
              <w:rPr>
                <w:b/>
              </w:rPr>
              <w:t>ņemts vērā.</w:t>
            </w:r>
          </w:p>
          <w:p w:rsidRPr="009C1AA1" w:rsidR="00D375C8" w:rsidP="00E96EEB" w:rsidRDefault="00D375C8" w14:paraId="39AFCCC0" w14:textId="77777777">
            <w:pPr>
              <w:pStyle w:val="naisc"/>
              <w:spacing w:before="0" w:after="0"/>
              <w:jc w:val="left"/>
              <w:rPr>
                <w:b/>
              </w:rPr>
            </w:pPr>
          </w:p>
        </w:tc>
        <w:tc>
          <w:tcPr>
            <w:tcW w:w="4677" w:type="dxa"/>
            <w:tcBorders>
              <w:top w:val="single" w:color="auto" w:sz="4" w:space="0"/>
              <w:left w:val="single" w:color="auto" w:sz="4" w:space="0"/>
              <w:bottom w:val="single" w:color="auto" w:sz="4" w:space="0"/>
            </w:tcBorders>
          </w:tcPr>
          <w:p w:rsidR="00D375C8" w:rsidP="00E96EEB" w:rsidRDefault="00D375C8" w14:paraId="284EC555" w14:textId="77777777">
            <w:pPr>
              <w:jc w:val="both"/>
              <w:rPr>
                <w:i/>
                <w:iCs/>
              </w:rPr>
            </w:pPr>
            <w:r>
              <w:rPr>
                <w:i/>
              </w:rPr>
              <w:t xml:space="preserve">Atbilstoši precizēts anotācijas </w:t>
            </w:r>
            <w:r w:rsidRPr="00DA0362">
              <w:rPr>
                <w:bCs/>
                <w:i/>
              </w:rPr>
              <w:t>I sadaļas 2. punkts</w:t>
            </w:r>
            <w:r>
              <w:rPr>
                <w:i/>
                <w:iCs/>
              </w:rPr>
              <w:t>:</w:t>
            </w:r>
          </w:p>
          <w:p w:rsidRPr="00DA0362" w:rsidR="00D375C8" w:rsidP="00E96EEB" w:rsidRDefault="00D375C8" w14:paraId="70F510B6" w14:textId="77777777">
            <w:pPr>
              <w:jc w:val="both"/>
            </w:pPr>
            <w:r w:rsidRPr="00DA0362">
              <w:t>Vienotajā nodokļu kontā 2021. gada beigās saņemtos, bet vēl uz URVN ieņēmumiem neattiecinātos ieņēmumus Valsts ieņēmumu dienests pēc to attiecināšanas ieskaitīs Tieslietu ministrijas pamatbudžeta apakšprogrammas 06.04.00 "Darbinieku prasījumu garantiju fonds" kontā pašu ieņēmumos nākamajā saimnieciskajā gadā.</w:t>
            </w:r>
          </w:p>
          <w:p w:rsidRPr="00E41F49" w:rsidR="00D375C8" w:rsidP="00E96EEB" w:rsidRDefault="00D375C8" w14:paraId="048F1739" w14:textId="77777777">
            <w:pPr>
              <w:jc w:val="both"/>
            </w:pPr>
          </w:p>
        </w:tc>
      </w:tr>
      <w:tr w:rsidRPr="009C1AA1" w:rsidR="00D375C8" w:rsidTr="00E96EEB" w14:paraId="7A83DF2B"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00D375C8" w:rsidP="00E96EEB" w:rsidRDefault="00D375C8" w14:paraId="7A2573D0" w14:textId="77777777">
            <w:pPr>
              <w:pStyle w:val="naisc"/>
              <w:spacing w:before="0" w:after="0"/>
              <w:jc w:val="left"/>
            </w:pPr>
            <w:r>
              <w:t>4.</w:t>
            </w:r>
          </w:p>
        </w:tc>
        <w:tc>
          <w:tcPr>
            <w:tcW w:w="2355" w:type="dxa"/>
            <w:tcBorders>
              <w:top w:val="single" w:color="000000" w:sz="6" w:space="0"/>
              <w:left w:val="single" w:color="000000" w:sz="6" w:space="0"/>
              <w:bottom w:val="single" w:color="000000" w:sz="6" w:space="0"/>
              <w:right w:val="single" w:color="000000" w:sz="6" w:space="0"/>
            </w:tcBorders>
          </w:tcPr>
          <w:p w:rsidR="00D375C8" w:rsidP="00E96EEB" w:rsidRDefault="00D375C8" w14:paraId="09D8E788" w14:textId="77777777">
            <w:pPr>
              <w:jc w:val="both"/>
              <w:rPr>
                <w:bCs/>
                <w:color w:val="000000"/>
              </w:rPr>
            </w:pPr>
            <w:r w:rsidRPr="00692042">
              <w:rPr>
                <w:bCs/>
                <w:color w:val="000000"/>
              </w:rPr>
              <w:t>Anotācijas I sadaļas 2. punkts</w:t>
            </w:r>
          </w:p>
        </w:tc>
        <w:tc>
          <w:tcPr>
            <w:tcW w:w="3969" w:type="dxa"/>
            <w:tcBorders>
              <w:top w:val="single" w:color="000000" w:sz="6" w:space="0"/>
              <w:left w:val="single" w:color="000000" w:sz="6" w:space="0"/>
              <w:bottom w:val="single" w:color="000000" w:sz="6" w:space="0"/>
              <w:right w:val="single" w:color="000000" w:sz="6" w:space="0"/>
            </w:tcBorders>
          </w:tcPr>
          <w:p w:rsidR="00D375C8" w:rsidP="00E96EEB" w:rsidRDefault="00D375C8" w14:paraId="6136F9E3" w14:textId="77777777">
            <w:pPr>
              <w:pStyle w:val="naisc"/>
              <w:spacing w:before="0" w:after="0"/>
              <w:rPr>
                <w:b/>
              </w:rPr>
            </w:pPr>
            <w:r>
              <w:rPr>
                <w:b/>
              </w:rPr>
              <w:t>Finanšu ministrija</w:t>
            </w:r>
          </w:p>
          <w:p w:rsidRPr="00692042" w:rsidR="00D375C8" w:rsidP="00E96EEB" w:rsidRDefault="00D375C8" w14:paraId="151D5D1F" w14:textId="77777777">
            <w:pPr>
              <w:tabs>
                <w:tab w:val="left" w:pos="993"/>
              </w:tabs>
              <w:contextualSpacing/>
              <w:jc w:val="both"/>
              <w:rPr>
                <w:rFonts w:eastAsia="Calibri" w:cs="Calibri"/>
                <w:lang w:eastAsia="en-US"/>
              </w:rPr>
            </w:pPr>
            <w:r w:rsidRPr="00692042">
              <w:rPr>
                <w:rFonts w:cs="Calibri"/>
                <w:lang w:eastAsia="en-US"/>
              </w:rPr>
              <w:t xml:space="preserve">Noteikumu projekta anotācijas I. sadaļas 2. punktā svītrot vārdus </w:t>
            </w:r>
            <w:r w:rsidRPr="00DA0362">
              <w:t>"</w:t>
            </w:r>
            <w:r w:rsidRPr="00692042">
              <w:rPr>
                <w:rFonts w:eastAsia="Calibri" w:cs="Calibri"/>
                <w:lang w:eastAsia="en-US"/>
              </w:rPr>
              <w:t>saskaņā ar Ministru kabineta 2010.</w:t>
            </w:r>
            <w:r>
              <w:rPr>
                <w:rFonts w:eastAsia="Calibri" w:cs="Calibri"/>
                <w:lang w:eastAsia="en-US"/>
              </w:rPr>
              <w:t> </w:t>
            </w:r>
            <w:r w:rsidRPr="00692042">
              <w:rPr>
                <w:rFonts w:eastAsia="Calibri" w:cs="Calibri"/>
                <w:lang w:eastAsia="en-US"/>
              </w:rPr>
              <w:t>gada 28.</w:t>
            </w:r>
            <w:r>
              <w:rPr>
                <w:rFonts w:eastAsia="Calibri" w:cs="Calibri"/>
                <w:lang w:eastAsia="en-US"/>
              </w:rPr>
              <w:t> </w:t>
            </w:r>
            <w:r w:rsidRPr="00692042">
              <w:rPr>
                <w:rFonts w:eastAsia="Calibri" w:cs="Calibri"/>
                <w:lang w:eastAsia="en-US"/>
              </w:rPr>
              <w:t>decembra noteikumos Nr.</w:t>
            </w:r>
            <w:r>
              <w:rPr>
                <w:rFonts w:eastAsia="Calibri" w:cs="Calibri"/>
                <w:lang w:eastAsia="en-US"/>
              </w:rPr>
              <w:t> </w:t>
            </w:r>
            <w:r w:rsidRPr="00692042">
              <w:rPr>
                <w:rFonts w:eastAsia="Calibri" w:cs="Calibri"/>
                <w:lang w:eastAsia="en-US"/>
              </w:rPr>
              <w:t xml:space="preserve">1220 </w:t>
            </w:r>
            <w:r w:rsidRPr="00DA0362">
              <w:t>"</w:t>
            </w:r>
            <w:r w:rsidRPr="00692042">
              <w:rPr>
                <w:rFonts w:eastAsia="Calibri" w:cs="Calibri"/>
                <w:lang w:eastAsia="en-US"/>
              </w:rPr>
              <w:t>Asignējumu piešķiršanas un izpildes kārtība</w:t>
            </w:r>
            <w:r>
              <w:t>"</w:t>
            </w:r>
            <w:r w:rsidRPr="00692042">
              <w:rPr>
                <w:rFonts w:eastAsia="Calibri" w:cs="Calibri"/>
                <w:lang w:eastAsia="en-US"/>
              </w:rPr>
              <w:t xml:space="preserve"> noteikto kārtību</w:t>
            </w:r>
            <w:r w:rsidRPr="00DA0362">
              <w:t>""</w:t>
            </w:r>
            <w:r w:rsidRPr="00692042">
              <w:rPr>
                <w:rFonts w:cs="Calibri"/>
                <w:lang w:eastAsia="en-US"/>
              </w:rPr>
              <w:t xml:space="preserve"> un izteikt rindkopu šādā redakcijā:</w:t>
            </w:r>
          </w:p>
          <w:p w:rsidRPr="006B0469" w:rsidR="00D375C8" w:rsidP="00E96EEB" w:rsidRDefault="00D375C8" w14:paraId="228A3811" w14:textId="77777777">
            <w:pPr>
              <w:jc w:val="both"/>
              <w:rPr>
                <w:bCs/>
                <w:lang w:eastAsia="en-US"/>
              </w:rPr>
            </w:pPr>
            <w:r w:rsidRPr="00DA0362">
              <w:t>"</w:t>
            </w:r>
            <w:r w:rsidRPr="00692042">
              <w:rPr>
                <w:lang w:eastAsia="en-US"/>
              </w:rPr>
              <w:t>Lai nodrošinātu maksātnespējas procesa izmaksu segšanu maksātnespējas procesos, kas tika uzsākti līdz 2010.</w:t>
            </w:r>
            <w:r>
              <w:rPr>
                <w:lang w:eastAsia="en-US"/>
              </w:rPr>
              <w:t> </w:t>
            </w:r>
            <w:r w:rsidRPr="00692042">
              <w:rPr>
                <w:lang w:eastAsia="en-US"/>
              </w:rPr>
              <w:t>gada 31.</w:t>
            </w:r>
            <w:r>
              <w:rPr>
                <w:lang w:eastAsia="en-US"/>
              </w:rPr>
              <w:t> </w:t>
            </w:r>
            <w:r w:rsidRPr="00692042">
              <w:rPr>
                <w:lang w:eastAsia="en-US"/>
              </w:rPr>
              <w:t>oktobrim, valsts pamatbudžeta apakšprogrammas 06.05.00 </w:t>
            </w:r>
            <w:r w:rsidRPr="00DA0362">
              <w:t>"</w:t>
            </w:r>
            <w:r w:rsidRPr="00692042">
              <w:rPr>
                <w:lang w:eastAsia="en-US"/>
              </w:rPr>
              <w:t>Maksātnespējas procesa izmaksas</w:t>
            </w:r>
            <w:r w:rsidRPr="00DA0362">
              <w:t>"</w:t>
            </w:r>
            <w:r w:rsidRPr="00692042">
              <w:rPr>
                <w:lang w:eastAsia="en-US"/>
              </w:rPr>
              <w:t xml:space="preserve"> izdevumu segšanai tiks izmantots finansējums no iepriekšējo </w:t>
            </w:r>
            <w:r w:rsidRPr="00692042">
              <w:rPr>
                <w:lang w:eastAsia="en-US"/>
              </w:rPr>
              <w:lastRenderedPageBreak/>
              <w:t>gadu atlikuma 711 </w:t>
            </w:r>
            <w:r w:rsidRPr="00692042">
              <w:rPr>
                <w:i/>
                <w:iCs/>
                <w:lang w:eastAsia="en-US"/>
              </w:rPr>
              <w:t>euro</w:t>
            </w:r>
            <w:r w:rsidRPr="00692042">
              <w:rPr>
                <w:iCs/>
                <w:lang w:eastAsia="en-US"/>
              </w:rPr>
              <w:t xml:space="preserve"> </w:t>
            </w:r>
            <w:r w:rsidRPr="00692042">
              <w:rPr>
                <w:lang w:eastAsia="en-US"/>
              </w:rPr>
              <w:t>mēnesī (8532 </w:t>
            </w:r>
            <w:r w:rsidRPr="00692042">
              <w:rPr>
                <w:i/>
                <w:iCs/>
                <w:lang w:eastAsia="en-US"/>
              </w:rPr>
              <w:t>euro</w:t>
            </w:r>
            <w:r w:rsidRPr="00692042">
              <w:rPr>
                <w:lang w:eastAsia="en-US"/>
              </w:rPr>
              <w:t xml:space="preserve"> gadā).</w:t>
            </w:r>
            <w:r w:rsidRPr="00DA0362">
              <w:t>"</w:t>
            </w:r>
          </w:p>
        </w:tc>
        <w:tc>
          <w:tcPr>
            <w:tcW w:w="2861" w:type="dxa"/>
            <w:tcBorders>
              <w:top w:val="single" w:color="000000" w:sz="6" w:space="0"/>
              <w:left w:val="single" w:color="000000" w:sz="6" w:space="0"/>
              <w:bottom w:val="single" w:color="000000" w:sz="6" w:space="0"/>
              <w:right w:val="single" w:color="000000" w:sz="6" w:space="0"/>
            </w:tcBorders>
          </w:tcPr>
          <w:p w:rsidR="00D375C8" w:rsidP="00E96EEB" w:rsidRDefault="00D375C8" w14:paraId="2B95BACB" w14:textId="77777777">
            <w:pPr>
              <w:pStyle w:val="naisc"/>
              <w:spacing w:before="0" w:after="0"/>
            </w:pPr>
            <w:r>
              <w:rPr>
                <w:b/>
              </w:rPr>
              <w:lastRenderedPageBreak/>
              <w:t xml:space="preserve">Priekšlikums </w:t>
            </w:r>
            <w:r w:rsidRPr="009C1AA1">
              <w:rPr>
                <w:b/>
              </w:rPr>
              <w:t>ņemts vērā.</w:t>
            </w:r>
          </w:p>
          <w:p w:rsidR="00D375C8" w:rsidP="00E96EEB" w:rsidRDefault="00D375C8" w14:paraId="2A2BD6B0" w14:textId="77777777">
            <w:pPr>
              <w:pStyle w:val="naisc"/>
              <w:spacing w:before="0" w:after="0"/>
              <w:rPr>
                <w:b/>
              </w:rPr>
            </w:pPr>
          </w:p>
        </w:tc>
        <w:tc>
          <w:tcPr>
            <w:tcW w:w="4677" w:type="dxa"/>
            <w:tcBorders>
              <w:top w:val="single" w:color="auto" w:sz="4" w:space="0"/>
              <w:left w:val="single" w:color="auto" w:sz="4" w:space="0"/>
              <w:bottom w:val="single" w:color="auto" w:sz="4" w:space="0"/>
            </w:tcBorders>
          </w:tcPr>
          <w:p w:rsidR="00D375C8" w:rsidP="00E96EEB" w:rsidRDefault="00D375C8" w14:paraId="6ED7E8B7" w14:textId="77777777">
            <w:pPr>
              <w:jc w:val="both"/>
              <w:rPr>
                <w:i/>
                <w:iCs/>
              </w:rPr>
            </w:pPr>
            <w:r>
              <w:rPr>
                <w:i/>
              </w:rPr>
              <w:t xml:space="preserve">Atbilstoši precizēts anotācijas </w:t>
            </w:r>
            <w:r w:rsidRPr="00DA0362">
              <w:rPr>
                <w:bCs/>
                <w:i/>
              </w:rPr>
              <w:t>I sadaļas 2. punkts</w:t>
            </w:r>
            <w:r>
              <w:rPr>
                <w:i/>
                <w:iCs/>
              </w:rPr>
              <w:t>:</w:t>
            </w:r>
          </w:p>
          <w:p w:rsidR="00D375C8" w:rsidP="00E96EEB" w:rsidRDefault="00D375C8" w14:paraId="6C0798F5" w14:textId="77777777">
            <w:pPr>
              <w:jc w:val="both"/>
              <w:rPr>
                <w:i/>
              </w:rPr>
            </w:pPr>
            <w:r w:rsidRPr="00692042">
              <w:t>Lai nodrošinātu maksātnespējas procesa izmaksu segšanu maksātnespējas procesos, kas tika uzsākti līdz 2010. gada 31. oktobrim, valsts pamatbudžeta apakšprogrammas 06.05.00 "Maksātnespējas procesa izmaksas" izdevumu segšanai tiks izmantots finansējums no iepriekšējo gadu atlikuma 711 </w:t>
            </w:r>
            <w:r w:rsidRPr="00692042">
              <w:rPr>
                <w:i/>
                <w:iCs/>
              </w:rPr>
              <w:t>euro</w:t>
            </w:r>
            <w:r w:rsidRPr="00692042">
              <w:rPr>
                <w:iCs/>
              </w:rPr>
              <w:t xml:space="preserve"> </w:t>
            </w:r>
            <w:r w:rsidRPr="00692042">
              <w:t>mēnesī (8532 </w:t>
            </w:r>
            <w:r w:rsidRPr="00692042">
              <w:rPr>
                <w:i/>
                <w:iCs/>
              </w:rPr>
              <w:t>euro</w:t>
            </w:r>
            <w:r w:rsidRPr="00692042">
              <w:t xml:space="preserve"> gadā).</w:t>
            </w:r>
          </w:p>
        </w:tc>
      </w:tr>
      <w:tr w:rsidRPr="009C1AA1" w:rsidR="00D375C8" w:rsidTr="00E96EEB" w14:paraId="3C483E8A"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00D375C8" w:rsidP="00E96EEB" w:rsidRDefault="00D375C8" w14:paraId="301571AD" w14:textId="77777777">
            <w:pPr>
              <w:pStyle w:val="naisc"/>
              <w:spacing w:before="0" w:after="0"/>
              <w:jc w:val="left"/>
            </w:pPr>
            <w:r>
              <w:t>5.</w:t>
            </w:r>
          </w:p>
        </w:tc>
        <w:tc>
          <w:tcPr>
            <w:tcW w:w="2355" w:type="dxa"/>
            <w:tcBorders>
              <w:top w:val="single" w:color="000000" w:sz="6" w:space="0"/>
              <w:left w:val="single" w:color="000000" w:sz="6" w:space="0"/>
              <w:bottom w:val="single" w:color="000000" w:sz="6" w:space="0"/>
              <w:right w:val="single" w:color="000000" w:sz="6" w:space="0"/>
            </w:tcBorders>
          </w:tcPr>
          <w:p w:rsidRPr="00692042" w:rsidR="00D375C8" w:rsidP="00E96EEB" w:rsidRDefault="00D375C8" w14:paraId="41B6D9D5" w14:textId="77777777">
            <w:pPr>
              <w:jc w:val="both"/>
              <w:rPr>
                <w:bCs/>
                <w:color w:val="000000"/>
              </w:rPr>
            </w:pPr>
            <w:r w:rsidRPr="00692042">
              <w:rPr>
                <w:bCs/>
                <w:color w:val="000000"/>
              </w:rPr>
              <w:t>Anotācijas I</w:t>
            </w:r>
            <w:r>
              <w:rPr>
                <w:bCs/>
                <w:color w:val="000000"/>
              </w:rPr>
              <w:t>II</w:t>
            </w:r>
            <w:r w:rsidRPr="00692042">
              <w:rPr>
                <w:bCs/>
                <w:color w:val="000000"/>
              </w:rPr>
              <w:t> sadaļa</w:t>
            </w:r>
          </w:p>
        </w:tc>
        <w:tc>
          <w:tcPr>
            <w:tcW w:w="3969" w:type="dxa"/>
            <w:tcBorders>
              <w:top w:val="single" w:color="000000" w:sz="6" w:space="0"/>
              <w:left w:val="single" w:color="000000" w:sz="6" w:space="0"/>
              <w:bottom w:val="single" w:color="000000" w:sz="6" w:space="0"/>
              <w:right w:val="single" w:color="000000" w:sz="6" w:space="0"/>
            </w:tcBorders>
          </w:tcPr>
          <w:p w:rsidR="00D375C8" w:rsidP="00E96EEB" w:rsidRDefault="00D375C8" w14:paraId="1ECF8E02" w14:textId="77777777">
            <w:pPr>
              <w:pStyle w:val="naisc"/>
              <w:spacing w:before="0" w:after="0"/>
              <w:rPr>
                <w:b/>
              </w:rPr>
            </w:pPr>
            <w:r>
              <w:rPr>
                <w:b/>
              </w:rPr>
              <w:t>Finanšu ministrija</w:t>
            </w:r>
          </w:p>
          <w:p w:rsidRPr="00AC4994" w:rsidR="00D375C8" w:rsidP="00E96EEB" w:rsidRDefault="00D375C8" w14:paraId="1B879D19" w14:textId="77777777">
            <w:pPr>
              <w:jc w:val="both"/>
            </w:pPr>
            <w:r w:rsidRPr="00AC4994">
              <w:t>Vienlaikus atzīmējam, ka noteikumu projekta anotācijas III sadaļā sniegta informācija, ka Tieslietu ministrija ir iesniegusi Finanšu ministrijā priekšlikumus atbilstoši informatīvajā ziņojumā (izskatīts Ministru kabineta 2020.</w:t>
            </w:r>
            <w:r>
              <w:t> </w:t>
            </w:r>
            <w:r w:rsidRPr="00AC4994">
              <w:t>gada 25.</w:t>
            </w:r>
            <w:r>
              <w:t> </w:t>
            </w:r>
            <w:r w:rsidRPr="00AC4994">
              <w:t>augusta sēdē) minētajam,  līdz ar to lūdzam noteikumu projekta anotācijas</w:t>
            </w:r>
            <w:r>
              <w:t xml:space="preserve"> </w:t>
            </w:r>
            <w:r w:rsidRPr="00AC4994">
              <w:t>III</w:t>
            </w:r>
            <w:r>
              <w:t> </w:t>
            </w:r>
            <w:r w:rsidRPr="00AC4994">
              <w:t>sadaļas 8.</w:t>
            </w:r>
            <w:r>
              <w:t> </w:t>
            </w:r>
            <w:r w:rsidRPr="00AC4994">
              <w:t>punktu papildināt, norādot, ka šāds uzņēmējdarbības riska valsts nodevas sadalījums 2021.</w:t>
            </w:r>
            <w:r>
              <w:t> </w:t>
            </w:r>
            <w:r w:rsidRPr="00AC4994">
              <w:t xml:space="preserve">gadam ir iekļauts likumprojektā </w:t>
            </w:r>
            <w:r w:rsidRPr="00692042">
              <w:t>"</w:t>
            </w:r>
            <w:r w:rsidRPr="00AC4994">
              <w:t>Par valsts budžetu 2021.</w:t>
            </w:r>
            <w:r>
              <w:t> </w:t>
            </w:r>
            <w:r w:rsidRPr="00AC4994">
              <w:t>gadam</w:t>
            </w:r>
            <w:r w:rsidRPr="00692042">
              <w:t>"</w:t>
            </w:r>
            <w:r w:rsidRPr="00AC4994">
              <w:t>.</w:t>
            </w:r>
          </w:p>
        </w:tc>
        <w:tc>
          <w:tcPr>
            <w:tcW w:w="2861" w:type="dxa"/>
            <w:tcBorders>
              <w:top w:val="single" w:color="000000" w:sz="6" w:space="0"/>
              <w:left w:val="single" w:color="000000" w:sz="6" w:space="0"/>
              <w:bottom w:val="single" w:color="000000" w:sz="6" w:space="0"/>
              <w:right w:val="single" w:color="000000" w:sz="6" w:space="0"/>
            </w:tcBorders>
          </w:tcPr>
          <w:p w:rsidR="00D375C8" w:rsidP="00E96EEB" w:rsidRDefault="00D375C8" w14:paraId="3CA28EAA" w14:textId="77777777">
            <w:pPr>
              <w:pStyle w:val="naisc"/>
              <w:spacing w:before="0" w:after="0"/>
            </w:pPr>
            <w:r>
              <w:rPr>
                <w:b/>
              </w:rPr>
              <w:t xml:space="preserve">Priekšlikums </w:t>
            </w:r>
            <w:r w:rsidRPr="009C1AA1">
              <w:rPr>
                <w:b/>
              </w:rPr>
              <w:t>ņemts vērā.</w:t>
            </w:r>
          </w:p>
          <w:p w:rsidR="00D375C8" w:rsidP="00E96EEB" w:rsidRDefault="00D375C8" w14:paraId="4347EDA5" w14:textId="77777777">
            <w:pPr>
              <w:pStyle w:val="naisc"/>
              <w:spacing w:before="0" w:after="0"/>
              <w:rPr>
                <w:b/>
              </w:rPr>
            </w:pPr>
          </w:p>
        </w:tc>
        <w:tc>
          <w:tcPr>
            <w:tcW w:w="4677" w:type="dxa"/>
            <w:tcBorders>
              <w:top w:val="single" w:color="auto" w:sz="4" w:space="0"/>
              <w:left w:val="single" w:color="auto" w:sz="4" w:space="0"/>
              <w:bottom w:val="single" w:color="auto" w:sz="4" w:space="0"/>
            </w:tcBorders>
          </w:tcPr>
          <w:p w:rsidR="00D375C8" w:rsidP="00E96EEB" w:rsidRDefault="00D375C8" w14:paraId="39749D45" w14:textId="77777777">
            <w:pPr>
              <w:jc w:val="both"/>
              <w:rPr>
                <w:i/>
                <w:iCs/>
              </w:rPr>
            </w:pPr>
            <w:r>
              <w:rPr>
                <w:i/>
              </w:rPr>
              <w:t>Atbilstoši precizēts anotācijas II</w:t>
            </w:r>
            <w:r w:rsidRPr="00DA0362">
              <w:rPr>
                <w:bCs/>
                <w:i/>
              </w:rPr>
              <w:t>I sadaļa</w:t>
            </w:r>
            <w:r>
              <w:rPr>
                <w:i/>
                <w:iCs/>
              </w:rPr>
              <w:t>:</w:t>
            </w:r>
          </w:p>
          <w:p w:rsidR="00D375C8" w:rsidP="00E96EEB" w:rsidRDefault="00D375C8" w14:paraId="49C24119" w14:textId="77777777">
            <w:pPr>
              <w:jc w:val="both"/>
              <w:rPr>
                <w:i/>
              </w:rPr>
            </w:pPr>
            <w:r w:rsidRPr="006C1F57">
              <w:rPr>
                <w:iCs/>
              </w:rPr>
              <w:t>[..] </w:t>
            </w:r>
            <w:r w:rsidRPr="006C1F57">
              <w:t xml:space="preserve">un </w:t>
            </w:r>
            <w:r w:rsidRPr="00AC4994">
              <w:t>šād</w:t>
            </w:r>
            <w:r w:rsidRPr="006C1F57">
              <w:t>s</w:t>
            </w:r>
            <w:r w:rsidRPr="00AC4994">
              <w:t xml:space="preserve"> </w:t>
            </w:r>
            <w:r w:rsidRPr="006C1F57">
              <w:t>URVN</w:t>
            </w:r>
            <w:r w:rsidRPr="00AC4994">
              <w:t xml:space="preserve"> sadalījums 2021.</w:t>
            </w:r>
            <w:r w:rsidRPr="006C1F57">
              <w:t> </w:t>
            </w:r>
            <w:r w:rsidRPr="00AC4994">
              <w:t xml:space="preserve">gadam ir iekļauts likumprojektā </w:t>
            </w:r>
            <w:r w:rsidRPr="006C1F57">
              <w:t>"</w:t>
            </w:r>
            <w:r w:rsidRPr="00AC4994">
              <w:t>Par valsts budžetu 2021.</w:t>
            </w:r>
            <w:r>
              <w:t> </w:t>
            </w:r>
            <w:r w:rsidRPr="00AC4994">
              <w:t>gadam</w:t>
            </w:r>
            <w:r w:rsidRPr="006C1F57">
              <w:t>"</w:t>
            </w:r>
            <w:r>
              <w:t>.</w:t>
            </w:r>
          </w:p>
        </w:tc>
      </w:tr>
      <w:tr w:rsidRPr="009C1AA1" w:rsidR="00D375C8" w:rsidTr="00E96EEB" w14:paraId="6A82B086" w14:textId="77777777">
        <w:tblPrEx>
          <w:tblBorders>
            <w:top w:val="none" w:color="auto" w:sz="0" w:space="0"/>
            <w:left w:val="none" w:color="auto" w:sz="0" w:space="0"/>
            <w:bottom w:val="none" w:color="auto" w:sz="0" w:space="0"/>
            <w:right w:val="none" w:color="auto" w:sz="0" w:space="0"/>
          </w:tblBorders>
        </w:tblPrEx>
        <w:trPr>
          <w:gridAfter w:val="1"/>
          <w:wAfter w:w="4677" w:type="dxa"/>
        </w:trPr>
        <w:tc>
          <w:tcPr>
            <w:tcW w:w="2943" w:type="dxa"/>
            <w:gridSpan w:val="2"/>
          </w:tcPr>
          <w:p w:rsidRPr="009C1AA1" w:rsidR="00D375C8" w:rsidP="00E96EEB" w:rsidRDefault="00D375C8" w14:paraId="3A940189" w14:textId="77777777">
            <w:pPr>
              <w:pStyle w:val="naiskr"/>
              <w:spacing w:before="0" w:after="0"/>
            </w:pPr>
          </w:p>
        </w:tc>
        <w:tc>
          <w:tcPr>
            <w:tcW w:w="6830" w:type="dxa"/>
            <w:gridSpan w:val="2"/>
          </w:tcPr>
          <w:p w:rsidRPr="009C1AA1" w:rsidR="00D375C8" w:rsidP="00E96EEB" w:rsidRDefault="00D375C8" w14:paraId="5B0BB098" w14:textId="77777777">
            <w:pPr>
              <w:pStyle w:val="naiskr"/>
              <w:spacing w:before="0" w:after="0"/>
              <w:ind w:firstLine="720"/>
            </w:pPr>
          </w:p>
        </w:tc>
      </w:tr>
      <w:tr w:rsidRPr="009C1AA1" w:rsidR="00D375C8" w:rsidTr="00E96EEB" w14:paraId="189E5E0F" w14:textId="77777777">
        <w:tblPrEx>
          <w:tblBorders>
            <w:top w:val="none" w:color="auto" w:sz="0" w:space="0"/>
            <w:left w:val="none" w:color="auto" w:sz="0" w:space="0"/>
            <w:bottom w:val="none" w:color="auto" w:sz="0" w:space="0"/>
            <w:right w:val="none" w:color="auto" w:sz="0" w:space="0"/>
          </w:tblBorders>
        </w:tblPrEx>
        <w:trPr>
          <w:gridAfter w:val="1"/>
          <w:wAfter w:w="4677" w:type="dxa"/>
        </w:trPr>
        <w:tc>
          <w:tcPr>
            <w:tcW w:w="2943" w:type="dxa"/>
            <w:gridSpan w:val="2"/>
          </w:tcPr>
          <w:p w:rsidRPr="009C1AA1" w:rsidR="00D375C8" w:rsidP="00E96EEB" w:rsidRDefault="00D375C8" w14:paraId="32BB07CE" w14:textId="77777777">
            <w:pPr>
              <w:pStyle w:val="naiskr"/>
              <w:spacing w:before="0" w:after="0"/>
            </w:pPr>
          </w:p>
        </w:tc>
        <w:tc>
          <w:tcPr>
            <w:tcW w:w="6830" w:type="dxa"/>
            <w:gridSpan w:val="2"/>
          </w:tcPr>
          <w:p w:rsidRPr="009C1AA1" w:rsidR="00D375C8" w:rsidP="00E96EEB" w:rsidRDefault="00D375C8" w14:paraId="4C273EBB" w14:textId="77777777">
            <w:pPr>
              <w:pStyle w:val="naisc"/>
              <w:spacing w:before="0" w:after="0"/>
              <w:jc w:val="left"/>
            </w:pPr>
          </w:p>
        </w:tc>
      </w:tr>
    </w:tbl>
    <w:p w:rsidRPr="00692042" w:rsidR="00D375C8" w:rsidP="00D375C8" w:rsidRDefault="00D375C8" w14:paraId="0E8B1BED" w14:textId="77777777">
      <w:pPr>
        <w:tabs>
          <w:tab w:val="center" w:pos="-142"/>
          <w:tab w:val="left" w:pos="3720"/>
        </w:tabs>
      </w:pPr>
      <w:r w:rsidRPr="00692042">
        <w:t xml:space="preserve">Atbildīgā amatpersona                       </w:t>
      </w:r>
      <w:r w:rsidRPr="00692042">
        <w:tab/>
        <w:t>Inese Šteina</w:t>
      </w:r>
    </w:p>
    <w:p w:rsidRPr="00692042" w:rsidR="00D375C8" w:rsidP="00D375C8" w:rsidRDefault="00D375C8" w14:paraId="09BB089A" w14:textId="77777777">
      <w:pPr>
        <w:tabs>
          <w:tab w:val="center" w:pos="-142"/>
          <w:tab w:val="left" w:pos="3720"/>
        </w:tabs>
      </w:pPr>
    </w:p>
    <w:p w:rsidRPr="00692042" w:rsidR="00D375C8" w:rsidP="00D375C8" w:rsidRDefault="00D375C8" w14:paraId="6745A395" w14:textId="77777777">
      <w:pPr>
        <w:tabs>
          <w:tab w:val="center" w:pos="-142"/>
          <w:tab w:val="left" w:pos="3720"/>
        </w:tabs>
      </w:pPr>
      <w:r w:rsidRPr="00692042">
        <w:t>Maksātnespējas kontroles dienesta direktore</w:t>
      </w:r>
    </w:p>
    <w:p w:rsidRPr="00692042" w:rsidR="00D375C8" w:rsidP="00D375C8" w:rsidRDefault="00D375C8" w14:paraId="75A16856" w14:textId="77777777">
      <w:pPr>
        <w:tabs>
          <w:tab w:val="center" w:pos="-142"/>
          <w:tab w:val="left" w:pos="3720"/>
        </w:tabs>
      </w:pPr>
      <w:r w:rsidRPr="00692042">
        <w:t>tālr.: 67099100, fakss: 67099118</w:t>
      </w:r>
    </w:p>
    <w:p w:rsidRPr="00692042" w:rsidR="00D375C8" w:rsidP="00D375C8" w:rsidRDefault="00D375C8" w14:paraId="4C2CA9F2" w14:textId="77777777">
      <w:pPr>
        <w:tabs>
          <w:tab w:val="center" w:pos="-142"/>
          <w:tab w:val="left" w:pos="3720"/>
        </w:tabs>
      </w:pPr>
      <w:r w:rsidRPr="00692042">
        <w:t xml:space="preserve">e-pasts: </w:t>
      </w:r>
      <w:hyperlink w:history="1" r:id="rId8">
        <w:r w:rsidRPr="00692042">
          <w:rPr>
            <w:rStyle w:val="Hyperlink"/>
          </w:rPr>
          <w:t>Inese.Steina@mkd.gov.lv</w:t>
        </w:r>
      </w:hyperlink>
    </w:p>
    <w:p w:rsidRPr="00692042" w:rsidR="00D375C8" w:rsidP="00D375C8" w:rsidRDefault="00D375C8" w14:paraId="688088BF" w14:textId="77777777">
      <w:pPr>
        <w:tabs>
          <w:tab w:val="center" w:pos="-142"/>
          <w:tab w:val="left" w:pos="3720"/>
        </w:tabs>
      </w:pPr>
    </w:p>
    <w:p w:rsidRPr="00692042" w:rsidR="00D375C8" w:rsidP="00D375C8" w:rsidRDefault="00D375C8" w14:paraId="260AED71" w14:textId="77777777">
      <w:pPr>
        <w:tabs>
          <w:tab w:val="center" w:pos="-142"/>
          <w:tab w:val="left" w:pos="3720"/>
        </w:tabs>
      </w:pPr>
    </w:p>
    <w:p w:rsidRPr="00692042" w:rsidR="00D375C8" w:rsidP="00D375C8" w:rsidRDefault="00D375C8" w14:paraId="1FC2A198" w14:textId="0EEC28F6">
      <w:pPr>
        <w:tabs>
          <w:tab w:val="center" w:pos="-142"/>
          <w:tab w:val="left" w:pos="3720"/>
        </w:tabs>
        <w:rPr>
          <w:sz w:val="20"/>
          <w:szCs w:val="20"/>
        </w:rPr>
      </w:pPr>
      <w:r>
        <w:rPr>
          <w:sz w:val="20"/>
          <w:szCs w:val="20"/>
        </w:rPr>
        <w:t>Grandsberga</w:t>
      </w:r>
      <w:r w:rsidR="008C498F">
        <w:rPr>
          <w:sz w:val="20"/>
          <w:szCs w:val="20"/>
        </w:rPr>
        <w:t xml:space="preserve"> </w:t>
      </w:r>
      <w:r w:rsidRPr="00692042">
        <w:rPr>
          <w:sz w:val="20"/>
          <w:szCs w:val="20"/>
        </w:rPr>
        <w:t>670991</w:t>
      </w:r>
      <w:r>
        <w:rPr>
          <w:sz w:val="20"/>
          <w:szCs w:val="20"/>
        </w:rPr>
        <w:t>53</w:t>
      </w:r>
    </w:p>
    <w:p w:rsidRPr="00406F7F" w:rsidR="009E4013" w:rsidP="0076678F" w:rsidRDefault="00045146" w14:paraId="61779BCB" w14:textId="14EC200A">
      <w:pPr>
        <w:tabs>
          <w:tab w:val="center" w:pos="-142"/>
          <w:tab w:val="left" w:pos="3720"/>
        </w:tabs>
      </w:pPr>
      <w:hyperlink w:history="1" r:id="rId9">
        <w:r w:rsidRPr="00277D02" w:rsidR="00D375C8">
          <w:rPr>
            <w:rStyle w:val="Hyperlink"/>
            <w:sz w:val="20"/>
            <w:szCs w:val="20"/>
          </w:rPr>
          <w:t>ilze.grandsberga</w:t>
        </w:r>
        <w:r w:rsidRPr="00692042" w:rsidR="00D375C8">
          <w:rPr>
            <w:rStyle w:val="Hyperlink"/>
            <w:sz w:val="20"/>
            <w:szCs w:val="20"/>
          </w:rPr>
          <w:t>@mkd.gov.lv</w:t>
        </w:r>
      </w:hyperlink>
      <w:r w:rsidRPr="00692042" w:rsidR="00D375C8">
        <w:rPr>
          <w:sz w:val="20"/>
          <w:szCs w:val="20"/>
        </w:rPr>
        <w:t xml:space="preserve"> </w:t>
      </w:r>
    </w:p>
    <w:sectPr w:rsidRPr="00406F7F" w:rsidR="009E4013" w:rsidSect="007B7D61">
      <w:headerReference w:type="even" r:id="rId10"/>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5EDF" w14:textId="77777777" w:rsidR="00045146" w:rsidRDefault="00045146">
      <w:r>
        <w:separator/>
      </w:r>
    </w:p>
  </w:endnote>
  <w:endnote w:type="continuationSeparator" w:id="0">
    <w:p w14:paraId="16ABCCFC" w14:textId="77777777" w:rsidR="00045146" w:rsidRDefault="0004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A64B" w14:textId="15FA8484" w:rsidR="0099427A" w:rsidRPr="002A7ED3" w:rsidRDefault="005015BE" w:rsidP="002A7ED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8C498F">
      <w:rPr>
        <w:noProof/>
        <w:sz w:val="20"/>
        <w:szCs w:val="20"/>
      </w:rPr>
      <w:t>TMIzz_031220_URVN</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1953" w14:textId="232BB52D" w:rsidR="0099427A" w:rsidRPr="000A6BE3" w:rsidRDefault="0006759B" w:rsidP="000A6BE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8C498F">
      <w:rPr>
        <w:noProof/>
        <w:sz w:val="20"/>
        <w:szCs w:val="20"/>
      </w:rPr>
      <w:t>TMIzz_031220_URVN</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CD7B" w14:textId="77777777" w:rsidR="00045146" w:rsidRDefault="00045146">
      <w:r>
        <w:separator/>
      </w:r>
    </w:p>
  </w:footnote>
  <w:footnote w:type="continuationSeparator" w:id="0">
    <w:p w14:paraId="08483928" w14:textId="77777777" w:rsidR="00045146" w:rsidRDefault="0004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A" w:rsidP="00364BB6" w:rsidRDefault="0099427A" w14:paraId="2E9CAAC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27A" w:rsidRDefault="0099427A" w14:paraId="4B5183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7A" w:rsidP="00364BB6" w:rsidRDefault="0099427A" w14:paraId="728DE225" w14:textId="6CBFD00E">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597">
      <w:rPr>
        <w:rStyle w:val="PageNumber"/>
        <w:noProof/>
      </w:rPr>
      <w:t>5</w:t>
    </w:r>
    <w:r>
      <w:rPr>
        <w:rStyle w:val="PageNumber"/>
      </w:rPr>
      <w:fldChar w:fldCharType="end"/>
    </w:r>
  </w:p>
  <w:p w:rsidR="0099427A" w:rsidRDefault="0099427A" w14:paraId="4829A2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DD339A4"/>
    <w:multiLevelType w:val="hybridMultilevel"/>
    <w:tmpl w:val="2162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5"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6"/>
  </w:num>
  <w:num w:numId="3">
    <w:abstractNumId w:val="28"/>
  </w:num>
  <w:num w:numId="4">
    <w:abstractNumId w:val="24"/>
  </w:num>
  <w:num w:numId="5">
    <w:abstractNumId w:val="21"/>
  </w:num>
  <w:num w:numId="6">
    <w:abstractNumId w:val="2"/>
  </w:num>
  <w:num w:numId="7">
    <w:abstractNumId w:val="32"/>
  </w:num>
  <w:num w:numId="8">
    <w:abstractNumId w:val="12"/>
  </w:num>
  <w:num w:numId="9">
    <w:abstractNumId w:val="2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5"/>
  </w:num>
  <w:num w:numId="15">
    <w:abstractNumId w:val="29"/>
  </w:num>
  <w:num w:numId="16">
    <w:abstractNumId w:val="10"/>
  </w:num>
  <w:num w:numId="17">
    <w:abstractNumId w:val="31"/>
  </w:num>
  <w:num w:numId="18">
    <w:abstractNumId w:val="17"/>
  </w:num>
  <w:num w:numId="19">
    <w:abstractNumId w:val="8"/>
  </w:num>
  <w:num w:numId="20">
    <w:abstractNumId w:val="30"/>
  </w:num>
  <w:num w:numId="21">
    <w:abstractNumId w:val="23"/>
  </w:num>
  <w:num w:numId="22">
    <w:abstractNumId w:val="18"/>
  </w:num>
  <w:num w:numId="23">
    <w:abstractNumId w:val="3"/>
  </w:num>
  <w:num w:numId="24">
    <w:abstractNumId w:val="15"/>
  </w:num>
  <w:num w:numId="25">
    <w:abstractNumId w:val="1"/>
  </w:num>
  <w:num w:numId="26">
    <w:abstractNumId w:val="33"/>
  </w:num>
  <w:num w:numId="27">
    <w:abstractNumId w:val="0"/>
  </w:num>
  <w:num w:numId="28">
    <w:abstractNumId w:val="16"/>
  </w:num>
  <w:num w:numId="29">
    <w:abstractNumId w:val="13"/>
  </w:num>
  <w:num w:numId="30">
    <w:abstractNumId w:val="34"/>
  </w:num>
  <w:num w:numId="31">
    <w:abstractNumId w:val="7"/>
  </w:num>
  <w:num w:numId="32">
    <w:abstractNumId w:val="9"/>
  </w:num>
  <w:num w:numId="33">
    <w:abstractNumId w:val="22"/>
  </w:num>
  <w:num w:numId="34">
    <w:abstractNumId w:val="35"/>
  </w:num>
  <w:num w:numId="35">
    <w:abstractNumId w:val="14"/>
  </w:num>
  <w:num w:numId="36">
    <w:abstractNumId w:val="11"/>
  </w:num>
  <w:num w:numId="37">
    <w:abstractNumId w:val="19"/>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72E2"/>
    <w:rsid w:val="00017449"/>
    <w:rsid w:val="00020249"/>
    <w:rsid w:val="000205A7"/>
    <w:rsid w:val="00022338"/>
    <w:rsid w:val="0002296A"/>
    <w:rsid w:val="00022B0F"/>
    <w:rsid w:val="00022B9A"/>
    <w:rsid w:val="00022EAA"/>
    <w:rsid w:val="000233BA"/>
    <w:rsid w:val="00023FD6"/>
    <w:rsid w:val="0002416A"/>
    <w:rsid w:val="00024CCD"/>
    <w:rsid w:val="00024D20"/>
    <w:rsid w:val="000253DB"/>
    <w:rsid w:val="000278E7"/>
    <w:rsid w:val="00027A63"/>
    <w:rsid w:val="00027F9D"/>
    <w:rsid w:val="000307B5"/>
    <w:rsid w:val="00031CC0"/>
    <w:rsid w:val="00032457"/>
    <w:rsid w:val="00033FC3"/>
    <w:rsid w:val="0003413A"/>
    <w:rsid w:val="0003465C"/>
    <w:rsid w:val="000349CA"/>
    <w:rsid w:val="0003557A"/>
    <w:rsid w:val="00035C06"/>
    <w:rsid w:val="000366DF"/>
    <w:rsid w:val="000376CD"/>
    <w:rsid w:val="00040A5C"/>
    <w:rsid w:val="00042CAB"/>
    <w:rsid w:val="00043005"/>
    <w:rsid w:val="0004345F"/>
    <w:rsid w:val="000437C0"/>
    <w:rsid w:val="00044026"/>
    <w:rsid w:val="00045146"/>
    <w:rsid w:val="000459C7"/>
    <w:rsid w:val="00046075"/>
    <w:rsid w:val="00046CAD"/>
    <w:rsid w:val="00046F5C"/>
    <w:rsid w:val="00047385"/>
    <w:rsid w:val="00047CB9"/>
    <w:rsid w:val="00050554"/>
    <w:rsid w:val="0005085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75D0"/>
    <w:rsid w:val="00080B0A"/>
    <w:rsid w:val="00080E19"/>
    <w:rsid w:val="00081B0F"/>
    <w:rsid w:val="0008283D"/>
    <w:rsid w:val="00082FE3"/>
    <w:rsid w:val="00083090"/>
    <w:rsid w:val="00083214"/>
    <w:rsid w:val="00083B8F"/>
    <w:rsid w:val="00084B11"/>
    <w:rsid w:val="00085322"/>
    <w:rsid w:val="0008656F"/>
    <w:rsid w:val="000868DF"/>
    <w:rsid w:val="00086AB9"/>
    <w:rsid w:val="00086BCE"/>
    <w:rsid w:val="00086F36"/>
    <w:rsid w:val="000874AE"/>
    <w:rsid w:val="000874B5"/>
    <w:rsid w:val="00087746"/>
    <w:rsid w:val="00087831"/>
    <w:rsid w:val="00090168"/>
    <w:rsid w:val="00090C76"/>
    <w:rsid w:val="00091033"/>
    <w:rsid w:val="00091F10"/>
    <w:rsid w:val="00092190"/>
    <w:rsid w:val="000927DD"/>
    <w:rsid w:val="000927FC"/>
    <w:rsid w:val="0009302B"/>
    <w:rsid w:val="00093EC2"/>
    <w:rsid w:val="00094B35"/>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57B"/>
    <w:rsid w:val="000B06E7"/>
    <w:rsid w:val="000B0C94"/>
    <w:rsid w:val="000B0D2C"/>
    <w:rsid w:val="000B15E5"/>
    <w:rsid w:val="000B2382"/>
    <w:rsid w:val="000B3171"/>
    <w:rsid w:val="000B34A5"/>
    <w:rsid w:val="000B3857"/>
    <w:rsid w:val="000B38A8"/>
    <w:rsid w:val="000B4746"/>
    <w:rsid w:val="000B5F2E"/>
    <w:rsid w:val="000B608A"/>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3602"/>
    <w:rsid w:val="000D489D"/>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12E3"/>
    <w:rsid w:val="00101EEB"/>
    <w:rsid w:val="001025A6"/>
    <w:rsid w:val="0010375A"/>
    <w:rsid w:val="001038ED"/>
    <w:rsid w:val="001042B0"/>
    <w:rsid w:val="001055E9"/>
    <w:rsid w:val="00106F4F"/>
    <w:rsid w:val="001071D3"/>
    <w:rsid w:val="001075A8"/>
    <w:rsid w:val="00110259"/>
    <w:rsid w:val="00110AA9"/>
    <w:rsid w:val="001112F7"/>
    <w:rsid w:val="0011254D"/>
    <w:rsid w:val="0011274F"/>
    <w:rsid w:val="00113334"/>
    <w:rsid w:val="001139C2"/>
    <w:rsid w:val="00113B64"/>
    <w:rsid w:val="00114559"/>
    <w:rsid w:val="00114EA9"/>
    <w:rsid w:val="00115ED0"/>
    <w:rsid w:val="0011683C"/>
    <w:rsid w:val="001179E8"/>
    <w:rsid w:val="0012021B"/>
    <w:rsid w:val="001205D4"/>
    <w:rsid w:val="0012060D"/>
    <w:rsid w:val="001206D3"/>
    <w:rsid w:val="00121CDD"/>
    <w:rsid w:val="0012222D"/>
    <w:rsid w:val="00122A82"/>
    <w:rsid w:val="001255E6"/>
    <w:rsid w:val="00126EB4"/>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403"/>
    <w:rsid w:val="00140706"/>
    <w:rsid w:val="0014122A"/>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61FD"/>
    <w:rsid w:val="00177C0E"/>
    <w:rsid w:val="00177D61"/>
    <w:rsid w:val="00180125"/>
    <w:rsid w:val="00180747"/>
    <w:rsid w:val="001808CA"/>
    <w:rsid w:val="00180923"/>
    <w:rsid w:val="00180CE5"/>
    <w:rsid w:val="00181238"/>
    <w:rsid w:val="00181BAA"/>
    <w:rsid w:val="00181D2D"/>
    <w:rsid w:val="00181F70"/>
    <w:rsid w:val="0018210A"/>
    <w:rsid w:val="001827E7"/>
    <w:rsid w:val="00182DE0"/>
    <w:rsid w:val="0018315D"/>
    <w:rsid w:val="0018386C"/>
    <w:rsid w:val="00184479"/>
    <w:rsid w:val="0018472C"/>
    <w:rsid w:val="00184838"/>
    <w:rsid w:val="00184EF1"/>
    <w:rsid w:val="00185755"/>
    <w:rsid w:val="00185B14"/>
    <w:rsid w:val="00187398"/>
    <w:rsid w:val="00187F73"/>
    <w:rsid w:val="00187FB0"/>
    <w:rsid w:val="001902E9"/>
    <w:rsid w:val="00190327"/>
    <w:rsid w:val="0019092E"/>
    <w:rsid w:val="00190A0A"/>
    <w:rsid w:val="001926F2"/>
    <w:rsid w:val="00193BCE"/>
    <w:rsid w:val="00194196"/>
    <w:rsid w:val="00194B87"/>
    <w:rsid w:val="0019517F"/>
    <w:rsid w:val="0019569A"/>
    <w:rsid w:val="00195962"/>
    <w:rsid w:val="00196BB4"/>
    <w:rsid w:val="00197533"/>
    <w:rsid w:val="001977E7"/>
    <w:rsid w:val="00197CCA"/>
    <w:rsid w:val="001A05EF"/>
    <w:rsid w:val="001A07BF"/>
    <w:rsid w:val="001A0D8A"/>
    <w:rsid w:val="001A192D"/>
    <w:rsid w:val="001A2FBE"/>
    <w:rsid w:val="001A402E"/>
    <w:rsid w:val="001A40B3"/>
    <w:rsid w:val="001A5C01"/>
    <w:rsid w:val="001A5EEF"/>
    <w:rsid w:val="001A7C72"/>
    <w:rsid w:val="001A7F37"/>
    <w:rsid w:val="001B084B"/>
    <w:rsid w:val="001B0CEC"/>
    <w:rsid w:val="001B0FFC"/>
    <w:rsid w:val="001B1CF2"/>
    <w:rsid w:val="001B30C2"/>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EE"/>
    <w:rsid w:val="001E1DD8"/>
    <w:rsid w:val="001E22E7"/>
    <w:rsid w:val="001E2714"/>
    <w:rsid w:val="001E2C8F"/>
    <w:rsid w:val="001E2EF8"/>
    <w:rsid w:val="001E3688"/>
    <w:rsid w:val="001E398C"/>
    <w:rsid w:val="001E4456"/>
    <w:rsid w:val="001E4857"/>
    <w:rsid w:val="001E4DDC"/>
    <w:rsid w:val="001E4F06"/>
    <w:rsid w:val="001E6B1A"/>
    <w:rsid w:val="001E774F"/>
    <w:rsid w:val="001E7C1D"/>
    <w:rsid w:val="001F073F"/>
    <w:rsid w:val="001F1862"/>
    <w:rsid w:val="001F1EE5"/>
    <w:rsid w:val="001F21EC"/>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2375"/>
    <w:rsid w:val="002025EA"/>
    <w:rsid w:val="00202884"/>
    <w:rsid w:val="00202E44"/>
    <w:rsid w:val="00203556"/>
    <w:rsid w:val="00204D0F"/>
    <w:rsid w:val="00204DB6"/>
    <w:rsid w:val="002056BD"/>
    <w:rsid w:val="002056ED"/>
    <w:rsid w:val="00205C3A"/>
    <w:rsid w:val="00205F56"/>
    <w:rsid w:val="00205FAB"/>
    <w:rsid w:val="00211607"/>
    <w:rsid w:val="00211793"/>
    <w:rsid w:val="00211C11"/>
    <w:rsid w:val="00212345"/>
    <w:rsid w:val="00213E65"/>
    <w:rsid w:val="00214809"/>
    <w:rsid w:val="002149A1"/>
    <w:rsid w:val="00214E7A"/>
    <w:rsid w:val="00215065"/>
    <w:rsid w:val="0021587C"/>
    <w:rsid w:val="0021595D"/>
    <w:rsid w:val="00215BFE"/>
    <w:rsid w:val="00215C44"/>
    <w:rsid w:val="00215CEB"/>
    <w:rsid w:val="00216E73"/>
    <w:rsid w:val="0021774C"/>
    <w:rsid w:val="00217835"/>
    <w:rsid w:val="00217FF6"/>
    <w:rsid w:val="00221953"/>
    <w:rsid w:val="00222386"/>
    <w:rsid w:val="00222455"/>
    <w:rsid w:val="00222F51"/>
    <w:rsid w:val="00222F65"/>
    <w:rsid w:val="002230AE"/>
    <w:rsid w:val="002230E1"/>
    <w:rsid w:val="00223361"/>
    <w:rsid w:val="00223E09"/>
    <w:rsid w:val="002244BA"/>
    <w:rsid w:val="002247AA"/>
    <w:rsid w:val="00224DA7"/>
    <w:rsid w:val="00224FE9"/>
    <w:rsid w:val="00225331"/>
    <w:rsid w:val="00225A42"/>
    <w:rsid w:val="002261CB"/>
    <w:rsid w:val="00226660"/>
    <w:rsid w:val="002268BF"/>
    <w:rsid w:val="00227BDE"/>
    <w:rsid w:val="00230045"/>
    <w:rsid w:val="0023014E"/>
    <w:rsid w:val="00230256"/>
    <w:rsid w:val="002308FA"/>
    <w:rsid w:val="0023132F"/>
    <w:rsid w:val="00231AA5"/>
    <w:rsid w:val="00232620"/>
    <w:rsid w:val="002326CE"/>
    <w:rsid w:val="00232F90"/>
    <w:rsid w:val="00233215"/>
    <w:rsid w:val="0023339B"/>
    <w:rsid w:val="00233B4F"/>
    <w:rsid w:val="00233E01"/>
    <w:rsid w:val="0023469C"/>
    <w:rsid w:val="00234C71"/>
    <w:rsid w:val="00234E96"/>
    <w:rsid w:val="00235511"/>
    <w:rsid w:val="002366E0"/>
    <w:rsid w:val="00236DE1"/>
    <w:rsid w:val="00236FA8"/>
    <w:rsid w:val="002372EE"/>
    <w:rsid w:val="002372FD"/>
    <w:rsid w:val="0023764D"/>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E55"/>
    <w:rsid w:val="00257AEB"/>
    <w:rsid w:val="00257E0E"/>
    <w:rsid w:val="00257FF4"/>
    <w:rsid w:val="00260FCB"/>
    <w:rsid w:val="002615F5"/>
    <w:rsid w:val="002616B9"/>
    <w:rsid w:val="0026217B"/>
    <w:rsid w:val="002627F0"/>
    <w:rsid w:val="002629E4"/>
    <w:rsid w:val="00263FE3"/>
    <w:rsid w:val="0026458C"/>
    <w:rsid w:val="00265593"/>
    <w:rsid w:val="0026564A"/>
    <w:rsid w:val="002666AE"/>
    <w:rsid w:val="002670AD"/>
    <w:rsid w:val="002675EA"/>
    <w:rsid w:val="00267BC5"/>
    <w:rsid w:val="00267CBE"/>
    <w:rsid w:val="00267E0B"/>
    <w:rsid w:val="00270680"/>
    <w:rsid w:val="00270BC2"/>
    <w:rsid w:val="00271103"/>
    <w:rsid w:val="002721FA"/>
    <w:rsid w:val="0027230C"/>
    <w:rsid w:val="00272646"/>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6478"/>
    <w:rsid w:val="00286941"/>
    <w:rsid w:val="00287EDD"/>
    <w:rsid w:val="0029027F"/>
    <w:rsid w:val="00290B58"/>
    <w:rsid w:val="00290E69"/>
    <w:rsid w:val="0029141B"/>
    <w:rsid w:val="00291D73"/>
    <w:rsid w:val="002927D3"/>
    <w:rsid w:val="00294BDE"/>
    <w:rsid w:val="00295174"/>
    <w:rsid w:val="00295DB6"/>
    <w:rsid w:val="00295FFC"/>
    <w:rsid w:val="002972BC"/>
    <w:rsid w:val="0029788B"/>
    <w:rsid w:val="00297D1B"/>
    <w:rsid w:val="00297F4D"/>
    <w:rsid w:val="002A0226"/>
    <w:rsid w:val="002A0597"/>
    <w:rsid w:val="002A0661"/>
    <w:rsid w:val="002A1CF2"/>
    <w:rsid w:val="002A2ED0"/>
    <w:rsid w:val="002A313A"/>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509"/>
    <w:rsid w:val="002B2A48"/>
    <w:rsid w:val="002B2BEE"/>
    <w:rsid w:val="002B31AD"/>
    <w:rsid w:val="002B336D"/>
    <w:rsid w:val="002B3EA7"/>
    <w:rsid w:val="002B4119"/>
    <w:rsid w:val="002B4BAE"/>
    <w:rsid w:val="002B538B"/>
    <w:rsid w:val="002B581B"/>
    <w:rsid w:val="002B5B86"/>
    <w:rsid w:val="002B7E5D"/>
    <w:rsid w:val="002C0974"/>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C09"/>
    <w:rsid w:val="002D2C45"/>
    <w:rsid w:val="002D3132"/>
    <w:rsid w:val="002D319A"/>
    <w:rsid w:val="002D4969"/>
    <w:rsid w:val="002D4EE1"/>
    <w:rsid w:val="002D4F49"/>
    <w:rsid w:val="002D557D"/>
    <w:rsid w:val="002D778E"/>
    <w:rsid w:val="002E0193"/>
    <w:rsid w:val="002E04D7"/>
    <w:rsid w:val="002E06DD"/>
    <w:rsid w:val="002E171A"/>
    <w:rsid w:val="002E2A24"/>
    <w:rsid w:val="002E3684"/>
    <w:rsid w:val="002E3D66"/>
    <w:rsid w:val="002E3F11"/>
    <w:rsid w:val="002E4B11"/>
    <w:rsid w:val="002E4E08"/>
    <w:rsid w:val="002E4F70"/>
    <w:rsid w:val="002E5223"/>
    <w:rsid w:val="002E5886"/>
    <w:rsid w:val="002E5AD3"/>
    <w:rsid w:val="002E635D"/>
    <w:rsid w:val="002E7562"/>
    <w:rsid w:val="002E79FC"/>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6E"/>
    <w:rsid w:val="00327398"/>
    <w:rsid w:val="00327C97"/>
    <w:rsid w:val="0033024F"/>
    <w:rsid w:val="00330526"/>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39E2"/>
    <w:rsid w:val="003443DD"/>
    <w:rsid w:val="00344D5A"/>
    <w:rsid w:val="00345E0C"/>
    <w:rsid w:val="00346EB6"/>
    <w:rsid w:val="00347EDB"/>
    <w:rsid w:val="00350797"/>
    <w:rsid w:val="00351A85"/>
    <w:rsid w:val="003522E8"/>
    <w:rsid w:val="00353989"/>
    <w:rsid w:val="00353E86"/>
    <w:rsid w:val="00353ED0"/>
    <w:rsid w:val="003549F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263"/>
    <w:rsid w:val="003668DF"/>
    <w:rsid w:val="00367688"/>
    <w:rsid w:val="0037048C"/>
    <w:rsid w:val="003708F6"/>
    <w:rsid w:val="00372221"/>
    <w:rsid w:val="00372CF2"/>
    <w:rsid w:val="003732F6"/>
    <w:rsid w:val="00374C59"/>
    <w:rsid w:val="00374C7E"/>
    <w:rsid w:val="00377353"/>
    <w:rsid w:val="0037736B"/>
    <w:rsid w:val="0038105D"/>
    <w:rsid w:val="00381F57"/>
    <w:rsid w:val="0038216E"/>
    <w:rsid w:val="003822E5"/>
    <w:rsid w:val="0038240E"/>
    <w:rsid w:val="003830B8"/>
    <w:rsid w:val="00383262"/>
    <w:rsid w:val="003864FB"/>
    <w:rsid w:val="00387123"/>
    <w:rsid w:val="003878DB"/>
    <w:rsid w:val="00394197"/>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B0853"/>
    <w:rsid w:val="003B0D71"/>
    <w:rsid w:val="003B0DBF"/>
    <w:rsid w:val="003B1463"/>
    <w:rsid w:val="003B1BC8"/>
    <w:rsid w:val="003B23D7"/>
    <w:rsid w:val="003B34CB"/>
    <w:rsid w:val="003B3AB4"/>
    <w:rsid w:val="003B3CA8"/>
    <w:rsid w:val="003B45D5"/>
    <w:rsid w:val="003B52FE"/>
    <w:rsid w:val="003B572A"/>
    <w:rsid w:val="003B6325"/>
    <w:rsid w:val="003B71E0"/>
    <w:rsid w:val="003B78A4"/>
    <w:rsid w:val="003B79F3"/>
    <w:rsid w:val="003C144E"/>
    <w:rsid w:val="003C15F7"/>
    <w:rsid w:val="003C1A07"/>
    <w:rsid w:val="003C1E74"/>
    <w:rsid w:val="003C20A2"/>
    <w:rsid w:val="003C2673"/>
    <w:rsid w:val="003C27A2"/>
    <w:rsid w:val="003C326F"/>
    <w:rsid w:val="003C39CD"/>
    <w:rsid w:val="003C3AE8"/>
    <w:rsid w:val="003C4E00"/>
    <w:rsid w:val="003C4F57"/>
    <w:rsid w:val="003C567C"/>
    <w:rsid w:val="003C59B8"/>
    <w:rsid w:val="003C6809"/>
    <w:rsid w:val="003C77AA"/>
    <w:rsid w:val="003C7897"/>
    <w:rsid w:val="003C79EE"/>
    <w:rsid w:val="003D0937"/>
    <w:rsid w:val="003D17E6"/>
    <w:rsid w:val="003D1A20"/>
    <w:rsid w:val="003D1AC9"/>
    <w:rsid w:val="003D2AC9"/>
    <w:rsid w:val="003D2CD8"/>
    <w:rsid w:val="003D3283"/>
    <w:rsid w:val="003D3724"/>
    <w:rsid w:val="003D41EE"/>
    <w:rsid w:val="003D46A7"/>
    <w:rsid w:val="003D4F8E"/>
    <w:rsid w:val="003D5BA4"/>
    <w:rsid w:val="003D6329"/>
    <w:rsid w:val="003D6376"/>
    <w:rsid w:val="003D72A0"/>
    <w:rsid w:val="003D7FE8"/>
    <w:rsid w:val="003E1235"/>
    <w:rsid w:val="003E2A35"/>
    <w:rsid w:val="003E2B56"/>
    <w:rsid w:val="003E2CE1"/>
    <w:rsid w:val="003E2DCB"/>
    <w:rsid w:val="003E4C3F"/>
    <w:rsid w:val="003E4D7C"/>
    <w:rsid w:val="003E5955"/>
    <w:rsid w:val="003E5EC7"/>
    <w:rsid w:val="003E5FA8"/>
    <w:rsid w:val="003E621A"/>
    <w:rsid w:val="003E6252"/>
    <w:rsid w:val="003E6646"/>
    <w:rsid w:val="003E720C"/>
    <w:rsid w:val="003F009B"/>
    <w:rsid w:val="003F1200"/>
    <w:rsid w:val="003F1218"/>
    <w:rsid w:val="003F1421"/>
    <w:rsid w:val="003F1844"/>
    <w:rsid w:val="003F241E"/>
    <w:rsid w:val="003F28C0"/>
    <w:rsid w:val="003F3698"/>
    <w:rsid w:val="003F498C"/>
    <w:rsid w:val="003F52B2"/>
    <w:rsid w:val="003F600E"/>
    <w:rsid w:val="003F6675"/>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6F7F"/>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63D"/>
    <w:rsid w:val="00420786"/>
    <w:rsid w:val="00422141"/>
    <w:rsid w:val="00422B23"/>
    <w:rsid w:val="00422E3D"/>
    <w:rsid w:val="00423245"/>
    <w:rsid w:val="00423796"/>
    <w:rsid w:val="00423A60"/>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64E"/>
    <w:rsid w:val="00440805"/>
    <w:rsid w:val="004412E1"/>
    <w:rsid w:val="004412F6"/>
    <w:rsid w:val="00441554"/>
    <w:rsid w:val="00442251"/>
    <w:rsid w:val="00442C74"/>
    <w:rsid w:val="00442E48"/>
    <w:rsid w:val="00443968"/>
    <w:rsid w:val="00443DCD"/>
    <w:rsid w:val="00443E7E"/>
    <w:rsid w:val="00443FEB"/>
    <w:rsid w:val="00444C06"/>
    <w:rsid w:val="004454DF"/>
    <w:rsid w:val="00446446"/>
    <w:rsid w:val="00446804"/>
    <w:rsid w:val="004478D4"/>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FAA"/>
    <w:rsid w:val="00457197"/>
    <w:rsid w:val="00457555"/>
    <w:rsid w:val="00457971"/>
    <w:rsid w:val="00457DD8"/>
    <w:rsid w:val="004603D0"/>
    <w:rsid w:val="004604E8"/>
    <w:rsid w:val="004605D4"/>
    <w:rsid w:val="00460FC0"/>
    <w:rsid w:val="00461240"/>
    <w:rsid w:val="004614BD"/>
    <w:rsid w:val="00461523"/>
    <w:rsid w:val="00462313"/>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2009"/>
    <w:rsid w:val="00494CC8"/>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DAA"/>
    <w:rsid w:val="004C48CE"/>
    <w:rsid w:val="004C5FC6"/>
    <w:rsid w:val="004C6435"/>
    <w:rsid w:val="004C649B"/>
    <w:rsid w:val="004C7B9C"/>
    <w:rsid w:val="004C7D55"/>
    <w:rsid w:val="004C7D86"/>
    <w:rsid w:val="004D089A"/>
    <w:rsid w:val="004D16A4"/>
    <w:rsid w:val="004D1DD3"/>
    <w:rsid w:val="004D24F8"/>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493"/>
    <w:rsid w:val="004E35E8"/>
    <w:rsid w:val="004E3B2A"/>
    <w:rsid w:val="004E50F0"/>
    <w:rsid w:val="004E5448"/>
    <w:rsid w:val="004E6A03"/>
    <w:rsid w:val="004F0070"/>
    <w:rsid w:val="004F0468"/>
    <w:rsid w:val="004F0C51"/>
    <w:rsid w:val="004F1169"/>
    <w:rsid w:val="004F263C"/>
    <w:rsid w:val="004F2BB1"/>
    <w:rsid w:val="004F2EC7"/>
    <w:rsid w:val="004F3CE8"/>
    <w:rsid w:val="004F4346"/>
    <w:rsid w:val="004F47BB"/>
    <w:rsid w:val="004F483A"/>
    <w:rsid w:val="004F6578"/>
    <w:rsid w:val="004F6BFB"/>
    <w:rsid w:val="004F7AE7"/>
    <w:rsid w:val="004F7E4A"/>
    <w:rsid w:val="005004EE"/>
    <w:rsid w:val="0050147C"/>
    <w:rsid w:val="005015BE"/>
    <w:rsid w:val="0050182B"/>
    <w:rsid w:val="00502266"/>
    <w:rsid w:val="0050256A"/>
    <w:rsid w:val="00502579"/>
    <w:rsid w:val="005029F7"/>
    <w:rsid w:val="005036DB"/>
    <w:rsid w:val="00503D4C"/>
    <w:rsid w:val="00504C0C"/>
    <w:rsid w:val="00504E48"/>
    <w:rsid w:val="0050539B"/>
    <w:rsid w:val="00505C30"/>
    <w:rsid w:val="005070FF"/>
    <w:rsid w:val="005121C1"/>
    <w:rsid w:val="00512BBC"/>
    <w:rsid w:val="005134FB"/>
    <w:rsid w:val="005135FD"/>
    <w:rsid w:val="0051366C"/>
    <w:rsid w:val="0051424D"/>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4BB2"/>
    <w:rsid w:val="00535417"/>
    <w:rsid w:val="00535833"/>
    <w:rsid w:val="00536D28"/>
    <w:rsid w:val="005372C5"/>
    <w:rsid w:val="00537A26"/>
    <w:rsid w:val="0054046F"/>
    <w:rsid w:val="00540BCA"/>
    <w:rsid w:val="00540E47"/>
    <w:rsid w:val="00540ED8"/>
    <w:rsid w:val="00543283"/>
    <w:rsid w:val="0054364C"/>
    <w:rsid w:val="00543AEA"/>
    <w:rsid w:val="00546747"/>
    <w:rsid w:val="00546E89"/>
    <w:rsid w:val="00547510"/>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6636"/>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60B"/>
    <w:rsid w:val="00582EA1"/>
    <w:rsid w:val="00584A65"/>
    <w:rsid w:val="00584D1E"/>
    <w:rsid w:val="00586795"/>
    <w:rsid w:val="00586B82"/>
    <w:rsid w:val="00587E13"/>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AAA"/>
    <w:rsid w:val="005B11C2"/>
    <w:rsid w:val="005B180A"/>
    <w:rsid w:val="005B382C"/>
    <w:rsid w:val="005B3C11"/>
    <w:rsid w:val="005B40DA"/>
    <w:rsid w:val="005B4148"/>
    <w:rsid w:val="005B4226"/>
    <w:rsid w:val="005B5AA4"/>
    <w:rsid w:val="005B5C9A"/>
    <w:rsid w:val="005B656B"/>
    <w:rsid w:val="005B7182"/>
    <w:rsid w:val="005B71B3"/>
    <w:rsid w:val="005B76A4"/>
    <w:rsid w:val="005B76C4"/>
    <w:rsid w:val="005B7916"/>
    <w:rsid w:val="005C03CE"/>
    <w:rsid w:val="005C04A7"/>
    <w:rsid w:val="005C17A4"/>
    <w:rsid w:val="005C27CC"/>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38E0"/>
    <w:rsid w:val="005D3F32"/>
    <w:rsid w:val="005D4C9B"/>
    <w:rsid w:val="005D4E3E"/>
    <w:rsid w:val="005D4FAD"/>
    <w:rsid w:val="005D6726"/>
    <w:rsid w:val="005D67F7"/>
    <w:rsid w:val="005D6E6E"/>
    <w:rsid w:val="005D7D7E"/>
    <w:rsid w:val="005E0B59"/>
    <w:rsid w:val="005E0EFC"/>
    <w:rsid w:val="005E1105"/>
    <w:rsid w:val="005E1536"/>
    <w:rsid w:val="005E162F"/>
    <w:rsid w:val="005E16B6"/>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635E"/>
    <w:rsid w:val="00606C66"/>
    <w:rsid w:val="00607CDC"/>
    <w:rsid w:val="00610145"/>
    <w:rsid w:val="0061063D"/>
    <w:rsid w:val="00610C6F"/>
    <w:rsid w:val="00610D1F"/>
    <w:rsid w:val="006116B7"/>
    <w:rsid w:val="00611A07"/>
    <w:rsid w:val="006123C6"/>
    <w:rsid w:val="00612466"/>
    <w:rsid w:val="00612C02"/>
    <w:rsid w:val="00612CDD"/>
    <w:rsid w:val="006147A5"/>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30D"/>
    <w:rsid w:val="0065198B"/>
    <w:rsid w:val="00651D4A"/>
    <w:rsid w:val="00652452"/>
    <w:rsid w:val="006525AF"/>
    <w:rsid w:val="0065266A"/>
    <w:rsid w:val="00653F9C"/>
    <w:rsid w:val="006553E6"/>
    <w:rsid w:val="00655470"/>
    <w:rsid w:val="006563F3"/>
    <w:rsid w:val="00656FEE"/>
    <w:rsid w:val="0065758F"/>
    <w:rsid w:val="00660897"/>
    <w:rsid w:val="00661028"/>
    <w:rsid w:val="006617BD"/>
    <w:rsid w:val="0066186E"/>
    <w:rsid w:val="0066194D"/>
    <w:rsid w:val="006630F6"/>
    <w:rsid w:val="00663AB3"/>
    <w:rsid w:val="00664695"/>
    <w:rsid w:val="00664840"/>
    <w:rsid w:val="00664B44"/>
    <w:rsid w:val="006652BF"/>
    <w:rsid w:val="0066583F"/>
    <w:rsid w:val="0066630C"/>
    <w:rsid w:val="00667344"/>
    <w:rsid w:val="00667BBD"/>
    <w:rsid w:val="00671149"/>
    <w:rsid w:val="00671615"/>
    <w:rsid w:val="00671741"/>
    <w:rsid w:val="00671766"/>
    <w:rsid w:val="00672485"/>
    <w:rsid w:val="00672914"/>
    <w:rsid w:val="00673F1D"/>
    <w:rsid w:val="006744C3"/>
    <w:rsid w:val="0067537F"/>
    <w:rsid w:val="00676410"/>
    <w:rsid w:val="00680509"/>
    <w:rsid w:val="006805CB"/>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E6"/>
    <w:rsid w:val="00692555"/>
    <w:rsid w:val="006934D4"/>
    <w:rsid w:val="00693A07"/>
    <w:rsid w:val="00694084"/>
    <w:rsid w:val="0069596F"/>
    <w:rsid w:val="0069602E"/>
    <w:rsid w:val="00696566"/>
    <w:rsid w:val="006966BA"/>
    <w:rsid w:val="00697107"/>
    <w:rsid w:val="0069722D"/>
    <w:rsid w:val="006A0052"/>
    <w:rsid w:val="006A0A9E"/>
    <w:rsid w:val="006A0FB9"/>
    <w:rsid w:val="006A152B"/>
    <w:rsid w:val="006A1F1C"/>
    <w:rsid w:val="006A31AE"/>
    <w:rsid w:val="006A3836"/>
    <w:rsid w:val="006A3DD3"/>
    <w:rsid w:val="006A4625"/>
    <w:rsid w:val="006A47AE"/>
    <w:rsid w:val="006A5B5E"/>
    <w:rsid w:val="006A67CB"/>
    <w:rsid w:val="006A6F97"/>
    <w:rsid w:val="006B0368"/>
    <w:rsid w:val="006B0F6E"/>
    <w:rsid w:val="006B1D7B"/>
    <w:rsid w:val="006B27D4"/>
    <w:rsid w:val="006B2C9C"/>
    <w:rsid w:val="006B48EB"/>
    <w:rsid w:val="006B4C00"/>
    <w:rsid w:val="006B56FC"/>
    <w:rsid w:val="006B6DDA"/>
    <w:rsid w:val="006B73D9"/>
    <w:rsid w:val="006B7DF0"/>
    <w:rsid w:val="006B7E74"/>
    <w:rsid w:val="006C0D75"/>
    <w:rsid w:val="006C1587"/>
    <w:rsid w:val="006C1C48"/>
    <w:rsid w:val="006C28A6"/>
    <w:rsid w:val="006C383A"/>
    <w:rsid w:val="006C3C1D"/>
    <w:rsid w:val="006C41FF"/>
    <w:rsid w:val="006C5145"/>
    <w:rsid w:val="006C65A8"/>
    <w:rsid w:val="006C6AD9"/>
    <w:rsid w:val="006C6BD4"/>
    <w:rsid w:val="006C7146"/>
    <w:rsid w:val="006C778E"/>
    <w:rsid w:val="006D01EA"/>
    <w:rsid w:val="006D05AD"/>
    <w:rsid w:val="006D0EC1"/>
    <w:rsid w:val="006D16F8"/>
    <w:rsid w:val="006D1813"/>
    <w:rsid w:val="006D1FAE"/>
    <w:rsid w:val="006D24A9"/>
    <w:rsid w:val="006D2A84"/>
    <w:rsid w:val="006D2AF3"/>
    <w:rsid w:val="006D4D79"/>
    <w:rsid w:val="006D4FBD"/>
    <w:rsid w:val="006D5207"/>
    <w:rsid w:val="006D528F"/>
    <w:rsid w:val="006D5879"/>
    <w:rsid w:val="006D63FD"/>
    <w:rsid w:val="006D65B4"/>
    <w:rsid w:val="006D754A"/>
    <w:rsid w:val="006D7B3A"/>
    <w:rsid w:val="006D7B9C"/>
    <w:rsid w:val="006E02D5"/>
    <w:rsid w:val="006E04C6"/>
    <w:rsid w:val="006E0A65"/>
    <w:rsid w:val="006E1B01"/>
    <w:rsid w:val="006E2274"/>
    <w:rsid w:val="006E3925"/>
    <w:rsid w:val="006E3E3D"/>
    <w:rsid w:val="006E4836"/>
    <w:rsid w:val="006E5B58"/>
    <w:rsid w:val="006E5DDD"/>
    <w:rsid w:val="006E62BE"/>
    <w:rsid w:val="006E62CA"/>
    <w:rsid w:val="006E6616"/>
    <w:rsid w:val="006E694D"/>
    <w:rsid w:val="006E7811"/>
    <w:rsid w:val="006F04DA"/>
    <w:rsid w:val="006F0557"/>
    <w:rsid w:val="006F083C"/>
    <w:rsid w:val="006F0EA3"/>
    <w:rsid w:val="006F1B5D"/>
    <w:rsid w:val="006F1C10"/>
    <w:rsid w:val="006F212B"/>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FC"/>
    <w:rsid w:val="007076B3"/>
    <w:rsid w:val="00707C84"/>
    <w:rsid w:val="00710751"/>
    <w:rsid w:val="00710A59"/>
    <w:rsid w:val="00710FDE"/>
    <w:rsid w:val="007116C7"/>
    <w:rsid w:val="00711C5A"/>
    <w:rsid w:val="00712B66"/>
    <w:rsid w:val="00713C31"/>
    <w:rsid w:val="00714169"/>
    <w:rsid w:val="0071428D"/>
    <w:rsid w:val="007144C9"/>
    <w:rsid w:val="0071478F"/>
    <w:rsid w:val="00714FE2"/>
    <w:rsid w:val="00716B3C"/>
    <w:rsid w:val="007170C2"/>
    <w:rsid w:val="00717904"/>
    <w:rsid w:val="00717C3B"/>
    <w:rsid w:val="00717EE4"/>
    <w:rsid w:val="00717F2D"/>
    <w:rsid w:val="00720453"/>
    <w:rsid w:val="007204E8"/>
    <w:rsid w:val="00720853"/>
    <w:rsid w:val="00721CA3"/>
    <w:rsid w:val="00722129"/>
    <w:rsid w:val="007233B5"/>
    <w:rsid w:val="00724173"/>
    <w:rsid w:val="00726730"/>
    <w:rsid w:val="00730598"/>
    <w:rsid w:val="00730D6D"/>
    <w:rsid w:val="00731057"/>
    <w:rsid w:val="00731C24"/>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0A7"/>
    <w:rsid w:val="00736A65"/>
    <w:rsid w:val="00737108"/>
    <w:rsid w:val="007379CE"/>
    <w:rsid w:val="00737E17"/>
    <w:rsid w:val="007419A7"/>
    <w:rsid w:val="00741B21"/>
    <w:rsid w:val="00741DD8"/>
    <w:rsid w:val="00741E49"/>
    <w:rsid w:val="0074250D"/>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BB5"/>
    <w:rsid w:val="00750E30"/>
    <w:rsid w:val="00751017"/>
    <w:rsid w:val="00751960"/>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78F"/>
    <w:rsid w:val="00766D90"/>
    <w:rsid w:val="007672ED"/>
    <w:rsid w:val="007673E5"/>
    <w:rsid w:val="00767C19"/>
    <w:rsid w:val="00767D4E"/>
    <w:rsid w:val="00771067"/>
    <w:rsid w:val="007722ED"/>
    <w:rsid w:val="0077272F"/>
    <w:rsid w:val="00773232"/>
    <w:rsid w:val="0077408B"/>
    <w:rsid w:val="007740E4"/>
    <w:rsid w:val="00774AF6"/>
    <w:rsid w:val="00774DB6"/>
    <w:rsid w:val="00774EC8"/>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30E"/>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B41"/>
    <w:rsid w:val="007A6F0F"/>
    <w:rsid w:val="007A708C"/>
    <w:rsid w:val="007A75B5"/>
    <w:rsid w:val="007A76D1"/>
    <w:rsid w:val="007A78A1"/>
    <w:rsid w:val="007A7985"/>
    <w:rsid w:val="007A7ABE"/>
    <w:rsid w:val="007B03C5"/>
    <w:rsid w:val="007B0D09"/>
    <w:rsid w:val="007B26E1"/>
    <w:rsid w:val="007B3045"/>
    <w:rsid w:val="007B3F32"/>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5EB9"/>
    <w:rsid w:val="007C6CFA"/>
    <w:rsid w:val="007C6FE0"/>
    <w:rsid w:val="007C7146"/>
    <w:rsid w:val="007C7449"/>
    <w:rsid w:val="007C7EA5"/>
    <w:rsid w:val="007D0208"/>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A62"/>
    <w:rsid w:val="00806E55"/>
    <w:rsid w:val="008075CE"/>
    <w:rsid w:val="00811796"/>
    <w:rsid w:val="0081188F"/>
    <w:rsid w:val="00812179"/>
    <w:rsid w:val="008124E2"/>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85C"/>
    <w:rsid w:val="00822C41"/>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709"/>
    <w:rsid w:val="008418A5"/>
    <w:rsid w:val="008424BC"/>
    <w:rsid w:val="00843108"/>
    <w:rsid w:val="00843548"/>
    <w:rsid w:val="0084383C"/>
    <w:rsid w:val="008438A7"/>
    <w:rsid w:val="00843A84"/>
    <w:rsid w:val="00843CC0"/>
    <w:rsid w:val="008441EF"/>
    <w:rsid w:val="008447B9"/>
    <w:rsid w:val="00844ADD"/>
    <w:rsid w:val="00844C2B"/>
    <w:rsid w:val="00844E39"/>
    <w:rsid w:val="00844F88"/>
    <w:rsid w:val="0084534E"/>
    <w:rsid w:val="00846062"/>
    <w:rsid w:val="00846FA0"/>
    <w:rsid w:val="008474C1"/>
    <w:rsid w:val="00847C1C"/>
    <w:rsid w:val="00850469"/>
    <w:rsid w:val="0085055E"/>
    <w:rsid w:val="00850C3B"/>
    <w:rsid w:val="00851605"/>
    <w:rsid w:val="00851A65"/>
    <w:rsid w:val="00852A56"/>
    <w:rsid w:val="00852CA0"/>
    <w:rsid w:val="00852D85"/>
    <w:rsid w:val="00852F6C"/>
    <w:rsid w:val="0085465C"/>
    <w:rsid w:val="00854967"/>
    <w:rsid w:val="00855329"/>
    <w:rsid w:val="0085540B"/>
    <w:rsid w:val="00855511"/>
    <w:rsid w:val="0085582C"/>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3C9F"/>
    <w:rsid w:val="008645D6"/>
    <w:rsid w:val="0086503F"/>
    <w:rsid w:val="0086552B"/>
    <w:rsid w:val="008655A2"/>
    <w:rsid w:val="0086584F"/>
    <w:rsid w:val="00866078"/>
    <w:rsid w:val="008671C7"/>
    <w:rsid w:val="008674E1"/>
    <w:rsid w:val="00867EB8"/>
    <w:rsid w:val="00870335"/>
    <w:rsid w:val="00870AA2"/>
    <w:rsid w:val="00870CCA"/>
    <w:rsid w:val="00870DC6"/>
    <w:rsid w:val="0087153A"/>
    <w:rsid w:val="008720A5"/>
    <w:rsid w:val="00873061"/>
    <w:rsid w:val="00873364"/>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992"/>
    <w:rsid w:val="008811CB"/>
    <w:rsid w:val="00881692"/>
    <w:rsid w:val="00881C30"/>
    <w:rsid w:val="00881ECB"/>
    <w:rsid w:val="00883143"/>
    <w:rsid w:val="00884477"/>
    <w:rsid w:val="008851AE"/>
    <w:rsid w:val="008855DB"/>
    <w:rsid w:val="00886154"/>
    <w:rsid w:val="008863F9"/>
    <w:rsid w:val="00887A4F"/>
    <w:rsid w:val="00890277"/>
    <w:rsid w:val="0089061A"/>
    <w:rsid w:val="0089141F"/>
    <w:rsid w:val="008915C6"/>
    <w:rsid w:val="008915EB"/>
    <w:rsid w:val="00891677"/>
    <w:rsid w:val="0089176D"/>
    <w:rsid w:val="00892DB5"/>
    <w:rsid w:val="00894562"/>
    <w:rsid w:val="00894B61"/>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6EA6"/>
    <w:rsid w:val="008B0F5D"/>
    <w:rsid w:val="008B0FDB"/>
    <w:rsid w:val="008B13A3"/>
    <w:rsid w:val="008B16DE"/>
    <w:rsid w:val="008B1F61"/>
    <w:rsid w:val="008B251F"/>
    <w:rsid w:val="008B2602"/>
    <w:rsid w:val="008B2727"/>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98F"/>
    <w:rsid w:val="008C4CD4"/>
    <w:rsid w:val="008C4EB2"/>
    <w:rsid w:val="008C520E"/>
    <w:rsid w:val="008C563B"/>
    <w:rsid w:val="008C567E"/>
    <w:rsid w:val="008C5DEE"/>
    <w:rsid w:val="008C6285"/>
    <w:rsid w:val="008C7182"/>
    <w:rsid w:val="008C7268"/>
    <w:rsid w:val="008C7CA5"/>
    <w:rsid w:val="008C7D9D"/>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861"/>
    <w:rsid w:val="008F1E95"/>
    <w:rsid w:val="008F2191"/>
    <w:rsid w:val="008F2304"/>
    <w:rsid w:val="008F2372"/>
    <w:rsid w:val="008F24F5"/>
    <w:rsid w:val="008F34BC"/>
    <w:rsid w:val="008F3864"/>
    <w:rsid w:val="008F57DD"/>
    <w:rsid w:val="008F5AEE"/>
    <w:rsid w:val="008F6EAA"/>
    <w:rsid w:val="008F7800"/>
    <w:rsid w:val="008F7BCA"/>
    <w:rsid w:val="00900F4D"/>
    <w:rsid w:val="00901198"/>
    <w:rsid w:val="0090167B"/>
    <w:rsid w:val="00901B8F"/>
    <w:rsid w:val="0090200C"/>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57B0"/>
    <w:rsid w:val="009258BD"/>
    <w:rsid w:val="00925DEB"/>
    <w:rsid w:val="009263C0"/>
    <w:rsid w:val="009268B1"/>
    <w:rsid w:val="00927393"/>
    <w:rsid w:val="009302D4"/>
    <w:rsid w:val="009307F2"/>
    <w:rsid w:val="00930CEC"/>
    <w:rsid w:val="00930F4A"/>
    <w:rsid w:val="00931B7B"/>
    <w:rsid w:val="00931ED8"/>
    <w:rsid w:val="0093375E"/>
    <w:rsid w:val="00933BEF"/>
    <w:rsid w:val="00933E38"/>
    <w:rsid w:val="00936FD0"/>
    <w:rsid w:val="0093787E"/>
    <w:rsid w:val="009378E6"/>
    <w:rsid w:val="009412CC"/>
    <w:rsid w:val="009434A5"/>
    <w:rsid w:val="0094388B"/>
    <w:rsid w:val="00943D09"/>
    <w:rsid w:val="009443E7"/>
    <w:rsid w:val="00944826"/>
    <w:rsid w:val="00945122"/>
    <w:rsid w:val="009457A1"/>
    <w:rsid w:val="00946B34"/>
    <w:rsid w:val="00947C5D"/>
    <w:rsid w:val="00947CA9"/>
    <w:rsid w:val="009503F1"/>
    <w:rsid w:val="00950478"/>
    <w:rsid w:val="00950888"/>
    <w:rsid w:val="00950AF9"/>
    <w:rsid w:val="00950B5F"/>
    <w:rsid w:val="00950D35"/>
    <w:rsid w:val="0095144C"/>
    <w:rsid w:val="0095165B"/>
    <w:rsid w:val="00951B17"/>
    <w:rsid w:val="00951B8D"/>
    <w:rsid w:val="00952F55"/>
    <w:rsid w:val="009536A8"/>
    <w:rsid w:val="00954596"/>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6BE5"/>
    <w:rsid w:val="00966EB0"/>
    <w:rsid w:val="009677F6"/>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DF2"/>
    <w:rsid w:val="0098433A"/>
    <w:rsid w:val="009851C4"/>
    <w:rsid w:val="009854BC"/>
    <w:rsid w:val="00985521"/>
    <w:rsid w:val="00985675"/>
    <w:rsid w:val="00985939"/>
    <w:rsid w:val="009861A0"/>
    <w:rsid w:val="0098637F"/>
    <w:rsid w:val="00986A9B"/>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5ADA"/>
    <w:rsid w:val="0099606F"/>
    <w:rsid w:val="0099643A"/>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211F"/>
    <w:rsid w:val="009C2B3E"/>
    <w:rsid w:val="009C2EA2"/>
    <w:rsid w:val="009C3721"/>
    <w:rsid w:val="009C4120"/>
    <w:rsid w:val="009C4141"/>
    <w:rsid w:val="009C4B55"/>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35B"/>
    <w:rsid w:val="009D630B"/>
    <w:rsid w:val="009D6CAA"/>
    <w:rsid w:val="009D6CF6"/>
    <w:rsid w:val="009D6E69"/>
    <w:rsid w:val="009D7B41"/>
    <w:rsid w:val="009E014F"/>
    <w:rsid w:val="009E02DC"/>
    <w:rsid w:val="009E031A"/>
    <w:rsid w:val="009E13C3"/>
    <w:rsid w:val="009E2040"/>
    <w:rsid w:val="009E2B8D"/>
    <w:rsid w:val="009E3CBF"/>
    <w:rsid w:val="009E4013"/>
    <w:rsid w:val="009E49AE"/>
    <w:rsid w:val="009E4DC7"/>
    <w:rsid w:val="009E660A"/>
    <w:rsid w:val="009E6B64"/>
    <w:rsid w:val="009E71CD"/>
    <w:rsid w:val="009E72E5"/>
    <w:rsid w:val="009E7881"/>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5628"/>
    <w:rsid w:val="00A0688D"/>
    <w:rsid w:val="00A075B7"/>
    <w:rsid w:val="00A07DCF"/>
    <w:rsid w:val="00A103D4"/>
    <w:rsid w:val="00A12979"/>
    <w:rsid w:val="00A131A9"/>
    <w:rsid w:val="00A13372"/>
    <w:rsid w:val="00A13E55"/>
    <w:rsid w:val="00A1496E"/>
    <w:rsid w:val="00A14F84"/>
    <w:rsid w:val="00A16734"/>
    <w:rsid w:val="00A16B85"/>
    <w:rsid w:val="00A16D6D"/>
    <w:rsid w:val="00A17BA1"/>
    <w:rsid w:val="00A17C75"/>
    <w:rsid w:val="00A211C8"/>
    <w:rsid w:val="00A2121E"/>
    <w:rsid w:val="00A213EF"/>
    <w:rsid w:val="00A213F2"/>
    <w:rsid w:val="00A21EAC"/>
    <w:rsid w:val="00A221DE"/>
    <w:rsid w:val="00A22607"/>
    <w:rsid w:val="00A22CB2"/>
    <w:rsid w:val="00A23138"/>
    <w:rsid w:val="00A23940"/>
    <w:rsid w:val="00A23ECC"/>
    <w:rsid w:val="00A24221"/>
    <w:rsid w:val="00A2471C"/>
    <w:rsid w:val="00A24862"/>
    <w:rsid w:val="00A24CD3"/>
    <w:rsid w:val="00A2537D"/>
    <w:rsid w:val="00A25461"/>
    <w:rsid w:val="00A2578C"/>
    <w:rsid w:val="00A26367"/>
    <w:rsid w:val="00A2678A"/>
    <w:rsid w:val="00A269E1"/>
    <w:rsid w:val="00A274AA"/>
    <w:rsid w:val="00A27C1C"/>
    <w:rsid w:val="00A30F6A"/>
    <w:rsid w:val="00A32AEA"/>
    <w:rsid w:val="00A32F32"/>
    <w:rsid w:val="00A330A4"/>
    <w:rsid w:val="00A33A7F"/>
    <w:rsid w:val="00A33E80"/>
    <w:rsid w:val="00A33EFE"/>
    <w:rsid w:val="00A34601"/>
    <w:rsid w:val="00A35941"/>
    <w:rsid w:val="00A41030"/>
    <w:rsid w:val="00A4148D"/>
    <w:rsid w:val="00A41AE2"/>
    <w:rsid w:val="00A41CBA"/>
    <w:rsid w:val="00A43570"/>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F0"/>
    <w:rsid w:val="00A6211F"/>
    <w:rsid w:val="00A62580"/>
    <w:rsid w:val="00A62930"/>
    <w:rsid w:val="00A63AC9"/>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1CED"/>
    <w:rsid w:val="00A92B2C"/>
    <w:rsid w:val="00A92DD4"/>
    <w:rsid w:val="00A94D0F"/>
    <w:rsid w:val="00A94F13"/>
    <w:rsid w:val="00A9568C"/>
    <w:rsid w:val="00A95BED"/>
    <w:rsid w:val="00A95EA2"/>
    <w:rsid w:val="00A970B2"/>
    <w:rsid w:val="00A97102"/>
    <w:rsid w:val="00A9787E"/>
    <w:rsid w:val="00A97AF9"/>
    <w:rsid w:val="00AA08E8"/>
    <w:rsid w:val="00AA0D6F"/>
    <w:rsid w:val="00AA0DB4"/>
    <w:rsid w:val="00AA11C5"/>
    <w:rsid w:val="00AA17E2"/>
    <w:rsid w:val="00AA21B7"/>
    <w:rsid w:val="00AA3827"/>
    <w:rsid w:val="00AA382D"/>
    <w:rsid w:val="00AA48D0"/>
    <w:rsid w:val="00AA4A2C"/>
    <w:rsid w:val="00AA4C35"/>
    <w:rsid w:val="00AA59A6"/>
    <w:rsid w:val="00AA6299"/>
    <w:rsid w:val="00AA6E05"/>
    <w:rsid w:val="00AB0262"/>
    <w:rsid w:val="00AB14A1"/>
    <w:rsid w:val="00AB1586"/>
    <w:rsid w:val="00AB202A"/>
    <w:rsid w:val="00AB266A"/>
    <w:rsid w:val="00AB2A74"/>
    <w:rsid w:val="00AB5555"/>
    <w:rsid w:val="00AB55AD"/>
    <w:rsid w:val="00AB5D1B"/>
    <w:rsid w:val="00AB6918"/>
    <w:rsid w:val="00AB6B40"/>
    <w:rsid w:val="00AB740A"/>
    <w:rsid w:val="00AC1DA5"/>
    <w:rsid w:val="00AC216B"/>
    <w:rsid w:val="00AC26B1"/>
    <w:rsid w:val="00AC2C5A"/>
    <w:rsid w:val="00AC42B8"/>
    <w:rsid w:val="00AC45C5"/>
    <w:rsid w:val="00AC4791"/>
    <w:rsid w:val="00AC4FB6"/>
    <w:rsid w:val="00AC4FD1"/>
    <w:rsid w:val="00AC5FEF"/>
    <w:rsid w:val="00AC6036"/>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E18"/>
    <w:rsid w:val="00AE63E3"/>
    <w:rsid w:val="00AE68E2"/>
    <w:rsid w:val="00AF0011"/>
    <w:rsid w:val="00AF0157"/>
    <w:rsid w:val="00AF066F"/>
    <w:rsid w:val="00AF1DDF"/>
    <w:rsid w:val="00AF1E59"/>
    <w:rsid w:val="00AF2461"/>
    <w:rsid w:val="00AF2EC7"/>
    <w:rsid w:val="00AF3AC0"/>
    <w:rsid w:val="00AF3BB9"/>
    <w:rsid w:val="00AF4B02"/>
    <w:rsid w:val="00AF4F4A"/>
    <w:rsid w:val="00AF6011"/>
    <w:rsid w:val="00AF6F5B"/>
    <w:rsid w:val="00B002BE"/>
    <w:rsid w:val="00B00C24"/>
    <w:rsid w:val="00B00F93"/>
    <w:rsid w:val="00B01BBE"/>
    <w:rsid w:val="00B0356B"/>
    <w:rsid w:val="00B03F92"/>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23A"/>
    <w:rsid w:val="00B31E8D"/>
    <w:rsid w:val="00B33079"/>
    <w:rsid w:val="00B3313B"/>
    <w:rsid w:val="00B331E8"/>
    <w:rsid w:val="00B331EA"/>
    <w:rsid w:val="00B34732"/>
    <w:rsid w:val="00B353B8"/>
    <w:rsid w:val="00B35C56"/>
    <w:rsid w:val="00B36F17"/>
    <w:rsid w:val="00B36F41"/>
    <w:rsid w:val="00B371E3"/>
    <w:rsid w:val="00B372ED"/>
    <w:rsid w:val="00B37D2A"/>
    <w:rsid w:val="00B40603"/>
    <w:rsid w:val="00B40AF6"/>
    <w:rsid w:val="00B41071"/>
    <w:rsid w:val="00B41AC7"/>
    <w:rsid w:val="00B425C0"/>
    <w:rsid w:val="00B42DB6"/>
    <w:rsid w:val="00B464FC"/>
    <w:rsid w:val="00B46957"/>
    <w:rsid w:val="00B46C60"/>
    <w:rsid w:val="00B47B54"/>
    <w:rsid w:val="00B50E99"/>
    <w:rsid w:val="00B511CE"/>
    <w:rsid w:val="00B5180F"/>
    <w:rsid w:val="00B51926"/>
    <w:rsid w:val="00B51F9A"/>
    <w:rsid w:val="00B5324E"/>
    <w:rsid w:val="00B53930"/>
    <w:rsid w:val="00B54DA7"/>
    <w:rsid w:val="00B600C6"/>
    <w:rsid w:val="00B60167"/>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C02"/>
    <w:rsid w:val="00B777AE"/>
    <w:rsid w:val="00B77BD2"/>
    <w:rsid w:val="00B80E38"/>
    <w:rsid w:val="00B80FF5"/>
    <w:rsid w:val="00B813B5"/>
    <w:rsid w:val="00B814CB"/>
    <w:rsid w:val="00B81B6A"/>
    <w:rsid w:val="00B820F4"/>
    <w:rsid w:val="00B82A7E"/>
    <w:rsid w:val="00B835E0"/>
    <w:rsid w:val="00B8396D"/>
    <w:rsid w:val="00B84A82"/>
    <w:rsid w:val="00B8547A"/>
    <w:rsid w:val="00B90331"/>
    <w:rsid w:val="00B903ED"/>
    <w:rsid w:val="00B90758"/>
    <w:rsid w:val="00B90B2D"/>
    <w:rsid w:val="00B92652"/>
    <w:rsid w:val="00B935A1"/>
    <w:rsid w:val="00B93856"/>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C01FC"/>
    <w:rsid w:val="00BC1224"/>
    <w:rsid w:val="00BC12B3"/>
    <w:rsid w:val="00BC1F79"/>
    <w:rsid w:val="00BC2201"/>
    <w:rsid w:val="00BC3C7A"/>
    <w:rsid w:val="00BC71D6"/>
    <w:rsid w:val="00BC7DC6"/>
    <w:rsid w:val="00BC7E94"/>
    <w:rsid w:val="00BD001B"/>
    <w:rsid w:val="00BD0C15"/>
    <w:rsid w:val="00BD0C93"/>
    <w:rsid w:val="00BD1039"/>
    <w:rsid w:val="00BD13B5"/>
    <w:rsid w:val="00BD2EFC"/>
    <w:rsid w:val="00BD340E"/>
    <w:rsid w:val="00BD60AD"/>
    <w:rsid w:val="00BD672C"/>
    <w:rsid w:val="00BD6B0C"/>
    <w:rsid w:val="00BD6C02"/>
    <w:rsid w:val="00BD71A4"/>
    <w:rsid w:val="00BD7877"/>
    <w:rsid w:val="00BE11B5"/>
    <w:rsid w:val="00BE11DD"/>
    <w:rsid w:val="00BE1244"/>
    <w:rsid w:val="00BE165D"/>
    <w:rsid w:val="00BE1F36"/>
    <w:rsid w:val="00BE2394"/>
    <w:rsid w:val="00BE2702"/>
    <w:rsid w:val="00BE4326"/>
    <w:rsid w:val="00BE4908"/>
    <w:rsid w:val="00BE5F4F"/>
    <w:rsid w:val="00BE60DB"/>
    <w:rsid w:val="00BF019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3C78"/>
    <w:rsid w:val="00C04E94"/>
    <w:rsid w:val="00C04FD3"/>
    <w:rsid w:val="00C065A2"/>
    <w:rsid w:val="00C07919"/>
    <w:rsid w:val="00C103F9"/>
    <w:rsid w:val="00C104AC"/>
    <w:rsid w:val="00C110E1"/>
    <w:rsid w:val="00C1198F"/>
    <w:rsid w:val="00C11FA1"/>
    <w:rsid w:val="00C12C4A"/>
    <w:rsid w:val="00C12E21"/>
    <w:rsid w:val="00C12E65"/>
    <w:rsid w:val="00C13B8F"/>
    <w:rsid w:val="00C13C20"/>
    <w:rsid w:val="00C13F74"/>
    <w:rsid w:val="00C146D3"/>
    <w:rsid w:val="00C15942"/>
    <w:rsid w:val="00C15D3A"/>
    <w:rsid w:val="00C15F4E"/>
    <w:rsid w:val="00C1647B"/>
    <w:rsid w:val="00C165FF"/>
    <w:rsid w:val="00C16BE0"/>
    <w:rsid w:val="00C17BDE"/>
    <w:rsid w:val="00C17E60"/>
    <w:rsid w:val="00C217C9"/>
    <w:rsid w:val="00C21B9A"/>
    <w:rsid w:val="00C21C39"/>
    <w:rsid w:val="00C22770"/>
    <w:rsid w:val="00C2325C"/>
    <w:rsid w:val="00C239ED"/>
    <w:rsid w:val="00C24D9D"/>
    <w:rsid w:val="00C250E7"/>
    <w:rsid w:val="00C25CF3"/>
    <w:rsid w:val="00C263E9"/>
    <w:rsid w:val="00C269A8"/>
    <w:rsid w:val="00C26BC4"/>
    <w:rsid w:val="00C27351"/>
    <w:rsid w:val="00C2775A"/>
    <w:rsid w:val="00C303AF"/>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BBD"/>
    <w:rsid w:val="00C40EC6"/>
    <w:rsid w:val="00C419AD"/>
    <w:rsid w:val="00C41B5F"/>
    <w:rsid w:val="00C41FA5"/>
    <w:rsid w:val="00C42B6C"/>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F2"/>
    <w:rsid w:val="00C56F11"/>
    <w:rsid w:val="00C572F4"/>
    <w:rsid w:val="00C610A2"/>
    <w:rsid w:val="00C61F3A"/>
    <w:rsid w:val="00C620E7"/>
    <w:rsid w:val="00C629CB"/>
    <w:rsid w:val="00C62B75"/>
    <w:rsid w:val="00C62FA4"/>
    <w:rsid w:val="00C64358"/>
    <w:rsid w:val="00C656AB"/>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776C"/>
    <w:rsid w:val="00C8065C"/>
    <w:rsid w:val="00C80A86"/>
    <w:rsid w:val="00C8398D"/>
    <w:rsid w:val="00C83ACA"/>
    <w:rsid w:val="00C84BC2"/>
    <w:rsid w:val="00C85139"/>
    <w:rsid w:val="00C85657"/>
    <w:rsid w:val="00C90369"/>
    <w:rsid w:val="00C91395"/>
    <w:rsid w:val="00C91C88"/>
    <w:rsid w:val="00C939C3"/>
    <w:rsid w:val="00C94228"/>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B1A"/>
    <w:rsid w:val="00CB4B72"/>
    <w:rsid w:val="00CB4E1F"/>
    <w:rsid w:val="00CB5B69"/>
    <w:rsid w:val="00CC05B2"/>
    <w:rsid w:val="00CC0CFF"/>
    <w:rsid w:val="00CC152E"/>
    <w:rsid w:val="00CC2493"/>
    <w:rsid w:val="00CC3222"/>
    <w:rsid w:val="00CC35F1"/>
    <w:rsid w:val="00CC35FF"/>
    <w:rsid w:val="00CC36D7"/>
    <w:rsid w:val="00CC4A27"/>
    <w:rsid w:val="00CC4CA4"/>
    <w:rsid w:val="00CC63F5"/>
    <w:rsid w:val="00CC7192"/>
    <w:rsid w:val="00CC7932"/>
    <w:rsid w:val="00CD05AA"/>
    <w:rsid w:val="00CD0DBB"/>
    <w:rsid w:val="00CD0E6E"/>
    <w:rsid w:val="00CD10B9"/>
    <w:rsid w:val="00CD23AE"/>
    <w:rsid w:val="00CD2597"/>
    <w:rsid w:val="00CD27DF"/>
    <w:rsid w:val="00CD2D8A"/>
    <w:rsid w:val="00CD3308"/>
    <w:rsid w:val="00CD3BAC"/>
    <w:rsid w:val="00CD3FF2"/>
    <w:rsid w:val="00CD4A65"/>
    <w:rsid w:val="00CD531F"/>
    <w:rsid w:val="00CD58A1"/>
    <w:rsid w:val="00CD6FA3"/>
    <w:rsid w:val="00CE13A3"/>
    <w:rsid w:val="00CE1772"/>
    <w:rsid w:val="00CE1A96"/>
    <w:rsid w:val="00CE1ED8"/>
    <w:rsid w:val="00CE2184"/>
    <w:rsid w:val="00CE2275"/>
    <w:rsid w:val="00CE3B7F"/>
    <w:rsid w:val="00CE3FA2"/>
    <w:rsid w:val="00CE416A"/>
    <w:rsid w:val="00CE41A0"/>
    <w:rsid w:val="00CE4958"/>
    <w:rsid w:val="00CE68E2"/>
    <w:rsid w:val="00CE706E"/>
    <w:rsid w:val="00CE70B1"/>
    <w:rsid w:val="00CE7AE4"/>
    <w:rsid w:val="00CF0A4C"/>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41D"/>
    <w:rsid w:val="00D137F9"/>
    <w:rsid w:val="00D1405F"/>
    <w:rsid w:val="00D1431E"/>
    <w:rsid w:val="00D14445"/>
    <w:rsid w:val="00D1458C"/>
    <w:rsid w:val="00D14EC7"/>
    <w:rsid w:val="00D1620E"/>
    <w:rsid w:val="00D16867"/>
    <w:rsid w:val="00D16EEC"/>
    <w:rsid w:val="00D17ECE"/>
    <w:rsid w:val="00D2047A"/>
    <w:rsid w:val="00D20631"/>
    <w:rsid w:val="00D207FC"/>
    <w:rsid w:val="00D213EC"/>
    <w:rsid w:val="00D2260B"/>
    <w:rsid w:val="00D22C71"/>
    <w:rsid w:val="00D22D49"/>
    <w:rsid w:val="00D22FC9"/>
    <w:rsid w:val="00D23930"/>
    <w:rsid w:val="00D23A23"/>
    <w:rsid w:val="00D249FD"/>
    <w:rsid w:val="00D24D8A"/>
    <w:rsid w:val="00D24DA4"/>
    <w:rsid w:val="00D25235"/>
    <w:rsid w:val="00D25383"/>
    <w:rsid w:val="00D25670"/>
    <w:rsid w:val="00D256E1"/>
    <w:rsid w:val="00D301FF"/>
    <w:rsid w:val="00D30404"/>
    <w:rsid w:val="00D31C17"/>
    <w:rsid w:val="00D3257F"/>
    <w:rsid w:val="00D33B86"/>
    <w:rsid w:val="00D340E2"/>
    <w:rsid w:val="00D347D5"/>
    <w:rsid w:val="00D34B3C"/>
    <w:rsid w:val="00D36513"/>
    <w:rsid w:val="00D36887"/>
    <w:rsid w:val="00D37563"/>
    <w:rsid w:val="00D375C8"/>
    <w:rsid w:val="00D379EB"/>
    <w:rsid w:val="00D37DDD"/>
    <w:rsid w:val="00D400B8"/>
    <w:rsid w:val="00D4022C"/>
    <w:rsid w:val="00D41023"/>
    <w:rsid w:val="00D41C6C"/>
    <w:rsid w:val="00D42465"/>
    <w:rsid w:val="00D42B4D"/>
    <w:rsid w:val="00D42E5B"/>
    <w:rsid w:val="00D42FEA"/>
    <w:rsid w:val="00D4317E"/>
    <w:rsid w:val="00D439D1"/>
    <w:rsid w:val="00D43C68"/>
    <w:rsid w:val="00D444B2"/>
    <w:rsid w:val="00D446C2"/>
    <w:rsid w:val="00D453E4"/>
    <w:rsid w:val="00D46304"/>
    <w:rsid w:val="00D47226"/>
    <w:rsid w:val="00D47839"/>
    <w:rsid w:val="00D47B17"/>
    <w:rsid w:val="00D5062C"/>
    <w:rsid w:val="00D50B21"/>
    <w:rsid w:val="00D51140"/>
    <w:rsid w:val="00D51349"/>
    <w:rsid w:val="00D51907"/>
    <w:rsid w:val="00D527AF"/>
    <w:rsid w:val="00D529E1"/>
    <w:rsid w:val="00D52E84"/>
    <w:rsid w:val="00D534C2"/>
    <w:rsid w:val="00D53EB9"/>
    <w:rsid w:val="00D5410F"/>
    <w:rsid w:val="00D564DF"/>
    <w:rsid w:val="00D56F1A"/>
    <w:rsid w:val="00D576DD"/>
    <w:rsid w:val="00D576FB"/>
    <w:rsid w:val="00D57CB4"/>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5DA4"/>
    <w:rsid w:val="00D6609E"/>
    <w:rsid w:val="00D67A9F"/>
    <w:rsid w:val="00D67C20"/>
    <w:rsid w:val="00D702E5"/>
    <w:rsid w:val="00D70C1B"/>
    <w:rsid w:val="00D70E5C"/>
    <w:rsid w:val="00D7146C"/>
    <w:rsid w:val="00D718CD"/>
    <w:rsid w:val="00D7294B"/>
    <w:rsid w:val="00D7416F"/>
    <w:rsid w:val="00D7465E"/>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213"/>
    <w:rsid w:val="00D94BEB"/>
    <w:rsid w:val="00D94EA5"/>
    <w:rsid w:val="00D953FB"/>
    <w:rsid w:val="00D95F32"/>
    <w:rsid w:val="00D96CF3"/>
    <w:rsid w:val="00DA0187"/>
    <w:rsid w:val="00DA024A"/>
    <w:rsid w:val="00DA07EE"/>
    <w:rsid w:val="00DA0A58"/>
    <w:rsid w:val="00DA1082"/>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CF"/>
    <w:rsid w:val="00DB19F1"/>
    <w:rsid w:val="00DB26AE"/>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6946"/>
    <w:rsid w:val="00DC6DF6"/>
    <w:rsid w:val="00DC7BFE"/>
    <w:rsid w:val="00DD08C7"/>
    <w:rsid w:val="00DD1A10"/>
    <w:rsid w:val="00DD200D"/>
    <w:rsid w:val="00DD203D"/>
    <w:rsid w:val="00DD2990"/>
    <w:rsid w:val="00DD2FE9"/>
    <w:rsid w:val="00DD3A7E"/>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F1D"/>
    <w:rsid w:val="00DF201F"/>
    <w:rsid w:val="00DF23A5"/>
    <w:rsid w:val="00DF2FCE"/>
    <w:rsid w:val="00DF33C1"/>
    <w:rsid w:val="00DF4C6E"/>
    <w:rsid w:val="00DF5FBB"/>
    <w:rsid w:val="00DF627F"/>
    <w:rsid w:val="00DF6666"/>
    <w:rsid w:val="00DF745E"/>
    <w:rsid w:val="00DF762E"/>
    <w:rsid w:val="00E0044E"/>
    <w:rsid w:val="00E00816"/>
    <w:rsid w:val="00E0239F"/>
    <w:rsid w:val="00E0267B"/>
    <w:rsid w:val="00E035ED"/>
    <w:rsid w:val="00E03E19"/>
    <w:rsid w:val="00E04441"/>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D83"/>
    <w:rsid w:val="00E14FA6"/>
    <w:rsid w:val="00E150D3"/>
    <w:rsid w:val="00E15A0D"/>
    <w:rsid w:val="00E16486"/>
    <w:rsid w:val="00E16640"/>
    <w:rsid w:val="00E16F24"/>
    <w:rsid w:val="00E1740F"/>
    <w:rsid w:val="00E17EAB"/>
    <w:rsid w:val="00E200CF"/>
    <w:rsid w:val="00E20B19"/>
    <w:rsid w:val="00E22A69"/>
    <w:rsid w:val="00E24287"/>
    <w:rsid w:val="00E24425"/>
    <w:rsid w:val="00E26E0F"/>
    <w:rsid w:val="00E2786F"/>
    <w:rsid w:val="00E31367"/>
    <w:rsid w:val="00E3181C"/>
    <w:rsid w:val="00E3197F"/>
    <w:rsid w:val="00E32371"/>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6B29"/>
    <w:rsid w:val="00E46CB7"/>
    <w:rsid w:val="00E4723D"/>
    <w:rsid w:val="00E47968"/>
    <w:rsid w:val="00E47E35"/>
    <w:rsid w:val="00E5077C"/>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A63"/>
    <w:rsid w:val="00ED3F67"/>
    <w:rsid w:val="00ED440A"/>
    <w:rsid w:val="00ED7971"/>
    <w:rsid w:val="00EE0177"/>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9E"/>
    <w:rsid w:val="00EF2BFE"/>
    <w:rsid w:val="00EF2D85"/>
    <w:rsid w:val="00EF402C"/>
    <w:rsid w:val="00EF45E0"/>
    <w:rsid w:val="00EF4E6F"/>
    <w:rsid w:val="00EF53B2"/>
    <w:rsid w:val="00EF5507"/>
    <w:rsid w:val="00EF5C82"/>
    <w:rsid w:val="00EF690A"/>
    <w:rsid w:val="00EF7A15"/>
    <w:rsid w:val="00F00218"/>
    <w:rsid w:val="00F0117E"/>
    <w:rsid w:val="00F01F8C"/>
    <w:rsid w:val="00F022EC"/>
    <w:rsid w:val="00F02D40"/>
    <w:rsid w:val="00F035A6"/>
    <w:rsid w:val="00F04A32"/>
    <w:rsid w:val="00F04AD0"/>
    <w:rsid w:val="00F04ED4"/>
    <w:rsid w:val="00F056A6"/>
    <w:rsid w:val="00F071BB"/>
    <w:rsid w:val="00F07230"/>
    <w:rsid w:val="00F077A8"/>
    <w:rsid w:val="00F07BAB"/>
    <w:rsid w:val="00F10033"/>
    <w:rsid w:val="00F1058C"/>
    <w:rsid w:val="00F105FE"/>
    <w:rsid w:val="00F10848"/>
    <w:rsid w:val="00F10B68"/>
    <w:rsid w:val="00F11F55"/>
    <w:rsid w:val="00F12C95"/>
    <w:rsid w:val="00F12DEC"/>
    <w:rsid w:val="00F13151"/>
    <w:rsid w:val="00F13FE3"/>
    <w:rsid w:val="00F1540A"/>
    <w:rsid w:val="00F15523"/>
    <w:rsid w:val="00F162DC"/>
    <w:rsid w:val="00F16391"/>
    <w:rsid w:val="00F16477"/>
    <w:rsid w:val="00F17EF1"/>
    <w:rsid w:val="00F2062B"/>
    <w:rsid w:val="00F20C2F"/>
    <w:rsid w:val="00F21597"/>
    <w:rsid w:val="00F21A18"/>
    <w:rsid w:val="00F21E61"/>
    <w:rsid w:val="00F220EA"/>
    <w:rsid w:val="00F222C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30E6"/>
    <w:rsid w:val="00F5319A"/>
    <w:rsid w:val="00F532C7"/>
    <w:rsid w:val="00F54A6C"/>
    <w:rsid w:val="00F54EE5"/>
    <w:rsid w:val="00F55358"/>
    <w:rsid w:val="00F5603C"/>
    <w:rsid w:val="00F5605C"/>
    <w:rsid w:val="00F564B9"/>
    <w:rsid w:val="00F564DB"/>
    <w:rsid w:val="00F57909"/>
    <w:rsid w:val="00F57B8B"/>
    <w:rsid w:val="00F57D95"/>
    <w:rsid w:val="00F57DB7"/>
    <w:rsid w:val="00F612D6"/>
    <w:rsid w:val="00F62123"/>
    <w:rsid w:val="00F62FD0"/>
    <w:rsid w:val="00F6316A"/>
    <w:rsid w:val="00F631ED"/>
    <w:rsid w:val="00F63400"/>
    <w:rsid w:val="00F636C6"/>
    <w:rsid w:val="00F6433D"/>
    <w:rsid w:val="00F6573E"/>
    <w:rsid w:val="00F662EB"/>
    <w:rsid w:val="00F67606"/>
    <w:rsid w:val="00F70327"/>
    <w:rsid w:val="00F70FEF"/>
    <w:rsid w:val="00F72A44"/>
    <w:rsid w:val="00F72FA8"/>
    <w:rsid w:val="00F735DE"/>
    <w:rsid w:val="00F741E4"/>
    <w:rsid w:val="00F75415"/>
    <w:rsid w:val="00F75A7B"/>
    <w:rsid w:val="00F7670F"/>
    <w:rsid w:val="00F76834"/>
    <w:rsid w:val="00F773F9"/>
    <w:rsid w:val="00F7751C"/>
    <w:rsid w:val="00F8101C"/>
    <w:rsid w:val="00F817B9"/>
    <w:rsid w:val="00F81A92"/>
    <w:rsid w:val="00F81CB7"/>
    <w:rsid w:val="00F820EB"/>
    <w:rsid w:val="00F82280"/>
    <w:rsid w:val="00F8235F"/>
    <w:rsid w:val="00F83A22"/>
    <w:rsid w:val="00F83A86"/>
    <w:rsid w:val="00F83A97"/>
    <w:rsid w:val="00F844F0"/>
    <w:rsid w:val="00F84895"/>
    <w:rsid w:val="00F84E9D"/>
    <w:rsid w:val="00F85908"/>
    <w:rsid w:val="00F85F07"/>
    <w:rsid w:val="00F8659E"/>
    <w:rsid w:val="00F86784"/>
    <w:rsid w:val="00F86CE4"/>
    <w:rsid w:val="00F86F42"/>
    <w:rsid w:val="00F903E1"/>
    <w:rsid w:val="00F91941"/>
    <w:rsid w:val="00F92E3F"/>
    <w:rsid w:val="00F9300F"/>
    <w:rsid w:val="00F93844"/>
    <w:rsid w:val="00F938D2"/>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3304"/>
    <w:rsid w:val="00FB4185"/>
    <w:rsid w:val="00FB46B8"/>
    <w:rsid w:val="00FB4B38"/>
    <w:rsid w:val="00FB54BB"/>
    <w:rsid w:val="00FB5AC0"/>
    <w:rsid w:val="00FB6C91"/>
    <w:rsid w:val="00FB74E8"/>
    <w:rsid w:val="00FC0263"/>
    <w:rsid w:val="00FC0348"/>
    <w:rsid w:val="00FC0FB5"/>
    <w:rsid w:val="00FC102A"/>
    <w:rsid w:val="00FC14E7"/>
    <w:rsid w:val="00FC154C"/>
    <w:rsid w:val="00FC1DBC"/>
    <w:rsid w:val="00FC2637"/>
    <w:rsid w:val="00FC393B"/>
    <w:rsid w:val="00FC3A4E"/>
    <w:rsid w:val="00FC4052"/>
    <w:rsid w:val="00FC5252"/>
    <w:rsid w:val="00FC5E7F"/>
    <w:rsid w:val="00FC6356"/>
    <w:rsid w:val="00FC78F6"/>
    <w:rsid w:val="00FC7D01"/>
    <w:rsid w:val="00FD0130"/>
    <w:rsid w:val="00FD0373"/>
    <w:rsid w:val="00FD04B0"/>
    <w:rsid w:val="00FD0582"/>
    <w:rsid w:val="00FD0C93"/>
    <w:rsid w:val="00FD1062"/>
    <w:rsid w:val="00FD156D"/>
    <w:rsid w:val="00FD2589"/>
    <w:rsid w:val="00FD2D24"/>
    <w:rsid w:val="00FD40BC"/>
    <w:rsid w:val="00FD4876"/>
    <w:rsid w:val="00FD52A3"/>
    <w:rsid w:val="00FD68D4"/>
    <w:rsid w:val="00FE00D9"/>
    <w:rsid w:val="00FE0AAE"/>
    <w:rsid w:val="00FE1186"/>
    <w:rsid w:val="00FE119E"/>
    <w:rsid w:val="00FE177A"/>
    <w:rsid w:val="00FE240A"/>
    <w:rsid w:val="00FE273D"/>
    <w:rsid w:val="00FE2AB8"/>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PlainText">
    <w:name w:val="Plain Text"/>
    <w:basedOn w:val="Normal"/>
    <w:link w:val="PlainTextChar"/>
    <w:rsid w:val="00982996"/>
    <w:rPr>
      <w:rFonts w:eastAsia="Calibri"/>
      <w:lang w:val="x-none" w:eastAsia="x-none"/>
    </w:rPr>
  </w:style>
  <w:style w:type="character" w:customStyle="1" w:styleId="PlainTextChar">
    <w:name w:val="Plain Text Char"/>
    <w:link w:val="PlainText"/>
    <w:rsid w:val="00982996"/>
    <w:rPr>
      <w:rFonts w:eastAsia="Calibri"/>
      <w:sz w:val="24"/>
      <w:szCs w:val="24"/>
    </w:rPr>
  </w:style>
  <w:style w:type="paragraph" w:styleId="ListParagraph">
    <w:name w:val="List Paragraph"/>
    <w:basedOn w:val="Normal"/>
    <w:uiPriority w:val="34"/>
    <w:qFormat/>
    <w:rsid w:val="001055E9"/>
    <w:pPr>
      <w:ind w:left="720"/>
      <w:contextualSpacing/>
      <w:jc w:val="both"/>
    </w:pPr>
    <w:rPr>
      <w:szCs w:val="20"/>
      <w:lang w:eastAsia="en-US"/>
    </w:rPr>
  </w:style>
  <w:style w:type="paragraph" w:customStyle="1" w:styleId="tv2131">
    <w:name w:val="tv2131"/>
    <w:basedOn w:val="Normal"/>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NoSpacing">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Normal"/>
    <w:rsid w:val="00A5514B"/>
    <w:pPr>
      <w:spacing w:after="120"/>
      <w:ind w:firstLine="720"/>
      <w:jc w:val="right"/>
    </w:pPr>
    <w:rPr>
      <w:sz w:val="28"/>
      <w:szCs w:val="28"/>
      <w:lang w:eastAsia="en-US"/>
    </w:rPr>
  </w:style>
  <w:style w:type="paragraph" w:styleId="BodyTextIndent">
    <w:name w:val="Body Text Indent"/>
    <w:basedOn w:val="Normal"/>
    <w:link w:val="BodyTextIndentChar"/>
    <w:uiPriority w:val="99"/>
    <w:semiHidden/>
    <w:unhideWhenUsed/>
    <w:rsid w:val="00054B6C"/>
    <w:pPr>
      <w:spacing w:after="120"/>
      <w:ind w:left="283"/>
    </w:pPr>
    <w:rPr>
      <w:lang w:val="x-none" w:eastAsia="x-none"/>
    </w:rPr>
  </w:style>
  <w:style w:type="character" w:customStyle="1" w:styleId="BodyTextIndentChar">
    <w:name w:val="Body Text Indent Char"/>
    <w:link w:val="BodyTextIndent"/>
    <w:uiPriority w:val="99"/>
    <w:semiHidden/>
    <w:rsid w:val="00054B6C"/>
    <w:rPr>
      <w:sz w:val="24"/>
      <w:szCs w:val="24"/>
      <w:lang w:val="x-none" w:eastAsia="x-none"/>
    </w:rPr>
  </w:style>
  <w:style w:type="character" w:customStyle="1" w:styleId="Neatrisintapieminana1">
    <w:name w:val="Neatrisināta pieminēšana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Normal"/>
    <w:rsid w:val="00074741"/>
    <w:rPr>
      <w:rFonts w:eastAsia="Calibri"/>
    </w:rPr>
  </w:style>
  <w:style w:type="character" w:styleId="UnresolvedMention">
    <w:name w:val="Unresolved Mention"/>
    <w:basedOn w:val="DefaultParagraphFont"/>
    <w:uiPriority w:val="99"/>
    <w:semiHidden/>
    <w:unhideWhenUsed/>
    <w:rsid w:val="00D3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eina@mk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grandsberga@mk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737E-11A0-4653-B9AC-92E81C78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"Noteikumi par uzņēmējdarbības riska valsts nodevu 2021. gadā"</vt:lpstr>
      <vt:lpstr>Izziņa par atzinumos sniegtajiem iebildumiem par Ministru kabineta noteikumu projektu "Noteikumi par uzņēmējdarbības riska valsts nodevu 2021. gadā"</vt:lpstr>
    </vt:vector>
  </TitlesOfParts>
  <Company>Tieslietu ministrija</Company>
  <LinksUpToDate>false</LinksUpToDate>
  <CharactersWithSpaces>9718</CharactersWithSpaces>
  <SharedDoc>false</SharedDoc>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"Noteikumi par uzņēmējdarbības riska valsts nodevu 2021. gadā"</dc:title>
  <dc:subject>Izziņa par atzinumos sniegtajiem iebildumiem</dc:subject>
  <dc:creator>Ilze Grandsberga</dc:creator>
  <cp:keywords/>
  <dc:description>67099153, ilze.grandsberga@mkd.gov.lv</dc:description>
  <cp:lastModifiedBy>Lelde Stepanova</cp:lastModifiedBy>
  <cp:revision>6</cp:revision>
  <cp:lastPrinted>2018-08-02T06:00:00Z</cp:lastPrinted>
  <dcterms:created xsi:type="dcterms:W3CDTF">2020-12-03T07:00:00Z</dcterms:created>
  <dcterms:modified xsi:type="dcterms:W3CDTF">2020-12-03T07:33:00Z</dcterms:modified>
</cp:coreProperties>
</file>