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44B2" w:rsidR="009E7092" w:rsidP="009E7092" w:rsidRDefault="009E7092" w14:paraId="529F0F23" w14:textId="77777777">
      <w:pPr>
        <w:pStyle w:val="Nosaukums"/>
        <w:outlineLvl w:val="0"/>
        <w:rPr>
          <w:b/>
          <w:bCs/>
          <w:sz w:val="24"/>
          <w:szCs w:val="24"/>
          <w:lang w:val="lv-LV"/>
        </w:rPr>
      </w:pPr>
      <w:bookmarkStart w:name="OLE_LINK1" w:id="0"/>
      <w:bookmarkStart w:name="OLE_LINK2" w:id="1"/>
      <w:bookmarkStart w:name="_Hlk504118800" w:id="2"/>
      <w:r w:rsidRPr="009144B2">
        <w:rPr>
          <w:b/>
          <w:bCs/>
          <w:sz w:val="24"/>
          <w:szCs w:val="24"/>
          <w:lang w:val="lv-LV"/>
        </w:rPr>
        <w:t>Informatīvais ziņojums</w:t>
      </w:r>
    </w:p>
    <w:p w:rsidRPr="009144B2" w:rsidR="009E7092" w:rsidP="009E7092" w:rsidRDefault="009E7092" w14:paraId="3B14A208" w14:textId="3462108A">
      <w:pPr>
        <w:pStyle w:val="Nosaukums"/>
        <w:outlineLvl w:val="0"/>
        <w:rPr>
          <w:b/>
          <w:bCs/>
          <w:sz w:val="24"/>
          <w:szCs w:val="24"/>
          <w:lang w:val="lv-LV"/>
        </w:rPr>
      </w:pPr>
      <w:r w:rsidRPr="009144B2">
        <w:rPr>
          <w:b/>
          <w:sz w:val="24"/>
          <w:szCs w:val="24"/>
          <w:lang w:val="lv-LV"/>
        </w:rPr>
        <w:t>"Par 2021. gada 11. marta Eiropas Savienības Tieslietu ministru neformālās padomes videokonferences sanāksmē izskatāmajiem jautājumiem"</w:t>
      </w:r>
    </w:p>
    <w:p w:rsidRPr="0034713E" w:rsidR="009E7092" w:rsidP="009E7092" w:rsidRDefault="009E7092" w14:paraId="2198F176" w14:textId="77777777">
      <w:pPr>
        <w:rPr>
          <w:sz w:val="20"/>
          <w:szCs w:val="20"/>
        </w:rPr>
      </w:pPr>
    </w:p>
    <w:p w:rsidRPr="009144B2" w:rsidR="009E7092" w:rsidP="009E7092" w:rsidRDefault="009E7092" w14:paraId="03740C92" w14:textId="11B0DDD5">
      <w:pPr>
        <w:pStyle w:val="Virsraksts1"/>
        <w:suppressAutoHyphens/>
        <w:ind w:firstLine="720"/>
        <w:rPr>
          <w:i w:val="0"/>
          <w:iCs w:val="0"/>
          <w:sz w:val="24"/>
          <w:szCs w:val="24"/>
          <w:lang w:val="lv-LV"/>
        </w:rPr>
      </w:pPr>
      <w:r w:rsidRPr="009144B2">
        <w:rPr>
          <w:i w:val="0"/>
          <w:iCs w:val="0"/>
          <w:sz w:val="24"/>
          <w:szCs w:val="24"/>
          <w:lang w:val="lv-LV"/>
        </w:rPr>
        <w:t>2021. gada 11. martā</w:t>
      </w:r>
      <w:r w:rsidRPr="009144B2">
        <w:rPr>
          <w:i w:val="0"/>
          <w:sz w:val="24"/>
          <w:szCs w:val="24"/>
          <w:lang w:val="lv-LV"/>
        </w:rPr>
        <w:t xml:space="preserve"> </w:t>
      </w:r>
      <w:r w:rsidRPr="009144B2">
        <w:rPr>
          <w:i w:val="0"/>
          <w:iCs w:val="0"/>
          <w:sz w:val="24"/>
          <w:szCs w:val="24"/>
          <w:lang w:val="lv-LV"/>
        </w:rPr>
        <w:t>notiks Eiropas Savienības (turpmāk – ES) Tieslietu ministru neformālās padomes videokonferences sanāksme (turpmāk – Padomes sanāksme).</w:t>
      </w:r>
    </w:p>
    <w:bookmarkEnd w:id="0"/>
    <w:bookmarkEnd w:id="1"/>
    <w:p w:rsidRPr="0047509B" w:rsidR="009E7092" w:rsidP="009E7092" w:rsidRDefault="009E7092" w14:paraId="1612E235" w14:textId="77777777">
      <w:pPr>
        <w:pStyle w:val="Virsraksts1"/>
        <w:suppressAutoHyphens/>
        <w:ind w:firstLine="720"/>
        <w:rPr>
          <w:i w:val="0"/>
          <w:iCs w:val="0"/>
          <w:sz w:val="12"/>
          <w:szCs w:val="12"/>
          <w:lang w:val="lv-LV"/>
        </w:rPr>
      </w:pPr>
    </w:p>
    <w:p w:rsidRPr="009144B2" w:rsidR="009E7092" w:rsidP="0072442E" w:rsidRDefault="009E7092" w14:paraId="6D7CC253" w14:textId="77777777">
      <w:pPr>
        <w:ind w:firstLine="720"/>
        <w:jc w:val="both"/>
        <w:rPr>
          <w:i/>
          <w:iCs/>
        </w:rPr>
      </w:pPr>
      <w:r w:rsidRPr="009144B2">
        <w:rPr>
          <w:rFonts w:eastAsia="Calibri"/>
        </w:rPr>
        <w:t>Padomes sanāksmes darba kārtībā tieslietu ministru diskusijām ir iekļauti šādi jautājumi</w:t>
      </w:r>
      <w:r w:rsidRPr="009144B2">
        <w:t>:</w:t>
      </w:r>
    </w:p>
    <w:p w:rsidRPr="0047509B" w:rsidR="00F003C7" w:rsidP="000D4C78" w:rsidRDefault="00F003C7" w14:paraId="554DEB59" w14:textId="77777777">
      <w:pPr>
        <w:autoSpaceDE w:val="0"/>
        <w:autoSpaceDN w:val="0"/>
        <w:adjustRightInd w:val="0"/>
        <w:ind w:firstLine="720"/>
        <w:rPr>
          <w:rFonts w:eastAsia="Calibri"/>
          <w:bCs/>
          <w:color w:val="000000"/>
          <w:sz w:val="12"/>
          <w:szCs w:val="12"/>
          <w:lang w:eastAsia="lv-LV"/>
        </w:rPr>
      </w:pPr>
    </w:p>
    <w:p w:rsidRPr="0072442E" w:rsidR="005F53E0" w:rsidP="0072442E" w:rsidRDefault="008546FF" w14:paraId="54B4FF12" w14:textId="0CA72A7B">
      <w:pPr>
        <w:ind w:firstLine="720"/>
        <w:jc w:val="both"/>
        <w:rPr>
          <w:b/>
          <w:bCs/>
        </w:rPr>
      </w:pPr>
      <w:r>
        <w:rPr>
          <w:b/>
          <w:bCs/>
        </w:rPr>
        <w:t>1. </w:t>
      </w:r>
      <w:r w:rsidRPr="0072442E" w:rsidR="005F53E0">
        <w:rPr>
          <w:b/>
          <w:bCs/>
        </w:rPr>
        <w:t>Elektronisk</w:t>
      </w:r>
      <w:r w:rsidRPr="0072442E" w:rsidR="00EB46DD">
        <w:rPr>
          <w:b/>
          <w:bCs/>
        </w:rPr>
        <w:t>ās</w:t>
      </w:r>
      <w:r w:rsidRPr="0072442E" w:rsidR="005F53E0">
        <w:rPr>
          <w:b/>
          <w:bCs/>
        </w:rPr>
        <w:t xml:space="preserve"> komunikācijas datu saglabāšana</w:t>
      </w:r>
      <w:r w:rsidRPr="009144B2" w:rsidR="005F53E0">
        <w:rPr>
          <w:rStyle w:val="Vresatsauce"/>
          <w:b/>
          <w:bCs/>
        </w:rPr>
        <w:footnoteReference w:id="1"/>
      </w:r>
      <w:r w:rsidRPr="0072442E" w:rsidR="005F53E0">
        <w:rPr>
          <w:b/>
          <w:bCs/>
        </w:rPr>
        <w:t xml:space="preserve"> </w:t>
      </w:r>
      <w:r w:rsidRPr="009144B2" w:rsidR="005F53E0">
        <w:t>(</w:t>
      </w:r>
      <w:r w:rsidRPr="008546FF" w:rsidR="005F53E0">
        <w:rPr>
          <w:i/>
          <w:iCs/>
        </w:rPr>
        <w:t>viedokļu apmaiņa</w:t>
      </w:r>
      <w:r w:rsidRPr="009144B2" w:rsidR="005F53E0">
        <w:t>)</w:t>
      </w:r>
    </w:p>
    <w:p w:rsidRPr="00217B17" w:rsidR="005F53E0" w:rsidP="008546FF" w:rsidRDefault="005F53E0" w14:paraId="3EAA3599" w14:textId="4EA44266">
      <w:pPr>
        <w:ind w:firstLine="720"/>
        <w:jc w:val="both"/>
        <w:rPr>
          <w:color w:val="0D0D0D" w:themeColor="text1" w:themeTint="F2"/>
        </w:rPr>
      </w:pPr>
      <w:r w:rsidRPr="00217B17">
        <w:rPr>
          <w:color w:val="0D0D0D" w:themeColor="text1" w:themeTint="F2"/>
          <w:shd w:val="clear" w:color="auto" w:fill="FFFFFF"/>
          <w:lang w:val="lv"/>
        </w:rPr>
        <w:t>Eiropas Savienības Tiesa (turpmāk - EST) 2014.</w:t>
      </w:r>
      <w:r w:rsidR="008546FF">
        <w:rPr>
          <w:color w:val="0D0D0D" w:themeColor="text1" w:themeTint="F2"/>
          <w:shd w:val="clear" w:color="auto" w:fill="FFFFFF"/>
          <w:lang w:val="lv"/>
        </w:rPr>
        <w:t> </w:t>
      </w:r>
      <w:r w:rsidRPr="00217B17">
        <w:rPr>
          <w:color w:val="0D0D0D" w:themeColor="text1" w:themeTint="F2"/>
          <w:shd w:val="clear" w:color="auto" w:fill="FFFFFF"/>
          <w:lang w:val="lv"/>
        </w:rPr>
        <w:t>gadā atzina 2006.</w:t>
      </w:r>
      <w:r w:rsidR="008546FF">
        <w:rPr>
          <w:color w:val="0D0D0D" w:themeColor="text1" w:themeTint="F2"/>
          <w:shd w:val="clear" w:color="auto" w:fill="FFFFFF"/>
          <w:lang w:val="lv"/>
        </w:rPr>
        <w:t> </w:t>
      </w:r>
      <w:r w:rsidRPr="00217B17">
        <w:rPr>
          <w:color w:val="0D0D0D" w:themeColor="text1" w:themeTint="F2"/>
          <w:shd w:val="clear" w:color="auto" w:fill="FFFFFF"/>
          <w:lang w:val="lv"/>
        </w:rPr>
        <w:t>gada Datu saglabāšanas direktīvu</w:t>
      </w:r>
      <w:r w:rsidRPr="00217B17">
        <w:rPr>
          <w:color w:val="0D0D0D" w:themeColor="text1" w:themeTint="F2"/>
          <w:shd w:val="clear" w:color="auto" w:fill="FFFFFF"/>
          <w:vertAlign w:val="superscript"/>
          <w:lang w:val="lv"/>
        </w:rPr>
        <w:footnoteReference w:id="2"/>
      </w:r>
      <w:r w:rsidR="001E4126">
        <w:rPr>
          <w:color w:val="0D0D0D" w:themeColor="text1" w:themeTint="F2"/>
          <w:shd w:val="clear" w:color="auto" w:fill="FFFFFF"/>
          <w:lang w:val="lv"/>
        </w:rPr>
        <w:t xml:space="preserve"> </w:t>
      </w:r>
      <w:r w:rsidRPr="00217B17">
        <w:rPr>
          <w:iCs/>
          <w:color w:val="0D0D0D" w:themeColor="text1" w:themeTint="F2"/>
          <w:shd w:val="clear" w:color="auto" w:fill="FFFFFF"/>
          <w:lang w:val="lv"/>
        </w:rPr>
        <w:t>par spēkā neesošu</w:t>
      </w:r>
      <w:r w:rsidRPr="00217B17">
        <w:rPr>
          <w:i/>
          <w:color w:val="0D0D0D" w:themeColor="text1" w:themeTint="F2"/>
          <w:shd w:val="clear" w:color="auto" w:fill="FFFFFF"/>
          <w:lang w:val="lv"/>
        </w:rPr>
        <w:t xml:space="preserve"> ab initio</w:t>
      </w:r>
      <w:r w:rsidRPr="00217B17">
        <w:rPr>
          <w:color w:val="0D0D0D" w:themeColor="text1" w:themeTint="F2"/>
          <w:shd w:val="clear" w:color="auto" w:fill="FFFFFF"/>
          <w:lang w:val="lv"/>
        </w:rPr>
        <w:t xml:space="preserve">. Pēc tam </w:t>
      </w:r>
      <w:r w:rsidRPr="007D1684">
        <w:rPr>
          <w:i/>
          <w:iCs/>
          <w:color w:val="0D0D0D" w:themeColor="text1" w:themeTint="F2"/>
          <w:shd w:val="clear" w:color="auto" w:fill="FFFFFF"/>
          <w:lang w:val="lv"/>
        </w:rPr>
        <w:t>Digital Rights Ireland</w:t>
      </w:r>
      <w:r w:rsidRPr="00217B17">
        <w:rPr>
          <w:color w:val="0D0D0D" w:themeColor="text1" w:themeTint="F2"/>
          <w:shd w:val="clear" w:color="auto" w:fill="FFFFFF"/>
          <w:lang w:val="lv"/>
        </w:rPr>
        <w:t xml:space="preserve"> (2014) un Tele2 lietās (2016) EST aizliedza ES un tās dalībvalstīm noteikt regulējumu, kas paredz vispārēju, ne</w:t>
      </w:r>
      <w:r w:rsidR="003D4A96">
        <w:rPr>
          <w:color w:val="0D0D0D" w:themeColor="text1" w:themeTint="F2"/>
          <w:shd w:val="clear" w:color="auto" w:fill="FFFFFF"/>
          <w:lang w:val="lv"/>
        </w:rPr>
        <w:t>diferencētu</w:t>
      </w:r>
      <w:r w:rsidRPr="00217B17">
        <w:rPr>
          <w:color w:val="0D0D0D" w:themeColor="text1" w:themeTint="F2"/>
          <w:shd w:val="clear" w:color="auto" w:fill="FFFFFF"/>
          <w:lang w:val="lv"/>
        </w:rPr>
        <w:t xml:space="preserve"> datu saglabāšanu, un noteica ierobežojumus līdzšinējai datu saglabāšanas praksei. </w:t>
      </w:r>
    </w:p>
    <w:p w:rsidRPr="00217B17" w:rsidR="005F53E0" w:rsidP="008546FF" w:rsidRDefault="005F53E0" w14:paraId="22D7032E" w14:textId="3AE9C6AD">
      <w:pPr>
        <w:ind w:firstLine="720"/>
        <w:jc w:val="both"/>
        <w:rPr>
          <w:color w:val="0D0D0D" w:themeColor="text1" w:themeTint="F2"/>
        </w:rPr>
      </w:pPr>
      <w:r w:rsidRPr="00217B17">
        <w:rPr>
          <w:color w:val="0D0D0D" w:themeColor="text1" w:themeTint="F2"/>
        </w:rPr>
        <w:t>EST savā 2020.</w:t>
      </w:r>
      <w:r w:rsidR="008546FF">
        <w:rPr>
          <w:color w:val="0D0D0D" w:themeColor="text1" w:themeTint="F2"/>
        </w:rPr>
        <w:t> </w:t>
      </w:r>
      <w:r w:rsidRPr="00217B17">
        <w:rPr>
          <w:color w:val="0D0D0D" w:themeColor="text1" w:themeTint="F2"/>
        </w:rPr>
        <w:t>gada 6.</w:t>
      </w:r>
      <w:r w:rsidR="008546FF">
        <w:rPr>
          <w:color w:val="0D0D0D" w:themeColor="text1" w:themeTint="F2"/>
        </w:rPr>
        <w:t> </w:t>
      </w:r>
      <w:r w:rsidRPr="00217B17">
        <w:rPr>
          <w:color w:val="0D0D0D" w:themeColor="text1" w:themeTint="F2"/>
        </w:rPr>
        <w:t>oktobra spriedumā</w:t>
      </w:r>
      <w:r w:rsidR="004F7F75">
        <w:rPr>
          <w:rStyle w:val="Vresatsauce"/>
          <w:color w:val="0D0D0D" w:themeColor="text1" w:themeTint="F2"/>
        </w:rPr>
        <w:footnoteReference w:id="3"/>
      </w:r>
      <w:r w:rsidRPr="00217B17">
        <w:rPr>
          <w:color w:val="0D0D0D" w:themeColor="text1" w:themeTint="F2"/>
        </w:rPr>
        <w:t xml:space="preserve"> apstiprināja, ka elektronisko komunikāciju dati ir konfidenciāli un principā tos nevar saglabāt vispārīgi un nediferencēti. </w:t>
      </w:r>
    </w:p>
    <w:p w:rsidRPr="00217B17" w:rsidR="005F53E0" w:rsidP="008546FF" w:rsidRDefault="001333EA" w14:paraId="2DA1B1F6" w14:textId="69401B88">
      <w:pPr>
        <w:ind w:firstLine="720"/>
        <w:jc w:val="both"/>
        <w:rPr>
          <w:color w:val="0D0D0D" w:themeColor="text1" w:themeTint="F2"/>
          <w:shd w:val="clear" w:color="auto" w:fill="FFFFFF"/>
          <w:lang w:val="lv"/>
        </w:rPr>
      </w:pPr>
      <w:r>
        <w:rPr>
          <w:color w:val="0D0D0D" w:themeColor="text1" w:themeTint="F2"/>
          <w:shd w:val="clear" w:color="auto" w:fill="FFFFFF"/>
          <w:lang w:val="lv"/>
        </w:rPr>
        <w:t>Vienlaikus, a</w:t>
      </w:r>
      <w:r w:rsidRPr="00217B17" w:rsidR="005F53E0">
        <w:rPr>
          <w:color w:val="0D0D0D" w:themeColor="text1" w:themeTint="F2"/>
          <w:shd w:val="clear" w:color="auto" w:fill="FFFFFF"/>
          <w:lang w:val="lv"/>
        </w:rPr>
        <w:t xml:space="preserve">pstiprinot savu aizliegumu </w:t>
      </w:r>
      <w:r w:rsidRPr="00217B17" w:rsidR="005F53E0">
        <w:rPr>
          <w:color w:val="0D0D0D" w:themeColor="text1" w:themeTint="F2"/>
        </w:rPr>
        <w:t>vispārējai un nediferencētai</w:t>
      </w:r>
      <w:r w:rsidRPr="00217B17" w:rsidR="005F53E0">
        <w:rPr>
          <w:color w:val="0D0D0D" w:themeColor="text1" w:themeTint="F2"/>
          <w:shd w:val="clear" w:color="auto" w:fill="FFFFFF"/>
          <w:lang w:val="lv"/>
        </w:rPr>
        <w:t xml:space="preserve"> datu saglabāšanai, EST spriedumā ir izklāstīti vairāki šī</w:t>
      </w:r>
      <w:r w:rsidR="00F16093">
        <w:rPr>
          <w:color w:val="0D0D0D" w:themeColor="text1" w:themeTint="F2"/>
          <w:shd w:val="clear" w:color="auto" w:fill="FFFFFF"/>
          <w:lang w:val="lv"/>
        </w:rPr>
        <w:t xml:space="preserve"> principa</w:t>
      </w:r>
      <w:r w:rsidR="00EB46DD">
        <w:rPr>
          <w:color w:val="0D0D0D" w:themeColor="text1" w:themeTint="F2"/>
          <w:shd w:val="clear" w:color="auto" w:fill="FFFFFF"/>
          <w:lang w:val="lv"/>
        </w:rPr>
        <w:t xml:space="preserve"> izņēmumi</w:t>
      </w:r>
      <w:r w:rsidR="0053297B">
        <w:rPr>
          <w:color w:val="0D0D0D" w:themeColor="text1" w:themeTint="F2"/>
          <w:shd w:val="clear" w:color="auto" w:fill="FFFFFF"/>
          <w:lang w:val="lv"/>
        </w:rPr>
        <w:t>,</w:t>
      </w:r>
      <w:r w:rsidRPr="00217B17" w:rsidR="005F53E0">
        <w:rPr>
          <w:color w:val="0D0D0D" w:themeColor="text1" w:themeTint="F2"/>
          <w:shd w:val="clear" w:color="auto" w:fill="FFFFFF"/>
          <w:vertAlign w:val="superscript"/>
          <w:lang w:val="lv"/>
        </w:rPr>
        <w:footnoteReference w:id="4"/>
      </w:r>
      <w:r w:rsidRPr="00217B17" w:rsidR="005F53E0">
        <w:rPr>
          <w:color w:val="0D0D0D" w:themeColor="text1" w:themeTint="F2"/>
          <w:shd w:val="clear" w:color="auto" w:fill="FFFFFF"/>
          <w:lang w:val="lv"/>
        </w:rPr>
        <w:t xml:space="preserve"> </w:t>
      </w:r>
      <w:r w:rsidR="0053297B">
        <w:rPr>
          <w:color w:val="0D0D0D" w:themeColor="text1" w:themeTint="F2"/>
          <w:shd w:val="clear" w:color="auto" w:fill="FFFFFF"/>
          <w:lang w:val="lv"/>
        </w:rPr>
        <w:t>ņemot vērā komunikāciju metadatu būtisko nozīmi attiecībā</w:t>
      </w:r>
      <w:r w:rsidRPr="00217B17" w:rsidR="005F53E0">
        <w:rPr>
          <w:color w:val="0D0D0D" w:themeColor="text1" w:themeTint="F2"/>
          <w:shd w:val="clear" w:color="auto" w:fill="FFFFFF"/>
          <w:lang w:val="lv"/>
        </w:rPr>
        <w:t xml:space="preserve"> uz valsts drošību</w:t>
      </w:r>
      <w:r w:rsidR="00397A40">
        <w:rPr>
          <w:color w:val="0D0D0D" w:themeColor="text1" w:themeTint="F2"/>
          <w:shd w:val="clear" w:color="auto" w:fill="FFFFFF"/>
          <w:lang w:val="lv"/>
        </w:rPr>
        <w:t>, kā arī</w:t>
      </w:r>
      <w:r w:rsidRPr="00217B17" w:rsidR="005F53E0">
        <w:rPr>
          <w:color w:val="0D0D0D" w:themeColor="text1" w:themeTint="F2"/>
          <w:shd w:val="clear" w:color="auto" w:fill="FFFFFF"/>
          <w:lang w:val="lv"/>
        </w:rPr>
        <w:t xml:space="preserve"> noziedzības apkarošanas un sabiedriskās drošības aizsardzības mērķ</w:t>
      </w:r>
      <w:r w:rsidR="00025E0B">
        <w:rPr>
          <w:color w:val="0D0D0D" w:themeColor="text1" w:themeTint="F2"/>
          <w:shd w:val="clear" w:color="auto" w:fill="FFFFFF"/>
          <w:lang w:val="lv"/>
        </w:rPr>
        <w:t>us</w:t>
      </w:r>
      <w:r w:rsidR="00B51D11">
        <w:rPr>
          <w:color w:val="0D0D0D" w:themeColor="text1" w:themeTint="F2"/>
          <w:shd w:val="clear" w:color="auto" w:fill="FFFFFF"/>
          <w:lang w:val="lv"/>
        </w:rPr>
        <w:t xml:space="preserve"> smagu noziegumu gadījumā</w:t>
      </w:r>
      <w:r w:rsidR="00961BF3">
        <w:rPr>
          <w:color w:val="0D0D0D" w:themeColor="text1" w:themeTint="F2"/>
          <w:shd w:val="clear" w:color="auto" w:fill="FFFFFF"/>
          <w:lang w:val="lv"/>
        </w:rPr>
        <w:t>.</w:t>
      </w:r>
    </w:p>
    <w:p w:rsidRPr="009144B2" w:rsidR="005F53E0" w:rsidP="008546FF" w:rsidRDefault="0053297B" w14:paraId="1D1AD785" w14:textId="4AF21753">
      <w:pPr>
        <w:ind w:firstLine="720"/>
        <w:jc w:val="both"/>
      </w:pPr>
      <w:r>
        <w:rPr>
          <w:color w:val="0D0D0D" w:themeColor="text1" w:themeTint="F2"/>
          <w:shd w:val="clear" w:color="auto" w:fill="FFFFFF"/>
          <w:lang w:val="lv"/>
        </w:rPr>
        <w:t>Tā kā</w:t>
      </w:r>
      <w:r w:rsidR="00A712AA">
        <w:rPr>
          <w:color w:val="0D0D0D" w:themeColor="text1" w:themeTint="F2"/>
          <w:shd w:val="clear" w:color="auto" w:fill="FFFFFF"/>
          <w:lang w:val="lv"/>
        </w:rPr>
        <w:t xml:space="preserve"> </w:t>
      </w:r>
      <w:r w:rsidRPr="00217B17" w:rsidR="005F53E0">
        <w:rPr>
          <w:color w:val="0D0D0D" w:themeColor="text1" w:themeTint="F2"/>
          <w:shd w:val="clear" w:color="auto" w:fill="FFFFFF"/>
          <w:lang w:val="lv"/>
        </w:rPr>
        <w:t>EST nolēmumu rezultātā dalībvalstis saskaras ar problēmu, kā nodrošināt datu pieejamību noziedzības novēršanai un apkarošanai</w:t>
      </w:r>
      <w:r w:rsidR="000B2000">
        <w:rPr>
          <w:color w:val="0D0D0D" w:themeColor="text1" w:themeTint="F2"/>
        </w:rPr>
        <w:t xml:space="preserve">, </w:t>
      </w:r>
      <w:r w:rsidRPr="00A63751" w:rsidR="000B2000">
        <w:t>balstoties uz</w:t>
      </w:r>
      <w:r w:rsidRPr="00A63751" w:rsidR="000B2000">
        <w:rPr>
          <w:b/>
        </w:rPr>
        <w:t xml:space="preserve"> </w:t>
      </w:r>
      <w:r w:rsidRPr="00A63751" w:rsidR="000B2000">
        <w:t>Portugāles prezidentūras sagatavoto diskusiju dokumentu</w:t>
      </w:r>
      <w:r w:rsidR="004E5BD9">
        <w:rPr>
          <w:color w:val="0D0D0D" w:themeColor="text1" w:themeTint="F2"/>
          <w:shd w:val="clear" w:color="auto" w:fill="FFFFFF"/>
          <w:lang w:val="lv"/>
        </w:rPr>
        <w:t>, m</w:t>
      </w:r>
      <w:r w:rsidRPr="00217B17" w:rsidR="004E5BD9">
        <w:rPr>
          <w:color w:val="0D0D0D" w:themeColor="text1" w:themeTint="F2"/>
        </w:rPr>
        <w:t>inistri tiek aicināti apspriest šādus jautājumus</w:t>
      </w:r>
      <w:r w:rsidRPr="009144B2" w:rsidR="005F53E0">
        <w:t>.</w:t>
      </w:r>
    </w:p>
    <w:p w:rsidRPr="0072442E" w:rsidR="005F53E0" w:rsidP="0072442E" w:rsidRDefault="008546FF" w14:paraId="620FC589" w14:textId="2993DEA2">
      <w:pPr>
        <w:ind w:firstLine="720"/>
        <w:jc w:val="both"/>
        <w:rPr>
          <w:i/>
          <w:iCs/>
        </w:rPr>
      </w:pPr>
      <w:r>
        <w:rPr>
          <w:i/>
          <w:iCs/>
        </w:rPr>
        <w:t>1) </w:t>
      </w:r>
      <w:r w:rsidRPr="0072442E" w:rsidR="005F53E0">
        <w:rPr>
          <w:i/>
          <w:iCs/>
        </w:rPr>
        <w:t xml:space="preserve">Vai </w:t>
      </w:r>
      <w:r w:rsidRPr="0072442E" w:rsidR="00540CE9">
        <w:rPr>
          <w:i/>
          <w:iCs/>
        </w:rPr>
        <w:t>ņemot vērā EST judikatūru</w:t>
      </w:r>
      <w:r w:rsidRPr="0072442E" w:rsidR="0004578F">
        <w:rPr>
          <w:i/>
          <w:iCs/>
        </w:rPr>
        <w:t>,</w:t>
      </w:r>
      <w:r w:rsidRPr="0072442E" w:rsidR="00540CE9">
        <w:rPr>
          <w:i/>
          <w:iCs/>
        </w:rPr>
        <w:t xml:space="preserve"> </w:t>
      </w:r>
      <w:r w:rsidRPr="0072442E" w:rsidR="005F53E0">
        <w:rPr>
          <w:i/>
          <w:iCs/>
        </w:rPr>
        <w:t xml:space="preserve">uzskatāt, ka </w:t>
      </w:r>
      <w:r w:rsidRPr="0072442E" w:rsidR="00540CE9">
        <w:rPr>
          <w:i/>
          <w:iCs/>
        </w:rPr>
        <w:t xml:space="preserve">ES ir </w:t>
      </w:r>
      <w:r w:rsidRPr="0072442E" w:rsidR="005F53E0">
        <w:rPr>
          <w:i/>
          <w:iCs/>
        </w:rPr>
        <w:t xml:space="preserve">jāpieņem tiesību akti, lai nodrošinātu saskaņotu tiesisko regulējumu attiecībā uz datu saglabāšanu ES līmenī? </w:t>
      </w:r>
    </w:p>
    <w:p w:rsidRPr="00CB1C5C" w:rsidR="002048E4" w:rsidP="0072442E" w:rsidRDefault="002048E4" w14:paraId="0EE47898" w14:textId="3577C10D">
      <w:pPr>
        <w:ind w:firstLine="720"/>
        <w:jc w:val="both"/>
      </w:pPr>
      <w:r>
        <w:t>Latvija uzskata, ka ES ir nepieciešama vienota izpratne un regulējuma harmonizācija saglabājamo datu jomā. Lai arī šobrīd norit darbs pie Eiropas Parlamenta un Padomes Regulas par privātās dzīves neaizskaramību un personas datu aizsardzību elektronisko sakaru jomā, un ar ko atceļ Direktīvu 2002/58/EK izstrādes, tomēr šis regulējums pilnībā neaptvers datu saglabāšanas aspektus. EST judikatūra saglabājamo datu jomā norāda uz kompleksiem problēmjautājumiem, kas ir izvērtējami visās ES dalībvalstīs. Lai EST nolēmumu interpretācija  un izpratne būtu vienāda visās ES dalībvalstīs, būtu nepieciešams ES līmeņa regulējum</w:t>
      </w:r>
      <w:r w:rsidR="003D2B71">
        <w:t>s</w:t>
      </w:r>
      <w:r>
        <w:t xml:space="preserve"> saglabājamo datu jomā, vienlaikus saglabājot dalībvalstīm rīcības brīvību noteiktās jomās, piemēram, atbilstoši EST judikatūrai nosakot saglabājamo datu kategoriju (noslodzes, atrašan</w:t>
      </w:r>
      <w:r w:rsidR="00DE1057">
        <w:t>ā</w:t>
      </w:r>
      <w:r>
        <w:t>s vietas dati utt.) glabāšanas termiņu, kā arī nacionālā līmenī nosakot iestādes un subjektus, kam būtu piekļuves tiesības saglabājamajiem datiem.</w:t>
      </w:r>
    </w:p>
    <w:p w:rsidR="0011363F" w:rsidP="0072442E" w:rsidRDefault="00370CD6" w14:paraId="54D38EA0" w14:textId="4E35E045">
      <w:pPr>
        <w:ind w:firstLine="720"/>
        <w:jc w:val="both"/>
      </w:pPr>
      <w:r>
        <w:t xml:space="preserve">Latvija uzskata, ka ir būtiski </w:t>
      </w:r>
      <w:r w:rsidR="00FB0F98">
        <w:t xml:space="preserve">ES </w:t>
      </w:r>
      <w:r>
        <w:t xml:space="preserve">regulējumā paredzēt iespēju (nosakot izņēmumu) valsts kompetentajām iestādēm veikt savas funkcijas un uzdevumus valsts drošības un aizsardzības jomā, </w:t>
      </w:r>
      <w:r w:rsidR="005D0F39">
        <w:t>ņemot vērā</w:t>
      </w:r>
      <w:r w:rsidR="00DE0E97">
        <w:t xml:space="preserve"> </w:t>
      </w:r>
      <w:r>
        <w:t>EST judikatūr</w:t>
      </w:r>
      <w:r w:rsidR="005D0F39">
        <w:t>u</w:t>
      </w:r>
      <w:r>
        <w:t xml:space="preserve">. </w:t>
      </w:r>
    </w:p>
    <w:p w:rsidRPr="00CB1C5C" w:rsidR="005F53E0" w:rsidP="008546FF" w:rsidRDefault="005F53E0" w14:paraId="1E875A80" w14:textId="03E99B06">
      <w:pPr>
        <w:ind w:firstLine="720"/>
        <w:jc w:val="both"/>
        <w:rPr>
          <w:i/>
          <w:iCs/>
        </w:rPr>
      </w:pPr>
      <w:r w:rsidRPr="00CB1C5C">
        <w:rPr>
          <w:i/>
          <w:iCs/>
        </w:rPr>
        <w:t>2)</w:t>
      </w:r>
      <w:r w:rsidR="008546FF">
        <w:rPr>
          <w:i/>
          <w:iCs/>
        </w:rPr>
        <w:t> </w:t>
      </w:r>
      <w:r w:rsidRPr="00CB1C5C">
        <w:rPr>
          <w:i/>
          <w:iCs/>
        </w:rPr>
        <w:t>Vai būtu jāpieņem visaptveroša vai mērķtiecīga pieeja?</w:t>
      </w:r>
    </w:p>
    <w:p w:rsidR="002048E4" w:rsidP="0072442E" w:rsidRDefault="002048E4" w14:paraId="7773D458" w14:textId="6F689B81">
      <w:pPr>
        <w:ind w:firstLine="720"/>
        <w:jc w:val="both"/>
      </w:pPr>
      <w:r>
        <w:t xml:space="preserve">Latvija norāda, ka ES vajadzētu </w:t>
      </w:r>
      <w:r w:rsidR="00370CD6">
        <w:t xml:space="preserve">ieviest </w:t>
      </w:r>
      <w:r>
        <w:t>visaptveroš</w:t>
      </w:r>
      <w:r w:rsidR="00370CD6">
        <w:t>u</w:t>
      </w:r>
      <w:r>
        <w:t xml:space="preserve"> pieej</w:t>
      </w:r>
      <w:r w:rsidR="00370CD6">
        <w:t>u</w:t>
      </w:r>
      <w:r>
        <w:t xml:space="preserve"> jeb regulējum</w:t>
      </w:r>
      <w:r w:rsidR="00370CD6">
        <w:t>u</w:t>
      </w:r>
      <w:r>
        <w:t xml:space="preserve"> ietvaram, tomēr daļu no jautājumiem </w:t>
      </w:r>
      <w:r w:rsidR="00370CD6">
        <w:t xml:space="preserve">uzticot </w:t>
      </w:r>
      <w:r>
        <w:t>risin</w:t>
      </w:r>
      <w:r w:rsidR="00370CD6">
        <w:t>ā</w:t>
      </w:r>
      <w:r>
        <w:t xml:space="preserve">t nacionālā līmenī – kā jau minēts </w:t>
      </w:r>
      <w:r w:rsidR="007974EA">
        <w:t>iepriekšējā atbildē</w:t>
      </w:r>
      <w:r>
        <w:t xml:space="preserve">, ņemot vērā atšķirīgās tiesību sistēmas un normatīvo regulējumu, nacionālā līmenī varētu būt </w:t>
      </w:r>
      <w:r>
        <w:lastRenderedPageBreak/>
        <w:t xml:space="preserve">risināmi jautājumi par saglabājamo datu kategoriju glabāšanas ilgumu un kompetentajām iestādēm. Turklāt jēdzienu </w:t>
      </w:r>
      <w:r w:rsidR="00DE1057">
        <w:t>"</w:t>
      </w:r>
      <w:r>
        <w:t>smags noziegums</w:t>
      </w:r>
      <w:r w:rsidR="00DE1057">
        <w:t>"</w:t>
      </w:r>
      <w:r>
        <w:t xml:space="preserve"> ir nepieciešams definēt nacionālā, nevis ES līmenī, tādējādi nacionālā līmenī nosakot noziedzīgus nodarījumus, kuru izmeklēšanai kompetentajām iestādēm būtu piekļuves tiesības saglabājamajiem datiem. </w:t>
      </w:r>
    </w:p>
    <w:p w:rsidRPr="00027755" w:rsidR="005F53E0" w:rsidP="008546FF" w:rsidRDefault="005F53E0" w14:paraId="0C2A92C1" w14:textId="35E2881B">
      <w:pPr>
        <w:ind w:firstLine="720"/>
        <w:jc w:val="both"/>
      </w:pPr>
      <w:r w:rsidRPr="00CB1C5C">
        <w:rPr>
          <w:i/>
          <w:iCs/>
        </w:rPr>
        <w:t>3)</w:t>
      </w:r>
      <w:r w:rsidR="008546FF">
        <w:rPr>
          <w:i/>
          <w:iCs/>
        </w:rPr>
        <w:t> </w:t>
      </w:r>
      <w:r w:rsidR="00BB5FB1">
        <w:rPr>
          <w:i/>
          <w:iCs/>
        </w:rPr>
        <w:t xml:space="preserve">Vai </w:t>
      </w:r>
      <w:r w:rsidRPr="00CB1C5C">
        <w:rPr>
          <w:i/>
          <w:iCs/>
        </w:rPr>
        <w:t>policijas un ties</w:t>
      </w:r>
      <w:r w:rsidR="00E2125C">
        <w:rPr>
          <w:i/>
          <w:iCs/>
        </w:rPr>
        <w:t>as</w:t>
      </w:r>
      <w:r w:rsidRPr="00CB1C5C">
        <w:rPr>
          <w:i/>
          <w:iCs/>
        </w:rPr>
        <w:t xml:space="preserve"> iestāžu sadarbība, kam </w:t>
      </w:r>
      <w:r w:rsidRPr="00CB1C5C" w:rsidR="00CA3708">
        <w:rPr>
          <w:i/>
          <w:iCs/>
        </w:rPr>
        <w:t>nepieciešam</w:t>
      </w:r>
      <w:r w:rsidR="0072442E">
        <w:rPr>
          <w:i/>
          <w:iCs/>
        </w:rPr>
        <w:t>a</w:t>
      </w:r>
      <w:r w:rsidRPr="00CB1C5C" w:rsidR="00CA3708">
        <w:rPr>
          <w:i/>
          <w:iCs/>
        </w:rPr>
        <w:t xml:space="preserve"> datu saglabāšana</w:t>
      </w:r>
      <w:r w:rsidRPr="00CB1C5C">
        <w:rPr>
          <w:i/>
          <w:iCs/>
        </w:rPr>
        <w:t xml:space="preserve">, </w:t>
      </w:r>
      <w:r w:rsidR="00B81FBB">
        <w:rPr>
          <w:i/>
          <w:iCs/>
        </w:rPr>
        <w:t>var</w:t>
      </w:r>
      <w:r w:rsidR="00671BD1">
        <w:rPr>
          <w:i/>
          <w:iCs/>
        </w:rPr>
        <w:t>ētu</w:t>
      </w:r>
      <w:r w:rsidRPr="00CB1C5C">
        <w:rPr>
          <w:i/>
          <w:iCs/>
        </w:rPr>
        <w:t xml:space="preserve"> tikt īstenota pamatojoties tikai uz valsts datu saglabāšanas tiesību aktiem</w:t>
      </w:r>
      <w:r w:rsidR="00DF6A4E">
        <w:rPr>
          <w:i/>
          <w:iCs/>
        </w:rPr>
        <w:t>,</w:t>
      </w:r>
      <w:r w:rsidRPr="00CB1C5C">
        <w:rPr>
          <w:i/>
          <w:iCs/>
        </w:rPr>
        <w:t xml:space="preserve"> </w:t>
      </w:r>
      <w:r w:rsidR="00F82715">
        <w:rPr>
          <w:i/>
          <w:iCs/>
        </w:rPr>
        <w:t xml:space="preserve">bet atbilstoši </w:t>
      </w:r>
      <w:r w:rsidR="0072442E">
        <w:rPr>
          <w:i/>
          <w:iCs/>
        </w:rPr>
        <w:t xml:space="preserve">ES </w:t>
      </w:r>
      <w:r w:rsidRPr="00CB1C5C">
        <w:rPr>
          <w:i/>
          <w:iCs/>
        </w:rPr>
        <w:t>Pamattiesību hart</w:t>
      </w:r>
      <w:r w:rsidR="00F82715">
        <w:rPr>
          <w:i/>
          <w:iCs/>
        </w:rPr>
        <w:t>ai</w:t>
      </w:r>
      <w:r w:rsidRPr="00CB1C5C">
        <w:rPr>
          <w:i/>
          <w:iCs/>
        </w:rPr>
        <w:t xml:space="preserve"> un E</w:t>
      </w:r>
      <w:r w:rsidR="00671BD1">
        <w:rPr>
          <w:i/>
          <w:iCs/>
        </w:rPr>
        <w:t>S</w:t>
      </w:r>
      <w:r w:rsidRPr="00CB1C5C">
        <w:rPr>
          <w:i/>
          <w:iCs/>
        </w:rPr>
        <w:t>T judikatūr</w:t>
      </w:r>
      <w:r w:rsidR="00F82715">
        <w:rPr>
          <w:i/>
          <w:iCs/>
        </w:rPr>
        <w:t>ai</w:t>
      </w:r>
      <w:r w:rsidRPr="00027755">
        <w:t>?</w:t>
      </w:r>
    </w:p>
    <w:p w:rsidRPr="00CB1C5C" w:rsidR="005F53E0" w:rsidP="0072442E" w:rsidRDefault="005F53E0" w14:paraId="0F5F43B4" w14:textId="6B370F13">
      <w:pPr>
        <w:ind w:firstLine="720"/>
        <w:jc w:val="both"/>
      </w:pPr>
      <w:r w:rsidRPr="00CB1C5C">
        <w:t>Kā jau minēts</w:t>
      </w:r>
      <w:r w:rsidR="008B6B17">
        <w:t xml:space="preserve"> atbildē uz pirmo jautājumu</w:t>
      </w:r>
      <w:r w:rsidRPr="00CB1C5C">
        <w:t xml:space="preserve">, ņemot vērā komplekso ES Tiesas judikatūru saglabājamo datu jomā, </w:t>
      </w:r>
      <w:r w:rsidR="00CD6562">
        <w:t xml:space="preserve">Latvija uzskata, ka </w:t>
      </w:r>
      <w:r w:rsidRPr="00CB1C5C">
        <w:t>būtu nepieciešams vienots ES regulējums saglabājamo datu jomā. Datu saglabāšana, pamatojoties tikai uz nacionālo regulējumu, radītu sadrumstalotību, piemērošanas grūtības saskaņā ar EST judikatūru, kā arī apgrūtinātu pārrobežu sadarbību.</w:t>
      </w:r>
    </w:p>
    <w:p w:rsidRPr="0034713E" w:rsidR="00F26EB2" w:rsidP="00F26EB2" w:rsidRDefault="00F26EB2" w14:paraId="4F2A4E5E" w14:textId="77777777">
      <w:pPr>
        <w:jc w:val="both"/>
        <w:rPr>
          <w:sz w:val="20"/>
          <w:szCs w:val="20"/>
        </w:rPr>
      </w:pPr>
    </w:p>
    <w:p w:rsidRPr="0072442E" w:rsidR="00F26EB2" w:rsidP="0072442E" w:rsidRDefault="008546FF" w14:paraId="58E99FA6" w14:textId="1CABE3A7">
      <w:pPr>
        <w:ind w:firstLine="720"/>
        <w:jc w:val="both"/>
        <w:rPr>
          <w:b/>
        </w:rPr>
      </w:pPr>
      <w:r>
        <w:rPr>
          <w:b/>
        </w:rPr>
        <w:t>2. </w:t>
      </w:r>
      <w:r w:rsidRPr="0072442E" w:rsidR="00F26EB2">
        <w:rPr>
          <w:b/>
        </w:rPr>
        <w:t>Pamattiesības. Padomes secinājumi</w:t>
      </w:r>
      <w:r w:rsidRPr="0072442E" w:rsidR="0054637C">
        <w:rPr>
          <w:b/>
        </w:rPr>
        <w:t xml:space="preserve"> par</w:t>
      </w:r>
      <w:r w:rsidRPr="0072442E" w:rsidR="00F26EB2">
        <w:rPr>
          <w:b/>
        </w:rPr>
        <w:t xml:space="preserve"> </w:t>
      </w:r>
      <w:r w:rsidR="0072442E">
        <w:rPr>
          <w:b/>
        </w:rPr>
        <w:t xml:space="preserve">ES </w:t>
      </w:r>
      <w:r w:rsidRPr="0072442E" w:rsidR="00F26EB2">
        <w:rPr>
          <w:b/>
        </w:rPr>
        <w:t>Pamattiesību hartas</w:t>
      </w:r>
      <w:r w:rsidR="00F26EB2">
        <w:rPr>
          <w:rStyle w:val="Vresatsauce"/>
          <w:b/>
        </w:rPr>
        <w:footnoteReference w:id="5"/>
      </w:r>
      <w:r w:rsidRPr="0072442E" w:rsidR="00F26EB2">
        <w:rPr>
          <w:b/>
        </w:rPr>
        <w:t xml:space="preserve"> piemērošan</w:t>
      </w:r>
      <w:r w:rsidRPr="0072442E" w:rsidR="0054637C">
        <w:rPr>
          <w:b/>
        </w:rPr>
        <w:t>as veicināšanu</w:t>
      </w:r>
      <w:r w:rsidRPr="0072442E" w:rsidR="00F26EB2">
        <w:rPr>
          <w:b/>
        </w:rPr>
        <w:t xml:space="preserve"> ES </w:t>
      </w:r>
      <w:r w:rsidRPr="009144B2" w:rsidR="00F26EB2">
        <w:t>(</w:t>
      </w:r>
      <w:r w:rsidRPr="008546FF" w:rsidR="00F26EB2">
        <w:rPr>
          <w:i/>
          <w:iCs/>
        </w:rPr>
        <w:t>viedokļu apmaiņa ar Pamattiesību aģentūras direktoru</w:t>
      </w:r>
      <w:r w:rsidRPr="009144B2" w:rsidR="00F26EB2">
        <w:t>)</w:t>
      </w:r>
    </w:p>
    <w:p w:rsidR="00F26EB2" w:rsidP="008546FF" w:rsidRDefault="00E25D71" w14:paraId="159E7820" w14:textId="31D125C1">
      <w:pPr>
        <w:ind w:firstLine="720"/>
        <w:jc w:val="both"/>
      </w:pPr>
      <w:r>
        <w:t xml:space="preserve">Īstenojot </w:t>
      </w:r>
      <w:r w:rsidR="00F26EB2">
        <w:t xml:space="preserve">Eiropas Komisijas </w:t>
      </w:r>
      <w:r w:rsidRPr="00250318" w:rsidR="00F26EB2">
        <w:t>2020. gada 2. decembr</w:t>
      </w:r>
      <w:r w:rsidR="00F26EB2">
        <w:t xml:space="preserve">a </w:t>
      </w:r>
      <w:r w:rsidRPr="00250318" w:rsidR="00F26EB2">
        <w:t>paziņojum</w:t>
      </w:r>
      <w:r w:rsidR="00F26EB2">
        <w:t>ā</w:t>
      </w:r>
      <w:r w:rsidRPr="00250318" w:rsidR="00F26EB2">
        <w:t xml:space="preserve"> "Stratēģija, lai stiprinātu Pamattiesību hartas piemērošanu ES"</w:t>
      </w:r>
      <w:r w:rsidR="00F26EB2">
        <w:rPr>
          <w:rStyle w:val="Vresatsauce"/>
        </w:rPr>
        <w:footnoteReference w:id="6"/>
      </w:r>
      <w:r w:rsidR="00F26EB2">
        <w:t xml:space="preserve"> iekļautos mērķus, Portugāles prezidentūra ir izstrādājusi </w:t>
      </w:r>
      <w:r w:rsidRPr="00250318" w:rsidR="00F26EB2">
        <w:t>Padomes secinājumu</w:t>
      </w:r>
      <w:r w:rsidR="00F26EB2">
        <w:t>s</w:t>
      </w:r>
      <w:r w:rsidRPr="00250318" w:rsidR="00F26EB2">
        <w:t xml:space="preserve"> par to, kā</w:t>
      </w:r>
      <w:r w:rsidR="005C6F7B">
        <w:t xml:space="preserve"> veicināt</w:t>
      </w:r>
      <w:r w:rsidRPr="00250318" w:rsidR="00F26EB2">
        <w:t xml:space="preserve"> </w:t>
      </w:r>
      <w:r w:rsidR="008E5D17">
        <w:t xml:space="preserve">ES </w:t>
      </w:r>
      <w:r w:rsidRPr="00250318" w:rsidR="00F26EB2">
        <w:t xml:space="preserve">Pamattiesību hartas piemērošanu </w:t>
      </w:r>
      <w:r w:rsidR="00F26EB2">
        <w:t>ES (turpmāk – Padomes secinājumi).</w:t>
      </w:r>
    </w:p>
    <w:p w:rsidR="00F26EB2" w:rsidP="008546FF" w:rsidRDefault="00F26EB2" w14:paraId="7B732EC6" w14:textId="0E2DB967">
      <w:pPr>
        <w:ind w:firstLine="720"/>
        <w:jc w:val="both"/>
      </w:pPr>
      <w:r>
        <w:t xml:space="preserve">Padomes secinājumos tiek uzsvērta nepieciešamība </w:t>
      </w:r>
      <w:r w:rsidRPr="00250318">
        <w:t>dalībvalst</w:t>
      </w:r>
      <w:r>
        <w:t xml:space="preserve">īm </w:t>
      </w:r>
      <w:r w:rsidRPr="00250318">
        <w:t xml:space="preserve">valsts līmenī </w:t>
      </w:r>
      <w:r w:rsidR="009B2BBA">
        <w:t xml:space="preserve">veicināt </w:t>
      </w:r>
      <w:r w:rsidR="004501ED">
        <w:t xml:space="preserve">mācības par </w:t>
      </w:r>
      <w:r w:rsidR="0072442E">
        <w:t xml:space="preserve">ES </w:t>
      </w:r>
      <w:r>
        <w:t>Pamattiesību h</w:t>
      </w:r>
      <w:r w:rsidRPr="00250318">
        <w:t>artu</w:t>
      </w:r>
      <w:r w:rsidR="00222BC7">
        <w:t xml:space="preserve">, radot </w:t>
      </w:r>
      <w:r w:rsidRPr="004474CD">
        <w:rPr>
          <w:rFonts w:asciiTheme="majorBidi" w:hAnsiTheme="majorBidi" w:cstheme="majorBidi"/>
        </w:rPr>
        <w:t>iedzīvotāj</w:t>
      </w:r>
      <w:r w:rsidR="00222BC7">
        <w:rPr>
          <w:rFonts w:asciiTheme="majorBidi" w:hAnsiTheme="majorBidi" w:cstheme="majorBidi"/>
        </w:rPr>
        <w:t>os</w:t>
      </w:r>
      <w:r w:rsidRPr="004474CD">
        <w:rPr>
          <w:rFonts w:asciiTheme="majorBidi" w:hAnsiTheme="majorBidi" w:cstheme="majorBidi"/>
        </w:rPr>
        <w:t xml:space="preserve"> izpratni par </w:t>
      </w:r>
      <w:r w:rsidR="0072442E">
        <w:rPr>
          <w:rFonts w:asciiTheme="majorBidi" w:hAnsiTheme="majorBidi" w:cstheme="majorBidi"/>
        </w:rPr>
        <w:t xml:space="preserve">ES </w:t>
      </w:r>
      <w:r>
        <w:rPr>
          <w:rFonts w:asciiTheme="majorBidi" w:hAnsiTheme="majorBidi" w:cstheme="majorBidi"/>
        </w:rPr>
        <w:t>Pamattiesību h</w:t>
      </w:r>
      <w:r w:rsidRPr="004474CD">
        <w:rPr>
          <w:rFonts w:asciiTheme="majorBidi" w:hAnsiTheme="majorBidi" w:cstheme="majorBidi"/>
        </w:rPr>
        <w:t xml:space="preserve">artu un </w:t>
      </w:r>
      <w:r w:rsidR="00222BC7">
        <w:rPr>
          <w:rFonts w:asciiTheme="majorBidi" w:hAnsiTheme="majorBidi" w:cstheme="majorBidi"/>
        </w:rPr>
        <w:t xml:space="preserve">iedzīvotāju </w:t>
      </w:r>
      <w:r w:rsidRPr="004474CD">
        <w:rPr>
          <w:rFonts w:asciiTheme="majorBidi" w:hAnsiTheme="majorBidi" w:cstheme="majorBidi"/>
        </w:rPr>
        <w:t>līdzdalību tās īstenošanā</w:t>
      </w:r>
      <w:r>
        <w:rPr>
          <w:rFonts w:asciiTheme="majorBidi" w:hAnsiTheme="majorBidi" w:cstheme="majorBidi"/>
        </w:rPr>
        <w:t>.</w:t>
      </w:r>
      <w:r w:rsidRPr="004474CD">
        <w:rPr>
          <w:rFonts w:asciiTheme="majorBidi" w:hAnsiTheme="majorBidi" w:cstheme="majorBidi"/>
        </w:rPr>
        <w:t xml:space="preserve"> </w:t>
      </w:r>
      <w:r>
        <w:rPr>
          <w:rFonts w:asciiTheme="majorBidi" w:hAnsiTheme="majorBidi" w:cstheme="majorBidi"/>
        </w:rPr>
        <w:t>I</w:t>
      </w:r>
      <w:r w:rsidRPr="004474CD">
        <w:rPr>
          <w:rFonts w:asciiTheme="majorBidi" w:hAnsiTheme="majorBidi" w:cstheme="majorBidi"/>
        </w:rPr>
        <w:t>r svarīgi nodrošināt, ka sabiedrība</w:t>
      </w:r>
      <w:r>
        <w:rPr>
          <w:rFonts w:asciiTheme="majorBidi" w:hAnsiTheme="majorBidi" w:cstheme="majorBidi"/>
        </w:rPr>
        <w:t>, īpaši vecāka gada gājuma cilvēki, personas ar invaliditāti un bērni,</w:t>
      </w:r>
      <w:r w:rsidRPr="004474CD">
        <w:rPr>
          <w:rFonts w:asciiTheme="majorBidi" w:hAnsiTheme="majorBidi" w:cstheme="majorBidi"/>
        </w:rPr>
        <w:t xml:space="preserve"> var piekļūt informācijai par </w:t>
      </w:r>
      <w:r w:rsidR="008E5D17">
        <w:rPr>
          <w:rFonts w:asciiTheme="majorBidi" w:hAnsiTheme="majorBidi" w:cstheme="majorBidi"/>
        </w:rPr>
        <w:t xml:space="preserve">ES </w:t>
      </w:r>
      <w:r>
        <w:rPr>
          <w:rFonts w:asciiTheme="majorBidi" w:hAnsiTheme="majorBidi" w:cstheme="majorBidi"/>
        </w:rPr>
        <w:t>Pamattiesību h</w:t>
      </w:r>
      <w:r w:rsidRPr="004474CD">
        <w:rPr>
          <w:rFonts w:asciiTheme="majorBidi" w:hAnsiTheme="majorBidi" w:cstheme="majorBidi"/>
        </w:rPr>
        <w:t>artā noteiktajām tiesībām</w:t>
      </w:r>
      <w:r>
        <w:rPr>
          <w:rFonts w:asciiTheme="majorBidi" w:hAnsiTheme="majorBidi" w:cstheme="majorBidi"/>
        </w:rPr>
        <w:t xml:space="preserve">, jo iedzīvotājiem ir </w:t>
      </w:r>
      <w:r w:rsidRPr="00250318">
        <w:t>jāzina, kur vērsties, ja tiek pārkāptas viņu tiesības</w:t>
      </w:r>
      <w:r>
        <w:rPr>
          <w:rFonts w:asciiTheme="majorBidi" w:hAnsiTheme="majorBidi" w:cstheme="majorBidi"/>
        </w:rPr>
        <w:t>.</w:t>
      </w:r>
      <w:r>
        <w:t xml:space="preserve"> </w:t>
      </w:r>
    </w:p>
    <w:p w:rsidR="00F26EB2" w:rsidP="008546FF" w:rsidRDefault="00F26EB2" w14:paraId="0CD66941" w14:textId="1C1E220F">
      <w:pPr>
        <w:ind w:firstLine="720"/>
        <w:jc w:val="both"/>
      </w:pPr>
      <w:r>
        <w:t xml:space="preserve">Īpaši svarīga ir </w:t>
      </w:r>
      <w:r w:rsidRPr="00250318">
        <w:t>valsts, reģionālo un vietējo pārvaldes iestāžu, tostarp ierēdņu lom</w:t>
      </w:r>
      <w:r>
        <w:t>a</w:t>
      </w:r>
      <w:r w:rsidRPr="00250318">
        <w:t xml:space="preserve"> </w:t>
      </w:r>
      <w:r w:rsidR="003039BD">
        <w:t xml:space="preserve">ES </w:t>
      </w:r>
      <w:r>
        <w:t>Pamattiesību h</w:t>
      </w:r>
      <w:r w:rsidRPr="00250318">
        <w:t>artas integrēšanā un pamattiesību ievērošanas nodrošināšanā politikas veidošanas procesā un pamattiesību ievērošanas kultūras sekmēšanā visos izpildvaras līmeņos</w:t>
      </w:r>
      <w:r>
        <w:t xml:space="preserve">. </w:t>
      </w:r>
      <w:r w:rsidR="00D65FA0">
        <w:t>Padomes s</w:t>
      </w:r>
      <w:r>
        <w:t>ecinājumos ir uzsvērta regulāru apmācību nepieciešamība</w:t>
      </w:r>
      <w:r w:rsidRPr="00250318">
        <w:t xml:space="preserve"> tiesībaizsardzības iestāžu darbiniekiem, </w:t>
      </w:r>
      <w:r w:rsidR="00CC766A">
        <w:t>ieslodzījumu vietu</w:t>
      </w:r>
      <w:r w:rsidRPr="00250318">
        <w:t xml:space="preserve"> personālam un personālam, kas strādā aizturēšanas centros</w:t>
      </w:r>
      <w:r>
        <w:t>.</w:t>
      </w:r>
    </w:p>
    <w:p w:rsidR="00F26EB2" w:rsidP="008546FF" w:rsidRDefault="00F26EB2" w14:paraId="189097E4" w14:textId="1CF77432">
      <w:pPr>
        <w:ind w:firstLine="720"/>
        <w:jc w:val="both"/>
      </w:pPr>
      <w:r>
        <w:t xml:space="preserve">Savukārt Eiropas Komisija tiek aicināta </w:t>
      </w:r>
      <w:r w:rsidRPr="00250318">
        <w:t xml:space="preserve">atbalstīt dalībvalstis, kā arī citas </w:t>
      </w:r>
      <w:r>
        <w:t xml:space="preserve">ES </w:t>
      </w:r>
      <w:r w:rsidRPr="00250318">
        <w:t>iestādes</w:t>
      </w:r>
      <w:r>
        <w:t xml:space="preserve"> </w:t>
      </w:r>
      <w:r w:rsidR="003039BD">
        <w:t xml:space="preserve">ES </w:t>
      </w:r>
      <w:r>
        <w:t>Pamattiesību h</w:t>
      </w:r>
      <w:r w:rsidRPr="00250318">
        <w:t>artas piemērošanā un pamattiesību ievērošanas</w:t>
      </w:r>
      <w:r w:rsidR="000D6124">
        <w:t>,</w:t>
      </w:r>
      <w:r w:rsidRPr="00250318">
        <w:t xml:space="preserve"> un popularizēšanas veicināšanā visā </w:t>
      </w:r>
      <w:r>
        <w:t>ES.</w:t>
      </w:r>
    </w:p>
    <w:p w:rsidR="00F26EB2" w:rsidP="0072442E" w:rsidRDefault="00F26EB2" w14:paraId="7E1FBEEC" w14:textId="38021137">
      <w:pPr>
        <w:ind w:firstLine="720"/>
        <w:jc w:val="both"/>
        <w:rPr>
          <w:i/>
          <w:iCs/>
        </w:rPr>
      </w:pPr>
      <w:r w:rsidRPr="0087423D">
        <w:rPr>
          <w:i/>
          <w:iCs/>
        </w:rPr>
        <w:t xml:space="preserve">Latvija </w:t>
      </w:r>
      <w:r>
        <w:rPr>
          <w:i/>
          <w:iCs/>
        </w:rPr>
        <w:t xml:space="preserve">piekrīt, ka, lai veicinātu atbilstošu </w:t>
      </w:r>
      <w:r w:rsidR="008E5D17">
        <w:rPr>
          <w:i/>
          <w:iCs/>
        </w:rPr>
        <w:t xml:space="preserve">ES </w:t>
      </w:r>
      <w:r>
        <w:rPr>
          <w:i/>
          <w:iCs/>
        </w:rPr>
        <w:t>Pamattiesību hartas piemērošanu, ir nepieciešams</w:t>
      </w:r>
      <w:r w:rsidRPr="0087423D">
        <w:rPr>
          <w:i/>
          <w:iCs/>
        </w:rPr>
        <w:t xml:space="preserve"> </w:t>
      </w:r>
      <w:r>
        <w:rPr>
          <w:i/>
          <w:iCs/>
        </w:rPr>
        <w:t xml:space="preserve">mācīt par </w:t>
      </w:r>
      <w:r w:rsidR="008E5D17">
        <w:rPr>
          <w:i/>
          <w:iCs/>
        </w:rPr>
        <w:t xml:space="preserve">ES </w:t>
      </w:r>
      <w:r>
        <w:rPr>
          <w:i/>
          <w:iCs/>
        </w:rPr>
        <w:t xml:space="preserve">Pamattiesību hartā noteiktajām tiesībām gan pamatskolas skolniekus, gan juristus profesionāļus, gan sabiedrību kopumā. </w:t>
      </w:r>
    </w:p>
    <w:p w:rsidRPr="0034713E" w:rsidR="006D6B32" w:rsidP="006D6B32" w:rsidRDefault="006D6B32" w14:paraId="77218AA2" w14:textId="77777777">
      <w:pPr>
        <w:jc w:val="both"/>
        <w:rPr>
          <w:sz w:val="20"/>
          <w:szCs w:val="20"/>
        </w:rPr>
      </w:pPr>
    </w:p>
    <w:p w:rsidRPr="0072442E" w:rsidR="00DC66BF" w:rsidP="0072442E" w:rsidRDefault="008546FF" w14:paraId="30FF2039" w14:textId="5B935620">
      <w:pPr>
        <w:ind w:firstLine="720"/>
        <w:jc w:val="both"/>
        <w:rPr>
          <w:b/>
          <w:bCs/>
        </w:rPr>
      </w:pPr>
      <w:r>
        <w:rPr>
          <w:b/>
          <w:bCs/>
        </w:rPr>
        <w:t>3. </w:t>
      </w:r>
      <w:r w:rsidRPr="0072442E" w:rsidR="00DC66BF">
        <w:rPr>
          <w:b/>
          <w:bCs/>
        </w:rPr>
        <w:t>Padomes secinājum</w:t>
      </w:r>
      <w:r w:rsidRPr="0072442E" w:rsidR="0043084A">
        <w:rPr>
          <w:b/>
          <w:bCs/>
        </w:rPr>
        <w:t>i par</w:t>
      </w:r>
      <w:r w:rsidRPr="0072442E" w:rsidR="00DC66BF">
        <w:rPr>
          <w:b/>
          <w:bCs/>
        </w:rPr>
        <w:t xml:space="preserve"> ties</w:t>
      </w:r>
      <w:r w:rsidRPr="0072442E" w:rsidR="00B715D5">
        <w:rPr>
          <w:b/>
          <w:bCs/>
        </w:rPr>
        <w:t>lietu</w:t>
      </w:r>
      <w:r w:rsidRPr="0072442E" w:rsidR="00DC66BF">
        <w:rPr>
          <w:b/>
          <w:bCs/>
        </w:rPr>
        <w:t xml:space="preserve"> </w:t>
      </w:r>
      <w:r w:rsidRPr="0072442E" w:rsidR="00852DB1">
        <w:rPr>
          <w:b/>
          <w:bCs/>
        </w:rPr>
        <w:t xml:space="preserve">sistēmas </w:t>
      </w:r>
      <w:r w:rsidRPr="0072442E" w:rsidR="00DC66BF">
        <w:rPr>
          <w:b/>
          <w:bCs/>
        </w:rPr>
        <w:t>profesionāļu apmācīb</w:t>
      </w:r>
      <w:r w:rsidRPr="0072442E" w:rsidR="00E71857">
        <w:rPr>
          <w:b/>
          <w:bCs/>
        </w:rPr>
        <w:t>as</w:t>
      </w:r>
      <w:r w:rsidRPr="0072442E" w:rsidR="009F61F0">
        <w:rPr>
          <w:b/>
          <w:bCs/>
        </w:rPr>
        <w:t xml:space="preserve"> </w:t>
      </w:r>
      <w:r w:rsidRPr="0072442E" w:rsidR="0043084A">
        <w:rPr>
          <w:b/>
          <w:bCs/>
        </w:rPr>
        <w:t>veicināšanu</w:t>
      </w:r>
      <w:r w:rsidRPr="0072442E" w:rsidR="00092759">
        <w:rPr>
          <w:b/>
          <w:bCs/>
        </w:rPr>
        <w:t xml:space="preserve"> </w:t>
      </w:r>
      <w:r w:rsidRPr="008546FF" w:rsidR="00DC66BF">
        <w:rPr>
          <w:rFonts w:eastAsia="Calibri"/>
          <w:i/>
          <w:iCs/>
        </w:rPr>
        <w:t xml:space="preserve">(informācija </w:t>
      </w:r>
      <w:r w:rsidRPr="008546FF" w:rsidR="000D0172">
        <w:rPr>
          <w:rFonts w:eastAsia="Calibri"/>
          <w:i/>
          <w:iCs/>
        </w:rPr>
        <w:t>no prezidentūras</w:t>
      </w:r>
      <w:r w:rsidRPr="008546FF" w:rsidR="00DC66BF">
        <w:rPr>
          <w:rFonts w:eastAsia="Calibri"/>
          <w:i/>
          <w:iCs/>
        </w:rPr>
        <w:t>)</w:t>
      </w:r>
    </w:p>
    <w:p w:rsidR="006C30C9" w:rsidP="0072442E" w:rsidRDefault="00AD7012" w14:paraId="0CC843CD" w14:textId="4B5658E0">
      <w:pPr>
        <w:ind w:firstLine="720"/>
        <w:jc w:val="both"/>
        <w:rPr>
          <w:noProof/>
          <w:color w:val="0D0D0D" w:themeColor="text1" w:themeTint="F2"/>
        </w:rPr>
      </w:pPr>
      <w:r w:rsidRPr="009144B2">
        <w:rPr>
          <w:lang w:val="lv"/>
        </w:rPr>
        <w:t>Padomes secinājum</w:t>
      </w:r>
      <w:r w:rsidRPr="009144B2" w:rsidR="0054707C">
        <w:rPr>
          <w:lang w:val="lv"/>
        </w:rPr>
        <w:t>os</w:t>
      </w:r>
      <w:r w:rsidRPr="009144B2">
        <w:rPr>
          <w:lang w:val="lv"/>
        </w:rPr>
        <w:t xml:space="preserve"> par tieslietu </w:t>
      </w:r>
      <w:r w:rsidR="0090234C">
        <w:rPr>
          <w:lang w:val="lv"/>
        </w:rPr>
        <w:t xml:space="preserve">sistēmas </w:t>
      </w:r>
      <w:r w:rsidRPr="009144B2">
        <w:rPr>
          <w:lang w:val="lv"/>
        </w:rPr>
        <w:t>profesionāļu apmācīb</w:t>
      </w:r>
      <w:r w:rsidRPr="009144B2" w:rsidR="0084278C">
        <w:rPr>
          <w:lang w:val="lv"/>
        </w:rPr>
        <w:t xml:space="preserve">u </w:t>
      </w:r>
      <w:r w:rsidRPr="009144B2" w:rsidR="007A07C8">
        <w:rPr>
          <w:lang w:val="lv"/>
        </w:rPr>
        <w:t>veicināšanu</w:t>
      </w:r>
      <w:r w:rsidRPr="009144B2" w:rsidR="007A07C8">
        <w:rPr>
          <w:i/>
          <w:iCs/>
          <w:lang w:val="lv"/>
        </w:rPr>
        <w:t xml:space="preserve"> </w:t>
      </w:r>
      <w:r w:rsidRPr="009144B2" w:rsidR="0054707C">
        <w:rPr>
          <w:lang w:val="lv"/>
        </w:rPr>
        <w:t xml:space="preserve">(turpmāk – Secinājumi) ir pausts atbalsts Eiropas Komisijas paziņojumam </w:t>
      </w:r>
      <w:r w:rsidR="008546FF">
        <w:rPr>
          <w:lang w:val="lv"/>
        </w:rPr>
        <w:t>"</w:t>
      </w:r>
      <w:r w:rsidRPr="009144B2" w:rsidR="0054707C">
        <w:rPr>
          <w:noProof/>
        </w:rPr>
        <w:t>Tiesiskuma nodrošināšana E</w:t>
      </w:r>
      <w:r w:rsidR="00DE1057">
        <w:rPr>
          <w:noProof/>
        </w:rPr>
        <w:t>iropas Savienībā</w:t>
      </w:r>
      <w:r w:rsidRPr="009144B2" w:rsidR="0054707C">
        <w:rPr>
          <w:noProof/>
        </w:rPr>
        <w:t xml:space="preserve"> — Eiropas tiesiskās apmācības </w:t>
      </w:r>
      <w:r w:rsidRPr="009144B2" w:rsidR="0054707C">
        <w:rPr>
          <w:noProof/>
          <w:color w:val="0D0D0D" w:themeColor="text1" w:themeTint="F2"/>
        </w:rPr>
        <w:t>stratēģija 2021.–2024. gadam</w:t>
      </w:r>
      <w:r w:rsidR="008546FF">
        <w:rPr>
          <w:noProof/>
          <w:color w:val="0D0D0D" w:themeColor="text1" w:themeTint="F2"/>
        </w:rPr>
        <w:t>"</w:t>
      </w:r>
      <w:r w:rsidRPr="009144B2" w:rsidR="004969BF">
        <w:rPr>
          <w:rStyle w:val="Vresatsauce"/>
          <w:noProof/>
          <w:color w:val="0D0D0D" w:themeColor="text1" w:themeTint="F2"/>
        </w:rPr>
        <w:footnoteReference w:id="7"/>
      </w:r>
      <w:r w:rsidRPr="009144B2" w:rsidR="0054707C">
        <w:rPr>
          <w:noProof/>
          <w:color w:val="0D0D0D" w:themeColor="text1" w:themeTint="F2"/>
        </w:rPr>
        <w:t xml:space="preserve">. </w:t>
      </w:r>
      <w:r w:rsidRPr="009144B2" w:rsidR="004969BF">
        <w:rPr>
          <w:noProof/>
          <w:color w:val="0D0D0D" w:themeColor="text1" w:themeTint="F2"/>
        </w:rPr>
        <w:t xml:space="preserve">Secinājumu </w:t>
      </w:r>
      <w:r w:rsidRPr="009144B2">
        <w:rPr>
          <w:color w:val="0D0D0D" w:themeColor="text1" w:themeTint="F2"/>
          <w:lang w:val="lv"/>
        </w:rPr>
        <w:t xml:space="preserve">mērķis ir </w:t>
      </w:r>
      <w:r w:rsidR="00074409">
        <w:rPr>
          <w:color w:val="0D0D0D" w:themeColor="text1" w:themeTint="F2"/>
          <w:lang w:val="lv"/>
        </w:rPr>
        <w:t>uzsvērt</w:t>
      </w:r>
      <w:r w:rsidRPr="009144B2" w:rsidR="00AE3B03">
        <w:rPr>
          <w:color w:val="0D0D0D" w:themeColor="text1" w:themeTint="F2"/>
          <w:lang w:val="lv"/>
        </w:rPr>
        <w:t>,</w:t>
      </w:r>
      <w:r w:rsidRPr="009144B2">
        <w:rPr>
          <w:color w:val="0D0D0D" w:themeColor="text1" w:themeTint="F2"/>
          <w:lang w:val="lv"/>
        </w:rPr>
        <w:t xml:space="preserve"> cik svarīga</w:t>
      </w:r>
      <w:r w:rsidR="000923DA">
        <w:rPr>
          <w:color w:val="0D0D0D" w:themeColor="text1" w:themeTint="F2"/>
          <w:lang w:val="lv"/>
        </w:rPr>
        <w:t xml:space="preserve"> </w:t>
      </w:r>
      <w:r w:rsidR="00242A91">
        <w:rPr>
          <w:color w:val="0D0D0D" w:themeColor="text1" w:themeTint="F2"/>
          <w:lang w:val="lv"/>
        </w:rPr>
        <w:t xml:space="preserve">ir </w:t>
      </w:r>
      <w:r w:rsidR="000923DA">
        <w:rPr>
          <w:color w:val="0D0D0D" w:themeColor="text1" w:themeTint="F2"/>
          <w:lang w:val="lv"/>
        </w:rPr>
        <w:t>ES</w:t>
      </w:r>
      <w:r w:rsidR="000923DA">
        <w:rPr>
          <w:b/>
          <w:bCs/>
          <w:noProof/>
        </w:rPr>
        <w:t xml:space="preserve"> </w:t>
      </w:r>
      <w:r w:rsidRPr="00242A91" w:rsidR="000923DA">
        <w:rPr>
          <w:noProof/>
        </w:rPr>
        <w:t>tiesību aktu pareiza un vienota piemērošana, jo tādā veidā tiek veidota savstarpējā uzticēšanās pārrobežu tiesvedībā un</w:t>
      </w:r>
      <w:r w:rsidR="000923DA">
        <w:rPr>
          <w:b/>
          <w:bCs/>
          <w:noProof/>
        </w:rPr>
        <w:t xml:space="preserve"> </w:t>
      </w:r>
      <w:r w:rsidR="000923DA">
        <w:rPr>
          <w:noProof/>
        </w:rPr>
        <w:t>veid</w:t>
      </w:r>
      <w:r w:rsidR="00242A91">
        <w:rPr>
          <w:noProof/>
        </w:rPr>
        <w:t xml:space="preserve">ota atbilstoša </w:t>
      </w:r>
      <w:r w:rsidR="000923DA">
        <w:rPr>
          <w:noProof/>
        </w:rPr>
        <w:t>ES tiesiskuma telp</w:t>
      </w:r>
      <w:r w:rsidR="00242A91">
        <w:rPr>
          <w:noProof/>
        </w:rPr>
        <w:t>a</w:t>
      </w:r>
      <w:r w:rsidRPr="009144B2">
        <w:rPr>
          <w:color w:val="0D0D0D" w:themeColor="text1" w:themeTint="F2"/>
          <w:lang w:val="lv"/>
        </w:rPr>
        <w:t>.</w:t>
      </w:r>
      <w:r w:rsidRPr="009144B2" w:rsidR="009F61F0">
        <w:rPr>
          <w:color w:val="0D0D0D" w:themeColor="text1" w:themeTint="F2"/>
          <w:lang w:val="lv"/>
        </w:rPr>
        <w:t xml:space="preserve"> </w:t>
      </w:r>
      <w:r w:rsidRPr="009144B2" w:rsidR="00DF2EB4">
        <w:rPr>
          <w:noProof/>
          <w:color w:val="0D0D0D" w:themeColor="text1" w:themeTint="F2"/>
        </w:rPr>
        <w:t>Secinājumos ir uz</w:t>
      </w:r>
      <w:r w:rsidR="00324D83">
        <w:rPr>
          <w:noProof/>
          <w:color w:val="0D0D0D" w:themeColor="text1" w:themeTint="F2"/>
        </w:rPr>
        <w:t>s</w:t>
      </w:r>
      <w:r w:rsidRPr="009144B2" w:rsidR="00DF2EB4">
        <w:rPr>
          <w:noProof/>
          <w:color w:val="0D0D0D" w:themeColor="text1" w:themeTint="F2"/>
        </w:rPr>
        <w:t xml:space="preserve">vērts, ka </w:t>
      </w:r>
      <w:r w:rsidR="00DF2EB4">
        <w:rPr>
          <w:noProof/>
          <w:color w:val="0D0D0D" w:themeColor="text1" w:themeTint="F2"/>
        </w:rPr>
        <w:t>a</w:t>
      </w:r>
      <w:r w:rsidRPr="009144B2" w:rsidR="009F3580">
        <w:rPr>
          <w:noProof/>
          <w:color w:val="0D0D0D" w:themeColor="text1" w:themeTint="F2"/>
        </w:rPr>
        <w:t>tbilstoši apmācītiem</w:t>
      </w:r>
      <w:r w:rsidR="007807B6">
        <w:rPr>
          <w:noProof/>
          <w:color w:val="0D0D0D" w:themeColor="text1" w:themeTint="F2"/>
        </w:rPr>
        <w:t>,</w:t>
      </w:r>
      <w:r w:rsidRPr="009144B2" w:rsidR="009F3580">
        <w:rPr>
          <w:noProof/>
          <w:color w:val="0D0D0D" w:themeColor="text1" w:themeTint="F2"/>
        </w:rPr>
        <w:t xml:space="preserve"> praktizējošiem juristiem ir būtiska loma tiesiskuma kultūras stiprināšanā un tiesiskuma ievērošanā. </w:t>
      </w:r>
      <w:r w:rsidR="00DF2EB4">
        <w:rPr>
          <w:noProof/>
          <w:color w:val="0D0D0D" w:themeColor="text1" w:themeTint="F2"/>
        </w:rPr>
        <w:t xml:space="preserve">Tāpēc </w:t>
      </w:r>
      <w:r w:rsidRPr="009144B2" w:rsidR="00C0444C">
        <w:rPr>
          <w:color w:val="0D0D0D" w:themeColor="text1" w:themeTint="F2"/>
        </w:rPr>
        <w:t xml:space="preserve">tiesu darbiniekiem, juristiem, notāriem, tiesu izpildītājiem, mediatoriem, juridiskajiem tulkiem, tiesu ekspertiem un, </w:t>
      </w:r>
      <w:r w:rsidR="00264E40">
        <w:rPr>
          <w:color w:val="0D0D0D" w:themeColor="text1" w:themeTint="F2"/>
        </w:rPr>
        <w:t>noteiktās</w:t>
      </w:r>
      <w:r w:rsidRPr="009144B2" w:rsidR="00C0444C">
        <w:rPr>
          <w:color w:val="0D0D0D" w:themeColor="text1" w:themeTint="F2"/>
        </w:rPr>
        <w:t xml:space="preserve"> situācijās, </w:t>
      </w:r>
      <w:r w:rsidR="00324D83">
        <w:rPr>
          <w:color w:val="0D0D0D" w:themeColor="text1" w:themeTint="F2"/>
        </w:rPr>
        <w:t>ieslodzīju</w:t>
      </w:r>
      <w:r w:rsidR="00D65FA0">
        <w:rPr>
          <w:color w:val="0D0D0D" w:themeColor="text1" w:themeTint="F2"/>
        </w:rPr>
        <w:t>mu</w:t>
      </w:r>
      <w:r w:rsidR="00324D83">
        <w:rPr>
          <w:color w:val="0D0D0D" w:themeColor="text1" w:themeTint="F2"/>
        </w:rPr>
        <w:t xml:space="preserve"> vietu</w:t>
      </w:r>
      <w:r w:rsidRPr="009144B2" w:rsidR="00C0444C">
        <w:rPr>
          <w:color w:val="0D0D0D" w:themeColor="text1" w:themeTint="F2"/>
        </w:rPr>
        <w:t xml:space="preserve"> un </w:t>
      </w:r>
      <w:r w:rsidRPr="009144B2" w:rsidR="00C0444C">
        <w:rPr>
          <w:color w:val="0D0D0D" w:themeColor="text1" w:themeTint="F2"/>
        </w:rPr>
        <w:lastRenderedPageBreak/>
        <w:t>probācijas darbiniekiem</w:t>
      </w:r>
      <w:r w:rsidRPr="009144B2" w:rsidR="000D187F">
        <w:rPr>
          <w:noProof/>
          <w:color w:val="0D0D0D" w:themeColor="text1" w:themeTint="F2"/>
        </w:rPr>
        <w:t xml:space="preserve"> ir</w:t>
      </w:r>
      <w:r w:rsidRPr="009144B2" w:rsidR="0086589D">
        <w:rPr>
          <w:noProof/>
          <w:color w:val="0D0D0D" w:themeColor="text1" w:themeTint="F2"/>
        </w:rPr>
        <w:t xml:space="preserve"> sistemātiski un</w:t>
      </w:r>
      <w:r w:rsidRPr="009144B2" w:rsidR="000D187F">
        <w:rPr>
          <w:noProof/>
          <w:color w:val="0D0D0D" w:themeColor="text1" w:themeTint="F2"/>
        </w:rPr>
        <w:t xml:space="preserve"> regulāri jāseko līdzi ES </w:t>
      </w:r>
      <w:r w:rsidRPr="009144B2" w:rsidR="000D187F">
        <w:rPr>
          <w:i/>
          <w:iCs/>
          <w:noProof/>
          <w:color w:val="0D0D0D" w:themeColor="text1" w:themeTint="F2"/>
        </w:rPr>
        <w:t>acquis</w:t>
      </w:r>
      <w:r w:rsidRPr="009144B2" w:rsidR="000D187F">
        <w:rPr>
          <w:noProof/>
          <w:color w:val="0D0D0D" w:themeColor="text1" w:themeTint="F2"/>
        </w:rPr>
        <w:t xml:space="preserve"> izmaiņām, tostarp EST judikatūrai, kas strauji attīstās. </w:t>
      </w:r>
    </w:p>
    <w:p w:rsidRPr="009144B2" w:rsidR="00AD7012" w:rsidP="008546FF" w:rsidRDefault="006C30C9" w14:paraId="53247404" w14:textId="15A99FA4">
      <w:pPr>
        <w:ind w:firstLine="720"/>
        <w:jc w:val="both"/>
        <w:rPr>
          <w:lang w:val="lv"/>
        </w:rPr>
      </w:pPr>
      <w:r>
        <w:rPr>
          <w:noProof/>
          <w:color w:val="0D0D0D" w:themeColor="text1" w:themeTint="F2"/>
        </w:rPr>
        <w:t>Ņemot vērā iepriekš minēto</w:t>
      </w:r>
      <w:r w:rsidR="00D65FA0">
        <w:rPr>
          <w:noProof/>
          <w:color w:val="0D0D0D" w:themeColor="text1" w:themeTint="F2"/>
        </w:rPr>
        <w:t>,</w:t>
      </w:r>
      <w:r>
        <w:rPr>
          <w:noProof/>
          <w:color w:val="0D0D0D" w:themeColor="text1" w:themeTint="F2"/>
        </w:rPr>
        <w:t xml:space="preserve"> </w:t>
      </w:r>
      <w:r w:rsidRPr="009144B2" w:rsidR="00921B03">
        <w:rPr>
          <w:noProof/>
          <w:color w:val="0D0D0D" w:themeColor="text1" w:themeTint="F2"/>
        </w:rPr>
        <w:t>ES dalībvalstis</w:t>
      </w:r>
      <w:r>
        <w:rPr>
          <w:noProof/>
          <w:color w:val="0D0D0D" w:themeColor="text1" w:themeTint="F2"/>
        </w:rPr>
        <w:t xml:space="preserve"> tiek aicinātas iesaistīties </w:t>
      </w:r>
      <w:r w:rsidR="00CE5AB7">
        <w:rPr>
          <w:noProof/>
          <w:color w:val="0D0D0D" w:themeColor="text1" w:themeTint="F2"/>
        </w:rPr>
        <w:t>visu ties</w:t>
      </w:r>
      <w:r w:rsidR="00324D83">
        <w:rPr>
          <w:noProof/>
          <w:color w:val="0D0D0D" w:themeColor="text1" w:themeTint="F2"/>
        </w:rPr>
        <w:t>u</w:t>
      </w:r>
      <w:r w:rsidR="00CE5AB7">
        <w:rPr>
          <w:noProof/>
          <w:color w:val="0D0D0D" w:themeColor="text1" w:themeTint="F2"/>
        </w:rPr>
        <w:t xml:space="preserve"> sistēmas darbinieku </w:t>
      </w:r>
      <w:r>
        <w:rPr>
          <w:noProof/>
          <w:color w:val="0D0D0D" w:themeColor="text1" w:themeTint="F2"/>
        </w:rPr>
        <w:t>apmācību organizēšanā un veicināšanā,</w:t>
      </w:r>
      <w:r w:rsidRPr="006C30C9">
        <w:rPr>
          <w:noProof/>
          <w:color w:val="0D0D0D" w:themeColor="text1" w:themeTint="F2"/>
        </w:rPr>
        <w:t xml:space="preserve"> </w:t>
      </w:r>
      <w:r w:rsidRPr="009144B2">
        <w:rPr>
          <w:noProof/>
          <w:color w:val="0D0D0D" w:themeColor="text1" w:themeTint="F2"/>
        </w:rPr>
        <w:t>piem</w:t>
      </w:r>
      <w:r>
        <w:rPr>
          <w:noProof/>
          <w:color w:val="0D0D0D" w:themeColor="text1" w:themeTint="F2"/>
        </w:rPr>
        <w:t>ē</w:t>
      </w:r>
      <w:r w:rsidRPr="009144B2">
        <w:rPr>
          <w:noProof/>
          <w:color w:val="0D0D0D" w:themeColor="text1" w:themeTint="F2"/>
        </w:rPr>
        <w:t>rojot daudzdisciplīnu pieeju apmācībā</w:t>
      </w:r>
      <w:r>
        <w:rPr>
          <w:noProof/>
          <w:color w:val="0D0D0D" w:themeColor="text1" w:themeTint="F2"/>
        </w:rPr>
        <w:t xml:space="preserve">s, </w:t>
      </w:r>
      <w:r w:rsidR="007807B6">
        <w:rPr>
          <w:noProof/>
          <w:color w:val="0D0D0D" w:themeColor="text1" w:themeTint="F2"/>
        </w:rPr>
        <w:t>un</w:t>
      </w:r>
      <w:r>
        <w:rPr>
          <w:noProof/>
          <w:color w:val="0D0D0D" w:themeColor="text1" w:themeTint="F2"/>
        </w:rPr>
        <w:t xml:space="preserve"> </w:t>
      </w:r>
      <w:r w:rsidR="00324D83">
        <w:rPr>
          <w:noProof/>
          <w:color w:val="0D0D0D" w:themeColor="text1" w:themeTint="F2"/>
        </w:rPr>
        <w:t>īstenojot</w:t>
      </w:r>
      <w:r>
        <w:rPr>
          <w:noProof/>
          <w:color w:val="0D0D0D" w:themeColor="text1" w:themeTint="F2"/>
        </w:rPr>
        <w:t xml:space="preserve"> apmācības par </w:t>
      </w:r>
      <w:r w:rsidR="00FD19B8">
        <w:rPr>
          <w:noProof/>
          <w:color w:val="0D0D0D" w:themeColor="text1" w:themeTint="F2"/>
        </w:rPr>
        <w:t>aktuāl</w:t>
      </w:r>
      <w:r w:rsidR="00264E40">
        <w:rPr>
          <w:noProof/>
          <w:color w:val="0D0D0D" w:themeColor="text1" w:themeTint="F2"/>
        </w:rPr>
        <w:t xml:space="preserve">itātēm </w:t>
      </w:r>
      <w:r w:rsidRPr="009144B2" w:rsidR="00FD19B8">
        <w:rPr>
          <w:noProof/>
          <w:color w:val="0D0D0D" w:themeColor="text1" w:themeTint="F2"/>
        </w:rPr>
        <w:t>ES tiesību akt</w:t>
      </w:r>
      <w:r w:rsidR="00264E40">
        <w:rPr>
          <w:noProof/>
          <w:color w:val="0D0D0D" w:themeColor="text1" w:themeTint="F2"/>
        </w:rPr>
        <w:t>os</w:t>
      </w:r>
      <w:r>
        <w:rPr>
          <w:noProof/>
          <w:color w:val="0D0D0D" w:themeColor="text1" w:themeTint="F2"/>
        </w:rPr>
        <w:t>. Dalībvalstis tiek aicinātas</w:t>
      </w:r>
      <w:r w:rsidR="00FD19B8">
        <w:rPr>
          <w:noProof/>
          <w:color w:val="0D0D0D" w:themeColor="text1" w:themeTint="F2"/>
        </w:rPr>
        <w:t xml:space="preserve"> </w:t>
      </w:r>
      <w:r w:rsidRPr="009144B2" w:rsidR="00921B03">
        <w:rPr>
          <w:noProof/>
          <w:color w:val="0D0D0D" w:themeColor="text1" w:themeTint="F2"/>
        </w:rPr>
        <w:t xml:space="preserve">izmantot ES finansēšanas instrumentus, jo īpaši programmu </w:t>
      </w:r>
      <w:r w:rsidR="00D65FA0">
        <w:rPr>
          <w:noProof/>
          <w:color w:val="0D0D0D" w:themeColor="text1" w:themeTint="F2"/>
        </w:rPr>
        <w:t>"</w:t>
      </w:r>
      <w:r w:rsidRPr="009144B2" w:rsidR="00921B03">
        <w:rPr>
          <w:noProof/>
          <w:color w:val="0D0D0D" w:themeColor="text1" w:themeTint="F2"/>
        </w:rPr>
        <w:t>Tiesiskums</w:t>
      </w:r>
      <w:r w:rsidR="00D65FA0">
        <w:rPr>
          <w:noProof/>
          <w:color w:val="0D0D0D" w:themeColor="text1" w:themeTint="F2"/>
        </w:rPr>
        <w:t>"</w:t>
      </w:r>
      <w:r w:rsidRPr="009144B2" w:rsidR="00921B03">
        <w:rPr>
          <w:noProof/>
          <w:color w:val="0D0D0D" w:themeColor="text1" w:themeTint="F2"/>
        </w:rPr>
        <w:t xml:space="preserve"> un programmu </w:t>
      </w:r>
      <w:r w:rsidR="00D65FA0">
        <w:rPr>
          <w:noProof/>
          <w:color w:val="0D0D0D" w:themeColor="text1" w:themeTint="F2"/>
        </w:rPr>
        <w:t>"</w:t>
      </w:r>
      <w:r w:rsidRPr="009144B2" w:rsidR="00921B03">
        <w:rPr>
          <w:noProof/>
          <w:color w:val="0D0D0D" w:themeColor="text1" w:themeTint="F2"/>
        </w:rPr>
        <w:t>Pilsoņi, vienlīdzība, tiesības un vertības</w:t>
      </w:r>
      <w:r w:rsidR="00D65FA0">
        <w:rPr>
          <w:noProof/>
          <w:color w:val="0D0D0D" w:themeColor="text1" w:themeTint="F2"/>
        </w:rPr>
        <w:t>"</w:t>
      </w:r>
      <w:r w:rsidRPr="009144B2" w:rsidR="00991E3E">
        <w:rPr>
          <w:noProof/>
          <w:color w:val="0D0D0D" w:themeColor="text1" w:themeTint="F2"/>
        </w:rPr>
        <w:t>.</w:t>
      </w:r>
    </w:p>
    <w:p w:rsidR="0072442E" w:rsidP="0072442E" w:rsidRDefault="00ED5CFC" w14:paraId="578FE1B2" w14:textId="2EE4987E">
      <w:pPr>
        <w:jc w:val="both"/>
        <w:rPr>
          <w:sz w:val="22"/>
          <w:szCs w:val="22"/>
        </w:rPr>
      </w:pPr>
      <w:r w:rsidRPr="009144B2">
        <w:rPr>
          <w:i/>
          <w:iCs/>
          <w:lang w:val="lv"/>
        </w:rPr>
        <w:t xml:space="preserve">Latvija piekrīt, ka </w:t>
      </w:r>
      <w:r w:rsidRPr="009144B2" w:rsidR="00096AE3">
        <w:rPr>
          <w:i/>
          <w:iCs/>
          <w:lang w:val="lv"/>
        </w:rPr>
        <w:t xml:space="preserve">ES </w:t>
      </w:r>
      <w:r w:rsidRPr="009144B2">
        <w:rPr>
          <w:i/>
          <w:iCs/>
          <w:lang w:val="lv"/>
        </w:rPr>
        <w:t xml:space="preserve">tieslietu sistēmas kvalitātes un efektivitātes paaugstināšanai </w:t>
      </w:r>
      <w:r w:rsidRPr="009144B2" w:rsidR="001B5A8F">
        <w:rPr>
          <w:i/>
          <w:iCs/>
          <w:lang w:val="lv"/>
        </w:rPr>
        <w:t xml:space="preserve">sistemātiskas apmācības </w:t>
      </w:r>
      <w:r w:rsidRPr="009144B2">
        <w:rPr>
          <w:i/>
          <w:iCs/>
          <w:lang w:val="lv"/>
        </w:rPr>
        <w:t xml:space="preserve">ir </w:t>
      </w:r>
      <w:r w:rsidRPr="009144B2" w:rsidR="004E6221">
        <w:rPr>
          <w:i/>
          <w:iCs/>
          <w:lang w:val="lv"/>
        </w:rPr>
        <w:t>ļ</w:t>
      </w:r>
      <w:r w:rsidRPr="009144B2" w:rsidR="00096AE3">
        <w:rPr>
          <w:i/>
          <w:iCs/>
          <w:lang w:val="lv"/>
        </w:rPr>
        <w:t>oti būtisk</w:t>
      </w:r>
      <w:r w:rsidRPr="009144B2" w:rsidR="001B5A8F">
        <w:rPr>
          <w:i/>
          <w:iCs/>
          <w:lang w:val="lv"/>
        </w:rPr>
        <w:t>as</w:t>
      </w:r>
      <w:r w:rsidR="00713DCB">
        <w:rPr>
          <w:i/>
          <w:iCs/>
          <w:lang w:val="lv"/>
        </w:rPr>
        <w:t xml:space="preserve">. Latvija atbalsta, ka apmācības </w:t>
      </w:r>
      <w:r w:rsidRPr="009144B2" w:rsidR="00713DCB">
        <w:rPr>
          <w:i/>
          <w:iCs/>
          <w:lang w:val="lv"/>
        </w:rPr>
        <w:t>ES tiesību jomā</w:t>
      </w:r>
      <w:r w:rsidR="00713DCB">
        <w:rPr>
          <w:i/>
          <w:iCs/>
          <w:lang w:val="lv"/>
        </w:rPr>
        <w:t xml:space="preserve"> ir nepieciešamas gan</w:t>
      </w:r>
      <w:r w:rsidRPr="009144B2">
        <w:rPr>
          <w:i/>
          <w:iCs/>
          <w:lang w:val="lv"/>
        </w:rPr>
        <w:t xml:space="preserve"> valsts sektorā strādājoš</w:t>
      </w:r>
      <w:r w:rsidR="00713DCB">
        <w:rPr>
          <w:i/>
          <w:iCs/>
          <w:lang w:val="lv"/>
        </w:rPr>
        <w:t>iem</w:t>
      </w:r>
      <w:r w:rsidRPr="009144B2">
        <w:rPr>
          <w:i/>
          <w:iCs/>
          <w:lang w:val="lv"/>
        </w:rPr>
        <w:t xml:space="preserve">, gan brīvo </w:t>
      </w:r>
      <w:r w:rsidR="00324D83">
        <w:rPr>
          <w:i/>
          <w:iCs/>
          <w:lang w:val="lv"/>
        </w:rPr>
        <w:t>juridisko profesiju pārstāvjiem</w:t>
      </w:r>
      <w:r w:rsidRPr="009144B2">
        <w:rPr>
          <w:i/>
          <w:iCs/>
          <w:lang w:val="lv"/>
        </w:rPr>
        <w:t>.</w:t>
      </w:r>
      <w:r w:rsidRPr="009144B2" w:rsidR="00C71702">
        <w:rPr>
          <w:i/>
          <w:iCs/>
          <w:lang w:val="lv"/>
        </w:rPr>
        <w:t xml:space="preserve"> </w:t>
      </w:r>
      <w:r w:rsidR="00713DCB">
        <w:rPr>
          <w:i/>
          <w:iCs/>
          <w:lang w:val="lv"/>
        </w:rPr>
        <w:t xml:space="preserve">Latvija norāda, ka </w:t>
      </w:r>
      <w:r w:rsidRPr="009144B2" w:rsidR="00C71702">
        <w:rPr>
          <w:i/>
          <w:iCs/>
          <w:lang w:val="lv"/>
        </w:rPr>
        <w:t>apmācību veicināšana ir jākoordinē gan ES</w:t>
      </w:r>
      <w:r w:rsidRPr="003039BD" w:rsidR="00AD4968">
        <w:rPr>
          <w:i/>
          <w:iCs/>
          <w:color w:val="0D0D0D" w:themeColor="text1" w:themeTint="F2"/>
          <w:lang w:val="lv"/>
        </w:rPr>
        <w:t>, nodrošinot finansiālo atbalstu</w:t>
      </w:r>
      <w:r w:rsidRPr="003039BD" w:rsidR="00637061">
        <w:rPr>
          <w:i/>
          <w:iCs/>
          <w:color w:val="0D0D0D" w:themeColor="text1" w:themeTint="F2"/>
          <w:lang w:val="lv"/>
        </w:rPr>
        <w:t xml:space="preserve"> un pārrobežu apmācības</w:t>
      </w:r>
      <w:r w:rsidRPr="003039BD" w:rsidR="00C71702">
        <w:rPr>
          <w:i/>
          <w:iCs/>
          <w:color w:val="0D0D0D" w:themeColor="text1" w:themeTint="F2"/>
          <w:lang w:val="lv"/>
        </w:rPr>
        <w:t>, gan valstu nacionālā līmenī.</w:t>
      </w:r>
      <w:r w:rsidRPr="003039BD" w:rsidR="0072442E">
        <w:rPr>
          <w:i/>
          <w:iCs/>
          <w:color w:val="0D0D0D" w:themeColor="text1" w:themeTint="F2"/>
        </w:rPr>
        <w:t xml:space="preserve"> Latvija norāda, ka uzsāks ambiciozu projektu, lai tiesnešu, prokuroru un izmeklētāju apmācības norisinātos vienuviet</w:t>
      </w:r>
      <w:r w:rsidR="0072442E">
        <w:rPr>
          <w:i/>
          <w:iCs/>
          <w:color w:val="FF0000"/>
        </w:rPr>
        <w:t>.</w:t>
      </w:r>
    </w:p>
    <w:p w:rsidRPr="009144B2" w:rsidR="00DC66BF" w:rsidP="002057AC" w:rsidRDefault="00CD2AFC" w14:paraId="0469694F" w14:textId="36533403">
      <w:pPr>
        <w:ind w:firstLine="720"/>
        <w:jc w:val="both"/>
        <w:rPr>
          <w:b/>
          <w:bCs/>
        </w:rPr>
      </w:pPr>
      <w:r w:rsidRPr="009144B2">
        <w:rPr>
          <w:b/>
          <w:bCs/>
        </w:rPr>
        <w:t> </w:t>
      </w:r>
    </w:p>
    <w:p w:rsidRPr="008546FF" w:rsidR="00C92EB9" w:rsidP="0072442E" w:rsidRDefault="008546FF" w14:paraId="3C918B2C" w14:textId="11E3937A">
      <w:pPr>
        <w:ind w:right="57" w:firstLine="720"/>
        <w:rPr>
          <w:rFonts w:eastAsia="Calibri"/>
          <w:b/>
          <w:bCs/>
        </w:rPr>
      </w:pPr>
      <w:r>
        <w:rPr>
          <w:rFonts w:eastAsia="Calibri"/>
          <w:b/>
          <w:bCs/>
        </w:rPr>
        <w:t>4. </w:t>
      </w:r>
      <w:r w:rsidRPr="008546FF" w:rsidR="00C92EB9">
        <w:rPr>
          <w:rFonts w:eastAsia="Calibri"/>
          <w:b/>
          <w:bCs/>
        </w:rPr>
        <w:t>Eiropas Prokuratūras izveide</w:t>
      </w:r>
      <w:r w:rsidRPr="0072442E" w:rsidR="00C92EB9">
        <w:rPr>
          <w:rFonts w:eastAsia="Calibri"/>
          <w:i/>
          <w:iCs/>
        </w:rPr>
        <w:t xml:space="preserve"> (informācija par pašreizējo</w:t>
      </w:r>
      <w:r w:rsidRPr="0072442E" w:rsidR="00AD4280">
        <w:rPr>
          <w:rFonts w:eastAsia="Calibri"/>
          <w:i/>
          <w:iCs/>
        </w:rPr>
        <w:t xml:space="preserve"> situāciju</w:t>
      </w:r>
      <w:r w:rsidRPr="0072442E" w:rsidR="00C92EB9">
        <w:rPr>
          <w:rFonts w:eastAsia="Calibri"/>
          <w:i/>
          <w:iCs/>
        </w:rPr>
        <w:t>)</w:t>
      </w:r>
    </w:p>
    <w:p w:rsidRPr="009144B2" w:rsidR="0060378D" w:rsidP="008546FF" w:rsidRDefault="008B473D" w14:paraId="50A55126" w14:textId="275E125F">
      <w:pPr>
        <w:ind w:right="84" w:firstLine="720"/>
        <w:jc w:val="both"/>
      </w:pPr>
      <w:r>
        <w:rPr>
          <w:rFonts w:eastAsia="Calibri"/>
        </w:rPr>
        <w:t xml:space="preserve">Eiropas Prokuratūra (turpmāk – </w:t>
      </w:r>
      <w:r w:rsidRPr="009144B2" w:rsidR="00404DDF">
        <w:rPr>
          <w:rFonts w:eastAsia="Calibri"/>
        </w:rPr>
        <w:t>EPPO</w:t>
      </w:r>
      <w:r>
        <w:rPr>
          <w:rFonts w:eastAsia="Calibri"/>
        </w:rPr>
        <w:t>)</w:t>
      </w:r>
      <w:r>
        <w:rPr>
          <w:rStyle w:val="Vresatsauce"/>
          <w:rFonts w:eastAsia="Calibri"/>
        </w:rPr>
        <w:footnoteReference w:id="8"/>
      </w:r>
      <w:r w:rsidRPr="009144B2" w:rsidR="00404DDF">
        <w:t xml:space="preserve"> tiek veidota ar mērķi aizsargāt ES finanšu intereses. </w:t>
      </w:r>
      <w:r w:rsidR="00D65FA0">
        <w:t>EPPO</w:t>
      </w:r>
      <w:r w:rsidRPr="009144B2" w:rsidR="00404DDF">
        <w:t xml:space="preserve"> būs galvenā iestāde, kas </w:t>
      </w:r>
      <w:r w:rsidRPr="009144B2" w:rsidR="00404DDF">
        <w:rPr>
          <w:bCs/>
        </w:rPr>
        <w:t>būs atbildīga</w:t>
      </w:r>
      <w:r w:rsidRPr="009144B2" w:rsidR="00404DDF">
        <w:rPr>
          <w:b/>
          <w:bCs/>
        </w:rPr>
        <w:t xml:space="preserve"> </w:t>
      </w:r>
      <w:r w:rsidRPr="009144B2" w:rsidR="00404DDF">
        <w:t xml:space="preserve">par izmeklēšanu, kriminālvajāšanu un apsūdzības uzturēšanu tiesā par tādiem noziedzīgajiem nodarījumiem, kas skar ES finanšu intereses (piemēram, krāpšana, kas skar ES fondus). </w:t>
      </w:r>
    </w:p>
    <w:p w:rsidRPr="009144B2" w:rsidR="00404DDF" w:rsidP="008546FF" w:rsidRDefault="0060378D" w14:paraId="4B331A1D" w14:textId="727F2461">
      <w:pPr>
        <w:ind w:right="84" w:firstLine="720"/>
        <w:jc w:val="both"/>
      </w:pPr>
      <w:r w:rsidRPr="009144B2">
        <w:t xml:space="preserve">Latvija veic visas nepieciešamās darbības pilnvērtīgas EPPO </w:t>
      </w:r>
      <w:r w:rsidR="00B02E41">
        <w:t xml:space="preserve">darbības </w:t>
      </w:r>
      <w:r w:rsidRPr="009144B2">
        <w:t xml:space="preserve">izveidē. </w:t>
      </w:r>
      <w:r w:rsidRPr="009144B2" w:rsidR="00404DDF">
        <w:t>Saskaņā ar regulu</w:t>
      </w:r>
      <w:r w:rsidRPr="009144B2" w:rsidR="00EE602A">
        <w:t xml:space="preserve"> Nr.</w:t>
      </w:r>
      <w:r w:rsidR="008546FF">
        <w:rPr>
          <w:color w:val="0D0D0D" w:themeColor="text1" w:themeTint="F2"/>
        </w:rPr>
        <w:t> </w:t>
      </w:r>
      <w:r w:rsidRPr="009144B2" w:rsidR="00EE602A">
        <w:rPr>
          <w:color w:val="0D0D0D" w:themeColor="text1" w:themeTint="F2"/>
        </w:rPr>
        <w:t>2017/1939</w:t>
      </w:r>
      <w:r w:rsidRPr="009144B2" w:rsidR="00404DDF">
        <w:rPr>
          <w:rStyle w:val="Vresatsauce"/>
        </w:rPr>
        <w:footnoteReference w:id="9"/>
      </w:r>
      <w:r w:rsidRPr="009144B2" w:rsidR="00404DDF">
        <w:t xml:space="preserve">, Eiropas deleģētie prokurori un atsevišķos gadījumos Eiropas prokurors veic izmeklēšanu, kriminālvajāšanu un apsūdzības uzturēšanu tiesā saskaņā ar dalībvalstu tiesību aktiem. </w:t>
      </w:r>
      <w:r w:rsidRPr="009144B2" w:rsidR="00CC5A0A">
        <w:t>L</w:t>
      </w:r>
      <w:r w:rsidRPr="009144B2" w:rsidR="00404DDF">
        <w:t xml:space="preserve">ai piemērotu Latvijas normatīvos aktus </w:t>
      </w:r>
      <w:r w:rsidR="00D65FA0">
        <w:t xml:space="preserve">minētās </w:t>
      </w:r>
      <w:r w:rsidRPr="009144B2" w:rsidR="00404DDF">
        <w:t>regulas noteikumiem, Kriminālprocesa likumā bija nepieciešams veikt atsevišķus grozījumus, lai dotu pilnvaras Eiropas deleģētajiem prokuroriem un Eiropas prokuroram veikt kriminālprocesu</w:t>
      </w:r>
      <w:r w:rsidRPr="009144B2" w:rsidR="0041522A">
        <w:t>ālās darbības</w:t>
      </w:r>
      <w:r w:rsidRPr="009144B2" w:rsidR="00404DDF">
        <w:t xml:space="preserve"> saskaņā ar Kriminālprocesa likuma noteikumiem. EPPO darbība Latvijas kriminālprocesa sistēmā nodrošināta ar Kriminālprocesa likumu (grozījumi spēkā stājušies 2021.</w:t>
      </w:r>
      <w:r w:rsidR="008546FF">
        <w:t> gada 20. janvārī</w:t>
      </w:r>
      <w:r w:rsidRPr="009144B2" w:rsidR="00404DDF">
        <w:rPr>
          <w:rStyle w:val="Vresatsauce"/>
        </w:rPr>
        <w:footnoteReference w:id="10"/>
      </w:r>
      <w:r w:rsidRPr="009144B2" w:rsidR="00404DDF">
        <w:t>) un Prokuratūras likumu (grozījumi spēkā stājušies 2019</w:t>
      </w:r>
      <w:r w:rsidR="008546FF">
        <w:t>. gada 27. decembrī</w:t>
      </w:r>
      <w:r w:rsidRPr="009144B2" w:rsidR="00404DDF">
        <w:rPr>
          <w:rStyle w:val="Vresatsauce"/>
        </w:rPr>
        <w:footnoteReference w:id="11"/>
      </w:r>
      <w:r w:rsidRPr="009144B2" w:rsidR="00404DDF">
        <w:t xml:space="preserve">.). </w:t>
      </w:r>
    </w:p>
    <w:p w:rsidRPr="009144B2" w:rsidR="00404DDF" w:rsidP="008546FF" w:rsidRDefault="004D57CC" w14:paraId="027D9565" w14:textId="67393AF5">
      <w:pPr>
        <w:ind w:firstLine="720"/>
        <w:jc w:val="both"/>
        <w:rPr>
          <w:lang w:val="lv"/>
        </w:rPr>
      </w:pPr>
      <w:r>
        <w:rPr>
          <w:lang w:val="lv"/>
        </w:rPr>
        <w:t xml:space="preserve">Š.g. </w:t>
      </w:r>
      <w:r w:rsidRPr="009144B2" w:rsidR="00404DDF">
        <w:rPr>
          <w:lang w:val="lv"/>
        </w:rPr>
        <w:t xml:space="preserve">martā </w:t>
      </w:r>
      <w:r>
        <w:rPr>
          <w:lang w:val="lv"/>
        </w:rPr>
        <w:t xml:space="preserve">noslēgsies </w:t>
      </w:r>
      <w:r w:rsidRPr="009144B2" w:rsidR="00404DDF">
        <w:rPr>
          <w:lang w:val="lv"/>
        </w:rPr>
        <w:t>konkurs</w:t>
      </w:r>
      <w:r>
        <w:rPr>
          <w:lang w:val="lv"/>
        </w:rPr>
        <w:t xml:space="preserve">s uz </w:t>
      </w:r>
      <w:r w:rsidRPr="009144B2" w:rsidR="00404DDF">
        <w:rPr>
          <w:lang w:val="lv"/>
        </w:rPr>
        <w:t xml:space="preserve">Latvijas Eiropas deleģēto prokuroru </w:t>
      </w:r>
      <w:r>
        <w:rPr>
          <w:lang w:val="lv"/>
        </w:rPr>
        <w:t>amatiem</w:t>
      </w:r>
      <w:r w:rsidRPr="009144B2" w:rsidR="00404DDF">
        <w:rPr>
          <w:lang w:val="lv"/>
        </w:rPr>
        <w:t>.</w:t>
      </w:r>
    </w:p>
    <w:p w:rsidRPr="0072442E" w:rsidR="001F6D76" w:rsidP="00404DDF" w:rsidRDefault="001F6D76" w14:paraId="6D78CFC3" w14:textId="77777777">
      <w:pPr>
        <w:ind w:firstLine="720"/>
        <w:jc w:val="both"/>
        <w:rPr>
          <w:sz w:val="20"/>
          <w:szCs w:val="20"/>
          <w:lang w:val="lv"/>
        </w:rPr>
      </w:pPr>
    </w:p>
    <w:bookmarkEnd w:id="2"/>
    <w:p w:rsidRPr="009144B2" w:rsidR="001F7840" w:rsidP="00496417" w:rsidRDefault="001F7840" w14:paraId="661EA6D2" w14:textId="77777777">
      <w:pPr>
        <w:jc w:val="center"/>
        <w:rPr>
          <w:b/>
        </w:rPr>
      </w:pPr>
      <w:r w:rsidRPr="009144B2">
        <w:rPr>
          <w:b/>
        </w:rPr>
        <w:t>Delegācija</w:t>
      </w:r>
    </w:p>
    <w:p w:rsidRPr="0047509B" w:rsidR="008965D2" w:rsidP="008965D2" w:rsidRDefault="008965D2" w14:paraId="40F2BDE0" w14:textId="77777777">
      <w:pPr>
        <w:jc w:val="both"/>
        <w:rPr>
          <w:sz w:val="12"/>
          <w:szCs w:val="12"/>
        </w:rPr>
      </w:pPr>
    </w:p>
    <w:p w:rsidRPr="006F14A6" w:rsidR="00D512B7" w:rsidP="00D512B7" w:rsidRDefault="00D512B7" w14:paraId="74B21F64" w14:textId="3A15D99C">
      <w:pPr>
        <w:tabs>
          <w:tab w:val="left" w:pos="2835"/>
        </w:tabs>
      </w:pPr>
      <w:r w:rsidRPr="009144B2">
        <w:t>Delegācijas vadītājs:</w:t>
      </w:r>
      <w:r w:rsidRPr="009144B2">
        <w:tab/>
      </w:r>
      <w:r w:rsidR="00FE26BC">
        <w:t>Andris Vītols</w:t>
      </w:r>
      <w:r w:rsidRPr="006F14A6">
        <w:t xml:space="preserve">, </w:t>
      </w:r>
      <w:r w:rsidR="00FE26BC">
        <w:t>Tieslietu ministrijas p</w:t>
      </w:r>
      <w:r w:rsidR="00BC3881">
        <w:t>arlamentārais</w:t>
      </w:r>
      <w:r w:rsidR="00FE26BC">
        <w:t xml:space="preserve"> sekretārs</w:t>
      </w:r>
    </w:p>
    <w:p w:rsidRPr="0047509B" w:rsidR="00D512B7" w:rsidP="00D512B7" w:rsidRDefault="00D512B7" w14:paraId="4DD73A13" w14:textId="77777777">
      <w:pPr>
        <w:ind w:left="2835" w:hanging="2835"/>
        <w:jc w:val="both"/>
        <w:rPr>
          <w:sz w:val="12"/>
          <w:szCs w:val="12"/>
        </w:rPr>
      </w:pPr>
    </w:p>
    <w:p w:rsidRPr="006F14A6" w:rsidR="00D512B7" w:rsidP="00FE26BC" w:rsidRDefault="00D512B7" w14:paraId="706B2A79" w14:textId="18960308">
      <w:pPr>
        <w:ind w:left="2835" w:hanging="2835"/>
        <w:jc w:val="both"/>
      </w:pPr>
      <w:r w:rsidRPr="006F14A6">
        <w:t>Delegācijas dalībnieki:</w:t>
      </w:r>
      <w:r w:rsidRPr="006F14A6">
        <w:tab/>
        <w:t>Kristīne Pommere, valsts sekretāra vietniece ārvalstu sadarbības un stratēģijas jautājumos;</w:t>
      </w:r>
    </w:p>
    <w:p w:rsidRPr="006F14A6" w:rsidR="00D512B7" w:rsidP="00210A0E" w:rsidRDefault="00D512B7" w14:paraId="5A495A91" w14:textId="77777777">
      <w:pPr>
        <w:ind w:left="2111" w:firstLine="720"/>
        <w:jc w:val="both"/>
      </w:pPr>
      <w:r w:rsidRPr="006F14A6">
        <w:t>Anda Smiltēna, tieslietu nozares padomniece;</w:t>
      </w:r>
    </w:p>
    <w:p w:rsidRPr="009144B2" w:rsidR="00D512B7" w:rsidP="00D512B7" w:rsidRDefault="00D512B7" w14:paraId="4B245B32" w14:textId="77777777">
      <w:pPr>
        <w:ind w:left="2835" w:hanging="4"/>
        <w:jc w:val="both"/>
        <w:rPr>
          <w:b/>
        </w:rPr>
      </w:pPr>
      <w:r w:rsidRPr="006F14A6">
        <w:t>Vineta Krutko,</w:t>
      </w:r>
      <w:r w:rsidRPr="009144B2">
        <w:rPr>
          <w:b/>
        </w:rPr>
        <w:t xml:space="preserve"> </w:t>
      </w:r>
      <w:r w:rsidRPr="009144B2">
        <w:t>tieslietu nozares padomniece.</w:t>
      </w:r>
    </w:p>
    <w:p w:rsidRPr="0072442E" w:rsidR="00D512B7" w:rsidP="00D512B7" w:rsidRDefault="00D512B7" w14:paraId="4CCB63EE" w14:textId="77777777">
      <w:pPr>
        <w:jc w:val="both"/>
        <w:rPr>
          <w:sz w:val="22"/>
          <w:szCs w:val="22"/>
        </w:rPr>
      </w:pPr>
    </w:p>
    <w:p w:rsidRPr="009144B2" w:rsidR="00D512B7" w:rsidP="00D512B7" w:rsidRDefault="00D512B7" w14:paraId="020C3425" w14:textId="77777777">
      <w:r w:rsidRPr="009144B2">
        <w:t xml:space="preserve">Ministru prezidenta biedrs, </w:t>
      </w:r>
    </w:p>
    <w:p w:rsidR="00E55682" w:rsidP="00496417" w:rsidRDefault="00D512B7" w14:paraId="0AC9CEB2" w14:textId="1D5634D5">
      <w:pPr>
        <w:jc w:val="both"/>
      </w:pPr>
      <w:r w:rsidRPr="009144B2">
        <w:t>tieslietu ministrs</w:t>
      </w:r>
      <w:r w:rsidRPr="009144B2">
        <w:tab/>
      </w:r>
      <w:r w:rsidRPr="009144B2">
        <w:tab/>
      </w:r>
      <w:r w:rsidRPr="009144B2">
        <w:tab/>
      </w:r>
      <w:r w:rsidRPr="009144B2">
        <w:tab/>
      </w:r>
      <w:r w:rsidRPr="009144B2">
        <w:tab/>
      </w:r>
      <w:r w:rsidRPr="009144B2">
        <w:tab/>
      </w:r>
      <w:r w:rsidRPr="009144B2">
        <w:tab/>
      </w:r>
      <w:r w:rsidRPr="009144B2">
        <w:tab/>
        <w:t>Jānis Bordāns</w:t>
      </w:r>
    </w:p>
    <w:p w:rsidR="008546FF" w:rsidP="00496417" w:rsidRDefault="008546FF" w14:paraId="190D6034" w14:textId="4DFF0C5E">
      <w:pPr>
        <w:jc w:val="both"/>
      </w:pPr>
    </w:p>
    <w:p w:rsidR="00FE26BC" w:rsidP="00496417" w:rsidRDefault="00FE26BC" w14:paraId="4C8A5068" w14:textId="77777777">
      <w:pPr>
        <w:jc w:val="both"/>
      </w:pPr>
    </w:p>
    <w:p w:rsidRPr="0047509B" w:rsidR="0047509B" w:rsidP="0047509B" w:rsidRDefault="0047509B" w14:paraId="76C340D4" w14:textId="77777777">
      <w:pPr>
        <w:jc w:val="both"/>
        <w:rPr>
          <w:sz w:val="22"/>
          <w:szCs w:val="22"/>
          <w:lang w:eastAsia="x-none"/>
        </w:rPr>
      </w:pPr>
      <w:r w:rsidRPr="0047509B">
        <w:rPr>
          <w:sz w:val="22"/>
          <w:szCs w:val="22"/>
          <w:lang w:eastAsia="x-none"/>
        </w:rPr>
        <w:t>Poiša 67036912</w:t>
      </w:r>
    </w:p>
    <w:p w:rsidRPr="009144B2" w:rsidR="008546FF" w:rsidP="0047509B" w:rsidRDefault="0047509B" w14:paraId="3CB9AF1C" w14:textId="1299D226">
      <w:pPr>
        <w:jc w:val="both"/>
      </w:pPr>
      <w:r w:rsidRPr="0047509B">
        <w:rPr>
          <w:sz w:val="22"/>
          <w:szCs w:val="22"/>
          <w:lang w:eastAsia="x-none"/>
        </w:rPr>
        <w:t>Arta.Poisa@tm.gov.lv</w:t>
      </w:r>
    </w:p>
    <w:sectPr w:rsidRPr="009144B2" w:rsidR="008546FF" w:rsidSect="002057AC">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8A16" w14:textId="77777777" w:rsidR="00285696" w:rsidRDefault="00285696" w:rsidP="00C5761C">
      <w:r>
        <w:separator/>
      </w:r>
    </w:p>
  </w:endnote>
  <w:endnote w:type="continuationSeparator" w:id="0">
    <w:p w14:paraId="1B375012" w14:textId="77777777" w:rsidR="00285696" w:rsidRDefault="00285696"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inion Pro">
    <w:altName w:val="Cambria Math"/>
    <w:charset w:val="00"/>
    <w:family w:val="roman"/>
    <w:pitch w:val="variable"/>
    <w:sig w:usb0="00000001" w:usb1="00000001" w:usb2="00000000" w:usb3="00000000" w:csb0="0000019F" w:csb1="00000000"/>
  </w:font>
  <w:font w:name="Red Hat Display">
    <w:altName w:val="Calibri"/>
    <w:charset w:val="4D"/>
    <w:family w:val="auto"/>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59C3" w14:textId="77777777" w:rsidR="005C48AF" w:rsidRPr="00D95C61" w:rsidRDefault="005C48AF" w:rsidP="00D95C61">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5E60" w14:textId="6E3ECDBD" w:rsidR="00D95C61" w:rsidRDefault="00D95C61" w:rsidP="00D95C61">
    <w:pPr>
      <w:pStyle w:val="Kjene"/>
      <w:jc w:val="center"/>
      <w:rPr>
        <w:lang w:val="lv-LV"/>
      </w:rPr>
    </w:pPr>
  </w:p>
  <w:p w14:paraId="7254B179" w14:textId="6726F0E7" w:rsidR="005C48AF" w:rsidRPr="0047509B" w:rsidRDefault="008546FF" w:rsidP="008546FF">
    <w:pPr>
      <w:pStyle w:val="Nosaukums"/>
      <w:jc w:val="both"/>
      <w:outlineLvl w:val="0"/>
      <w:rPr>
        <w:iCs/>
        <w:sz w:val="20"/>
        <w:szCs w:val="20"/>
        <w:lang w:val="lv-LV"/>
      </w:rPr>
    </w:pPr>
    <w:r>
      <w:rPr>
        <w:iCs/>
        <w:sz w:val="20"/>
        <w:szCs w:val="20"/>
        <w:lang w:val="lv-LV"/>
      </w:rPr>
      <w:t>TMzin_0</w:t>
    </w:r>
    <w:r w:rsidR="008E5D17">
      <w:rPr>
        <w:iCs/>
        <w:sz w:val="20"/>
        <w:szCs w:val="20"/>
        <w:lang w:val="lv-LV"/>
      </w:rPr>
      <w:t>8</w:t>
    </w:r>
    <w:r>
      <w:rPr>
        <w:iCs/>
        <w:sz w:val="20"/>
        <w:szCs w:val="20"/>
        <w:lang w:val="lv-LV"/>
      </w:rPr>
      <w:t>0321_video_JHA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030D" w14:textId="5BF4BAB6" w:rsidR="00D37C6E" w:rsidRPr="00282B62" w:rsidRDefault="008546FF" w:rsidP="00B86A01">
    <w:pPr>
      <w:pStyle w:val="Nosaukums"/>
      <w:jc w:val="both"/>
      <w:outlineLvl w:val="0"/>
      <w:rPr>
        <w:iCs/>
        <w:sz w:val="20"/>
        <w:szCs w:val="20"/>
        <w:lang w:val="lv-LV"/>
      </w:rPr>
    </w:pPr>
    <w:r>
      <w:rPr>
        <w:iCs/>
        <w:sz w:val="20"/>
        <w:szCs w:val="20"/>
        <w:lang w:val="lv-LV"/>
      </w:rPr>
      <w:t>TMzin_0</w:t>
    </w:r>
    <w:r w:rsidR="008E5D17">
      <w:rPr>
        <w:iCs/>
        <w:sz w:val="20"/>
        <w:szCs w:val="20"/>
        <w:lang w:val="lv-LV"/>
      </w:rPr>
      <w:t>8</w:t>
    </w:r>
    <w:r>
      <w:rPr>
        <w:iCs/>
        <w:sz w:val="20"/>
        <w:szCs w:val="20"/>
        <w:lang w:val="lv-LV"/>
      </w:rPr>
      <w:t>0321_video_JHA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8EC8" w14:textId="77777777" w:rsidR="00285696" w:rsidRDefault="00285696" w:rsidP="00C5761C">
      <w:r>
        <w:separator/>
      </w:r>
    </w:p>
  </w:footnote>
  <w:footnote w:type="continuationSeparator" w:id="0">
    <w:p w14:paraId="02BBA83A" w14:textId="77777777" w:rsidR="00285696" w:rsidRDefault="00285696" w:rsidP="00C5761C">
      <w:r>
        <w:continuationSeparator/>
      </w:r>
    </w:p>
  </w:footnote>
  <w:footnote w:id="1">
    <w:p w14:paraId="11F00210" w14:textId="5049A0AF" w:rsidR="005F53E0" w:rsidRPr="000747E6" w:rsidRDefault="005F53E0" w:rsidP="00BB2A37">
      <w:pPr>
        <w:pStyle w:val="Vresteksts"/>
        <w:jc w:val="both"/>
        <w:rPr>
          <w:lang w:val="lv-LV"/>
        </w:rPr>
      </w:pPr>
      <w:r>
        <w:rPr>
          <w:rStyle w:val="Vresatsauce"/>
        </w:rPr>
        <w:footnoteRef/>
      </w:r>
      <w:r>
        <w:t xml:space="preserve"> </w:t>
      </w:r>
      <w:r>
        <w:rPr>
          <w:lang w:val="lv-LV"/>
        </w:rPr>
        <w:t>Tieslietu ministrijas, Iekšlietu ministrijas</w:t>
      </w:r>
      <w:r w:rsidR="00BB2A37">
        <w:rPr>
          <w:lang w:val="lv-LV"/>
        </w:rPr>
        <w:t>,</w:t>
      </w:r>
      <w:r>
        <w:rPr>
          <w:lang w:val="lv-LV"/>
        </w:rPr>
        <w:t xml:space="preserve"> Satiksmes ministrijas </w:t>
      </w:r>
      <w:r w:rsidR="00BB2A37">
        <w:rPr>
          <w:lang w:val="lv-LV"/>
        </w:rPr>
        <w:t xml:space="preserve">un Aizsardzības ministrijas </w:t>
      </w:r>
      <w:r>
        <w:rPr>
          <w:lang w:val="lv-LV"/>
        </w:rPr>
        <w:t>kompetences jautājums</w:t>
      </w:r>
    </w:p>
  </w:footnote>
  <w:footnote w:id="2">
    <w:p w14:paraId="3F8BD948" w14:textId="1BF0E2EC" w:rsidR="005F53E0" w:rsidRPr="00986471" w:rsidRDefault="005F53E0" w:rsidP="0072442E">
      <w:pPr>
        <w:pStyle w:val="Textodenotaderodap1"/>
        <w:rPr>
          <w:rFonts w:ascii="Times New Roman" w:hAnsi="Times New Roman" w:cs="Times New Roman"/>
          <w:sz w:val="24"/>
          <w:szCs w:val="24"/>
        </w:rPr>
      </w:pPr>
      <w:r w:rsidRPr="00986471">
        <w:rPr>
          <w:rStyle w:val="Vresatsauce"/>
          <w:lang w:val="lv"/>
        </w:rPr>
        <w:footnoteRef/>
      </w:r>
      <w:r w:rsidRPr="0047509B">
        <w:rPr>
          <w:rFonts w:ascii="Times New Roman" w:hAnsi="Times New Roman" w:cs="Times New Roman"/>
          <w:color w:val="0D0D0D" w:themeColor="text1" w:themeTint="F2"/>
          <w:lang w:val="lv"/>
        </w:rPr>
        <w:t xml:space="preserve">Eiropas Parlamenta un Padomes </w:t>
      </w:r>
      <w:r w:rsidR="008546FF" w:rsidRPr="0047509B">
        <w:rPr>
          <w:rFonts w:ascii="Times New Roman" w:hAnsi="Times New Roman" w:cs="Times New Roman"/>
          <w:color w:val="0D0D0D" w:themeColor="text1" w:themeTint="F2"/>
          <w:lang w:val="lv"/>
        </w:rPr>
        <w:t xml:space="preserve">2006. gada 15. marta </w:t>
      </w:r>
      <w:r w:rsidRPr="0047509B">
        <w:rPr>
          <w:rFonts w:ascii="Times New Roman" w:hAnsi="Times New Roman" w:cs="Times New Roman"/>
          <w:color w:val="0D0D0D" w:themeColor="text1" w:themeTint="F2"/>
          <w:lang w:val="lv"/>
        </w:rPr>
        <w:t xml:space="preserve">Direktīva 2006/24/EK </w:t>
      </w:r>
      <w:r w:rsidR="0072442E" w:rsidRPr="0047509B">
        <w:rPr>
          <w:rFonts w:ascii="Times New Roman" w:hAnsi="Times New Roman" w:cs="Times New Roman"/>
          <w:color w:val="0D0D0D" w:themeColor="text1" w:themeTint="F2"/>
          <w:shd w:val="clear" w:color="auto" w:fill="FFFFFF"/>
        </w:rPr>
        <w:t xml:space="preserve">par </w:t>
      </w:r>
      <w:proofErr w:type="spellStart"/>
      <w:r w:rsidR="0072442E" w:rsidRPr="0047509B">
        <w:rPr>
          <w:rFonts w:ascii="Times New Roman" w:hAnsi="Times New Roman" w:cs="Times New Roman"/>
          <w:color w:val="0D0D0D" w:themeColor="text1" w:themeTint="F2"/>
          <w:shd w:val="clear" w:color="auto" w:fill="FFFFFF"/>
        </w:rPr>
        <w:t>tādu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datu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saglabāšanu</w:t>
      </w:r>
      <w:proofErr w:type="spellEnd"/>
      <w:r w:rsidR="0072442E" w:rsidRPr="0047509B">
        <w:rPr>
          <w:rFonts w:ascii="Times New Roman" w:hAnsi="Times New Roman" w:cs="Times New Roman"/>
          <w:color w:val="0D0D0D" w:themeColor="text1" w:themeTint="F2"/>
          <w:shd w:val="clear" w:color="auto" w:fill="FFFFFF"/>
        </w:rPr>
        <w:t xml:space="preserve">, kurus </w:t>
      </w:r>
      <w:proofErr w:type="spellStart"/>
      <w:r w:rsidR="0072442E" w:rsidRPr="0047509B">
        <w:rPr>
          <w:rFonts w:ascii="Times New Roman" w:hAnsi="Times New Roman" w:cs="Times New Roman"/>
          <w:color w:val="0D0D0D" w:themeColor="text1" w:themeTint="F2"/>
          <w:shd w:val="clear" w:color="auto" w:fill="FFFFFF"/>
        </w:rPr>
        <w:t>iegūst</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vai</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apstrādā</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saistībā</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ar</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publiski</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pieejamu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elektronisko</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komunikāciju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pakalpojumu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sniegšanu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vai</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publiski</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pieejamu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komunikāciju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tīklu</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nodrošināšanu</w:t>
      </w:r>
      <w:proofErr w:type="spellEnd"/>
      <w:r w:rsidR="0072442E" w:rsidRPr="0047509B">
        <w:rPr>
          <w:rFonts w:ascii="Times New Roman" w:hAnsi="Times New Roman" w:cs="Times New Roman"/>
          <w:color w:val="0D0D0D" w:themeColor="text1" w:themeTint="F2"/>
          <w:shd w:val="clear" w:color="auto" w:fill="FFFFFF"/>
        </w:rPr>
        <w:t xml:space="preserve">, un par </w:t>
      </w:r>
      <w:proofErr w:type="spellStart"/>
      <w:r w:rsidR="0072442E" w:rsidRPr="0047509B">
        <w:rPr>
          <w:rFonts w:ascii="Times New Roman" w:hAnsi="Times New Roman" w:cs="Times New Roman"/>
          <w:color w:val="0D0D0D" w:themeColor="text1" w:themeTint="F2"/>
          <w:shd w:val="clear" w:color="auto" w:fill="FFFFFF"/>
        </w:rPr>
        <w:t>grozījumiem</w:t>
      </w:r>
      <w:proofErr w:type="spellEnd"/>
      <w:r w:rsidR="0072442E" w:rsidRPr="0047509B">
        <w:rPr>
          <w:rFonts w:ascii="Times New Roman" w:hAnsi="Times New Roman" w:cs="Times New Roman"/>
          <w:color w:val="0D0D0D" w:themeColor="text1" w:themeTint="F2"/>
          <w:shd w:val="clear" w:color="auto" w:fill="FFFFFF"/>
        </w:rPr>
        <w:t xml:space="preserve"> </w:t>
      </w:r>
      <w:proofErr w:type="spellStart"/>
      <w:r w:rsidR="0072442E" w:rsidRPr="0047509B">
        <w:rPr>
          <w:rFonts w:ascii="Times New Roman" w:hAnsi="Times New Roman" w:cs="Times New Roman"/>
          <w:color w:val="0D0D0D" w:themeColor="text1" w:themeTint="F2"/>
          <w:shd w:val="clear" w:color="auto" w:fill="FFFFFF"/>
        </w:rPr>
        <w:t>Direktīvā</w:t>
      </w:r>
      <w:proofErr w:type="spellEnd"/>
      <w:r w:rsidR="0072442E" w:rsidRPr="0047509B">
        <w:rPr>
          <w:rFonts w:ascii="Times New Roman" w:hAnsi="Times New Roman" w:cs="Times New Roman"/>
          <w:color w:val="0D0D0D" w:themeColor="text1" w:themeTint="F2"/>
          <w:shd w:val="clear" w:color="auto" w:fill="FFFFFF"/>
        </w:rPr>
        <w:t> 2002/58/EK</w:t>
      </w:r>
      <w:r w:rsidRPr="0072442E">
        <w:rPr>
          <w:rFonts w:ascii="Times New Roman" w:hAnsi="Times New Roman" w:cs="Times New Roman"/>
          <w:color w:val="auto"/>
          <w:lang w:val="lv"/>
        </w:rPr>
        <w:t>.</w:t>
      </w:r>
    </w:p>
  </w:footnote>
  <w:footnote w:id="3">
    <w:p w14:paraId="5897F3AA" w14:textId="1645C916" w:rsidR="004F7F75" w:rsidRPr="002048E4" w:rsidRDefault="004F7F75">
      <w:pPr>
        <w:pStyle w:val="Vresteksts"/>
        <w:rPr>
          <w:lang w:val="lv-LV"/>
        </w:rPr>
      </w:pPr>
      <w:r>
        <w:rPr>
          <w:rStyle w:val="Vresatsauce"/>
        </w:rPr>
        <w:footnoteRef/>
      </w:r>
      <w:r>
        <w:t xml:space="preserve"> </w:t>
      </w:r>
      <w:r w:rsidR="00DE1057">
        <w:rPr>
          <w:lang w:val="en-GB"/>
        </w:rPr>
        <w:t>EST</w:t>
      </w:r>
      <w:r w:rsidR="00DE1057" w:rsidRPr="00A01A56">
        <w:t xml:space="preserve"> </w:t>
      </w:r>
      <w:r w:rsidRPr="00A01A56">
        <w:t>2020.</w:t>
      </w:r>
      <w:r w:rsidR="008546FF">
        <w:rPr>
          <w:lang w:val="en-GB"/>
        </w:rPr>
        <w:t> </w:t>
      </w:r>
      <w:r w:rsidRPr="00A01A56">
        <w:t>gada 6.</w:t>
      </w:r>
      <w:r w:rsidR="008546FF">
        <w:rPr>
          <w:lang w:val="en-GB"/>
        </w:rPr>
        <w:t> </w:t>
      </w:r>
      <w:r w:rsidRPr="00A01A56">
        <w:t xml:space="preserve">oktobra spriedums apvienotajās lietās C-511/18, C-512/18 un C-520/18 </w:t>
      </w:r>
      <w:r w:rsidRPr="00A01A56">
        <w:rPr>
          <w:i/>
          <w:iCs/>
        </w:rPr>
        <w:t>La Quadrature du Net un citi</w:t>
      </w:r>
      <w:r w:rsidRPr="00A01A56">
        <w:t>, ECLI:EU:C:2020:791</w:t>
      </w:r>
    </w:p>
  </w:footnote>
  <w:footnote w:id="4">
    <w:p w14:paraId="731B8535" w14:textId="486B0BA1" w:rsidR="005F53E0" w:rsidRPr="00911DF2" w:rsidRDefault="005F53E0" w:rsidP="005F53E0">
      <w:pPr>
        <w:pStyle w:val="Vresteksts"/>
      </w:pPr>
      <w:r>
        <w:rPr>
          <w:rStyle w:val="Vresatsauce"/>
          <w:lang w:val="lv"/>
        </w:rPr>
        <w:footnoteRef/>
      </w:r>
      <w:r w:rsidRPr="00911DF2">
        <w:rPr>
          <w:lang w:val="lv"/>
        </w:rPr>
        <w:t>2020.</w:t>
      </w:r>
      <w:r w:rsidR="008546FF">
        <w:rPr>
          <w:lang w:val="lv"/>
        </w:rPr>
        <w:t> </w:t>
      </w:r>
      <w:r w:rsidRPr="00911DF2">
        <w:rPr>
          <w:lang w:val="lv"/>
        </w:rPr>
        <w:t>gada 6.</w:t>
      </w:r>
      <w:r w:rsidR="008546FF">
        <w:rPr>
          <w:lang w:val="lv"/>
        </w:rPr>
        <w:t> </w:t>
      </w:r>
      <w:r w:rsidRPr="00911DF2">
        <w:rPr>
          <w:lang w:val="lv"/>
        </w:rPr>
        <w:t>oktobra spriedumi (apvienotās lietas C-511/18, C-512/18 un C-520/18; un lieta C-623/17).</w:t>
      </w:r>
    </w:p>
  </w:footnote>
  <w:footnote w:id="5">
    <w:p w14:paraId="70392933" w14:textId="77777777" w:rsidR="00F26EB2" w:rsidRPr="0087423D" w:rsidRDefault="00F26EB2" w:rsidP="00F26EB2">
      <w:pPr>
        <w:pStyle w:val="Vresteksts"/>
        <w:rPr>
          <w:lang w:val="lv-LV"/>
        </w:rPr>
      </w:pPr>
      <w:r>
        <w:rPr>
          <w:rStyle w:val="Vresatsauce"/>
        </w:rPr>
        <w:footnoteRef/>
      </w:r>
      <w:r>
        <w:t xml:space="preserve"> </w:t>
      </w:r>
      <w:r w:rsidRPr="0087423D">
        <w:t>https://eur-lex.europa.eu/legal-content/LV/TXT/PDF/?uri=CELEX:12016P/TXT&amp;from=ES</w:t>
      </w:r>
    </w:p>
  </w:footnote>
  <w:footnote w:id="6">
    <w:p w14:paraId="5BEE7BF1" w14:textId="77777777" w:rsidR="00F26EB2" w:rsidRPr="00335B84" w:rsidRDefault="00F26EB2" w:rsidP="00F26EB2">
      <w:pPr>
        <w:pStyle w:val="Vresteksts"/>
        <w:rPr>
          <w:lang w:val="lv-LV"/>
        </w:rPr>
      </w:pPr>
      <w:r>
        <w:rPr>
          <w:rStyle w:val="Vresatsauce"/>
        </w:rPr>
        <w:footnoteRef/>
      </w:r>
      <w:r>
        <w:t xml:space="preserve"> </w:t>
      </w:r>
      <w:r w:rsidRPr="00335B84">
        <w:t>https://eur-lex.europa.eu/LexUriServ/LexUriServ.do?uri=COM:2020:0711:FIN:LV:PDF</w:t>
      </w:r>
    </w:p>
  </w:footnote>
  <w:footnote w:id="7">
    <w:p w14:paraId="20ED5A23" w14:textId="1C76D4BE" w:rsidR="004969BF" w:rsidRPr="004969BF" w:rsidRDefault="004969BF">
      <w:pPr>
        <w:pStyle w:val="Vresteksts"/>
        <w:rPr>
          <w:lang w:val="lv-LV"/>
        </w:rPr>
      </w:pPr>
      <w:r>
        <w:rPr>
          <w:rStyle w:val="Vresatsauce"/>
        </w:rPr>
        <w:footnoteRef/>
      </w:r>
      <w:r>
        <w:t xml:space="preserve"> </w:t>
      </w:r>
      <w:hyperlink r:id="rId1" w:history="1">
        <w:r w:rsidRPr="00AC6855">
          <w:rPr>
            <w:rStyle w:val="Hipersaite"/>
          </w:rPr>
          <w:t>https://eur-lex.europa.eu/LexUriServ/LexUriServ.do?uri=COM:2020:0713:FIN:LV:PDF</w:t>
        </w:r>
      </w:hyperlink>
      <w:r>
        <w:rPr>
          <w:lang w:val="lv-LV"/>
        </w:rPr>
        <w:t xml:space="preserve"> </w:t>
      </w:r>
    </w:p>
  </w:footnote>
  <w:footnote w:id="8">
    <w:p w14:paraId="3DB3D75F" w14:textId="07D15A36" w:rsidR="008B473D" w:rsidRPr="007D1684" w:rsidRDefault="008B473D" w:rsidP="002E5A35">
      <w:pPr>
        <w:pStyle w:val="Vresteksts"/>
        <w:jc w:val="both"/>
        <w:rPr>
          <w:lang w:val="lv-LV"/>
        </w:rPr>
      </w:pPr>
      <w:r>
        <w:rPr>
          <w:rStyle w:val="Vresatsauce"/>
        </w:rPr>
        <w:footnoteRef/>
      </w:r>
      <w:r>
        <w:t xml:space="preserve"> EPPO izveidē piedalās 22 ES </w:t>
      </w:r>
      <w:r w:rsidR="003039BD">
        <w:rPr>
          <w:lang w:val="lv-LV"/>
        </w:rPr>
        <w:t>dalībvalstis</w:t>
      </w:r>
      <w:r>
        <w:t xml:space="preserve"> – </w:t>
      </w:r>
      <w:r w:rsidR="003039BD">
        <w:rPr>
          <w:lang w:val="lv-LV"/>
        </w:rPr>
        <w:t xml:space="preserve">Austrija, Beļģija, Bulgārija, Ungārija, Kipra, Čehija, Igaunija, Somija, Francija, Vācija, Grieķija, Itālija, Latvija, Lietuva, Luksemburga, </w:t>
      </w:r>
      <w:r w:rsidR="003039BD">
        <w:rPr>
          <w:bCs/>
          <w:lang w:val="lv-LV"/>
        </w:rPr>
        <w:t>Malta, Nīderlande, Portugāle Rumānija, Slovākija, Slovēnija, Spānija</w:t>
      </w:r>
      <w:r>
        <w:rPr>
          <w:bCs/>
        </w:rPr>
        <w:t>.</w:t>
      </w:r>
    </w:p>
  </w:footnote>
  <w:footnote w:id="9">
    <w:p w14:paraId="7F3566DF" w14:textId="3A31E2A0" w:rsidR="00404DDF" w:rsidRPr="00404DDF" w:rsidRDefault="00404DDF" w:rsidP="00404DDF">
      <w:pPr>
        <w:pStyle w:val="Vresteksts"/>
        <w:jc w:val="both"/>
        <w:rPr>
          <w:lang w:val="lv-LV"/>
        </w:rPr>
      </w:pPr>
      <w:r w:rsidRPr="00404DDF">
        <w:rPr>
          <w:rStyle w:val="Vresatsauce"/>
          <w:color w:val="0D0D0D" w:themeColor="text1" w:themeTint="F2"/>
        </w:rPr>
        <w:footnoteRef/>
      </w:r>
      <w:r w:rsidRPr="00404DDF">
        <w:rPr>
          <w:color w:val="0D0D0D" w:themeColor="text1" w:themeTint="F2"/>
        </w:rPr>
        <w:t xml:space="preserve"> Padomes 2017.</w:t>
      </w:r>
      <w:r w:rsidR="008546FF">
        <w:rPr>
          <w:color w:val="0D0D0D" w:themeColor="text1" w:themeTint="F2"/>
          <w:lang w:val="en-GB"/>
        </w:rPr>
        <w:t> </w:t>
      </w:r>
      <w:r w:rsidRPr="00404DDF">
        <w:rPr>
          <w:color w:val="0D0D0D" w:themeColor="text1" w:themeTint="F2"/>
        </w:rPr>
        <w:t>gada 12.</w:t>
      </w:r>
      <w:r w:rsidR="008546FF">
        <w:rPr>
          <w:color w:val="0D0D0D" w:themeColor="text1" w:themeTint="F2"/>
          <w:lang w:val="en-GB"/>
        </w:rPr>
        <w:t> </w:t>
      </w:r>
      <w:r w:rsidRPr="00404DDF">
        <w:rPr>
          <w:color w:val="0D0D0D" w:themeColor="text1" w:themeTint="F2"/>
        </w:rPr>
        <w:t>oktobr</w:t>
      </w:r>
      <w:r>
        <w:rPr>
          <w:color w:val="0D0D0D" w:themeColor="text1" w:themeTint="F2"/>
          <w:lang w:val="lv-LV"/>
        </w:rPr>
        <w:t>a</w:t>
      </w:r>
      <w:r w:rsidRPr="00404DDF">
        <w:rPr>
          <w:color w:val="0D0D0D" w:themeColor="text1" w:themeTint="F2"/>
        </w:rPr>
        <w:t xml:space="preserve"> Regula (ES) 2017/1939, ar ko īsteno ciešāku sadarbību Eiropas Prokuratūras (EPPO) izveidei</w:t>
      </w:r>
    </w:p>
  </w:footnote>
  <w:footnote w:id="10">
    <w:p w14:paraId="6972C21E" w14:textId="77777777" w:rsidR="00404DDF" w:rsidRDefault="00404DDF" w:rsidP="00404DDF">
      <w:pPr>
        <w:pStyle w:val="Vresteksts"/>
      </w:pPr>
      <w:r>
        <w:rPr>
          <w:rStyle w:val="Vresatsauce"/>
        </w:rPr>
        <w:footnoteRef/>
      </w:r>
      <w:r>
        <w:t xml:space="preserve"> </w:t>
      </w:r>
      <w:hyperlink r:id="rId2" w:history="1">
        <w:r w:rsidRPr="005D114F">
          <w:rPr>
            <w:rStyle w:val="Hipersaite"/>
          </w:rPr>
          <w:t>https://likumi.lv/ta/id/320345-grozijumi-kriminalprocesa-likuma</w:t>
        </w:r>
      </w:hyperlink>
      <w:r>
        <w:t xml:space="preserve"> </w:t>
      </w:r>
    </w:p>
  </w:footnote>
  <w:footnote w:id="11">
    <w:p w14:paraId="728DDFEC" w14:textId="77777777" w:rsidR="00404DDF" w:rsidRDefault="00404DDF" w:rsidP="00404DDF">
      <w:pPr>
        <w:pStyle w:val="Vresteksts"/>
      </w:pPr>
      <w:r>
        <w:rPr>
          <w:rStyle w:val="Vresatsauce"/>
        </w:rPr>
        <w:footnoteRef/>
      </w:r>
      <w:r>
        <w:t xml:space="preserve"> </w:t>
      </w:r>
      <w:hyperlink r:id="rId3" w:history="1">
        <w:r w:rsidRPr="005D114F">
          <w:rPr>
            <w:rStyle w:val="Hipersaite"/>
          </w:rPr>
          <w:t>https://likumi.lv/ta/id/311380-grozijumi-prokuraturas-likuma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01FE3" w:rsidR="00901FE3" w:rsidP="00901FE3" w:rsidRDefault="00901FE3" w14:paraId="32D185B2" w14:textId="19D56834">
    <w:pPr>
      <w:pStyle w:val="Galvene"/>
      <w:jc w:val="cent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46416"/>
      <w:docPartObj>
        <w:docPartGallery w:val="Page Numbers (Top of Page)"/>
        <w:docPartUnique/>
      </w:docPartObj>
    </w:sdtPr>
    <w:sdtEndPr/>
    <w:sdtContent>
      <w:p w:rsidR="00D37C6E" w:rsidP="008546FF" w:rsidRDefault="00CD2AFC" w14:paraId="6F56534A" w14:textId="708612D5">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D6A4604"/>
    <w:multiLevelType w:val="hybridMultilevel"/>
    <w:tmpl w:val="AAB68D76"/>
    <w:lvl w:ilvl="0" w:tplc="4734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678F5"/>
    <w:multiLevelType w:val="hybridMultilevel"/>
    <w:tmpl w:val="C3983B72"/>
    <w:lvl w:ilvl="0" w:tplc="FF8EB79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7E266D"/>
    <w:multiLevelType w:val="hybridMultilevel"/>
    <w:tmpl w:val="85B04A70"/>
    <w:lvl w:ilvl="0" w:tplc="3864CD7C">
      <w:start w:val="1"/>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8"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0" w15:restartNumberingAfterBreak="0">
    <w:nsid w:val="48774FED"/>
    <w:multiLevelType w:val="hybridMultilevel"/>
    <w:tmpl w:val="D46A6C28"/>
    <w:lvl w:ilvl="0" w:tplc="B2F4AF5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A35A7"/>
    <w:multiLevelType w:val="hybridMultilevel"/>
    <w:tmpl w:val="1C5E8CDE"/>
    <w:lvl w:ilvl="0" w:tplc="8C949630">
      <w:start w:val="1"/>
      <w:numFmt w:val="lowerLetter"/>
      <w:lvlText w:val="%1)"/>
      <w:lvlJc w:val="left"/>
      <w:pPr>
        <w:ind w:left="720" w:hanging="360"/>
      </w:pPr>
      <w:rPr>
        <w:rFonts w:ascii="Times New Roman" w:eastAsia="Times New Roman" w:hAnsi="Times New Roman" w:cs="Times New Roman"/>
        <w:b w:val="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3075D8"/>
    <w:multiLevelType w:val="hybridMultilevel"/>
    <w:tmpl w:val="86061120"/>
    <w:lvl w:ilvl="0" w:tplc="BCB29DE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3B1D05"/>
    <w:multiLevelType w:val="hybridMultilevel"/>
    <w:tmpl w:val="207EDC52"/>
    <w:lvl w:ilvl="0" w:tplc="9BA0B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2E06601"/>
    <w:multiLevelType w:val="hybridMultilevel"/>
    <w:tmpl w:val="3E5A86B4"/>
    <w:lvl w:ilvl="0" w:tplc="1E642DBA">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2"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33" w15:restartNumberingAfterBreak="0">
    <w:nsid w:val="6C652C79"/>
    <w:multiLevelType w:val="hybridMultilevel"/>
    <w:tmpl w:val="EA98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3B3557"/>
    <w:multiLevelType w:val="hybridMultilevel"/>
    <w:tmpl w:val="F5D2F930"/>
    <w:lvl w:ilvl="0" w:tplc="DB3294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16E65FC"/>
    <w:multiLevelType w:val="hybridMultilevel"/>
    <w:tmpl w:val="589016DC"/>
    <w:lvl w:ilvl="0" w:tplc="98709A6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7" w15:restartNumberingAfterBreak="0">
    <w:nsid w:val="77210704"/>
    <w:multiLevelType w:val="hybridMultilevel"/>
    <w:tmpl w:val="BE64BC26"/>
    <w:lvl w:ilvl="0" w:tplc="694883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787CC8"/>
    <w:multiLevelType w:val="multilevel"/>
    <w:tmpl w:val="BD7A9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5"/>
  </w:num>
  <w:num w:numId="2">
    <w:abstractNumId w:val="26"/>
  </w:num>
  <w:num w:numId="3">
    <w:abstractNumId w:val="14"/>
  </w:num>
  <w:num w:numId="4">
    <w:abstractNumId w:val="12"/>
  </w:num>
  <w:num w:numId="5">
    <w:abstractNumId w:val="7"/>
  </w:num>
  <w:num w:numId="6">
    <w:abstractNumId w:val="30"/>
  </w:num>
  <w:num w:numId="7">
    <w:abstractNumId w:val="3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39"/>
  </w:num>
  <w:num w:numId="12">
    <w:abstractNumId w:val="31"/>
  </w:num>
  <w:num w:numId="13">
    <w:abstractNumId w:val="8"/>
  </w:num>
  <w:num w:numId="14">
    <w:abstractNumId w:val="19"/>
  </w:num>
  <w:num w:numId="15">
    <w:abstractNumId w:val="17"/>
  </w:num>
  <w:num w:numId="16">
    <w:abstractNumId w:val="1"/>
  </w:num>
  <w:num w:numId="17">
    <w:abstractNumId w:val="15"/>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2"/>
  </w:num>
  <w:num w:numId="22">
    <w:abstractNumId w:val="2"/>
  </w:num>
  <w:num w:numId="23">
    <w:abstractNumId w:val="9"/>
  </w:num>
  <w:num w:numId="24">
    <w:abstractNumId w:val="18"/>
  </w:num>
  <w:num w:numId="25">
    <w:abstractNumId w:val="27"/>
  </w:num>
  <w:num w:numId="26">
    <w:abstractNumId w:val="6"/>
  </w:num>
  <w:num w:numId="27">
    <w:abstractNumId w:val="0"/>
  </w:num>
  <w:num w:numId="28">
    <w:abstractNumId w:val="13"/>
  </w:num>
  <w:num w:numId="29">
    <w:abstractNumId w:val="5"/>
  </w:num>
  <w:num w:numId="30">
    <w:abstractNumId w:val="33"/>
  </w:num>
  <w:num w:numId="31">
    <w:abstractNumId w:val="16"/>
  </w:num>
  <w:num w:numId="32">
    <w:abstractNumId w:val="11"/>
  </w:num>
  <w:num w:numId="33">
    <w:abstractNumId w:val="4"/>
  </w:num>
  <w:num w:numId="34">
    <w:abstractNumId w:val="34"/>
  </w:num>
  <w:num w:numId="35">
    <w:abstractNumId w:val="3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2"/>
  </w:num>
  <w:num w:numId="39">
    <w:abstractNumId w:val="23"/>
  </w:num>
  <w:num w:numId="40">
    <w:abstractNumId w:val="24"/>
  </w:num>
  <w:num w:numId="41">
    <w:abstractNumId w:val="37"/>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5B3"/>
    <w:rsid w:val="0000068E"/>
    <w:rsid w:val="00001C4B"/>
    <w:rsid w:val="00002CAF"/>
    <w:rsid w:val="00003255"/>
    <w:rsid w:val="00004110"/>
    <w:rsid w:val="00004A5B"/>
    <w:rsid w:val="00006D4B"/>
    <w:rsid w:val="00006DA5"/>
    <w:rsid w:val="0000707A"/>
    <w:rsid w:val="00007818"/>
    <w:rsid w:val="00007902"/>
    <w:rsid w:val="00007929"/>
    <w:rsid w:val="00010695"/>
    <w:rsid w:val="00010754"/>
    <w:rsid w:val="000108C7"/>
    <w:rsid w:val="00012E3E"/>
    <w:rsid w:val="000131FF"/>
    <w:rsid w:val="0001381E"/>
    <w:rsid w:val="00014195"/>
    <w:rsid w:val="00015758"/>
    <w:rsid w:val="00015B5F"/>
    <w:rsid w:val="00015DF6"/>
    <w:rsid w:val="00017DED"/>
    <w:rsid w:val="00020926"/>
    <w:rsid w:val="00021415"/>
    <w:rsid w:val="00023877"/>
    <w:rsid w:val="00023F8C"/>
    <w:rsid w:val="00024EB2"/>
    <w:rsid w:val="00025E0B"/>
    <w:rsid w:val="0002649F"/>
    <w:rsid w:val="0002745D"/>
    <w:rsid w:val="00027755"/>
    <w:rsid w:val="00031902"/>
    <w:rsid w:val="00032518"/>
    <w:rsid w:val="00032F42"/>
    <w:rsid w:val="0003328F"/>
    <w:rsid w:val="00033DB3"/>
    <w:rsid w:val="000344F8"/>
    <w:rsid w:val="0003452F"/>
    <w:rsid w:val="00035EEB"/>
    <w:rsid w:val="00037134"/>
    <w:rsid w:val="00037138"/>
    <w:rsid w:val="00037A29"/>
    <w:rsid w:val="00040A43"/>
    <w:rsid w:val="000413E5"/>
    <w:rsid w:val="0004174C"/>
    <w:rsid w:val="00042A84"/>
    <w:rsid w:val="0004578F"/>
    <w:rsid w:val="00046D03"/>
    <w:rsid w:val="00047470"/>
    <w:rsid w:val="000476CE"/>
    <w:rsid w:val="000500DC"/>
    <w:rsid w:val="000509EC"/>
    <w:rsid w:val="00051AF7"/>
    <w:rsid w:val="00054B84"/>
    <w:rsid w:val="00055757"/>
    <w:rsid w:val="000569E7"/>
    <w:rsid w:val="00057DDC"/>
    <w:rsid w:val="000600A3"/>
    <w:rsid w:val="00061267"/>
    <w:rsid w:val="0006216D"/>
    <w:rsid w:val="00062861"/>
    <w:rsid w:val="0006290B"/>
    <w:rsid w:val="0006361B"/>
    <w:rsid w:val="000643AF"/>
    <w:rsid w:val="00065FC0"/>
    <w:rsid w:val="00066431"/>
    <w:rsid w:val="00066F49"/>
    <w:rsid w:val="000674A9"/>
    <w:rsid w:val="0006782A"/>
    <w:rsid w:val="0007032D"/>
    <w:rsid w:val="00070AE3"/>
    <w:rsid w:val="00070C36"/>
    <w:rsid w:val="00071AAA"/>
    <w:rsid w:val="0007232A"/>
    <w:rsid w:val="000726B6"/>
    <w:rsid w:val="0007321B"/>
    <w:rsid w:val="000738E5"/>
    <w:rsid w:val="00074409"/>
    <w:rsid w:val="00074716"/>
    <w:rsid w:val="000747E6"/>
    <w:rsid w:val="000753E3"/>
    <w:rsid w:val="00075C96"/>
    <w:rsid w:val="00075D5B"/>
    <w:rsid w:val="00076CA5"/>
    <w:rsid w:val="0007736B"/>
    <w:rsid w:val="00077F51"/>
    <w:rsid w:val="00080A94"/>
    <w:rsid w:val="00084709"/>
    <w:rsid w:val="000857A8"/>
    <w:rsid w:val="0008583F"/>
    <w:rsid w:val="00085B83"/>
    <w:rsid w:val="00085C4E"/>
    <w:rsid w:val="000860BF"/>
    <w:rsid w:val="000867B2"/>
    <w:rsid w:val="00086800"/>
    <w:rsid w:val="00086F78"/>
    <w:rsid w:val="000870E8"/>
    <w:rsid w:val="0008736B"/>
    <w:rsid w:val="00087450"/>
    <w:rsid w:val="00087709"/>
    <w:rsid w:val="00090634"/>
    <w:rsid w:val="000908F5"/>
    <w:rsid w:val="00090990"/>
    <w:rsid w:val="00090E9D"/>
    <w:rsid w:val="000923DA"/>
    <w:rsid w:val="00092759"/>
    <w:rsid w:val="00092D19"/>
    <w:rsid w:val="0009330C"/>
    <w:rsid w:val="00093B78"/>
    <w:rsid w:val="00094E08"/>
    <w:rsid w:val="00095A2E"/>
    <w:rsid w:val="00096003"/>
    <w:rsid w:val="00096118"/>
    <w:rsid w:val="00096AE3"/>
    <w:rsid w:val="00096EB4"/>
    <w:rsid w:val="000A005B"/>
    <w:rsid w:val="000A0E80"/>
    <w:rsid w:val="000A16AE"/>
    <w:rsid w:val="000A33E1"/>
    <w:rsid w:val="000A3D45"/>
    <w:rsid w:val="000A685A"/>
    <w:rsid w:val="000A6BD4"/>
    <w:rsid w:val="000A700A"/>
    <w:rsid w:val="000A7B2C"/>
    <w:rsid w:val="000A7E3C"/>
    <w:rsid w:val="000B0B17"/>
    <w:rsid w:val="000B0F89"/>
    <w:rsid w:val="000B2000"/>
    <w:rsid w:val="000B2647"/>
    <w:rsid w:val="000B2F8E"/>
    <w:rsid w:val="000B32DA"/>
    <w:rsid w:val="000B3AED"/>
    <w:rsid w:val="000B4DCB"/>
    <w:rsid w:val="000B5E76"/>
    <w:rsid w:val="000B6220"/>
    <w:rsid w:val="000B65C5"/>
    <w:rsid w:val="000B6AA8"/>
    <w:rsid w:val="000B7A4B"/>
    <w:rsid w:val="000C0DD9"/>
    <w:rsid w:val="000C1439"/>
    <w:rsid w:val="000C1BEC"/>
    <w:rsid w:val="000C2029"/>
    <w:rsid w:val="000C28B9"/>
    <w:rsid w:val="000D0172"/>
    <w:rsid w:val="000D0A7C"/>
    <w:rsid w:val="000D109A"/>
    <w:rsid w:val="000D12A3"/>
    <w:rsid w:val="000D187F"/>
    <w:rsid w:val="000D229C"/>
    <w:rsid w:val="000D22A9"/>
    <w:rsid w:val="000D2C40"/>
    <w:rsid w:val="000D34E6"/>
    <w:rsid w:val="000D3F19"/>
    <w:rsid w:val="000D4742"/>
    <w:rsid w:val="000D48A7"/>
    <w:rsid w:val="000D4C78"/>
    <w:rsid w:val="000D6124"/>
    <w:rsid w:val="000D79EF"/>
    <w:rsid w:val="000E04B8"/>
    <w:rsid w:val="000E06A3"/>
    <w:rsid w:val="000E0C41"/>
    <w:rsid w:val="000E1C12"/>
    <w:rsid w:val="000E1D49"/>
    <w:rsid w:val="000E2FB9"/>
    <w:rsid w:val="000E3223"/>
    <w:rsid w:val="000E33C0"/>
    <w:rsid w:val="000E34EC"/>
    <w:rsid w:val="000E3529"/>
    <w:rsid w:val="000E3F5A"/>
    <w:rsid w:val="000E4B45"/>
    <w:rsid w:val="000E7F92"/>
    <w:rsid w:val="000F0629"/>
    <w:rsid w:val="000F0752"/>
    <w:rsid w:val="000F0C3F"/>
    <w:rsid w:val="000F0ECB"/>
    <w:rsid w:val="000F0FF0"/>
    <w:rsid w:val="000F155E"/>
    <w:rsid w:val="000F1EFC"/>
    <w:rsid w:val="000F34EC"/>
    <w:rsid w:val="000F40B2"/>
    <w:rsid w:val="000F4E5D"/>
    <w:rsid w:val="000F5926"/>
    <w:rsid w:val="000F65A8"/>
    <w:rsid w:val="000F68FD"/>
    <w:rsid w:val="000F6DDC"/>
    <w:rsid w:val="000F720A"/>
    <w:rsid w:val="000F7233"/>
    <w:rsid w:val="000F7289"/>
    <w:rsid w:val="000F7359"/>
    <w:rsid w:val="000F7686"/>
    <w:rsid w:val="000F7AD6"/>
    <w:rsid w:val="0010078F"/>
    <w:rsid w:val="00100B90"/>
    <w:rsid w:val="00100BF2"/>
    <w:rsid w:val="00100D62"/>
    <w:rsid w:val="00101216"/>
    <w:rsid w:val="001012F2"/>
    <w:rsid w:val="00102B92"/>
    <w:rsid w:val="0010325F"/>
    <w:rsid w:val="00103663"/>
    <w:rsid w:val="00105647"/>
    <w:rsid w:val="00105870"/>
    <w:rsid w:val="0010640F"/>
    <w:rsid w:val="001076BE"/>
    <w:rsid w:val="00107CB7"/>
    <w:rsid w:val="00110672"/>
    <w:rsid w:val="00110897"/>
    <w:rsid w:val="00110EB7"/>
    <w:rsid w:val="0011189B"/>
    <w:rsid w:val="00111C92"/>
    <w:rsid w:val="00112CFA"/>
    <w:rsid w:val="001135CD"/>
    <w:rsid w:val="0011363F"/>
    <w:rsid w:val="00113FE2"/>
    <w:rsid w:val="0011584E"/>
    <w:rsid w:val="00115F9E"/>
    <w:rsid w:val="00116E75"/>
    <w:rsid w:val="001203FD"/>
    <w:rsid w:val="00122519"/>
    <w:rsid w:val="00122D77"/>
    <w:rsid w:val="001232F9"/>
    <w:rsid w:val="001233D3"/>
    <w:rsid w:val="0012409E"/>
    <w:rsid w:val="001240C0"/>
    <w:rsid w:val="00124EE1"/>
    <w:rsid w:val="0012608C"/>
    <w:rsid w:val="001268A2"/>
    <w:rsid w:val="00126D5C"/>
    <w:rsid w:val="00126F81"/>
    <w:rsid w:val="00130941"/>
    <w:rsid w:val="00131415"/>
    <w:rsid w:val="001324CF"/>
    <w:rsid w:val="0013295E"/>
    <w:rsid w:val="00133292"/>
    <w:rsid w:val="001333EA"/>
    <w:rsid w:val="00135D35"/>
    <w:rsid w:val="00136229"/>
    <w:rsid w:val="001362BF"/>
    <w:rsid w:val="001413E4"/>
    <w:rsid w:val="0014146D"/>
    <w:rsid w:val="00142D09"/>
    <w:rsid w:val="00142F54"/>
    <w:rsid w:val="0014312F"/>
    <w:rsid w:val="00144B19"/>
    <w:rsid w:val="0014646A"/>
    <w:rsid w:val="001474F5"/>
    <w:rsid w:val="00151020"/>
    <w:rsid w:val="0015182E"/>
    <w:rsid w:val="00151AB0"/>
    <w:rsid w:val="001539D3"/>
    <w:rsid w:val="00153D85"/>
    <w:rsid w:val="001544C0"/>
    <w:rsid w:val="00154CE9"/>
    <w:rsid w:val="00155390"/>
    <w:rsid w:val="00155686"/>
    <w:rsid w:val="001558EC"/>
    <w:rsid w:val="00156035"/>
    <w:rsid w:val="0015690C"/>
    <w:rsid w:val="00156B08"/>
    <w:rsid w:val="00156FE3"/>
    <w:rsid w:val="00160C5D"/>
    <w:rsid w:val="001621F1"/>
    <w:rsid w:val="00162ECA"/>
    <w:rsid w:val="00163142"/>
    <w:rsid w:val="001652E8"/>
    <w:rsid w:val="001655F2"/>
    <w:rsid w:val="0016702E"/>
    <w:rsid w:val="00167210"/>
    <w:rsid w:val="00167E09"/>
    <w:rsid w:val="001707D8"/>
    <w:rsid w:val="00170968"/>
    <w:rsid w:val="00170C91"/>
    <w:rsid w:val="00172F32"/>
    <w:rsid w:val="001741D9"/>
    <w:rsid w:val="001745D5"/>
    <w:rsid w:val="0017734A"/>
    <w:rsid w:val="00180808"/>
    <w:rsid w:val="00181116"/>
    <w:rsid w:val="00181EF3"/>
    <w:rsid w:val="00182376"/>
    <w:rsid w:val="00183081"/>
    <w:rsid w:val="00183A67"/>
    <w:rsid w:val="00184517"/>
    <w:rsid w:val="00185CBB"/>
    <w:rsid w:val="001861F7"/>
    <w:rsid w:val="00186DCC"/>
    <w:rsid w:val="00186FD8"/>
    <w:rsid w:val="001906A5"/>
    <w:rsid w:val="00190AC1"/>
    <w:rsid w:val="00190F2F"/>
    <w:rsid w:val="00191603"/>
    <w:rsid w:val="00191A1B"/>
    <w:rsid w:val="00194358"/>
    <w:rsid w:val="001A06B1"/>
    <w:rsid w:val="001A1AB7"/>
    <w:rsid w:val="001A63E5"/>
    <w:rsid w:val="001A67AE"/>
    <w:rsid w:val="001A7084"/>
    <w:rsid w:val="001A7B71"/>
    <w:rsid w:val="001B045A"/>
    <w:rsid w:val="001B0832"/>
    <w:rsid w:val="001B0884"/>
    <w:rsid w:val="001B0A2F"/>
    <w:rsid w:val="001B17B8"/>
    <w:rsid w:val="001B1FC2"/>
    <w:rsid w:val="001B2A77"/>
    <w:rsid w:val="001B2B80"/>
    <w:rsid w:val="001B397C"/>
    <w:rsid w:val="001B3D5E"/>
    <w:rsid w:val="001B445E"/>
    <w:rsid w:val="001B457F"/>
    <w:rsid w:val="001B5A8F"/>
    <w:rsid w:val="001B6019"/>
    <w:rsid w:val="001B7260"/>
    <w:rsid w:val="001C000C"/>
    <w:rsid w:val="001C0EBD"/>
    <w:rsid w:val="001C124C"/>
    <w:rsid w:val="001C2921"/>
    <w:rsid w:val="001C3222"/>
    <w:rsid w:val="001C331C"/>
    <w:rsid w:val="001C37DB"/>
    <w:rsid w:val="001C4714"/>
    <w:rsid w:val="001C5198"/>
    <w:rsid w:val="001C662A"/>
    <w:rsid w:val="001C7887"/>
    <w:rsid w:val="001C79FA"/>
    <w:rsid w:val="001D0FB7"/>
    <w:rsid w:val="001D3306"/>
    <w:rsid w:val="001D3363"/>
    <w:rsid w:val="001D357E"/>
    <w:rsid w:val="001D75A6"/>
    <w:rsid w:val="001E1461"/>
    <w:rsid w:val="001E2422"/>
    <w:rsid w:val="001E253E"/>
    <w:rsid w:val="001E4126"/>
    <w:rsid w:val="001E4E71"/>
    <w:rsid w:val="001E54B5"/>
    <w:rsid w:val="001E5C40"/>
    <w:rsid w:val="001E6302"/>
    <w:rsid w:val="001E6A3E"/>
    <w:rsid w:val="001E6AB7"/>
    <w:rsid w:val="001E6D1B"/>
    <w:rsid w:val="001E7D82"/>
    <w:rsid w:val="001F0024"/>
    <w:rsid w:val="001F0DB3"/>
    <w:rsid w:val="001F1F47"/>
    <w:rsid w:val="001F203E"/>
    <w:rsid w:val="001F2D6C"/>
    <w:rsid w:val="001F34C5"/>
    <w:rsid w:val="001F43F7"/>
    <w:rsid w:val="001F58EC"/>
    <w:rsid w:val="001F6D76"/>
    <w:rsid w:val="001F7840"/>
    <w:rsid w:val="001F7FCA"/>
    <w:rsid w:val="0020423D"/>
    <w:rsid w:val="002048E4"/>
    <w:rsid w:val="00204CE9"/>
    <w:rsid w:val="002057AC"/>
    <w:rsid w:val="00206DBE"/>
    <w:rsid w:val="00207092"/>
    <w:rsid w:val="00207FE8"/>
    <w:rsid w:val="00210A0E"/>
    <w:rsid w:val="002118BC"/>
    <w:rsid w:val="00212D33"/>
    <w:rsid w:val="002135DB"/>
    <w:rsid w:val="0021536C"/>
    <w:rsid w:val="002169FB"/>
    <w:rsid w:val="00216ADA"/>
    <w:rsid w:val="00216F95"/>
    <w:rsid w:val="00217443"/>
    <w:rsid w:val="002176B8"/>
    <w:rsid w:val="002176CD"/>
    <w:rsid w:val="002179EE"/>
    <w:rsid w:val="00217B17"/>
    <w:rsid w:val="00222BC7"/>
    <w:rsid w:val="00223CF2"/>
    <w:rsid w:val="00226557"/>
    <w:rsid w:val="002267D8"/>
    <w:rsid w:val="002276AB"/>
    <w:rsid w:val="002276DE"/>
    <w:rsid w:val="00230832"/>
    <w:rsid w:val="00230D7A"/>
    <w:rsid w:val="00231956"/>
    <w:rsid w:val="00231C0B"/>
    <w:rsid w:val="0023285E"/>
    <w:rsid w:val="002345CA"/>
    <w:rsid w:val="00235221"/>
    <w:rsid w:val="0023668B"/>
    <w:rsid w:val="0023693C"/>
    <w:rsid w:val="0023694A"/>
    <w:rsid w:val="002377BB"/>
    <w:rsid w:val="0024028A"/>
    <w:rsid w:val="0024111B"/>
    <w:rsid w:val="00241232"/>
    <w:rsid w:val="00242A91"/>
    <w:rsid w:val="00242C45"/>
    <w:rsid w:val="0024363B"/>
    <w:rsid w:val="00244E11"/>
    <w:rsid w:val="00245927"/>
    <w:rsid w:val="0024693A"/>
    <w:rsid w:val="002474AE"/>
    <w:rsid w:val="00247BB3"/>
    <w:rsid w:val="002505F3"/>
    <w:rsid w:val="00250BE0"/>
    <w:rsid w:val="00250EA0"/>
    <w:rsid w:val="002514F4"/>
    <w:rsid w:val="00251546"/>
    <w:rsid w:val="00251C96"/>
    <w:rsid w:val="002535B8"/>
    <w:rsid w:val="002539E1"/>
    <w:rsid w:val="00255E6C"/>
    <w:rsid w:val="0025625C"/>
    <w:rsid w:val="00256801"/>
    <w:rsid w:val="00257F13"/>
    <w:rsid w:val="00260380"/>
    <w:rsid w:val="0026149B"/>
    <w:rsid w:val="0026162E"/>
    <w:rsid w:val="00262683"/>
    <w:rsid w:val="00262CFF"/>
    <w:rsid w:val="00264002"/>
    <w:rsid w:val="002648F2"/>
    <w:rsid w:val="00264E40"/>
    <w:rsid w:val="002652A4"/>
    <w:rsid w:val="00265941"/>
    <w:rsid w:val="002662C6"/>
    <w:rsid w:val="00267FD9"/>
    <w:rsid w:val="0027077D"/>
    <w:rsid w:val="00270B6A"/>
    <w:rsid w:val="00270BED"/>
    <w:rsid w:val="00270E68"/>
    <w:rsid w:val="002736CD"/>
    <w:rsid w:val="00276B45"/>
    <w:rsid w:val="00276FAD"/>
    <w:rsid w:val="0027781B"/>
    <w:rsid w:val="00277E3B"/>
    <w:rsid w:val="00280581"/>
    <w:rsid w:val="00280662"/>
    <w:rsid w:val="002818DD"/>
    <w:rsid w:val="00282034"/>
    <w:rsid w:val="00282968"/>
    <w:rsid w:val="00282B62"/>
    <w:rsid w:val="00283FCA"/>
    <w:rsid w:val="00285271"/>
    <w:rsid w:val="00285696"/>
    <w:rsid w:val="00286B66"/>
    <w:rsid w:val="00290CEE"/>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7AF"/>
    <w:rsid w:val="002B1E59"/>
    <w:rsid w:val="002B1FA7"/>
    <w:rsid w:val="002B551D"/>
    <w:rsid w:val="002B5FFA"/>
    <w:rsid w:val="002B61C7"/>
    <w:rsid w:val="002B6F59"/>
    <w:rsid w:val="002C0CEE"/>
    <w:rsid w:val="002C0F6D"/>
    <w:rsid w:val="002C28CB"/>
    <w:rsid w:val="002C38D8"/>
    <w:rsid w:val="002C3EE8"/>
    <w:rsid w:val="002C404B"/>
    <w:rsid w:val="002C4680"/>
    <w:rsid w:val="002C4906"/>
    <w:rsid w:val="002C4993"/>
    <w:rsid w:val="002C4BE8"/>
    <w:rsid w:val="002C553E"/>
    <w:rsid w:val="002C5916"/>
    <w:rsid w:val="002C6A17"/>
    <w:rsid w:val="002C7434"/>
    <w:rsid w:val="002C7984"/>
    <w:rsid w:val="002D699A"/>
    <w:rsid w:val="002D6BF9"/>
    <w:rsid w:val="002D6C7A"/>
    <w:rsid w:val="002D7330"/>
    <w:rsid w:val="002D7F66"/>
    <w:rsid w:val="002E0116"/>
    <w:rsid w:val="002E075E"/>
    <w:rsid w:val="002E14C7"/>
    <w:rsid w:val="002E2A2C"/>
    <w:rsid w:val="002E3350"/>
    <w:rsid w:val="002E34D7"/>
    <w:rsid w:val="002E4920"/>
    <w:rsid w:val="002E4A2E"/>
    <w:rsid w:val="002E4C5A"/>
    <w:rsid w:val="002E599A"/>
    <w:rsid w:val="002E5A35"/>
    <w:rsid w:val="002E5C6B"/>
    <w:rsid w:val="002E60A7"/>
    <w:rsid w:val="002F1A1F"/>
    <w:rsid w:val="002F2AC7"/>
    <w:rsid w:val="002F5B13"/>
    <w:rsid w:val="002F5B2C"/>
    <w:rsid w:val="002F6573"/>
    <w:rsid w:val="002F7947"/>
    <w:rsid w:val="00300563"/>
    <w:rsid w:val="003007E3"/>
    <w:rsid w:val="00300D1D"/>
    <w:rsid w:val="00301C3C"/>
    <w:rsid w:val="003037EE"/>
    <w:rsid w:val="003039BD"/>
    <w:rsid w:val="00304324"/>
    <w:rsid w:val="0030741C"/>
    <w:rsid w:val="0030789C"/>
    <w:rsid w:val="00307ACC"/>
    <w:rsid w:val="0031025C"/>
    <w:rsid w:val="00311555"/>
    <w:rsid w:val="00311CBD"/>
    <w:rsid w:val="0031208A"/>
    <w:rsid w:val="003124C9"/>
    <w:rsid w:val="00312DFE"/>
    <w:rsid w:val="0031325E"/>
    <w:rsid w:val="00313C56"/>
    <w:rsid w:val="003159C7"/>
    <w:rsid w:val="00316112"/>
    <w:rsid w:val="00316230"/>
    <w:rsid w:val="00316D92"/>
    <w:rsid w:val="0031700B"/>
    <w:rsid w:val="003216DC"/>
    <w:rsid w:val="00321ACF"/>
    <w:rsid w:val="00321FD3"/>
    <w:rsid w:val="003249F2"/>
    <w:rsid w:val="00324C57"/>
    <w:rsid w:val="00324D83"/>
    <w:rsid w:val="00325779"/>
    <w:rsid w:val="0032595D"/>
    <w:rsid w:val="00325C91"/>
    <w:rsid w:val="00326336"/>
    <w:rsid w:val="003264F1"/>
    <w:rsid w:val="003269EA"/>
    <w:rsid w:val="003272A1"/>
    <w:rsid w:val="003279E5"/>
    <w:rsid w:val="00331019"/>
    <w:rsid w:val="00331379"/>
    <w:rsid w:val="0033232B"/>
    <w:rsid w:val="00332624"/>
    <w:rsid w:val="00332A9A"/>
    <w:rsid w:val="00332CD4"/>
    <w:rsid w:val="00333913"/>
    <w:rsid w:val="00335187"/>
    <w:rsid w:val="00335B84"/>
    <w:rsid w:val="00336345"/>
    <w:rsid w:val="00336552"/>
    <w:rsid w:val="00337053"/>
    <w:rsid w:val="00337DA4"/>
    <w:rsid w:val="00340528"/>
    <w:rsid w:val="003406D2"/>
    <w:rsid w:val="00340A18"/>
    <w:rsid w:val="003412BE"/>
    <w:rsid w:val="00342405"/>
    <w:rsid w:val="00343E08"/>
    <w:rsid w:val="00343E16"/>
    <w:rsid w:val="00344388"/>
    <w:rsid w:val="00345CE8"/>
    <w:rsid w:val="00346E43"/>
    <w:rsid w:val="0034713E"/>
    <w:rsid w:val="00350C0A"/>
    <w:rsid w:val="00350DA5"/>
    <w:rsid w:val="0035280D"/>
    <w:rsid w:val="00352ED8"/>
    <w:rsid w:val="00354413"/>
    <w:rsid w:val="0035499F"/>
    <w:rsid w:val="00354DD4"/>
    <w:rsid w:val="00355F1F"/>
    <w:rsid w:val="0035628A"/>
    <w:rsid w:val="003575CD"/>
    <w:rsid w:val="00357AE0"/>
    <w:rsid w:val="00357C94"/>
    <w:rsid w:val="003604AE"/>
    <w:rsid w:val="00360A21"/>
    <w:rsid w:val="00360FA8"/>
    <w:rsid w:val="00361687"/>
    <w:rsid w:val="003636F8"/>
    <w:rsid w:val="00364855"/>
    <w:rsid w:val="00364AAE"/>
    <w:rsid w:val="003653BC"/>
    <w:rsid w:val="00365605"/>
    <w:rsid w:val="00365656"/>
    <w:rsid w:val="0036639F"/>
    <w:rsid w:val="00367EAA"/>
    <w:rsid w:val="00370B23"/>
    <w:rsid w:val="00370CD6"/>
    <w:rsid w:val="0037195D"/>
    <w:rsid w:val="003726DA"/>
    <w:rsid w:val="00373A9B"/>
    <w:rsid w:val="00373E31"/>
    <w:rsid w:val="003744DB"/>
    <w:rsid w:val="00374642"/>
    <w:rsid w:val="00374830"/>
    <w:rsid w:val="00375E48"/>
    <w:rsid w:val="00377093"/>
    <w:rsid w:val="003773D6"/>
    <w:rsid w:val="00377535"/>
    <w:rsid w:val="0038015B"/>
    <w:rsid w:val="003801C7"/>
    <w:rsid w:val="003818F7"/>
    <w:rsid w:val="00382045"/>
    <w:rsid w:val="00382449"/>
    <w:rsid w:val="00383515"/>
    <w:rsid w:val="0038351B"/>
    <w:rsid w:val="003839B5"/>
    <w:rsid w:val="00385B1F"/>
    <w:rsid w:val="00385BD3"/>
    <w:rsid w:val="00386311"/>
    <w:rsid w:val="00386641"/>
    <w:rsid w:val="00386E94"/>
    <w:rsid w:val="003878CE"/>
    <w:rsid w:val="00387E2D"/>
    <w:rsid w:val="00390DCC"/>
    <w:rsid w:val="003916DC"/>
    <w:rsid w:val="00392523"/>
    <w:rsid w:val="00392FD1"/>
    <w:rsid w:val="0039356D"/>
    <w:rsid w:val="0039403B"/>
    <w:rsid w:val="00394135"/>
    <w:rsid w:val="00395347"/>
    <w:rsid w:val="00395EF4"/>
    <w:rsid w:val="00397586"/>
    <w:rsid w:val="0039799C"/>
    <w:rsid w:val="00397A40"/>
    <w:rsid w:val="00397BF6"/>
    <w:rsid w:val="00397C30"/>
    <w:rsid w:val="003A1B1D"/>
    <w:rsid w:val="003A503B"/>
    <w:rsid w:val="003B000D"/>
    <w:rsid w:val="003B0051"/>
    <w:rsid w:val="003B23E5"/>
    <w:rsid w:val="003B4059"/>
    <w:rsid w:val="003B5688"/>
    <w:rsid w:val="003B7FEA"/>
    <w:rsid w:val="003C1A39"/>
    <w:rsid w:val="003C279F"/>
    <w:rsid w:val="003C2CA5"/>
    <w:rsid w:val="003C30E4"/>
    <w:rsid w:val="003C3933"/>
    <w:rsid w:val="003C3D19"/>
    <w:rsid w:val="003C56BB"/>
    <w:rsid w:val="003C625F"/>
    <w:rsid w:val="003C731A"/>
    <w:rsid w:val="003C758F"/>
    <w:rsid w:val="003D08F5"/>
    <w:rsid w:val="003D09AC"/>
    <w:rsid w:val="003D14F1"/>
    <w:rsid w:val="003D2596"/>
    <w:rsid w:val="003D2B71"/>
    <w:rsid w:val="003D3900"/>
    <w:rsid w:val="003D4A96"/>
    <w:rsid w:val="003D4B5F"/>
    <w:rsid w:val="003D4F6C"/>
    <w:rsid w:val="003D4F9F"/>
    <w:rsid w:val="003D58BE"/>
    <w:rsid w:val="003D5E5D"/>
    <w:rsid w:val="003D61C7"/>
    <w:rsid w:val="003D78E0"/>
    <w:rsid w:val="003E1B98"/>
    <w:rsid w:val="003E34F6"/>
    <w:rsid w:val="003E43A2"/>
    <w:rsid w:val="003E5FC0"/>
    <w:rsid w:val="003E6375"/>
    <w:rsid w:val="003E7142"/>
    <w:rsid w:val="003F026C"/>
    <w:rsid w:val="003F1B47"/>
    <w:rsid w:val="003F3879"/>
    <w:rsid w:val="003F3DB9"/>
    <w:rsid w:val="003F3E53"/>
    <w:rsid w:val="003F4D52"/>
    <w:rsid w:val="003F561C"/>
    <w:rsid w:val="003F571E"/>
    <w:rsid w:val="003F5E3A"/>
    <w:rsid w:val="003F5FBF"/>
    <w:rsid w:val="003F6015"/>
    <w:rsid w:val="003F6C59"/>
    <w:rsid w:val="0040051A"/>
    <w:rsid w:val="00400A06"/>
    <w:rsid w:val="00402354"/>
    <w:rsid w:val="0040279C"/>
    <w:rsid w:val="0040364A"/>
    <w:rsid w:val="00404858"/>
    <w:rsid w:val="00404DDF"/>
    <w:rsid w:val="00405329"/>
    <w:rsid w:val="00405ACE"/>
    <w:rsid w:val="00405D5D"/>
    <w:rsid w:val="004064BE"/>
    <w:rsid w:val="00406820"/>
    <w:rsid w:val="00406C0B"/>
    <w:rsid w:val="004129CB"/>
    <w:rsid w:val="00413890"/>
    <w:rsid w:val="004147EB"/>
    <w:rsid w:val="0041522A"/>
    <w:rsid w:val="0041616E"/>
    <w:rsid w:val="00417BE7"/>
    <w:rsid w:val="0042105E"/>
    <w:rsid w:val="0042150C"/>
    <w:rsid w:val="00421C19"/>
    <w:rsid w:val="0042350A"/>
    <w:rsid w:val="00424CD2"/>
    <w:rsid w:val="004256BF"/>
    <w:rsid w:val="00425E85"/>
    <w:rsid w:val="00426671"/>
    <w:rsid w:val="00427592"/>
    <w:rsid w:val="00430101"/>
    <w:rsid w:val="00430228"/>
    <w:rsid w:val="004304E8"/>
    <w:rsid w:val="0043084A"/>
    <w:rsid w:val="00432147"/>
    <w:rsid w:val="004321DD"/>
    <w:rsid w:val="00434F41"/>
    <w:rsid w:val="00435573"/>
    <w:rsid w:val="004370D2"/>
    <w:rsid w:val="004371DE"/>
    <w:rsid w:val="00437B0F"/>
    <w:rsid w:val="0044036B"/>
    <w:rsid w:val="0044221C"/>
    <w:rsid w:val="00442743"/>
    <w:rsid w:val="00443CF9"/>
    <w:rsid w:val="00443E30"/>
    <w:rsid w:val="00444C22"/>
    <w:rsid w:val="00445083"/>
    <w:rsid w:val="0044518E"/>
    <w:rsid w:val="00445452"/>
    <w:rsid w:val="00445ACA"/>
    <w:rsid w:val="0044753B"/>
    <w:rsid w:val="00447628"/>
    <w:rsid w:val="00447EEA"/>
    <w:rsid w:val="004500AC"/>
    <w:rsid w:val="004501ED"/>
    <w:rsid w:val="00451464"/>
    <w:rsid w:val="00451A95"/>
    <w:rsid w:val="00453075"/>
    <w:rsid w:val="00453129"/>
    <w:rsid w:val="004535EB"/>
    <w:rsid w:val="00453D92"/>
    <w:rsid w:val="004540EF"/>
    <w:rsid w:val="004568A9"/>
    <w:rsid w:val="00457449"/>
    <w:rsid w:val="00457848"/>
    <w:rsid w:val="00457876"/>
    <w:rsid w:val="00460614"/>
    <w:rsid w:val="004612C8"/>
    <w:rsid w:val="00462116"/>
    <w:rsid w:val="004629CA"/>
    <w:rsid w:val="00463B0C"/>
    <w:rsid w:val="0046433A"/>
    <w:rsid w:val="00464731"/>
    <w:rsid w:val="0046568F"/>
    <w:rsid w:val="00466988"/>
    <w:rsid w:val="00467286"/>
    <w:rsid w:val="0046795E"/>
    <w:rsid w:val="00467EF8"/>
    <w:rsid w:val="004712F9"/>
    <w:rsid w:val="004731B0"/>
    <w:rsid w:val="00475012"/>
    <w:rsid w:val="0047506B"/>
    <w:rsid w:val="0047509B"/>
    <w:rsid w:val="0047519F"/>
    <w:rsid w:val="00476E86"/>
    <w:rsid w:val="004779E1"/>
    <w:rsid w:val="00480E9E"/>
    <w:rsid w:val="00481C5E"/>
    <w:rsid w:val="004833DB"/>
    <w:rsid w:val="00485266"/>
    <w:rsid w:val="004862A7"/>
    <w:rsid w:val="004867BE"/>
    <w:rsid w:val="00486A22"/>
    <w:rsid w:val="00486F33"/>
    <w:rsid w:val="00487054"/>
    <w:rsid w:val="004872E0"/>
    <w:rsid w:val="00490743"/>
    <w:rsid w:val="0049098D"/>
    <w:rsid w:val="00491759"/>
    <w:rsid w:val="00495343"/>
    <w:rsid w:val="004954F8"/>
    <w:rsid w:val="00495EB9"/>
    <w:rsid w:val="00495F01"/>
    <w:rsid w:val="00496182"/>
    <w:rsid w:val="0049621E"/>
    <w:rsid w:val="00496417"/>
    <w:rsid w:val="0049680F"/>
    <w:rsid w:val="004969BF"/>
    <w:rsid w:val="00496F89"/>
    <w:rsid w:val="00497CA1"/>
    <w:rsid w:val="004A07D3"/>
    <w:rsid w:val="004A07D9"/>
    <w:rsid w:val="004A0F5E"/>
    <w:rsid w:val="004A179A"/>
    <w:rsid w:val="004A226A"/>
    <w:rsid w:val="004A4349"/>
    <w:rsid w:val="004A6158"/>
    <w:rsid w:val="004A67E3"/>
    <w:rsid w:val="004A6BA9"/>
    <w:rsid w:val="004A7432"/>
    <w:rsid w:val="004A79A8"/>
    <w:rsid w:val="004A7C38"/>
    <w:rsid w:val="004B0014"/>
    <w:rsid w:val="004B0DF0"/>
    <w:rsid w:val="004B1677"/>
    <w:rsid w:val="004B1C39"/>
    <w:rsid w:val="004B1ED2"/>
    <w:rsid w:val="004B2883"/>
    <w:rsid w:val="004B30B6"/>
    <w:rsid w:val="004B3EE3"/>
    <w:rsid w:val="004B422E"/>
    <w:rsid w:val="004B6069"/>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461B"/>
    <w:rsid w:val="004D5032"/>
    <w:rsid w:val="004D57CC"/>
    <w:rsid w:val="004D589A"/>
    <w:rsid w:val="004D61B5"/>
    <w:rsid w:val="004D7625"/>
    <w:rsid w:val="004D7B83"/>
    <w:rsid w:val="004D7CD1"/>
    <w:rsid w:val="004E0331"/>
    <w:rsid w:val="004E07D1"/>
    <w:rsid w:val="004E1F81"/>
    <w:rsid w:val="004E2C28"/>
    <w:rsid w:val="004E56F4"/>
    <w:rsid w:val="004E57FE"/>
    <w:rsid w:val="004E593F"/>
    <w:rsid w:val="004E5BD9"/>
    <w:rsid w:val="004E5CD1"/>
    <w:rsid w:val="004E6221"/>
    <w:rsid w:val="004E62D1"/>
    <w:rsid w:val="004E6680"/>
    <w:rsid w:val="004E6FEA"/>
    <w:rsid w:val="004E7D48"/>
    <w:rsid w:val="004E7DDE"/>
    <w:rsid w:val="004E7F8B"/>
    <w:rsid w:val="004F0229"/>
    <w:rsid w:val="004F10B8"/>
    <w:rsid w:val="004F2445"/>
    <w:rsid w:val="004F351A"/>
    <w:rsid w:val="004F392C"/>
    <w:rsid w:val="004F4FAE"/>
    <w:rsid w:val="004F6254"/>
    <w:rsid w:val="004F6C21"/>
    <w:rsid w:val="004F73A9"/>
    <w:rsid w:val="004F7843"/>
    <w:rsid w:val="004F7C60"/>
    <w:rsid w:val="004F7F75"/>
    <w:rsid w:val="00500FD4"/>
    <w:rsid w:val="00501711"/>
    <w:rsid w:val="005025D4"/>
    <w:rsid w:val="00502936"/>
    <w:rsid w:val="005045AE"/>
    <w:rsid w:val="00504A20"/>
    <w:rsid w:val="00504DD1"/>
    <w:rsid w:val="00505BD0"/>
    <w:rsid w:val="00506577"/>
    <w:rsid w:val="005065C3"/>
    <w:rsid w:val="005066A2"/>
    <w:rsid w:val="00506BBC"/>
    <w:rsid w:val="00506D77"/>
    <w:rsid w:val="00506E64"/>
    <w:rsid w:val="00507182"/>
    <w:rsid w:val="00507E03"/>
    <w:rsid w:val="00510326"/>
    <w:rsid w:val="00510F28"/>
    <w:rsid w:val="00510FB8"/>
    <w:rsid w:val="00511B9B"/>
    <w:rsid w:val="00511C81"/>
    <w:rsid w:val="00513BDF"/>
    <w:rsid w:val="00514594"/>
    <w:rsid w:val="00514F91"/>
    <w:rsid w:val="00517333"/>
    <w:rsid w:val="00517E48"/>
    <w:rsid w:val="005202C2"/>
    <w:rsid w:val="00520DA7"/>
    <w:rsid w:val="00520F38"/>
    <w:rsid w:val="00522498"/>
    <w:rsid w:val="00522512"/>
    <w:rsid w:val="00523BB9"/>
    <w:rsid w:val="00524BDE"/>
    <w:rsid w:val="00525DFD"/>
    <w:rsid w:val="00527889"/>
    <w:rsid w:val="00527A1D"/>
    <w:rsid w:val="00527F16"/>
    <w:rsid w:val="00531A6B"/>
    <w:rsid w:val="0053297B"/>
    <w:rsid w:val="0053330B"/>
    <w:rsid w:val="00533DAA"/>
    <w:rsid w:val="00534542"/>
    <w:rsid w:val="00534B03"/>
    <w:rsid w:val="00534B4C"/>
    <w:rsid w:val="0053603D"/>
    <w:rsid w:val="005365C0"/>
    <w:rsid w:val="00536B84"/>
    <w:rsid w:val="005377D2"/>
    <w:rsid w:val="0054060B"/>
    <w:rsid w:val="00540AA2"/>
    <w:rsid w:val="00540CE9"/>
    <w:rsid w:val="00540F0C"/>
    <w:rsid w:val="00541FFF"/>
    <w:rsid w:val="00542127"/>
    <w:rsid w:val="00542FC0"/>
    <w:rsid w:val="0054379A"/>
    <w:rsid w:val="00543A99"/>
    <w:rsid w:val="00545FFB"/>
    <w:rsid w:val="0054637C"/>
    <w:rsid w:val="0054707C"/>
    <w:rsid w:val="00547BC5"/>
    <w:rsid w:val="0055086A"/>
    <w:rsid w:val="00550D1D"/>
    <w:rsid w:val="00552E2E"/>
    <w:rsid w:val="005532A0"/>
    <w:rsid w:val="0055461D"/>
    <w:rsid w:val="00554808"/>
    <w:rsid w:val="00556820"/>
    <w:rsid w:val="005577EB"/>
    <w:rsid w:val="00561328"/>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2EF5"/>
    <w:rsid w:val="00584D74"/>
    <w:rsid w:val="005867E5"/>
    <w:rsid w:val="00586A40"/>
    <w:rsid w:val="00586CF6"/>
    <w:rsid w:val="00586F51"/>
    <w:rsid w:val="00587754"/>
    <w:rsid w:val="00587DAA"/>
    <w:rsid w:val="00590DDC"/>
    <w:rsid w:val="0059109F"/>
    <w:rsid w:val="0059209D"/>
    <w:rsid w:val="00592233"/>
    <w:rsid w:val="00592D7C"/>
    <w:rsid w:val="00593281"/>
    <w:rsid w:val="00593D50"/>
    <w:rsid w:val="00593E77"/>
    <w:rsid w:val="005940C4"/>
    <w:rsid w:val="00594249"/>
    <w:rsid w:val="00594269"/>
    <w:rsid w:val="0059455E"/>
    <w:rsid w:val="00594E50"/>
    <w:rsid w:val="00594F8B"/>
    <w:rsid w:val="0059537F"/>
    <w:rsid w:val="00596562"/>
    <w:rsid w:val="005972D8"/>
    <w:rsid w:val="00597479"/>
    <w:rsid w:val="005979C7"/>
    <w:rsid w:val="005979E7"/>
    <w:rsid w:val="005A0266"/>
    <w:rsid w:val="005A08C2"/>
    <w:rsid w:val="005A13EE"/>
    <w:rsid w:val="005A2D76"/>
    <w:rsid w:val="005A3D10"/>
    <w:rsid w:val="005A5636"/>
    <w:rsid w:val="005A6461"/>
    <w:rsid w:val="005A7FD6"/>
    <w:rsid w:val="005B02D9"/>
    <w:rsid w:val="005B1A09"/>
    <w:rsid w:val="005B2D36"/>
    <w:rsid w:val="005B37E2"/>
    <w:rsid w:val="005B3F1B"/>
    <w:rsid w:val="005B48F7"/>
    <w:rsid w:val="005B4945"/>
    <w:rsid w:val="005B5E6B"/>
    <w:rsid w:val="005B6FC6"/>
    <w:rsid w:val="005B7861"/>
    <w:rsid w:val="005C1910"/>
    <w:rsid w:val="005C213B"/>
    <w:rsid w:val="005C21AC"/>
    <w:rsid w:val="005C2869"/>
    <w:rsid w:val="005C39C5"/>
    <w:rsid w:val="005C4544"/>
    <w:rsid w:val="005C4898"/>
    <w:rsid w:val="005C48AF"/>
    <w:rsid w:val="005C4E94"/>
    <w:rsid w:val="005C6F7B"/>
    <w:rsid w:val="005C7E19"/>
    <w:rsid w:val="005D0F39"/>
    <w:rsid w:val="005D219C"/>
    <w:rsid w:val="005D24D6"/>
    <w:rsid w:val="005D2B7D"/>
    <w:rsid w:val="005D420C"/>
    <w:rsid w:val="005D48F9"/>
    <w:rsid w:val="005D5AF2"/>
    <w:rsid w:val="005D634A"/>
    <w:rsid w:val="005D6484"/>
    <w:rsid w:val="005D6983"/>
    <w:rsid w:val="005D6ABA"/>
    <w:rsid w:val="005D71F5"/>
    <w:rsid w:val="005D7A40"/>
    <w:rsid w:val="005E0465"/>
    <w:rsid w:val="005E25F4"/>
    <w:rsid w:val="005E3A3C"/>
    <w:rsid w:val="005E3A67"/>
    <w:rsid w:val="005E5D27"/>
    <w:rsid w:val="005E5D82"/>
    <w:rsid w:val="005E6FA7"/>
    <w:rsid w:val="005E7899"/>
    <w:rsid w:val="005F0E5F"/>
    <w:rsid w:val="005F3757"/>
    <w:rsid w:val="005F3E95"/>
    <w:rsid w:val="005F428D"/>
    <w:rsid w:val="005F43D0"/>
    <w:rsid w:val="005F453F"/>
    <w:rsid w:val="005F53E0"/>
    <w:rsid w:val="005F5580"/>
    <w:rsid w:val="005F65D8"/>
    <w:rsid w:val="005F6B6D"/>
    <w:rsid w:val="005F6F58"/>
    <w:rsid w:val="005F780A"/>
    <w:rsid w:val="005F7FF1"/>
    <w:rsid w:val="00600452"/>
    <w:rsid w:val="0060148A"/>
    <w:rsid w:val="00601DF7"/>
    <w:rsid w:val="00602B64"/>
    <w:rsid w:val="00602FCD"/>
    <w:rsid w:val="0060309F"/>
    <w:rsid w:val="0060378D"/>
    <w:rsid w:val="00603C57"/>
    <w:rsid w:val="006053AE"/>
    <w:rsid w:val="0060598B"/>
    <w:rsid w:val="006100E0"/>
    <w:rsid w:val="00612040"/>
    <w:rsid w:val="00612DDD"/>
    <w:rsid w:val="006132BA"/>
    <w:rsid w:val="006141F8"/>
    <w:rsid w:val="006151D5"/>
    <w:rsid w:val="006157E3"/>
    <w:rsid w:val="00615CF1"/>
    <w:rsid w:val="006179A1"/>
    <w:rsid w:val="00620183"/>
    <w:rsid w:val="00620308"/>
    <w:rsid w:val="00620B17"/>
    <w:rsid w:val="006219BD"/>
    <w:rsid w:val="00622419"/>
    <w:rsid w:val="006225A3"/>
    <w:rsid w:val="00623159"/>
    <w:rsid w:val="00625177"/>
    <w:rsid w:val="00625769"/>
    <w:rsid w:val="00626728"/>
    <w:rsid w:val="006269B5"/>
    <w:rsid w:val="00627956"/>
    <w:rsid w:val="00627ABA"/>
    <w:rsid w:val="00627B50"/>
    <w:rsid w:val="00627B75"/>
    <w:rsid w:val="006313F8"/>
    <w:rsid w:val="00632127"/>
    <w:rsid w:val="0063231B"/>
    <w:rsid w:val="0063316E"/>
    <w:rsid w:val="006338D7"/>
    <w:rsid w:val="00634B32"/>
    <w:rsid w:val="00634C98"/>
    <w:rsid w:val="00634D8C"/>
    <w:rsid w:val="00635C24"/>
    <w:rsid w:val="00636729"/>
    <w:rsid w:val="00637061"/>
    <w:rsid w:val="006374C3"/>
    <w:rsid w:val="006416A1"/>
    <w:rsid w:val="0064325C"/>
    <w:rsid w:val="00643BEF"/>
    <w:rsid w:val="0064456B"/>
    <w:rsid w:val="00644938"/>
    <w:rsid w:val="006459DE"/>
    <w:rsid w:val="00645A01"/>
    <w:rsid w:val="00645E42"/>
    <w:rsid w:val="006464A6"/>
    <w:rsid w:val="00646760"/>
    <w:rsid w:val="00646E29"/>
    <w:rsid w:val="006474C8"/>
    <w:rsid w:val="0064767C"/>
    <w:rsid w:val="00647B72"/>
    <w:rsid w:val="006511FC"/>
    <w:rsid w:val="006525F9"/>
    <w:rsid w:val="006529C9"/>
    <w:rsid w:val="006534CB"/>
    <w:rsid w:val="006558FB"/>
    <w:rsid w:val="00656857"/>
    <w:rsid w:val="00656CBF"/>
    <w:rsid w:val="00657174"/>
    <w:rsid w:val="00660BFB"/>
    <w:rsid w:val="00660CF1"/>
    <w:rsid w:val="0066197E"/>
    <w:rsid w:val="00661D6D"/>
    <w:rsid w:val="006626CA"/>
    <w:rsid w:val="00662F57"/>
    <w:rsid w:val="006635F5"/>
    <w:rsid w:val="00665847"/>
    <w:rsid w:val="0066699A"/>
    <w:rsid w:val="006705A3"/>
    <w:rsid w:val="00670E6C"/>
    <w:rsid w:val="00671A46"/>
    <w:rsid w:val="00671BD1"/>
    <w:rsid w:val="0067237D"/>
    <w:rsid w:val="00672686"/>
    <w:rsid w:val="00672CD9"/>
    <w:rsid w:val="00672D8A"/>
    <w:rsid w:val="00673708"/>
    <w:rsid w:val="00673C48"/>
    <w:rsid w:val="0067450C"/>
    <w:rsid w:val="00674872"/>
    <w:rsid w:val="006751BE"/>
    <w:rsid w:val="00675A07"/>
    <w:rsid w:val="00675D08"/>
    <w:rsid w:val="00675E7F"/>
    <w:rsid w:val="00675F7B"/>
    <w:rsid w:val="00676D85"/>
    <w:rsid w:val="00681F0F"/>
    <w:rsid w:val="00682CFD"/>
    <w:rsid w:val="00682D01"/>
    <w:rsid w:val="00684D39"/>
    <w:rsid w:val="00684DD0"/>
    <w:rsid w:val="0068556D"/>
    <w:rsid w:val="00685B8B"/>
    <w:rsid w:val="00687A7B"/>
    <w:rsid w:val="00687EE1"/>
    <w:rsid w:val="006904E3"/>
    <w:rsid w:val="00690D00"/>
    <w:rsid w:val="00690D80"/>
    <w:rsid w:val="0069423F"/>
    <w:rsid w:val="00694398"/>
    <w:rsid w:val="006948FE"/>
    <w:rsid w:val="006951B6"/>
    <w:rsid w:val="006958D9"/>
    <w:rsid w:val="00695C61"/>
    <w:rsid w:val="00696935"/>
    <w:rsid w:val="006971D6"/>
    <w:rsid w:val="00697968"/>
    <w:rsid w:val="00697A2B"/>
    <w:rsid w:val="006A05ED"/>
    <w:rsid w:val="006A0AD7"/>
    <w:rsid w:val="006A1F3A"/>
    <w:rsid w:val="006A36FB"/>
    <w:rsid w:val="006A37FA"/>
    <w:rsid w:val="006A3AC5"/>
    <w:rsid w:val="006A3CFB"/>
    <w:rsid w:val="006A42E7"/>
    <w:rsid w:val="006A486B"/>
    <w:rsid w:val="006A584C"/>
    <w:rsid w:val="006A5B85"/>
    <w:rsid w:val="006A5D76"/>
    <w:rsid w:val="006A6575"/>
    <w:rsid w:val="006A6C25"/>
    <w:rsid w:val="006A6DF7"/>
    <w:rsid w:val="006B020D"/>
    <w:rsid w:val="006B037B"/>
    <w:rsid w:val="006B0D26"/>
    <w:rsid w:val="006B1689"/>
    <w:rsid w:val="006B17FF"/>
    <w:rsid w:val="006B195C"/>
    <w:rsid w:val="006B1E08"/>
    <w:rsid w:val="006B2745"/>
    <w:rsid w:val="006B65CE"/>
    <w:rsid w:val="006B6FA7"/>
    <w:rsid w:val="006C0502"/>
    <w:rsid w:val="006C0CB9"/>
    <w:rsid w:val="006C1C25"/>
    <w:rsid w:val="006C207B"/>
    <w:rsid w:val="006C21F7"/>
    <w:rsid w:val="006C22EB"/>
    <w:rsid w:val="006C2A1E"/>
    <w:rsid w:val="006C2C7C"/>
    <w:rsid w:val="006C30C9"/>
    <w:rsid w:val="006C5B52"/>
    <w:rsid w:val="006C6734"/>
    <w:rsid w:val="006C6B51"/>
    <w:rsid w:val="006C6D41"/>
    <w:rsid w:val="006D0BAB"/>
    <w:rsid w:val="006D1D02"/>
    <w:rsid w:val="006D1E8F"/>
    <w:rsid w:val="006D2003"/>
    <w:rsid w:val="006D2E9C"/>
    <w:rsid w:val="006D5910"/>
    <w:rsid w:val="006D6B32"/>
    <w:rsid w:val="006D72D8"/>
    <w:rsid w:val="006E02BA"/>
    <w:rsid w:val="006E20F1"/>
    <w:rsid w:val="006E211D"/>
    <w:rsid w:val="006E271D"/>
    <w:rsid w:val="006E29A1"/>
    <w:rsid w:val="006E3544"/>
    <w:rsid w:val="006E529C"/>
    <w:rsid w:val="006E687A"/>
    <w:rsid w:val="006F14A6"/>
    <w:rsid w:val="006F26C5"/>
    <w:rsid w:val="006F357B"/>
    <w:rsid w:val="006F414D"/>
    <w:rsid w:val="006F4A18"/>
    <w:rsid w:val="006F4F74"/>
    <w:rsid w:val="006F55EF"/>
    <w:rsid w:val="006F6E14"/>
    <w:rsid w:val="006F741C"/>
    <w:rsid w:val="006F7A50"/>
    <w:rsid w:val="007021B3"/>
    <w:rsid w:val="00702589"/>
    <w:rsid w:val="007025E8"/>
    <w:rsid w:val="00703043"/>
    <w:rsid w:val="00703C34"/>
    <w:rsid w:val="00703C8E"/>
    <w:rsid w:val="0070578F"/>
    <w:rsid w:val="00705931"/>
    <w:rsid w:val="0070677F"/>
    <w:rsid w:val="00707983"/>
    <w:rsid w:val="00707F5D"/>
    <w:rsid w:val="0071082F"/>
    <w:rsid w:val="00710AE8"/>
    <w:rsid w:val="0071176A"/>
    <w:rsid w:val="00712369"/>
    <w:rsid w:val="00712CE7"/>
    <w:rsid w:val="00713169"/>
    <w:rsid w:val="00713DCB"/>
    <w:rsid w:val="00716452"/>
    <w:rsid w:val="0071681E"/>
    <w:rsid w:val="00716BA4"/>
    <w:rsid w:val="00717A3B"/>
    <w:rsid w:val="00721466"/>
    <w:rsid w:val="007220FC"/>
    <w:rsid w:val="0072267D"/>
    <w:rsid w:val="0072442E"/>
    <w:rsid w:val="00724F18"/>
    <w:rsid w:val="00725BFB"/>
    <w:rsid w:val="0072608D"/>
    <w:rsid w:val="00726D38"/>
    <w:rsid w:val="00727C82"/>
    <w:rsid w:val="0073041E"/>
    <w:rsid w:val="00730D05"/>
    <w:rsid w:val="0073178D"/>
    <w:rsid w:val="00733537"/>
    <w:rsid w:val="00734356"/>
    <w:rsid w:val="00734D18"/>
    <w:rsid w:val="00734EB8"/>
    <w:rsid w:val="00734F59"/>
    <w:rsid w:val="0073637F"/>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06BE"/>
    <w:rsid w:val="00751E39"/>
    <w:rsid w:val="007526C5"/>
    <w:rsid w:val="00752FD3"/>
    <w:rsid w:val="00755C03"/>
    <w:rsid w:val="007566BC"/>
    <w:rsid w:val="00756F2D"/>
    <w:rsid w:val="00757661"/>
    <w:rsid w:val="00760674"/>
    <w:rsid w:val="007606E9"/>
    <w:rsid w:val="007608A5"/>
    <w:rsid w:val="00760A2B"/>
    <w:rsid w:val="0076127D"/>
    <w:rsid w:val="00761E0F"/>
    <w:rsid w:val="007627D6"/>
    <w:rsid w:val="00762820"/>
    <w:rsid w:val="007656E4"/>
    <w:rsid w:val="007658C4"/>
    <w:rsid w:val="00766784"/>
    <w:rsid w:val="0076715D"/>
    <w:rsid w:val="007672D8"/>
    <w:rsid w:val="00767F8C"/>
    <w:rsid w:val="0077092B"/>
    <w:rsid w:val="00770FF7"/>
    <w:rsid w:val="0077300B"/>
    <w:rsid w:val="007730E4"/>
    <w:rsid w:val="00773151"/>
    <w:rsid w:val="007742FE"/>
    <w:rsid w:val="00774309"/>
    <w:rsid w:val="00775576"/>
    <w:rsid w:val="0077704F"/>
    <w:rsid w:val="00777F7B"/>
    <w:rsid w:val="007807B6"/>
    <w:rsid w:val="0078159C"/>
    <w:rsid w:val="0078278F"/>
    <w:rsid w:val="00782965"/>
    <w:rsid w:val="00782C88"/>
    <w:rsid w:val="00783184"/>
    <w:rsid w:val="00785D4A"/>
    <w:rsid w:val="007865E3"/>
    <w:rsid w:val="00791099"/>
    <w:rsid w:val="00791AEC"/>
    <w:rsid w:val="007920DD"/>
    <w:rsid w:val="007926AE"/>
    <w:rsid w:val="00792E6C"/>
    <w:rsid w:val="00793D5C"/>
    <w:rsid w:val="00794127"/>
    <w:rsid w:val="0079486D"/>
    <w:rsid w:val="00794875"/>
    <w:rsid w:val="007949B8"/>
    <w:rsid w:val="00795A46"/>
    <w:rsid w:val="00796038"/>
    <w:rsid w:val="00796991"/>
    <w:rsid w:val="007974EA"/>
    <w:rsid w:val="00797D75"/>
    <w:rsid w:val="007A07C8"/>
    <w:rsid w:val="007A107E"/>
    <w:rsid w:val="007A1BC1"/>
    <w:rsid w:val="007A421D"/>
    <w:rsid w:val="007A4D61"/>
    <w:rsid w:val="007A7FB2"/>
    <w:rsid w:val="007B0C62"/>
    <w:rsid w:val="007B0C79"/>
    <w:rsid w:val="007B112E"/>
    <w:rsid w:val="007B1483"/>
    <w:rsid w:val="007B1D9A"/>
    <w:rsid w:val="007B2679"/>
    <w:rsid w:val="007B2B33"/>
    <w:rsid w:val="007B35F1"/>
    <w:rsid w:val="007B4386"/>
    <w:rsid w:val="007B5629"/>
    <w:rsid w:val="007B5D1A"/>
    <w:rsid w:val="007B5D2C"/>
    <w:rsid w:val="007B6C2F"/>
    <w:rsid w:val="007C03BA"/>
    <w:rsid w:val="007C088F"/>
    <w:rsid w:val="007C2A78"/>
    <w:rsid w:val="007C2D59"/>
    <w:rsid w:val="007C4802"/>
    <w:rsid w:val="007C5806"/>
    <w:rsid w:val="007C5907"/>
    <w:rsid w:val="007C72EA"/>
    <w:rsid w:val="007C7B37"/>
    <w:rsid w:val="007D04EA"/>
    <w:rsid w:val="007D06AE"/>
    <w:rsid w:val="007D0801"/>
    <w:rsid w:val="007D1430"/>
    <w:rsid w:val="007D1684"/>
    <w:rsid w:val="007D3294"/>
    <w:rsid w:val="007D515A"/>
    <w:rsid w:val="007D532C"/>
    <w:rsid w:val="007D54C3"/>
    <w:rsid w:val="007D60C6"/>
    <w:rsid w:val="007D690F"/>
    <w:rsid w:val="007D6AB9"/>
    <w:rsid w:val="007D778C"/>
    <w:rsid w:val="007E0078"/>
    <w:rsid w:val="007E11CE"/>
    <w:rsid w:val="007E1586"/>
    <w:rsid w:val="007E16F7"/>
    <w:rsid w:val="007E176D"/>
    <w:rsid w:val="007E17A3"/>
    <w:rsid w:val="007E2F4F"/>
    <w:rsid w:val="007E3621"/>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4FC2"/>
    <w:rsid w:val="007F5246"/>
    <w:rsid w:val="007F56BF"/>
    <w:rsid w:val="007F63BF"/>
    <w:rsid w:val="007F77DA"/>
    <w:rsid w:val="00801FEE"/>
    <w:rsid w:val="008021D4"/>
    <w:rsid w:val="00802768"/>
    <w:rsid w:val="00802DDF"/>
    <w:rsid w:val="00803F16"/>
    <w:rsid w:val="0080554D"/>
    <w:rsid w:val="00805933"/>
    <w:rsid w:val="008106D8"/>
    <w:rsid w:val="0081215E"/>
    <w:rsid w:val="0081259A"/>
    <w:rsid w:val="00813194"/>
    <w:rsid w:val="00814388"/>
    <w:rsid w:val="00814F04"/>
    <w:rsid w:val="0081506F"/>
    <w:rsid w:val="0081658A"/>
    <w:rsid w:val="00816A81"/>
    <w:rsid w:val="00817878"/>
    <w:rsid w:val="00817997"/>
    <w:rsid w:val="00817A70"/>
    <w:rsid w:val="00817C2F"/>
    <w:rsid w:val="00817F4E"/>
    <w:rsid w:val="008209C2"/>
    <w:rsid w:val="00821534"/>
    <w:rsid w:val="008233ED"/>
    <w:rsid w:val="00823508"/>
    <w:rsid w:val="0082363A"/>
    <w:rsid w:val="008238A5"/>
    <w:rsid w:val="00823A85"/>
    <w:rsid w:val="00823B50"/>
    <w:rsid w:val="00824DF3"/>
    <w:rsid w:val="00825839"/>
    <w:rsid w:val="008259B6"/>
    <w:rsid w:val="008259B9"/>
    <w:rsid w:val="00825AEE"/>
    <w:rsid w:val="00825B44"/>
    <w:rsid w:val="0082611D"/>
    <w:rsid w:val="00826B12"/>
    <w:rsid w:val="0082724D"/>
    <w:rsid w:val="00827E20"/>
    <w:rsid w:val="00832C49"/>
    <w:rsid w:val="00833C78"/>
    <w:rsid w:val="00834FE6"/>
    <w:rsid w:val="00835A77"/>
    <w:rsid w:val="00835D22"/>
    <w:rsid w:val="00835F85"/>
    <w:rsid w:val="0083670F"/>
    <w:rsid w:val="00836792"/>
    <w:rsid w:val="008370AD"/>
    <w:rsid w:val="00841511"/>
    <w:rsid w:val="00841EE1"/>
    <w:rsid w:val="0084272A"/>
    <w:rsid w:val="0084278C"/>
    <w:rsid w:val="008436BE"/>
    <w:rsid w:val="00843D78"/>
    <w:rsid w:val="00845EE3"/>
    <w:rsid w:val="00846424"/>
    <w:rsid w:val="00847570"/>
    <w:rsid w:val="008479F4"/>
    <w:rsid w:val="00852DB1"/>
    <w:rsid w:val="008546FF"/>
    <w:rsid w:val="00855FA5"/>
    <w:rsid w:val="00856371"/>
    <w:rsid w:val="00856B42"/>
    <w:rsid w:val="008570B1"/>
    <w:rsid w:val="00857A8B"/>
    <w:rsid w:val="00860D8C"/>
    <w:rsid w:val="00861026"/>
    <w:rsid w:val="00862D64"/>
    <w:rsid w:val="00863B94"/>
    <w:rsid w:val="0086410F"/>
    <w:rsid w:val="008641EF"/>
    <w:rsid w:val="0086589D"/>
    <w:rsid w:val="00865EAD"/>
    <w:rsid w:val="00866564"/>
    <w:rsid w:val="008677A6"/>
    <w:rsid w:val="0087009E"/>
    <w:rsid w:val="00870144"/>
    <w:rsid w:val="00871323"/>
    <w:rsid w:val="00871B08"/>
    <w:rsid w:val="0087206C"/>
    <w:rsid w:val="00872275"/>
    <w:rsid w:val="008722CB"/>
    <w:rsid w:val="008738CB"/>
    <w:rsid w:val="00873903"/>
    <w:rsid w:val="0087393D"/>
    <w:rsid w:val="0087423D"/>
    <w:rsid w:val="008749EC"/>
    <w:rsid w:val="0087635F"/>
    <w:rsid w:val="0087641E"/>
    <w:rsid w:val="008768E7"/>
    <w:rsid w:val="00876EDC"/>
    <w:rsid w:val="00876FCD"/>
    <w:rsid w:val="0088049B"/>
    <w:rsid w:val="00881B70"/>
    <w:rsid w:val="008822B0"/>
    <w:rsid w:val="0088297C"/>
    <w:rsid w:val="00882F20"/>
    <w:rsid w:val="00884827"/>
    <w:rsid w:val="008848DC"/>
    <w:rsid w:val="008851C2"/>
    <w:rsid w:val="008858BF"/>
    <w:rsid w:val="00887F47"/>
    <w:rsid w:val="00890D1E"/>
    <w:rsid w:val="00891220"/>
    <w:rsid w:val="00892352"/>
    <w:rsid w:val="00892BF5"/>
    <w:rsid w:val="00892C3B"/>
    <w:rsid w:val="0089312E"/>
    <w:rsid w:val="00894012"/>
    <w:rsid w:val="008952CD"/>
    <w:rsid w:val="008962F0"/>
    <w:rsid w:val="008965D2"/>
    <w:rsid w:val="00896971"/>
    <w:rsid w:val="00897214"/>
    <w:rsid w:val="008A12EB"/>
    <w:rsid w:val="008A3DD2"/>
    <w:rsid w:val="008A4194"/>
    <w:rsid w:val="008A4BA4"/>
    <w:rsid w:val="008A5489"/>
    <w:rsid w:val="008A5C0B"/>
    <w:rsid w:val="008A70B0"/>
    <w:rsid w:val="008B0058"/>
    <w:rsid w:val="008B00BB"/>
    <w:rsid w:val="008B036A"/>
    <w:rsid w:val="008B29D9"/>
    <w:rsid w:val="008B2F2A"/>
    <w:rsid w:val="008B332E"/>
    <w:rsid w:val="008B385B"/>
    <w:rsid w:val="008B473D"/>
    <w:rsid w:val="008B4E56"/>
    <w:rsid w:val="008B51CB"/>
    <w:rsid w:val="008B5BB8"/>
    <w:rsid w:val="008B5F21"/>
    <w:rsid w:val="008B6653"/>
    <w:rsid w:val="008B6B17"/>
    <w:rsid w:val="008C0873"/>
    <w:rsid w:val="008C0F2A"/>
    <w:rsid w:val="008C1D0E"/>
    <w:rsid w:val="008C2B38"/>
    <w:rsid w:val="008C2DC3"/>
    <w:rsid w:val="008C3684"/>
    <w:rsid w:val="008C6F92"/>
    <w:rsid w:val="008C7F0F"/>
    <w:rsid w:val="008D0817"/>
    <w:rsid w:val="008D16C7"/>
    <w:rsid w:val="008D1C56"/>
    <w:rsid w:val="008D1FD9"/>
    <w:rsid w:val="008D227F"/>
    <w:rsid w:val="008D2A19"/>
    <w:rsid w:val="008D3B24"/>
    <w:rsid w:val="008D42E0"/>
    <w:rsid w:val="008D6092"/>
    <w:rsid w:val="008D6375"/>
    <w:rsid w:val="008D673D"/>
    <w:rsid w:val="008D71F7"/>
    <w:rsid w:val="008D73C1"/>
    <w:rsid w:val="008E0803"/>
    <w:rsid w:val="008E0955"/>
    <w:rsid w:val="008E0A19"/>
    <w:rsid w:val="008E191A"/>
    <w:rsid w:val="008E210F"/>
    <w:rsid w:val="008E232D"/>
    <w:rsid w:val="008E2E70"/>
    <w:rsid w:val="008E41B1"/>
    <w:rsid w:val="008E5D17"/>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1FE3"/>
    <w:rsid w:val="009022A0"/>
    <w:rsid w:val="0090234C"/>
    <w:rsid w:val="00905A4D"/>
    <w:rsid w:val="00905CFE"/>
    <w:rsid w:val="00906514"/>
    <w:rsid w:val="00907BE9"/>
    <w:rsid w:val="009114FC"/>
    <w:rsid w:val="00911792"/>
    <w:rsid w:val="00912043"/>
    <w:rsid w:val="0091339D"/>
    <w:rsid w:val="009144B2"/>
    <w:rsid w:val="009148C4"/>
    <w:rsid w:val="00914DB9"/>
    <w:rsid w:val="009158D4"/>
    <w:rsid w:val="00920F61"/>
    <w:rsid w:val="009213D9"/>
    <w:rsid w:val="00921B03"/>
    <w:rsid w:val="00922ED3"/>
    <w:rsid w:val="00922FB6"/>
    <w:rsid w:val="0092334F"/>
    <w:rsid w:val="00924A07"/>
    <w:rsid w:val="0092573E"/>
    <w:rsid w:val="00925941"/>
    <w:rsid w:val="009270AB"/>
    <w:rsid w:val="00927799"/>
    <w:rsid w:val="00931815"/>
    <w:rsid w:val="00932222"/>
    <w:rsid w:val="00932AAA"/>
    <w:rsid w:val="009340FC"/>
    <w:rsid w:val="009341C4"/>
    <w:rsid w:val="00934F41"/>
    <w:rsid w:val="00935280"/>
    <w:rsid w:val="0093593D"/>
    <w:rsid w:val="009367E9"/>
    <w:rsid w:val="00937430"/>
    <w:rsid w:val="00937717"/>
    <w:rsid w:val="009377D7"/>
    <w:rsid w:val="00937B02"/>
    <w:rsid w:val="0094004A"/>
    <w:rsid w:val="0094086D"/>
    <w:rsid w:val="00940FD7"/>
    <w:rsid w:val="00941062"/>
    <w:rsid w:val="009412DF"/>
    <w:rsid w:val="00941F7B"/>
    <w:rsid w:val="009423BF"/>
    <w:rsid w:val="00942DF3"/>
    <w:rsid w:val="00944867"/>
    <w:rsid w:val="009449B2"/>
    <w:rsid w:val="009456DC"/>
    <w:rsid w:val="00945B1C"/>
    <w:rsid w:val="00946323"/>
    <w:rsid w:val="009467D6"/>
    <w:rsid w:val="009471D6"/>
    <w:rsid w:val="00947E65"/>
    <w:rsid w:val="00947F93"/>
    <w:rsid w:val="00951775"/>
    <w:rsid w:val="0095240B"/>
    <w:rsid w:val="00952422"/>
    <w:rsid w:val="009548E3"/>
    <w:rsid w:val="00955950"/>
    <w:rsid w:val="00956538"/>
    <w:rsid w:val="009574AF"/>
    <w:rsid w:val="00961BF3"/>
    <w:rsid w:val="00961FC9"/>
    <w:rsid w:val="009629A9"/>
    <w:rsid w:val="009659B6"/>
    <w:rsid w:val="00965F0C"/>
    <w:rsid w:val="009666D0"/>
    <w:rsid w:val="00966BA5"/>
    <w:rsid w:val="00967D3F"/>
    <w:rsid w:val="0097124B"/>
    <w:rsid w:val="00971A11"/>
    <w:rsid w:val="00971BBE"/>
    <w:rsid w:val="00973DF4"/>
    <w:rsid w:val="00974DC6"/>
    <w:rsid w:val="00975F60"/>
    <w:rsid w:val="00977D90"/>
    <w:rsid w:val="00980099"/>
    <w:rsid w:val="00980B5D"/>
    <w:rsid w:val="00981816"/>
    <w:rsid w:val="009827A6"/>
    <w:rsid w:val="009833B9"/>
    <w:rsid w:val="00985357"/>
    <w:rsid w:val="00986AE6"/>
    <w:rsid w:val="00987C6A"/>
    <w:rsid w:val="00990014"/>
    <w:rsid w:val="00990403"/>
    <w:rsid w:val="009908B5"/>
    <w:rsid w:val="00991E3E"/>
    <w:rsid w:val="009961D4"/>
    <w:rsid w:val="009969D6"/>
    <w:rsid w:val="009974D7"/>
    <w:rsid w:val="00997F81"/>
    <w:rsid w:val="009A03C4"/>
    <w:rsid w:val="009A0755"/>
    <w:rsid w:val="009A0E70"/>
    <w:rsid w:val="009A1F32"/>
    <w:rsid w:val="009A2805"/>
    <w:rsid w:val="009A2CAA"/>
    <w:rsid w:val="009A307B"/>
    <w:rsid w:val="009A341E"/>
    <w:rsid w:val="009A36DD"/>
    <w:rsid w:val="009A3C88"/>
    <w:rsid w:val="009A4027"/>
    <w:rsid w:val="009A4E8D"/>
    <w:rsid w:val="009A52CB"/>
    <w:rsid w:val="009A664B"/>
    <w:rsid w:val="009B01AA"/>
    <w:rsid w:val="009B0372"/>
    <w:rsid w:val="009B09A4"/>
    <w:rsid w:val="009B0B06"/>
    <w:rsid w:val="009B2BBA"/>
    <w:rsid w:val="009B2FCB"/>
    <w:rsid w:val="009B36AA"/>
    <w:rsid w:val="009B3B8B"/>
    <w:rsid w:val="009B4266"/>
    <w:rsid w:val="009B4447"/>
    <w:rsid w:val="009B4DFC"/>
    <w:rsid w:val="009B5896"/>
    <w:rsid w:val="009B65FE"/>
    <w:rsid w:val="009C0059"/>
    <w:rsid w:val="009C1AA0"/>
    <w:rsid w:val="009C2E30"/>
    <w:rsid w:val="009C3110"/>
    <w:rsid w:val="009C34AB"/>
    <w:rsid w:val="009C3693"/>
    <w:rsid w:val="009C4034"/>
    <w:rsid w:val="009C4210"/>
    <w:rsid w:val="009C4B1F"/>
    <w:rsid w:val="009C4EF2"/>
    <w:rsid w:val="009C56BE"/>
    <w:rsid w:val="009C59F7"/>
    <w:rsid w:val="009C61E3"/>
    <w:rsid w:val="009C66A1"/>
    <w:rsid w:val="009C6C02"/>
    <w:rsid w:val="009C7045"/>
    <w:rsid w:val="009D05B9"/>
    <w:rsid w:val="009D18E0"/>
    <w:rsid w:val="009D1F4B"/>
    <w:rsid w:val="009D3922"/>
    <w:rsid w:val="009D3EA8"/>
    <w:rsid w:val="009D4658"/>
    <w:rsid w:val="009D4DFE"/>
    <w:rsid w:val="009D7220"/>
    <w:rsid w:val="009E1959"/>
    <w:rsid w:val="009E1A8F"/>
    <w:rsid w:val="009E222B"/>
    <w:rsid w:val="009E2ED5"/>
    <w:rsid w:val="009E3014"/>
    <w:rsid w:val="009E338E"/>
    <w:rsid w:val="009E41AA"/>
    <w:rsid w:val="009E47CC"/>
    <w:rsid w:val="009E49BF"/>
    <w:rsid w:val="009E541A"/>
    <w:rsid w:val="009E7092"/>
    <w:rsid w:val="009F09FB"/>
    <w:rsid w:val="009F1679"/>
    <w:rsid w:val="009F20FB"/>
    <w:rsid w:val="009F257B"/>
    <w:rsid w:val="009F3580"/>
    <w:rsid w:val="009F367A"/>
    <w:rsid w:val="009F3CEF"/>
    <w:rsid w:val="009F47B2"/>
    <w:rsid w:val="009F4951"/>
    <w:rsid w:val="009F4F28"/>
    <w:rsid w:val="009F61F0"/>
    <w:rsid w:val="009F789F"/>
    <w:rsid w:val="00A0290B"/>
    <w:rsid w:val="00A049FA"/>
    <w:rsid w:val="00A068E5"/>
    <w:rsid w:val="00A0727F"/>
    <w:rsid w:val="00A07DA3"/>
    <w:rsid w:val="00A10991"/>
    <w:rsid w:val="00A11628"/>
    <w:rsid w:val="00A117B7"/>
    <w:rsid w:val="00A121EA"/>
    <w:rsid w:val="00A1335B"/>
    <w:rsid w:val="00A149C8"/>
    <w:rsid w:val="00A1529F"/>
    <w:rsid w:val="00A15DD3"/>
    <w:rsid w:val="00A16110"/>
    <w:rsid w:val="00A16AD0"/>
    <w:rsid w:val="00A2002D"/>
    <w:rsid w:val="00A20379"/>
    <w:rsid w:val="00A207EB"/>
    <w:rsid w:val="00A210AD"/>
    <w:rsid w:val="00A213B6"/>
    <w:rsid w:val="00A21438"/>
    <w:rsid w:val="00A21629"/>
    <w:rsid w:val="00A229BC"/>
    <w:rsid w:val="00A22EEA"/>
    <w:rsid w:val="00A22F21"/>
    <w:rsid w:val="00A2584F"/>
    <w:rsid w:val="00A26C4D"/>
    <w:rsid w:val="00A27282"/>
    <w:rsid w:val="00A272DC"/>
    <w:rsid w:val="00A2789B"/>
    <w:rsid w:val="00A27E67"/>
    <w:rsid w:val="00A3077E"/>
    <w:rsid w:val="00A30B89"/>
    <w:rsid w:val="00A30F01"/>
    <w:rsid w:val="00A32099"/>
    <w:rsid w:val="00A32BDC"/>
    <w:rsid w:val="00A3535F"/>
    <w:rsid w:val="00A353AD"/>
    <w:rsid w:val="00A35887"/>
    <w:rsid w:val="00A360A4"/>
    <w:rsid w:val="00A366EE"/>
    <w:rsid w:val="00A36C86"/>
    <w:rsid w:val="00A36C99"/>
    <w:rsid w:val="00A40563"/>
    <w:rsid w:val="00A4073D"/>
    <w:rsid w:val="00A416D3"/>
    <w:rsid w:val="00A4176A"/>
    <w:rsid w:val="00A44029"/>
    <w:rsid w:val="00A44089"/>
    <w:rsid w:val="00A4452C"/>
    <w:rsid w:val="00A453C0"/>
    <w:rsid w:val="00A46104"/>
    <w:rsid w:val="00A4611F"/>
    <w:rsid w:val="00A47A32"/>
    <w:rsid w:val="00A47E68"/>
    <w:rsid w:val="00A50698"/>
    <w:rsid w:val="00A510AB"/>
    <w:rsid w:val="00A51186"/>
    <w:rsid w:val="00A512F9"/>
    <w:rsid w:val="00A51B83"/>
    <w:rsid w:val="00A52225"/>
    <w:rsid w:val="00A52A1B"/>
    <w:rsid w:val="00A532D4"/>
    <w:rsid w:val="00A53EB0"/>
    <w:rsid w:val="00A54B58"/>
    <w:rsid w:val="00A55772"/>
    <w:rsid w:val="00A55B2A"/>
    <w:rsid w:val="00A602F3"/>
    <w:rsid w:val="00A60B75"/>
    <w:rsid w:val="00A61917"/>
    <w:rsid w:val="00A61AD0"/>
    <w:rsid w:val="00A621E3"/>
    <w:rsid w:val="00A64363"/>
    <w:rsid w:val="00A64FD0"/>
    <w:rsid w:val="00A65079"/>
    <w:rsid w:val="00A665BE"/>
    <w:rsid w:val="00A7036B"/>
    <w:rsid w:val="00A7116E"/>
    <w:rsid w:val="00A712AA"/>
    <w:rsid w:val="00A721FD"/>
    <w:rsid w:val="00A72ABA"/>
    <w:rsid w:val="00A730B8"/>
    <w:rsid w:val="00A73663"/>
    <w:rsid w:val="00A7549D"/>
    <w:rsid w:val="00A75C3E"/>
    <w:rsid w:val="00A76F40"/>
    <w:rsid w:val="00A77E69"/>
    <w:rsid w:val="00A77ECE"/>
    <w:rsid w:val="00A803BF"/>
    <w:rsid w:val="00A828FC"/>
    <w:rsid w:val="00A82AD2"/>
    <w:rsid w:val="00A83F30"/>
    <w:rsid w:val="00A841C2"/>
    <w:rsid w:val="00A848E8"/>
    <w:rsid w:val="00A8568B"/>
    <w:rsid w:val="00A87DA7"/>
    <w:rsid w:val="00A9020E"/>
    <w:rsid w:val="00A9033A"/>
    <w:rsid w:val="00A9043B"/>
    <w:rsid w:val="00A90646"/>
    <w:rsid w:val="00A90785"/>
    <w:rsid w:val="00A9085C"/>
    <w:rsid w:val="00A91B4B"/>
    <w:rsid w:val="00A93E91"/>
    <w:rsid w:val="00A953FE"/>
    <w:rsid w:val="00A97A1D"/>
    <w:rsid w:val="00AA0198"/>
    <w:rsid w:val="00AA1D7E"/>
    <w:rsid w:val="00AA2537"/>
    <w:rsid w:val="00AA2C8D"/>
    <w:rsid w:val="00AA45A3"/>
    <w:rsid w:val="00AA662F"/>
    <w:rsid w:val="00AB0844"/>
    <w:rsid w:val="00AB1EB0"/>
    <w:rsid w:val="00AB424C"/>
    <w:rsid w:val="00AB6186"/>
    <w:rsid w:val="00AB7F3A"/>
    <w:rsid w:val="00AC0215"/>
    <w:rsid w:val="00AC03EA"/>
    <w:rsid w:val="00AC19E5"/>
    <w:rsid w:val="00AC1CE3"/>
    <w:rsid w:val="00AC40D9"/>
    <w:rsid w:val="00AC4983"/>
    <w:rsid w:val="00AC5177"/>
    <w:rsid w:val="00AC5292"/>
    <w:rsid w:val="00AC52FE"/>
    <w:rsid w:val="00AC6131"/>
    <w:rsid w:val="00AC62CC"/>
    <w:rsid w:val="00AC788B"/>
    <w:rsid w:val="00AC78BA"/>
    <w:rsid w:val="00AC7A4A"/>
    <w:rsid w:val="00AC7CD1"/>
    <w:rsid w:val="00AD02B2"/>
    <w:rsid w:val="00AD11E6"/>
    <w:rsid w:val="00AD1DD1"/>
    <w:rsid w:val="00AD3EF5"/>
    <w:rsid w:val="00AD4280"/>
    <w:rsid w:val="00AD4968"/>
    <w:rsid w:val="00AD60B2"/>
    <w:rsid w:val="00AD6667"/>
    <w:rsid w:val="00AD6BD3"/>
    <w:rsid w:val="00AD6C7A"/>
    <w:rsid w:val="00AD7012"/>
    <w:rsid w:val="00AE01C6"/>
    <w:rsid w:val="00AE3352"/>
    <w:rsid w:val="00AE3B03"/>
    <w:rsid w:val="00AE40E8"/>
    <w:rsid w:val="00AE57AC"/>
    <w:rsid w:val="00AE6C7F"/>
    <w:rsid w:val="00AE77E0"/>
    <w:rsid w:val="00AF023D"/>
    <w:rsid w:val="00AF0A26"/>
    <w:rsid w:val="00AF1B61"/>
    <w:rsid w:val="00AF24B2"/>
    <w:rsid w:val="00AF35A0"/>
    <w:rsid w:val="00AF3729"/>
    <w:rsid w:val="00AF3A86"/>
    <w:rsid w:val="00AF41B5"/>
    <w:rsid w:val="00AF46C0"/>
    <w:rsid w:val="00AF47FC"/>
    <w:rsid w:val="00AF52F0"/>
    <w:rsid w:val="00AF5B14"/>
    <w:rsid w:val="00AF60D4"/>
    <w:rsid w:val="00AF63BA"/>
    <w:rsid w:val="00AF6934"/>
    <w:rsid w:val="00AF7AAE"/>
    <w:rsid w:val="00AF7B2A"/>
    <w:rsid w:val="00B00335"/>
    <w:rsid w:val="00B006A8"/>
    <w:rsid w:val="00B00981"/>
    <w:rsid w:val="00B02848"/>
    <w:rsid w:val="00B02E41"/>
    <w:rsid w:val="00B04244"/>
    <w:rsid w:val="00B043AC"/>
    <w:rsid w:val="00B055B8"/>
    <w:rsid w:val="00B05EFB"/>
    <w:rsid w:val="00B067CE"/>
    <w:rsid w:val="00B07962"/>
    <w:rsid w:val="00B079F7"/>
    <w:rsid w:val="00B11166"/>
    <w:rsid w:val="00B117DC"/>
    <w:rsid w:val="00B12965"/>
    <w:rsid w:val="00B12BDC"/>
    <w:rsid w:val="00B142D3"/>
    <w:rsid w:val="00B15A83"/>
    <w:rsid w:val="00B16E66"/>
    <w:rsid w:val="00B20B6F"/>
    <w:rsid w:val="00B22C75"/>
    <w:rsid w:val="00B234F8"/>
    <w:rsid w:val="00B25533"/>
    <w:rsid w:val="00B265BB"/>
    <w:rsid w:val="00B26ED2"/>
    <w:rsid w:val="00B26F58"/>
    <w:rsid w:val="00B27253"/>
    <w:rsid w:val="00B272F6"/>
    <w:rsid w:val="00B27674"/>
    <w:rsid w:val="00B30B84"/>
    <w:rsid w:val="00B30C08"/>
    <w:rsid w:val="00B32F57"/>
    <w:rsid w:val="00B356ED"/>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47E"/>
    <w:rsid w:val="00B4661E"/>
    <w:rsid w:val="00B47E8A"/>
    <w:rsid w:val="00B50681"/>
    <w:rsid w:val="00B51D11"/>
    <w:rsid w:val="00B5310D"/>
    <w:rsid w:val="00B53E3F"/>
    <w:rsid w:val="00B54BB2"/>
    <w:rsid w:val="00B56DA7"/>
    <w:rsid w:val="00B57021"/>
    <w:rsid w:val="00B573F8"/>
    <w:rsid w:val="00B57476"/>
    <w:rsid w:val="00B57D2B"/>
    <w:rsid w:val="00B62E2F"/>
    <w:rsid w:val="00B63504"/>
    <w:rsid w:val="00B64B05"/>
    <w:rsid w:val="00B6647B"/>
    <w:rsid w:val="00B672EC"/>
    <w:rsid w:val="00B70558"/>
    <w:rsid w:val="00B715D5"/>
    <w:rsid w:val="00B71605"/>
    <w:rsid w:val="00B7211F"/>
    <w:rsid w:val="00B72512"/>
    <w:rsid w:val="00B72720"/>
    <w:rsid w:val="00B727E4"/>
    <w:rsid w:val="00B741E0"/>
    <w:rsid w:val="00B758DB"/>
    <w:rsid w:val="00B760AC"/>
    <w:rsid w:val="00B767EA"/>
    <w:rsid w:val="00B76C27"/>
    <w:rsid w:val="00B77D83"/>
    <w:rsid w:val="00B80BC4"/>
    <w:rsid w:val="00B811E2"/>
    <w:rsid w:val="00B81C1C"/>
    <w:rsid w:val="00B81FBB"/>
    <w:rsid w:val="00B82263"/>
    <w:rsid w:val="00B823F4"/>
    <w:rsid w:val="00B82656"/>
    <w:rsid w:val="00B83E1E"/>
    <w:rsid w:val="00B850BF"/>
    <w:rsid w:val="00B85453"/>
    <w:rsid w:val="00B865A3"/>
    <w:rsid w:val="00B86A01"/>
    <w:rsid w:val="00B86F06"/>
    <w:rsid w:val="00B927F5"/>
    <w:rsid w:val="00B929AC"/>
    <w:rsid w:val="00B92E22"/>
    <w:rsid w:val="00B93F16"/>
    <w:rsid w:val="00B93F5B"/>
    <w:rsid w:val="00B944D8"/>
    <w:rsid w:val="00B94FFD"/>
    <w:rsid w:val="00B95280"/>
    <w:rsid w:val="00B95516"/>
    <w:rsid w:val="00B95EB0"/>
    <w:rsid w:val="00B96A25"/>
    <w:rsid w:val="00BA150A"/>
    <w:rsid w:val="00BA157F"/>
    <w:rsid w:val="00BA1681"/>
    <w:rsid w:val="00BA2270"/>
    <w:rsid w:val="00BA2873"/>
    <w:rsid w:val="00BA2B05"/>
    <w:rsid w:val="00BA2F3A"/>
    <w:rsid w:val="00BA48D3"/>
    <w:rsid w:val="00BA5678"/>
    <w:rsid w:val="00BA61A1"/>
    <w:rsid w:val="00BA6248"/>
    <w:rsid w:val="00BA63CB"/>
    <w:rsid w:val="00BA691A"/>
    <w:rsid w:val="00BA6A09"/>
    <w:rsid w:val="00BA6BFF"/>
    <w:rsid w:val="00BB03D0"/>
    <w:rsid w:val="00BB188B"/>
    <w:rsid w:val="00BB222E"/>
    <w:rsid w:val="00BB2A37"/>
    <w:rsid w:val="00BB2D59"/>
    <w:rsid w:val="00BB327B"/>
    <w:rsid w:val="00BB343D"/>
    <w:rsid w:val="00BB3A29"/>
    <w:rsid w:val="00BB43D6"/>
    <w:rsid w:val="00BB4597"/>
    <w:rsid w:val="00BB497D"/>
    <w:rsid w:val="00BB508D"/>
    <w:rsid w:val="00BB5A7E"/>
    <w:rsid w:val="00BB5FB1"/>
    <w:rsid w:val="00BB67F8"/>
    <w:rsid w:val="00BB68B0"/>
    <w:rsid w:val="00BB6AD9"/>
    <w:rsid w:val="00BB72E2"/>
    <w:rsid w:val="00BB7EC5"/>
    <w:rsid w:val="00BC00E5"/>
    <w:rsid w:val="00BC0240"/>
    <w:rsid w:val="00BC0979"/>
    <w:rsid w:val="00BC2627"/>
    <w:rsid w:val="00BC3881"/>
    <w:rsid w:val="00BC393B"/>
    <w:rsid w:val="00BC4AAC"/>
    <w:rsid w:val="00BC4AEE"/>
    <w:rsid w:val="00BC52F0"/>
    <w:rsid w:val="00BC58B6"/>
    <w:rsid w:val="00BC5C67"/>
    <w:rsid w:val="00BC72FD"/>
    <w:rsid w:val="00BD06D1"/>
    <w:rsid w:val="00BD0DF1"/>
    <w:rsid w:val="00BD1C1E"/>
    <w:rsid w:val="00BD1C35"/>
    <w:rsid w:val="00BD2218"/>
    <w:rsid w:val="00BD2362"/>
    <w:rsid w:val="00BD25F8"/>
    <w:rsid w:val="00BD2D08"/>
    <w:rsid w:val="00BD3235"/>
    <w:rsid w:val="00BD3891"/>
    <w:rsid w:val="00BD3ED9"/>
    <w:rsid w:val="00BD56F8"/>
    <w:rsid w:val="00BD62E0"/>
    <w:rsid w:val="00BD7412"/>
    <w:rsid w:val="00BD7566"/>
    <w:rsid w:val="00BD7823"/>
    <w:rsid w:val="00BD7E35"/>
    <w:rsid w:val="00BE0252"/>
    <w:rsid w:val="00BE059C"/>
    <w:rsid w:val="00BE0B68"/>
    <w:rsid w:val="00BE0D89"/>
    <w:rsid w:val="00BE1832"/>
    <w:rsid w:val="00BE1C33"/>
    <w:rsid w:val="00BE1D34"/>
    <w:rsid w:val="00BE3ADA"/>
    <w:rsid w:val="00BE479E"/>
    <w:rsid w:val="00BE6077"/>
    <w:rsid w:val="00BE71C2"/>
    <w:rsid w:val="00BF057F"/>
    <w:rsid w:val="00BF1D59"/>
    <w:rsid w:val="00BF1E04"/>
    <w:rsid w:val="00BF1EB6"/>
    <w:rsid w:val="00BF1FAC"/>
    <w:rsid w:val="00BF282F"/>
    <w:rsid w:val="00BF322F"/>
    <w:rsid w:val="00BF3FA8"/>
    <w:rsid w:val="00BF4643"/>
    <w:rsid w:val="00BF4F6D"/>
    <w:rsid w:val="00BF5AB3"/>
    <w:rsid w:val="00BF5EB2"/>
    <w:rsid w:val="00BF68A7"/>
    <w:rsid w:val="00BF6E52"/>
    <w:rsid w:val="00BF7ED5"/>
    <w:rsid w:val="00C00075"/>
    <w:rsid w:val="00C0061B"/>
    <w:rsid w:val="00C00DC4"/>
    <w:rsid w:val="00C01389"/>
    <w:rsid w:val="00C01A92"/>
    <w:rsid w:val="00C0444C"/>
    <w:rsid w:val="00C04600"/>
    <w:rsid w:val="00C04AD4"/>
    <w:rsid w:val="00C05C0A"/>
    <w:rsid w:val="00C05E95"/>
    <w:rsid w:val="00C062CE"/>
    <w:rsid w:val="00C0738A"/>
    <w:rsid w:val="00C07F35"/>
    <w:rsid w:val="00C07F52"/>
    <w:rsid w:val="00C112B0"/>
    <w:rsid w:val="00C12029"/>
    <w:rsid w:val="00C1221D"/>
    <w:rsid w:val="00C1249F"/>
    <w:rsid w:val="00C12D7D"/>
    <w:rsid w:val="00C12F77"/>
    <w:rsid w:val="00C13174"/>
    <w:rsid w:val="00C133A0"/>
    <w:rsid w:val="00C13483"/>
    <w:rsid w:val="00C1374C"/>
    <w:rsid w:val="00C14773"/>
    <w:rsid w:val="00C148EF"/>
    <w:rsid w:val="00C148FE"/>
    <w:rsid w:val="00C171D6"/>
    <w:rsid w:val="00C17233"/>
    <w:rsid w:val="00C2161A"/>
    <w:rsid w:val="00C221BA"/>
    <w:rsid w:val="00C227CD"/>
    <w:rsid w:val="00C22BB4"/>
    <w:rsid w:val="00C2308C"/>
    <w:rsid w:val="00C24725"/>
    <w:rsid w:val="00C254BE"/>
    <w:rsid w:val="00C26845"/>
    <w:rsid w:val="00C26ED6"/>
    <w:rsid w:val="00C273E0"/>
    <w:rsid w:val="00C303D3"/>
    <w:rsid w:val="00C3084C"/>
    <w:rsid w:val="00C3209D"/>
    <w:rsid w:val="00C32D53"/>
    <w:rsid w:val="00C34E69"/>
    <w:rsid w:val="00C353F8"/>
    <w:rsid w:val="00C35CEE"/>
    <w:rsid w:val="00C37374"/>
    <w:rsid w:val="00C40379"/>
    <w:rsid w:val="00C414CB"/>
    <w:rsid w:val="00C432EC"/>
    <w:rsid w:val="00C4365C"/>
    <w:rsid w:val="00C43B82"/>
    <w:rsid w:val="00C43D05"/>
    <w:rsid w:val="00C46524"/>
    <w:rsid w:val="00C472BC"/>
    <w:rsid w:val="00C47EC0"/>
    <w:rsid w:val="00C50381"/>
    <w:rsid w:val="00C5158F"/>
    <w:rsid w:val="00C51660"/>
    <w:rsid w:val="00C51744"/>
    <w:rsid w:val="00C5272C"/>
    <w:rsid w:val="00C529B9"/>
    <w:rsid w:val="00C53153"/>
    <w:rsid w:val="00C53EBB"/>
    <w:rsid w:val="00C5563A"/>
    <w:rsid w:val="00C56D6C"/>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1702"/>
    <w:rsid w:val="00C7364C"/>
    <w:rsid w:val="00C736B4"/>
    <w:rsid w:val="00C73B37"/>
    <w:rsid w:val="00C74B69"/>
    <w:rsid w:val="00C75903"/>
    <w:rsid w:val="00C7672F"/>
    <w:rsid w:val="00C770AC"/>
    <w:rsid w:val="00C77439"/>
    <w:rsid w:val="00C8021F"/>
    <w:rsid w:val="00C80C4E"/>
    <w:rsid w:val="00C81126"/>
    <w:rsid w:val="00C8167E"/>
    <w:rsid w:val="00C816A0"/>
    <w:rsid w:val="00C81DA3"/>
    <w:rsid w:val="00C8290A"/>
    <w:rsid w:val="00C83010"/>
    <w:rsid w:val="00C84414"/>
    <w:rsid w:val="00C85E1F"/>
    <w:rsid w:val="00C86232"/>
    <w:rsid w:val="00C86772"/>
    <w:rsid w:val="00C86E7B"/>
    <w:rsid w:val="00C914D7"/>
    <w:rsid w:val="00C91B9C"/>
    <w:rsid w:val="00C91E4B"/>
    <w:rsid w:val="00C92EB9"/>
    <w:rsid w:val="00C93DE2"/>
    <w:rsid w:val="00C9481B"/>
    <w:rsid w:val="00C94897"/>
    <w:rsid w:val="00C95444"/>
    <w:rsid w:val="00C960F2"/>
    <w:rsid w:val="00C96517"/>
    <w:rsid w:val="00C9671C"/>
    <w:rsid w:val="00C96BCB"/>
    <w:rsid w:val="00C96E14"/>
    <w:rsid w:val="00C96F1B"/>
    <w:rsid w:val="00C96FD8"/>
    <w:rsid w:val="00C97D42"/>
    <w:rsid w:val="00CA0917"/>
    <w:rsid w:val="00CA3708"/>
    <w:rsid w:val="00CA3D07"/>
    <w:rsid w:val="00CA55A8"/>
    <w:rsid w:val="00CA592C"/>
    <w:rsid w:val="00CA604A"/>
    <w:rsid w:val="00CA6628"/>
    <w:rsid w:val="00CA6AEF"/>
    <w:rsid w:val="00CA7613"/>
    <w:rsid w:val="00CB1372"/>
    <w:rsid w:val="00CB1629"/>
    <w:rsid w:val="00CB1A2C"/>
    <w:rsid w:val="00CB1C5C"/>
    <w:rsid w:val="00CB25D7"/>
    <w:rsid w:val="00CB3882"/>
    <w:rsid w:val="00CB627A"/>
    <w:rsid w:val="00CB75A9"/>
    <w:rsid w:val="00CB75C8"/>
    <w:rsid w:val="00CB7A8C"/>
    <w:rsid w:val="00CB7BFC"/>
    <w:rsid w:val="00CC01E4"/>
    <w:rsid w:val="00CC091C"/>
    <w:rsid w:val="00CC1142"/>
    <w:rsid w:val="00CC1294"/>
    <w:rsid w:val="00CC256E"/>
    <w:rsid w:val="00CC350D"/>
    <w:rsid w:val="00CC3990"/>
    <w:rsid w:val="00CC45AC"/>
    <w:rsid w:val="00CC5A0A"/>
    <w:rsid w:val="00CC5DF9"/>
    <w:rsid w:val="00CC766A"/>
    <w:rsid w:val="00CD0689"/>
    <w:rsid w:val="00CD1C83"/>
    <w:rsid w:val="00CD2152"/>
    <w:rsid w:val="00CD2951"/>
    <w:rsid w:val="00CD2AFC"/>
    <w:rsid w:val="00CD4289"/>
    <w:rsid w:val="00CD4892"/>
    <w:rsid w:val="00CD4D86"/>
    <w:rsid w:val="00CD5043"/>
    <w:rsid w:val="00CD52D6"/>
    <w:rsid w:val="00CD60CF"/>
    <w:rsid w:val="00CD6562"/>
    <w:rsid w:val="00CD78C0"/>
    <w:rsid w:val="00CE1374"/>
    <w:rsid w:val="00CE3DAF"/>
    <w:rsid w:val="00CE3E5C"/>
    <w:rsid w:val="00CE487B"/>
    <w:rsid w:val="00CE4BF4"/>
    <w:rsid w:val="00CE58ED"/>
    <w:rsid w:val="00CE5AB7"/>
    <w:rsid w:val="00CE64F0"/>
    <w:rsid w:val="00CE68DB"/>
    <w:rsid w:val="00CF09AF"/>
    <w:rsid w:val="00CF20E4"/>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07D49"/>
    <w:rsid w:val="00D11B33"/>
    <w:rsid w:val="00D1200F"/>
    <w:rsid w:val="00D12D5A"/>
    <w:rsid w:val="00D13EB8"/>
    <w:rsid w:val="00D14DEE"/>
    <w:rsid w:val="00D156D2"/>
    <w:rsid w:val="00D16673"/>
    <w:rsid w:val="00D20A0A"/>
    <w:rsid w:val="00D20FC3"/>
    <w:rsid w:val="00D21316"/>
    <w:rsid w:val="00D2330B"/>
    <w:rsid w:val="00D233EC"/>
    <w:rsid w:val="00D25571"/>
    <w:rsid w:val="00D25C8C"/>
    <w:rsid w:val="00D26581"/>
    <w:rsid w:val="00D27855"/>
    <w:rsid w:val="00D27A2C"/>
    <w:rsid w:val="00D3173B"/>
    <w:rsid w:val="00D31A09"/>
    <w:rsid w:val="00D32336"/>
    <w:rsid w:val="00D33336"/>
    <w:rsid w:val="00D34401"/>
    <w:rsid w:val="00D347F4"/>
    <w:rsid w:val="00D34DE3"/>
    <w:rsid w:val="00D352FA"/>
    <w:rsid w:val="00D35F0A"/>
    <w:rsid w:val="00D36CCC"/>
    <w:rsid w:val="00D36D21"/>
    <w:rsid w:val="00D36E7E"/>
    <w:rsid w:val="00D37C6E"/>
    <w:rsid w:val="00D409E3"/>
    <w:rsid w:val="00D4111B"/>
    <w:rsid w:val="00D4142C"/>
    <w:rsid w:val="00D4151E"/>
    <w:rsid w:val="00D42336"/>
    <w:rsid w:val="00D434C0"/>
    <w:rsid w:val="00D44D51"/>
    <w:rsid w:val="00D44E35"/>
    <w:rsid w:val="00D450CB"/>
    <w:rsid w:val="00D45836"/>
    <w:rsid w:val="00D45F91"/>
    <w:rsid w:val="00D4731E"/>
    <w:rsid w:val="00D47455"/>
    <w:rsid w:val="00D512B7"/>
    <w:rsid w:val="00D5557A"/>
    <w:rsid w:val="00D55ABE"/>
    <w:rsid w:val="00D5647E"/>
    <w:rsid w:val="00D564F2"/>
    <w:rsid w:val="00D56DF5"/>
    <w:rsid w:val="00D56ECD"/>
    <w:rsid w:val="00D6000E"/>
    <w:rsid w:val="00D600E0"/>
    <w:rsid w:val="00D629D7"/>
    <w:rsid w:val="00D63791"/>
    <w:rsid w:val="00D63FA2"/>
    <w:rsid w:val="00D65102"/>
    <w:rsid w:val="00D6557C"/>
    <w:rsid w:val="00D65FA0"/>
    <w:rsid w:val="00D660AC"/>
    <w:rsid w:val="00D6620F"/>
    <w:rsid w:val="00D668DA"/>
    <w:rsid w:val="00D66E62"/>
    <w:rsid w:val="00D67EF3"/>
    <w:rsid w:val="00D70D8D"/>
    <w:rsid w:val="00D71213"/>
    <w:rsid w:val="00D715D6"/>
    <w:rsid w:val="00D7201F"/>
    <w:rsid w:val="00D7260A"/>
    <w:rsid w:val="00D72D97"/>
    <w:rsid w:val="00D73B2A"/>
    <w:rsid w:val="00D73D7D"/>
    <w:rsid w:val="00D74799"/>
    <w:rsid w:val="00D74836"/>
    <w:rsid w:val="00D748CA"/>
    <w:rsid w:val="00D758C8"/>
    <w:rsid w:val="00D75A70"/>
    <w:rsid w:val="00D770EE"/>
    <w:rsid w:val="00D77EDF"/>
    <w:rsid w:val="00D8343D"/>
    <w:rsid w:val="00D843C5"/>
    <w:rsid w:val="00D84885"/>
    <w:rsid w:val="00D85BFD"/>
    <w:rsid w:val="00D86190"/>
    <w:rsid w:val="00D865F6"/>
    <w:rsid w:val="00D868CC"/>
    <w:rsid w:val="00D87E88"/>
    <w:rsid w:val="00D92304"/>
    <w:rsid w:val="00D9514F"/>
    <w:rsid w:val="00D95C61"/>
    <w:rsid w:val="00D95E57"/>
    <w:rsid w:val="00D96099"/>
    <w:rsid w:val="00D97ABB"/>
    <w:rsid w:val="00D97E81"/>
    <w:rsid w:val="00DA01E0"/>
    <w:rsid w:val="00DA1807"/>
    <w:rsid w:val="00DA23DB"/>
    <w:rsid w:val="00DA2926"/>
    <w:rsid w:val="00DA330D"/>
    <w:rsid w:val="00DA4292"/>
    <w:rsid w:val="00DA5888"/>
    <w:rsid w:val="00DA5D5A"/>
    <w:rsid w:val="00DA60A3"/>
    <w:rsid w:val="00DA757E"/>
    <w:rsid w:val="00DB01C6"/>
    <w:rsid w:val="00DB04D8"/>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37B8"/>
    <w:rsid w:val="00DC66BF"/>
    <w:rsid w:val="00DC6B7B"/>
    <w:rsid w:val="00DC70D3"/>
    <w:rsid w:val="00DC7E50"/>
    <w:rsid w:val="00DD0247"/>
    <w:rsid w:val="00DD16D4"/>
    <w:rsid w:val="00DD2055"/>
    <w:rsid w:val="00DD27F7"/>
    <w:rsid w:val="00DD5F1F"/>
    <w:rsid w:val="00DD6A66"/>
    <w:rsid w:val="00DE0E97"/>
    <w:rsid w:val="00DE1057"/>
    <w:rsid w:val="00DE19E3"/>
    <w:rsid w:val="00DE27E8"/>
    <w:rsid w:val="00DE30CD"/>
    <w:rsid w:val="00DE3625"/>
    <w:rsid w:val="00DE4661"/>
    <w:rsid w:val="00DE61AD"/>
    <w:rsid w:val="00DE6BFC"/>
    <w:rsid w:val="00DE6DE2"/>
    <w:rsid w:val="00DF036E"/>
    <w:rsid w:val="00DF05A1"/>
    <w:rsid w:val="00DF13A3"/>
    <w:rsid w:val="00DF2EB4"/>
    <w:rsid w:val="00DF3D47"/>
    <w:rsid w:val="00DF490B"/>
    <w:rsid w:val="00DF4CB6"/>
    <w:rsid w:val="00DF5C90"/>
    <w:rsid w:val="00DF5E99"/>
    <w:rsid w:val="00DF5EE8"/>
    <w:rsid w:val="00DF5FCA"/>
    <w:rsid w:val="00DF6A4E"/>
    <w:rsid w:val="00DF6AD9"/>
    <w:rsid w:val="00DF7CD3"/>
    <w:rsid w:val="00E00259"/>
    <w:rsid w:val="00E01A43"/>
    <w:rsid w:val="00E01C27"/>
    <w:rsid w:val="00E01EF3"/>
    <w:rsid w:val="00E04027"/>
    <w:rsid w:val="00E04B41"/>
    <w:rsid w:val="00E0756F"/>
    <w:rsid w:val="00E079C8"/>
    <w:rsid w:val="00E106BC"/>
    <w:rsid w:val="00E10FED"/>
    <w:rsid w:val="00E119E1"/>
    <w:rsid w:val="00E12F75"/>
    <w:rsid w:val="00E12FBF"/>
    <w:rsid w:val="00E1322A"/>
    <w:rsid w:val="00E132CE"/>
    <w:rsid w:val="00E1368C"/>
    <w:rsid w:val="00E15915"/>
    <w:rsid w:val="00E15ABF"/>
    <w:rsid w:val="00E162A5"/>
    <w:rsid w:val="00E16BAA"/>
    <w:rsid w:val="00E17C9E"/>
    <w:rsid w:val="00E20413"/>
    <w:rsid w:val="00E2125C"/>
    <w:rsid w:val="00E21DFD"/>
    <w:rsid w:val="00E23AEB"/>
    <w:rsid w:val="00E23E2C"/>
    <w:rsid w:val="00E25BE1"/>
    <w:rsid w:val="00E25D71"/>
    <w:rsid w:val="00E27519"/>
    <w:rsid w:val="00E27FA0"/>
    <w:rsid w:val="00E313DA"/>
    <w:rsid w:val="00E31753"/>
    <w:rsid w:val="00E31A20"/>
    <w:rsid w:val="00E326DD"/>
    <w:rsid w:val="00E330CA"/>
    <w:rsid w:val="00E33BC3"/>
    <w:rsid w:val="00E353BF"/>
    <w:rsid w:val="00E355A1"/>
    <w:rsid w:val="00E35756"/>
    <w:rsid w:val="00E36847"/>
    <w:rsid w:val="00E36E72"/>
    <w:rsid w:val="00E37A7F"/>
    <w:rsid w:val="00E37B1F"/>
    <w:rsid w:val="00E404D9"/>
    <w:rsid w:val="00E407FF"/>
    <w:rsid w:val="00E41302"/>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376E"/>
    <w:rsid w:val="00E5452C"/>
    <w:rsid w:val="00E550C3"/>
    <w:rsid w:val="00E55356"/>
    <w:rsid w:val="00E553EF"/>
    <w:rsid w:val="00E55682"/>
    <w:rsid w:val="00E56047"/>
    <w:rsid w:val="00E562A4"/>
    <w:rsid w:val="00E56C9F"/>
    <w:rsid w:val="00E57C6A"/>
    <w:rsid w:val="00E61B66"/>
    <w:rsid w:val="00E6234F"/>
    <w:rsid w:val="00E63E14"/>
    <w:rsid w:val="00E642D6"/>
    <w:rsid w:val="00E657AB"/>
    <w:rsid w:val="00E65FAB"/>
    <w:rsid w:val="00E66C55"/>
    <w:rsid w:val="00E66DC0"/>
    <w:rsid w:val="00E7027D"/>
    <w:rsid w:val="00E70391"/>
    <w:rsid w:val="00E71857"/>
    <w:rsid w:val="00E72AEB"/>
    <w:rsid w:val="00E7324B"/>
    <w:rsid w:val="00E75379"/>
    <w:rsid w:val="00E76914"/>
    <w:rsid w:val="00E80765"/>
    <w:rsid w:val="00E81265"/>
    <w:rsid w:val="00E82FAE"/>
    <w:rsid w:val="00E84B7E"/>
    <w:rsid w:val="00E851C4"/>
    <w:rsid w:val="00E8551D"/>
    <w:rsid w:val="00E87D90"/>
    <w:rsid w:val="00E92700"/>
    <w:rsid w:val="00E92A73"/>
    <w:rsid w:val="00E94F99"/>
    <w:rsid w:val="00E9538E"/>
    <w:rsid w:val="00E96610"/>
    <w:rsid w:val="00E96C25"/>
    <w:rsid w:val="00E97620"/>
    <w:rsid w:val="00EA026F"/>
    <w:rsid w:val="00EA0533"/>
    <w:rsid w:val="00EA139F"/>
    <w:rsid w:val="00EA14DB"/>
    <w:rsid w:val="00EA2265"/>
    <w:rsid w:val="00EA2AFC"/>
    <w:rsid w:val="00EA329C"/>
    <w:rsid w:val="00EA34AB"/>
    <w:rsid w:val="00EA4EA7"/>
    <w:rsid w:val="00EA5495"/>
    <w:rsid w:val="00EA6579"/>
    <w:rsid w:val="00EA7331"/>
    <w:rsid w:val="00EA77AF"/>
    <w:rsid w:val="00EA7A2A"/>
    <w:rsid w:val="00EB036E"/>
    <w:rsid w:val="00EB0650"/>
    <w:rsid w:val="00EB0D67"/>
    <w:rsid w:val="00EB16B8"/>
    <w:rsid w:val="00EB3137"/>
    <w:rsid w:val="00EB35A4"/>
    <w:rsid w:val="00EB3FFE"/>
    <w:rsid w:val="00EB455C"/>
    <w:rsid w:val="00EB46DD"/>
    <w:rsid w:val="00EB5057"/>
    <w:rsid w:val="00EB5763"/>
    <w:rsid w:val="00EB5934"/>
    <w:rsid w:val="00EB6293"/>
    <w:rsid w:val="00EB6A07"/>
    <w:rsid w:val="00EB6CCD"/>
    <w:rsid w:val="00EC1C8F"/>
    <w:rsid w:val="00EC1DF6"/>
    <w:rsid w:val="00EC2053"/>
    <w:rsid w:val="00EC2CE0"/>
    <w:rsid w:val="00EC4E28"/>
    <w:rsid w:val="00EC51C6"/>
    <w:rsid w:val="00EC5392"/>
    <w:rsid w:val="00EC7B81"/>
    <w:rsid w:val="00ED0997"/>
    <w:rsid w:val="00ED2C9E"/>
    <w:rsid w:val="00ED43A9"/>
    <w:rsid w:val="00ED5769"/>
    <w:rsid w:val="00ED57AE"/>
    <w:rsid w:val="00ED5B13"/>
    <w:rsid w:val="00ED5CFC"/>
    <w:rsid w:val="00ED5E00"/>
    <w:rsid w:val="00ED6BC5"/>
    <w:rsid w:val="00ED720D"/>
    <w:rsid w:val="00ED7ECB"/>
    <w:rsid w:val="00EE3796"/>
    <w:rsid w:val="00EE40B5"/>
    <w:rsid w:val="00EE4321"/>
    <w:rsid w:val="00EE4812"/>
    <w:rsid w:val="00EE4CF1"/>
    <w:rsid w:val="00EE5588"/>
    <w:rsid w:val="00EE602A"/>
    <w:rsid w:val="00EE637E"/>
    <w:rsid w:val="00EE6FF0"/>
    <w:rsid w:val="00EF043A"/>
    <w:rsid w:val="00EF3203"/>
    <w:rsid w:val="00EF32C1"/>
    <w:rsid w:val="00EF3526"/>
    <w:rsid w:val="00EF4A5E"/>
    <w:rsid w:val="00EF5956"/>
    <w:rsid w:val="00EF6034"/>
    <w:rsid w:val="00EF7BE6"/>
    <w:rsid w:val="00EF7C97"/>
    <w:rsid w:val="00F003C7"/>
    <w:rsid w:val="00F0187B"/>
    <w:rsid w:val="00F03B66"/>
    <w:rsid w:val="00F03DEC"/>
    <w:rsid w:val="00F072DD"/>
    <w:rsid w:val="00F07AD3"/>
    <w:rsid w:val="00F07E05"/>
    <w:rsid w:val="00F11670"/>
    <w:rsid w:val="00F12060"/>
    <w:rsid w:val="00F13495"/>
    <w:rsid w:val="00F13F4B"/>
    <w:rsid w:val="00F16093"/>
    <w:rsid w:val="00F16159"/>
    <w:rsid w:val="00F16942"/>
    <w:rsid w:val="00F16C90"/>
    <w:rsid w:val="00F16DC7"/>
    <w:rsid w:val="00F16DC9"/>
    <w:rsid w:val="00F16E62"/>
    <w:rsid w:val="00F17891"/>
    <w:rsid w:val="00F216F6"/>
    <w:rsid w:val="00F21D39"/>
    <w:rsid w:val="00F228ED"/>
    <w:rsid w:val="00F260BF"/>
    <w:rsid w:val="00F26EB2"/>
    <w:rsid w:val="00F2781D"/>
    <w:rsid w:val="00F279FB"/>
    <w:rsid w:val="00F31C83"/>
    <w:rsid w:val="00F31CBA"/>
    <w:rsid w:val="00F32071"/>
    <w:rsid w:val="00F32488"/>
    <w:rsid w:val="00F32BA1"/>
    <w:rsid w:val="00F3357A"/>
    <w:rsid w:val="00F34ED9"/>
    <w:rsid w:val="00F3753F"/>
    <w:rsid w:val="00F379E2"/>
    <w:rsid w:val="00F37B47"/>
    <w:rsid w:val="00F40023"/>
    <w:rsid w:val="00F40164"/>
    <w:rsid w:val="00F40E6B"/>
    <w:rsid w:val="00F432FD"/>
    <w:rsid w:val="00F43479"/>
    <w:rsid w:val="00F434C5"/>
    <w:rsid w:val="00F44161"/>
    <w:rsid w:val="00F446C6"/>
    <w:rsid w:val="00F4581A"/>
    <w:rsid w:val="00F47B9D"/>
    <w:rsid w:val="00F51783"/>
    <w:rsid w:val="00F52513"/>
    <w:rsid w:val="00F5318E"/>
    <w:rsid w:val="00F533D5"/>
    <w:rsid w:val="00F53409"/>
    <w:rsid w:val="00F53906"/>
    <w:rsid w:val="00F539E6"/>
    <w:rsid w:val="00F54094"/>
    <w:rsid w:val="00F5475D"/>
    <w:rsid w:val="00F54BC7"/>
    <w:rsid w:val="00F56CE7"/>
    <w:rsid w:val="00F60867"/>
    <w:rsid w:val="00F61525"/>
    <w:rsid w:val="00F633F8"/>
    <w:rsid w:val="00F646C9"/>
    <w:rsid w:val="00F647EE"/>
    <w:rsid w:val="00F64DF6"/>
    <w:rsid w:val="00F65F17"/>
    <w:rsid w:val="00F65FC6"/>
    <w:rsid w:val="00F66094"/>
    <w:rsid w:val="00F664BC"/>
    <w:rsid w:val="00F66CFA"/>
    <w:rsid w:val="00F67026"/>
    <w:rsid w:val="00F67258"/>
    <w:rsid w:val="00F67C6D"/>
    <w:rsid w:val="00F67DF5"/>
    <w:rsid w:val="00F711B3"/>
    <w:rsid w:val="00F721F2"/>
    <w:rsid w:val="00F72CC4"/>
    <w:rsid w:val="00F734CB"/>
    <w:rsid w:val="00F738C4"/>
    <w:rsid w:val="00F74290"/>
    <w:rsid w:val="00F748AE"/>
    <w:rsid w:val="00F75142"/>
    <w:rsid w:val="00F751FB"/>
    <w:rsid w:val="00F76478"/>
    <w:rsid w:val="00F76760"/>
    <w:rsid w:val="00F7695D"/>
    <w:rsid w:val="00F77F04"/>
    <w:rsid w:val="00F82715"/>
    <w:rsid w:val="00F82A7E"/>
    <w:rsid w:val="00F82EB4"/>
    <w:rsid w:val="00F84C72"/>
    <w:rsid w:val="00F8561D"/>
    <w:rsid w:val="00F85909"/>
    <w:rsid w:val="00F85A2E"/>
    <w:rsid w:val="00F85AF2"/>
    <w:rsid w:val="00F8670C"/>
    <w:rsid w:val="00F86E16"/>
    <w:rsid w:val="00F8782D"/>
    <w:rsid w:val="00F87B64"/>
    <w:rsid w:val="00F90AB5"/>
    <w:rsid w:val="00F91AED"/>
    <w:rsid w:val="00F92625"/>
    <w:rsid w:val="00F92D03"/>
    <w:rsid w:val="00F93E95"/>
    <w:rsid w:val="00F93F3F"/>
    <w:rsid w:val="00F97129"/>
    <w:rsid w:val="00F97271"/>
    <w:rsid w:val="00F97916"/>
    <w:rsid w:val="00F97C76"/>
    <w:rsid w:val="00FA0589"/>
    <w:rsid w:val="00FA0C5D"/>
    <w:rsid w:val="00FA2900"/>
    <w:rsid w:val="00FA2BE3"/>
    <w:rsid w:val="00FA2DEC"/>
    <w:rsid w:val="00FA3614"/>
    <w:rsid w:val="00FA4478"/>
    <w:rsid w:val="00FA48D0"/>
    <w:rsid w:val="00FA551B"/>
    <w:rsid w:val="00FA61C1"/>
    <w:rsid w:val="00FB02BB"/>
    <w:rsid w:val="00FB03AA"/>
    <w:rsid w:val="00FB0CAC"/>
    <w:rsid w:val="00FB0DF1"/>
    <w:rsid w:val="00FB0F98"/>
    <w:rsid w:val="00FB16F5"/>
    <w:rsid w:val="00FB2132"/>
    <w:rsid w:val="00FB28C5"/>
    <w:rsid w:val="00FB29DA"/>
    <w:rsid w:val="00FB2A4A"/>
    <w:rsid w:val="00FB337F"/>
    <w:rsid w:val="00FB376B"/>
    <w:rsid w:val="00FB3AF3"/>
    <w:rsid w:val="00FB3FA4"/>
    <w:rsid w:val="00FB4A2B"/>
    <w:rsid w:val="00FB4B0F"/>
    <w:rsid w:val="00FB50F8"/>
    <w:rsid w:val="00FB5CF8"/>
    <w:rsid w:val="00FB63C3"/>
    <w:rsid w:val="00FB7EE1"/>
    <w:rsid w:val="00FC03B7"/>
    <w:rsid w:val="00FC19EE"/>
    <w:rsid w:val="00FC3801"/>
    <w:rsid w:val="00FC48AB"/>
    <w:rsid w:val="00FC6019"/>
    <w:rsid w:val="00FC6307"/>
    <w:rsid w:val="00FC7669"/>
    <w:rsid w:val="00FC7B90"/>
    <w:rsid w:val="00FD19B8"/>
    <w:rsid w:val="00FD2371"/>
    <w:rsid w:val="00FD3821"/>
    <w:rsid w:val="00FD472D"/>
    <w:rsid w:val="00FD4E0C"/>
    <w:rsid w:val="00FD5153"/>
    <w:rsid w:val="00FD5E1B"/>
    <w:rsid w:val="00FD6014"/>
    <w:rsid w:val="00FD7888"/>
    <w:rsid w:val="00FE01ED"/>
    <w:rsid w:val="00FE1BC0"/>
    <w:rsid w:val="00FE21B4"/>
    <w:rsid w:val="00FE26BC"/>
    <w:rsid w:val="00FE2846"/>
    <w:rsid w:val="00FE306E"/>
    <w:rsid w:val="00FE311A"/>
    <w:rsid w:val="00FE31C6"/>
    <w:rsid w:val="00FE376F"/>
    <w:rsid w:val="00FE37BA"/>
    <w:rsid w:val="00FE3FDE"/>
    <w:rsid w:val="00FE48C5"/>
    <w:rsid w:val="00FE5C84"/>
    <w:rsid w:val="00FE6047"/>
    <w:rsid w:val="00FE6090"/>
    <w:rsid w:val="00FE6515"/>
    <w:rsid w:val="00FE6A71"/>
    <w:rsid w:val="00FE6ED5"/>
    <w:rsid w:val="00FE71B3"/>
    <w:rsid w:val="00FE7EE6"/>
    <w:rsid w:val="00FF1177"/>
    <w:rsid w:val="00FF14B8"/>
    <w:rsid w:val="00FF2650"/>
    <w:rsid w:val="00FF30B9"/>
    <w:rsid w:val="00FF3277"/>
    <w:rsid w:val="00FF38A2"/>
    <w:rsid w:val="00FF4454"/>
    <w:rsid w:val="00FF44C6"/>
    <w:rsid w:val="00FF5925"/>
    <w:rsid w:val="00FF6F1D"/>
    <w:rsid w:val="00FF776F"/>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5761C"/>
    <w:pPr>
      <w:tabs>
        <w:tab w:val="center" w:pos="4153"/>
        <w:tab w:val="right" w:pos="8306"/>
      </w:tabs>
    </w:pPr>
    <w:rPr>
      <w:lang w:val="x-none" w:eastAsia="x-none"/>
    </w:rPr>
  </w:style>
  <w:style w:type="character" w:customStyle="1" w:styleId="KjeneRakstz">
    <w:name w:val="Kājene Rakstz."/>
    <w:link w:val="Kjene"/>
    <w:uiPriority w:val="99"/>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nhideWhenUsed/>
    <w:rsid w:val="00167E09"/>
    <w:rPr>
      <w:sz w:val="16"/>
      <w:szCs w:val="16"/>
    </w:rPr>
  </w:style>
  <w:style w:type="paragraph" w:styleId="Komentrateksts">
    <w:name w:val="annotation text"/>
    <w:basedOn w:val="Parasts"/>
    <w:link w:val="KomentratekstsRakstz"/>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35280D"/>
    <w:rPr>
      <w:color w:val="605E5C"/>
      <w:shd w:val="clear" w:color="auto" w:fill="E1DFDD"/>
    </w:rPr>
  </w:style>
  <w:style w:type="character" w:customStyle="1" w:styleId="tlid-translation">
    <w:name w:val="tlid-translation"/>
    <w:basedOn w:val="Noklusjumarindkopasfonts"/>
    <w:rsid w:val="00E66C55"/>
  </w:style>
  <w:style w:type="paragraph" w:styleId="HTMLiepriekformattais">
    <w:name w:val="HTML Preformatted"/>
    <w:basedOn w:val="Parasts"/>
    <w:link w:val="HTMLiepriekformattaisRakstz"/>
    <w:uiPriority w:val="99"/>
    <w:semiHidden/>
    <w:unhideWhenUsed/>
    <w:rsid w:val="00DC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DC66BF"/>
    <w:rPr>
      <w:rFonts w:ascii="Courier New" w:eastAsia="Times New Roman" w:hAnsi="Courier New" w:cs="Courier New"/>
    </w:rPr>
  </w:style>
  <w:style w:type="character" w:customStyle="1" w:styleId="acopre">
    <w:name w:val="acopre"/>
    <w:basedOn w:val="Noklusjumarindkopasfonts"/>
    <w:rsid w:val="00404DDF"/>
  </w:style>
  <w:style w:type="paragraph" w:customStyle="1" w:styleId="Titreobjet">
    <w:name w:val="Titre objet"/>
    <w:basedOn w:val="Parasts"/>
    <w:next w:val="Parasts"/>
    <w:rsid w:val="0054707C"/>
    <w:pPr>
      <w:spacing w:before="360" w:after="360"/>
      <w:jc w:val="center"/>
    </w:pPr>
    <w:rPr>
      <w:rFonts w:eastAsiaTheme="minorHAnsi"/>
      <w:b/>
      <w:szCs w:val="22"/>
    </w:rPr>
  </w:style>
  <w:style w:type="paragraph" w:customStyle="1" w:styleId="BasicParagraph">
    <w:name w:val="[Basic Paragraph]"/>
    <w:basedOn w:val="Parasts"/>
    <w:uiPriority w:val="99"/>
    <w:rsid w:val="004256BF"/>
    <w:pPr>
      <w:autoSpaceDE w:val="0"/>
      <w:autoSpaceDN w:val="0"/>
      <w:adjustRightInd w:val="0"/>
      <w:spacing w:line="288" w:lineRule="auto"/>
      <w:textAlignment w:val="center"/>
    </w:pPr>
    <w:rPr>
      <w:rFonts w:ascii="Minion Pro" w:eastAsiaTheme="minorEastAsia" w:hAnsi="Minion Pro" w:cs="Minion Pro"/>
      <w:color w:val="000000"/>
      <w:lang w:val="en-GB" w:eastAsia="ja-JP"/>
    </w:rPr>
  </w:style>
  <w:style w:type="paragraph" w:customStyle="1" w:styleId="Textodenotaderodap1">
    <w:name w:val="Texto de nota de rodapé1"/>
    <w:basedOn w:val="Parasts"/>
    <w:next w:val="Vresteksts"/>
    <w:link w:val="TextodenotaderodapCarter"/>
    <w:uiPriority w:val="99"/>
    <w:semiHidden/>
    <w:unhideWhenUsed/>
    <w:rsid w:val="002C28CB"/>
    <w:pPr>
      <w:jc w:val="both"/>
    </w:pPr>
    <w:rPr>
      <w:rFonts w:ascii="Red Hat Display" w:eastAsia="Yu Mincho" w:hAnsi="Red Hat Display" w:cs="Arial"/>
      <w:color w:val="001833"/>
      <w:sz w:val="20"/>
      <w:szCs w:val="20"/>
      <w:lang w:val="en-US" w:eastAsia="ja-JP"/>
    </w:rPr>
  </w:style>
  <w:style w:type="character" w:customStyle="1" w:styleId="TextodenotaderodapCarter">
    <w:name w:val="Texto de nota de rodapé Caráter"/>
    <w:basedOn w:val="Noklusjumarindkopasfonts"/>
    <w:link w:val="Textodenotaderodap1"/>
    <w:uiPriority w:val="99"/>
    <w:semiHidden/>
    <w:rsid w:val="002C28CB"/>
    <w:rPr>
      <w:rFonts w:ascii="Red Hat Display" w:eastAsia="Yu Mincho" w:hAnsi="Red Hat Display" w:cs="Arial"/>
      <w:color w:val="001833"/>
      <w:lang w:val="en-US" w:eastAsia="ja-JP"/>
    </w:rPr>
  </w:style>
  <w:style w:type="character" w:styleId="Izmantotahipersaite">
    <w:name w:val="FollowedHyperlink"/>
    <w:basedOn w:val="Noklusjumarindkopasfonts"/>
    <w:uiPriority w:val="99"/>
    <w:semiHidden/>
    <w:unhideWhenUsed/>
    <w:rsid w:val="00DE1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49036603">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58682542">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81830574">
      <w:bodyDiv w:val="1"/>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sChild>
            <w:div w:id="1206985059">
              <w:marLeft w:val="0"/>
              <w:marRight w:val="0"/>
              <w:marTop w:val="0"/>
              <w:marBottom w:val="0"/>
              <w:divBdr>
                <w:top w:val="none" w:sz="0" w:space="0" w:color="auto"/>
                <w:left w:val="none" w:sz="0" w:space="0" w:color="auto"/>
                <w:bottom w:val="none" w:sz="0" w:space="0" w:color="auto"/>
                <w:right w:val="none" w:sz="0" w:space="0" w:color="auto"/>
              </w:divBdr>
              <w:divsChild>
                <w:div w:id="1287662947">
                  <w:marLeft w:val="0"/>
                  <w:marRight w:val="0"/>
                  <w:marTop w:val="0"/>
                  <w:marBottom w:val="0"/>
                  <w:divBdr>
                    <w:top w:val="none" w:sz="0" w:space="0" w:color="auto"/>
                    <w:left w:val="none" w:sz="0" w:space="0" w:color="auto"/>
                    <w:bottom w:val="none" w:sz="0" w:space="0" w:color="auto"/>
                    <w:right w:val="none" w:sz="0" w:space="0" w:color="auto"/>
                  </w:divBdr>
                  <w:divsChild>
                    <w:div w:id="156726856">
                      <w:marLeft w:val="-150"/>
                      <w:marRight w:val="-150"/>
                      <w:marTop w:val="0"/>
                      <w:marBottom w:val="0"/>
                      <w:divBdr>
                        <w:top w:val="none" w:sz="0" w:space="0" w:color="auto"/>
                        <w:left w:val="none" w:sz="0" w:space="0" w:color="auto"/>
                        <w:bottom w:val="none" w:sz="0" w:space="0" w:color="auto"/>
                        <w:right w:val="none" w:sz="0" w:space="0" w:color="auto"/>
                      </w:divBdr>
                      <w:divsChild>
                        <w:div w:id="1060010993">
                          <w:marLeft w:val="0"/>
                          <w:marRight w:val="0"/>
                          <w:marTop w:val="0"/>
                          <w:marBottom w:val="0"/>
                          <w:divBdr>
                            <w:top w:val="none" w:sz="0" w:space="0" w:color="auto"/>
                            <w:left w:val="none" w:sz="0" w:space="0" w:color="auto"/>
                            <w:bottom w:val="none" w:sz="0" w:space="0" w:color="auto"/>
                            <w:right w:val="none" w:sz="0" w:space="0" w:color="auto"/>
                          </w:divBdr>
                          <w:divsChild>
                            <w:div w:id="1198353420">
                              <w:marLeft w:val="0"/>
                              <w:marRight w:val="0"/>
                              <w:marTop w:val="0"/>
                              <w:marBottom w:val="0"/>
                              <w:divBdr>
                                <w:top w:val="none" w:sz="0" w:space="0" w:color="auto"/>
                                <w:left w:val="none" w:sz="0" w:space="0" w:color="auto"/>
                                <w:bottom w:val="none" w:sz="0" w:space="0" w:color="auto"/>
                                <w:right w:val="none" w:sz="0" w:space="0" w:color="auto"/>
                              </w:divBdr>
                              <w:divsChild>
                                <w:div w:id="349186967">
                                  <w:marLeft w:val="0"/>
                                  <w:marRight w:val="0"/>
                                  <w:marTop w:val="0"/>
                                  <w:marBottom w:val="300"/>
                                  <w:divBdr>
                                    <w:top w:val="none" w:sz="0" w:space="0" w:color="auto"/>
                                    <w:left w:val="none" w:sz="0" w:space="0" w:color="auto"/>
                                    <w:bottom w:val="none" w:sz="0" w:space="0" w:color="auto"/>
                                    <w:right w:val="none" w:sz="0" w:space="0" w:color="auto"/>
                                  </w:divBdr>
                                  <w:divsChild>
                                    <w:div w:id="1080058844">
                                      <w:marLeft w:val="0"/>
                                      <w:marRight w:val="0"/>
                                      <w:marTop w:val="0"/>
                                      <w:marBottom w:val="0"/>
                                      <w:divBdr>
                                        <w:top w:val="none" w:sz="0" w:space="0" w:color="auto"/>
                                        <w:left w:val="none" w:sz="0" w:space="0" w:color="auto"/>
                                        <w:bottom w:val="none" w:sz="0" w:space="0" w:color="auto"/>
                                        <w:right w:val="none" w:sz="0" w:space="0" w:color="auto"/>
                                      </w:divBdr>
                                      <w:divsChild>
                                        <w:div w:id="460344440">
                                          <w:marLeft w:val="0"/>
                                          <w:marRight w:val="0"/>
                                          <w:marTop w:val="0"/>
                                          <w:marBottom w:val="0"/>
                                          <w:divBdr>
                                            <w:top w:val="none" w:sz="0" w:space="0" w:color="auto"/>
                                            <w:left w:val="none" w:sz="0" w:space="0" w:color="auto"/>
                                            <w:bottom w:val="none" w:sz="0" w:space="0" w:color="auto"/>
                                            <w:right w:val="none" w:sz="0" w:space="0" w:color="auto"/>
                                          </w:divBdr>
                                          <w:divsChild>
                                            <w:div w:id="1828741711">
                                              <w:marLeft w:val="0"/>
                                              <w:marRight w:val="0"/>
                                              <w:marTop w:val="0"/>
                                              <w:marBottom w:val="0"/>
                                              <w:divBdr>
                                                <w:top w:val="none" w:sz="0" w:space="0" w:color="auto"/>
                                                <w:left w:val="none" w:sz="0" w:space="0" w:color="auto"/>
                                                <w:bottom w:val="none" w:sz="0" w:space="0" w:color="auto"/>
                                                <w:right w:val="none" w:sz="0" w:space="0" w:color="auto"/>
                                              </w:divBdr>
                                              <w:divsChild>
                                                <w:div w:id="1662347698">
                                                  <w:marLeft w:val="0"/>
                                                  <w:marRight w:val="0"/>
                                                  <w:marTop w:val="0"/>
                                                  <w:marBottom w:val="0"/>
                                                  <w:divBdr>
                                                    <w:top w:val="none" w:sz="0" w:space="0" w:color="auto"/>
                                                    <w:left w:val="none" w:sz="0" w:space="0" w:color="auto"/>
                                                    <w:bottom w:val="none" w:sz="0" w:space="0" w:color="auto"/>
                                                    <w:right w:val="none" w:sz="0" w:space="0" w:color="auto"/>
                                                  </w:divBdr>
                                                  <w:divsChild>
                                                    <w:div w:id="927496944">
                                                      <w:marLeft w:val="0"/>
                                                      <w:marRight w:val="0"/>
                                                      <w:marTop w:val="0"/>
                                                      <w:marBottom w:val="0"/>
                                                      <w:divBdr>
                                                        <w:top w:val="none" w:sz="0" w:space="0" w:color="auto"/>
                                                        <w:left w:val="none" w:sz="0" w:space="0" w:color="auto"/>
                                                        <w:bottom w:val="none" w:sz="0" w:space="0" w:color="auto"/>
                                                        <w:right w:val="none" w:sz="0" w:space="0" w:color="auto"/>
                                                      </w:divBdr>
                                                      <w:divsChild>
                                                        <w:div w:id="421604089">
                                                          <w:marLeft w:val="0"/>
                                                          <w:marRight w:val="0"/>
                                                          <w:marTop w:val="0"/>
                                                          <w:marBottom w:val="0"/>
                                                          <w:divBdr>
                                                            <w:top w:val="none" w:sz="0" w:space="0" w:color="auto"/>
                                                            <w:left w:val="none" w:sz="0" w:space="0" w:color="auto"/>
                                                            <w:bottom w:val="none" w:sz="0" w:space="0" w:color="auto"/>
                                                            <w:right w:val="none" w:sz="0" w:space="0" w:color="auto"/>
                                                          </w:divBdr>
                                                          <w:divsChild>
                                                            <w:div w:id="1879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927249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6075">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68426773">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26420799">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18505907">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61241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10210859">
      <w:bodyDiv w:val="1"/>
      <w:marLeft w:val="0"/>
      <w:marRight w:val="0"/>
      <w:marTop w:val="0"/>
      <w:marBottom w:val="0"/>
      <w:divBdr>
        <w:top w:val="none" w:sz="0" w:space="0" w:color="auto"/>
        <w:left w:val="none" w:sz="0" w:space="0" w:color="auto"/>
        <w:bottom w:val="none" w:sz="0" w:space="0" w:color="auto"/>
        <w:right w:val="none" w:sz="0" w:space="0" w:color="auto"/>
      </w:divBdr>
    </w:div>
    <w:div w:id="134408658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9358">
      <w:bodyDiv w:val="1"/>
      <w:marLeft w:val="0"/>
      <w:marRight w:val="0"/>
      <w:marTop w:val="0"/>
      <w:marBottom w:val="0"/>
      <w:divBdr>
        <w:top w:val="none" w:sz="0" w:space="0" w:color="auto"/>
        <w:left w:val="none" w:sz="0" w:space="0" w:color="auto"/>
        <w:bottom w:val="none" w:sz="0" w:space="0" w:color="auto"/>
        <w:right w:val="none" w:sz="0" w:space="0" w:color="auto"/>
      </w:divBdr>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28944">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76898416">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127969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1380-grozijumi-prokuraturas-likuma" TargetMode="External"/><Relationship Id="rId2" Type="http://schemas.openxmlformats.org/officeDocument/2006/relationships/hyperlink" Target="https://likumi.lv/ta/id/320345-grozijumi-kriminalprocesa-likuma" TargetMode="External"/><Relationship Id="rId1" Type="http://schemas.openxmlformats.org/officeDocument/2006/relationships/hyperlink" Target="https://eur-lex.europa.eu/LexUriServ/LexUriServ.do?uri=COM:2020:0713:FIN: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0F07-2B6C-4A19-BE13-62ADA57E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6111</Words>
  <Characters>3484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2021. gada 11. marta Eiropas Savienības Tieslietu ministru neformālās padomes videokonferences sanāksmē izskatāmajiem jautājumiem"</vt:lpstr>
      <vt:lpstr>Informatīvais ziņojums "Par 2021. gada 11. marta Eiropas Savienības Tieslietu ministru neformālās padomes videokonferences sanāksmē izskatāmajiem jautājumiem"</vt:lpstr>
    </vt:vector>
  </TitlesOfParts>
  <Company>Tieslietu ministrija</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2021. gada 11. marta Eiropas Savienības Tieslietu ministru neformālās padomes videokonferences sanāksmē izskatāmajiem jautājumiem"</dc:title>
  <dc:subject>Informatīvais ziņojums</dc:subject>
  <dc:creator>Arta Poiša</dc:creator>
  <dc:description>67036912, Arta.Poisa@tm.gov.lv</dc:description>
  <cp:lastModifiedBy>Arta Poiša</cp:lastModifiedBy>
  <cp:revision>4</cp:revision>
  <cp:lastPrinted>2021-03-05T12:31:00Z</cp:lastPrinted>
  <dcterms:created xsi:type="dcterms:W3CDTF">2021-03-08T06:06:00Z</dcterms:created>
  <dcterms:modified xsi:type="dcterms:W3CDTF">2021-03-08T06:55:00Z</dcterms:modified>
</cp:coreProperties>
</file>