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79D8950F" w:rsidR="00154D75" w:rsidRDefault="00E37855" w:rsidP="005C2B20">
      <w:pPr>
        <w:ind w:right="-2"/>
        <w:jc w:val="center"/>
        <w:rPr>
          <w:b/>
          <w:bCs/>
        </w:rPr>
      </w:pPr>
      <w:r w:rsidRPr="00E37855">
        <w:rPr>
          <w:b/>
          <w:bCs/>
        </w:rPr>
        <w:t xml:space="preserve">Ministru kabineta rīkojuma projekta „Par valstij piekrītošā nekustamā īpašuma </w:t>
      </w:r>
      <w:r w:rsidR="00303142">
        <w:rPr>
          <w:b/>
          <w:bCs/>
        </w:rPr>
        <w:t>“Bortnieki Viens”</w:t>
      </w:r>
      <w:r w:rsidR="00313706">
        <w:rPr>
          <w:b/>
          <w:bCs/>
        </w:rPr>
        <w:t>, Lomu-Bortnieku ciemā</w:t>
      </w:r>
      <w:r w:rsidR="00303142">
        <w:rPr>
          <w:b/>
          <w:bCs/>
        </w:rPr>
        <w:t>, Galēnu pagastā</w:t>
      </w:r>
      <w:r w:rsidRPr="00E37855">
        <w:rPr>
          <w:b/>
          <w:bCs/>
        </w:rPr>
        <w:t xml:space="preserve">, </w:t>
      </w:r>
      <w:r w:rsidR="00303142">
        <w:rPr>
          <w:b/>
          <w:bCs/>
        </w:rPr>
        <w:t>Riebiņu</w:t>
      </w:r>
      <w:r w:rsidR="00A50D63">
        <w:rPr>
          <w:b/>
          <w:bCs/>
        </w:rPr>
        <w:t xml:space="preserve"> novadā </w:t>
      </w:r>
      <w:r w:rsidRPr="00E37855">
        <w:rPr>
          <w:b/>
          <w:bCs/>
        </w:rPr>
        <w:t xml:space="preserve">nodošanu </w:t>
      </w:r>
      <w:r w:rsidR="00303142">
        <w:rPr>
          <w:b/>
          <w:bCs/>
        </w:rPr>
        <w:t>Riebiņu</w:t>
      </w:r>
      <w:r w:rsidR="00822702">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38022564"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E37855" w:rsidRPr="00E37855">
              <w:rPr>
                <w:color w:val="000000" w:themeColor="text1"/>
              </w:rPr>
              <w:t xml:space="preserve">Par valstij piekrītošā nekustamā īpašuma </w:t>
            </w:r>
            <w:r w:rsidR="00552573" w:rsidRPr="00552573">
              <w:rPr>
                <w:color w:val="000000" w:themeColor="text1"/>
              </w:rPr>
              <w:t>“B</w:t>
            </w:r>
            <w:r w:rsidR="000A45BC">
              <w:rPr>
                <w:color w:val="000000" w:themeColor="text1"/>
              </w:rPr>
              <w:t>ortnieki Viens”, Lomu-Bortnieku ciemā</w:t>
            </w:r>
            <w:r w:rsidR="00552573" w:rsidRPr="00552573">
              <w:rPr>
                <w:color w:val="000000" w:themeColor="text1"/>
              </w:rPr>
              <w:t>, Galēnu pagastā, Riebiņu novadā nodošanu Riebiņu novada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DF7233">
              <w:rPr>
                <w:color w:val="000000" w:themeColor="text1"/>
              </w:rPr>
              <w:t>Riebiņu</w:t>
            </w:r>
            <w:r>
              <w:rPr>
                <w:color w:val="000000" w:themeColor="text1"/>
              </w:rPr>
              <w:t xml:space="preserve"> novada pašvaldībai </w:t>
            </w:r>
            <w:r w:rsidR="00DF7233">
              <w:rPr>
                <w:color w:val="000000" w:themeColor="text1"/>
              </w:rPr>
              <w:t>ēkas –</w:t>
            </w:r>
            <w:r w:rsidR="005B0966">
              <w:rPr>
                <w:color w:val="000000" w:themeColor="text1"/>
              </w:rPr>
              <w:t xml:space="preserve"> dzīvojamo</w:t>
            </w:r>
            <w:r w:rsidR="00DF7233">
              <w:rPr>
                <w:color w:val="000000" w:themeColor="text1"/>
              </w:rPr>
              <w:t xml:space="preserve"> māju un četras palīgēkas, “Bortnieki Viens”, Lomu-Bortnieku ciemā, Galēnu pagastā, Riebiņu novadā</w:t>
            </w:r>
            <w:r w:rsidR="00DA0796">
              <w:rPr>
                <w:color w:val="000000" w:themeColor="text1"/>
              </w:rPr>
              <w:t xml:space="preserve"> (turpmāk arī– </w:t>
            </w:r>
            <w:r w:rsidR="00712710">
              <w:rPr>
                <w:color w:val="000000" w:themeColor="text1"/>
              </w:rPr>
              <w:t>ēku</w:t>
            </w:r>
            <w:r w:rsidR="00DA0796">
              <w:rPr>
                <w:color w:val="000000" w:themeColor="text1"/>
              </w:rPr>
              <w:t xml:space="preserve"> 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329"/>
        <w:gridCol w:w="6378"/>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2ED90C4B" w:rsidR="00154D75" w:rsidRDefault="00F16D3B" w:rsidP="00851E73">
            <w:pPr>
              <w:pStyle w:val="naisnod"/>
              <w:tabs>
                <w:tab w:val="left" w:pos="9072"/>
              </w:tabs>
              <w:spacing w:before="0" w:after="0" w:line="276" w:lineRule="auto"/>
              <w:ind w:right="-80"/>
            </w:pPr>
            <w:r>
              <w:t>I. </w:t>
            </w:r>
            <w:r w:rsidR="00154D75">
              <w:t>Tiesību akta projekta izstrādes nepieciešamība</w:t>
            </w:r>
          </w:p>
        </w:tc>
      </w:tr>
      <w:tr w:rsidR="00154D75" w14:paraId="0A1EDF45" w14:textId="77777777" w:rsidTr="00E15D38">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329"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378"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E15D38">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329" w:type="dxa"/>
            <w:tcBorders>
              <w:top w:val="single" w:sz="4" w:space="0" w:color="auto"/>
              <w:left w:val="single" w:sz="4" w:space="0" w:color="auto"/>
              <w:bottom w:val="single" w:sz="4" w:space="0" w:color="auto"/>
              <w:right w:val="single" w:sz="4" w:space="0" w:color="auto"/>
            </w:tcBorders>
            <w:hideMark/>
          </w:tcPr>
          <w:p w14:paraId="65158AC0" w14:textId="529E8DF8" w:rsidR="00154D75" w:rsidRPr="00B9586E" w:rsidRDefault="00154D75" w:rsidP="00E15D38">
            <w:r>
              <w:t>Pašreizējā situācija un problēmas</w:t>
            </w:r>
            <w:r w:rsidRPr="001247E9">
              <w:t>, kuru risināšanai tiesību akta projekts izstrādāts, tiesiskā regulējuma mērķis un būtība</w:t>
            </w:r>
          </w:p>
        </w:tc>
        <w:tc>
          <w:tcPr>
            <w:tcW w:w="6378" w:type="dxa"/>
            <w:tcBorders>
              <w:top w:val="single" w:sz="4" w:space="0" w:color="auto"/>
              <w:left w:val="single" w:sz="4" w:space="0" w:color="auto"/>
              <w:bottom w:val="single" w:sz="4" w:space="0" w:color="auto"/>
              <w:right w:val="single" w:sz="4" w:space="0" w:color="auto"/>
            </w:tcBorders>
            <w:hideMark/>
          </w:tcPr>
          <w:p w14:paraId="656E79A7" w14:textId="143CFE95" w:rsidR="000E4125" w:rsidRDefault="009A08AA" w:rsidP="000E4125">
            <w:pPr>
              <w:tabs>
                <w:tab w:val="left" w:pos="9072"/>
              </w:tabs>
              <w:ind w:left="199" w:right="165"/>
              <w:jc w:val="both"/>
              <w:rPr>
                <w:color w:val="000000" w:themeColor="text1"/>
              </w:rPr>
            </w:pPr>
            <w:r w:rsidRPr="00271D97">
              <w:rPr>
                <w:color w:val="000000" w:themeColor="text1"/>
              </w:rPr>
              <w:t xml:space="preserve">Ar </w:t>
            </w:r>
            <w:r w:rsidR="002D5EBA" w:rsidRPr="00271D97">
              <w:rPr>
                <w:color w:val="000000" w:themeColor="text1"/>
              </w:rPr>
              <w:t xml:space="preserve">Daugavpils tiesas </w:t>
            </w:r>
            <w:r w:rsidR="00DC753E" w:rsidRPr="00271D97">
              <w:rPr>
                <w:color w:val="000000" w:themeColor="text1"/>
              </w:rPr>
              <w:t>201</w:t>
            </w:r>
            <w:r w:rsidR="00CB67DF">
              <w:rPr>
                <w:color w:val="000000" w:themeColor="text1"/>
              </w:rPr>
              <w:t>9</w:t>
            </w:r>
            <w:r w:rsidR="00DC753E" w:rsidRPr="00271D97">
              <w:rPr>
                <w:color w:val="000000" w:themeColor="text1"/>
              </w:rPr>
              <w:t>. gada 7</w:t>
            </w:r>
            <w:r w:rsidRPr="00271D97">
              <w:rPr>
                <w:color w:val="000000" w:themeColor="text1"/>
              </w:rPr>
              <w:t>. janvāra spriedumu (stājies spēkā 201</w:t>
            </w:r>
            <w:r w:rsidR="00931176">
              <w:rPr>
                <w:color w:val="000000" w:themeColor="text1"/>
              </w:rPr>
              <w:t>9</w:t>
            </w:r>
            <w:r w:rsidRPr="00271D97">
              <w:rPr>
                <w:color w:val="000000" w:themeColor="text1"/>
              </w:rPr>
              <w:t xml:space="preserve">. gada </w:t>
            </w:r>
            <w:r w:rsidR="00DC753E" w:rsidRPr="00271D97">
              <w:rPr>
                <w:color w:val="000000" w:themeColor="text1"/>
              </w:rPr>
              <w:t>29. janvārī</w:t>
            </w:r>
            <w:r w:rsidRPr="00271D97">
              <w:rPr>
                <w:color w:val="000000" w:themeColor="text1"/>
              </w:rPr>
              <w:t>) civillietā Nr. </w:t>
            </w:r>
            <w:r w:rsidR="00DC58FB" w:rsidRPr="00271D97">
              <w:rPr>
                <w:color w:val="000000" w:themeColor="text1"/>
              </w:rPr>
              <w:t>C12207018</w:t>
            </w:r>
            <w:r w:rsidRPr="00271D97">
              <w:rPr>
                <w:color w:val="000000" w:themeColor="text1"/>
              </w:rPr>
              <w:t xml:space="preserve"> (turpmāk – tiesas spriedums) nolemts atzīt</w:t>
            </w:r>
            <w:r w:rsidR="00D3237E" w:rsidRPr="00271D97">
              <w:rPr>
                <w:color w:val="000000" w:themeColor="text1"/>
              </w:rPr>
              <w:t>, ka ēkas</w:t>
            </w:r>
            <w:r w:rsidR="008E77FB" w:rsidRPr="00271D97">
              <w:rPr>
                <w:color w:val="000000" w:themeColor="text1"/>
              </w:rPr>
              <w:t xml:space="preserve"> ar nosaukumu</w:t>
            </w:r>
            <w:r w:rsidR="00D67DD6" w:rsidRPr="00271D97">
              <w:rPr>
                <w:color w:val="000000" w:themeColor="text1"/>
              </w:rPr>
              <w:t xml:space="preserve"> “Bortnieki Viens” ar kopējo platību dzīvojamai mājai 315,0 m</w:t>
            </w:r>
            <w:r w:rsidR="00D67DD6" w:rsidRPr="00271D97">
              <w:rPr>
                <w:color w:val="000000" w:themeColor="text1"/>
                <w:vertAlign w:val="superscript"/>
              </w:rPr>
              <w:t xml:space="preserve">2 </w:t>
            </w:r>
            <w:r w:rsidR="00D67DD6" w:rsidRPr="00271D97">
              <w:rPr>
                <w:color w:val="000000" w:themeColor="text1"/>
              </w:rPr>
              <w:t>(kadastra apzīmējums 7648 004 0062 001), šķūnim ar kopējo platību 75,6 m</w:t>
            </w:r>
            <w:r w:rsidR="00D67DD6" w:rsidRPr="00271D97">
              <w:rPr>
                <w:color w:val="000000" w:themeColor="text1"/>
                <w:vertAlign w:val="superscript"/>
              </w:rPr>
              <w:t>2</w:t>
            </w:r>
            <w:r w:rsidR="00D67DD6" w:rsidRPr="00271D97">
              <w:rPr>
                <w:color w:val="000000" w:themeColor="text1"/>
              </w:rPr>
              <w:t xml:space="preserve"> (kadastra apzīmējums 7648 004 0062), kūtij ar kopējo platību 37,1 m</w:t>
            </w:r>
            <w:r w:rsidR="00D67DD6" w:rsidRPr="00271D97">
              <w:rPr>
                <w:color w:val="000000" w:themeColor="text1"/>
                <w:vertAlign w:val="superscript"/>
              </w:rPr>
              <w:t>2</w:t>
            </w:r>
            <w:r w:rsidR="00D67DD6" w:rsidRPr="00271D97">
              <w:rPr>
                <w:color w:val="000000" w:themeColor="text1"/>
              </w:rPr>
              <w:t xml:space="preserve"> (kadastra apzīmējums 7648 004 0062 003), šķūnim ar kopējo platību 43,1 m</w:t>
            </w:r>
            <w:r w:rsidR="00D67DD6" w:rsidRPr="00271D97">
              <w:rPr>
                <w:color w:val="000000" w:themeColor="text1"/>
                <w:vertAlign w:val="superscript"/>
              </w:rPr>
              <w:t>2</w:t>
            </w:r>
            <w:r w:rsidR="00D67DD6" w:rsidRPr="00271D97">
              <w:rPr>
                <w:color w:val="000000" w:themeColor="text1"/>
              </w:rPr>
              <w:t xml:space="preserve"> (kadastra apzīmējums 7648 004 0062 004) un pirtij ar kopējo platību 14,1 m</w:t>
            </w:r>
            <w:r w:rsidR="00D67DD6" w:rsidRPr="00271D97">
              <w:rPr>
                <w:color w:val="000000" w:themeColor="text1"/>
                <w:vertAlign w:val="superscript"/>
              </w:rPr>
              <w:t>2</w:t>
            </w:r>
            <w:r w:rsidR="00D67DD6" w:rsidRPr="00271D97">
              <w:rPr>
                <w:color w:val="000000" w:themeColor="text1"/>
              </w:rPr>
              <w:t xml:space="preserve"> </w:t>
            </w:r>
            <w:r w:rsidR="00FA523F" w:rsidRPr="00271D97">
              <w:rPr>
                <w:color w:val="000000" w:themeColor="text1"/>
              </w:rPr>
              <w:t>(kadastra apzīmējums 7648 004 0062 005)</w:t>
            </w:r>
            <w:r w:rsidR="00AD35B6">
              <w:rPr>
                <w:color w:val="000000" w:themeColor="text1"/>
              </w:rPr>
              <w:t xml:space="preserve"> (turpmāk arī – ēku </w:t>
            </w:r>
            <w:r w:rsidR="000E4125">
              <w:rPr>
                <w:color w:val="000000" w:themeColor="text1"/>
              </w:rPr>
              <w:t>īpašums)</w:t>
            </w:r>
            <w:r w:rsidR="00FA523F" w:rsidRPr="00271D97">
              <w:rPr>
                <w:color w:val="000000" w:themeColor="text1"/>
              </w:rPr>
              <w:t xml:space="preserve">, kas atrodas “Bortnieki Viens”, Lomu-Bortnieku ciemā, Galēnu pagastā, Riebiņu novadā, ir </w:t>
            </w:r>
            <w:r w:rsidR="005B0966">
              <w:rPr>
                <w:color w:val="000000" w:themeColor="text1"/>
              </w:rPr>
              <w:t>atzītas par bezīpašnieka mantu</w:t>
            </w:r>
            <w:r w:rsidR="00FA523F" w:rsidRPr="00271D97">
              <w:rPr>
                <w:color w:val="000000" w:themeColor="text1"/>
              </w:rPr>
              <w:t xml:space="preserve"> un piekritīga valstij</w:t>
            </w:r>
            <w:r w:rsidR="00942359">
              <w:rPr>
                <w:color w:val="000000" w:themeColor="text1"/>
              </w:rPr>
              <w:t xml:space="preserve"> atbilstoši Latvijas Republikas Civillikuma 930. pantam</w:t>
            </w:r>
          </w:p>
          <w:p w14:paraId="0E6A436C" w14:textId="77777777" w:rsidR="00942359" w:rsidRDefault="00942359" w:rsidP="000E4125">
            <w:pPr>
              <w:tabs>
                <w:tab w:val="left" w:pos="9072"/>
              </w:tabs>
              <w:ind w:left="199" w:right="165"/>
              <w:jc w:val="both"/>
              <w:rPr>
                <w:color w:val="000000" w:themeColor="text1"/>
              </w:rPr>
            </w:pPr>
          </w:p>
          <w:p w14:paraId="57BBAF09" w14:textId="19AF89B2" w:rsidR="009A08AA" w:rsidRDefault="000E4125" w:rsidP="000E4125">
            <w:pPr>
              <w:tabs>
                <w:tab w:val="left" w:pos="9072"/>
              </w:tabs>
              <w:ind w:left="199" w:right="165"/>
              <w:jc w:val="both"/>
              <w:rPr>
                <w:color w:val="000000" w:themeColor="text1"/>
              </w:rPr>
            </w:pPr>
            <w:r w:rsidRPr="00C12CE2">
              <w:rPr>
                <w:color w:val="000000" w:themeColor="text1"/>
              </w:rPr>
              <w:t>Ēk</w:t>
            </w:r>
            <w:r w:rsidR="00942359">
              <w:rPr>
                <w:color w:val="000000" w:themeColor="text1"/>
              </w:rPr>
              <w:t>u īpašums</w:t>
            </w:r>
            <w:r w:rsidRPr="00C12CE2">
              <w:rPr>
                <w:color w:val="000000" w:themeColor="text1"/>
              </w:rPr>
              <w:t xml:space="preserve"> nav ierakstīts zemesgrāmatā</w:t>
            </w:r>
            <w:r w:rsidR="00942359">
              <w:rPr>
                <w:color w:val="000000" w:themeColor="text1"/>
              </w:rPr>
              <w:t>,</w:t>
            </w:r>
            <w:r w:rsidRPr="00C12CE2">
              <w:rPr>
                <w:color w:val="000000" w:themeColor="text1"/>
              </w:rPr>
              <w:t xml:space="preserve"> un</w:t>
            </w:r>
            <w:r w:rsidR="009A08AA" w:rsidRPr="00C12CE2">
              <w:rPr>
                <w:color w:val="000000" w:themeColor="text1"/>
              </w:rPr>
              <w:t xml:space="preserve"> atrodas </w:t>
            </w:r>
            <w:r w:rsidR="007301EF" w:rsidRPr="00271D97">
              <w:rPr>
                <w:color w:val="000000" w:themeColor="text1"/>
              </w:rPr>
              <w:t>uz Riebiņu novada pašvaldībai piederošas zemes gabala (kadastra Nr. </w:t>
            </w:r>
            <w:r w:rsidR="007301EF" w:rsidRPr="00E7344C">
              <w:rPr>
                <w:color w:val="000000" w:themeColor="text1"/>
              </w:rPr>
              <w:t>7648 004 0062).</w:t>
            </w:r>
            <w:r w:rsidR="000A7304" w:rsidRPr="00E7344C">
              <w:rPr>
                <w:color w:val="000000" w:themeColor="text1"/>
              </w:rPr>
              <w:t xml:space="preserve"> Īpašumtiesības </w:t>
            </w:r>
            <w:r w:rsidR="009A08AA" w:rsidRPr="00E7344C">
              <w:rPr>
                <w:color w:val="000000" w:themeColor="text1"/>
              </w:rPr>
              <w:t xml:space="preserve">uz zemes vienību ir nostiprinātas </w:t>
            </w:r>
            <w:r w:rsidR="005911F6" w:rsidRPr="00E7344C">
              <w:rPr>
                <w:color w:val="000000" w:themeColor="text1"/>
              </w:rPr>
              <w:t>Daugavpils tiesas Zemesgrāmatu nodaļas Galēnu</w:t>
            </w:r>
            <w:r w:rsidR="009A08AA" w:rsidRPr="00E7344C">
              <w:rPr>
                <w:color w:val="000000" w:themeColor="text1"/>
              </w:rPr>
              <w:t xml:space="preserve"> pagasta zemes</w:t>
            </w:r>
            <w:r w:rsidR="005911F6" w:rsidRPr="00E7344C">
              <w:rPr>
                <w:color w:val="000000" w:themeColor="text1"/>
              </w:rPr>
              <w:t>grāmatas nodalījumā Nr. 100000577927</w:t>
            </w:r>
            <w:r w:rsidR="009A08AA" w:rsidRPr="00E7344C">
              <w:rPr>
                <w:color w:val="000000" w:themeColor="text1"/>
              </w:rPr>
              <w:t>.</w:t>
            </w:r>
            <w:r w:rsidR="007301EF" w:rsidRPr="00271D97">
              <w:rPr>
                <w:color w:val="000000" w:themeColor="text1"/>
              </w:rPr>
              <w:t xml:space="preserve"> </w:t>
            </w:r>
          </w:p>
          <w:p w14:paraId="5680AC1B" w14:textId="77777777" w:rsidR="00E15D38" w:rsidRPr="00E15D38" w:rsidRDefault="00EE7B6F" w:rsidP="00851E73">
            <w:pPr>
              <w:pStyle w:val="tv2131"/>
              <w:tabs>
                <w:tab w:val="left" w:pos="9072"/>
              </w:tabs>
              <w:spacing w:line="240" w:lineRule="auto"/>
              <w:ind w:left="198" w:right="164" w:firstLine="0"/>
              <w:jc w:val="both"/>
              <w:rPr>
                <w:color w:val="000000" w:themeColor="text1"/>
                <w:sz w:val="24"/>
                <w:szCs w:val="24"/>
              </w:rPr>
            </w:pPr>
            <w:r w:rsidRPr="00E15D38">
              <w:rPr>
                <w:sz w:val="24"/>
                <w:szCs w:val="24"/>
              </w:rPr>
              <w:t>A</w:t>
            </w:r>
            <w:r w:rsidRPr="00E15D38">
              <w:rPr>
                <w:color w:val="000000" w:themeColor="text1"/>
                <w:sz w:val="24"/>
                <w:szCs w:val="24"/>
              </w:rPr>
              <w:t>tbilstoši Nekustamā īpašuma valsts kadastra informācijas sistēmas datiem (turpmāk – NĪVKIS) nekustamā īpašuma sastāvā ietilpstošajai zemes vienībai (zemes vienības kadastra apzīmējums Nr. 7648 004 0062) ir noteik</w:t>
            </w:r>
            <w:bookmarkStart w:id="0" w:name="_GoBack"/>
            <w:bookmarkEnd w:id="0"/>
            <w:r w:rsidRPr="00E15D38">
              <w:rPr>
                <w:color w:val="000000" w:themeColor="text1"/>
                <w:sz w:val="24"/>
                <w:szCs w:val="24"/>
              </w:rPr>
              <w:t xml:space="preserve">ti šādi apgrūtinājumi – ekspluatācijas aizsargjoslas teritorija gar valsts reģionālajiem autoceļiem lauku apvidos (0,25 ha) un ekspluatācijas aizsargjoslas teritorija gar elektrisko tīklu gaisvadu līniju </w:t>
            </w:r>
            <w:r w:rsidR="00445C8D" w:rsidRPr="00E15D38">
              <w:rPr>
                <w:color w:val="000000" w:themeColor="text1"/>
                <w:sz w:val="24"/>
                <w:szCs w:val="24"/>
              </w:rPr>
              <w:t xml:space="preserve">ārpus pilsētām un </w:t>
            </w:r>
            <w:r w:rsidR="00445C8D" w:rsidRPr="00E15D38">
              <w:rPr>
                <w:color w:val="000000" w:themeColor="text1"/>
                <w:sz w:val="24"/>
                <w:szCs w:val="24"/>
              </w:rPr>
              <w:lastRenderedPageBreak/>
              <w:t>ciemiem ar nominālo spriegumu līdz 20 kilovatiem (0,05 ha), un ekspluatācijas aizsargjoslas teritorija gar elektrisko tīklu gaisvadu līniju ārpus pilsētām un ciemiem ar nominālo spriegumu līdz 20 kilovatiem (0,01 ha).</w:t>
            </w:r>
          </w:p>
          <w:p w14:paraId="192833C5" w14:textId="5C2019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F23060">
              <w:rPr>
                <w:color w:val="000000" w:themeColor="text1"/>
                <w:sz w:val="24"/>
                <w:szCs w:val="24"/>
              </w:rPr>
              <w:t>9</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A63E10">
              <w:rPr>
                <w:color w:val="000000" w:themeColor="text1"/>
                <w:sz w:val="24"/>
                <w:szCs w:val="24"/>
              </w:rPr>
              <w:t>1</w:t>
            </w:r>
            <w:r w:rsidR="00CC5020">
              <w:rPr>
                <w:color w:val="000000" w:themeColor="text1"/>
                <w:sz w:val="24"/>
                <w:szCs w:val="24"/>
              </w:rPr>
              <w:t>.</w:t>
            </w:r>
            <w:r w:rsidR="009372A5">
              <w:rPr>
                <w:color w:val="000000" w:themeColor="text1"/>
                <w:sz w:val="24"/>
                <w:szCs w:val="24"/>
              </w:rPr>
              <w:t> </w:t>
            </w:r>
            <w:r w:rsidR="00A63E10">
              <w:rPr>
                <w:color w:val="000000" w:themeColor="text1"/>
                <w:sz w:val="24"/>
                <w:szCs w:val="24"/>
              </w:rPr>
              <w:t>februār</w:t>
            </w:r>
            <w:r w:rsidR="00CC5020">
              <w:rPr>
                <w:color w:val="000000" w:themeColor="text1"/>
                <w:sz w:val="24"/>
                <w:szCs w:val="24"/>
              </w:rPr>
              <w:t>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A63E10">
              <w:rPr>
                <w:color w:val="000000" w:themeColor="text1"/>
                <w:sz w:val="24"/>
                <w:szCs w:val="24"/>
              </w:rPr>
              <w:t>019092</w:t>
            </w:r>
            <w:r w:rsidR="008975C1">
              <w:rPr>
                <w:color w:val="000000" w:themeColor="text1"/>
                <w:sz w:val="24"/>
                <w:szCs w:val="24"/>
              </w:rPr>
              <w:t>,</w:t>
            </w:r>
            <w:r w:rsidR="00CF7235">
              <w:rPr>
                <w:color w:val="000000" w:themeColor="text1"/>
                <w:sz w:val="24"/>
                <w:szCs w:val="24"/>
              </w:rPr>
              <w:t xml:space="preserve"> ņēmis valsts uzskaitē par bezīpašnieka</w:t>
            </w:r>
            <w:r w:rsidR="00F05009">
              <w:rPr>
                <w:color w:val="000000" w:themeColor="text1"/>
                <w:sz w:val="24"/>
                <w:szCs w:val="24"/>
              </w:rPr>
              <w:t xml:space="preserve"> mantu atzīto </w:t>
            </w:r>
            <w:r w:rsidR="00C53651">
              <w:rPr>
                <w:color w:val="000000" w:themeColor="text1"/>
                <w:sz w:val="24"/>
                <w:szCs w:val="24"/>
              </w:rPr>
              <w:t>ēku</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15D9B984" w:rsidR="00154D75" w:rsidRPr="00681999" w:rsidRDefault="000F7C51" w:rsidP="00851E73">
            <w:pPr>
              <w:tabs>
                <w:tab w:val="left" w:pos="9072"/>
              </w:tabs>
              <w:ind w:left="199" w:right="165"/>
              <w:jc w:val="both"/>
              <w:rPr>
                <w:color w:val="000000" w:themeColor="text1"/>
              </w:rPr>
            </w:pPr>
            <w:r>
              <w:rPr>
                <w:color w:val="000000" w:themeColor="text1"/>
              </w:rPr>
              <w:t>Riebiņu</w:t>
            </w:r>
            <w:r w:rsidR="000C39F0">
              <w:rPr>
                <w:color w:val="000000" w:themeColor="text1"/>
              </w:rPr>
              <w:t xml:space="preserve"> novada</w:t>
            </w:r>
            <w:r w:rsidR="002E108F">
              <w:rPr>
                <w:color w:val="000000" w:themeColor="text1"/>
              </w:rPr>
              <w:t xml:space="preserve"> </w:t>
            </w:r>
            <w:r w:rsidR="00154D75" w:rsidRPr="00681999">
              <w:rPr>
                <w:color w:val="000000" w:themeColor="text1"/>
              </w:rPr>
              <w:t>dome 201</w:t>
            </w:r>
            <w:r w:rsidR="000C39F0">
              <w:rPr>
                <w:color w:val="000000" w:themeColor="text1"/>
              </w:rPr>
              <w:t>9</w:t>
            </w:r>
            <w:r w:rsidR="009372A5">
              <w:rPr>
                <w:color w:val="000000" w:themeColor="text1"/>
              </w:rPr>
              <w:t>. </w:t>
            </w:r>
            <w:r w:rsidR="00154D75" w:rsidRPr="00681999">
              <w:rPr>
                <w:color w:val="000000" w:themeColor="text1"/>
              </w:rPr>
              <w:t xml:space="preserve">gada </w:t>
            </w:r>
            <w:r>
              <w:rPr>
                <w:color w:val="000000" w:themeColor="text1"/>
              </w:rPr>
              <w:t>19</w:t>
            </w:r>
            <w:r w:rsidR="002E108F">
              <w:rPr>
                <w:color w:val="000000" w:themeColor="text1"/>
              </w:rPr>
              <w:t>.</w:t>
            </w:r>
            <w:r w:rsidR="009372A5">
              <w:rPr>
                <w:color w:val="000000" w:themeColor="text1"/>
              </w:rPr>
              <w:t> </w:t>
            </w:r>
            <w:r>
              <w:rPr>
                <w:color w:val="000000" w:themeColor="text1"/>
              </w:rPr>
              <w:t>februār</w:t>
            </w:r>
            <w:r w:rsidR="000C39F0">
              <w:rPr>
                <w:color w:val="000000" w:themeColor="text1"/>
              </w:rPr>
              <w:t>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AA2311">
              <w:rPr>
                <w:color w:val="000000" w:themeColor="text1"/>
              </w:rPr>
              <w:t>26</w:t>
            </w:r>
            <w:r w:rsidR="00B1572D">
              <w:rPr>
                <w:color w:val="000000" w:themeColor="text1"/>
              </w:rPr>
              <w:t xml:space="preserve"> </w:t>
            </w:r>
            <w:r w:rsidR="007973C7">
              <w:rPr>
                <w:color w:val="000000" w:themeColor="text1"/>
              </w:rPr>
              <w:t>(prot. Nr.</w:t>
            </w:r>
            <w:r w:rsidR="009372A5">
              <w:rPr>
                <w:color w:val="000000" w:themeColor="text1"/>
              </w:rPr>
              <w:t> </w:t>
            </w:r>
            <w:r w:rsidR="002E108F">
              <w:rPr>
                <w:color w:val="000000" w:themeColor="text1"/>
              </w:rPr>
              <w:t>2</w:t>
            </w:r>
            <w:r w:rsidR="00154D75">
              <w:rPr>
                <w:color w:val="000000" w:themeColor="text1"/>
              </w:rPr>
              <w:t>) “</w:t>
            </w:r>
            <w:r w:rsidR="00154D75" w:rsidRPr="00681999">
              <w:rPr>
                <w:color w:val="000000" w:themeColor="text1"/>
              </w:rPr>
              <w:t xml:space="preserve">Par </w:t>
            </w:r>
            <w:r>
              <w:rPr>
                <w:color w:val="000000" w:themeColor="text1"/>
              </w:rPr>
              <w:t>bezīpašnieka mantu atzītā ēku īpašuma “Bortnieki Viens”, Lomu-Bortniekos, Galēnu pagastā, Riebiņu novadā, kas atrodas uz pašvaldībai piederošā zemes gabala ar kadastra Nr. 7648 004 0062, pārņemšanu pašvaldības īpašumā”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3829DEBE" w14:textId="1C0769F1"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B04680">
              <w:rPr>
                <w:color w:val="000000" w:themeColor="text1"/>
              </w:rPr>
              <w:t>Riebiņu</w:t>
            </w:r>
            <w:r w:rsidR="002603A7">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4500413E" w14:textId="77777777" w:rsidR="005B0966" w:rsidRPr="005B0966" w:rsidRDefault="005B0966" w:rsidP="005B0966">
            <w:pPr>
              <w:tabs>
                <w:tab w:val="left" w:pos="9072"/>
              </w:tabs>
              <w:ind w:left="199" w:right="165"/>
              <w:jc w:val="both"/>
              <w:rPr>
                <w:color w:val="000000" w:themeColor="text1"/>
              </w:rPr>
            </w:pPr>
            <w:r w:rsidRPr="005B0966">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D3BB5F" w14:textId="2180D906" w:rsidR="005B0966" w:rsidRPr="005B0966" w:rsidRDefault="005B0966" w:rsidP="005B0966">
            <w:pPr>
              <w:tabs>
                <w:tab w:val="left" w:pos="9072"/>
              </w:tabs>
              <w:ind w:left="199" w:right="165"/>
              <w:jc w:val="both"/>
              <w:rPr>
                <w:color w:val="000000" w:themeColor="text1"/>
              </w:rPr>
            </w:pPr>
            <w:r w:rsidRPr="005B0966">
              <w:rPr>
                <w:color w:val="000000" w:themeColor="text1"/>
              </w:rPr>
              <w:lastRenderedPageBreak/>
              <w:t xml:space="preserve">Rīkojuma projekts paredz </w:t>
            </w:r>
            <w:r>
              <w:rPr>
                <w:color w:val="000000" w:themeColor="text1"/>
              </w:rPr>
              <w:t>Riebiņu</w:t>
            </w:r>
            <w:r w:rsidRPr="005B0966">
              <w:rPr>
                <w:color w:val="000000" w:themeColor="text1"/>
              </w:rPr>
              <w:t xml:space="preserve"> novada pašvaldībai, pamatojoties uz Atsavināšanas likuma 42. panta pirmo daļu, nekustamo īpašumu izmantot pašvaldības autonomo funkciju īstenošanai – palīdzības sniegšanai iedzīvotājiem dzīvokļa jautājuma risināšanai.</w:t>
            </w:r>
          </w:p>
          <w:p w14:paraId="16C7E8CE" w14:textId="77777777" w:rsidR="005B0966" w:rsidRPr="005B0966" w:rsidRDefault="005B0966" w:rsidP="005B0966">
            <w:pPr>
              <w:tabs>
                <w:tab w:val="left" w:pos="9072"/>
              </w:tabs>
              <w:ind w:left="199" w:right="165"/>
              <w:jc w:val="both"/>
              <w:rPr>
                <w:color w:val="000000" w:themeColor="text1"/>
              </w:rPr>
            </w:pPr>
            <w:r w:rsidRPr="005B0966">
              <w:rPr>
                <w:color w:val="000000" w:themeColor="text1"/>
              </w:rPr>
              <w:t xml:space="preserve">Saskaņā ar Atsavināšanas likuma 2. pantā noteikto, Atsavināšanas likums regulē publiskas personas mantas atsavināšanas kārtību. </w:t>
            </w:r>
          </w:p>
          <w:p w14:paraId="0E3AF0A5" w14:textId="77777777" w:rsidR="005B0966" w:rsidRPr="005B0966" w:rsidRDefault="005B0966" w:rsidP="005B0966">
            <w:pPr>
              <w:tabs>
                <w:tab w:val="left" w:pos="9072"/>
              </w:tabs>
              <w:ind w:left="199" w:right="165"/>
              <w:jc w:val="both"/>
              <w:rPr>
                <w:color w:val="000000" w:themeColor="text1"/>
              </w:rPr>
            </w:pPr>
            <w:r w:rsidRPr="005B0966">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062E9A33" w14:textId="7E81EF00" w:rsidR="005B0966" w:rsidRPr="005B0966" w:rsidRDefault="005B0966" w:rsidP="005B0966">
            <w:pPr>
              <w:tabs>
                <w:tab w:val="left" w:pos="9072"/>
              </w:tabs>
              <w:ind w:left="199" w:right="165"/>
              <w:jc w:val="both"/>
              <w:rPr>
                <w:color w:val="000000" w:themeColor="text1"/>
              </w:rPr>
            </w:pPr>
            <w:r w:rsidRPr="005B0966">
              <w:rPr>
                <w:color w:val="000000" w:themeColor="text1"/>
              </w:rPr>
              <w:t>Atsavināšanas likuma 421.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942359">
              <w:rPr>
                <w:color w:val="000000" w:themeColor="text1"/>
              </w:rPr>
              <w:t> </w:t>
            </w:r>
            <w:r w:rsidRPr="005B0966">
              <w:rPr>
                <w:color w:val="000000" w:themeColor="text1"/>
              </w:rPr>
              <w:t xml:space="preserve">apakšpunkts noteic, ka nekustamais īpašums vienlaikus ar Riebiņu novada pašvaldības īpašuma tiesību nostiprināšanu, ierakstāms uz Vides aizsardzības un reģionālās attīstības ministrijas vārda. </w:t>
            </w:r>
          </w:p>
          <w:p w14:paraId="494D6F2A" w14:textId="6012A937" w:rsidR="00627B22" w:rsidRPr="00681999" w:rsidRDefault="005B0966" w:rsidP="00627B22">
            <w:pPr>
              <w:tabs>
                <w:tab w:val="left" w:pos="9072"/>
              </w:tabs>
              <w:ind w:left="199" w:right="165"/>
              <w:jc w:val="both"/>
              <w:rPr>
                <w:color w:val="000000" w:themeColor="text1"/>
              </w:rPr>
            </w:pPr>
            <w:r>
              <w:t xml:space="preserve"> </w:t>
            </w:r>
            <w:r w:rsidRPr="005B0966">
              <w:rPr>
                <w:color w:val="000000" w:themeColor="text1"/>
              </w:rPr>
              <w:t>Riebiņu  novada 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E15D38">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5A3DEAA3" w:rsidR="00154D75" w:rsidRDefault="00154D75" w:rsidP="00851E73">
            <w:pPr>
              <w:pStyle w:val="naiskr"/>
              <w:tabs>
                <w:tab w:val="left" w:pos="9072"/>
              </w:tabs>
              <w:spacing w:before="0" w:after="0" w:line="276" w:lineRule="auto"/>
              <w:ind w:right="-80"/>
              <w:jc w:val="center"/>
            </w:pPr>
            <w:r>
              <w:lastRenderedPageBreak/>
              <w:t>3.</w:t>
            </w:r>
          </w:p>
        </w:tc>
        <w:tc>
          <w:tcPr>
            <w:tcW w:w="2329" w:type="dxa"/>
            <w:tcBorders>
              <w:top w:val="single" w:sz="4" w:space="0" w:color="auto"/>
              <w:left w:val="single" w:sz="4" w:space="0" w:color="auto"/>
              <w:bottom w:val="single" w:sz="4" w:space="0" w:color="auto"/>
              <w:right w:val="single" w:sz="4" w:space="0" w:color="auto"/>
            </w:tcBorders>
            <w:hideMark/>
          </w:tcPr>
          <w:p w14:paraId="1C1AA974" w14:textId="59BACD95" w:rsidR="00154D75" w:rsidRDefault="00154D75" w:rsidP="00851E73">
            <w:pPr>
              <w:pStyle w:val="naiskr"/>
              <w:tabs>
                <w:tab w:val="left" w:pos="9072"/>
              </w:tabs>
              <w:spacing w:before="0" w:after="0"/>
            </w:pPr>
            <w:r>
              <w:t xml:space="preserve">Projekta izstrādē iesaistītās institūcijas </w:t>
            </w:r>
            <w:r w:rsidRPr="001247E9">
              <w:t>un publiskas personas kapitālsabiedrības</w:t>
            </w:r>
          </w:p>
        </w:tc>
        <w:tc>
          <w:tcPr>
            <w:tcW w:w="6378" w:type="dxa"/>
            <w:tcBorders>
              <w:top w:val="single" w:sz="4" w:space="0" w:color="auto"/>
              <w:left w:val="single" w:sz="4" w:space="0" w:color="auto"/>
              <w:bottom w:val="single" w:sz="4" w:space="0" w:color="auto"/>
              <w:right w:val="single" w:sz="4" w:space="0" w:color="auto"/>
            </w:tcBorders>
            <w:hideMark/>
          </w:tcPr>
          <w:p w14:paraId="45E399A3" w14:textId="30CE006D" w:rsidR="00154D75" w:rsidRDefault="00154D75" w:rsidP="003B51BF">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3B51BF">
              <w:rPr>
                <w:sz w:val="24"/>
                <w:szCs w:val="24"/>
              </w:rPr>
              <w:t>Riebiņu</w:t>
            </w:r>
            <w:r w:rsidR="00B43D7A">
              <w:rPr>
                <w:sz w:val="24"/>
                <w:szCs w:val="24"/>
              </w:rPr>
              <w:t xml:space="preserve"> novada</w:t>
            </w:r>
            <w:r w:rsidR="00180710">
              <w:rPr>
                <w:sz w:val="24"/>
                <w:szCs w:val="24"/>
              </w:rPr>
              <w:t xml:space="preserve"> pašvaldība</w:t>
            </w:r>
            <w:r>
              <w:rPr>
                <w:sz w:val="24"/>
                <w:szCs w:val="24"/>
              </w:rPr>
              <w:t>.</w:t>
            </w:r>
          </w:p>
        </w:tc>
      </w:tr>
      <w:tr w:rsidR="00154D75" w14:paraId="29C4B48C" w14:textId="77777777" w:rsidTr="00E15D38">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329"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378" w:type="dxa"/>
            <w:tcBorders>
              <w:top w:val="single" w:sz="4" w:space="0" w:color="auto"/>
              <w:left w:val="single" w:sz="4" w:space="0" w:color="auto"/>
              <w:bottom w:val="single" w:sz="4" w:space="0" w:color="auto"/>
              <w:right w:val="single" w:sz="4" w:space="0" w:color="auto"/>
            </w:tcBorders>
            <w:hideMark/>
          </w:tcPr>
          <w:p w14:paraId="603D4674" w14:textId="4AAC661B" w:rsidR="00154D75" w:rsidRDefault="005B0966" w:rsidP="00085C41">
            <w:pPr>
              <w:pStyle w:val="naiskr"/>
              <w:tabs>
                <w:tab w:val="left" w:pos="9072"/>
              </w:tabs>
              <w:spacing w:before="0" w:after="0"/>
              <w:ind w:left="198" w:right="164"/>
              <w:jc w:val="both"/>
            </w:pPr>
            <w:r w:rsidRPr="005B0966">
              <w:t xml:space="preserve"> 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FAF0E1A" w:rsidR="00154D75" w:rsidRPr="0074456C" w:rsidRDefault="00F16D3B" w:rsidP="00851E73">
            <w:pPr>
              <w:tabs>
                <w:tab w:val="left" w:pos="9072"/>
              </w:tabs>
              <w:spacing w:before="100" w:beforeAutospacing="1" w:after="100" w:afterAutospacing="1" w:line="293" w:lineRule="atLeast"/>
              <w:jc w:val="center"/>
              <w:rPr>
                <w:b/>
                <w:bCs/>
              </w:rPr>
            </w:pPr>
            <w:r>
              <w:rPr>
                <w:b/>
                <w:bCs/>
              </w:rPr>
              <w:t>II. </w:t>
            </w:r>
            <w:r w:rsidR="00154D75" w:rsidRPr="0074456C">
              <w:rPr>
                <w:b/>
                <w:bCs/>
              </w:rPr>
              <w:t>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44860FED" w:rsidR="00154D75" w:rsidRPr="0074456C" w:rsidRDefault="00970D9F" w:rsidP="00851E73">
            <w:pPr>
              <w:pStyle w:val="CommentText"/>
              <w:tabs>
                <w:tab w:val="left" w:pos="9072"/>
              </w:tabs>
              <w:rPr>
                <w:sz w:val="24"/>
                <w:szCs w:val="24"/>
              </w:rPr>
            </w:pPr>
            <w:r>
              <w:rPr>
                <w:sz w:val="24"/>
                <w:szCs w:val="24"/>
              </w:rPr>
              <w:t>Riebiņu</w:t>
            </w:r>
            <w:r w:rsidR="001E751B">
              <w:rPr>
                <w:sz w:val="24"/>
                <w:szCs w:val="24"/>
              </w:rPr>
              <w:t xml:space="preserve">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lastRenderedPageBreak/>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3555498B" w:rsidR="00154D75" w:rsidRPr="0074456C" w:rsidRDefault="00303B7A" w:rsidP="00164898">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53E0A011"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3C0FBD2E"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5E06EB07" w:rsidR="00154D75" w:rsidRPr="0074456C" w:rsidRDefault="00FC76F8" w:rsidP="00C6459C">
            <w:pPr>
              <w:tabs>
                <w:tab w:val="left" w:pos="9072"/>
              </w:tabs>
              <w:spacing w:before="100" w:beforeAutospacing="1" w:after="100" w:afterAutospacing="1" w:line="293" w:lineRule="atLeast"/>
            </w:pPr>
            <w:r>
              <w:t>Nav</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524"/>
        <w:gridCol w:w="1363"/>
        <w:gridCol w:w="1330"/>
        <w:gridCol w:w="1417"/>
      </w:tblGrid>
      <w:tr w:rsidR="007343D1" w:rsidRPr="00655F87" w14:paraId="02733030" w14:textId="77777777" w:rsidTr="007343D1">
        <w:trPr>
          <w:trHeight w:val="360"/>
        </w:trPr>
        <w:tc>
          <w:tcPr>
            <w:tcW w:w="5000" w:type="pct"/>
            <w:gridSpan w:val="6"/>
            <w:hideMark/>
          </w:tcPr>
          <w:p w14:paraId="32F1D488" w14:textId="6114CC3A" w:rsidR="007343D1" w:rsidRPr="00655F87" w:rsidRDefault="00F16D3B" w:rsidP="007343D1">
            <w:pPr>
              <w:tabs>
                <w:tab w:val="left" w:pos="9072"/>
              </w:tabs>
              <w:spacing w:before="100" w:beforeAutospacing="1" w:after="100" w:afterAutospacing="1"/>
              <w:ind w:firstLine="300"/>
              <w:jc w:val="center"/>
              <w:rPr>
                <w:b/>
                <w:bCs/>
              </w:rPr>
            </w:pPr>
            <w:r>
              <w:rPr>
                <w:b/>
                <w:bCs/>
              </w:rPr>
              <w:t>III. </w:t>
            </w:r>
            <w:r w:rsidR="007343D1" w:rsidRPr="00655F87">
              <w:rPr>
                <w:b/>
                <w:bCs/>
              </w:rPr>
              <w:t>Tiesību akta projekta ietekme uz valsts budžetu un pašvaldību budžetiem</w:t>
            </w:r>
          </w:p>
        </w:tc>
      </w:tr>
      <w:tr w:rsidR="007343D1" w:rsidRPr="00655F87" w14:paraId="3D66A943" w14:textId="77777777" w:rsidTr="00567EAB">
        <w:tc>
          <w:tcPr>
            <w:tcW w:w="1138"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597" w:type="pct"/>
            <w:gridSpan w:val="2"/>
            <w:vMerge w:val="restart"/>
            <w:hideMark/>
          </w:tcPr>
          <w:p w14:paraId="2DBA9452" w14:textId="17244909" w:rsidR="007343D1" w:rsidRPr="00655F87" w:rsidRDefault="00411F66" w:rsidP="005B0966">
            <w:pPr>
              <w:tabs>
                <w:tab w:val="left" w:pos="9072"/>
              </w:tabs>
              <w:spacing w:before="100" w:beforeAutospacing="1" w:after="100" w:afterAutospacing="1"/>
              <w:ind w:firstLine="300"/>
              <w:jc w:val="center"/>
              <w:rPr>
                <w:b/>
                <w:bCs/>
              </w:rPr>
            </w:pPr>
            <w:r>
              <w:rPr>
                <w:b/>
                <w:bCs/>
              </w:rPr>
              <w:t>20</w:t>
            </w:r>
            <w:r w:rsidR="005B0966">
              <w:rPr>
                <w:b/>
                <w:bCs/>
              </w:rPr>
              <w:t>21</w:t>
            </w:r>
            <w:r w:rsidR="007343D1">
              <w:rPr>
                <w:b/>
                <w:bCs/>
              </w:rPr>
              <w:t>.</w:t>
            </w:r>
            <w:r w:rsidR="00F22433">
              <w:rPr>
                <w:b/>
                <w:bCs/>
              </w:rPr>
              <w:t> </w:t>
            </w:r>
            <w:r w:rsidR="007343D1" w:rsidRPr="00655F87">
              <w:rPr>
                <w:b/>
                <w:bCs/>
              </w:rPr>
              <w:t>gads</w:t>
            </w:r>
          </w:p>
        </w:tc>
        <w:tc>
          <w:tcPr>
            <w:tcW w:w="2265"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r w:rsidRPr="00655F87">
              <w:rPr>
                <w:i/>
                <w:iCs/>
              </w:rPr>
              <w:t>euro</w:t>
            </w:r>
            <w:r w:rsidRPr="00655F87">
              <w:t>)</w:t>
            </w:r>
          </w:p>
        </w:tc>
      </w:tr>
      <w:tr w:rsidR="007343D1" w:rsidRPr="00655F87" w14:paraId="7261599D" w14:textId="77777777" w:rsidTr="00567EAB">
        <w:tc>
          <w:tcPr>
            <w:tcW w:w="1138" w:type="pct"/>
            <w:vMerge/>
            <w:hideMark/>
          </w:tcPr>
          <w:p w14:paraId="26783A92" w14:textId="77777777" w:rsidR="007343D1" w:rsidRPr="00655F87" w:rsidRDefault="007343D1" w:rsidP="007343D1">
            <w:pPr>
              <w:tabs>
                <w:tab w:val="left" w:pos="9072"/>
              </w:tabs>
              <w:rPr>
                <w:b/>
                <w:bCs/>
              </w:rPr>
            </w:pPr>
          </w:p>
        </w:tc>
        <w:tc>
          <w:tcPr>
            <w:tcW w:w="1597" w:type="pct"/>
            <w:gridSpan w:val="2"/>
            <w:vMerge/>
            <w:hideMark/>
          </w:tcPr>
          <w:p w14:paraId="6D6BB499" w14:textId="77777777" w:rsidR="007343D1" w:rsidRPr="00655F87" w:rsidRDefault="007343D1" w:rsidP="007343D1">
            <w:pPr>
              <w:tabs>
                <w:tab w:val="left" w:pos="9072"/>
              </w:tabs>
              <w:rPr>
                <w:b/>
                <w:bCs/>
              </w:rPr>
            </w:pPr>
          </w:p>
        </w:tc>
        <w:tc>
          <w:tcPr>
            <w:tcW w:w="751" w:type="pct"/>
            <w:hideMark/>
          </w:tcPr>
          <w:p w14:paraId="57FC4F50" w14:textId="6B6CECC7" w:rsidR="007343D1" w:rsidRPr="00655F87" w:rsidRDefault="00411F66" w:rsidP="005B0966">
            <w:pPr>
              <w:tabs>
                <w:tab w:val="left" w:pos="9072"/>
              </w:tabs>
              <w:spacing w:before="100" w:beforeAutospacing="1" w:after="100" w:afterAutospacing="1"/>
              <w:ind w:firstLine="300"/>
              <w:jc w:val="center"/>
              <w:rPr>
                <w:b/>
                <w:bCs/>
              </w:rPr>
            </w:pPr>
            <w:r>
              <w:rPr>
                <w:b/>
                <w:bCs/>
              </w:rPr>
              <w:t>202</w:t>
            </w:r>
            <w:r w:rsidR="005B0966">
              <w:rPr>
                <w:b/>
                <w:bCs/>
              </w:rPr>
              <w:t>2</w:t>
            </w:r>
          </w:p>
        </w:tc>
        <w:tc>
          <w:tcPr>
            <w:tcW w:w="733" w:type="pct"/>
            <w:hideMark/>
          </w:tcPr>
          <w:p w14:paraId="057B821D" w14:textId="2EDD516D" w:rsidR="007343D1" w:rsidRPr="00655F87" w:rsidRDefault="00411F66" w:rsidP="005B0966">
            <w:pPr>
              <w:tabs>
                <w:tab w:val="left" w:pos="9072"/>
              </w:tabs>
              <w:spacing w:before="100" w:beforeAutospacing="1" w:after="100" w:afterAutospacing="1"/>
              <w:ind w:firstLine="300"/>
              <w:jc w:val="center"/>
              <w:rPr>
                <w:b/>
                <w:bCs/>
              </w:rPr>
            </w:pPr>
            <w:r>
              <w:rPr>
                <w:b/>
                <w:bCs/>
              </w:rPr>
              <w:t>202</w:t>
            </w:r>
            <w:r w:rsidR="005B0966">
              <w:rPr>
                <w:b/>
                <w:bCs/>
              </w:rPr>
              <w:t>3</w:t>
            </w:r>
          </w:p>
        </w:tc>
        <w:tc>
          <w:tcPr>
            <w:tcW w:w="781" w:type="pct"/>
            <w:hideMark/>
          </w:tcPr>
          <w:p w14:paraId="6E3B420A" w14:textId="7C92FBF4" w:rsidR="007343D1" w:rsidRPr="00655F87" w:rsidRDefault="007343D1" w:rsidP="005B0966">
            <w:pPr>
              <w:tabs>
                <w:tab w:val="left" w:pos="9072"/>
              </w:tabs>
              <w:spacing w:before="100" w:beforeAutospacing="1" w:after="100" w:afterAutospacing="1"/>
              <w:ind w:firstLine="300"/>
              <w:jc w:val="center"/>
              <w:rPr>
                <w:b/>
                <w:bCs/>
              </w:rPr>
            </w:pPr>
            <w:r>
              <w:rPr>
                <w:b/>
                <w:bCs/>
              </w:rPr>
              <w:t>202</w:t>
            </w:r>
            <w:r w:rsidR="005B0966">
              <w:rPr>
                <w:b/>
                <w:bCs/>
              </w:rPr>
              <w:t>4</w:t>
            </w:r>
          </w:p>
        </w:tc>
      </w:tr>
      <w:tr w:rsidR="007343D1" w:rsidRPr="00655F87" w14:paraId="30AEC417" w14:textId="77777777" w:rsidTr="00567EAB">
        <w:tc>
          <w:tcPr>
            <w:tcW w:w="1138"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840"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751" w:type="pct"/>
            <w:hideMark/>
          </w:tcPr>
          <w:p w14:paraId="3F16D9D6" w14:textId="31E7DDCA" w:rsidR="007343D1" w:rsidRPr="00655F87" w:rsidRDefault="007343D1" w:rsidP="005B0966">
            <w:pPr>
              <w:tabs>
                <w:tab w:val="left" w:pos="9072"/>
              </w:tabs>
              <w:spacing w:before="100" w:beforeAutospacing="1" w:after="100" w:afterAutospacing="1"/>
            </w:pPr>
            <w:r w:rsidRPr="00655F87">
              <w:t>izm</w:t>
            </w:r>
            <w:r>
              <w:t>a</w:t>
            </w:r>
            <w:r w:rsidR="00A643E9">
              <w:t>iņas, salīdzinot ar kārtējo 20</w:t>
            </w:r>
            <w:r w:rsidR="005B0966">
              <w:t>21</w:t>
            </w:r>
            <w:r>
              <w:t>.</w:t>
            </w:r>
            <w:r w:rsidR="00567EAB">
              <w:t> </w:t>
            </w:r>
            <w:r w:rsidRPr="00655F87">
              <w:t>gadu</w:t>
            </w:r>
          </w:p>
        </w:tc>
        <w:tc>
          <w:tcPr>
            <w:tcW w:w="733" w:type="pct"/>
            <w:hideMark/>
          </w:tcPr>
          <w:p w14:paraId="6AAFADEC" w14:textId="048D32CA" w:rsidR="007343D1" w:rsidRPr="00655F87" w:rsidRDefault="007343D1" w:rsidP="005B0966">
            <w:pPr>
              <w:tabs>
                <w:tab w:val="left" w:pos="9072"/>
              </w:tabs>
              <w:spacing w:before="100" w:beforeAutospacing="1" w:after="100" w:afterAutospacing="1"/>
            </w:pPr>
            <w:r w:rsidRPr="00655F87">
              <w:t>izm</w:t>
            </w:r>
            <w:r>
              <w:t>aiņas, salīdzinot ar kārtējo 20</w:t>
            </w:r>
            <w:r w:rsidR="005B0966">
              <w:t>21</w:t>
            </w:r>
            <w:r>
              <w:t>.</w:t>
            </w:r>
            <w:r w:rsidR="00567EAB">
              <w:t> </w:t>
            </w:r>
            <w:r w:rsidRPr="00655F87">
              <w:t>gadu</w:t>
            </w:r>
          </w:p>
        </w:tc>
        <w:tc>
          <w:tcPr>
            <w:tcW w:w="781" w:type="pct"/>
            <w:hideMark/>
          </w:tcPr>
          <w:p w14:paraId="70B02600" w14:textId="635D38D0" w:rsidR="007343D1" w:rsidRPr="00655F87" w:rsidRDefault="007343D1" w:rsidP="005B0966">
            <w:pPr>
              <w:tabs>
                <w:tab w:val="left" w:pos="9072"/>
              </w:tabs>
              <w:spacing w:before="100" w:beforeAutospacing="1" w:after="100" w:afterAutospacing="1"/>
            </w:pPr>
            <w:r w:rsidRPr="00655F87">
              <w:t xml:space="preserve">izmaiņas, salīdzinot ar </w:t>
            </w:r>
            <w:r w:rsidR="00A643E9">
              <w:t>kārtējo 20</w:t>
            </w:r>
            <w:r w:rsidR="005B0966">
              <w:t>21</w:t>
            </w:r>
            <w:r>
              <w:t>.</w:t>
            </w:r>
            <w:r w:rsidR="00567EAB">
              <w:t> </w:t>
            </w:r>
            <w:r w:rsidRPr="00655F87">
              <w:t>gadu</w:t>
            </w:r>
          </w:p>
        </w:tc>
      </w:tr>
      <w:tr w:rsidR="007343D1" w:rsidRPr="00655F87" w14:paraId="26176B6D" w14:textId="77777777" w:rsidTr="00567EAB">
        <w:tc>
          <w:tcPr>
            <w:tcW w:w="1138"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840"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751"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733"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781"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567EAB">
        <w:tc>
          <w:tcPr>
            <w:tcW w:w="1138" w:type="pct"/>
            <w:hideMark/>
          </w:tcPr>
          <w:p w14:paraId="6B8100B9" w14:textId="4DE918E7" w:rsidR="007343D1" w:rsidRPr="00655F87" w:rsidRDefault="00F22433" w:rsidP="007343D1">
            <w:pPr>
              <w:tabs>
                <w:tab w:val="left" w:pos="9072"/>
              </w:tabs>
            </w:pPr>
            <w:r>
              <w:t>1. </w:t>
            </w:r>
            <w:r w:rsidR="007343D1" w:rsidRPr="00655F87">
              <w:t>Budžeta ieņēmumi:</w:t>
            </w:r>
          </w:p>
        </w:tc>
        <w:tc>
          <w:tcPr>
            <w:tcW w:w="757" w:type="pct"/>
            <w:hideMark/>
          </w:tcPr>
          <w:p w14:paraId="4F05A806" w14:textId="77777777" w:rsidR="007343D1" w:rsidRPr="00655F87" w:rsidRDefault="007343D1" w:rsidP="007343D1">
            <w:pPr>
              <w:tabs>
                <w:tab w:val="left" w:pos="9072"/>
              </w:tabs>
            </w:pPr>
            <w:r>
              <w:t>0</w:t>
            </w:r>
          </w:p>
        </w:tc>
        <w:tc>
          <w:tcPr>
            <w:tcW w:w="840" w:type="pct"/>
            <w:hideMark/>
          </w:tcPr>
          <w:p w14:paraId="270BE0E6" w14:textId="77777777" w:rsidR="007343D1" w:rsidRPr="00655F87" w:rsidRDefault="007343D1" w:rsidP="007343D1">
            <w:pPr>
              <w:tabs>
                <w:tab w:val="left" w:pos="9072"/>
              </w:tabs>
            </w:pPr>
            <w:r>
              <w:t>0</w:t>
            </w:r>
          </w:p>
        </w:tc>
        <w:tc>
          <w:tcPr>
            <w:tcW w:w="751" w:type="pct"/>
            <w:hideMark/>
          </w:tcPr>
          <w:p w14:paraId="0DBF8E8E" w14:textId="77777777" w:rsidR="007343D1" w:rsidRPr="00655F87" w:rsidRDefault="007343D1" w:rsidP="007343D1">
            <w:pPr>
              <w:tabs>
                <w:tab w:val="left" w:pos="9072"/>
              </w:tabs>
            </w:pPr>
            <w:r>
              <w:t>0</w:t>
            </w:r>
          </w:p>
        </w:tc>
        <w:tc>
          <w:tcPr>
            <w:tcW w:w="733" w:type="pct"/>
            <w:hideMark/>
          </w:tcPr>
          <w:p w14:paraId="08CC9D81" w14:textId="77777777" w:rsidR="007343D1" w:rsidRPr="00655F87" w:rsidRDefault="007343D1" w:rsidP="007343D1">
            <w:pPr>
              <w:tabs>
                <w:tab w:val="left" w:pos="9072"/>
              </w:tabs>
            </w:pPr>
            <w:r>
              <w:t>0</w:t>
            </w:r>
          </w:p>
        </w:tc>
        <w:tc>
          <w:tcPr>
            <w:tcW w:w="781"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567EAB">
        <w:trPr>
          <w:trHeight w:val="1328"/>
        </w:trPr>
        <w:tc>
          <w:tcPr>
            <w:tcW w:w="1138" w:type="pct"/>
            <w:hideMark/>
          </w:tcPr>
          <w:p w14:paraId="472C9292" w14:textId="3454BA0D" w:rsidR="007343D1" w:rsidRPr="00655F87" w:rsidRDefault="007343D1" w:rsidP="00F22433">
            <w:pPr>
              <w:tabs>
                <w:tab w:val="left" w:pos="9072"/>
              </w:tabs>
            </w:pPr>
            <w:r w:rsidRPr="00655F87">
              <w:t>1.1.</w:t>
            </w:r>
            <w:r w:rsidR="00F22433">
              <w:t> </w:t>
            </w:r>
            <w:r w:rsidRPr="00655F87">
              <w:t>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840" w:type="pct"/>
            <w:hideMark/>
          </w:tcPr>
          <w:p w14:paraId="58756349" w14:textId="77777777" w:rsidR="007343D1" w:rsidRPr="00655F87" w:rsidRDefault="007343D1" w:rsidP="007343D1">
            <w:pPr>
              <w:tabs>
                <w:tab w:val="left" w:pos="9072"/>
              </w:tabs>
            </w:pPr>
            <w:r>
              <w:t>0</w:t>
            </w:r>
          </w:p>
        </w:tc>
        <w:tc>
          <w:tcPr>
            <w:tcW w:w="751" w:type="pct"/>
            <w:hideMark/>
          </w:tcPr>
          <w:p w14:paraId="2A6ECC73" w14:textId="77777777" w:rsidR="007343D1" w:rsidRPr="00655F87" w:rsidRDefault="007343D1" w:rsidP="007343D1">
            <w:pPr>
              <w:tabs>
                <w:tab w:val="left" w:pos="9072"/>
              </w:tabs>
            </w:pPr>
            <w:r>
              <w:t>0</w:t>
            </w:r>
          </w:p>
        </w:tc>
        <w:tc>
          <w:tcPr>
            <w:tcW w:w="733" w:type="pct"/>
            <w:hideMark/>
          </w:tcPr>
          <w:p w14:paraId="77A624F3" w14:textId="77777777" w:rsidR="007343D1" w:rsidRPr="00655F87" w:rsidRDefault="007343D1" w:rsidP="007343D1">
            <w:pPr>
              <w:tabs>
                <w:tab w:val="left" w:pos="9072"/>
              </w:tabs>
            </w:pPr>
            <w:r>
              <w:t>0</w:t>
            </w:r>
          </w:p>
        </w:tc>
        <w:tc>
          <w:tcPr>
            <w:tcW w:w="781"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567EAB">
        <w:tc>
          <w:tcPr>
            <w:tcW w:w="1138" w:type="pct"/>
            <w:hideMark/>
          </w:tcPr>
          <w:p w14:paraId="230B914B" w14:textId="0A974F05" w:rsidR="007343D1" w:rsidRPr="00655F87" w:rsidRDefault="00F22433" w:rsidP="007343D1">
            <w:pPr>
              <w:tabs>
                <w:tab w:val="left" w:pos="9072"/>
              </w:tabs>
            </w:pPr>
            <w:r>
              <w:t>1.2. </w:t>
            </w:r>
            <w:r w:rsidR="007343D1" w:rsidRPr="00655F87">
              <w:t>valsts speciālais budžets</w:t>
            </w:r>
          </w:p>
        </w:tc>
        <w:tc>
          <w:tcPr>
            <w:tcW w:w="757" w:type="pct"/>
            <w:hideMark/>
          </w:tcPr>
          <w:p w14:paraId="0DD19F39" w14:textId="77777777" w:rsidR="007343D1" w:rsidRPr="00655F87" w:rsidRDefault="007343D1" w:rsidP="007343D1">
            <w:pPr>
              <w:tabs>
                <w:tab w:val="left" w:pos="9072"/>
              </w:tabs>
            </w:pPr>
            <w:r>
              <w:t>0</w:t>
            </w:r>
          </w:p>
        </w:tc>
        <w:tc>
          <w:tcPr>
            <w:tcW w:w="840" w:type="pct"/>
            <w:hideMark/>
          </w:tcPr>
          <w:p w14:paraId="3DD6114B" w14:textId="77777777" w:rsidR="007343D1" w:rsidRPr="00655F87" w:rsidRDefault="007343D1" w:rsidP="007343D1">
            <w:pPr>
              <w:tabs>
                <w:tab w:val="left" w:pos="9072"/>
              </w:tabs>
            </w:pPr>
            <w:r>
              <w:t>0</w:t>
            </w:r>
          </w:p>
        </w:tc>
        <w:tc>
          <w:tcPr>
            <w:tcW w:w="751" w:type="pct"/>
            <w:hideMark/>
          </w:tcPr>
          <w:p w14:paraId="58623DF1" w14:textId="77777777" w:rsidR="007343D1" w:rsidRPr="00655F87" w:rsidRDefault="007343D1" w:rsidP="007343D1">
            <w:pPr>
              <w:tabs>
                <w:tab w:val="left" w:pos="9072"/>
              </w:tabs>
            </w:pPr>
            <w:r>
              <w:t>0</w:t>
            </w:r>
          </w:p>
        </w:tc>
        <w:tc>
          <w:tcPr>
            <w:tcW w:w="733" w:type="pct"/>
            <w:hideMark/>
          </w:tcPr>
          <w:p w14:paraId="4BEF1C45" w14:textId="77777777" w:rsidR="007343D1" w:rsidRPr="00655F87" w:rsidRDefault="007343D1" w:rsidP="007343D1">
            <w:pPr>
              <w:tabs>
                <w:tab w:val="left" w:pos="9072"/>
              </w:tabs>
            </w:pPr>
            <w:r>
              <w:t>0</w:t>
            </w:r>
          </w:p>
        </w:tc>
        <w:tc>
          <w:tcPr>
            <w:tcW w:w="781"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567EAB">
        <w:tc>
          <w:tcPr>
            <w:tcW w:w="1138" w:type="pct"/>
            <w:hideMark/>
          </w:tcPr>
          <w:p w14:paraId="502DC267" w14:textId="63B16DFD" w:rsidR="007343D1" w:rsidRPr="00655F87" w:rsidRDefault="00F22433" w:rsidP="007343D1">
            <w:pPr>
              <w:tabs>
                <w:tab w:val="left" w:pos="9072"/>
              </w:tabs>
            </w:pPr>
            <w:r>
              <w:t>1.3. </w:t>
            </w:r>
            <w:r w:rsidR="007343D1" w:rsidRPr="00655F87">
              <w:t>pašvaldību budžets</w:t>
            </w:r>
          </w:p>
        </w:tc>
        <w:tc>
          <w:tcPr>
            <w:tcW w:w="757" w:type="pct"/>
            <w:hideMark/>
          </w:tcPr>
          <w:p w14:paraId="0687B71F" w14:textId="77777777" w:rsidR="007343D1" w:rsidRPr="00655F87" w:rsidRDefault="007343D1" w:rsidP="007343D1">
            <w:pPr>
              <w:tabs>
                <w:tab w:val="left" w:pos="9072"/>
              </w:tabs>
            </w:pPr>
            <w:r>
              <w:t>0</w:t>
            </w:r>
          </w:p>
        </w:tc>
        <w:tc>
          <w:tcPr>
            <w:tcW w:w="840" w:type="pct"/>
            <w:hideMark/>
          </w:tcPr>
          <w:p w14:paraId="1F88E19A" w14:textId="77777777" w:rsidR="007343D1" w:rsidRPr="00655F87" w:rsidRDefault="007343D1" w:rsidP="007343D1">
            <w:pPr>
              <w:tabs>
                <w:tab w:val="left" w:pos="9072"/>
              </w:tabs>
            </w:pPr>
            <w:r>
              <w:t>0</w:t>
            </w:r>
          </w:p>
        </w:tc>
        <w:tc>
          <w:tcPr>
            <w:tcW w:w="751" w:type="pct"/>
            <w:hideMark/>
          </w:tcPr>
          <w:p w14:paraId="61439368" w14:textId="77777777" w:rsidR="007343D1" w:rsidRPr="00655F87" w:rsidRDefault="007343D1" w:rsidP="007343D1">
            <w:pPr>
              <w:tabs>
                <w:tab w:val="left" w:pos="9072"/>
              </w:tabs>
            </w:pPr>
            <w:r>
              <w:t>0</w:t>
            </w:r>
          </w:p>
        </w:tc>
        <w:tc>
          <w:tcPr>
            <w:tcW w:w="733" w:type="pct"/>
            <w:hideMark/>
          </w:tcPr>
          <w:p w14:paraId="787ADB0A" w14:textId="77777777" w:rsidR="007343D1" w:rsidRPr="00655F87" w:rsidRDefault="007343D1" w:rsidP="007343D1">
            <w:pPr>
              <w:tabs>
                <w:tab w:val="left" w:pos="9072"/>
              </w:tabs>
            </w:pPr>
            <w:r>
              <w:t>0</w:t>
            </w:r>
          </w:p>
        </w:tc>
        <w:tc>
          <w:tcPr>
            <w:tcW w:w="781"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567EAB">
        <w:tc>
          <w:tcPr>
            <w:tcW w:w="1138" w:type="pct"/>
            <w:hideMark/>
          </w:tcPr>
          <w:p w14:paraId="43E6008A" w14:textId="1D4B384D" w:rsidR="007343D1" w:rsidRPr="00655F87" w:rsidRDefault="007343D1" w:rsidP="00F22433">
            <w:pPr>
              <w:tabs>
                <w:tab w:val="left" w:pos="9072"/>
              </w:tabs>
            </w:pPr>
            <w:r w:rsidRPr="00655F87">
              <w:t>2.</w:t>
            </w:r>
            <w:r w:rsidR="00F22433">
              <w:t> </w:t>
            </w:r>
            <w:r w:rsidRPr="00655F87">
              <w:t>Budžeta izdevumi:</w:t>
            </w:r>
          </w:p>
        </w:tc>
        <w:tc>
          <w:tcPr>
            <w:tcW w:w="757" w:type="pct"/>
            <w:hideMark/>
          </w:tcPr>
          <w:p w14:paraId="69AF8C2A" w14:textId="77777777" w:rsidR="007343D1" w:rsidRPr="00655F87" w:rsidRDefault="007343D1" w:rsidP="007343D1">
            <w:pPr>
              <w:tabs>
                <w:tab w:val="left" w:pos="9072"/>
              </w:tabs>
            </w:pPr>
            <w:r>
              <w:t>0</w:t>
            </w:r>
          </w:p>
        </w:tc>
        <w:tc>
          <w:tcPr>
            <w:tcW w:w="840" w:type="pct"/>
            <w:hideMark/>
          </w:tcPr>
          <w:p w14:paraId="0EA125E4" w14:textId="77777777" w:rsidR="007343D1" w:rsidRPr="00655F87" w:rsidRDefault="007343D1" w:rsidP="007343D1">
            <w:pPr>
              <w:tabs>
                <w:tab w:val="left" w:pos="9072"/>
              </w:tabs>
            </w:pPr>
            <w:r>
              <w:t>0</w:t>
            </w:r>
          </w:p>
        </w:tc>
        <w:tc>
          <w:tcPr>
            <w:tcW w:w="751" w:type="pct"/>
            <w:hideMark/>
          </w:tcPr>
          <w:p w14:paraId="57374E41" w14:textId="77777777" w:rsidR="007343D1" w:rsidRPr="00655F87" w:rsidRDefault="007343D1" w:rsidP="007343D1">
            <w:pPr>
              <w:tabs>
                <w:tab w:val="left" w:pos="9072"/>
              </w:tabs>
            </w:pPr>
            <w:r>
              <w:t>0</w:t>
            </w:r>
          </w:p>
        </w:tc>
        <w:tc>
          <w:tcPr>
            <w:tcW w:w="733" w:type="pct"/>
            <w:hideMark/>
          </w:tcPr>
          <w:p w14:paraId="7FC1F6D1" w14:textId="77777777" w:rsidR="007343D1" w:rsidRPr="00655F87" w:rsidRDefault="007343D1" w:rsidP="007343D1">
            <w:pPr>
              <w:tabs>
                <w:tab w:val="left" w:pos="9072"/>
              </w:tabs>
            </w:pPr>
            <w:r>
              <w:t>0</w:t>
            </w:r>
          </w:p>
        </w:tc>
        <w:tc>
          <w:tcPr>
            <w:tcW w:w="781"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567EAB">
        <w:tc>
          <w:tcPr>
            <w:tcW w:w="1138" w:type="pct"/>
            <w:hideMark/>
          </w:tcPr>
          <w:p w14:paraId="195B8816" w14:textId="60B0FCC9" w:rsidR="007343D1" w:rsidRPr="00655F87" w:rsidRDefault="007343D1" w:rsidP="00F22433">
            <w:pPr>
              <w:tabs>
                <w:tab w:val="left" w:pos="9072"/>
              </w:tabs>
            </w:pPr>
            <w:r w:rsidRPr="00655F87">
              <w:t>2.1.</w:t>
            </w:r>
            <w:r w:rsidR="00F22433">
              <w:t> </w:t>
            </w:r>
            <w:r w:rsidRPr="00655F87">
              <w:t>valsts pamatbudžets</w:t>
            </w:r>
          </w:p>
        </w:tc>
        <w:tc>
          <w:tcPr>
            <w:tcW w:w="757" w:type="pct"/>
            <w:hideMark/>
          </w:tcPr>
          <w:p w14:paraId="6780696A" w14:textId="77777777" w:rsidR="007343D1" w:rsidRPr="00655F87" w:rsidRDefault="007343D1" w:rsidP="007343D1">
            <w:pPr>
              <w:tabs>
                <w:tab w:val="left" w:pos="9072"/>
              </w:tabs>
            </w:pPr>
            <w:r>
              <w:t>0</w:t>
            </w:r>
          </w:p>
        </w:tc>
        <w:tc>
          <w:tcPr>
            <w:tcW w:w="840" w:type="pct"/>
            <w:hideMark/>
          </w:tcPr>
          <w:p w14:paraId="4458F4E7" w14:textId="77777777" w:rsidR="007343D1" w:rsidRPr="00655F87" w:rsidRDefault="007343D1" w:rsidP="007343D1">
            <w:pPr>
              <w:tabs>
                <w:tab w:val="left" w:pos="9072"/>
              </w:tabs>
            </w:pPr>
            <w:r>
              <w:t>0</w:t>
            </w:r>
          </w:p>
        </w:tc>
        <w:tc>
          <w:tcPr>
            <w:tcW w:w="751" w:type="pct"/>
            <w:hideMark/>
          </w:tcPr>
          <w:p w14:paraId="23B82340" w14:textId="77777777" w:rsidR="007343D1" w:rsidRPr="00655F87" w:rsidRDefault="007343D1" w:rsidP="007343D1">
            <w:pPr>
              <w:tabs>
                <w:tab w:val="left" w:pos="9072"/>
              </w:tabs>
            </w:pPr>
            <w:r>
              <w:t>0</w:t>
            </w:r>
          </w:p>
        </w:tc>
        <w:tc>
          <w:tcPr>
            <w:tcW w:w="733" w:type="pct"/>
            <w:hideMark/>
          </w:tcPr>
          <w:p w14:paraId="6A2D2637" w14:textId="77777777" w:rsidR="007343D1" w:rsidRPr="00655F87" w:rsidRDefault="007343D1" w:rsidP="007343D1">
            <w:pPr>
              <w:tabs>
                <w:tab w:val="left" w:pos="9072"/>
              </w:tabs>
            </w:pPr>
            <w:r>
              <w:t>0</w:t>
            </w:r>
          </w:p>
        </w:tc>
        <w:tc>
          <w:tcPr>
            <w:tcW w:w="781"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567EAB">
        <w:tc>
          <w:tcPr>
            <w:tcW w:w="1138" w:type="pct"/>
            <w:hideMark/>
          </w:tcPr>
          <w:p w14:paraId="7CE226FA" w14:textId="77DA4CB5" w:rsidR="007343D1" w:rsidRPr="00655F87" w:rsidRDefault="00F22433" w:rsidP="007343D1">
            <w:pPr>
              <w:tabs>
                <w:tab w:val="left" w:pos="9072"/>
              </w:tabs>
            </w:pPr>
            <w:r>
              <w:t>2.2. </w:t>
            </w:r>
            <w:r w:rsidR="007343D1" w:rsidRPr="00655F87">
              <w:t>valsts speciālais budžets</w:t>
            </w:r>
          </w:p>
        </w:tc>
        <w:tc>
          <w:tcPr>
            <w:tcW w:w="757" w:type="pct"/>
            <w:hideMark/>
          </w:tcPr>
          <w:p w14:paraId="0AFE4241" w14:textId="77777777" w:rsidR="007343D1" w:rsidRPr="00655F87" w:rsidRDefault="007343D1" w:rsidP="007343D1">
            <w:pPr>
              <w:tabs>
                <w:tab w:val="left" w:pos="9072"/>
              </w:tabs>
            </w:pPr>
            <w:r>
              <w:t>0</w:t>
            </w:r>
          </w:p>
        </w:tc>
        <w:tc>
          <w:tcPr>
            <w:tcW w:w="840" w:type="pct"/>
            <w:hideMark/>
          </w:tcPr>
          <w:p w14:paraId="57406DC9" w14:textId="77777777" w:rsidR="007343D1" w:rsidRPr="00655F87" w:rsidRDefault="007343D1" w:rsidP="007343D1">
            <w:pPr>
              <w:tabs>
                <w:tab w:val="left" w:pos="9072"/>
              </w:tabs>
            </w:pPr>
            <w:r>
              <w:t>0</w:t>
            </w:r>
          </w:p>
        </w:tc>
        <w:tc>
          <w:tcPr>
            <w:tcW w:w="751" w:type="pct"/>
            <w:hideMark/>
          </w:tcPr>
          <w:p w14:paraId="5DC09E5F" w14:textId="77777777" w:rsidR="007343D1" w:rsidRPr="00655F87" w:rsidRDefault="007343D1" w:rsidP="007343D1">
            <w:pPr>
              <w:tabs>
                <w:tab w:val="left" w:pos="9072"/>
              </w:tabs>
            </w:pPr>
            <w:r>
              <w:t>0</w:t>
            </w:r>
          </w:p>
        </w:tc>
        <w:tc>
          <w:tcPr>
            <w:tcW w:w="733" w:type="pct"/>
            <w:hideMark/>
          </w:tcPr>
          <w:p w14:paraId="418880FF" w14:textId="77777777" w:rsidR="007343D1" w:rsidRPr="00655F87" w:rsidRDefault="007343D1" w:rsidP="007343D1">
            <w:pPr>
              <w:tabs>
                <w:tab w:val="left" w:pos="9072"/>
              </w:tabs>
            </w:pPr>
            <w:r>
              <w:t>0</w:t>
            </w:r>
          </w:p>
        </w:tc>
        <w:tc>
          <w:tcPr>
            <w:tcW w:w="781"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567EAB">
        <w:tc>
          <w:tcPr>
            <w:tcW w:w="1138" w:type="pct"/>
            <w:hideMark/>
          </w:tcPr>
          <w:p w14:paraId="41A765EE" w14:textId="62542C28" w:rsidR="007343D1" w:rsidRPr="00655F87" w:rsidRDefault="00F22433" w:rsidP="007343D1">
            <w:pPr>
              <w:tabs>
                <w:tab w:val="left" w:pos="9072"/>
              </w:tabs>
            </w:pPr>
            <w:r>
              <w:t>2.3. </w:t>
            </w:r>
            <w:r w:rsidR="007343D1" w:rsidRPr="00655F87">
              <w:t>pašvaldību budžets</w:t>
            </w:r>
          </w:p>
        </w:tc>
        <w:tc>
          <w:tcPr>
            <w:tcW w:w="757" w:type="pct"/>
            <w:hideMark/>
          </w:tcPr>
          <w:p w14:paraId="4DFE330D" w14:textId="77777777" w:rsidR="007343D1" w:rsidRPr="00655F87" w:rsidRDefault="007343D1" w:rsidP="007343D1">
            <w:pPr>
              <w:tabs>
                <w:tab w:val="left" w:pos="9072"/>
              </w:tabs>
            </w:pPr>
            <w:r>
              <w:t>0</w:t>
            </w:r>
          </w:p>
        </w:tc>
        <w:tc>
          <w:tcPr>
            <w:tcW w:w="840" w:type="pct"/>
            <w:hideMark/>
          </w:tcPr>
          <w:p w14:paraId="2BF96087" w14:textId="77777777" w:rsidR="007343D1" w:rsidRPr="00655F87" w:rsidRDefault="007343D1" w:rsidP="007343D1">
            <w:pPr>
              <w:tabs>
                <w:tab w:val="left" w:pos="9072"/>
              </w:tabs>
            </w:pPr>
            <w:r>
              <w:t>0</w:t>
            </w:r>
          </w:p>
        </w:tc>
        <w:tc>
          <w:tcPr>
            <w:tcW w:w="751" w:type="pct"/>
            <w:hideMark/>
          </w:tcPr>
          <w:p w14:paraId="18F8D69D" w14:textId="77777777" w:rsidR="007343D1" w:rsidRPr="00655F87" w:rsidRDefault="007343D1" w:rsidP="007343D1">
            <w:pPr>
              <w:tabs>
                <w:tab w:val="left" w:pos="9072"/>
              </w:tabs>
            </w:pPr>
            <w:r>
              <w:t>0</w:t>
            </w:r>
          </w:p>
        </w:tc>
        <w:tc>
          <w:tcPr>
            <w:tcW w:w="733" w:type="pct"/>
            <w:hideMark/>
          </w:tcPr>
          <w:p w14:paraId="1D4E0806" w14:textId="77777777" w:rsidR="007343D1" w:rsidRPr="00655F87" w:rsidRDefault="007343D1" w:rsidP="007343D1">
            <w:pPr>
              <w:tabs>
                <w:tab w:val="left" w:pos="9072"/>
              </w:tabs>
            </w:pPr>
            <w:r>
              <w:t>0</w:t>
            </w:r>
          </w:p>
        </w:tc>
        <w:tc>
          <w:tcPr>
            <w:tcW w:w="781"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567EAB">
        <w:tc>
          <w:tcPr>
            <w:tcW w:w="1138" w:type="pct"/>
            <w:hideMark/>
          </w:tcPr>
          <w:p w14:paraId="75874821" w14:textId="6A176C5D" w:rsidR="007343D1" w:rsidRPr="00655F87" w:rsidRDefault="00F22433" w:rsidP="007343D1">
            <w:pPr>
              <w:tabs>
                <w:tab w:val="left" w:pos="9072"/>
              </w:tabs>
            </w:pPr>
            <w:r>
              <w:t>3. </w:t>
            </w:r>
            <w:r w:rsidR="007343D1" w:rsidRPr="00655F87">
              <w:t>Finansiālā ietekme:</w:t>
            </w:r>
          </w:p>
        </w:tc>
        <w:tc>
          <w:tcPr>
            <w:tcW w:w="757" w:type="pct"/>
            <w:hideMark/>
          </w:tcPr>
          <w:p w14:paraId="61E70C07" w14:textId="77777777" w:rsidR="007343D1" w:rsidRPr="00655F87" w:rsidRDefault="007343D1" w:rsidP="007343D1">
            <w:pPr>
              <w:tabs>
                <w:tab w:val="left" w:pos="9072"/>
              </w:tabs>
            </w:pPr>
            <w:r>
              <w:t>0</w:t>
            </w:r>
          </w:p>
        </w:tc>
        <w:tc>
          <w:tcPr>
            <w:tcW w:w="840" w:type="pct"/>
            <w:hideMark/>
          </w:tcPr>
          <w:p w14:paraId="77C55410" w14:textId="77777777" w:rsidR="007343D1" w:rsidRPr="00655F87" w:rsidRDefault="007343D1" w:rsidP="007343D1">
            <w:pPr>
              <w:tabs>
                <w:tab w:val="left" w:pos="9072"/>
              </w:tabs>
            </w:pPr>
            <w:r>
              <w:t>0</w:t>
            </w:r>
          </w:p>
        </w:tc>
        <w:tc>
          <w:tcPr>
            <w:tcW w:w="751" w:type="pct"/>
            <w:hideMark/>
          </w:tcPr>
          <w:p w14:paraId="6836DCC0" w14:textId="77777777" w:rsidR="007343D1" w:rsidRPr="00655F87" w:rsidRDefault="007343D1" w:rsidP="007343D1">
            <w:pPr>
              <w:tabs>
                <w:tab w:val="left" w:pos="9072"/>
              </w:tabs>
            </w:pPr>
            <w:r>
              <w:t>0</w:t>
            </w:r>
          </w:p>
        </w:tc>
        <w:tc>
          <w:tcPr>
            <w:tcW w:w="733" w:type="pct"/>
            <w:hideMark/>
          </w:tcPr>
          <w:p w14:paraId="1BBFA42B" w14:textId="77777777" w:rsidR="007343D1" w:rsidRPr="00655F87" w:rsidRDefault="007343D1" w:rsidP="007343D1">
            <w:pPr>
              <w:tabs>
                <w:tab w:val="left" w:pos="9072"/>
              </w:tabs>
            </w:pPr>
            <w:r>
              <w:t>0</w:t>
            </w:r>
          </w:p>
        </w:tc>
        <w:tc>
          <w:tcPr>
            <w:tcW w:w="781"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567EAB">
        <w:tc>
          <w:tcPr>
            <w:tcW w:w="1138" w:type="pct"/>
            <w:hideMark/>
          </w:tcPr>
          <w:p w14:paraId="6134B00E" w14:textId="19B8B295" w:rsidR="007343D1" w:rsidRPr="00655F87" w:rsidRDefault="007343D1" w:rsidP="00F22433">
            <w:pPr>
              <w:tabs>
                <w:tab w:val="left" w:pos="9072"/>
              </w:tabs>
            </w:pPr>
            <w:r w:rsidRPr="00655F87">
              <w:t>3.1.</w:t>
            </w:r>
            <w:r w:rsidR="00F22433">
              <w:t> </w:t>
            </w:r>
            <w:r w:rsidRPr="00655F87">
              <w:t>valsts pamatbudžets</w:t>
            </w:r>
          </w:p>
        </w:tc>
        <w:tc>
          <w:tcPr>
            <w:tcW w:w="757" w:type="pct"/>
            <w:hideMark/>
          </w:tcPr>
          <w:p w14:paraId="3D52F702" w14:textId="77777777" w:rsidR="007343D1" w:rsidRPr="00655F87" w:rsidRDefault="007343D1" w:rsidP="007343D1">
            <w:pPr>
              <w:tabs>
                <w:tab w:val="left" w:pos="9072"/>
              </w:tabs>
            </w:pPr>
            <w:r>
              <w:t>0</w:t>
            </w:r>
          </w:p>
        </w:tc>
        <w:tc>
          <w:tcPr>
            <w:tcW w:w="840" w:type="pct"/>
            <w:hideMark/>
          </w:tcPr>
          <w:p w14:paraId="32DACD1C" w14:textId="77777777" w:rsidR="007343D1" w:rsidRPr="00655F87" w:rsidRDefault="007343D1" w:rsidP="007343D1">
            <w:pPr>
              <w:tabs>
                <w:tab w:val="left" w:pos="9072"/>
              </w:tabs>
            </w:pPr>
            <w:r>
              <w:t>0</w:t>
            </w:r>
          </w:p>
        </w:tc>
        <w:tc>
          <w:tcPr>
            <w:tcW w:w="751" w:type="pct"/>
            <w:hideMark/>
          </w:tcPr>
          <w:p w14:paraId="0EFB8CA8" w14:textId="77777777" w:rsidR="007343D1" w:rsidRPr="00655F87" w:rsidRDefault="007343D1" w:rsidP="007343D1">
            <w:pPr>
              <w:tabs>
                <w:tab w:val="left" w:pos="9072"/>
              </w:tabs>
            </w:pPr>
            <w:r>
              <w:t>0</w:t>
            </w:r>
          </w:p>
        </w:tc>
        <w:tc>
          <w:tcPr>
            <w:tcW w:w="733" w:type="pct"/>
            <w:hideMark/>
          </w:tcPr>
          <w:p w14:paraId="634FC892" w14:textId="77777777" w:rsidR="007343D1" w:rsidRPr="00655F87" w:rsidRDefault="007343D1" w:rsidP="007343D1">
            <w:pPr>
              <w:tabs>
                <w:tab w:val="left" w:pos="9072"/>
              </w:tabs>
            </w:pPr>
            <w:r>
              <w:t>0</w:t>
            </w:r>
          </w:p>
        </w:tc>
        <w:tc>
          <w:tcPr>
            <w:tcW w:w="781"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567EAB">
        <w:tc>
          <w:tcPr>
            <w:tcW w:w="1138" w:type="pct"/>
            <w:hideMark/>
          </w:tcPr>
          <w:p w14:paraId="1C25EAC9" w14:textId="083817BF" w:rsidR="007343D1" w:rsidRPr="00655F87" w:rsidRDefault="00F22433" w:rsidP="007343D1">
            <w:pPr>
              <w:tabs>
                <w:tab w:val="left" w:pos="9072"/>
              </w:tabs>
            </w:pPr>
            <w:r>
              <w:t>3.2. </w:t>
            </w:r>
            <w:r w:rsidR="007343D1" w:rsidRPr="00655F87">
              <w:t>speciālais budžets</w:t>
            </w:r>
          </w:p>
        </w:tc>
        <w:tc>
          <w:tcPr>
            <w:tcW w:w="757" w:type="pct"/>
            <w:hideMark/>
          </w:tcPr>
          <w:p w14:paraId="75ACF53C" w14:textId="77777777" w:rsidR="007343D1" w:rsidRPr="00655F87" w:rsidRDefault="007343D1" w:rsidP="007343D1">
            <w:pPr>
              <w:tabs>
                <w:tab w:val="left" w:pos="9072"/>
              </w:tabs>
            </w:pPr>
            <w:r>
              <w:t>0</w:t>
            </w:r>
          </w:p>
        </w:tc>
        <w:tc>
          <w:tcPr>
            <w:tcW w:w="840" w:type="pct"/>
            <w:hideMark/>
          </w:tcPr>
          <w:p w14:paraId="0749054C" w14:textId="77777777" w:rsidR="007343D1" w:rsidRPr="00655F87" w:rsidRDefault="007343D1" w:rsidP="007343D1">
            <w:pPr>
              <w:tabs>
                <w:tab w:val="left" w:pos="9072"/>
              </w:tabs>
            </w:pPr>
            <w:r>
              <w:t>0</w:t>
            </w:r>
          </w:p>
        </w:tc>
        <w:tc>
          <w:tcPr>
            <w:tcW w:w="751" w:type="pct"/>
            <w:hideMark/>
          </w:tcPr>
          <w:p w14:paraId="175CE9E3" w14:textId="77777777" w:rsidR="007343D1" w:rsidRPr="00655F87" w:rsidRDefault="007343D1" w:rsidP="007343D1">
            <w:pPr>
              <w:tabs>
                <w:tab w:val="left" w:pos="9072"/>
              </w:tabs>
            </w:pPr>
            <w:r>
              <w:t>0</w:t>
            </w:r>
          </w:p>
        </w:tc>
        <w:tc>
          <w:tcPr>
            <w:tcW w:w="733" w:type="pct"/>
            <w:hideMark/>
          </w:tcPr>
          <w:p w14:paraId="6285628F" w14:textId="77777777" w:rsidR="007343D1" w:rsidRPr="00655F87" w:rsidRDefault="007343D1" w:rsidP="007343D1">
            <w:pPr>
              <w:tabs>
                <w:tab w:val="left" w:pos="9072"/>
              </w:tabs>
            </w:pPr>
            <w:r>
              <w:t>0</w:t>
            </w:r>
          </w:p>
        </w:tc>
        <w:tc>
          <w:tcPr>
            <w:tcW w:w="781"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567EAB">
        <w:tc>
          <w:tcPr>
            <w:tcW w:w="1138" w:type="pct"/>
            <w:hideMark/>
          </w:tcPr>
          <w:p w14:paraId="5162D384" w14:textId="23924FBE" w:rsidR="007343D1" w:rsidRPr="00655F87" w:rsidRDefault="007343D1" w:rsidP="00F22433">
            <w:pPr>
              <w:tabs>
                <w:tab w:val="left" w:pos="9072"/>
              </w:tabs>
            </w:pPr>
            <w:r w:rsidRPr="00655F87">
              <w:t>3.3.</w:t>
            </w:r>
            <w:r w:rsidR="00F22433">
              <w:t> </w:t>
            </w:r>
            <w:r w:rsidRPr="00655F87">
              <w:t>pašvaldību budžets</w:t>
            </w:r>
          </w:p>
        </w:tc>
        <w:tc>
          <w:tcPr>
            <w:tcW w:w="757" w:type="pct"/>
            <w:hideMark/>
          </w:tcPr>
          <w:p w14:paraId="57593F20" w14:textId="77777777" w:rsidR="007343D1" w:rsidRPr="00655F87" w:rsidRDefault="007343D1" w:rsidP="007343D1">
            <w:pPr>
              <w:tabs>
                <w:tab w:val="left" w:pos="9072"/>
              </w:tabs>
            </w:pPr>
            <w:r>
              <w:t>0</w:t>
            </w:r>
          </w:p>
        </w:tc>
        <w:tc>
          <w:tcPr>
            <w:tcW w:w="840" w:type="pct"/>
            <w:hideMark/>
          </w:tcPr>
          <w:p w14:paraId="15D7A191" w14:textId="77777777" w:rsidR="007343D1" w:rsidRPr="00655F87" w:rsidRDefault="007343D1" w:rsidP="007343D1">
            <w:pPr>
              <w:tabs>
                <w:tab w:val="left" w:pos="9072"/>
              </w:tabs>
            </w:pPr>
            <w:r>
              <w:t>0</w:t>
            </w:r>
          </w:p>
        </w:tc>
        <w:tc>
          <w:tcPr>
            <w:tcW w:w="751" w:type="pct"/>
            <w:hideMark/>
          </w:tcPr>
          <w:p w14:paraId="0C5E0395" w14:textId="77777777" w:rsidR="007343D1" w:rsidRPr="00655F87" w:rsidRDefault="007343D1" w:rsidP="007343D1">
            <w:pPr>
              <w:tabs>
                <w:tab w:val="left" w:pos="9072"/>
              </w:tabs>
            </w:pPr>
            <w:r>
              <w:t>0</w:t>
            </w:r>
          </w:p>
        </w:tc>
        <w:tc>
          <w:tcPr>
            <w:tcW w:w="733" w:type="pct"/>
            <w:hideMark/>
          </w:tcPr>
          <w:p w14:paraId="0DBC1EAF" w14:textId="77777777" w:rsidR="007343D1" w:rsidRPr="00655F87" w:rsidRDefault="007343D1" w:rsidP="007343D1">
            <w:pPr>
              <w:tabs>
                <w:tab w:val="left" w:pos="9072"/>
              </w:tabs>
            </w:pPr>
            <w:r>
              <w:t>0</w:t>
            </w:r>
          </w:p>
        </w:tc>
        <w:tc>
          <w:tcPr>
            <w:tcW w:w="781"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567EAB">
        <w:trPr>
          <w:trHeight w:val="1380"/>
        </w:trPr>
        <w:tc>
          <w:tcPr>
            <w:tcW w:w="1138" w:type="pct"/>
            <w:hideMark/>
          </w:tcPr>
          <w:p w14:paraId="13D03CD5" w14:textId="790F4053" w:rsidR="007343D1" w:rsidRPr="00655F87" w:rsidRDefault="00F22433" w:rsidP="007343D1">
            <w:pPr>
              <w:tabs>
                <w:tab w:val="left" w:pos="9072"/>
              </w:tabs>
            </w:pPr>
            <w:r>
              <w:t>4. </w:t>
            </w:r>
            <w:r w:rsidR="007343D1" w:rsidRPr="00655F87">
              <w:t>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40" w:type="pct"/>
            <w:hideMark/>
          </w:tcPr>
          <w:p w14:paraId="2BBE6169" w14:textId="77777777" w:rsidR="007343D1" w:rsidRPr="00655F87" w:rsidRDefault="007343D1" w:rsidP="007343D1">
            <w:pPr>
              <w:tabs>
                <w:tab w:val="left" w:pos="9072"/>
              </w:tabs>
            </w:pPr>
            <w:r>
              <w:t>0</w:t>
            </w:r>
          </w:p>
        </w:tc>
        <w:tc>
          <w:tcPr>
            <w:tcW w:w="751" w:type="pct"/>
            <w:hideMark/>
          </w:tcPr>
          <w:p w14:paraId="41ABB589" w14:textId="77777777" w:rsidR="007343D1" w:rsidRPr="00655F87" w:rsidRDefault="007343D1" w:rsidP="007343D1">
            <w:pPr>
              <w:tabs>
                <w:tab w:val="left" w:pos="9072"/>
              </w:tabs>
            </w:pPr>
            <w:r>
              <w:t>0</w:t>
            </w:r>
          </w:p>
        </w:tc>
        <w:tc>
          <w:tcPr>
            <w:tcW w:w="733" w:type="pct"/>
            <w:hideMark/>
          </w:tcPr>
          <w:p w14:paraId="7360320A" w14:textId="77777777" w:rsidR="007343D1" w:rsidRPr="00655F87" w:rsidRDefault="007343D1" w:rsidP="007343D1">
            <w:pPr>
              <w:tabs>
                <w:tab w:val="left" w:pos="9072"/>
              </w:tabs>
            </w:pPr>
            <w:r>
              <w:t>0</w:t>
            </w:r>
          </w:p>
        </w:tc>
        <w:tc>
          <w:tcPr>
            <w:tcW w:w="781"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567EAB">
        <w:tc>
          <w:tcPr>
            <w:tcW w:w="1138" w:type="pct"/>
            <w:hideMark/>
          </w:tcPr>
          <w:p w14:paraId="3014526B" w14:textId="47097DA3" w:rsidR="007343D1" w:rsidRPr="00655F87" w:rsidRDefault="00F22433" w:rsidP="007343D1">
            <w:pPr>
              <w:tabs>
                <w:tab w:val="left" w:pos="9072"/>
              </w:tabs>
            </w:pPr>
            <w:r>
              <w:lastRenderedPageBreak/>
              <w:t>5. </w:t>
            </w:r>
            <w:r w:rsidR="007343D1" w:rsidRPr="00655F87">
              <w:t>Precizēta finansiālā</w:t>
            </w:r>
            <w:r w:rsidR="007343D1">
              <w:t xml:space="preserve"> </w:t>
            </w:r>
            <w:r w:rsidR="007343D1"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40" w:type="pct"/>
            <w:hideMark/>
          </w:tcPr>
          <w:p w14:paraId="2B1871A8" w14:textId="77777777" w:rsidR="007343D1" w:rsidRPr="00655F87" w:rsidRDefault="007343D1" w:rsidP="007343D1">
            <w:pPr>
              <w:tabs>
                <w:tab w:val="left" w:pos="9072"/>
              </w:tabs>
            </w:pPr>
            <w:r>
              <w:t>0</w:t>
            </w:r>
          </w:p>
        </w:tc>
        <w:tc>
          <w:tcPr>
            <w:tcW w:w="751" w:type="pct"/>
            <w:hideMark/>
          </w:tcPr>
          <w:p w14:paraId="63CD0572" w14:textId="77777777" w:rsidR="007343D1" w:rsidRPr="00655F87" w:rsidRDefault="007343D1" w:rsidP="007343D1">
            <w:pPr>
              <w:tabs>
                <w:tab w:val="left" w:pos="9072"/>
              </w:tabs>
            </w:pPr>
            <w:r>
              <w:t>0</w:t>
            </w:r>
          </w:p>
        </w:tc>
        <w:tc>
          <w:tcPr>
            <w:tcW w:w="733" w:type="pct"/>
            <w:hideMark/>
          </w:tcPr>
          <w:p w14:paraId="4B56CC94" w14:textId="77777777" w:rsidR="007343D1" w:rsidRPr="00655F87" w:rsidRDefault="007343D1" w:rsidP="007343D1">
            <w:pPr>
              <w:tabs>
                <w:tab w:val="left" w:pos="9072"/>
              </w:tabs>
            </w:pPr>
            <w:r>
              <w:t>0</w:t>
            </w:r>
          </w:p>
        </w:tc>
        <w:tc>
          <w:tcPr>
            <w:tcW w:w="781"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567EAB">
        <w:tc>
          <w:tcPr>
            <w:tcW w:w="1138" w:type="pct"/>
            <w:hideMark/>
          </w:tcPr>
          <w:p w14:paraId="3E0B1948" w14:textId="09B20857" w:rsidR="007343D1" w:rsidRPr="00655F87" w:rsidRDefault="007343D1" w:rsidP="00F22433">
            <w:pPr>
              <w:tabs>
                <w:tab w:val="left" w:pos="9072"/>
              </w:tabs>
            </w:pPr>
            <w:r w:rsidRPr="00655F87">
              <w:t>5.1.</w:t>
            </w:r>
            <w:r w:rsidR="00F22433">
              <w:t> </w:t>
            </w:r>
            <w:r w:rsidRPr="00655F87">
              <w:t>valsts pamatbudžets</w:t>
            </w:r>
          </w:p>
        </w:tc>
        <w:tc>
          <w:tcPr>
            <w:tcW w:w="757" w:type="pct"/>
            <w:vMerge/>
            <w:hideMark/>
          </w:tcPr>
          <w:p w14:paraId="4AD5A6DD" w14:textId="77777777" w:rsidR="007343D1" w:rsidRPr="00655F87" w:rsidRDefault="007343D1" w:rsidP="007343D1">
            <w:pPr>
              <w:tabs>
                <w:tab w:val="left" w:pos="9072"/>
              </w:tabs>
            </w:pPr>
          </w:p>
        </w:tc>
        <w:tc>
          <w:tcPr>
            <w:tcW w:w="840" w:type="pct"/>
            <w:hideMark/>
          </w:tcPr>
          <w:p w14:paraId="016F3F9C" w14:textId="77777777" w:rsidR="007343D1" w:rsidRPr="00655F87" w:rsidRDefault="007343D1" w:rsidP="007343D1">
            <w:pPr>
              <w:tabs>
                <w:tab w:val="left" w:pos="9072"/>
              </w:tabs>
            </w:pPr>
            <w:r>
              <w:t>0</w:t>
            </w:r>
          </w:p>
        </w:tc>
        <w:tc>
          <w:tcPr>
            <w:tcW w:w="751" w:type="pct"/>
            <w:hideMark/>
          </w:tcPr>
          <w:p w14:paraId="23E7F68D" w14:textId="77777777" w:rsidR="007343D1" w:rsidRPr="00655F87" w:rsidRDefault="007343D1" w:rsidP="007343D1">
            <w:pPr>
              <w:tabs>
                <w:tab w:val="left" w:pos="9072"/>
              </w:tabs>
            </w:pPr>
            <w:r>
              <w:t>0</w:t>
            </w:r>
          </w:p>
        </w:tc>
        <w:tc>
          <w:tcPr>
            <w:tcW w:w="733" w:type="pct"/>
            <w:hideMark/>
          </w:tcPr>
          <w:p w14:paraId="14EA3F84" w14:textId="77777777" w:rsidR="007343D1" w:rsidRPr="00655F87" w:rsidRDefault="007343D1" w:rsidP="007343D1">
            <w:pPr>
              <w:tabs>
                <w:tab w:val="left" w:pos="9072"/>
              </w:tabs>
            </w:pPr>
            <w:r>
              <w:t>0</w:t>
            </w:r>
          </w:p>
        </w:tc>
        <w:tc>
          <w:tcPr>
            <w:tcW w:w="781"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567EAB">
        <w:tc>
          <w:tcPr>
            <w:tcW w:w="1138" w:type="pct"/>
            <w:hideMark/>
          </w:tcPr>
          <w:p w14:paraId="37172206" w14:textId="4BB1B695" w:rsidR="007343D1" w:rsidRPr="00655F87" w:rsidRDefault="00F22433" w:rsidP="007343D1">
            <w:pPr>
              <w:tabs>
                <w:tab w:val="left" w:pos="9072"/>
              </w:tabs>
            </w:pPr>
            <w:r>
              <w:t>5.2. </w:t>
            </w:r>
            <w:r w:rsidR="007343D1" w:rsidRPr="00655F87">
              <w:t>speciālais budžets</w:t>
            </w:r>
          </w:p>
        </w:tc>
        <w:tc>
          <w:tcPr>
            <w:tcW w:w="757" w:type="pct"/>
            <w:vMerge/>
            <w:hideMark/>
          </w:tcPr>
          <w:p w14:paraId="0D811AFF" w14:textId="77777777" w:rsidR="007343D1" w:rsidRPr="00655F87" w:rsidRDefault="007343D1" w:rsidP="007343D1">
            <w:pPr>
              <w:tabs>
                <w:tab w:val="left" w:pos="9072"/>
              </w:tabs>
            </w:pPr>
          </w:p>
        </w:tc>
        <w:tc>
          <w:tcPr>
            <w:tcW w:w="840" w:type="pct"/>
            <w:hideMark/>
          </w:tcPr>
          <w:p w14:paraId="2CF561CF" w14:textId="77777777" w:rsidR="007343D1" w:rsidRPr="00655F87" w:rsidRDefault="007343D1" w:rsidP="007343D1">
            <w:pPr>
              <w:tabs>
                <w:tab w:val="left" w:pos="9072"/>
              </w:tabs>
            </w:pPr>
            <w:r>
              <w:t>0</w:t>
            </w:r>
          </w:p>
        </w:tc>
        <w:tc>
          <w:tcPr>
            <w:tcW w:w="751" w:type="pct"/>
            <w:hideMark/>
          </w:tcPr>
          <w:p w14:paraId="5CB60C60" w14:textId="77777777" w:rsidR="007343D1" w:rsidRPr="00655F87" w:rsidRDefault="007343D1" w:rsidP="007343D1">
            <w:pPr>
              <w:tabs>
                <w:tab w:val="left" w:pos="9072"/>
              </w:tabs>
            </w:pPr>
            <w:r>
              <w:t>0</w:t>
            </w:r>
          </w:p>
        </w:tc>
        <w:tc>
          <w:tcPr>
            <w:tcW w:w="733" w:type="pct"/>
            <w:hideMark/>
          </w:tcPr>
          <w:p w14:paraId="4F05B855" w14:textId="77777777" w:rsidR="007343D1" w:rsidRPr="00655F87" w:rsidRDefault="007343D1" w:rsidP="007343D1">
            <w:pPr>
              <w:tabs>
                <w:tab w:val="left" w:pos="9072"/>
              </w:tabs>
            </w:pPr>
            <w:r>
              <w:t>0</w:t>
            </w:r>
          </w:p>
        </w:tc>
        <w:tc>
          <w:tcPr>
            <w:tcW w:w="781"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567EAB">
        <w:tc>
          <w:tcPr>
            <w:tcW w:w="1138" w:type="pct"/>
            <w:hideMark/>
          </w:tcPr>
          <w:p w14:paraId="233964BE" w14:textId="1D1CC8CB" w:rsidR="007343D1" w:rsidRPr="00655F87" w:rsidRDefault="00F22433" w:rsidP="007343D1">
            <w:pPr>
              <w:tabs>
                <w:tab w:val="left" w:pos="9072"/>
              </w:tabs>
            </w:pPr>
            <w:r>
              <w:t>5.3. </w:t>
            </w:r>
            <w:r w:rsidR="007343D1" w:rsidRPr="00655F87">
              <w:t>pašvaldību budžets</w:t>
            </w:r>
          </w:p>
        </w:tc>
        <w:tc>
          <w:tcPr>
            <w:tcW w:w="757" w:type="pct"/>
            <w:vMerge/>
            <w:hideMark/>
          </w:tcPr>
          <w:p w14:paraId="6BDAA2D0" w14:textId="77777777" w:rsidR="007343D1" w:rsidRPr="00655F87" w:rsidRDefault="007343D1" w:rsidP="007343D1">
            <w:pPr>
              <w:tabs>
                <w:tab w:val="left" w:pos="9072"/>
              </w:tabs>
            </w:pPr>
          </w:p>
        </w:tc>
        <w:tc>
          <w:tcPr>
            <w:tcW w:w="840" w:type="pct"/>
            <w:hideMark/>
          </w:tcPr>
          <w:p w14:paraId="3DA504F1" w14:textId="77777777" w:rsidR="007343D1" w:rsidRPr="00655F87" w:rsidRDefault="007343D1" w:rsidP="007343D1">
            <w:pPr>
              <w:tabs>
                <w:tab w:val="left" w:pos="9072"/>
              </w:tabs>
            </w:pPr>
            <w:r>
              <w:t>0</w:t>
            </w:r>
          </w:p>
        </w:tc>
        <w:tc>
          <w:tcPr>
            <w:tcW w:w="751" w:type="pct"/>
            <w:hideMark/>
          </w:tcPr>
          <w:p w14:paraId="7EBB634B" w14:textId="77777777" w:rsidR="007343D1" w:rsidRPr="00655F87" w:rsidRDefault="007343D1" w:rsidP="007343D1">
            <w:pPr>
              <w:tabs>
                <w:tab w:val="left" w:pos="9072"/>
              </w:tabs>
            </w:pPr>
            <w:r>
              <w:t>0</w:t>
            </w:r>
          </w:p>
        </w:tc>
        <w:tc>
          <w:tcPr>
            <w:tcW w:w="733" w:type="pct"/>
            <w:hideMark/>
          </w:tcPr>
          <w:p w14:paraId="75DD3AF7" w14:textId="77777777" w:rsidR="007343D1" w:rsidRPr="00655F87" w:rsidRDefault="007343D1" w:rsidP="007343D1">
            <w:pPr>
              <w:tabs>
                <w:tab w:val="left" w:pos="9072"/>
              </w:tabs>
            </w:pPr>
            <w:r>
              <w:t>0</w:t>
            </w:r>
          </w:p>
        </w:tc>
        <w:tc>
          <w:tcPr>
            <w:tcW w:w="781"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567EAB">
        <w:trPr>
          <w:trHeight w:val="2196"/>
        </w:trPr>
        <w:tc>
          <w:tcPr>
            <w:tcW w:w="1138" w:type="pct"/>
            <w:hideMark/>
          </w:tcPr>
          <w:p w14:paraId="0EC10F24" w14:textId="33F0E380" w:rsidR="007343D1" w:rsidRPr="00655F87" w:rsidRDefault="00F22433" w:rsidP="007343D1">
            <w:pPr>
              <w:tabs>
                <w:tab w:val="left" w:pos="9072"/>
              </w:tabs>
            </w:pPr>
            <w:r>
              <w:t>6. </w:t>
            </w:r>
            <w:r w:rsidR="007343D1" w:rsidRPr="00655F87">
              <w:t>Detalizēts ieņēmumu un izdevumu aprēķins (ja nepieciešams, detalizētu ieņēmumu un izdevumu aprēķinu var pievienot anotācijas pielikumā):</w:t>
            </w:r>
          </w:p>
        </w:tc>
        <w:tc>
          <w:tcPr>
            <w:tcW w:w="3862" w:type="pct"/>
            <w:gridSpan w:val="5"/>
            <w:vMerge w:val="restart"/>
            <w:hideMark/>
          </w:tcPr>
          <w:p w14:paraId="1F6EA0FC" w14:textId="64DFD9FB" w:rsidR="007343D1" w:rsidRPr="00655F87" w:rsidRDefault="006A5644" w:rsidP="007343D1">
            <w:pPr>
              <w:tabs>
                <w:tab w:val="left" w:pos="9072"/>
              </w:tabs>
              <w:jc w:val="both"/>
            </w:pPr>
            <w:r>
              <w:t>Nav</w:t>
            </w:r>
          </w:p>
        </w:tc>
      </w:tr>
      <w:tr w:rsidR="007343D1" w:rsidRPr="00655F87" w14:paraId="342DDB08" w14:textId="77777777" w:rsidTr="00567EAB">
        <w:tc>
          <w:tcPr>
            <w:tcW w:w="1138" w:type="pct"/>
            <w:hideMark/>
          </w:tcPr>
          <w:p w14:paraId="38444219" w14:textId="324D0DCC" w:rsidR="007343D1" w:rsidRPr="00655F87" w:rsidRDefault="00F22433" w:rsidP="007343D1">
            <w:pPr>
              <w:tabs>
                <w:tab w:val="left" w:pos="9072"/>
              </w:tabs>
            </w:pPr>
            <w:r>
              <w:t>6.1. </w:t>
            </w:r>
            <w:r w:rsidR="007343D1" w:rsidRPr="00655F87">
              <w:t>detalizēts ieņēmumu aprēķins</w:t>
            </w:r>
          </w:p>
        </w:tc>
        <w:tc>
          <w:tcPr>
            <w:tcW w:w="3862"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567EAB">
        <w:trPr>
          <w:trHeight w:val="56"/>
        </w:trPr>
        <w:tc>
          <w:tcPr>
            <w:tcW w:w="1138" w:type="pct"/>
            <w:hideMark/>
          </w:tcPr>
          <w:p w14:paraId="5E389899" w14:textId="7F3F17F7" w:rsidR="007343D1" w:rsidRPr="00655F87" w:rsidRDefault="00F22433" w:rsidP="007343D1">
            <w:pPr>
              <w:tabs>
                <w:tab w:val="left" w:pos="9072"/>
              </w:tabs>
            </w:pPr>
            <w:r>
              <w:t>6.2. </w:t>
            </w:r>
            <w:r w:rsidR="007343D1" w:rsidRPr="00655F87">
              <w:t>detalizēts izdevumu aprēķins</w:t>
            </w:r>
          </w:p>
        </w:tc>
        <w:tc>
          <w:tcPr>
            <w:tcW w:w="3862"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567EAB">
        <w:trPr>
          <w:trHeight w:val="555"/>
        </w:trPr>
        <w:tc>
          <w:tcPr>
            <w:tcW w:w="1138" w:type="pct"/>
          </w:tcPr>
          <w:p w14:paraId="2EDD55D1" w14:textId="0C4C5FDA" w:rsidR="007343D1" w:rsidRPr="00655F87" w:rsidRDefault="00F22433" w:rsidP="007343D1">
            <w:pPr>
              <w:tabs>
                <w:tab w:val="left" w:pos="9072"/>
              </w:tabs>
            </w:pPr>
            <w:r>
              <w:t>7. </w:t>
            </w:r>
            <w:r w:rsidR="007343D1" w:rsidRPr="001247E9">
              <w:t>Amata vietu skaita izmaiņas</w:t>
            </w:r>
          </w:p>
        </w:tc>
        <w:tc>
          <w:tcPr>
            <w:tcW w:w="3862" w:type="pct"/>
            <w:gridSpan w:val="5"/>
          </w:tcPr>
          <w:p w14:paraId="7C31F948" w14:textId="3EE386F0" w:rsidR="007343D1" w:rsidRPr="004D65A6" w:rsidRDefault="00316D63" w:rsidP="007343D1">
            <w:pPr>
              <w:tabs>
                <w:tab w:val="left" w:pos="9072"/>
              </w:tabs>
              <w:spacing w:before="100" w:beforeAutospacing="1" w:after="100" w:afterAutospacing="1"/>
            </w:pPr>
            <w:r>
              <w:t>Projekts šo jomu neskar</w:t>
            </w:r>
            <w:r w:rsidR="00942359">
              <w:t>.</w:t>
            </w:r>
          </w:p>
        </w:tc>
      </w:tr>
      <w:tr w:rsidR="007343D1" w:rsidRPr="00655F87" w14:paraId="2405AE8F" w14:textId="77777777" w:rsidTr="00567EAB">
        <w:trPr>
          <w:trHeight w:val="555"/>
        </w:trPr>
        <w:tc>
          <w:tcPr>
            <w:tcW w:w="1138" w:type="pct"/>
            <w:hideMark/>
          </w:tcPr>
          <w:p w14:paraId="2745BB58" w14:textId="2497D3AA" w:rsidR="007343D1" w:rsidRPr="00655F87" w:rsidRDefault="007343D1" w:rsidP="007343D1">
            <w:pPr>
              <w:tabs>
                <w:tab w:val="left" w:pos="9072"/>
              </w:tabs>
            </w:pPr>
            <w:r>
              <w:t>8</w:t>
            </w:r>
            <w:r w:rsidR="00F22433">
              <w:t>. </w:t>
            </w:r>
            <w:r w:rsidRPr="00655F87">
              <w:t>Cita informācija</w:t>
            </w:r>
          </w:p>
        </w:tc>
        <w:tc>
          <w:tcPr>
            <w:tcW w:w="3862" w:type="pct"/>
            <w:gridSpan w:val="5"/>
            <w:hideMark/>
          </w:tcPr>
          <w:p w14:paraId="3930E673" w14:textId="4390A6E1" w:rsidR="007343D1" w:rsidRPr="00655F87" w:rsidRDefault="007343D1" w:rsidP="00E97C14">
            <w:pPr>
              <w:tabs>
                <w:tab w:val="left" w:pos="9072"/>
              </w:tabs>
              <w:spacing w:before="100" w:beforeAutospacing="1" w:after="100" w:afterAutospacing="1"/>
              <w:jc w:val="both"/>
            </w:pPr>
            <w:r w:rsidRPr="004D65A6">
              <w:t>Izdevumi, kas saistīti ar nekustamā īpašuma pārņemšanu</w:t>
            </w:r>
            <w:r>
              <w:t xml:space="preserve">, tai skaitā īpašuma ierakstīšanu zemesgrāmatā </w:t>
            </w:r>
            <w:r w:rsidRPr="004D65A6">
              <w:t>tiek segti no</w:t>
            </w:r>
            <w:r>
              <w:t xml:space="preserve"> </w:t>
            </w:r>
            <w:r w:rsidR="00E159CF">
              <w:t>Riebiņu</w:t>
            </w:r>
            <w:r w:rsidR="00EE0359">
              <w:t xml:space="preserve">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sidRPr="00E15D38">
              <w:rPr>
                <w:b/>
                <w:bCs/>
              </w:rPr>
              <w:t>IV. Tiesību akta projekta ietekme uz spēkā esošo tiesību normu sistēmu</w:t>
            </w:r>
          </w:p>
        </w:tc>
      </w:tr>
      <w:tr w:rsidR="00154D75" w14:paraId="2B67F5F2" w14:textId="77777777" w:rsidTr="005C2B20">
        <w:trPr>
          <w:trHeight w:val="405"/>
        </w:trPr>
        <w:tc>
          <w:tcPr>
            <w:tcW w:w="9072" w:type="dxa"/>
          </w:tcPr>
          <w:p w14:paraId="6AC890CD" w14:textId="23E06B68" w:rsidR="00154D75" w:rsidRDefault="00154D75" w:rsidP="00851E73">
            <w:pPr>
              <w:pStyle w:val="NormalWeb"/>
              <w:tabs>
                <w:tab w:val="left" w:pos="9072"/>
              </w:tabs>
              <w:spacing w:before="0" w:beforeAutospacing="0" w:after="0" w:afterAutospacing="0"/>
              <w:jc w:val="center"/>
            </w:pPr>
            <w:r>
              <w:t>Projekts šo jomu neskar</w:t>
            </w:r>
            <w:r w:rsidR="00942359">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Pr="00E15D38" w:rsidRDefault="00154D75" w:rsidP="00851E73">
            <w:pPr>
              <w:pStyle w:val="NormalWeb"/>
              <w:tabs>
                <w:tab w:val="left" w:pos="9072"/>
              </w:tabs>
              <w:spacing w:before="0" w:beforeAutospacing="0" w:after="0" w:afterAutospacing="0"/>
              <w:jc w:val="center"/>
              <w:rPr>
                <w:b/>
                <w:bCs/>
              </w:rPr>
            </w:pPr>
            <w:r w:rsidRPr="00E15D38">
              <w:rPr>
                <w:b/>
                <w:bCs/>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sidRPr="00E15D38">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A00322A" w:rsidR="001B49F5" w:rsidRDefault="0020631B" w:rsidP="00C11903">
            <w:pPr>
              <w:pStyle w:val="NormalWeb"/>
              <w:tabs>
                <w:tab w:val="left" w:pos="9072"/>
              </w:tabs>
              <w:spacing w:before="0" w:beforeAutospacing="0" w:after="0" w:afterAutospacing="0"/>
              <w:jc w:val="both"/>
            </w:pPr>
            <w:r>
              <w:t xml:space="preserve">Atbilstoši </w:t>
            </w:r>
            <w:r w:rsidR="002737E8">
              <w:t>Ministru kabineta 2009. </w:t>
            </w:r>
            <w:r w:rsidR="00286D00" w:rsidRPr="00286D00">
              <w:t>gada 25.</w:t>
            </w:r>
            <w:r w:rsidR="002737E8">
              <w:t> </w:t>
            </w:r>
            <w:r w:rsidR="00286D00" w:rsidRPr="00286D00">
              <w:t>augusta noteikumu Nr. 970 „Sabiedrības līdzdalības kārtība attīstīb</w:t>
            </w:r>
            <w:r w:rsidR="002737E8">
              <w:t>as plānošanas procesā” 5. </w:t>
            </w:r>
            <w:r>
              <w:t xml:space="preserve">punktam </w:t>
            </w:r>
            <w:r w:rsidRPr="00286D00">
              <w:t>sabiedrības līdzdalība</w:t>
            </w:r>
            <w:r>
              <w:t xml:space="preserve">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w:t>
            </w:r>
            <w:r>
              <w:lastRenderedPageBreak/>
              <w:t xml:space="preserve">Ministru kabineta </w:t>
            </w:r>
            <w:r w:rsidR="00C11903">
              <w:t xml:space="preserve">tīmekļvietnē </w:t>
            </w:r>
            <w:r>
              <w:t>–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lastRenderedPageBreak/>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49E2256F" w:rsidR="00D24BC5" w:rsidRDefault="00286D00" w:rsidP="0032504B">
            <w:pPr>
              <w:pStyle w:val="NormalWeb"/>
              <w:tabs>
                <w:tab w:val="left" w:pos="9072"/>
              </w:tabs>
              <w:spacing w:before="0" w:after="0"/>
              <w:jc w:val="both"/>
            </w:pPr>
            <w:r w:rsidRPr="00286D00">
              <w:t xml:space="preserve">Rīkojuma projekta būtība skar Ministru kabineta kompetenci lemt par to, vai atļaut </w:t>
            </w:r>
            <w:r w:rsidR="001A7042">
              <w:t>Riebiņu</w:t>
            </w:r>
            <w:r w:rsidR="00520AC8">
              <w:t xml:space="preserve"> novada</w:t>
            </w:r>
            <w:r w:rsidRPr="00286D00">
              <w:t xml:space="preserve"> pašvaldībai izmantot pirmtiesības uz nekustamo īpašumu, kas ir kļuvis par </w:t>
            </w:r>
            <w:r w:rsidR="0032504B">
              <w:t>bezīpašnieka</w:t>
            </w:r>
            <w:r w:rsidRPr="00286D00">
              <w:t xml:space="preserve">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53B58444" w:rsidR="00D24BC5" w:rsidRDefault="00412B3B" w:rsidP="00851E73">
            <w:pPr>
              <w:pStyle w:val="NormalWeb"/>
              <w:tabs>
                <w:tab w:val="left" w:pos="9072"/>
              </w:tabs>
              <w:spacing w:before="0" w:beforeAutospacing="0" w:after="0" w:afterAutospacing="0"/>
            </w:pPr>
            <w:r>
              <w:t>Projekts šo jomu neskar</w:t>
            </w:r>
            <w:r w:rsidR="00942359">
              <w:t>.</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CDBB3" w:rsidR="00D24BC5" w:rsidRDefault="00261124" w:rsidP="0020155F">
            <w:pPr>
              <w:pStyle w:val="NormalWeb"/>
              <w:tabs>
                <w:tab w:val="left" w:pos="9072"/>
              </w:tabs>
              <w:spacing w:before="0" w:beforeAutospacing="0" w:after="0" w:afterAutospacing="0"/>
              <w:jc w:val="both"/>
            </w:pPr>
            <w:r>
              <w:t>Nav</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3BDCB96F" w:rsidR="00154D75" w:rsidRDefault="00154D75" w:rsidP="007B7374">
            <w:pPr>
              <w:pStyle w:val="naisnod"/>
              <w:tabs>
                <w:tab w:val="left" w:pos="9072"/>
              </w:tabs>
              <w:spacing w:before="0" w:after="0"/>
              <w:ind w:left="57" w:right="152"/>
              <w:jc w:val="both"/>
              <w:rPr>
                <w:b w:val="0"/>
              </w:rPr>
            </w:pPr>
            <w:r>
              <w:rPr>
                <w:b w:val="0"/>
                <w:iCs/>
              </w:rPr>
              <w:t xml:space="preserve">Valsts ieņēmumu dienests un </w:t>
            </w:r>
            <w:r w:rsidR="007B7374">
              <w:rPr>
                <w:b w:val="0"/>
                <w:iCs/>
              </w:rPr>
              <w:t>Riebiņu</w:t>
            </w:r>
            <w:r w:rsidR="007D1106">
              <w:rPr>
                <w:b w:val="0"/>
                <w:iCs/>
              </w:rPr>
              <w:t xml:space="preserve">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125EF4FA" w:rsidR="00154D75" w:rsidRDefault="00E97C14" w:rsidP="00AF2F82">
            <w:pPr>
              <w:pStyle w:val="naiskr"/>
              <w:tabs>
                <w:tab w:val="left" w:pos="9072"/>
              </w:tabs>
              <w:spacing w:before="0" w:after="0"/>
              <w:ind w:left="57" w:right="152"/>
              <w:jc w:val="both"/>
            </w:pPr>
            <w:r w:rsidRPr="00E97C14">
              <w:t>Izdevumi, kas saistīti ar nekustamā īpašuma pārņemšanu, tai skaitā īpašuma ierakstīšanu zemesgrāmatā tiek segti no Riebiņu novada pašvaldības budžeta līdzekļiem.</w:t>
            </w:r>
          </w:p>
        </w:tc>
      </w:tr>
    </w:tbl>
    <w:p w14:paraId="7658A99A" w14:textId="77777777" w:rsidR="00C128E2" w:rsidRDefault="00C128E2" w:rsidP="00851E73">
      <w:pPr>
        <w:tabs>
          <w:tab w:val="left" w:pos="9072"/>
        </w:tabs>
        <w:jc w:val="both"/>
      </w:pPr>
    </w:p>
    <w:p w14:paraId="6964CEE4" w14:textId="77777777" w:rsidR="001648E7" w:rsidRDefault="001648E7" w:rsidP="00851E73">
      <w:pPr>
        <w:tabs>
          <w:tab w:val="left" w:pos="9072"/>
        </w:tabs>
        <w:jc w:val="both"/>
      </w:pPr>
    </w:p>
    <w:p w14:paraId="4EA9B47F" w14:textId="77777777" w:rsidR="001648E7" w:rsidRDefault="001648E7" w:rsidP="00851E73">
      <w:pPr>
        <w:tabs>
          <w:tab w:val="left" w:pos="9072"/>
        </w:tabs>
        <w:jc w:val="both"/>
      </w:pPr>
    </w:p>
    <w:p w14:paraId="2E0C074E" w14:textId="7074DF5C" w:rsidR="00154D75" w:rsidRPr="00AE773E" w:rsidRDefault="00154D75" w:rsidP="00851E73">
      <w:pPr>
        <w:tabs>
          <w:tab w:val="left" w:pos="9072"/>
        </w:tabs>
        <w:jc w:val="both"/>
      </w:pPr>
      <w:r w:rsidRPr="00AE773E">
        <w:t>Vides aizsardzības un reģionālās</w:t>
      </w:r>
    </w:p>
    <w:p w14:paraId="07001DA1" w14:textId="2D0BD39C" w:rsidR="00154D75" w:rsidRDefault="00154D75" w:rsidP="008F0D80">
      <w:pPr>
        <w:tabs>
          <w:tab w:val="left" w:pos="7088"/>
          <w:tab w:val="left" w:pos="9072"/>
        </w:tabs>
        <w:ind w:right="283"/>
        <w:jc w:val="both"/>
      </w:pPr>
      <w:r w:rsidRPr="00AE773E">
        <w:t>attīstības ministrs</w:t>
      </w:r>
      <w:r w:rsidR="008F0D80">
        <w:tab/>
      </w:r>
      <w:r w:rsidR="00AF2F82">
        <w:t>A.</w:t>
      </w:r>
      <w:r w:rsidR="001648E7">
        <w:t> </w:t>
      </w:r>
      <w:r w:rsidR="00AF2F82">
        <w:t>T.</w:t>
      </w:r>
      <w:r w:rsidR="001648E7">
        <w:t> </w:t>
      </w:r>
      <w:r w:rsidR="00AF2F82">
        <w:t>Plešs</w:t>
      </w:r>
    </w:p>
    <w:p w14:paraId="6A3350E6" w14:textId="77777777" w:rsidR="00C128E2" w:rsidRDefault="00C128E2" w:rsidP="00851E73">
      <w:pPr>
        <w:tabs>
          <w:tab w:val="left" w:pos="9072"/>
        </w:tabs>
        <w:ind w:right="283"/>
        <w:jc w:val="both"/>
        <w:rPr>
          <w:sz w:val="20"/>
          <w:szCs w:val="20"/>
        </w:rPr>
      </w:pPr>
    </w:p>
    <w:p w14:paraId="2A7D5F23" w14:textId="6E6DAD42" w:rsidR="00154D75" w:rsidRPr="001648E7" w:rsidRDefault="00AF2F82" w:rsidP="00851E73">
      <w:pPr>
        <w:tabs>
          <w:tab w:val="left" w:pos="9072"/>
        </w:tabs>
        <w:ind w:right="283"/>
        <w:jc w:val="both"/>
        <w:rPr>
          <w:sz w:val="20"/>
          <w:szCs w:val="20"/>
        </w:rPr>
      </w:pPr>
      <w:r w:rsidRPr="001648E7">
        <w:rPr>
          <w:sz w:val="20"/>
          <w:szCs w:val="20"/>
        </w:rPr>
        <w:t>Kāpostiņš 67026565</w:t>
      </w:r>
    </w:p>
    <w:p w14:paraId="2E7B1A4E" w14:textId="18547C90" w:rsidR="00F75BD0" w:rsidRDefault="001648E7" w:rsidP="000E284E">
      <w:pPr>
        <w:tabs>
          <w:tab w:val="left" w:pos="9072"/>
        </w:tabs>
        <w:ind w:right="283"/>
        <w:jc w:val="both"/>
      </w:pPr>
      <w:hyperlink r:id="rId10" w:history="1">
        <w:r w:rsidRPr="001648E7">
          <w:rPr>
            <w:rStyle w:val="Hyperlink"/>
            <w:sz w:val="20"/>
            <w:szCs w:val="20"/>
          </w:rPr>
          <w:t>Edvins.K</w:t>
        </w:r>
        <w:r w:rsidRPr="00064A62">
          <w:rPr>
            <w:rStyle w:val="Hyperlink"/>
            <w:sz w:val="20"/>
            <w:szCs w:val="20"/>
          </w:rPr>
          <w:t>apostins@varam.gov.lv</w:t>
        </w:r>
      </w:hyperlink>
    </w:p>
    <w:sectPr w:rsidR="00F75BD0" w:rsidSect="00552573">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74E1F" w14:textId="77777777" w:rsidR="00EF58F3" w:rsidRDefault="00EF58F3" w:rsidP="007C5934">
      <w:r>
        <w:separator/>
      </w:r>
    </w:p>
  </w:endnote>
  <w:endnote w:type="continuationSeparator" w:id="0">
    <w:p w14:paraId="0433723F" w14:textId="77777777" w:rsidR="00EF58F3" w:rsidRDefault="00EF58F3" w:rsidP="007C5934">
      <w:r>
        <w:continuationSeparator/>
      </w:r>
    </w:p>
  </w:endnote>
  <w:endnote w:type="continuationNotice" w:id="1">
    <w:p w14:paraId="0F406C27" w14:textId="77777777" w:rsidR="00EF58F3" w:rsidRDefault="00EF5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692967AA" w:rsidR="007343D1" w:rsidRPr="00A2107A" w:rsidRDefault="009B7564" w:rsidP="007343D1">
    <w:pPr>
      <w:jc w:val="both"/>
      <w:rPr>
        <w:sz w:val="20"/>
        <w:szCs w:val="20"/>
      </w:rPr>
    </w:pPr>
    <w:r>
      <w:rPr>
        <w:sz w:val="20"/>
        <w:szCs w:val="20"/>
      </w:rPr>
      <w:t>VARAMAnot_</w:t>
    </w:r>
    <w:r w:rsidR="005B0966">
      <w:rPr>
        <w:sz w:val="20"/>
        <w:szCs w:val="20"/>
      </w:rPr>
      <w:t>090321</w:t>
    </w:r>
    <w:r>
      <w:rPr>
        <w:sz w:val="20"/>
        <w:szCs w:val="20"/>
      </w:rPr>
      <w:t>_Bortnieki</w:t>
    </w:r>
    <w:r w:rsidR="00D66627">
      <w:rPr>
        <w:sz w:val="20"/>
        <w:szCs w:val="20"/>
      </w:rPr>
      <w:t>_</w:t>
    </w:r>
    <w:r>
      <w:rPr>
        <w:sz w:val="20"/>
        <w:szCs w:val="20"/>
      </w:rPr>
      <w:t>Riebini</w:t>
    </w:r>
  </w:p>
  <w:p w14:paraId="0BF0B0CF" w14:textId="13ADC4BB" w:rsidR="007343D1" w:rsidRDefault="007343D1" w:rsidP="00E15D38">
    <w:pPr>
      <w:pStyle w:val="Footer"/>
      <w:jc w:val="center"/>
    </w:pPr>
    <w:r>
      <w:fldChar w:fldCharType="begin"/>
    </w:r>
    <w:r>
      <w:instrText xml:space="preserve"> PAGE   \* MERGEFORMAT </w:instrText>
    </w:r>
    <w:r>
      <w:fldChar w:fldCharType="separate"/>
    </w:r>
    <w:r w:rsidR="00E15D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7704" w14:textId="77777777" w:rsidR="00EF58F3" w:rsidRDefault="00EF58F3" w:rsidP="007C5934">
      <w:r>
        <w:separator/>
      </w:r>
    </w:p>
  </w:footnote>
  <w:footnote w:type="continuationSeparator" w:id="0">
    <w:p w14:paraId="2DAF737A" w14:textId="77777777" w:rsidR="00EF58F3" w:rsidRDefault="00EF58F3" w:rsidP="007C5934">
      <w:r>
        <w:continuationSeparator/>
      </w:r>
    </w:p>
  </w:footnote>
  <w:footnote w:type="continuationNotice" w:id="1">
    <w:p w14:paraId="46227212" w14:textId="77777777" w:rsidR="00EF58F3" w:rsidRDefault="00EF58F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435A8"/>
    <w:rsid w:val="000708A9"/>
    <w:rsid w:val="000832F6"/>
    <w:rsid w:val="00084971"/>
    <w:rsid w:val="00085C41"/>
    <w:rsid w:val="00090721"/>
    <w:rsid w:val="000A45BC"/>
    <w:rsid w:val="000A7304"/>
    <w:rsid w:val="000B6044"/>
    <w:rsid w:val="000B76F4"/>
    <w:rsid w:val="000C30FE"/>
    <w:rsid w:val="000C335F"/>
    <w:rsid w:val="000C39F0"/>
    <w:rsid w:val="000C7D81"/>
    <w:rsid w:val="000D4E8D"/>
    <w:rsid w:val="000E284E"/>
    <w:rsid w:val="000E4125"/>
    <w:rsid w:val="000F7C51"/>
    <w:rsid w:val="001148A4"/>
    <w:rsid w:val="00121179"/>
    <w:rsid w:val="00123490"/>
    <w:rsid w:val="001453BA"/>
    <w:rsid w:val="00154D75"/>
    <w:rsid w:val="00164898"/>
    <w:rsid w:val="001648E7"/>
    <w:rsid w:val="00166B80"/>
    <w:rsid w:val="00170945"/>
    <w:rsid w:val="00176D30"/>
    <w:rsid w:val="00180710"/>
    <w:rsid w:val="0019325A"/>
    <w:rsid w:val="00197AA9"/>
    <w:rsid w:val="001A7042"/>
    <w:rsid w:val="001B4139"/>
    <w:rsid w:val="001B49F5"/>
    <w:rsid w:val="001B6986"/>
    <w:rsid w:val="001B6BE2"/>
    <w:rsid w:val="001D2C8D"/>
    <w:rsid w:val="001E3F3E"/>
    <w:rsid w:val="001E751B"/>
    <w:rsid w:val="001F2E33"/>
    <w:rsid w:val="0020155F"/>
    <w:rsid w:val="0020631B"/>
    <w:rsid w:val="0022106D"/>
    <w:rsid w:val="002346AF"/>
    <w:rsid w:val="002559C5"/>
    <w:rsid w:val="002603A7"/>
    <w:rsid w:val="00261124"/>
    <w:rsid w:val="002634F1"/>
    <w:rsid w:val="00271D97"/>
    <w:rsid w:val="002737E8"/>
    <w:rsid w:val="00275C85"/>
    <w:rsid w:val="002854CF"/>
    <w:rsid w:val="00286D00"/>
    <w:rsid w:val="002900AD"/>
    <w:rsid w:val="00290D7D"/>
    <w:rsid w:val="00292A89"/>
    <w:rsid w:val="002938C2"/>
    <w:rsid w:val="002A000F"/>
    <w:rsid w:val="002A10BD"/>
    <w:rsid w:val="002A1E56"/>
    <w:rsid w:val="002A2AD0"/>
    <w:rsid w:val="002B0975"/>
    <w:rsid w:val="002C46B2"/>
    <w:rsid w:val="002C73FF"/>
    <w:rsid w:val="002D5EBA"/>
    <w:rsid w:val="002D6585"/>
    <w:rsid w:val="002E108F"/>
    <w:rsid w:val="002E159C"/>
    <w:rsid w:val="002E21AE"/>
    <w:rsid w:val="002E220F"/>
    <w:rsid w:val="002F543A"/>
    <w:rsid w:val="002F633A"/>
    <w:rsid w:val="003014E5"/>
    <w:rsid w:val="00303142"/>
    <w:rsid w:val="00303B7A"/>
    <w:rsid w:val="003136AC"/>
    <w:rsid w:val="00313706"/>
    <w:rsid w:val="00314214"/>
    <w:rsid w:val="00316107"/>
    <w:rsid w:val="00316939"/>
    <w:rsid w:val="00316D63"/>
    <w:rsid w:val="00324A19"/>
    <w:rsid w:val="0032504B"/>
    <w:rsid w:val="00336BFB"/>
    <w:rsid w:val="00346291"/>
    <w:rsid w:val="003507FD"/>
    <w:rsid w:val="003675F4"/>
    <w:rsid w:val="003704D6"/>
    <w:rsid w:val="00370DA8"/>
    <w:rsid w:val="0038770E"/>
    <w:rsid w:val="0039110F"/>
    <w:rsid w:val="003B51BF"/>
    <w:rsid w:val="003B674B"/>
    <w:rsid w:val="003D1406"/>
    <w:rsid w:val="00411F66"/>
    <w:rsid w:val="00412B3B"/>
    <w:rsid w:val="004150F0"/>
    <w:rsid w:val="00441AAD"/>
    <w:rsid w:val="00445C8D"/>
    <w:rsid w:val="00451AEA"/>
    <w:rsid w:val="004535B4"/>
    <w:rsid w:val="00453A25"/>
    <w:rsid w:val="0047670C"/>
    <w:rsid w:val="004B5334"/>
    <w:rsid w:val="004B69D6"/>
    <w:rsid w:val="004C273E"/>
    <w:rsid w:val="004C3A20"/>
    <w:rsid w:val="004E10EB"/>
    <w:rsid w:val="004E24A6"/>
    <w:rsid w:val="00520AC8"/>
    <w:rsid w:val="00552573"/>
    <w:rsid w:val="00555C3C"/>
    <w:rsid w:val="00566145"/>
    <w:rsid w:val="00567EAB"/>
    <w:rsid w:val="005711A6"/>
    <w:rsid w:val="005911F6"/>
    <w:rsid w:val="00592028"/>
    <w:rsid w:val="00592862"/>
    <w:rsid w:val="00592A1B"/>
    <w:rsid w:val="005A3017"/>
    <w:rsid w:val="005B0966"/>
    <w:rsid w:val="005C2B20"/>
    <w:rsid w:val="005E3833"/>
    <w:rsid w:val="005E6879"/>
    <w:rsid w:val="005E68D2"/>
    <w:rsid w:val="005F6267"/>
    <w:rsid w:val="00601336"/>
    <w:rsid w:val="00615039"/>
    <w:rsid w:val="00627B22"/>
    <w:rsid w:val="00651291"/>
    <w:rsid w:val="0067011A"/>
    <w:rsid w:val="00675297"/>
    <w:rsid w:val="00683BC3"/>
    <w:rsid w:val="00697F31"/>
    <w:rsid w:val="006A493C"/>
    <w:rsid w:val="006A495A"/>
    <w:rsid w:val="006A5644"/>
    <w:rsid w:val="006C60ED"/>
    <w:rsid w:val="006C6F2B"/>
    <w:rsid w:val="006D7F4A"/>
    <w:rsid w:val="006E60D4"/>
    <w:rsid w:val="006F24CA"/>
    <w:rsid w:val="006F468E"/>
    <w:rsid w:val="006F6607"/>
    <w:rsid w:val="00712710"/>
    <w:rsid w:val="007301EF"/>
    <w:rsid w:val="00733918"/>
    <w:rsid w:val="007343D1"/>
    <w:rsid w:val="00737CA8"/>
    <w:rsid w:val="0074191E"/>
    <w:rsid w:val="007471ED"/>
    <w:rsid w:val="00755B95"/>
    <w:rsid w:val="0077569F"/>
    <w:rsid w:val="00783228"/>
    <w:rsid w:val="007966FA"/>
    <w:rsid w:val="007973C7"/>
    <w:rsid w:val="007A6210"/>
    <w:rsid w:val="007A6B4C"/>
    <w:rsid w:val="007B7374"/>
    <w:rsid w:val="007C29A4"/>
    <w:rsid w:val="007C5934"/>
    <w:rsid w:val="007D1106"/>
    <w:rsid w:val="007E7281"/>
    <w:rsid w:val="008031CA"/>
    <w:rsid w:val="00816E53"/>
    <w:rsid w:val="00822702"/>
    <w:rsid w:val="0082504F"/>
    <w:rsid w:val="00825CE3"/>
    <w:rsid w:val="008339A2"/>
    <w:rsid w:val="00847BEE"/>
    <w:rsid w:val="00851E73"/>
    <w:rsid w:val="008606CC"/>
    <w:rsid w:val="00867564"/>
    <w:rsid w:val="00867636"/>
    <w:rsid w:val="00872447"/>
    <w:rsid w:val="00887DC2"/>
    <w:rsid w:val="008975C1"/>
    <w:rsid w:val="008A23A5"/>
    <w:rsid w:val="008A29FB"/>
    <w:rsid w:val="008B28CA"/>
    <w:rsid w:val="008B7E86"/>
    <w:rsid w:val="008D4B33"/>
    <w:rsid w:val="008E1E67"/>
    <w:rsid w:val="008E6F3B"/>
    <w:rsid w:val="008E77FB"/>
    <w:rsid w:val="008F0D80"/>
    <w:rsid w:val="008F52DB"/>
    <w:rsid w:val="0090457F"/>
    <w:rsid w:val="00906767"/>
    <w:rsid w:val="009179F6"/>
    <w:rsid w:val="009217F2"/>
    <w:rsid w:val="0092210C"/>
    <w:rsid w:val="00931176"/>
    <w:rsid w:val="009372A5"/>
    <w:rsid w:val="00942359"/>
    <w:rsid w:val="00952015"/>
    <w:rsid w:val="00963B03"/>
    <w:rsid w:val="00970D9F"/>
    <w:rsid w:val="00987D60"/>
    <w:rsid w:val="009903B3"/>
    <w:rsid w:val="009A08AA"/>
    <w:rsid w:val="009B3C16"/>
    <w:rsid w:val="009B7564"/>
    <w:rsid w:val="009D6876"/>
    <w:rsid w:val="009E7619"/>
    <w:rsid w:val="009F398F"/>
    <w:rsid w:val="009F7035"/>
    <w:rsid w:val="00A21BA2"/>
    <w:rsid w:val="00A24A0E"/>
    <w:rsid w:val="00A323FC"/>
    <w:rsid w:val="00A42662"/>
    <w:rsid w:val="00A50D63"/>
    <w:rsid w:val="00A63E10"/>
    <w:rsid w:val="00A643E9"/>
    <w:rsid w:val="00A76C02"/>
    <w:rsid w:val="00A83BE6"/>
    <w:rsid w:val="00A9063A"/>
    <w:rsid w:val="00A91281"/>
    <w:rsid w:val="00AA207D"/>
    <w:rsid w:val="00AA2311"/>
    <w:rsid w:val="00AB086B"/>
    <w:rsid w:val="00AC664F"/>
    <w:rsid w:val="00AD35B6"/>
    <w:rsid w:val="00AD6215"/>
    <w:rsid w:val="00AE4DB3"/>
    <w:rsid w:val="00AE773E"/>
    <w:rsid w:val="00AF2F82"/>
    <w:rsid w:val="00B04680"/>
    <w:rsid w:val="00B07681"/>
    <w:rsid w:val="00B1572D"/>
    <w:rsid w:val="00B176DB"/>
    <w:rsid w:val="00B17945"/>
    <w:rsid w:val="00B204C1"/>
    <w:rsid w:val="00B214E3"/>
    <w:rsid w:val="00B22EBD"/>
    <w:rsid w:val="00B43D7A"/>
    <w:rsid w:val="00B50951"/>
    <w:rsid w:val="00B516D3"/>
    <w:rsid w:val="00B561D8"/>
    <w:rsid w:val="00B67456"/>
    <w:rsid w:val="00B6793F"/>
    <w:rsid w:val="00B7632D"/>
    <w:rsid w:val="00B9586E"/>
    <w:rsid w:val="00BA4234"/>
    <w:rsid w:val="00BB1925"/>
    <w:rsid w:val="00BB208F"/>
    <w:rsid w:val="00BB5532"/>
    <w:rsid w:val="00BB68E0"/>
    <w:rsid w:val="00BC2C05"/>
    <w:rsid w:val="00BD0A82"/>
    <w:rsid w:val="00BF1812"/>
    <w:rsid w:val="00BF252D"/>
    <w:rsid w:val="00C00A54"/>
    <w:rsid w:val="00C07CAA"/>
    <w:rsid w:val="00C11903"/>
    <w:rsid w:val="00C128E2"/>
    <w:rsid w:val="00C12CE2"/>
    <w:rsid w:val="00C2498B"/>
    <w:rsid w:val="00C30C71"/>
    <w:rsid w:val="00C53651"/>
    <w:rsid w:val="00C6459C"/>
    <w:rsid w:val="00C72BDF"/>
    <w:rsid w:val="00C72D0F"/>
    <w:rsid w:val="00C873B7"/>
    <w:rsid w:val="00C96535"/>
    <w:rsid w:val="00CA28FA"/>
    <w:rsid w:val="00CA3AF7"/>
    <w:rsid w:val="00CB67DF"/>
    <w:rsid w:val="00CC14D4"/>
    <w:rsid w:val="00CC5020"/>
    <w:rsid w:val="00CF5FA3"/>
    <w:rsid w:val="00CF7235"/>
    <w:rsid w:val="00D10431"/>
    <w:rsid w:val="00D15135"/>
    <w:rsid w:val="00D24BC5"/>
    <w:rsid w:val="00D27F13"/>
    <w:rsid w:val="00D3237E"/>
    <w:rsid w:val="00D34DF0"/>
    <w:rsid w:val="00D37413"/>
    <w:rsid w:val="00D407E5"/>
    <w:rsid w:val="00D44509"/>
    <w:rsid w:val="00D657D9"/>
    <w:rsid w:val="00D659C4"/>
    <w:rsid w:val="00D66627"/>
    <w:rsid w:val="00D67DD6"/>
    <w:rsid w:val="00D904BE"/>
    <w:rsid w:val="00D955EE"/>
    <w:rsid w:val="00DA0796"/>
    <w:rsid w:val="00DC58FB"/>
    <w:rsid w:val="00DC753E"/>
    <w:rsid w:val="00DD032D"/>
    <w:rsid w:val="00DD210C"/>
    <w:rsid w:val="00DD695C"/>
    <w:rsid w:val="00DF53BE"/>
    <w:rsid w:val="00DF64AE"/>
    <w:rsid w:val="00DF7233"/>
    <w:rsid w:val="00E11DD8"/>
    <w:rsid w:val="00E159CF"/>
    <w:rsid w:val="00E15D38"/>
    <w:rsid w:val="00E17D37"/>
    <w:rsid w:val="00E25F99"/>
    <w:rsid w:val="00E30D25"/>
    <w:rsid w:val="00E35233"/>
    <w:rsid w:val="00E36FF3"/>
    <w:rsid w:val="00E37855"/>
    <w:rsid w:val="00E55C26"/>
    <w:rsid w:val="00E618AE"/>
    <w:rsid w:val="00E7344C"/>
    <w:rsid w:val="00E74437"/>
    <w:rsid w:val="00E7744C"/>
    <w:rsid w:val="00E96E8B"/>
    <w:rsid w:val="00E97C14"/>
    <w:rsid w:val="00EB0FFA"/>
    <w:rsid w:val="00ED0E36"/>
    <w:rsid w:val="00ED7E71"/>
    <w:rsid w:val="00EE0359"/>
    <w:rsid w:val="00EE129F"/>
    <w:rsid w:val="00EE7B6F"/>
    <w:rsid w:val="00EF58F3"/>
    <w:rsid w:val="00F05009"/>
    <w:rsid w:val="00F125A8"/>
    <w:rsid w:val="00F145F7"/>
    <w:rsid w:val="00F16D3B"/>
    <w:rsid w:val="00F20326"/>
    <w:rsid w:val="00F22433"/>
    <w:rsid w:val="00F23060"/>
    <w:rsid w:val="00F24A0D"/>
    <w:rsid w:val="00F66CB7"/>
    <w:rsid w:val="00F75BD0"/>
    <w:rsid w:val="00F81599"/>
    <w:rsid w:val="00FA523F"/>
    <w:rsid w:val="00FB16A8"/>
    <w:rsid w:val="00FB4838"/>
    <w:rsid w:val="00FB48D4"/>
    <w:rsid w:val="00FB7E7F"/>
    <w:rsid w:val="00FC76F8"/>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paragraph" w:styleId="Title">
    <w:name w:val="Title"/>
    <w:basedOn w:val="Normal"/>
    <w:next w:val="Normal"/>
    <w:link w:val="TitleChar"/>
    <w:uiPriority w:val="10"/>
    <w:qFormat/>
    <w:rsid w:val="00601336"/>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60133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01336"/>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601336"/>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0C02-3DE1-4FF1-A685-339E1E92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1744C-0F4F-4F84-8230-412D1A900F80}">
  <ds:schemaRefs>
    <ds:schemaRef ds:uri="http://schemas.microsoft.com/sharepoint/v3/contenttype/forms"/>
  </ds:schemaRefs>
</ds:datastoreItem>
</file>

<file path=customXml/itemProps3.xml><?xml version="1.0" encoding="utf-8"?>
<ds:datastoreItem xmlns:ds="http://schemas.openxmlformats.org/officeDocument/2006/customXml" ds:itemID="{7A57AFCB-C645-4362-B4C6-2734097F9275}">
  <ds:schemaRefs>
    <ds:schemaRef ds:uri="http://schemas.microsoft.com/office/2006/metadata/properties"/>
    <ds:schemaRef ds:uri="122e0e09-afb4-4bf9-abab-ecc4519bc6eb"/>
    <ds:schemaRef ds:uri="http://www.w3.org/XML/1998/namespace"/>
    <ds:schemaRef ds:uri="http://purl.org/dc/terms/"/>
    <ds:schemaRef ds:uri="ace8e44c-fa88-44c0-8590-dfda63664a6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5130061-E4CF-4B6D-84A2-CA92248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8277</Words>
  <Characters>4719</Characters>
  <Application>Microsoft Office Word</Application>
  <DocSecurity>4</DocSecurity>
  <Lines>39</Lines>
  <Paragraphs>25</Paragraphs>
  <ScaleCrop>false</ScaleCrop>
  <HeadingPairs>
    <vt:vector size="2" baseType="variant">
      <vt:variant>
        <vt:lpstr>Title</vt:lpstr>
      </vt:variant>
      <vt:variant>
        <vt:i4>1</vt:i4>
      </vt:variant>
    </vt:vector>
  </HeadingPairs>
  <TitlesOfParts>
    <vt:vector size="1" baseType="lpstr">
      <vt:lpstr>Par valstij piekrītošā nekustamā īpašuma “Bortnieki Viens”, Lomu-Bortnieku ciemā, Galēnu pagastā, Riebiņu novadā nodošanu Riebiņu novada pašvaldības īpašumā</vt:lpstr>
    </vt:vector>
  </TitlesOfParts>
  <Company>Vides aizsardzības un reģionālās attīstības ministrija</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“Bortnieki Viens”, Lomu-Bortnieku ciemā, Galēnu pagastā, Riebiņu novadā nodošanu Riebiņu novada pašvaldības īpašumā</dc:title>
  <dc:subject>Rīkojuma projekta anotācija</dc:subject>
  <dc:creator>Edvīns Kāpostiņš</dc:creator>
  <cp:keywords/>
  <dc:description>Edvins.Kapostins@varam.gov.lv</dc:description>
  <cp:lastModifiedBy>Edvīns Kāpostiņš</cp:lastModifiedBy>
  <cp:revision>2</cp:revision>
  <cp:lastPrinted>2019-02-04T09:27:00Z</cp:lastPrinted>
  <dcterms:created xsi:type="dcterms:W3CDTF">2021-03-10T10:10:00Z</dcterms:created>
  <dcterms:modified xsi:type="dcterms:W3CDTF">2021-03-10T10:10:00Z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