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A428" w14:textId="77777777" w:rsidR="00895374" w:rsidRPr="00027763" w:rsidRDefault="00895374" w:rsidP="00895374">
      <w:pPr>
        <w:spacing w:before="150" w:after="150"/>
        <w:jc w:val="center"/>
        <w:rPr>
          <w:b/>
          <w:bCs/>
        </w:rPr>
      </w:pPr>
      <w:r>
        <w:rPr>
          <w:b/>
          <w:bCs/>
        </w:rPr>
        <w:t>Ministru kabineta noteikumu projekta „Grozījumi Ministru kabineta 2009.</w:t>
      </w:r>
      <w:r w:rsidR="00551B84">
        <w:rPr>
          <w:b/>
          <w:bCs/>
        </w:rPr>
        <w:t> </w:t>
      </w:r>
      <w:r>
        <w:rPr>
          <w:b/>
          <w:bCs/>
        </w:rPr>
        <w:t>gada 6.</w:t>
      </w:r>
      <w:r w:rsidR="00551B84">
        <w:rPr>
          <w:b/>
          <w:bCs/>
        </w:rPr>
        <w:t> </w:t>
      </w:r>
      <w:r>
        <w:rPr>
          <w:b/>
          <w:bCs/>
        </w:rPr>
        <w:t>oktobra noteikumos Nr.</w:t>
      </w:r>
      <w:r w:rsidR="00551B84">
        <w:rPr>
          <w:b/>
          <w:bCs/>
        </w:rPr>
        <w:t> </w:t>
      </w:r>
      <w:r>
        <w:rPr>
          <w:b/>
          <w:bCs/>
        </w:rPr>
        <w:t xml:space="preserve">1151 „Noteikumi par radiofrekvenču spektra joslu sadalījumu radiosakaru veidiem un iedalījumu radiosakaru sistēmām, kā arī par radiofrekvenču spektra joslu izmantošanas vispārīgajiem nosacījumiem (Nacionālais radiofrekvenču plāns)”” </w:t>
      </w:r>
      <w:r w:rsidRPr="00027763">
        <w:rPr>
          <w:b/>
          <w:bCs/>
        </w:rPr>
        <w:t>sākotnējās ietekmes novērtējuma ziņojums (anotācija)</w:t>
      </w:r>
    </w:p>
    <w:tbl>
      <w:tblPr>
        <w:tblStyle w:val="Reatabula"/>
        <w:tblW w:w="5000" w:type="pct"/>
        <w:tblInd w:w="-5" w:type="dxa"/>
        <w:tblLook w:val="04A0" w:firstRow="1" w:lastRow="0" w:firstColumn="1" w:lastColumn="0" w:noHBand="0" w:noVBand="1"/>
      </w:tblPr>
      <w:tblGrid>
        <w:gridCol w:w="2977"/>
        <w:gridCol w:w="6373"/>
      </w:tblGrid>
      <w:tr w:rsidR="005A67B8" w14:paraId="703B5BC5" w14:textId="77777777" w:rsidTr="005A67B8">
        <w:tc>
          <w:tcPr>
            <w:tcW w:w="0" w:type="auto"/>
            <w:gridSpan w:val="2"/>
            <w:tcBorders>
              <w:top w:val="single" w:sz="4" w:space="0" w:color="auto"/>
              <w:left w:val="single" w:sz="4" w:space="0" w:color="auto"/>
              <w:bottom w:val="single" w:sz="4" w:space="0" w:color="auto"/>
              <w:right w:val="single" w:sz="4" w:space="0" w:color="auto"/>
            </w:tcBorders>
            <w:hideMark/>
          </w:tcPr>
          <w:p w14:paraId="08D8622F" w14:textId="77777777" w:rsidR="005A67B8" w:rsidRDefault="005A67B8">
            <w:pPr>
              <w:spacing w:before="100" w:beforeAutospacing="1" w:after="100" w:afterAutospacing="1" w:line="360" w:lineRule="auto"/>
              <w:ind w:firstLine="300"/>
              <w:jc w:val="center"/>
              <w:rPr>
                <w:b/>
                <w:bCs/>
              </w:rPr>
            </w:pPr>
            <w:r>
              <w:rPr>
                <w:b/>
                <w:bCs/>
              </w:rPr>
              <w:t>Tiesību akta projekta anotācijas kopsavilkums</w:t>
            </w:r>
          </w:p>
        </w:tc>
      </w:tr>
      <w:tr w:rsidR="005A67B8" w14:paraId="0A8F76F2" w14:textId="77777777" w:rsidTr="00450A79">
        <w:tc>
          <w:tcPr>
            <w:tcW w:w="1592" w:type="pct"/>
            <w:tcBorders>
              <w:top w:val="single" w:sz="4" w:space="0" w:color="auto"/>
              <w:left w:val="single" w:sz="4" w:space="0" w:color="auto"/>
              <w:bottom w:val="single" w:sz="4" w:space="0" w:color="auto"/>
              <w:right w:val="single" w:sz="4" w:space="0" w:color="auto"/>
            </w:tcBorders>
            <w:hideMark/>
          </w:tcPr>
          <w:p w14:paraId="2EC0AABD" w14:textId="77777777" w:rsidR="00485C7E" w:rsidRDefault="005A67B8" w:rsidP="00D36872">
            <w:r>
              <w:t>Mērķis, risinājums un projekta spēkā stāšanās laiks</w:t>
            </w:r>
          </w:p>
          <w:p w14:paraId="303C8556" w14:textId="187F65DE" w:rsidR="005A67B8" w:rsidRDefault="00485C7E" w:rsidP="00DD1BD3">
            <w:r>
              <w:t xml:space="preserve">(500 zīmes bez atstarpēm) </w:t>
            </w:r>
          </w:p>
        </w:tc>
        <w:tc>
          <w:tcPr>
            <w:tcW w:w="3408" w:type="pct"/>
            <w:tcBorders>
              <w:top w:val="single" w:sz="4" w:space="0" w:color="auto"/>
              <w:left w:val="single" w:sz="4" w:space="0" w:color="auto"/>
              <w:bottom w:val="single" w:sz="4" w:space="0" w:color="auto"/>
              <w:right w:val="single" w:sz="4" w:space="0" w:color="auto"/>
            </w:tcBorders>
            <w:hideMark/>
          </w:tcPr>
          <w:p w14:paraId="1CD3F5F5" w14:textId="490632AE" w:rsidR="00583F51" w:rsidRDefault="005515B7" w:rsidP="008C2864">
            <w:pPr>
              <w:jc w:val="both"/>
            </w:pPr>
            <w:r>
              <w:t>S</w:t>
            </w:r>
            <w:r w:rsidRPr="00090CD0">
              <w:t>askaņā ar Ministru kabineta 2009.</w:t>
            </w:r>
            <w:r>
              <w:t> </w:t>
            </w:r>
            <w:r w:rsidRPr="00090CD0">
              <w:t>gada 15.</w:t>
            </w:r>
            <w:r>
              <w:t> </w:t>
            </w:r>
            <w:r w:rsidRPr="00090CD0">
              <w:t>decembra instrukcijas Nr.</w:t>
            </w:r>
            <w:r>
              <w:t> </w:t>
            </w:r>
            <w:r w:rsidRPr="00090CD0">
              <w:t>19 “Tiesību akta projekta sākotnējās ietekmes izvērtēšanas kārtība” 5.</w:t>
            </w:r>
            <w:r w:rsidRPr="00090CD0">
              <w:rPr>
                <w:vertAlign w:val="superscript"/>
              </w:rPr>
              <w:t>1</w:t>
            </w:r>
            <w:r w:rsidRPr="00090CD0">
              <w:t>punktu</w:t>
            </w:r>
            <w:r>
              <w:t xml:space="preserve"> </w:t>
            </w:r>
            <w:r w:rsidRPr="009B794B">
              <w:t xml:space="preserve">anotācijas kopsavilkums </w:t>
            </w:r>
            <w:r>
              <w:t>netiek aizpildīts.</w:t>
            </w:r>
          </w:p>
        </w:tc>
      </w:tr>
    </w:tbl>
    <w:p w14:paraId="3CD2EB92" w14:textId="77777777" w:rsidR="005A67B8" w:rsidRDefault="005A67B8" w:rsidP="00895374">
      <w:pPr>
        <w:pStyle w:val="naisc"/>
        <w:spacing w:before="0" w:after="0"/>
      </w:pPr>
    </w:p>
    <w:tbl>
      <w:tblPr>
        <w:tblpPr w:leftFromText="180" w:rightFromText="180" w:vertAnchor="text" w:tblpY="1"/>
        <w:tblOverlap w:val="neve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2538"/>
        <w:gridCol w:w="6306"/>
      </w:tblGrid>
      <w:tr w:rsidR="00895374" w:rsidRPr="00E030F4" w14:paraId="69EF5C06" w14:textId="77777777" w:rsidTr="000566DB">
        <w:tc>
          <w:tcPr>
            <w:tcW w:w="5000" w:type="pct"/>
            <w:gridSpan w:val="3"/>
            <w:tcBorders>
              <w:top w:val="single" w:sz="4" w:space="0" w:color="auto"/>
              <w:left w:val="single" w:sz="4" w:space="0" w:color="auto"/>
              <w:bottom w:val="outset" w:sz="6" w:space="0" w:color="000000"/>
              <w:right w:val="single" w:sz="4" w:space="0" w:color="auto"/>
            </w:tcBorders>
          </w:tcPr>
          <w:p w14:paraId="02A408B9" w14:textId="77777777" w:rsidR="00895374" w:rsidRPr="00E030F4" w:rsidRDefault="00895374" w:rsidP="000566DB">
            <w:pPr>
              <w:spacing w:before="100" w:beforeAutospacing="1" w:after="100" w:afterAutospacing="1"/>
              <w:jc w:val="center"/>
              <w:rPr>
                <w:b/>
                <w:bCs/>
              </w:rPr>
            </w:pPr>
            <w:r w:rsidRPr="00CE70FA">
              <w:rPr>
                <w:b/>
                <w:bCs/>
              </w:rPr>
              <w:t>I.</w:t>
            </w:r>
            <w:r w:rsidR="00551B84">
              <w:rPr>
                <w:b/>
                <w:bCs/>
              </w:rPr>
              <w:t> </w:t>
            </w:r>
            <w:r w:rsidRPr="00CE70FA">
              <w:rPr>
                <w:b/>
                <w:bCs/>
              </w:rPr>
              <w:t>Tiesību akta projekta izstrādes nepieciešamība</w:t>
            </w:r>
          </w:p>
        </w:tc>
      </w:tr>
      <w:tr w:rsidR="00895374" w:rsidRPr="00E030F4" w14:paraId="052E492B" w14:textId="77777777" w:rsidTr="000566DB">
        <w:tc>
          <w:tcPr>
            <w:tcW w:w="271" w:type="pct"/>
            <w:tcBorders>
              <w:top w:val="outset" w:sz="6" w:space="0" w:color="000000"/>
              <w:left w:val="outset" w:sz="6" w:space="0" w:color="000000"/>
              <w:bottom w:val="outset" w:sz="6" w:space="0" w:color="000000"/>
              <w:right w:val="outset" w:sz="6" w:space="0" w:color="000000"/>
            </w:tcBorders>
          </w:tcPr>
          <w:p w14:paraId="1EAA4294" w14:textId="77777777" w:rsidR="00895374" w:rsidRPr="00E030F4" w:rsidRDefault="00895374" w:rsidP="000566DB">
            <w:pPr>
              <w:spacing w:before="100" w:beforeAutospacing="1" w:after="100" w:afterAutospacing="1"/>
            </w:pPr>
            <w:r w:rsidRPr="00E030F4">
              <w:t>1.</w:t>
            </w:r>
          </w:p>
        </w:tc>
        <w:tc>
          <w:tcPr>
            <w:tcW w:w="1357" w:type="pct"/>
            <w:tcBorders>
              <w:top w:val="outset" w:sz="6" w:space="0" w:color="000000"/>
              <w:left w:val="outset" w:sz="6" w:space="0" w:color="000000"/>
              <w:bottom w:val="outset" w:sz="6" w:space="0" w:color="000000"/>
              <w:right w:val="outset" w:sz="6" w:space="0" w:color="000000"/>
            </w:tcBorders>
          </w:tcPr>
          <w:p w14:paraId="04C8DD91" w14:textId="77777777" w:rsidR="00895374" w:rsidRPr="00E030F4" w:rsidRDefault="00895374" w:rsidP="000566DB">
            <w:pPr>
              <w:spacing w:before="100" w:beforeAutospacing="1" w:after="100" w:afterAutospacing="1"/>
            </w:pPr>
            <w:r w:rsidRPr="00CE70FA">
              <w:t>Pamatojums</w:t>
            </w:r>
          </w:p>
        </w:tc>
        <w:tc>
          <w:tcPr>
            <w:tcW w:w="3372" w:type="pct"/>
            <w:tcBorders>
              <w:top w:val="outset" w:sz="6" w:space="0" w:color="000000"/>
              <w:left w:val="outset" w:sz="6" w:space="0" w:color="000000"/>
              <w:bottom w:val="outset" w:sz="6" w:space="0" w:color="000000"/>
              <w:right w:val="outset" w:sz="6" w:space="0" w:color="000000"/>
            </w:tcBorders>
          </w:tcPr>
          <w:p w14:paraId="28E8C730" w14:textId="472DF0E2" w:rsidR="00895374" w:rsidRPr="00F9121C" w:rsidRDefault="00135054" w:rsidP="005515B7">
            <w:pPr>
              <w:jc w:val="both"/>
            </w:pPr>
            <w:r w:rsidRPr="00080D5F">
              <w:rPr>
                <w:bCs/>
              </w:rPr>
              <w:t xml:space="preserve">Ministru kabineta </w:t>
            </w:r>
            <w:r w:rsidR="00E30E18">
              <w:rPr>
                <w:bCs/>
              </w:rPr>
              <w:t xml:space="preserve">(turpmāk – MK) </w:t>
            </w:r>
            <w:r w:rsidRPr="00080D5F">
              <w:rPr>
                <w:bCs/>
              </w:rPr>
              <w:t>noteikumu projekts „Grozījumi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 (turpmāk – noteikumu projekts)</w:t>
            </w:r>
            <w:r>
              <w:rPr>
                <w:bCs/>
              </w:rPr>
              <w:t xml:space="preserve"> </w:t>
            </w:r>
            <w:r w:rsidR="005515B7">
              <w:t xml:space="preserve">izstrādāts, pamatojoties uz </w:t>
            </w:r>
            <w:r w:rsidR="00895374">
              <w:t>Elektronisko sakaru likuma 49.</w:t>
            </w:r>
            <w:r w:rsidR="00551B84">
              <w:t> </w:t>
            </w:r>
            <w:r w:rsidR="00895374">
              <w:t xml:space="preserve">panta </w:t>
            </w:r>
            <w:r w:rsidR="005515B7">
              <w:t xml:space="preserve">pirmo daļu </w:t>
            </w:r>
            <w:r w:rsidR="00895374">
              <w:t>un 50.</w:t>
            </w:r>
            <w:r w:rsidR="00551B84">
              <w:t> </w:t>
            </w:r>
            <w:r w:rsidR="005515B7">
              <w:t>pantu</w:t>
            </w:r>
            <w:r w:rsidR="00895374">
              <w:t>.</w:t>
            </w:r>
          </w:p>
        </w:tc>
      </w:tr>
      <w:tr w:rsidR="00895374" w:rsidRPr="00096A02" w14:paraId="24FB5F52" w14:textId="77777777" w:rsidTr="000566DB">
        <w:tc>
          <w:tcPr>
            <w:tcW w:w="271" w:type="pct"/>
            <w:tcBorders>
              <w:top w:val="outset" w:sz="6" w:space="0" w:color="000000"/>
              <w:left w:val="outset" w:sz="6" w:space="0" w:color="000000"/>
              <w:bottom w:val="outset" w:sz="6" w:space="0" w:color="000000"/>
              <w:right w:val="outset" w:sz="6" w:space="0" w:color="000000"/>
            </w:tcBorders>
          </w:tcPr>
          <w:p w14:paraId="5BB9AA18" w14:textId="77777777" w:rsidR="00895374" w:rsidRPr="00E030F4" w:rsidRDefault="00895374" w:rsidP="000566DB">
            <w:pPr>
              <w:spacing w:before="100" w:beforeAutospacing="1" w:after="100" w:afterAutospacing="1"/>
            </w:pPr>
            <w:r w:rsidRPr="00E030F4">
              <w:t>2.</w:t>
            </w:r>
          </w:p>
        </w:tc>
        <w:tc>
          <w:tcPr>
            <w:tcW w:w="1357" w:type="pct"/>
            <w:tcBorders>
              <w:top w:val="outset" w:sz="6" w:space="0" w:color="000000"/>
              <w:left w:val="outset" w:sz="6" w:space="0" w:color="000000"/>
              <w:bottom w:val="outset" w:sz="6" w:space="0" w:color="000000"/>
              <w:right w:val="outset" w:sz="6" w:space="0" w:color="000000"/>
            </w:tcBorders>
          </w:tcPr>
          <w:p w14:paraId="7CBF52C0" w14:textId="77777777" w:rsidR="00C36202" w:rsidRDefault="00895374" w:rsidP="000566DB">
            <w:pPr>
              <w:spacing w:before="100" w:beforeAutospacing="1" w:after="100" w:afterAutospacing="1"/>
            </w:pPr>
            <w:r w:rsidRPr="00CE70FA">
              <w:t>Pašreizējā situācija un problēmas</w:t>
            </w:r>
            <w:r>
              <w:t>, kuru risināšanai tiesību akta projekts izstrādāts, t</w:t>
            </w:r>
            <w:r w:rsidRPr="00156F05">
              <w:t>iesiskā regulējuma mērķis un būtība</w:t>
            </w:r>
          </w:p>
          <w:p w14:paraId="52D68F80" w14:textId="77777777" w:rsidR="00895374" w:rsidRPr="00C36202" w:rsidRDefault="00895374" w:rsidP="000566DB">
            <w:pPr>
              <w:ind w:firstLine="720"/>
            </w:pPr>
          </w:p>
        </w:tc>
        <w:tc>
          <w:tcPr>
            <w:tcW w:w="3372" w:type="pct"/>
            <w:tcBorders>
              <w:top w:val="outset" w:sz="6" w:space="0" w:color="000000"/>
              <w:left w:val="outset" w:sz="6" w:space="0" w:color="000000"/>
              <w:bottom w:val="outset" w:sz="6" w:space="0" w:color="000000"/>
              <w:right w:val="outset" w:sz="6" w:space="0" w:color="000000"/>
            </w:tcBorders>
          </w:tcPr>
          <w:p w14:paraId="32B98F06" w14:textId="0DD320A5" w:rsidR="00AA6CB4" w:rsidRDefault="00AA6CB4" w:rsidP="00AA6CB4">
            <w:pPr>
              <w:jc w:val="both"/>
            </w:pPr>
            <w:r>
              <w:t xml:space="preserve">Regulējumu, kādā šobrīd noteikts </w:t>
            </w:r>
            <w:r w:rsidRPr="00662FFA">
              <w:t>radiofrekvenču joslu sadalījum</w:t>
            </w:r>
            <w:r>
              <w:t>s</w:t>
            </w:r>
            <w:r w:rsidRPr="00662FFA">
              <w:t xml:space="preserve"> radiosakaru veidiem</w:t>
            </w:r>
            <w:r>
              <w:t xml:space="preserve"> un</w:t>
            </w:r>
            <w:r w:rsidRPr="00131F09">
              <w:t xml:space="preserve"> iedalījums radiosakaru sistēmām</w:t>
            </w:r>
            <w:r>
              <w:t>,</w:t>
            </w:r>
            <w:r w:rsidRPr="00131F09">
              <w:t xml:space="preserve"> </w:t>
            </w:r>
            <w:r>
              <w:t>nosaka</w:t>
            </w:r>
            <w:r w:rsidRPr="00662FFA">
              <w:t xml:space="preserve"> </w:t>
            </w:r>
            <w:bookmarkStart w:id="0" w:name="OLE_LINK1"/>
            <w:r w:rsidR="00E30E18">
              <w:t>MK</w:t>
            </w:r>
            <w:r w:rsidRPr="00662FFA">
              <w:t xml:space="preserve"> 2009.</w:t>
            </w:r>
            <w:r>
              <w:t> </w:t>
            </w:r>
            <w:r w:rsidRPr="00662FFA">
              <w:t>gada 6.</w:t>
            </w:r>
            <w:r>
              <w:t> </w:t>
            </w:r>
            <w:r w:rsidRPr="00662FFA">
              <w:t>oktobra noteikum</w:t>
            </w:r>
            <w:r>
              <w:t>i</w:t>
            </w:r>
            <w:r w:rsidRPr="00662FFA">
              <w:t xml:space="preserve"> Nr.</w:t>
            </w:r>
            <w:r>
              <w:t> </w:t>
            </w:r>
            <w:r w:rsidRPr="00662FFA">
              <w:t>1151 „</w:t>
            </w:r>
            <w:r w:rsidRPr="00131F09">
              <w:t>Noteikumi par radiofrekvenču spektra joslu sadalījumu radiosakaru veidiem un iedalījumu radiosakaru sistēmām, kā arī par radiofrekvenču spektra joslu izmantošanas vispārīgajiem nosacījumiem (Nacionālais radiofrekvenču plāns)</w:t>
            </w:r>
            <w:r w:rsidRPr="005831CB">
              <w:t>”</w:t>
            </w:r>
            <w:bookmarkEnd w:id="0"/>
            <w:r>
              <w:t xml:space="preserve"> (</w:t>
            </w:r>
            <w:r w:rsidRPr="007315BA">
              <w:rPr>
                <w:bCs/>
              </w:rPr>
              <w:t xml:space="preserve">turpmāk </w:t>
            </w:r>
            <w:r>
              <w:rPr>
                <w:bCs/>
              </w:rPr>
              <w:t>–</w:t>
            </w:r>
            <w:r w:rsidRPr="007315BA">
              <w:rPr>
                <w:bCs/>
              </w:rPr>
              <w:t xml:space="preserve"> </w:t>
            </w:r>
            <w:r w:rsidRPr="00131F09">
              <w:t>Nacionālais radiofrekvenču plāns</w:t>
            </w:r>
            <w:r w:rsidRPr="007315BA">
              <w:rPr>
                <w:bCs/>
              </w:rPr>
              <w:t>)</w:t>
            </w:r>
            <w:r w:rsidRPr="005831CB">
              <w:t>.</w:t>
            </w:r>
            <w:r>
              <w:t xml:space="preserve"> </w:t>
            </w:r>
          </w:p>
          <w:p w14:paraId="6E0C2939" w14:textId="77777777" w:rsidR="00AA6CB4" w:rsidRDefault="00AA6CB4" w:rsidP="00080D5F">
            <w:pPr>
              <w:jc w:val="both"/>
              <w:rPr>
                <w:bCs/>
              </w:rPr>
            </w:pPr>
          </w:p>
          <w:p w14:paraId="49335ECF" w14:textId="707736BD" w:rsidR="005A0242" w:rsidRPr="006815CE" w:rsidRDefault="00135054" w:rsidP="005A0242">
            <w:pPr>
              <w:jc w:val="both"/>
            </w:pPr>
            <w:r>
              <w:rPr>
                <w:bCs/>
              </w:rPr>
              <w:t>N</w:t>
            </w:r>
            <w:r w:rsidR="00217D34" w:rsidRPr="00080D5F">
              <w:rPr>
                <w:bCs/>
              </w:rPr>
              <w:t>oteikumu projekts</w:t>
            </w:r>
            <w:r w:rsidR="00217D34" w:rsidRPr="00080D5F">
              <w:rPr>
                <w:b/>
                <w:bCs/>
              </w:rPr>
              <w:t xml:space="preserve"> </w:t>
            </w:r>
            <w:r w:rsidR="00217D34" w:rsidRPr="00080D5F">
              <w:rPr>
                <w:bCs/>
              </w:rPr>
              <w:t>paredz</w:t>
            </w:r>
            <w:r w:rsidR="00217D34" w:rsidRPr="00080D5F">
              <w:rPr>
                <w:b/>
                <w:bCs/>
              </w:rPr>
              <w:t xml:space="preserve"> </w:t>
            </w:r>
            <w:r w:rsidR="00217D34" w:rsidRPr="00080D5F">
              <w:t xml:space="preserve">aktualizēt radiofrekvenču spektra plānojumu </w:t>
            </w:r>
            <w:r w:rsidR="00217D34" w:rsidRPr="006815CE">
              <w:t>radiosakaru dienestiem un iedalījumu radiosakaru sistēmām</w:t>
            </w:r>
            <w:r w:rsidR="00BA6734">
              <w:t xml:space="preserve">. </w:t>
            </w:r>
            <w:bookmarkStart w:id="1" w:name="_Hlk58317539"/>
            <w:r w:rsidR="001D755D" w:rsidRPr="006815CE">
              <w:t xml:space="preserve">Noteikumu projekts </w:t>
            </w:r>
            <w:r w:rsidR="001D755D">
              <w:t>nosaka</w:t>
            </w:r>
            <w:r w:rsidR="001D755D" w:rsidRPr="006815CE">
              <w:t xml:space="preserve"> </w:t>
            </w:r>
            <w:r w:rsidR="00647642" w:rsidRPr="001D755D">
              <w:t xml:space="preserve">Eiropas Pasta un telesakaru administrāciju konferences (CEPT) </w:t>
            </w:r>
            <w:r w:rsidR="001D755D">
              <w:t xml:space="preserve">dokumenta </w:t>
            </w:r>
            <w:r w:rsidR="001D755D" w:rsidRPr="006815CE">
              <w:t xml:space="preserve"> ERC/REC 70-03</w:t>
            </w:r>
            <w:r w:rsidR="00153F12">
              <w:t>,</w:t>
            </w:r>
            <w:r w:rsidR="001D755D" w:rsidRPr="006815CE">
              <w:rPr>
                <w:lang w:val="en-GB"/>
              </w:rPr>
              <w:t xml:space="preserve"> </w:t>
            </w:r>
            <w:r w:rsidR="00153F12">
              <w:t xml:space="preserve">2020. gada 23. oktobra </w:t>
            </w:r>
            <w:r w:rsidR="008C0BCC">
              <w:t>izdevuma</w:t>
            </w:r>
            <w:r w:rsidR="00153F12" w:rsidRPr="006815CE">
              <w:rPr>
                <w:lang w:val="en-GB"/>
              </w:rPr>
              <w:t xml:space="preserve"> </w:t>
            </w:r>
            <w:r w:rsidR="001D755D" w:rsidRPr="006815CE">
              <w:rPr>
                <w:lang w:val="en-GB"/>
              </w:rPr>
              <w:t>9.</w:t>
            </w:r>
            <w:r w:rsidR="001D755D">
              <w:rPr>
                <w:lang w:val="en-GB"/>
              </w:rPr>
              <w:t xml:space="preserve"> </w:t>
            </w:r>
            <w:proofErr w:type="gramStart"/>
            <w:r w:rsidR="001D755D">
              <w:rPr>
                <w:lang w:val="en-GB"/>
              </w:rPr>
              <w:t xml:space="preserve">un </w:t>
            </w:r>
            <w:r w:rsidR="001D755D" w:rsidRPr="006815CE">
              <w:rPr>
                <w:lang w:val="en-GB"/>
              </w:rPr>
              <w:t>10</w:t>
            </w:r>
            <w:proofErr w:type="gramEnd"/>
            <w:r w:rsidR="001D755D">
              <w:rPr>
                <w:lang w:val="en-GB"/>
              </w:rPr>
              <w:t>.</w:t>
            </w:r>
            <w:r w:rsidR="00AA3272">
              <w:rPr>
                <w:lang w:val="en-GB"/>
              </w:rPr>
              <w:t xml:space="preserve"> </w:t>
            </w:r>
            <w:proofErr w:type="spellStart"/>
            <w:r w:rsidR="00AA3272">
              <w:rPr>
                <w:lang w:val="en-GB"/>
              </w:rPr>
              <w:t>p</w:t>
            </w:r>
            <w:r w:rsidR="001D755D" w:rsidRPr="006815CE">
              <w:rPr>
                <w:lang w:val="en-GB"/>
              </w:rPr>
              <w:t>ielikum</w:t>
            </w:r>
            <w:r w:rsidR="00AA3272">
              <w:rPr>
                <w:lang w:val="en-GB"/>
              </w:rPr>
              <w:t>ā</w:t>
            </w:r>
            <w:proofErr w:type="spellEnd"/>
            <w:r w:rsidR="00AA3272">
              <w:rPr>
                <w:lang w:val="en-GB"/>
              </w:rPr>
              <w:t xml:space="preserve"> </w:t>
            </w:r>
            <w:proofErr w:type="spellStart"/>
            <w:r w:rsidR="00AA3272">
              <w:rPr>
                <w:lang w:val="en-GB"/>
              </w:rPr>
              <w:t>minēto</w:t>
            </w:r>
            <w:proofErr w:type="spellEnd"/>
            <w:r w:rsidR="001D755D">
              <w:rPr>
                <w:lang w:val="en-GB"/>
              </w:rPr>
              <w:t xml:space="preserve"> s</w:t>
            </w:r>
            <w:proofErr w:type="spellStart"/>
            <w:r w:rsidR="001D755D" w:rsidRPr="001D755D">
              <w:t>aistībā</w:t>
            </w:r>
            <w:proofErr w:type="spellEnd"/>
            <w:r w:rsidR="001D755D" w:rsidRPr="001D755D">
              <w:t xml:space="preserve"> ar maza darbības attāluma ierīču (SRD) izmantošanu</w:t>
            </w:r>
            <w:r w:rsidR="001D755D">
              <w:t xml:space="preserve"> </w:t>
            </w:r>
            <w:r w:rsidR="00800566" w:rsidRPr="006815CE">
              <w:t>frekvenču josl</w:t>
            </w:r>
            <w:r w:rsidR="00C00BB3">
              <w:t>ā</w:t>
            </w:r>
            <w:r w:rsidR="00800566" w:rsidRPr="006815CE">
              <w:t xml:space="preserve"> z</w:t>
            </w:r>
            <w:r w:rsidR="005A0242" w:rsidRPr="006815CE">
              <w:t>em</w:t>
            </w:r>
            <w:r w:rsidR="00800566" w:rsidRPr="006815CE">
              <w:t xml:space="preserve"> 9 </w:t>
            </w:r>
            <w:proofErr w:type="spellStart"/>
            <w:r w:rsidR="00800566" w:rsidRPr="006815CE">
              <w:t>kHz</w:t>
            </w:r>
            <w:proofErr w:type="spellEnd"/>
            <w:r w:rsidR="00800566" w:rsidRPr="006815CE">
              <w:t>:</w:t>
            </w:r>
            <w:r w:rsidR="005A0242" w:rsidRPr="006815CE">
              <w:t xml:space="preserve"> 8,3–9</w:t>
            </w:r>
            <w:r w:rsidR="00800566" w:rsidRPr="006815CE">
              <w:t> </w:t>
            </w:r>
            <w:proofErr w:type="spellStart"/>
            <w:r w:rsidR="005A0242" w:rsidRPr="006815CE">
              <w:t>kHz</w:t>
            </w:r>
            <w:proofErr w:type="spellEnd"/>
            <w:r w:rsidR="005A0242" w:rsidRPr="006815CE">
              <w:rPr>
                <w:b/>
                <w:bCs/>
              </w:rPr>
              <w:t xml:space="preserve"> </w:t>
            </w:r>
            <w:r w:rsidR="00800566" w:rsidRPr="006815CE">
              <w:t>un zemāk par 8,3</w:t>
            </w:r>
            <w:r w:rsidR="00F376CD">
              <w:t> </w:t>
            </w:r>
            <w:proofErr w:type="spellStart"/>
            <w:r w:rsidR="00800566" w:rsidRPr="006815CE">
              <w:t>kHz</w:t>
            </w:r>
            <w:proofErr w:type="spellEnd"/>
            <w:r w:rsidR="00800566" w:rsidRPr="006815CE">
              <w:t>.</w:t>
            </w:r>
            <w:r w:rsidR="005A0242" w:rsidRPr="006815CE">
              <w:t xml:space="preserve"> </w:t>
            </w:r>
            <w:r w:rsidR="00EB3CAC">
              <w:t xml:space="preserve">Diapazons </w:t>
            </w:r>
            <w:r w:rsidR="00800566" w:rsidRPr="006815CE">
              <w:t>8,3–9 </w:t>
            </w:r>
            <w:proofErr w:type="spellStart"/>
            <w:r w:rsidR="00800566" w:rsidRPr="006815CE">
              <w:t>kHz</w:t>
            </w:r>
            <w:proofErr w:type="spellEnd"/>
            <w:r w:rsidR="00800566" w:rsidRPr="006815CE">
              <w:rPr>
                <w:b/>
                <w:bCs/>
              </w:rPr>
              <w:t xml:space="preserve"> </w:t>
            </w:r>
            <w:r w:rsidR="00800566" w:rsidRPr="006815CE">
              <w:t>iedalīts</w:t>
            </w:r>
            <w:r w:rsidR="00800566" w:rsidRPr="006815CE">
              <w:rPr>
                <w:b/>
                <w:bCs/>
              </w:rPr>
              <w:t xml:space="preserve"> </w:t>
            </w:r>
            <w:r w:rsidR="0028207A" w:rsidRPr="006815CE">
              <w:t>Meteoroloģijas Palīgdienest</w:t>
            </w:r>
            <w:r w:rsidR="00800566" w:rsidRPr="006815CE">
              <w:t>a</w:t>
            </w:r>
            <w:r w:rsidR="00EB3CAC">
              <w:t xml:space="preserve"> radiosakaru dienestiem</w:t>
            </w:r>
            <w:r w:rsidR="0029508E">
              <w:t>, tostarp</w:t>
            </w:r>
            <w:r w:rsidR="00800566" w:rsidRPr="006815CE">
              <w:t xml:space="preserve"> </w:t>
            </w:r>
            <w:proofErr w:type="spellStart"/>
            <w:r w:rsidR="0029508E" w:rsidRPr="006815CE">
              <w:rPr>
                <w:lang w:val="en-GB"/>
              </w:rPr>
              <w:t>Induktīvām</w:t>
            </w:r>
            <w:proofErr w:type="spellEnd"/>
            <w:r w:rsidR="0029508E" w:rsidRPr="006815CE">
              <w:rPr>
                <w:lang w:val="en-GB"/>
              </w:rPr>
              <w:t xml:space="preserve"> </w:t>
            </w:r>
            <w:proofErr w:type="spellStart"/>
            <w:r w:rsidR="0029508E" w:rsidRPr="006815CE">
              <w:rPr>
                <w:lang w:val="en-GB"/>
              </w:rPr>
              <w:t>ierīcēm</w:t>
            </w:r>
            <w:proofErr w:type="spellEnd"/>
            <w:r w:rsidR="006815CE" w:rsidRPr="006815CE">
              <w:rPr>
                <w:lang w:val="en-GB"/>
              </w:rPr>
              <w:t>.</w:t>
            </w:r>
            <w:r w:rsidR="0029508E">
              <w:rPr>
                <w:lang w:val="en-GB"/>
              </w:rPr>
              <w:t xml:space="preserve"> </w:t>
            </w:r>
            <w:proofErr w:type="spellStart"/>
            <w:r w:rsidR="008C0BCC">
              <w:rPr>
                <w:lang w:val="en-GB"/>
              </w:rPr>
              <w:t>Ar</w:t>
            </w:r>
            <w:proofErr w:type="spellEnd"/>
            <w:r w:rsidR="008C0BCC">
              <w:rPr>
                <w:lang w:val="en-GB"/>
              </w:rPr>
              <w:t xml:space="preserve"> </w:t>
            </w:r>
            <w:proofErr w:type="spellStart"/>
            <w:r w:rsidR="008C0BCC">
              <w:rPr>
                <w:lang w:val="en-GB"/>
              </w:rPr>
              <w:t>noteikumu</w:t>
            </w:r>
            <w:proofErr w:type="spellEnd"/>
            <w:r w:rsidR="008C0BCC">
              <w:rPr>
                <w:lang w:val="en-GB"/>
              </w:rPr>
              <w:t xml:space="preserve"> </w:t>
            </w:r>
            <w:proofErr w:type="spellStart"/>
            <w:r w:rsidR="008C0BCC">
              <w:rPr>
                <w:lang w:val="en-GB"/>
              </w:rPr>
              <w:t>projektu</w:t>
            </w:r>
            <w:proofErr w:type="spellEnd"/>
            <w:r w:rsidR="008C0BCC">
              <w:rPr>
                <w:lang w:val="en-GB"/>
              </w:rPr>
              <w:t xml:space="preserve"> </w:t>
            </w:r>
            <w:proofErr w:type="spellStart"/>
            <w:r w:rsidR="008C0BCC">
              <w:rPr>
                <w:lang w:val="en-GB"/>
              </w:rPr>
              <w:t>p</w:t>
            </w:r>
            <w:r w:rsidR="0029508E">
              <w:rPr>
                <w:lang w:val="en-GB"/>
              </w:rPr>
              <w:t>apildināts</w:t>
            </w:r>
            <w:proofErr w:type="spellEnd"/>
            <w:r w:rsidR="0029508E">
              <w:rPr>
                <w:lang w:val="en-GB"/>
              </w:rPr>
              <w:t xml:space="preserve"> </w:t>
            </w:r>
            <w:r w:rsidR="0029508E" w:rsidRPr="00131F09">
              <w:t>Nacionāl</w:t>
            </w:r>
            <w:r w:rsidR="0029508E">
              <w:t>ā</w:t>
            </w:r>
            <w:r w:rsidR="0029508E" w:rsidRPr="00131F09">
              <w:t xml:space="preserve"> radiofrekvenču plān</w:t>
            </w:r>
            <w:r w:rsidR="0029508E">
              <w:t>a</w:t>
            </w:r>
            <w:r w:rsidR="0029508E">
              <w:rPr>
                <w:lang w:val="en-GB"/>
              </w:rPr>
              <w:t xml:space="preserve"> 1.</w:t>
            </w:r>
            <w:r w:rsidR="002A14F4">
              <w:rPr>
                <w:lang w:val="en-GB"/>
              </w:rPr>
              <w:t xml:space="preserve"> </w:t>
            </w:r>
            <w:proofErr w:type="gramStart"/>
            <w:r w:rsidR="002A14F4">
              <w:rPr>
                <w:lang w:val="en-GB"/>
              </w:rPr>
              <w:t>un</w:t>
            </w:r>
            <w:r w:rsidR="0029508E">
              <w:rPr>
                <w:lang w:val="en-GB"/>
              </w:rPr>
              <w:t xml:space="preserve"> 3</w:t>
            </w:r>
            <w:proofErr w:type="gramEnd"/>
            <w:r w:rsidR="0029508E">
              <w:rPr>
                <w:lang w:val="en-GB"/>
              </w:rPr>
              <w:t>. </w:t>
            </w:r>
            <w:proofErr w:type="spellStart"/>
            <w:r w:rsidR="0029508E">
              <w:rPr>
                <w:lang w:val="en-GB"/>
              </w:rPr>
              <w:t>pielikums</w:t>
            </w:r>
            <w:proofErr w:type="spellEnd"/>
            <w:r w:rsidR="0029508E">
              <w:rPr>
                <w:lang w:val="en-GB"/>
              </w:rPr>
              <w:t>.</w:t>
            </w:r>
          </w:p>
          <w:bookmarkEnd w:id="1"/>
          <w:p w14:paraId="52C906E9" w14:textId="77777777" w:rsidR="005A0242" w:rsidRPr="006815CE" w:rsidRDefault="005A0242" w:rsidP="005A0242">
            <w:pPr>
              <w:jc w:val="both"/>
            </w:pPr>
          </w:p>
          <w:p w14:paraId="07320BA3" w14:textId="4CB92659" w:rsidR="006F2D5B" w:rsidRDefault="00B05D3B" w:rsidP="00BB2B5E">
            <w:pPr>
              <w:pStyle w:val="Paraststmeklis"/>
              <w:spacing w:before="0" w:beforeAutospacing="0"/>
              <w:jc w:val="both"/>
              <w:rPr>
                <w:color w:val="000000"/>
                <w:lang w:val="lv-LV"/>
              </w:rPr>
            </w:pPr>
            <w:r w:rsidRPr="00FE144B">
              <w:rPr>
                <w:lang w:val="lv-LV"/>
              </w:rPr>
              <w:t>Nacionāl</w:t>
            </w:r>
            <w:r w:rsidR="005E4A51" w:rsidRPr="00FE144B">
              <w:rPr>
                <w:lang w:val="lv-LV"/>
              </w:rPr>
              <w:t>ā</w:t>
            </w:r>
            <w:r w:rsidRPr="00FE144B">
              <w:rPr>
                <w:lang w:val="lv-LV"/>
              </w:rPr>
              <w:t xml:space="preserve"> radiofrekvenču plān</w:t>
            </w:r>
            <w:r w:rsidR="005E4A51" w:rsidRPr="00FE144B">
              <w:rPr>
                <w:lang w:val="lv-LV"/>
              </w:rPr>
              <w:t>a</w:t>
            </w:r>
            <w:r w:rsidR="00F34E58" w:rsidRPr="00F34E58">
              <w:rPr>
                <w:color w:val="000000"/>
                <w:lang w:val="lv-LV"/>
              </w:rPr>
              <w:t xml:space="preserve"> frekvenču joslās 5091 </w:t>
            </w:r>
            <w:r w:rsidR="00404E3A">
              <w:rPr>
                <w:color w:val="000000"/>
                <w:lang w:val="lv-LV"/>
              </w:rPr>
              <w:t>–</w:t>
            </w:r>
            <w:r w:rsidR="00F34E58" w:rsidRPr="00F34E58">
              <w:rPr>
                <w:color w:val="000000"/>
                <w:lang w:val="lv-LV"/>
              </w:rPr>
              <w:t xml:space="preserve"> 5250</w:t>
            </w:r>
            <w:r w:rsidR="00404E3A">
              <w:rPr>
                <w:color w:val="000000"/>
                <w:lang w:val="lv-LV"/>
              </w:rPr>
              <w:t> </w:t>
            </w:r>
            <w:proofErr w:type="spellStart"/>
            <w:r w:rsidR="00F34E58" w:rsidRPr="00F34E58">
              <w:rPr>
                <w:color w:val="000000"/>
                <w:lang w:val="lv-LV"/>
              </w:rPr>
              <w:t>MHz</w:t>
            </w:r>
            <w:proofErr w:type="spellEnd"/>
            <w:r w:rsidR="00F34E58" w:rsidRPr="00F34E58">
              <w:rPr>
                <w:color w:val="000000"/>
                <w:lang w:val="lv-LV"/>
              </w:rPr>
              <w:t xml:space="preserve"> un 6700 </w:t>
            </w:r>
            <w:r w:rsidR="00404E3A">
              <w:rPr>
                <w:color w:val="000000"/>
                <w:lang w:val="lv-LV"/>
              </w:rPr>
              <w:t>–</w:t>
            </w:r>
            <w:r w:rsidR="00F34E58" w:rsidRPr="00F34E58">
              <w:rPr>
                <w:color w:val="000000"/>
                <w:lang w:val="lv-LV"/>
              </w:rPr>
              <w:t xml:space="preserve"> 7075</w:t>
            </w:r>
            <w:r w:rsidR="00404E3A">
              <w:rPr>
                <w:color w:val="000000"/>
                <w:lang w:val="lv-LV"/>
              </w:rPr>
              <w:t> </w:t>
            </w:r>
            <w:proofErr w:type="spellStart"/>
            <w:r w:rsidR="00F34E58" w:rsidRPr="00F34E58">
              <w:rPr>
                <w:color w:val="000000"/>
                <w:lang w:val="lv-LV"/>
              </w:rPr>
              <w:t>MHz</w:t>
            </w:r>
            <w:proofErr w:type="spellEnd"/>
            <w:r w:rsidR="00F34E58" w:rsidRPr="00F34E58">
              <w:rPr>
                <w:color w:val="000000"/>
                <w:lang w:val="lv-LV"/>
              </w:rPr>
              <w:t xml:space="preserve"> Latvijā nav noteikta radiosakaru sistēma. Sakarā ar elektronisko sakaru </w:t>
            </w:r>
            <w:r w:rsidR="005A0242">
              <w:rPr>
                <w:color w:val="000000"/>
                <w:lang w:val="lv-LV"/>
              </w:rPr>
              <w:t>operatoru</w:t>
            </w:r>
            <w:r w:rsidR="00F34E58" w:rsidRPr="00F34E58">
              <w:rPr>
                <w:color w:val="000000"/>
                <w:lang w:val="lv-LV"/>
              </w:rPr>
              <w:t xml:space="preserve"> </w:t>
            </w:r>
            <w:r w:rsidR="00BB2B5E">
              <w:rPr>
                <w:color w:val="000000"/>
                <w:lang w:val="lv-LV"/>
              </w:rPr>
              <w:t>vēlmēm</w:t>
            </w:r>
            <w:r w:rsidR="00F34E58" w:rsidRPr="00577AA9">
              <w:rPr>
                <w:color w:val="000000"/>
                <w:lang w:val="lv-LV"/>
              </w:rPr>
              <w:t xml:space="preserve"> sniegt</w:t>
            </w:r>
            <w:r w:rsidR="00F34E58" w:rsidRPr="00F34E58">
              <w:rPr>
                <w:color w:val="000000"/>
                <w:lang w:val="lv-LV"/>
              </w:rPr>
              <w:t xml:space="preserve"> </w:t>
            </w:r>
            <w:r w:rsidR="00AA3272">
              <w:rPr>
                <w:color w:val="000000"/>
                <w:lang w:val="lv-LV"/>
              </w:rPr>
              <w:lastRenderedPageBreak/>
              <w:t>I</w:t>
            </w:r>
            <w:r w:rsidR="00F34E58" w:rsidRPr="0022107B">
              <w:rPr>
                <w:color w:val="000000"/>
                <w:lang w:val="lv-LV"/>
              </w:rPr>
              <w:t>zplatījuma</w:t>
            </w:r>
            <w:r w:rsidR="00F34E58" w:rsidRPr="00F34E58">
              <w:rPr>
                <w:color w:val="000000"/>
                <w:lang w:val="lv-LV"/>
              </w:rPr>
              <w:t xml:space="preserve"> sakaru pakalpojumus, noteikumu </w:t>
            </w:r>
            <w:r w:rsidR="00657B36">
              <w:rPr>
                <w:color w:val="000000"/>
                <w:lang w:val="lv-LV"/>
              </w:rPr>
              <w:t>projekts</w:t>
            </w:r>
            <w:r w:rsidR="00F34E58" w:rsidRPr="00F34E58">
              <w:rPr>
                <w:color w:val="000000"/>
                <w:lang w:val="lv-LV"/>
              </w:rPr>
              <w:t xml:space="preserve"> paredz </w:t>
            </w:r>
            <w:r w:rsidR="00BB2B5E">
              <w:rPr>
                <w:color w:val="000000"/>
                <w:lang w:val="lv-LV"/>
              </w:rPr>
              <w:t xml:space="preserve">Latvijā </w:t>
            </w:r>
            <w:r w:rsidR="00F34E58" w:rsidRPr="00F34E58">
              <w:rPr>
                <w:color w:val="000000"/>
                <w:lang w:val="lv-LV"/>
              </w:rPr>
              <w:t xml:space="preserve">noteikt radiosakaru sistēmu </w:t>
            </w:r>
            <w:r w:rsidR="00BB2B5E">
              <w:rPr>
                <w:color w:val="000000"/>
                <w:lang w:val="lv-LV"/>
              </w:rPr>
              <w:t>šajās</w:t>
            </w:r>
            <w:r w:rsidR="002A14F4" w:rsidRPr="00F34E58">
              <w:rPr>
                <w:color w:val="000000"/>
                <w:lang w:val="lv-LV"/>
              </w:rPr>
              <w:t xml:space="preserve"> </w:t>
            </w:r>
            <w:r w:rsidR="00F34E58" w:rsidRPr="00F34E58">
              <w:rPr>
                <w:color w:val="000000"/>
                <w:lang w:val="lv-LV"/>
              </w:rPr>
              <w:t>joslās, kā arī grozīt</w:t>
            </w:r>
            <w:r w:rsidR="00A33315">
              <w:rPr>
                <w:color w:val="000000"/>
                <w:lang w:val="lv-LV"/>
              </w:rPr>
              <w:t xml:space="preserve"> </w:t>
            </w:r>
            <w:r w:rsidR="008C0BCC" w:rsidRPr="00131F09">
              <w:t xml:space="preserve"> </w:t>
            </w:r>
            <w:proofErr w:type="spellStart"/>
            <w:r w:rsidR="008C0BCC" w:rsidRPr="00131F09">
              <w:t>Nacionāl</w:t>
            </w:r>
            <w:r w:rsidR="008C0BCC">
              <w:t>ā</w:t>
            </w:r>
            <w:proofErr w:type="spellEnd"/>
            <w:r w:rsidR="008C0BCC" w:rsidRPr="00131F09">
              <w:t xml:space="preserve"> </w:t>
            </w:r>
            <w:proofErr w:type="spellStart"/>
            <w:r w:rsidR="008C0BCC" w:rsidRPr="00131F09">
              <w:t>radiofrekvenču</w:t>
            </w:r>
            <w:proofErr w:type="spellEnd"/>
            <w:r w:rsidR="008C0BCC" w:rsidRPr="00131F09">
              <w:t xml:space="preserve"> </w:t>
            </w:r>
            <w:proofErr w:type="spellStart"/>
            <w:r w:rsidR="008C0BCC" w:rsidRPr="00131F09">
              <w:t>plān</w:t>
            </w:r>
            <w:r w:rsidR="008C0BCC">
              <w:t>a</w:t>
            </w:r>
            <w:proofErr w:type="spellEnd"/>
            <w:r w:rsidR="008C0BCC">
              <w:rPr>
                <w:color w:val="000000"/>
                <w:lang w:val="lv-LV"/>
              </w:rPr>
              <w:t xml:space="preserve"> </w:t>
            </w:r>
            <w:r w:rsidR="00A33315">
              <w:rPr>
                <w:color w:val="000000"/>
                <w:lang w:val="lv-LV"/>
              </w:rPr>
              <w:t>1.</w:t>
            </w:r>
            <w:r w:rsidR="00133AF6">
              <w:rPr>
                <w:color w:val="000000"/>
                <w:lang w:val="lv-LV"/>
              </w:rPr>
              <w:t> </w:t>
            </w:r>
            <w:r w:rsidR="00A33315">
              <w:rPr>
                <w:color w:val="000000"/>
                <w:lang w:val="lv-LV"/>
              </w:rPr>
              <w:t>pielikum</w:t>
            </w:r>
            <w:r w:rsidR="00583C09">
              <w:rPr>
                <w:color w:val="000000"/>
                <w:lang w:val="lv-LV"/>
              </w:rPr>
              <w:t xml:space="preserve">a </w:t>
            </w:r>
            <w:r w:rsidR="0031147C">
              <w:rPr>
                <w:color w:val="000000"/>
                <w:lang w:val="lv-LV"/>
              </w:rPr>
              <w:t xml:space="preserve">attiecīgos </w:t>
            </w:r>
            <w:r w:rsidR="002B6287">
              <w:rPr>
                <w:color w:val="000000"/>
                <w:lang w:val="lv-LV"/>
              </w:rPr>
              <w:t>punktus</w:t>
            </w:r>
            <w:r w:rsidR="00F34E58" w:rsidRPr="00F34E58">
              <w:rPr>
                <w:color w:val="000000"/>
                <w:lang w:val="lv-LV"/>
              </w:rPr>
              <w:t xml:space="preserve"> atbilstoši</w:t>
            </w:r>
            <w:r w:rsidR="00A77B5E">
              <w:rPr>
                <w:color w:val="000000"/>
                <w:lang w:val="lv-LV"/>
              </w:rPr>
              <w:t xml:space="preserve"> </w:t>
            </w:r>
            <w:r w:rsidR="00A77B5E" w:rsidRPr="00781073">
              <w:rPr>
                <w:lang w:val="lv-LV"/>
              </w:rPr>
              <w:t>Starptautiskās telekomunikāciju savienības</w:t>
            </w:r>
            <w:r w:rsidR="00F34E58" w:rsidRPr="00F34E58">
              <w:rPr>
                <w:color w:val="000000"/>
                <w:lang w:val="lv-LV"/>
              </w:rPr>
              <w:t xml:space="preserve"> </w:t>
            </w:r>
            <w:r w:rsidR="00F34E58" w:rsidRPr="005F01F1">
              <w:rPr>
                <w:i/>
                <w:iCs/>
                <w:color w:val="000000"/>
                <w:lang w:val="lv-LV"/>
              </w:rPr>
              <w:t>ITU</w:t>
            </w:r>
            <w:r w:rsidR="00F34E58" w:rsidRPr="00F34E58">
              <w:rPr>
                <w:color w:val="000000"/>
                <w:lang w:val="lv-LV"/>
              </w:rPr>
              <w:t xml:space="preserve"> </w:t>
            </w:r>
            <w:r w:rsidR="00D35BCE" w:rsidRPr="007351E9">
              <w:rPr>
                <w:i/>
                <w:iCs/>
                <w:color w:val="000000"/>
                <w:lang w:val="lv-LV"/>
              </w:rPr>
              <w:t>(</w:t>
            </w:r>
            <w:proofErr w:type="spellStart"/>
            <w:r w:rsidR="00ED7020" w:rsidRPr="007351E9">
              <w:rPr>
                <w:i/>
                <w:iCs/>
                <w:color w:val="000000"/>
                <w:lang w:val="lv-LV"/>
              </w:rPr>
              <w:t>Inter</w:t>
            </w:r>
            <w:r w:rsidR="006577AF" w:rsidRPr="007351E9">
              <w:rPr>
                <w:i/>
                <w:iCs/>
                <w:color w:val="000000"/>
                <w:lang w:val="lv-LV"/>
              </w:rPr>
              <w:t>national</w:t>
            </w:r>
            <w:proofErr w:type="spellEnd"/>
            <w:r w:rsidR="006577AF" w:rsidRPr="007351E9">
              <w:rPr>
                <w:i/>
                <w:iCs/>
                <w:color w:val="000000"/>
                <w:lang w:val="lv-LV"/>
              </w:rPr>
              <w:t xml:space="preserve"> </w:t>
            </w:r>
            <w:proofErr w:type="spellStart"/>
            <w:r w:rsidR="00946D12" w:rsidRPr="007351E9">
              <w:rPr>
                <w:i/>
                <w:iCs/>
                <w:color w:val="000000"/>
                <w:lang w:val="lv-LV"/>
              </w:rPr>
              <w:t>Telecomm</w:t>
            </w:r>
            <w:r w:rsidR="009C2327" w:rsidRPr="007351E9">
              <w:rPr>
                <w:i/>
                <w:iCs/>
                <w:color w:val="000000"/>
                <w:lang w:val="lv-LV"/>
              </w:rPr>
              <w:t>unication</w:t>
            </w:r>
            <w:proofErr w:type="spellEnd"/>
            <w:r w:rsidR="009C2327" w:rsidRPr="007351E9">
              <w:rPr>
                <w:i/>
                <w:iCs/>
                <w:color w:val="000000"/>
                <w:lang w:val="lv-LV"/>
              </w:rPr>
              <w:t xml:space="preserve"> </w:t>
            </w:r>
            <w:proofErr w:type="spellStart"/>
            <w:r w:rsidR="009C2327" w:rsidRPr="007351E9">
              <w:rPr>
                <w:i/>
                <w:iCs/>
                <w:color w:val="000000"/>
                <w:lang w:val="lv-LV"/>
              </w:rPr>
              <w:t>Uni</w:t>
            </w:r>
            <w:r w:rsidR="00D35BCE" w:rsidRPr="007351E9">
              <w:rPr>
                <w:i/>
                <w:iCs/>
                <w:color w:val="000000"/>
                <w:lang w:val="lv-LV"/>
              </w:rPr>
              <w:t>on</w:t>
            </w:r>
            <w:proofErr w:type="spellEnd"/>
            <w:r w:rsidR="00D35BCE" w:rsidRPr="007351E9">
              <w:rPr>
                <w:i/>
                <w:iCs/>
                <w:color w:val="000000"/>
                <w:lang w:val="lv-LV"/>
              </w:rPr>
              <w:t>)</w:t>
            </w:r>
            <w:r w:rsidR="00D35BCE">
              <w:rPr>
                <w:color w:val="000000"/>
                <w:lang w:val="lv-LV"/>
              </w:rPr>
              <w:t xml:space="preserve"> </w:t>
            </w:r>
            <w:r w:rsidR="00F96BD4" w:rsidRPr="00F34E58">
              <w:rPr>
                <w:color w:val="000000"/>
                <w:lang w:val="lv-LV"/>
              </w:rPr>
              <w:t xml:space="preserve"> </w:t>
            </w:r>
            <w:proofErr w:type="spellStart"/>
            <w:r w:rsidR="00F96BD4" w:rsidRPr="00F34E58">
              <w:rPr>
                <w:color w:val="000000"/>
                <w:lang w:val="lv-LV"/>
              </w:rPr>
              <w:t>Radionoteikumu</w:t>
            </w:r>
            <w:proofErr w:type="spellEnd"/>
            <w:r w:rsidR="00F96BD4" w:rsidRPr="00F34E58">
              <w:rPr>
                <w:color w:val="000000"/>
                <w:lang w:val="lv-LV"/>
              </w:rPr>
              <w:t xml:space="preserve"> </w:t>
            </w:r>
            <w:r w:rsidR="003A4E8D">
              <w:rPr>
                <w:color w:val="000000"/>
                <w:lang w:val="lv-LV"/>
              </w:rPr>
              <w:t xml:space="preserve">2020.gada </w:t>
            </w:r>
            <w:r w:rsidR="003A36DA">
              <w:rPr>
                <w:color w:val="000000"/>
                <w:lang w:val="lv-LV"/>
              </w:rPr>
              <w:t>izdevum</w:t>
            </w:r>
            <w:r w:rsidR="003A4E8D">
              <w:rPr>
                <w:color w:val="000000"/>
                <w:lang w:val="lv-LV"/>
              </w:rPr>
              <w:t xml:space="preserve">am </w:t>
            </w:r>
            <w:r w:rsidR="00F64B84">
              <w:rPr>
                <w:color w:val="000000"/>
                <w:lang w:val="lv-LV"/>
              </w:rPr>
              <w:t xml:space="preserve"> (turpmāk – </w:t>
            </w:r>
            <w:proofErr w:type="spellStart"/>
            <w:r w:rsidR="00F64B84">
              <w:rPr>
                <w:color w:val="000000"/>
                <w:lang w:val="lv-LV"/>
              </w:rPr>
              <w:t>Radionoteikumi</w:t>
            </w:r>
            <w:proofErr w:type="spellEnd"/>
            <w:r w:rsidR="00F64B84">
              <w:rPr>
                <w:color w:val="000000"/>
                <w:lang w:val="lv-LV"/>
              </w:rPr>
              <w:t>)</w:t>
            </w:r>
            <w:r w:rsidR="00F34E58" w:rsidRPr="00F34E58">
              <w:rPr>
                <w:color w:val="000000"/>
                <w:lang w:val="lv-LV"/>
              </w:rPr>
              <w:t>.</w:t>
            </w:r>
            <w:r w:rsidR="00C3153D">
              <w:rPr>
                <w:color w:val="000000"/>
                <w:lang w:val="lv-LV"/>
              </w:rPr>
              <w:t xml:space="preserve"> </w:t>
            </w:r>
            <w:r w:rsidR="006F2D5B">
              <w:rPr>
                <w:color w:val="000000"/>
                <w:lang w:val="lv-LV"/>
              </w:rPr>
              <w:t xml:space="preserve"> </w:t>
            </w:r>
          </w:p>
          <w:p w14:paraId="644ACF30" w14:textId="4A7C852F" w:rsidR="00217D34" w:rsidRPr="00080D5F" w:rsidRDefault="00080D5F" w:rsidP="008C0BCC">
            <w:pPr>
              <w:pStyle w:val="Paraststmeklis"/>
              <w:spacing w:before="0" w:beforeAutospacing="0"/>
              <w:jc w:val="both"/>
            </w:pPr>
            <w:r w:rsidRPr="00F34E58">
              <w:rPr>
                <w:color w:val="000000"/>
                <w:lang w:val="lv-LV"/>
              </w:rPr>
              <w:t xml:space="preserve">Saskaņā ar </w:t>
            </w:r>
            <w:bookmarkStart w:id="2" w:name="_Hlk58319393"/>
            <w:proofErr w:type="spellStart"/>
            <w:r w:rsidRPr="00F34E58">
              <w:rPr>
                <w:color w:val="000000"/>
                <w:lang w:val="lv-LV"/>
              </w:rPr>
              <w:t>Radionoteikumiem</w:t>
            </w:r>
            <w:bookmarkEnd w:id="2"/>
            <w:proofErr w:type="spellEnd"/>
            <w:r w:rsidRPr="00F34E58">
              <w:rPr>
                <w:color w:val="000000"/>
                <w:lang w:val="lv-LV"/>
              </w:rPr>
              <w:t>, frekvenču joslas 5091-5250</w:t>
            </w:r>
            <w:r w:rsidR="00C3153D">
              <w:rPr>
                <w:color w:val="000000"/>
                <w:lang w:val="lv-LV"/>
              </w:rPr>
              <w:t> </w:t>
            </w:r>
            <w:proofErr w:type="spellStart"/>
            <w:r w:rsidRPr="00F34E58">
              <w:rPr>
                <w:color w:val="000000"/>
                <w:lang w:val="lv-LV"/>
              </w:rPr>
              <w:t>MHz</w:t>
            </w:r>
            <w:proofErr w:type="spellEnd"/>
            <w:r w:rsidRPr="00F34E58">
              <w:rPr>
                <w:color w:val="000000"/>
                <w:lang w:val="lv-LV"/>
              </w:rPr>
              <w:t xml:space="preserve"> un 6700-7075</w:t>
            </w:r>
            <w:r w:rsidR="00C3153D">
              <w:rPr>
                <w:color w:val="000000"/>
                <w:lang w:val="lv-LV"/>
              </w:rPr>
              <w:t> </w:t>
            </w:r>
            <w:proofErr w:type="spellStart"/>
            <w:r w:rsidRPr="00F34E58">
              <w:rPr>
                <w:color w:val="000000"/>
                <w:lang w:val="lv-LV"/>
              </w:rPr>
              <w:t>MHz</w:t>
            </w:r>
            <w:proofErr w:type="spellEnd"/>
            <w:r w:rsidRPr="00F34E58">
              <w:rPr>
                <w:color w:val="000000"/>
                <w:lang w:val="lv-LV"/>
              </w:rPr>
              <w:t xml:space="preserve"> ir paredzētas </w:t>
            </w:r>
            <w:r w:rsidRPr="00155C6D">
              <w:rPr>
                <w:color w:val="000000"/>
                <w:lang w:val="lv-LV"/>
              </w:rPr>
              <w:t>tai skaitā</w:t>
            </w:r>
            <w:r w:rsidRPr="00F34E58">
              <w:rPr>
                <w:color w:val="000000"/>
                <w:lang w:val="lv-LV"/>
              </w:rPr>
              <w:t xml:space="preserve"> fiksētajam satelītu dienestam (FSS). Frekvenču joslā 5091-5250</w:t>
            </w:r>
            <w:r w:rsidR="00C3153D">
              <w:rPr>
                <w:color w:val="000000"/>
                <w:lang w:val="lv-LV"/>
              </w:rPr>
              <w:t> </w:t>
            </w:r>
            <w:proofErr w:type="spellStart"/>
            <w:r w:rsidRPr="00F34E58">
              <w:rPr>
                <w:color w:val="000000"/>
                <w:lang w:val="lv-LV"/>
              </w:rPr>
              <w:t>MHz</w:t>
            </w:r>
            <w:proofErr w:type="spellEnd"/>
            <w:r w:rsidRPr="00F34E58">
              <w:rPr>
                <w:color w:val="000000"/>
                <w:lang w:val="lv-LV"/>
              </w:rPr>
              <w:t xml:space="preserve"> FSS lietošana paredzēta virzienā Zeme-izplatījums, 6700-7075</w:t>
            </w:r>
            <w:r w:rsidR="00C3153D">
              <w:rPr>
                <w:color w:val="000000"/>
                <w:lang w:val="lv-LV"/>
              </w:rPr>
              <w:t> </w:t>
            </w:r>
            <w:proofErr w:type="spellStart"/>
            <w:r w:rsidRPr="00F34E58">
              <w:rPr>
                <w:color w:val="000000"/>
                <w:lang w:val="lv-LV"/>
              </w:rPr>
              <w:t>MHz</w:t>
            </w:r>
            <w:proofErr w:type="spellEnd"/>
            <w:r w:rsidRPr="00F34E58">
              <w:rPr>
                <w:color w:val="000000"/>
                <w:lang w:val="lv-LV"/>
              </w:rPr>
              <w:t xml:space="preserve"> virzienos Zeme-izplatījums un izplatījums-Zeme.</w:t>
            </w:r>
            <w:r w:rsidRPr="00F34E58">
              <w:rPr>
                <w:color w:val="000000"/>
                <w:lang w:val="lv-LV"/>
              </w:rPr>
              <w:br/>
            </w:r>
            <w:bookmarkStart w:id="3" w:name="_Hlk58319924"/>
            <w:proofErr w:type="spellStart"/>
            <w:r w:rsidRPr="00F050BF">
              <w:rPr>
                <w:lang w:val="lv-LV"/>
              </w:rPr>
              <w:t>Radionoteikumu</w:t>
            </w:r>
            <w:proofErr w:type="spellEnd"/>
            <w:r w:rsidRPr="00F050BF">
              <w:rPr>
                <w:lang w:val="lv-LV"/>
              </w:rPr>
              <w:t xml:space="preserve"> zemsvītras piezīme 5.444A</w:t>
            </w:r>
            <w:bookmarkEnd w:id="3"/>
            <w:r w:rsidRPr="00F050BF">
              <w:rPr>
                <w:lang w:val="lv-LV"/>
              </w:rPr>
              <w:t xml:space="preserve"> nosaka, ka joslā 5091-5150</w:t>
            </w:r>
            <w:r w:rsidR="00C3153D" w:rsidRPr="00F050BF">
              <w:rPr>
                <w:lang w:val="lv-LV"/>
              </w:rPr>
              <w:t> </w:t>
            </w:r>
            <w:proofErr w:type="spellStart"/>
            <w:r w:rsidRPr="00F050BF">
              <w:rPr>
                <w:lang w:val="lv-LV"/>
              </w:rPr>
              <w:t>MHz</w:t>
            </w:r>
            <w:proofErr w:type="spellEnd"/>
            <w:r w:rsidRPr="00F050BF">
              <w:rPr>
                <w:lang w:val="lv-LV"/>
              </w:rPr>
              <w:t xml:space="preserve"> fiksētais satelītu dienests ietver </w:t>
            </w:r>
            <w:proofErr w:type="spellStart"/>
            <w:r w:rsidRPr="00F050BF">
              <w:rPr>
                <w:lang w:val="lv-LV"/>
              </w:rPr>
              <w:t>fīderlīnijas</w:t>
            </w:r>
            <w:proofErr w:type="spellEnd"/>
            <w:r w:rsidRPr="00F050BF">
              <w:rPr>
                <w:lang w:val="lv-LV"/>
              </w:rPr>
              <w:t xml:space="preserve"> mobilajam satelītu dienestam </w:t>
            </w:r>
            <w:proofErr w:type="spellStart"/>
            <w:r w:rsidR="00C3153D" w:rsidRPr="00F050BF">
              <w:rPr>
                <w:shd w:val="clear" w:color="auto" w:fill="FFFFFF"/>
              </w:rPr>
              <w:t>neģeostacionāro</w:t>
            </w:r>
            <w:proofErr w:type="spellEnd"/>
            <w:r w:rsidR="00C3153D" w:rsidRPr="00F050BF">
              <w:rPr>
                <w:shd w:val="clear" w:color="auto" w:fill="FFFFFF"/>
              </w:rPr>
              <w:t xml:space="preserve"> </w:t>
            </w:r>
            <w:proofErr w:type="spellStart"/>
            <w:r w:rsidR="00C3153D" w:rsidRPr="00F050BF">
              <w:rPr>
                <w:shd w:val="clear" w:color="auto" w:fill="FFFFFF"/>
              </w:rPr>
              <w:t>satelītu</w:t>
            </w:r>
            <w:proofErr w:type="spellEnd"/>
            <w:r w:rsidR="00C3153D" w:rsidRPr="00F050BF">
              <w:rPr>
                <w:shd w:val="clear" w:color="auto" w:fill="FFFFFF"/>
              </w:rPr>
              <w:t xml:space="preserve"> </w:t>
            </w:r>
            <w:proofErr w:type="spellStart"/>
            <w:r w:rsidR="00C3153D" w:rsidRPr="00F050BF">
              <w:rPr>
                <w:shd w:val="clear" w:color="auto" w:fill="FFFFFF"/>
              </w:rPr>
              <w:t>orbītas</w:t>
            </w:r>
            <w:proofErr w:type="spellEnd"/>
            <w:r w:rsidR="00C3153D" w:rsidRPr="00F050BF">
              <w:rPr>
                <w:lang w:val="lv-LV"/>
              </w:rPr>
              <w:t xml:space="preserve"> (</w:t>
            </w:r>
            <w:r w:rsidRPr="00F050BF">
              <w:rPr>
                <w:lang w:val="lv-LV"/>
              </w:rPr>
              <w:t>NGSO</w:t>
            </w:r>
            <w:r w:rsidR="00C3153D" w:rsidRPr="00F050BF">
              <w:rPr>
                <w:lang w:val="lv-LV"/>
              </w:rPr>
              <w:t>)</w:t>
            </w:r>
            <w:r w:rsidRPr="00F050BF">
              <w:rPr>
                <w:lang w:val="lv-LV"/>
              </w:rPr>
              <w:t xml:space="preserve"> sistēmām. </w:t>
            </w:r>
            <w:proofErr w:type="spellStart"/>
            <w:r w:rsidRPr="00F050BF">
              <w:rPr>
                <w:color w:val="000000"/>
                <w:lang w:val="lv-LV"/>
              </w:rPr>
              <w:t>Radionoteikumu</w:t>
            </w:r>
            <w:proofErr w:type="spellEnd"/>
            <w:r w:rsidRPr="00F050BF">
              <w:rPr>
                <w:color w:val="000000"/>
                <w:lang w:val="lv-LV"/>
              </w:rPr>
              <w:t xml:space="preserve"> zemsvītras piezīme 5.447A nosaka, ka joslā 5150-5250</w:t>
            </w:r>
            <w:r w:rsidR="00C3153D" w:rsidRPr="00F050BF">
              <w:rPr>
                <w:color w:val="000000"/>
                <w:lang w:val="lv-LV"/>
              </w:rPr>
              <w:t> </w:t>
            </w:r>
            <w:proofErr w:type="spellStart"/>
            <w:r w:rsidRPr="00F050BF">
              <w:rPr>
                <w:color w:val="000000"/>
                <w:lang w:val="lv-LV"/>
              </w:rPr>
              <w:t>MHz</w:t>
            </w:r>
            <w:proofErr w:type="spellEnd"/>
            <w:r w:rsidRPr="00F050BF">
              <w:rPr>
                <w:color w:val="000000"/>
                <w:lang w:val="lv-LV"/>
              </w:rPr>
              <w:t xml:space="preserve"> fiksētais satelītu dienests ietver </w:t>
            </w:r>
            <w:proofErr w:type="spellStart"/>
            <w:r w:rsidRPr="00F050BF">
              <w:rPr>
                <w:color w:val="000000"/>
                <w:lang w:val="lv-LV"/>
              </w:rPr>
              <w:t>fīderlīnijas</w:t>
            </w:r>
            <w:proofErr w:type="spellEnd"/>
            <w:r w:rsidRPr="00F050BF">
              <w:rPr>
                <w:color w:val="000000"/>
                <w:lang w:val="lv-LV"/>
              </w:rPr>
              <w:t xml:space="preserve"> mobilajam satelītu dienestam NGSO sistēmām. </w:t>
            </w:r>
            <w:proofErr w:type="spellStart"/>
            <w:r w:rsidRPr="00F050BF">
              <w:rPr>
                <w:color w:val="000000"/>
                <w:lang w:val="lv-LV"/>
              </w:rPr>
              <w:t>Radionoteikumu</w:t>
            </w:r>
            <w:proofErr w:type="spellEnd"/>
            <w:r w:rsidRPr="00F050BF">
              <w:rPr>
                <w:color w:val="000000"/>
                <w:lang w:val="lv-LV"/>
              </w:rPr>
              <w:t xml:space="preserve"> zemsvītras piezīme 5.458B nosaka, ka joslā 6700-7075 </w:t>
            </w:r>
            <w:proofErr w:type="spellStart"/>
            <w:r w:rsidRPr="00F050BF">
              <w:rPr>
                <w:color w:val="000000"/>
                <w:lang w:val="lv-LV"/>
              </w:rPr>
              <w:t>MHz</w:t>
            </w:r>
            <w:proofErr w:type="spellEnd"/>
            <w:r w:rsidRPr="00F050BF">
              <w:rPr>
                <w:color w:val="000000"/>
                <w:lang w:val="lv-LV"/>
              </w:rPr>
              <w:t xml:space="preserve"> fiksētais satelītu dienests virzienā izplatījums-Zeme ietver </w:t>
            </w:r>
            <w:proofErr w:type="spellStart"/>
            <w:r w:rsidRPr="00F050BF">
              <w:rPr>
                <w:color w:val="000000"/>
                <w:lang w:val="lv-LV"/>
              </w:rPr>
              <w:t>fīderlīnijas</w:t>
            </w:r>
            <w:proofErr w:type="spellEnd"/>
            <w:r w:rsidRPr="00F050BF">
              <w:rPr>
                <w:color w:val="000000"/>
                <w:lang w:val="lv-LV"/>
              </w:rPr>
              <w:t xml:space="preserve"> mobilajam satelītu dienestam NGSO sistēmām.</w:t>
            </w:r>
            <w:r w:rsidRPr="00F34E58">
              <w:rPr>
                <w:color w:val="000000"/>
                <w:lang w:val="lv-LV"/>
              </w:rPr>
              <w:t xml:space="preserve"> </w:t>
            </w:r>
            <w:r w:rsidR="0052596D" w:rsidRPr="006A6672">
              <w:rPr>
                <w:color w:val="000000"/>
                <w:lang w:val="lv-LV"/>
              </w:rPr>
              <w:t xml:space="preserve">Noteikumu projekts tiek papildināts ar </w:t>
            </w:r>
            <w:proofErr w:type="spellStart"/>
            <w:r w:rsidR="006A6672" w:rsidRPr="006A6672">
              <w:rPr>
                <w:color w:val="000000"/>
                <w:lang w:val="lv-LV"/>
              </w:rPr>
              <w:t>satelītsakarus</w:t>
            </w:r>
            <w:proofErr w:type="spellEnd"/>
            <w:r w:rsidR="006A6672" w:rsidRPr="006A6672">
              <w:rPr>
                <w:color w:val="000000"/>
                <w:lang w:val="lv-LV"/>
              </w:rPr>
              <w:t xml:space="preserve"> raksturojošiem </w:t>
            </w:r>
            <w:r w:rsidR="006E54C7" w:rsidRPr="006A6672">
              <w:rPr>
                <w:color w:val="000000"/>
                <w:lang w:val="lv-LV"/>
              </w:rPr>
              <w:t xml:space="preserve">terminiem: </w:t>
            </w:r>
            <w:r w:rsidR="006E54C7" w:rsidRPr="006A6672">
              <w:rPr>
                <w:rFonts w:eastAsia="Times New Roman"/>
                <w:lang w:eastAsia="lv-LV"/>
              </w:rPr>
              <w:t xml:space="preserve"> </w:t>
            </w:r>
            <w:proofErr w:type="spellStart"/>
            <w:r w:rsidR="006A6672" w:rsidRPr="006A6672">
              <w:rPr>
                <w:rFonts w:eastAsia="Times New Roman"/>
                <w:lang w:eastAsia="lv-LV"/>
              </w:rPr>
              <w:t>fīderlīnija</w:t>
            </w:r>
            <w:proofErr w:type="spellEnd"/>
            <w:r w:rsidR="006A6672" w:rsidRPr="006A6672">
              <w:rPr>
                <w:rFonts w:eastAsia="Times New Roman"/>
                <w:lang w:eastAsia="lv-LV"/>
              </w:rPr>
              <w:t xml:space="preserve">, </w:t>
            </w:r>
            <w:proofErr w:type="spellStart"/>
            <w:r w:rsidR="006E54C7" w:rsidRPr="006A6672">
              <w:t>gaisa</w:t>
            </w:r>
            <w:proofErr w:type="spellEnd"/>
            <w:r w:rsidR="006E54C7" w:rsidRPr="006A6672">
              <w:t xml:space="preserve"> </w:t>
            </w:r>
            <w:proofErr w:type="spellStart"/>
            <w:r w:rsidR="006E54C7" w:rsidRPr="006A6672">
              <w:t>kuģniecības</w:t>
            </w:r>
            <w:proofErr w:type="spellEnd"/>
            <w:r w:rsidR="006E54C7" w:rsidRPr="006A6672">
              <w:t xml:space="preserve"> </w:t>
            </w:r>
            <w:proofErr w:type="spellStart"/>
            <w:r w:rsidR="006E54C7" w:rsidRPr="006A6672">
              <w:t>mobilais</w:t>
            </w:r>
            <w:proofErr w:type="spellEnd"/>
            <w:r w:rsidR="006E54C7" w:rsidRPr="006A6672">
              <w:t xml:space="preserve"> </w:t>
            </w:r>
            <w:proofErr w:type="spellStart"/>
            <w:r w:rsidR="006E54C7" w:rsidRPr="006A6672">
              <w:t>satelītu</w:t>
            </w:r>
            <w:proofErr w:type="spellEnd"/>
            <w:r w:rsidR="006E54C7" w:rsidRPr="006A6672">
              <w:t xml:space="preserve"> (R) </w:t>
            </w:r>
            <w:proofErr w:type="spellStart"/>
            <w:r w:rsidR="006E54C7" w:rsidRPr="006A6672">
              <w:t>dienests</w:t>
            </w:r>
            <w:proofErr w:type="spellEnd"/>
            <w:r w:rsidR="006E54C7" w:rsidRPr="006A6672">
              <w:t xml:space="preserve"> </w:t>
            </w:r>
            <w:r w:rsidR="006A6672" w:rsidRPr="006A6672">
              <w:t>un</w:t>
            </w:r>
            <w:r w:rsidR="006A6672" w:rsidRPr="006A6672">
              <w:rPr>
                <w:bCs/>
              </w:rPr>
              <w:t xml:space="preserve"> </w:t>
            </w:r>
            <w:proofErr w:type="spellStart"/>
            <w:r w:rsidR="008C0BCC">
              <w:rPr>
                <w:bCs/>
              </w:rPr>
              <w:t>mobilā</w:t>
            </w:r>
            <w:proofErr w:type="spellEnd"/>
            <w:r w:rsidR="008C0BCC">
              <w:rPr>
                <w:bCs/>
              </w:rPr>
              <w:t xml:space="preserve"> </w:t>
            </w:r>
            <w:proofErr w:type="spellStart"/>
            <w:r w:rsidR="008C0BCC">
              <w:rPr>
                <w:bCs/>
              </w:rPr>
              <w:t>satelītu</w:t>
            </w:r>
            <w:proofErr w:type="spellEnd"/>
            <w:r w:rsidR="008C0BCC">
              <w:rPr>
                <w:bCs/>
              </w:rPr>
              <w:t xml:space="preserve"> </w:t>
            </w:r>
            <w:proofErr w:type="spellStart"/>
            <w:r w:rsidR="008C0BCC">
              <w:rPr>
                <w:bCs/>
              </w:rPr>
              <w:t>dienesta</w:t>
            </w:r>
            <w:proofErr w:type="spellEnd"/>
            <w:r w:rsidR="008C0BCC">
              <w:rPr>
                <w:bCs/>
              </w:rPr>
              <w:t xml:space="preserve"> </w:t>
            </w:r>
            <w:proofErr w:type="spellStart"/>
            <w:r w:rsidR="008C0BCC" w:rsidRPr="006A6672">
              <w:rPr>
                <w:bCs/>
              </w:rPr>
              <w:t>saīsinājum</w:t>
            </w:r>
            <w:r w:rsidR="008C0BCC">
              <w:rPr>
                <w:bCs/>
              </w:rPr>
              <w:t>u</w:t>
            </w:r>
            <w:proofErr w:type="spellEnd"/>
            <w:r w:rsidR="006A6672" w:rsidRPr="006A6672">
              <w:rPr>
                <w:bCs/>
              </w:rPr>
              <w:t>.</w:t>
            </w:r>
          </w:p>
        </w:tc>
      </w:tr>
      <w:tr w:rsidR="00895374" w:rsidRPr="00E030F4" w14:paraId="66F3B963" w14:textId="77777777" w:rsidTr="000566DB">
        <w:trPr>
          <w:trHeight w:val="536"/>
        </w:trPr>
        <w:tc>
          <w:tcPr>
            <w:tcW w:w="271" w:type="pct"/>
            <w:tcBorders>
              <w:top w:val="outset" w:sz="6" w:space="0" w:color="000000"/>
              <w:left w:val="outset" w:sz="6" w:space="0" w:color="000000"/>
              <w:bottom w:val="outset" w:sz="6" w:space="0" w:color="000000"/>
              <w:right w:val="outset" w:sz="6" w:space="0" w:color="000000"/>
            </w:tcBorders>
          </w:tcPr>
          <w:p w14:paraId="5A84A26E" w14:textId="2AB76493" w:rsidR="00895374" w:rsidRPr="00E030F4" w:rsidRDefault="00895374" w:rsidP="000566DB">
            <w:pPr>
              <w:spacing w:before="100" w:beforeAutospacing="1" w:after="100" w:afterAutospacing="1"/>
            </w:pPr>
            <w:r>
              <w:lastRenderedPageBreak/>
              <w:t>3.</w:t>
            </w:r>
          </w:p>
        </w:tc>
        <w:tc>
          <w:tcPr>
            <w:tcW w:w="1357" w:type="pct"/>
            <w:tcBorders>
              <w:top w:val="outset" w:sz="6" w:space="0" w:color="000000"/>
              <w:left w:val="outset" w:sz="6" w:space="0" w:color="000000"/>
              <w:bottom w:val="outset" w:sz="6" w:space="0" w:color="000000"/>
              <w:right w:val="outset" w:sz="6" w:space="0" w:color="000000"/>
            </w:tcBorders>
          </w:tcPr>
          <w:p w14:paraId="2D584767" w14:textId="77777777" w:rsidR="00895374" w:rsidRPr="00903A40" w:rsidRDefault="00895374" w:rsidP="00903A40">
            <w:pPr>
              <w:spacing w:before="100" w:beforeAutospacing="1" w:after="100" w:afterAutospacing="1"/>
            </w:pPr>
            <w:r w:rsidRPr="00903A40">
              <w:t>Projekta izstrādē iesaistītās institūcijas</w:t>
            </w:r>
            <w:r w:rsidR="00903A40" w:rsidRPr="00903A40">
              <w:t xml:space="preserve"> un publiskas personas kapitālsabiedrības</w:t>
            </w:r>
          </w:p>
        </w:tc>
        <w:tc>
          <w:tcPr>
            <w:tcW w:w="3372" w:type="pct"/>
            <w:tcBorders>
              <w:top w:val="outset" w:sz="6" w:space="0" w:color="000000"/>
              <w:left w:val="outset" w:sz="6" w:space="0" w:color="000000"/>
              <w:bottom w:val="outset" w:sz="6" w:space="0" w:color="000000"/>
              <w:right w:val="outset" w:sz="6" w:space="0" w:color="000000"/>
            </w:tcBorders>
          </w:tcPr>
          <w:p w14:paraId="0A121BC0" w14:textId="375165C1" w:rsidR="00F523EF" w:rsidRDefault="00F523EF" w:rsidP="00217D34">
            <w:r w:rsidRPr="0012182F">
              <w:t>Valsts akciju sabiedrīb</w:t>
            </w:r>
            <w:r>
              <w:t>a</w:t>
            </w:r>
            <w:r w:rsidRPr="0012182F">
              <w:t xml:space="preserve"> „Elektronisk</w:t>
            </w:r>
            <w:r>
              <w:t>ie s</w:t>
            </w:r>
            <w:r w:rsidRPr="0012182F">
              <w:t>akar</w:t>
            </w:r>
            <w:r>
              <w:t>i</w:t>
            </w:r>
            <w:r w:rsidRPr="0012182F">
              <w:t>”</w:t>
            </w:r>
            <w:r w:rsidR="002A14F4">
              <w:t>;</w:t>
            </w:r>
          </w:p>
          <w:p w14:paraId="07CB83E1" w14:textId="5C59542A" w:rsidR="00987C42" w:rsidRDefault="00987C42" w:rsidP="00217D34">
            <w:r>
              <w:t xml:space="preserve">Vides aizsardzības un reģionālās attīstības ministrija (turpmāk – </w:t>
            </w:r>
            <w:r w:rsidR="00E367FC">
              <w:t>M</w:t>
            </w:r>
            <w:r w:rsidRPr="00886766">
              <w:t>inistrija</w:t>
            </w:r>
            <w:r>
              <w:t>)</w:t>
            </w:r>
            <w:r w:rsidRPr="00886766">
              <w:t>.</w:t>
            </w:r>
          </w:p>
          <w:p w14:paraId="2EB81469" w14:textId="15F3AEFD" w:rsidR="00BF33E7" w:rsidRDefault="00BF33E7" w:rsidP="00217D34"/>
        </w:tc>
      </w:tr>
      <w:tr w:rsidR="00895374" w:rsidRPr="00E030F4" w14:paraId="541501DA" w14:textId="77777777" w:rsidTr="000566DB">
        <w:tc>
          <w:tcPr>
            <w:tcW w:w="271" w:type="pct"/>
            <w:tcBorders>
              <w:top w:val="outset" w:sz="6" w:space="0" w:color="000000"/>
              <w:left w:val="outset" w:sz="6" w:space="0" w:color="000000"/>
              <w:bottom w:val="outset" w:sz="6" w:space="0" w:color="000000"/>
              <w:right w:val="outset" w:sz="6" w:space="0" w:color="000000"/>
            </w:tcBorders>
          </w:tcPr>
          <w:p w14:paraId="2F1C027A" w14:textId="77777777" w:rsidR="00895374" w:rsidRPr="00996999" w:rsidRDefault="00895374" w:rsidP="000566DB">
            <w:pPr>
              <w:spacing w:before="100" w:beforeAutospacing="1" w:after="100" w:afterAutospacing="1"/>
            </w:pPr>
            <w:r w:rsidRPr="00996999">
              <w:t>4.</w:t>
            </w:r>
          </w:p>
        </w:tc>
        <w:tc>
          <w:tcPr>
            <w:tcW w:w="1357" w:type="pct"/>
            <w:tcBorders>
              <w:top w:val="outset" w:sz="6" w:space="0" w:color="000000"/>
              <w:left w:val="outset" w:sz="6" w:space="0" w:color="000000"/>
              <w:bottom w:val="outset" w:sz="6" w:space="0" w:color="000000"/>
              <w:right w:val="outset" w:sz="6" w:space="0" w:color="000000"/>
            </w:tcBorders>
          </w:tcPr>
          <w:p w14:paraId="6097D14B" w14:textId="77777777" w:rsidR="00895374" w:rsidRPr="00996999" w:rsidRDefault="00895374" w:rsidP="000566DB">
            <w:pPr>
              <w:spacing w:before="100" w:beforeAutospacing="1" w:after="100" w:afterAutospacing="1"/>
            </w:pPr>
            <w:r w:rsidRPr="00996999">
              <w:t>Cita informācija</w:t>
            </w:r>
          </w:p>
        </w:tc>
        <w:tc>
          <w:tcPr>
            <w:tcW w:w="3372" w:type="pct"/>
            <w:tcBorders>
              <w:top w:val="outset" w:sz="6" w:space="0" w:color="000000"/>
              <w:left w:val="outset" w:sz="6" w:space="0" w:color="000000"/>
              <w:bottom w:val="outset" w:sz="6" w:space="0" w:color="000000"/>
              <w:right w:val="outset" w:sz="6" w:space="0" w:color="000000"/>
            </w:tcBorders>
          </w:tcPr>
          <w:p w14:paraId="3B451552" w14:textId="131184FE" w:rsidR="00136BD1" w:rsidRDefault="00644E5E" w:rsidP="00136BD1">
            <w:pPr>
              <w:jc w:val="both"/>
            </w:pPr>
            <w:r>
              <w:t>Elektronisko sakaru l</w:t>
            </w:r>
            <w:r w:rsidR="006733F4">
              <w:t>ikuma</w:t>
            </w:r>
            <w:r w:rsidR="006733F4" w:rsidRPr="00996999">
              <w:rPr>
                <w:bCs/>
              </w:rPr>
              <w:t xml:space="preserve"> </w:t>
            </w:r>
            <w:r w:rsidR="006733F4" w:rsidRPr="00996999">
              <w:t>1.</w:t>
            </w:r>
            <w:r w:rsidR="0015251B">
              <w:t> </w:t>
            </w:r>
            <w:r w:rsidR="006733F4" w:rsidRPr="00996999">
              <w:t>panta 26.</w:t>
            </w:r>
            <w:r w:rsidR="0015251B">
              <w:t> </w:t>
            </w:r>
            <w:r w:rsidR="006733F4" w:rsidRPr="00996999">
              <w:t xml:space="preserve">punkts </w:t>
            </w:r>
            <w:r w:rsidR="0015251B" w:rsidRPr="00996999">
              <w:t>no</w:t>
            </w:r>
            <w:r w:rsidR="0015251B">
              <w:t>teic</w:t>
            </w:r>
            <w:r w:rsidR="006733F4" w:rsidRPr="00996999">
              <w:t xml:space="preserve">, ka </w:t>
            </w:r>
            <w:r w:rsidR="006733F4" w:rsidRPr="00996999">
              <w:rPr>
                <w:bCs/>
              </w:rPr>
              <w:t>Nacionālais radiofrekvenču plāns</w:t>
            </w:r>
            <w:r w:rsidR="006733F4" w:rsidRPr="00996999">
              <w:t xml:space="preserve"> ir </w:t>
            </w:r>
            <w:r w:rsidR="006733F4" w:rsidRPr="006733F4">
              <w:t xml:space="preserve">saskaņā ar starptautiskiem līgumiem, konvencijām un standartiem izstrādāts plāns optimālam radiofrekvenču sadalījumam Latvijas teritorijā. Nacionālā radiofrekvenču plānā ietverti Eiropas Komisijas, Eiropas Pasta un telesakaru administrāciju konferences (CEPT), Eiropas </w:t>
            </w:r>
            <w:proofErr w:type="spellStart"/>
            <w:r w:rsidR="006733F4" w:rsidRPr="006733F4">
              <w:t>Radiokomunikāciju</w:t>
            </w:r>
            <w:proofErr w:type="spellEnd"/>
            <w:r w:rsidR="006733F4" w:rsidRPr="006733F4">
              <w:t xml:space="preserve"> </w:t>
            </w:r>
            <w:r w:rsidR="006733F4" w:rsidRPr="00996999">
              <w:t xml:space="preserve">Komitejas (ERC), Eiropas Elektroniskās Komunikāciju Komitejas (ECC) lēmumi un rekomendācijas. </w:t>
            </w:r>
            <w:r w:rsidR="006733F4" w:rsidRPr="00996999">
              <w:rPr>
                <w:bCs/>
              </w:rPr>
              <w:t>Nacionālā radiofrekvenču plānā</w:t>
            </w:r>
            <w:r w:rsidR="006733F4" w:rsidRPr="00996999">
              <w:t xml:space="preserve"> tiek </w:t>
            </w:r>
            <w:r w:rsidR="006733F4" w:rsidRPr="00996999">
              <w:rPr>
                <w:bCs/>
              </w:rPr>
              <w:t xml:space="preserve">ietvertas </w:t>
            </w:r>
            <w:r w:rsidR="00136BD1" w:rsidRPr="00996999">
              <w:t xml:space="preserve">tiešās </w:t>
            </w:r>
            <w:r w:rsidR="00136BD1">
              <w:rPr>
                <w:bCs/>
              </w:rPr>
              <w:t xml:space="preserve">atsauces uz lēmumiem, </w:t>
            </w:r>
            <w:r w:rsidR="006733F4" w:rsidRPr="00996999">
              <w:rPr>
                <w:bCs/>
              </w:rPr>
              <w:t>rekomendācijām</w:t>
            </w:r>
            <w:r w:rsidR="00136BD1">
              <w:rPr>
                <w:bCs/>
              </w:rPr>
              <w:t>,</w:t>
            </w:r>
            <w:r w:rsidR="006733F4" w:rsidRPr="00996999">
              <w:rPr>
                <w:bCs/>
              </w:rPr>
              <w:t xml:space="preserve"> </w:t>
            </w:r>
            <w:r w:rsidR="00136BD1">
              <w:rPr>
                <w:bCs/>
              </w:rPr>
              <w:t>standartiem</w:t>
            </w:r>
            <w:r w:rsidR="00136BD1" w:rsidRPr="00996999">
              <w:t xml:space="preserve"> projekta tekstā</w:t>
            </w:r>
            <w:r w:rsidR="00136BD1">
              <w:rPr>
                <w:bCs/>
              </w:rPr>
              <w:t xml:space="preserve">, </w:t>
            </w:r>
            <w:r w:rsidR="00136BD1" w:rsidRPr="00996999">
              <w:t>j</w:t>
            </w:r>
            <w:r w:rsidR="00183DDF">
              <w:t>a</w:t>
            </w:r>
            <w:r w:rsidR="00136BD1" w:rsidRPr="00996999">
              <w:t xml:space="preserve"> to paredz </w:t>
            </w:r>
            <w:r w:rsidR="00183DDF">
              <w:t>pārņemamais lēmums</w:t>
            </w:r>
            <w:r w:rsidR="00136BD1">
              <w:t>,</w:t>
            </w:r>
            <w:r w:rsidR="00136BD1" w:rsidRPr="00996999">
              <w:t xml:space="preserve"> </w:t>
            </w:r>
            <w:r w:rsidR="006733F4" w:rsidRPr="00996999">
              <w:rPr>
                <w:bCs/>
              </w:rPr>
              <w:t xml:space="preserve">un tiek </w:t>
            </w:r>
            <w:r w:rsidR="006733F4" w:rsidRPr="00996999">
              <w:t>piemērots izņēmums lēmumu normu pārņemšanā nacionālajos normatīvajos aktos.</w:t>
            </w:r>
            <w:r w:rsidR="00136BD1" w:rsidRPr="00996999">
              <w:t xml:space="preserve"> </w:t>
            </w:r>
          </w:p>
          <w:p w14:paraId="644FB3EB" w14:textId="77777777" w:rsidR="00136BD1" w:rsidRDefault="00136BD1" w:rsidP="00136BD1">
            <w:pPr>
              <w:jc w:val="both"/>
            </w:pPr>
          </w:p>
          <w:p w14:paraId="5A92FD87" w14:textId="2795AE3D" w:rsidR="00573DA3" w:rsidRDefault="00573DA3" w:rsidP="007253D5">
            <w:pPr>
              <w:jc w:val="both"/>
            </w:pPr>
          </w:p>
        </w:tc>
      </w:tr>
    </w:tbl>
    <w:p w14:paraId="44F4F1EB" w14:textId="77777777" w:rsidR="00895374" w:rsidRDefault="00895374"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895374" w:rsidRPr="00E030F4" w14:paraId="69015BC2" w14:textId="77777777" w:rsidTr="00964945">
        <w:tc>
          <w:tcPr>
            <w:tcW w:w="5000" w:type="pct"/>
            <w:gridSpan w:val="3"/>
            <w:tcBorders>
              <w:top w:val="single" w:sz="4" w:space="0" w:color="auto"/>
              <w:left w:val="single" w:sz="4" w:space="0" w:color="auto"/>
              <w:bottom w:val="outset" w:sz="6" w:space="0" w:color="000000"/>
              <w:right w:val="single" w:sz="4" w:space="0" w:color="auto"/>
            </w:tcBorders>
          </w:tcPr>
          <w:p w14:paraId="03F1A987" w14:textId="77777777" w:rsidR="00895374" w:rsidRPr="00E030F4" w:rsidRDefault="00895374" w:rsidP="00964945">
            <w:pPr>
              <w:spacing w:before="100" w:beforeAutospacing="1" w:after="100" w:afterAutospacing="1"/>
              <w:jc w:val="center"/>
              <w:rPr>
                <w:b/>
                <w:bCs/>
              </w:rPr>
            </w:pPr>
            <w:r w:rsidRPr="00CA06B9">
              <w:rPr>
                <w:b/>
                <w:bCs/>
              </w:rPr>
              <w:lastRenderedPageBreak/>
              <w:t>II.</w:t>
            </w:r>
            <w:r w:rsidR="00466D2F">
              <w:rPr>
                <w:b/>
                <w:bCs/>
              </w:rPr>
              <w:t> </w:t>
            </w:r>
            <w:r w:rsidRPr="00CA06B9">
              <w:rPr>
                <w:b/>
                <w:bCs/>
              </w:rPr>
              <w:t>Tiesību akta projekta ietekme uz sabiedrību</w:t>
            </w:r>
            <w:r>
              <w:rPr>
                <w:b/>
                <w:bCs/>
              </w:rPr>
              <w:t>, tautsaimniecības attīstību un administratīvo slogu</w:t>
            </w:r>
          </w:p>
        </w:tc>
      </w:tr>
      <w:tr w:rsidR="00895374" w:rsidRPr="00E030F4" w14:paraId="67436BBD" w14:textId="77777777" w:rsidTr="00964945">
        <w:tc>
          <w:tcPr>
            <w:tcW w:w="271" w:type="pct"/>
            <w:tcBorders>
              <w:top w:val="outset" w:sz="6" w:space="0" w:color="000000"/>
              <w:left w:val="outset" w:sz="6" w:space="0" w:color="000000"/>
              <w:bottom w:val="outset" w:sz="6" w:space="0" w:color="000000"/>
              <w:right w:val="outset" w:sz="6" w:space="0" w:color="000000"/>
            </w:tcBorders>
          </w:tcPr>
          <w:p w14:paraId="742A18C2" w14:textId="77777777" w:rsidR="00895374" w:rsidRPr="00E030F4" w:rsidRDefault="00895374" w:rsidP="00964945">
            <w:pPr>
              <w:spacing w:before="100" w:beforeAutospacing="1" w:after="100" w:afterAutospacing="1"/>
            </w:pPr>
            <w:r w:rsidRPr="00E030F4">
              <w:t>1.</w:t>
            </w:r>
          </w:p>
        </w:tc>
        <w:tc>
          <w:tcPr>
            <w:tcW w:w="1696" w:type="pct"/>
            <w:tcBorders>
              <w:top w:val="outset" w:sz="6" w:space="0" w:color="000000"/>
              <w:left w:val="outset" w:sz="6" w:space="0" w:color="000000"/>
              <w:bottom w:val="outset" w:sz="6" w:space="0" w:color="000000"/>
              <w:right w:val="outset" w:sz="6" w:space="0" w:color="000000"/>
            </w:tcBorders>
          </w:tcPr>
          <w:p w14:paraId="0E04D147" w14:textId="77777777" w:rsidR="00895374" w:rsidRPr="00E030F4" w:rsidRDefault="00895374" w:rsidP="00964945">
            <w:pPr>
              <w:spacing w:before="100" w:beforeAutospacing="1" w:after="100" w:afterAutospacing="1"/>
            </w:pPr>
            <w:r w:rsidRPr="00CA06B9">
              <w:t xml:space="preserve">Sabiedrības </w:t>
            </w:r>
            <w:proofErr w:type="spellStart"/>
            <w:r w:rsidRPr="00CA06B9">
              <w:t>mērķgrupa</w:t>
            </w:r>
            <w:r>
              <w:t>s</w:t>
            </w:r>
            <w:proofErr w:type="spellEnd"/>
            <w:r>
              <w:t xml:space="preserve">, </w:t>
            </w:r>
            <w:r w:rsidRPr="00CA06B9">
              <w:t>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14:paraId="69DD3B93" w14:textId="64AF5D2A" w:rsidR="00895374" w:rsidRPr="007F6CF5" w:rsidRDefault="00A2136F" w:rsidP="00964945">
            <w:pPr>
              <w:jc w:val="both"/>
            </w:pPr>
            <w:r>
              <w:t>Elektronisko sakaru komersanti r</w:t>
            </w:r>
            <w:r w:rsidR="00895374" w:rsidRPr="00131F09">
              <w:t>adiofrekvenču spektra lietotāji.</w:t>
            </w:r>
          </w:p>
        </w:tc>
      </w:tr>
      <w:tr w:rsidR="00895374" w:rsidRPr="00E030F4" w14:paraId="7AE683BC" w14:textId="77777777" w:rsidTr="00964945">
        <w:tc>
          <w:tcPr>
            <w:tcW w:w="271" w:type="pct"/>
            <w:tcBorders>
              <w:top w:val="outset" w:sz="6" w:space="0" w:color="000000"/>
              <w:left w:val="outset" w:sz="6" w:space="0" w:color="000000"/>
              <w:bottom w:val="outset" w:sz="6" w:space="0" w:color="000000"/>
              <w:right w:val="outset" w:sz="6" w:space="0" w:color="000000"/>
            </w:tcBorders>
          </w:tcPr>
          <w:p w14:paraId="20891CBC" w14:textId="77777777" w:rsidR="00895374" w:rsidRPr="00E030F4" w:rsidRDefault="00895374" w:rsidP="00964945">
            <w:pPr>
              <w:spacing w:before="100" w:beforeAutospacing="1" w:after="100" w:afterAutospacing="1"/>
            </w:pPr>
            <w:r w:rsidRPr="00E030F4">
              <w:t>2.</w:t>
            </w:r>
          </w:p>
        </w:tc>
        <w:tc>
          <w:tcPr>
            <w:tcW w:w="1696" w:type="pct"/>
            <w:tcBorders>
              <w:top w:val="outset" w:sz="6" w:space="0" w:color="000000"/>
              <w:left w:val="outset" w:sz="6" w:space="0" w:color="000000"/>
              <w:bottom w:val="outset" w:sz="6" w:space="0" w:color="000000"/>
              <w:right w:val="outset" w:sz="6" w:space="0" w:color="000000"/>
            </w:tcBorders>
          </w:tcPr>
          <w:p w14:paraId="4720216D" w14:textId="77777777" w:rsidR="00895374" w:rsidRPr="00E030F4" w:rsidRDefault="00895374" w:rsidP="00964945">
            <w:pPr>
              <w:spacing w:before="100" w:beforeAutospacing="1" w:after="100" w:afterAutospacing="1"/>
            </w:pPr>
            <w:r w:rsidRPr="00CA06B9">
              <w:t xml:space="preserve">Tiesiskā regulējuma </w:t>
            </w:r>
            <w:r>
              <w:t>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14:paraId="36AF373A" w14:textId="7CB17BF5" w:rsidR="00895374" w:rsidRPr="00E030F4" w:rsidRDefault="00E367FC" w:rsidP="00964945">
            <w:pPr>
              <w:spacing w:after="100" w:afterAutospacing="1"/>
              <w:jc w:val="both"/>
            </w:pPr>
            <w:r>
              <w:t xml:space="preserve">Noteikumu </w:t>
            </w:r>
            <w:r w:rsidR="00622FDE">
              <w:t>p</w:t>
            </w:r>
            <w:r w:rsidR="009B10B4">
              <w:t>rojekts šo jomu neskar.</w:t>
            </w:r>
          </w:p>
        </w:tc>
      </w:tr>
      <w:tr w:rsidR="00895374" w:rsidRPr="00E030F4" w14:paraId="6E19450E"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7858B110" w14:textId="77777777" w:rsidR="00895374" w:rsidRPr="00E030F4" w:rsidRDefault="00895374" w:rsidP="00964945">
            <w:pPr>
              <w:spacing w:before="100" w:beforeAutospacing="1" w:after="100" w:afterAutospacing="1"/>
            </w:pPr>
            <w:r>
              <w:t>3.</w:t>
            </w:r>
          </w:p>
        </w:tc>
        <w:tc>
          <w:tcPr>
            <w:tcW w:w="1696" w:type="pct"/>
            <w:tcBorders>
              <w:top w:val="outset" w:sz="6" w:space="0" w:color="000000"/>
              <w:left w:val="outset" w:sz="6" w:space="0" w:color="000000"/>
              <w:bottom w:val="outset" w:sz="6" w:space="0" w:color="000000"/>
              <w:right w:val="outset" w:sz="6" w:space="0" w:color="000000"/>
            </w:tcBorders>
          </w:tcPr>
          <w:p w14:paraId="7D8DB70F" w14:textId="77777777" w:rsidR="00895374" w:rsidRPr="00CE70FA" w:rsidRDefault="00895374" w:rsidP="00964945">
            <w:pPr>
              <w:spacing w:before="100" w:beforeAutospacing="1" w:after="100" w:afterAutospacing="1"/>
            </w:pPr>
            <w:r w:rsidRPr="00CA06B9">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40B4AB37" w14:textId="3FED6C33" w:rsidR="00895374" w:rsidRDefault="00E367FC" w:rsidP="004E5B16">
            <w:pPr>
              <w:spacing w:before="100" w:beforeAutospacing="1" w:after="100" w:afterAutospacing="1"/>
            </w:pPr>
            <w:r>
              <w:t xml:space="preserve">Noteikumu </w:t>
            </w:r>
            <w:r w:rsidR="00622FDE">
              <w:t>p</w:t>
            </w:r>
            <w:r w:rsidR="00895374" w:rsidRPr="00CA06B9">
              <w:t>rojekts šo jomu neskar</w:t>
            </w:r>
            <w:r w:rsidR="00895374">
              <w:t>.</w:t>
            </w:r>
          </w:p>
        </w:tc>
      </w:tr>
      <w:tr w:rsidR="0015251B" w:rsidRPr="00E030F4" w14:paraId="06986642"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5A7B0F63" w14:textId="77777777" w:rsidR="0015251B" w:rsidRDefault="0015251B" w:rsidP="00964945">
            <w:pPr>
              <w:spacing w:before="100" w:beforeAutospacing="1" w:after="100" w:afterAutospacing="1"/>
            </w:pPr>
            <w:r>
              <w:t>4</w:t>
            </w:r>
            <w:r w:rsidRPr="00E030F4">
              <w:t>.</w:t>
            </w:r>
          </w:p>
        </w:tc>
        <w:tc>
          <w:tcPr>
            <w:tcW w:w="1696" w:type="pct"/>
            <w:tcBorders>
              <w:top w:val="outset" w:sz="6" w:space="0" w:color="000000"/>
              <w:left w:val="outset" w:sz="6" w:space="0" w:color="000000"/>
              <w:bottom w:val="outset" w:sz="6" w:space="0" w:color="000000"/>
              <w:right w:val="outset" w:sz="6" w:space="0" w:color="000000"/>
            </w:tcBorders>
          </w:tcPr>
          <w:p w14:paraId="3E0A38FC" w14:textId="77777777" w:rsidR="0015251B" w:rsidRPr="00CA06B9" w:rsidRDefault="00AC7887">
            <w:pPr>
              <w:spacing w:before="100" w:beforeAutospacing="1" w:after="100" w:afterAutospacing="1"/>
            </w:pPr>
            <w:r w:rsidRPr="00CA06B9">
              <w:t>A</w:t>
            </w:r>
            <w:r>
              <w:t>tbilstības</w:t>
            </w:r>
            <w:r w:rsidRPr="00CA06B9">
              <w:t xml:space="preserve">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2938E43B" w14:textId="125CC6A8" w:rsidR="0015251B" w:rsidRDefault="00E367FC" w:rsidP="004E5B16">
            <w:pPr>
              <w:spacing w:before="100" w:beforeAutospacing="1" w:after="100" w:afterAutospacing="1"/>
            </w:pPr>
            <w:r>
              <w:t>Noteikumu p</w:t>
            </w:r>
            <w:r w:rsidR="00A60476" w:rsidRPr="00CA06B9">
              <w:t>rojekts šo jomu neskar</w:t>
            </w:r>
            <w:r w:rsidR="00A60476">
              <w:t>.</w:t>
            </w:r>
          </w:p>
        </w:tc>
      </w:tr>
      <w:tr w:rsidR="00895374" w:rsidRPr="00E030F4" w14:paraId="041BFC16" w14:textId="77777777" w:rsidTr="00964945">
        <w:tc>
          <w:tcPr>
            <w:tcW w:w="271" w:type="pct"/>
            <w:tcBorders>
              <w:top w:val="outset" w:sz="6" w:space="0" w:color="000000"/>
              <w:left w:val="outset" w:sz="6" w:space="0" w:color="000000"/>
              <w:bottom w:val="outset" w:sz="6" w:space="0" w:color="000000"/>
              <w:right w:val="outset" w:sz="6" w:space="0" w:color="000000"/>
            </w:tcBorders>
          </w:tcPr>
          <w:p w14:paraId="1F9795A5" w14:textId="371CCB1E" w:rsidR="00895374" w:rsidRPr="00E030F4" w:rsidRDefault="00AC7887" w:rsidP="00964945">
            <w:pPr>
              <w:spacing w:before="100" w:beforeAutospacing="1" w:after="100" w:afterAutospacing="1"/>
            </w:pPr>
            <w:r>
              <w:t>5.</w:t>
            </w:r>
          </w:p>
        </w:tc>
        <w:tc>
          <w:tcPr>
            <w:tcW w:w="1696" w:type="pct"/>
            <w:tcBorders>
              <w:top w:val="outset" w:sz="6" w:space="0" w:color="000000"/>
              <w:left w:val="outset" w:sz="6" w:space="0" w:color="000000"/>
              <w:bottom w:val="outset" w:sz="6" w:space="0" w:color="000000"/>
              <w:right w:val="outset" w:sz="6" w:space="0" w:color="000000"/>
            </w:tcBorders>
          </w:tcPr>
          <w:p w14:paraId="1554A01A" w14:textId="77777777" w:rsidR="00895374" w:rsidRPr="00E030F4" w:rsidRDefault="00895374" w:rsidP="00964945">
            <w:pPr>
              <w:spacing w:before="100" w:beforeAutospacing="1" w:after="100" w:afterAutospacing="1"/>
            </w:pPr>
            <w:r w:rsidRPr="00E030F4">
              <w:t>Cita informācija</w:t>
            </w:r>
          </w:p>
        </w:tc>
        <w:tc>
          <w:tcPr>
            <w:tcW w:w="3033" w:type="pct"/>
            <w:tcBorders>
              <w:top w:val="outset" w:sz="6" w:space="0" w:color="000000"/>
              <w:left w:val="outset" w:sz="6" w:space="0" w:color="000000"/>
              <w:bottom w:val="outset" w:sz="6" w:space="0" w:color="000000"/>
              <w:right w:val="outset" w:sz="6" w:space="0" w:color="000000"/>
            </w:tcBorders>
          </w:tcPr>
          <w:p w14:paraId="6A8ED205" w14:textId="77777777" w:rsidR="00895374" w:rsidRDefault="00895374" w:rsidP="00CD4214">
            <w:pPr>
              <w:spacing w:before="100" w:beforeAutospacing="1" w:after="100" w:afterAutospacing="1"/>
              <w:jc w:val="both"/>
            </w:pPr>
            <w:r>
              <w:t>Nav</w:t>
            </w:r>
            <w:r w:rsidR="00AC7887">
              <w:t>.</w:t>
            </w:r>
          </w:p>
        </w:tc>
      </w:tr>
    </w:tbl>
    <w:p w14:paraId="40A28B8B" w14:textId="77777777" w:rsidR="00646A0B" w:rsidRDefault="00646A0B" w:rsidP="00895374">
      <w:pPr>
        <w:jc w:val="both"/>
      </w:pPr>
    </w:p>
    <w:tbl>
      <w:tblPr>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01"/>
      </w:tblGrid>
      <w:tr w:rsidR="00682CD6" w:rsidRPr="00E41E34" w14:paraId="6B3A0FFB"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6D02C23" w14:textId="77777777" w:rsidR="00682CD6" w:rsidRPr="00E41E34" w:rsidRDefault="00682CD6" w:rsidP="00964945">
            <w:pPr>
              <w:spacing w:before="100" w:beforeAutospacing="1" w:after="100" w:afterAutospacing="1" w:line="293" w:lineRule="atLeast"/>
              <w:jc w:val="center"/>
              <w:rPr>
                <w:b/>
                <w:bCs/>
              </w:rPr>
            </w:pPr>
            <w:r w:rsidRPr="00E41E34">
              <w:rPr>
                <w:b/>
                <w:bCs/>
              </w:rPr>
              <w:t>III. Tiesību akta projekta ietekme uz valsts budžetu un pašvaldību budžetiem</w:t>
            </w:r>
          </w:p>
        </w:tc>
      </w:tr>
      <w:tr w:rsidR="00682CD6" w:rsidRPr="00E41E34" w14:paraId="3CC64B1C"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840526" w14:textId="6F8FDA2A" w:rsidR="00682CD6" w:rsidRPr="005449E2" w:rsidRDefault="00E367FC" w:rsidP="00682CD6">
            <w:pPr>
              <w:spacing w:before="100" w:beforeAutospacing="1" w:after="100" w:afterAutospacing="1" w:line="293" w:lineRule="atLeast"/>
              <w:jc w:val="center"/>
              <w:rPr>
                <w:bCs/>
              </w:rPr>
            </w:pPr>
            <w:r>
              <w:rPr>
                <w:bCs/>
              </w:rPr>
              <w:t>Noteikumu p</w:t>
            </w:r>
            <w:r w:rsidR="00682CD6" w:rsidRPr="005449E2">
              <w:rPr>
                <w:bCs/>
              </w:rPr>
              <w:t>rojekts šo jomu neskar</w:t>
            </w:r>
            <w:r w:rsidR="001508DB">
              <w:rPr>
                <w:bCs/>
              </w:rPr>
              <w:t>.</w:t>
            </w:r>
          </w:p>
        </w:tc>
      </w:tr>
    </w:tbl>
    <w:p w14:paraId="1E3C55E1" w14:textId="77777777" w:rsidR="00682CD6" w:rsidRDefault="00682CD6" w:rsidP="00895374">
      <w:pPr>
        <w:jc w:val="both"/>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50"/>
      </w:tblGrid>
      <w:tr w:rsidR="000B1C39" w:rsidRPr="00886766" w14:paraId="12ABA361" w14:textId="77777777" w:rsidTr="00964945">
        <w:tc>
          <w:tcPr>
            <w:tcW w:w="5000" w:type="pct"/>
            <w:tcBorders>
              <w:top w:val="single" w:sz="4" w:space="0" w:color="auto"/>
              <w:left w:val="single" w:sz="4" w:space="0" w:color="auto"/>
              <w:bottom w:val="outset" w:sz="6" w:space="0" w:color="000000"/>
              <w:right w:val="single" w:sz="4" w:space="0" w:color="auto"/>
            </w:tcBorders>
          </w:tcPr>
          <w:p w14:paraId="0BB75103" w14:textId="77777777" w:rsidR="000B1C39" w:rsidRPr="00654B66" w:rsidRDefault="000B1C39" w:rsidP="00964945">
            <w:pPr>
              <w:jc w:val="center"/>
              <w:rPr>
                <w:b/>
              </w:rPr>
            </w:pPr>
            <w:r w:rsidRPr="00654B66">
              <w:rPr>
                <w:b/>
              </w:rPr>
              <w:t>IV. Tiesību akta projekta ietekme uz spēkā esošo tiesību normu sistēmu</w:t>
            </w:r>
          </w:p>
        </w:tc>
      </w:tr>
      <w:tr w:rsidR="00255D4F" w:rsidRPr="00886766" w14:paraId="725ABB75" w14:textId="77777777" w:rsidTr="00964945">
        <w:tc>
          <w:tcPr>
            <w:tcW w:w="5000" w:type="pct"/>
            <w:tcBorders>
              <w:top w:val="single" w:sz="4" w:space="0" w:color="auto"/>
              <w:left w:val="single" w:sz="4" w:space="0" w:color="auto"/>
              <w:bottom w:val="outset" w:sz="6" w:space="0" w:color="000000"/>
              <w:right w:val="single" w:sz="4" w:space="0" w:color="auto"/>
            </w:tcBorders>
          </w:tcPr>
          <w:p w14:paraId="0CBAB913" w14:textId="38109779" w:rsidR="00255D4F" w:rsidRPr="00654B66" w:rsidRDefault="00E367FC" w:rsidP="00964945">
            <w:pPr>
              <w:jc w:val="center"/>
              <w:rPr>
                <w:b/>
              </w:rPr>
            </w:pPr>
            <w:r>
              <w:rPr>
                <w:bCs/>
              </w:rPr>
              <w:t>Noteikumu p</w:t>
            </w:r>
            <w:r w:rsidR="00255D4F" w:rsidRPr="005449E2">
              <w:rPr>
                <w:bCs/>
              </w:rPr>
              <w:t>rojekts šo jomu neskar</w:t>
            </w:r>
            <w:r w:rsidR="00255D4F">
              <w:rPr>
                <w:bCs/>
              </w:rPr>
              <w:t>.</w:t>
            </w:r>
          </w:p>
        </w:tc>
      </w:tr>
    </w:tbl>
    <w:p w14:paraId="3B9C6A77" w14:textId="77777777" w:rsidR="000B1C39" w:rsidRDefault="000B1C39" w:rsidP="00895374">
      <w:pPr>
        <w:pStyle w:val="naisc"/>
        <w:spacing w:before="0" w:after="0"/>
      </w:pPr>
    </w:p>
    <w:p w14:paraId="6EBE807D" w14:textId="260DA05B" w:rsidR="001A5F98" w:rsidRDefault="001A5F98"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0"/>
        <w:gridCol w:w="2188"/>
        <w:gridCol w:w="6812"/>
      </w:tblGrid>
      <w:tr w:rsidR="005E0865" w:rsidRPr="00E030F4" w14:paraId="760D1420" w14:textId="77777777" w:rsidTr="001F3589">
        <w:tc>
          <w:tcPr>
            <w:tcW w:w="5000" w:type="pct"/>
            <w:gridSpan w:val="3"/>
            <w:tcBorders>
              <w:top w:val="single" w:sz="4" w:space="0" w:color="auto"/>
              <w:left w:val="single" w:sz="4" w:space="0" w:color="auto"/>
              <w:bottom w:val="outset" w:sz="6" w:space="0" w:color="000000"/>
              <w:right w:val="single" w:sz="4" w:space="0" w:color="auto"/>
            </w:tcBorders>
          </w:tcPr>
          <w:p w14:paraId="5195ACA5" w14:textId="77777777" w:rsidR="005E0865" w:rsidRPr="00E030F4" w:rsidRDefault="005E0865" w:rsidP="001F3589">
            <w:pPr>
              <w:spacing w:before="100" w:beforeAutospacing="1" w:after="100" w:afterAutospacing="1"/>
              <w:jc w:val="center"/>
              <w:rPr>
                <w:b/>
                <w:bCs/>
              </w:rPr>
            </w:pPr>
            <w:r w:rsidRPr="00E030F4">
              <w:rPr>
                <w:b/>
                <w:bCs/>
              </w:rPr>
              <w:t>V. Tiesību akta projekta atbilstība Latvijas Republikas starptautiskajām saistībām</w:t>
            </w:r>
          </w:p>
        </w:tc>
      </w:tr>
      <w:tr w:rsidR="005E0865" w:rsidRPr="00E030F4" w14:paraId="7856C5C3" w14:textId="77777777" w:rsidTr="001F3589">
        <w:tc>
          <w:tcPr>
            <w:tcW w:w="187" w:type="pct"/>
            <w:tcBorders>
              <w:top w:val="outset" w:sz="6" w:space="0" w:color="000000"/>
              <w:left w:val="outset" w:sz="6" w:space="0" w:color="000000"/>
              <w:bottom w:val="outset" w:sz="6" w:space="0" w:color="000000"/>
              <w:right w:val="outset" w:sz="6" w:space="0" w:color="000000"/>
            </w:tcBorders>
          </w:tcPr>
          <w:p w14:paraId="6EC9F5D3" w14:textId="77777777" w:rsidR="005E0865" w:rsidRPr="00E030F4" w:rsidRDefault="005E0865" w:rsidP="001F3589">
            <w:pPr>
              <w:spacing w:before="100" w:beforeAutospacing="1" w:after="100" w:afterAutospacing="1"/>
            </w:pPr>
            <w:r w:rsidRPr="00E030F4">
              <w:t>1.</w:t>
            </w:r>
          </w:p>
        </w:tc>
        <w:tc>
          <w:tcPr>
            <w:tcW w:w="1170" w:type="pct"/>
            <w:tcBorders>
              <w:top w:val="outset" w:sz="6" w:space="0" w:color="000000"/>
              <w:left w:val="outset" w:sz="6" w:space="0" w:color="000000"/>
              <w:bottom w:val="outset" w:sz="6" w:space="0" w:color="000000"/>
              <w:right w:val="outset" w:sz="6" w:space="0" w:color="000000"/>
            </w:tcBorders>
          </w:tcPr>
          <w:p w14:paraId="54E89690" w14:textId="77777777" w:rsidR="005E0865" w:rsidRPr="00E030F4" w:rsidRDefault="005E0865" w:rsidP="001F3589">
            <w:pPr>
              <w:spacing w:before="100" w:beforeAutospacing="1" w:after="100" w:afterAutospacing="1"/>
            </w:pPr>
            <w:r w:rsidRPr="00305571">
              <w:t>Saistības pret Eiropas Savienību</w:t>
            </w:r>
          </w:p>
        </w:tc>
        <w:tc>
          <w:tcPr>
            <w:tcW w:w="3643" w:type="pct"/>
            <w:tcBorders>
              <w:top w:val="outset" w:sz="6" w:space="0" w:color="000000"/>
              <w:left w:val="outset" w:sz="6" w:space="0" w:color="000000"/>
              <w:bottom w:val="outset" w:sz="6" w:space="0" w:color="000000"/>
              <w:right w:val="outset" w:sz="6" w:space="0" w:color="000000"/>
            </w:tcBorders>
          </w:tcPr>
          <w:p w14:paraId="79E4F657" w14:textId="59D1ACCF" w:rsidR="005E0865" w:rsidRDefault="005E0865" w:rsidP="001F3589">
            <w:pPr>
              <w:pStyle w:val="naiskr"/>
              <w:spacing w:before="0" w:after="0"/>
              <w:jc w:val="both"/>
            </w:pPr>
            <w:r>
              <w:t>Ar noteikumu projektu ne</w:t>
            </w:r>
            <w:r w:rsidRPr="00A02142">
              <w:t>tiek pārņemta</w:t>
            </w:r>
            <w:r>
              <w:t>s Eiropas Savienības tiesību aktu normas.</w:t>
            </w:r>
          </w:p>
          <w:p w14:paraId="4237F8F6" w14:textId="77777777" w:rsidR="005E0865" w:rsidRPr="007F6CF5" w:rsidRDefault="005E0865" w:rsidP="005E0865">
            <w:pPr>
              <w:jc w:val="both"/>
            </w:pPr>
          </w:p>
        </w:tc>
      </w:tr>
      <w:tr w:rsidR="005E0865" w:rsidRPr="00E030F4" w14:paraId="0287CB7A" w14:textId="77777777" w:rsidTr="001F3589">
        <w:tc>
          <w:tcPr>
            <w:tcW w:w="187" w:type="pct"/>
            <w:tcBorders>
              <w:top w:val="outset" w:sz="6" w:space="0" w:color="000000"/>
              <w:left w:val="outset" w:sz="6" w:space="0" w:color="000000"/>
              <w:bottom w:val="outset" w:sz="6" w:space="0" w:color="000000"/>
              <w:right w:val="outset" w:sz="6" w:space="0" w:color="000000"/>
            </w:tcBorders>
          </w:tcPr>
          <w:p w14:paraId="33EDC639" w14:textId="77777777" w:rsidR="005E0865" w:rsidRPr="00E030F4" w:rsidRDefault="005E0865" w:rsidP="001F3589">
            <w:pPr>
              <w:spacing w:before="100" w:beforeAutospacing="1" w:after="100" w:afterAutospacing="1"/>
            </w:pPr>
            <w:r w:rsidRPr="00E030F4">
              <w:t>2.</w:t>
            </w:r>
          </w:p>
        </w:tc>
        <w:tc>
          <w:tcPr>
            <w:tcW w:w="1170" w:type="pct"/>
            <w:tcBorders>
              <w:top w:val="outset" w:sz="6" w:space="0" w:color="000000"/>
              <w:left w:val="outset" w:sz="6" w:space="0" w:color="000000"/>
              <w:bottom w:val="outset" w:sz="6" w:space="0" w:color="000000"/>
              <w:right w:val="outset" w:sz="6" w:space="0" w:color="000000"/>
            </w:tcBorders>
          </w:tcPr>
          <w:p w14:paraId="43DA4043" w14:textId="77777777" w:rsidR="005E0865" w:rsidRPr="00E030F4" w:rsidRDefault="005E0865" w:rsidP="001F3589">
            <w:pPr>
              <w:spacing w:before="100" w:beforeAutospacing="1" w:after="100" w:afterAutospacing="1"/>
            </w:pPr>
            <w:r w:rsidRPr="00E030F4">
              <w:t>Citas starptautiskās saistības</w:t>
            </w:r>
          </w:p>
        </w:tc>
        <w:tc>
          <w:tcPr>
            <w:tcW w:w="3643" w:type="pct"/>
            <w:tcBorders>
              <w:top w:val="outset" w:sz="6" w:space="0" w:color="000000"/>
              <w:left w:val="outset" w:sz="6" w:space="0" w:color="000000"/>
              <w:bottom w:val="outset" w:sz="6" w:space="0" w:color="000000"/>
              <w:right w:val="outset" w:sz="6" w:space="0" w:color="000000"/>
            </w:tcBorders>
          </w:tcPr>
          <w:p w14:paraId="26E03617" w14:textId="203F84F6" w:rsidR="005E0865" w:rsidRPr="00E030F4" w:rsidRDefault="00E34CF5" w:rsidP="00FC3D71">
            <w:pPr>
              <w:spacing w:before="100" w:beforeAutospacing="1" w:after="100" w:afterAutospacing="1"/>
              <w:jc w:val="both"/>
            </w:pPr>
            <w:r>
              <w:rPr>
                <w:bCs/>
              </w:rPr>
              <w:t>Noteikumu p</w:t>
            </w:r>
            <w:r w:rsidRPr="005449E2">
              <w:rPr>
                <w:bCs/>
              </w:rPr>
              <w:t>rojekts šo jomu neskar</w:t>
            </w:r>
            <w:r>
              <w:rPr>
                <w:bCs/>
              </w:rPr>
              <w:t>.</w:t>
            </w:r>
          </w:p>
        </w:tc>
      </w:tr>
      <w:tr w:rsidR="00E34CF5" w:rsidRPr="00E030F4" w14:paraId="559E2A87" w14:textId="77777777" w:rsidTr="001F3589">
        <w:tc>
          <w:tcPr>
            <w:tcW w:w="187" w:type="pct"/>
            <w:tcBorders>
              <w:top w:val="outset" w:sz="6" w:space="0" w:color="000000"/>
              <w:left w:val="outset" w:sz="6" w:space="0" w:color="000000"/>
              <w:bottom w:val="outset" w:sz="6" w:space="0" w:color="000000"/>
              <w:right w:val="outset" w:sz="6" w:space="0" w:color="000000"/>
            </w:tcBorders>
          </w:tcPr>
          <w:p w14:paraId="2E95C6DC" w14:textId="77777777" w:rsidR="00E34CF5" w:rsidRPr="00E030F4" w:rsidRDefault="00E34CF5" w:rsidP="00E34CF5">
            <w:pPr>
              <w:spacing w:before="100" w:beforeAutospacing="1" w:after="100" w:afterAutospacing="1"/>
            </w:pPr>
            <w:r w:rsidRPr="00E030F4">
              <w:t>3.</w:t>
            </w:r>
          </w:p>
        </w:tc>
        <w:tc>
          <w:tcPr>
            <w:tcW w:w="1170" w:type="pct"/>
            <w:tcBorders>
              <w:top w:val="outset" w:sz="6" w:space="0" w:color="000000"/>
              <w:left w:val="outset" w:sz="6" w:space="0" w:color="000000"/>
              <w:bottom w:val="outset" w:sz="6" w:space="0" w:color="000000"/>
              <w:right w:val="outset" w:sz="6" w:space="0" w:color="000000"/>
            </w:tcBorders>
          </w:tcPr>
          <w:p w14:paraId="42FAC0F6" w14:textId="77777777" w:rsidR="00E34CF5" w:rsidRPr="00E030F4" w:rsidRDefault="00E34CF5" w:rsidP="00E34CF5">
            <w:pPr>
              <w:spacing w:before="100" w:beforeAutospacing="1" w:after="100" w:afterAutospacing="1"/>
            </w:pPr>
            <w:r w:rsidRPr="00E030F4">
              <w:t>Cita informācija</w:t>
            </w:r>
          </w:p>
        </w:tc>
        <w:tc>
          <w:tcPr>
            <w:tcW w:w="3643" w:type="pct"/>
            <w:tcBorders>
              <w:top w:val="outset" w:sz="6" w:space="0" w:color="000000"/>
              <w:left w:val="outset" w:sz="6" w:space="0" w:color="000000"/>
              <w:bottom w:val="outset" w:sz="6" w:space="0" w:color="000000"/>
              <w:right w:val="outset" w:sz="6" w:space="0" w:color="000000"/>
            </w:tcBorders>
          </w:tcPr>
          <w:p w14:paraId="28C98272" w14:textId="1D5AD9F1" w:rsidR="00E34CF5" w:rsidRDefault="00D744C4" w:rsidP="002864B7">
            <w:pPr>
              <w:spacing w:before="100" w:beforeAutospacing="1" w:after="100" w:afterAutospacing="1"/>
              <w:jc w:val="both"/>
            </w:pPr>
            <w:r>
              <w:t xml:space="preserve">Ar šo noteikumu projektu tiek ieviests </w:t>
            </w:r>
            <w:r w:rsidR="00E34CF5" w:rsidRPr="00FC3D71">
              <w:t>Eiropas pasta un telesakaru administrāciju konferences CEPT</w:t>
            </w:r>
            <w:r w:rsidR="00E34CF5">
              <w:t xml:space="preserve"> Rekomendācijas 70-03 2020. gada 23. oktobra </w:t>
            </w:r>
            <w:r w:rsidR="002864B7">
              <w:t xml:space="preserve">izdevums </w:t>
            </w:r>
            <w:r w:rsidR="00E34CF5">
              <w:t xml:space="preserve">attiecībā uz </w:t>
            </w:r>
            <w:r w:rsidR="00E34CF5" w:rsidRPr="001D755D">
              <w:t>maza darbības attāluma ierī</w:t>
            </w:r>
            <w:r w:rsidR="00E34CF5">
              <w:t>cēm</w:t>
            </w:r>
            <w:r w:rsidR="00E34CF5" w:rsidRPr="001D755D">
              <w:t xml:space="preserve"> (SRD) </w:t>
            </w:r>
            <w:r w:rsidR="00E34CF5">
              <w:t xml:space="preserve"> (</w:t>
            </w:r>
            <w:proofErr w:type="spellStart"/>
            <w:r w:rsidR="00E34CF5">
              <w:t>Relating</w:t>
            </w:r>
            <w:proofErr w:type="spellEnd"/>
            <w:r w:rsidR="00E34CF5">
              <w:t xml:space="preserve"> to </w:t>
            </w:r>
            <w:proofErr w:type="spellStart"/>
            <w:r w:rsidR="00E34CF5">
              <w:t>the</w:t>
            </w:r>
            <w:proofErr w:type="spellEnd"/>
            <w:r w:rsidR="00E34CF5">
              <w:t xml:space="preserve"> </w:t>
            </w:r>
            <w:proofErr w:type="spellStart"/>
            <w:r w:rsidR="00E34CF5">
              <w:t>use</w:t>
            </w:r>
            <w:proofErr w:type="spellEnd"/>
            <w:r w:rsidR="00E34CF5">
              <w:t xml:space="preserve"> </w:t>
            </w:r>
            <w:proofErr w:type="spellStart"/>
            <w:r w:rsidR="00E34CF5">
              <w:t>of</w:t>
            </w:r>
            <w:proofErr w:type="spellEnd"/>
            <w:r w:rsidR="00E34CF5">
              <w:t xml:space="preserve"> </w:t>
            </w:r>
            <w:proofErr w:type="spellStart"/>
            <w:r w:rsidR="00E34CF5">
              <w:t>Short</w:t>
            </w:r>
            <w:proofErr w:type="spellEnd"/>
            <w:r w:rsidR="00E34CF5">
              <w:t xml:space="preserve"> </w:t>
            </w:r>
            <w:proofErr w:type="spellStart"/>
            <w:r w:rsidR="00E34CF5">
              <w:t>Range</w:t>
            </w:r>
            <w:proofErr w:type="spellEnd"/>
            <w:r w:rsidR="00E34CF5">
              <w:t xml:space="preserve"> </w:t>
            </w:r>
            <w:proofErr w:type="spellStart"/>
            <w:r w:rsidR="00E34CF5">
              <w:t>Devices</w:t>
            </w:r>
            <w:proofErr w:type="spellEnd"/>
            <w:r w:rsidR="00E34CF5">
              <w:t xml:space="preserve"> (SRD)) </w:t>
            </w:r>
            <w:r w:rsidR="00B96504">
              <w:t xml:space="preserve">tā </w:t>
            </w:r>
            <w:r w:rsidR="00E34CF5" w:rsidRPr="006815CE">
              <w:rPr>
                <w:lang w:val="en-GB"/>
              </w:rPr>
              <w:t>9.</w:t>
            </w:r>
            <w:r w:rsidR="00E34CF5">
              <w:rPr>
                <w:lang w:val="en-GB"/>
              </w:rPr>
              <w:t xml:space="preserve"> </w:t>
            </w:r>
            <w:proofErr w:type="gramStart"/>
            <w:r w:rsidR="00E34CF5">
              <w:rPr>
                <w:lang w:val="en-GB"/>
              </w:rPr>
              <w:t xml:space="preserve">un </w:t>
            </w:r>
            <w:r w:rsidR="00E34CF5" w:rsidRPr="006815CE">
              <w:rPr>
                <w:lang w:val="en-GB"/>
              </w:rPr>
              <w:t>10</w:t>
            </w:r>
            <w:proofErr w:type="gramEnd"/>
            <w:r w:rsidR="00E34CF5">
              <w:rPr>
                <w:lang w:val="en-GB"/>
              </w:rPr>
              <w:t>.</w:t>
            </w:r>
            <w:r w:rsidR="00B96504">
              <w:rPr>
                <w:lang w:val="en-GB"/>
              </w:rPr>
              <w:t> </w:t>
            </w:r>
            <w:proofErr w:type="spellStart"/>
            <w:r w:rsidR="00B96504">
              <w:rPr>
                <w:lang w:val="en-GB"/>
              </w:rPr>
              <w:t>p</w:t>
            </w:r>
            <w:r w:rsidR="00E34CF5" w:rsidRPr="006815CE">
              <w:rPr>
                <w:lang w:val="en-GB"/>
              </w:rPr>
              <w:t>ielikum</w:t>
            </w:r>
            <w:r>
              <w:rPr>
                <w:lang w:val="en-GB"/>
              </w:rPr>
              <w:t>ā</w:t>
            </w:r>
            <w:proofErr w:type="spellEnd"/>
            <w:r>
              <w:rPr>
                <w:lang w:val="en-GB"/>
              </w:rPr>
              <w:t xml:space="preserve"> </w:t>
            </w:r>
            <w:proofErr w:type="spellStart"/>
            <w:r>
              <w:rPr>
                <w:lang w:val="en-GB"/>
              </w:rPr>
              <w:t>minēto</w:t>
            </w:r>
            <w:proofErr w:type="spellEnd"/>
            <w:r>
              <w:rPr>
                <w:lang w:val="en-GB"/>
              </w:rPr>
              <w:t xml:space="preserve"> </w:t>
            </w:r>
            <w:proofErr w:type="spellStart"/>
            <w:r>
              <w:rPr>
                <w:lang w:val="en-GB"/>
              </w:rPr>
              <w:t>joslu</w:t>
            </w:r>
            <w:proofErr w:type="spellEnd"/>
            <w:r>
              <w:rPr>
                <w:lang w:val="en-GB"/>
              </w:rPr>
              <w:t xml:space="preserve"> </w:t>
            </w:r>
            <w:proofErr w:type="spellStart"/>
            <w:r>
              <w:rPr>
                <w:lang w:val="en-GB"/>
              </w:rPr>
              <w:t>zem</w:t>
            </w:r>
            <w:proofErr w:type="spellEnd"/>
            <w:r>
              <w:rPr>
                <w:lang w:val="en-GB"/>
              </w:rPr>
              <w:t xml:space="preserve"> 9kHz</w:t>
            </w:r>
            <w:r w:rsidR="00E34CF5">
              <w:t xml:space="preserve">.    </w:t>
            </w:r>
          </w:p>
        </w:tc>
      </w:tr>
    </w:tbl>
    <w:p w14:paraId="73CD8B5D" w14:textId="2F68537D" w:rsidR="005E0865" w:rsidRDefault="005E0865" w:rsidP="00895374">
      <w:pPr>
        <w:pStyle w:val="naisc"/>
        <w:spacing w:before="0" w:after="0"/>
      </w:pPr>
    </w:p>
    <w:p w14:paraId="5057C10B" w14:textId="77777777" w:rsidR="005E0865" w:rsidRDefault="005E0865"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3652"/>
        <w:gridCol w:w="5240"/>
      </w:tblGrid>
      <w:tr w:rsidR="00895374" w:rsidRPr="00B67103" w14:paraId="404C8CB7" w14:textId="77777777" w:rsidTr="00964945">
        <w:tc>
          <w:tcPr>
            <w:tcW w:w="0" w:type="auto"/>
            <w:gridSpan w:val="3"/>
            <w:tcBorders>
              <w:top w:val="outset" w:sz="6" w:space="0" w:color="000000"/>
              <w:left w:val="outset" w:sz="6" w:space="0" w:color="000000"/>
              <w:bottom w:val="outset" w:sz="6" w:space="0" w:color="000000"/>
              <w:right w:val="outset" w:sz="6" w:space="0" w:color="000000"/>
            </w:tcBorders>
            <w:hideMark/>
          </w:tcPr>
          <w:p w14:paraId="1D542643" w14:textId="77777777" w:rsidR="00895374" w:rsidRPr="00B67103" w:rsidRDefault="00895374" w:rsidP="00964945">
            <w:pPr>
              <w:pStyle w:val="Paraststmeklis"/>
              <w:spacing w:before="0" w:beforeAutospacing="0" w:after="0" w:afterAutospacing="0"/>
              <w:jc w:val="center"/>
              <w:rPr>
                <w:b/>
                <w:bCs/>
                <w:lang w:val="lv-LV"/>
              </w:rPr>
            </w:pPr>
            <w:r w:rsidRPr="00B67103">
              <w:rPr>
                <w:b/>
                <w:bCs/>
                <w:lang w:val="lv-LV"/>
              </w:rPr>
              <w:t>VI.</w:t>
            </w:r>
            <w:r w:rsidR="007B0347">
              <w:rPr>
                <w:b/>
                <w:bCs/>
                <w:lang w:val="lv-LV"/>
              </w:rPr>
              <w:t> </w:t>
            </w:r>
            <w:r w:rsidRPr="00B67103">
              <w:rPr>
                <w:b/>
                <w:bCs/>
                <w:lang w:val="lv-LV"/>
              </w:rPr>
              <w:t>Sabiedrības līdzdalība un komunikācijas aktivitātes</w:t>
            </w:r>
          </w:p>
        </w:tc>
      </w:tr>
      <w:tr w:rsidR="00895374" w:rsidRPr="00B67103" w14:paraId="353DA3C1"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53BF210B" w14:textId="77777777" w:rsidR="00895374" w:rsidRPr="00B67103" w:rsidRDefault="00895374" w:rsidP="00964945">
            <w:pPr>
              <w:pStyle w:val="Paraststmeklis"/>
              <w:spacing w:before="0" w:beforeAutospacing="0" w:after="0" w:afterAutospacing="0"/>
            </w:pPr>
            <w:r w:rsidRPr="00B67103">
              <w:t>1.</w:t>
            </w:r>
          </w:p>
        </w:tc>
        <w:tc>
          <w:tcPr>
            <w:tcW w:w="1954" w:type="pct"/>
            <w:tcBorders>
              <w:top w:val="outset" w:sz="6" w:space="0" w:color="000000"/>
              <w:left w:val="outset" w:sz="6" w:space="0" w:color="000000"/>
              <w:bottom w:val="outset" w:sz="6" w:space="0" w:color="000000"/>
              <w:right w:val="outset" w:sz="6" w:space="0" w:color="000000"/>
            </w:tcBorders>
            <w:hideMark/>
          </w:tcPr>
          <w:p w14:paraId="666397A8" w14:textId="77777777" w:rsidR="00895374" w:rsidRPr="00A32CF5" w:rsidRDefault="00895374" w:rsidP="00964945">
            <w:pPr>
              <w:pStyle w:val="Paraststmeklis"/>
              <w:spacing w:before="0" w:beforeAutospacing="0" w:after="0" w:afterAutospacing="0"/>
              <w:rPr>
                <w:lang w:val="lv-LV"/>
              </w:rPr>
            </w:pPr>
            <w:r w:rsidRPr="00A32CF5">
              <w:rPr>
                <w:lang w:val="lv-LV"/>
              </w:rPr>
              <w:t>Plānotās sabiedrības līdzdalības un komunikācijas aktivitātes saistībā ar projektu</w:t>
            </w:r>
          </w:p>
        </w:tc>
        <w:tc>
          <w:tcPr>
            <w:tcW w:w="2804" w:type="pct"/>
            <w:tcBorders>
              <w:top w:val="outset" w:sz="6" w:space="0" w:color="000000"/>
              <w:left w:val="outset" w:sz="6" w:space="0" w:color="000000"/>
              <w:bottom w:val="outset" w:sz="6" w:space="0" w:color="000000"/>
              <w:right w:val="outset" w:sz="6" w:space="0" w:color="000000"/>
            </w:tcBorders>
            <w:hideMark/>
          </w:tcPr>
          <w:p w14:paraId="69991A20" w14:textId="630C21CD" w:rsidR="00921A4E" w:rsidRPr="00183611" w:rsidRDefault="00466D2F" w:rsidP="006551A6">
            <w:pPr>
              <w:pStyle w:val="Paraststmeklis"/>
              <w:spacing w:before="0" w:beforeAutospacing="0" w:after="0" w:afterAutospacing="0"/>
              <w:jc w:val="both"/>
              <w:rPr>
                <w:lang w:val="lv-LV"/>
              </w:rPr>
            </w:pPr>
            <w:r w:rsidRPr="00183611">
              <w:rPr>
                <w:lang w:val="lv-LV"/>
              </w:rPr>
              <w:t xml:space="preserve">Saskaņā ar </w:t>
            </w:r>
            <w:r w:rsidR="00E30E18" w:rsidRPr="00183611">
              <w:rPr>
                <w:lang w:val="lv-LV"/>
              </w:rPr>
              <w:t>MK</w:t>
            </w:r>
            <w:r w:rsidRPr="00183611">
              <w:rPr>
                <w:lang w:val="lv-LV"/>
              </w:rPr>
              <w:t xml:space="preserve"> 2009. gada 25. augusta noteikumu Nr. 970 „Sabiedrības līdzdalības kārtība attīstības plānošanas procesā” 7.4.</w:t>
            </w:r>
            <w:r w:rsidRPr="00183611">
              <w:rPr>
                <w:vertAlign w:val="superscript"/>
                <w:lang w:val="lv-LV"/>
              </w:rPr>
              <w:t>1 </w:t>
            </w:r>
            <w:r w:rsidRPr="00183611">
              <w:rPr>
                <w:lang w:val="lv-LV"/>
              </w:rPr>
              <w:t xml:space="preserve">apakšpunktu sabiedrības pārstāvji </w:t>
            </w:r>
            <w:r w:rsidR="006551A6" w:rsidRPr="00183611">
              <w:rPr>
                <w:lang w:val="lv-LV"/>
              </w:rPr>
              <w:t>tika</w:t>
            </w:r>
            <w:r w:rsidRPr="00183611">
              <w:rPr>
                <w:lang w:val="lv-LV"/>
              </w:rPr>
              <w:t xml:space="preserve"> aicināti līdzdarboties, rakstiski sniedzot viedokli par noteikumu projektu tā izstrādes stadijā. Sabiedrības pārstāvji ir informēti par iespēju </w:t>
            </w:r>
            <w:r w:rsidRPr="00183611">
              <w:rPr>
                <w:lang w:val="lv-LV"/>
              </w:rPr>
              <w:lastRenderedPageBreak/>
              <w:t>līdzdarboties, publicējot paziņojumu par līdzdalības procesu ministrijas tīmekļvietnē.</w:t>
            </w:r>
          </w:p>
          <w:p w14:paraId="15BE011E" w14:textId="0F576153" w:rsidR="00E367FC" w:rsidRPr="008A3F5C" w:rsidRDefault="00E367FC" w:rsidP="00E367FC">
            <w:pPr>
              <w:pStyle w:val="Paraststmeklis"/>
              <w:spacing w:before="0" w:beforeAutospacing="0" w:after="0" w:afterAutospacing="0"/>
              <w:jc w:val="both"/>
              <w:rPr>
                <w:lang w:val="lv-LV"/>
              </w:rPr>
            </w:pPr>
            <w:proofErr w:type="spellStart"/>
            <w:r w:rsidRPr="008A3F5C">
              <w:t>Noteikumu</w:t>
            </w:r>
            <w:proofErr w:type="spellEnd"/>
            <w:r w:rsidRPr="008A3F5C">
              <w:t xml:space="preserve"> </w:t>
            </w:r>
            <w:proofErr w:type="spellStart"/>
            <w:r w:rsidRPr="008A3F5C">
              <w:t>projekts</w:t>
            </w:r>
            <w:proofErr w:type="spellEnd"/>
            <w:r w:rsidRPr="008A3F5C">
              <w:t xml:space="preserve"> 2020. </w:t>
            </w:r>
            <w:proofErr w:type="spellStart"/>
            <w:r w:rsidRPr="008A3F5C">
              <w:t>gada</w:t>
            </w:r>
            <w:proofErr w:type="spellEnd"/>
            <w:r w:rsidRPr="008A3F5C">
              <w:t xml:space="preserve"> </w:t>
            </w:r>
            <w:r w:rsidR="008A3F5C">
              <w:t>21</w:t>
            </w:r>
            <w:r w:rsidRPr="008A3F5C">
              <w:t>. </w:t>
            </w:r>
            <w:proofErr w:type="spellStart"/>
            <w:r w:rsidRPr="008A3F5C">
              <w:t>decembrī</w:t>
            </w:r>
            <w:proofErr w:type="spellEnd"/>
            <w:r w:rsidRPr="008A3F5C">
              <w:t xml:space="preserve"> </w:t>
            </w:r>
            <w:proofErr w:type="spellStart"/>
            <w:r w:rsidRPr="008A3F5C">
              <w:t>ievietots</w:t>
            </w:r>
            <w:proofErr w:type="spellEnd"/>
            <w:r w:rsidRPr="008A3F5C">
              <w:t xml:space="preserve"> </w:t>
            </w:r>
            <w:proofErr w:type="spellStart"/>
            <w:r w:rsidRPr="008A3F5C">
              <w:t>Ministrijas</w:t>
            </w:r>
            <w:proofErr w:type="spellEnd"/>
            <w:r w:rsidRPr="008A3F5C">
              <w:t xml:space="preserve"> </w:t>
            </w:r>
            <w:proofErr w:type="spellStart"/>
            <w:r w:rsidRPr="008A3F5C">
              <w:t>tīmekļvietnē</w:t>
            </w:r>
            <w:proofErr w:type="spellEnd"/>
            <w:r w:rsidRPr="008A3F5C">
              <w:t xml:space="preserve"> </w:t>
            </w:r>
            <w:hyperlink r:id="rId7" w:history="1">
              <w:r w:rsidRPr="008A3F5C">
                <w:rPr>
                  <w:rStyle w:val="Hipersaite"/>
                  <w:color w:val="auto"/>
                  <w:u w:val="none"/>
                </w:rPr>
                <w:t>www.varam.gov.lv</w:t>
              </w:r>
            </w:hyperlink>
            <w:r w:rsidRPr="008A3F5C">
              <w:t xml:space="preserve"> un </w:t>
            </w:r>
            <w:proofErr w:type="spellStart"/>
            <w:r w:rsidRPr="008A3F5C">
              <w:t>Valsts</w:t>
            </w:r>
            <w:proofErr w:type="spellEnd"/>
            <w:r w:rsidRPr="008A3F5C">
              <w:t xml:space="preserve"> </w:t>
            </w:r>
            <w:proofErr w:type="spellStart"/>
            <w:r w:rsidRPr="008A3F5C">
              <w:t>kancelejas</w:t>
            </w:r>
            <w:proofErr w:type="spellEnd"/>
            <w:r w:rsidRPr="008A3F5C">
              <w:t xml:space="preserve"> </w:t>
            </w:r>
            <w:proofErr w:type="spellStart"/>
            <w:r w:rsidRPr="008A3F5C">
              <w:t>tīmekļvietnē</w:t>
            </w:r>
            <w:proofErr w:type="spellEnd"/>
            <w:r w:rsidRPr="008A3F5C">
              <w:t xml:space="preserve"> mk.gov.lv, </w:t>
            </w:r>
            <w:proofErr w:type="spellStart"/>
            <w:r w:rsidRPr="008A3F5C">
              <w:t>nododot</w:t>
            </w:r>
            <w:proofErr w:type="spellEnd"/>
            <w:r w:rsidRPr="008A3F5C">
              <w:t xml:space="preserve"> </w:t>
            </w:r>
            <w:proofErr w:type="spellStart"/>
            <w:r w:rsidRPr="008A3F5C">
              <w:t>sabiedriskajai</w:t>
            </w:r>
            <w:proofErr w:type="spellEnd"/>
            <w:r w:rsidRPr="008A3F5C">
              <w:t xml:space="preserve"> </w:t>
            </w:r>
            <w:proofErr w:type="spellStart"/>
            <w:r w:rsidRPr="008A3F5C">
              <w:t>apspriešanai</w:t>
            </w:r>
            <w:proofErr w:type="spellEnd"/>
            <w:r w:rsidRPr="008A3F5C">
              <w:t>.</w:t>
            </w:r>
          </w:p>
        </w:tc>
      </w:tr>
      <w:tr w:rsidR="00895374" w:rsidRPr="00B67103" w14:paraId="264032A3"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18C0045F" w14:textId="77777777" w:rsidR="00895374" w:rsidRPr="00B67103" w:rsidRDefault="00895374" w:rsidP="00964945">
            <w:pPr>
              <w:pStyle w:val="Paraststmeklis"/>
              <w:spacing w:before="0" w:beforeAutospacing="0" w:after="0" w:afterAutospacing="0"/>
            </w:pPr>
            <w:r w:rsidRPr="00B67103">
              <w:lastRenderedPageBreak/>
              <w:t>2.</w:t>
            </w:r>
          </w:p>
        </w:tc>
        <w:tc>
          <w:tcPr>
            <w:tcW w:w="1954" w:type="pct"/>
            <w:tcBorders>
              <w:top w:val="outset" w:sz="6" w:space="0" w:color="000000"/>
              <w:left w:val="outset" w:sz="6" w:space="0" w:color="000000"/>
              <w:bottom w:val="outset" w:sz="6" w:space="0" w:color="000000"/>
              <w:right w:val="outset" w:sz="6" w:space="0" w:color="000000"/>
            </w:tcBorders>
            <w:hideMark/>
          </w:tcPr>
          <w:p w14:paraId="19748183" w14:textId="77777777" w:rsidR="00895374" w:rsidRPr="00A32CF5" w:rsidRDefault="00895374" w:rsidP="00964945">
            <w:pPr>
              <w:pStyle w:val="Paraststmeklis"/>
              <w:spacing w:before="0" w:beforeAutospacing="0" w:after="0" w:afterAutospacing="0"/>
              <w:rPr>
                <w:lang w:val="lv-LV"/>
              </w:rPr>
            </w:pPr>
            <w:r w:rsidRPr="00A32CF5">
              <w:rPr>
                <w:lang w:val="lv-LV"/>
              </w:rPr>
              <w:t>Sabiedrības līdzdalība projekta izstrādē</w:t>
            </w:r>
          </w:p>
        </w:tc>
        <w:tc>
          <w:tcPr>
            <w:tcW w:w="2804" w:type="pct"/>
            <w:tcBorders>
              <w:top w:val="outset" w:sz="6" w:space="0" w:color="000000"/>
              <w:left w:val="outset" w:sz="6" w:space="0" w:color="000000"/>
              <w:bottom w:val="outset" w:sz="6" w:space="0" w:color="000000"/>
              <w:right w:val="outset" w:sz="6" w:space="0" w:color="000000"/>
            </w:tcBorders>
          </w:tcPr>
          <w:p w14:paraId="1C8B476F" w14:textId="587692B0" w:rsidR="003C66B7" w:rsidRPr="00183611" w:rsidRDefault="00E367FC" w:rsidP="003E507C">
            <w:pPr>
              <w:pStyle w:val="Paraststmeklis"/>
              <w:spacing w:before="0" w:beforeAutospacing="0" w:after="0" w:afterAutospacing="0"/>
              <w:jc w:val="both"/>
              <w:rPr>
                <w:lang w:val="lv-LV"/>
              </w:rPr>
            </w:pPr>
            <w:proofErr w:type="spellStart"/>
            <w:r w:rsidRPr="00183611">
              <w:t>Sabiedrības</w:t>
            </w:r>
            <w:proofErr w:type="spellEnd"/>
            <w:r w:rsidRPr="00183611">
              <w:t xml:space="preserve"> </w:t>
            </w:r>
            <w:proofErr w:type="spellStart"/>
            <w:r w:rsidRPr="00183611">
              <w:t>pārstāvjiem</w:t>
            </w:r>
            <w:proofErr w:type="spellEnd"/>
            <w:r w:rsidR="00183611">
              <w:t xml:space="preserve"> tika</w:t>
            </w:r>
            <w:r w:rsidRPr="00183611">
              <w:t xml:space="preserve"> </w:t>
            </w:r>
            <w:proofErr w:type="spellStart"/>
            <w:r w:rsidRPr="00183611">
              <w:t>dota</w:t>
            </w:r>
            <w:proofErr w:type="spellEnd"/>
            <w:r w:rsidRPr="00183611">
              <w:t xml:space="preserve"> </w:t>
            </w:r>
            <w:proofErr w:type="spellStart"/>
            <w:r w:rsidRPr="00183611">
              <w:t>iespēja</w:t>
            </w:r>
            <w:proofErr w:type="spellEnd"/>
            <w:r w:rsidRPr="00183611">
              <w:t xml:space="preserve"> </w:t>
            </w:r>
            <w:proofErr w:type="spellStart"/>
            <w:r w:rsidRPr="00183611">
              <w:t>līdzdarboties</w:t>
            </w:r>
            <w:proofErr w:type="spellEnd"/>
            <w:r w:rsidRPr="00183611">
              <w:t xml:space="preserve"> </w:t>
            </w:r>
            <w:proofErr w:type="spellStart"/>
            <w:r w:rsidRPr="00183611">
              <w:t>projekta</w:t>
            </w:r>
            <w:proofErr w:type="spellEnd"/>
            <w:r w:rsidRPr="00183611">
              <w:t xml:space="preserve"> </w:t>
            </w:r>
            <w:proofErr w:type="spellStart"/>
            <w:r w:rsidRPr="00183611">
              <w:t>izstrādē</w:t>
            </w:r>
            <w:proofErr w:type="spellEnd"/>
            <w:r w:rsidRPr="00183611">
              <w:t xml:space="preserve">, </w:t>
            </w:r>
            <w:proofErr w:type="spellStart"/>
            <w:r w:rsidRPr="00183611">
              <w:t>rakstveidā</w:t>
            </w:r>
            <w:proofErr w:type="spellEnd"/>
            <w:r w:rsidRPr="00183611">
              <w:t xml:space="preserve"> </w:t>
            </w:r>
            <w:proofErr w:type="spellStart"/>
            <w:r w:rsidRPr="00183611">
              <w:t>sniedzot</w:t>
            </w:r>
            <w:proofErr w:type="spellEnd"/>
            <w:r w:rsidRPr="00183611">
              <w:t xml:space="preserve"> </w:t>
            </w:r>
            <w:proofErr w:type="spellStart"/>
            <w:r w:rsidRPr="00183611">
              <w:t>viedokli</w:t>
            </w:r>
            <w:proofErr w:type="spellEnd"/>
            <w:r w:rsidRPr="00183611">
              <w:t xml:space="preserve"> par </w:t>
            </w:r>
            <w:proofErr w:type="spellStart"/>
            <w:r w:rsidRPr="00183611">
              <w:t>noteikumu</w:t>
            </w:r>
            <w:proofErr w:type="spellEnd"/>
            <w:r w:rsidRPr="00183611">
              <w:t xml:space="preserve"> </w:t>
            </w:r>
            <w:proofErr w:type="spellStart"/>
            <w:r w:rsidRPr="00183611">
              <w:t>projektu</w:t>
            </w:r>
            <w:proofErr w:type="spellEnd"/>
            <w:r w:rsidRPr="00183611">
              <w:t>.</w:t>
            </w:r>
          </w:p>
        </w:tc>
      </w:tr>
      <w:tr w:rsidR="00895374" w:rsidRPr="00B67103" w14:paraId="791B58CD"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07E3625F" w14:textId="77777777" w:rsidR="00895374" w:rsidRPr="00B67103" w:rsidRDefault="00895374" w:rsidP="00964945">
            <w:pPr>
              <w:pStyle w:val="Paraststmeklis"/>
              <w:spacing w:before="0" w:beforeAutospacing="0" w:after="0" w:afterAutospacing="0"/>
            </w:pPr>
            <w:r w:rsidRPr="00B67103">
              <w:t>3.</w:t>
            </w:r>
          </w:p>
        </w:tc>
        <w:tc>
          <w:tcPr>
            <w:tcW w:w="1954" w:type="pct"/>
            <w:tcBorders>
              <w:top w:val="outset" w:sz="6" w:space="0" w:color="000000"/>
              <w:left w:val="outset" w:sz="6" w:space="0" w:color="000000"/>
              <w:bottom w:val="outset" w:sz="6" w:space="0" w:color="000000"/>
              <w:right w:val="outset" w:sz="6" w:space="0" w:color="000000"/>
            </w:tcBorders>
            <w:hideMark/>
          </w:tcPr>
          <w:p w14:paraId="3941911B" w14:textId="77777777" w:rsidR="00895374" w:rsidRPr="00A32CF5" w:rsidRDefault="00895374" w:rsidP="00964945">
            <w:pPr>
              <w:pStyle w:val="Paraststmeklis"/>
              <w:spacing w:before="0" w:beforeAutospacing="0" w:after="0" w:afterAutospacing="0"/>
              <w:rPr>
                <w:lang w:val="lv-LV"/>
              </w:rPr>
            </w:pPr>
            <w:r w:rsidRPr="00A32CF5">
              <w:rPr>
                <w:lang w:val="lv-LV"/>
              </w:rPr>
              <w:t>Sabiedrības līdzdalības rezultāti</w:t>
            </w:r>
          </w:p>
        </w:tc>
        <w:tc>
          <w:tcPr>
            <w:tcW w:w="2804" w:type="pct"/>
            <w:tcBorders>
              <w:top w:val="outset" w:sz="6" w:space="0" w:color="000000"/>
              <w:left w:val="outset" w:sz="6" w:space="0" w:color="000000"/>
              <w:bottom w:val="outset" w:sz="6" w:space="0" w:color="000000"/>
              <w:right w:val="outset" w:sz="6" w:space="0" w:color="000000"/>
            </w:tcBorders>
          </w:tcPr>
          <w:p w14:paraId="3942AC5A" w14:textId="233A6D40" w:rsidR="00E367FC" w:rsidRDefault="00E367FC" w:rsidP="00075060">
            <w:pPr>
              <w:pStyle w:val="naiskr"/>
              <w:spacing w:after="0"/>
              <w:jc w:val="both"/>
            </w:pPr>
            <w:r>
              <w:t xml:space="preserve">Priekšlikumi par noteikumu projektu </w:t>
            </w:r>
            <w:r w:rsidR="00183611">
              <w:t>pēc sabiedrības apspriešanas</w:t>
            </w:r>
            <w:r w:rsidR="00075060">
              <w:t xml:space="preserve"> netika saņemti</w:t>
            </w:r>
            <w:r>
              <w:t>.</w:t>
            </w:r>
          </w:p>
          <w:p w14:paraId="7E0DF921" w14:textId="004392F4" w:rsidR="003C66B7" w:rsidRPr="00A32CF5" w:rsidRDefault="003C66B7" w:rsidP="00105351">
            <w:pPr>
              <w:pStyle w:val="Paraststmeklis"/>
              <w:spacing w:before="0" w:beforeAutospacing="0" w:after="0" w:afterAutospacing="0"/>
              <w:jc w:val="both"/>
              <w:rPr>
                <w:lang w:val="lv-LV"/>
              </w:rPr>
            </w:pPr>
          </w:p>
        </w:tc>
      </w:tr>
      <w:tr w:rsidR="00895374" w:rsidRPr="00B67103" w14:paraId="15C977F3"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292AAD61" w14:textId="77777777" w:rsidR="00895374" w:rsidRPr="00B67103" w:rsidRDefault="00895374" w:rsidP="00964945">
            <w:pPr>
              <w:pStyle w:val="Paraststmeklis"/>
              <w:spacing w:before="0" w:beforeAutospacing="0" w:after="0" w:afterAutospacing="0"/>
            </w:pPr>
            <w:r w:rsidRPr="00B67103">
              <w:t>4.</w:t>
            </w:r>
          </w:p>
        </w:tc>
        <w:tc>
          <w:tcPr>
            <w:tcW w:w="1954" w:type="pct"/>
            <w:tcBorders>
              <w:top w:val="outset" w:sz="6" w:space="0" w:color="000000"/>
              <w:left w:val="outset" w:sz="6" w:space="0" w:color="000000"/>
              <w:bottom w:val="outset" w:sz="6" w:space="0" w:color="000000"/>
              <w:right w:val="outset" w:sz="6" w:space="0" w:color="000000"/>
            </w:tcBorders>
            <w:hideMark/>
          </w:tcPr>
          <w:p w14:paraId="654A3448" w14:textId="77777777" w:rsidR="00895374" w:rsidRPr="00A32CF5" w:rsidRDefault="00895374" w:rsidP="00964945">
            <w:pPr>
              <w:pStyle w:val="Paraststmeklis"/>
              <w:spacing w:before="0" w:beforeAutospacing="0" w:after="0" w:afterAutospacing="0"/>
              <w:rPr>
                <w:lang w:val="lv-LV"/>
              </w:rPr>
            </w:pPr>
            <w:r w:rsidRPr="00A32CF5">
              <w:rPr>
                <w:lang w:val="lv-LV"/>
              </w:rPr>
              <w:t>Cita informācija</w:t>
            </w:r>
          </w:p>
        </w:tc>
        <w:tc>
          <w:tcPr>
            <w:tcW w:w="2804" w:type="pct"/>
            <w:tcBorders>
              <w:top w:val="outset" w:sz="6" w:space="0" w:color="000000"/>
              <w:left w:val="outset" w:sz="6" w:space="0" w:color="000000"/>
              <w:bottom w:val="outset" w:sz="6" w:space="0" w:color="000000"/>
              <w:right w:val="outset" w:sz="6" w:space="0" w:color="000000"/>
            </w:tcBorders>
          </w:tcPr>
          <w:p w14:paraId="6AC4AA63" w14:textId="77777777" w:rsidR="00895374" w:rsidRPr="00A32CF5" w:rsidRDefault="00895374" w:rsidP="00CD4214">
            <w:pPr>
              <w:pStyle w:val="Paraststmeklis"/>
              <w:spacing w:before="0" w:beforeAutospacing="0" w:after="0" w:afterAutospacing="0"/>
              <w:rPr>
                <w:lang w:val="lv-LV"/>
              </w:rPr>
            </w:pPr>
            <w:r w:rsidRPr="00A32CF5">
              <w:rPr>
                <w:lang w:val="lv-LV"/>
              </w:rPr>
              <w:t>Nav</w:t>
            </w:r>
            <w:r w:rsidR="000D454D">
              <w:rPr>
                <w:lang w:val="lv-LV"/>
              </w:rPr>
              <w:t>.</w:t>
            </w:r>
          </w:p>
        </w:tc>
      </w:tr>
    </w:tbl>
    <w:p w14:paraId="6D0B72FA" w14:textId="77777777" w:rsidR="008C64D2" w:rsidRDefault="008C64D2" w:rsidP="00895374">
      <w:pPr>
        <w:pStyle w:val="naisc"/>
        <w:spacing w:before="0" w:after="0"/>
      </w:pPr>
    </w:p>
    <w:tbl>
      <w:tblPr>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3931"/>
        <w:gridCol w:w="4961"/>
      </w:tblGrid>
      <w:tr w:rsidR="00895374" w:rsidRPr="00E030F4" w14:paraId="15877F25" w14:textId="77777777" w:rsidTr="00077095">
        <w:tc>
          <w:tcPr>
            <w:tcW w:w="9363" w:type="dxa"/>
            <w:gridSpan w:val="3"/>
            <w:tcBorders>
              <w:top w:val="outset" w:sz="6" w:space="0" w:color="000000"/>
              <w:left w:val="outset" w:sz="6" w:space="0" w:color="000000"/>
              <w:bottom w:val="outset" w:sz="6" w:space="0" w:color="000000"/>
              <w:right w:val="outset" w:sz="6" w:space="0" w:color="000000"/>
            </w:tcBorders>
          </w:tcPr>
          <w:p w14:paraId="6B46C885" w14:textId="77777777" w:rsidR="00895374" w:rsidRPr="00E030F4" w:rsidRDefault="00895374" w:rsidP="00964945">
            <w:pPr>
              <w:spacing w:before="100" w:beforeAutospacing="1" w:after="100" w:afterAutospacing="1"/>
              <w:jc w:val="center"/>
              <w:rPr>
                <w:b/>
                <w:bCs/>
              </w:rPr>
            </w:pPr>
            <w:r w:rsidRPr="00E030F4">
              <w:rPr>
                <w:b/>
                <w:bCs/>
              </w:rPr>
              <w:t>VII.</w:t>
            </w:r>
            <w:r w:rsidR="00466D2F">
              <w:rPr>
                <w:b/>
                <w:bCs/>
              </w:rPr>
              <w:t> </w:t>
            </w:r>
            <w:r w:rsidRPr="00E030F4">
              <w:rPr>
                <w:b/>
                <w:bCs/>
              </w:rPr>
              <w:t>Tiesību akta projekta izpildes nodrošināšana un tās ietekme uz institūcijām</w:t>
            </w:r>
          </w:p>
        </w:tc>
      </w:tr>
      <w:tr w:rsidR="00895374" w:rsidRPr="00E030F4" w14:paraId="3BFB895B" w14:textId="77777777" w:rsidTr="00077095">
        <w:tc>
          <w:tcPr>
            <w:tcW w:w="471" w:type="dxa"/>
            <w:tcBorders>
              <w:top w:val="outset" w:sz="6" w:space="0" w:color="000000"/>
              <w:left w:val="outset" w:sz="6" w:space="0" w:color="000000"/>
              <w:bottom w:val="outset" w:sz="6" w:space="0" w:color="000000"/>
              <w:right w:val="outset" w:sz="6" w:space="0" w:color="000000"/>
            </w:tcBorders>
          </w:tcPr>
          <w:p w14:paraId="0A25666B" w14:textId="77777777" w:rsidR="00895374" w:rsidRPr="00E030F4" w:rsidRDefault="00895374" w:rsidP="00964945">
            <w:pPr>
              <w:spacing w:before="100" w:beforeAutospacing="1" w:after="100" w:afterAutospacing="1"/>
            </w:pPr>
            <w:r w:rsidRPr="00E030F4">
              <w:t>1.</w:t>
            </w:r>
          </w:p>
        </w:tc>
        <w:tc>
          <w:tcPr>
            <w:tcW w:w="3931" w:type="dxa"/>
            <w:tcBorders>
              <w:top w:val="outset" w:sz="6" w:space="0" w:color="000000"/>
              <w:left w:val="outset" w:sz="6" w:space="0" w:color="000000"/>
              <w:bottom w:val="outset" w:sz="6" w:space="0" w:color="000000"/>
              <w:right w:val="outset" w:sz="6" w:space="0" w:color="000000"/>
            </w:tcBorders>
          </w:tcPr>
          <w:p w14:paraId="57D6BE48" w14:textId="77777777" w:rsidR="00895374" w:rsidRPr="00E030F4" w:rsidRDefault="00895374" w:rsidP="00964945">
            <w:pPr>
              <w:spacing w:before="100" w:beforeAutospacing="1" w:after="100" w:afterAutospacing="1"/>
            </w:pPr>
            <w:r w:rsidRPr="00E030F4">
              <w:t>Projekta izpildē iesaistītās institūcijas</w:t>
            </w:r>
          </w:p>
        </w:tc>
        <w:tc>
          <w:tcPr>
            <w:tcW w:w="4961" w:type="dxa"/>
            <w:tcBorders>
              <w:top w:val="outset" w:sz="6" w:space="0" w:color="000000"/>
              <w:left w:val="outset" w:sz="6" w:space="0" w:color="000000"/>
              <w:bottom w:val="outset" w:sz="6" w:space="0" w:color="000000"/>
              <w:right w:val="outset" w:sz="6" w:space="0" w:color="000000"/>
            </w:tcBorders>
          </w:tcPr>
          <w:p w14:paraId="644EBED3" w14:textId="763DE23C" w:rsidR="00244349" w:rsidRPr="002821DE" w:rsidRDefault="005A25DD" w:rsidP="008C2864">
            <w:pPr>
              <w:jc w:val="both"/>
            </w:pPr>
            <w:r>
              <w:t>V</w:t>
            </w:r>
            <w:r w:rsidR="008C2864">
              <w:t>alsts akciju sabiedrība</w:t>
            </w:r>
            <w:r w:rsidRPr="0012182F">
              <w:t xml:space="preserve"> „Elektronisk</w:t>
            </w:r>
            <w:r>
              <w:t>ie s</w:t>
            </w:r>
            <w:r w:rsidRPr="0012182F">
              <w:t>akar</w:t>
            </w:r>
            <w:r>
              <w:t>i</w:t>
            </w:r>
            <w:r w:rsidRPr="0012182F">
              <w:t>”</w:t>
            </w:r>
            <w:r w:rsidR="00E367FC">
              <w:t>.</w:t>
            </w:r>
          </w:p>
        </w:tc>
      </w:tr>
      <w:tr w:rsidR="00895374" w:rsidRPr="00E030F4" w14:paraId="527B6197" w14:textId="77777777" w:rsidTr="00077095">
        <w:tc>
          <w:tcPr>
            <w:tcW w:w="471" w:type="dxa"/>
            <w:tcBorders>
              <w:top w:val="outset" w:sz="6" w:space="0" w:color="000000"/>
              <w:left w:val="outset" w:sz="6" w:space="0" w:color="000000"/>
              <w:bottom w:val="outset" w:sz="6" w:space="0" w:color="000000"/>
              <w:right w:val="outset" w:sz="6" w:space="0" w:color="000000"/>
            </w:tcBorders>
          </w:tcPr>
          <w:p w14:paraId="3BD146B2" w14:textId="77777777" w:rsidR="00895374" w:rsidRPr="00E030F4" w:rsidRDefault="00895374" w:rsidP="00964945">
            <w:r w:rsidRPr="00E030F4">
              <w:t>2.</w:t>
            </w:r>
          </w:p>
        </w:tc>
        <w:tc>
          <w:tcPr>
            <w:tcW w:w="3931" w:type="dxa"/>
            <w:tcBorders>
              <w:top w:val="outset" w:sz="6" w:space="0" w:color="000000"/>
              <w:left w:val="outset" w:sz="6" w:space="0" w:color="000000"/>
              <w:bottom w:val="outset" w:sz="6" w:space="0" w:color="000000"/>
              <w:right w:val="outset" w:sz="6" w:space="0" w:color="000000"/>
            </w:tcBorders>
          </w:tcPr>
          <w:p w14:paraId="6691DDF3" w14:textId="77777777" w:rsidR="00895374" w:rsidRDefault="00895374" w:rsidP="00964945">
            <w:r w:rsidRPr="00E030F4">
              <w:t>Projekta izpildes ietekme uz pārvaldes funkcijām</w:t>
            </w:r>
            <w:r>
              <w:t xml:space="preserve"> un </w:t>
            </w:r>
            <w:r w:rsidRPr="00E030F4">
              <w:t>institucionālo struktūru</w:t>
            </w:r>
            <w:r>
              <w:t xml:space="preserve">. </w:t>
            </w:r>
          </w:p>
          <w:p w14:paraId="04FC9177" w14:textId="77777777" w:rsidR="00895374" w:rsidRPr="00E030F4" w:rsidRDefault="00895374" w:rsidP="00964945">
            <w:r w:rsidRPr="00E030F4">
              <w:t>Jaunu institūciju izveide</w:t>
            </w:r>
            <w:r>
              <w:t>, e</w:t>
            </w:r>
            <w:r w:rsidRPr="00E030F4">
              <w:t>sošu institūciju likvidācija</w:t>
            </w:r>
            <w:r>
              <w:t xml:space="preserve"> vai reorganizācija, to ietekme uz institūcijas cilvēkresursiem</w:t>
            </w:r>
          </w:p>
        </w:tc>
        <w:tc>
          <w:tcPr>
            <w:tcW w:w="4961" w:type="dxa"/>
            <w:tcBorders>
              <w:top w:val="outset" w:sz="6" w:space="0" w:color="000000"/>
              <w:left w:val="outset" w:sz="6" w:space="0" w:color="000000"/>
              <w:bottom w:val="outset" w:sz="6" w:space="0" w:color="000000"/>
              <w:right w:val="outset" w:sz="6" w:space="0" w:color="000000"/>
            </w:tcBorders>
          </w:tcPr>
          <w:p w14:paraId="25AB4B29" w14:textId="77777777" w:rsidR="00E367FC" w:rsidRDefault="00E367FC" w:rsidP="00183611">
            <w:pPr>
              <w:pStyle w:val="naiskr"/>
              <w:spacing w:before="0" w:after="0"/>
              <w:jc w:val="both"/>
            </w:pPr>
            <w:r>
              <w:t>Noteikumu projekta izpilde neietekmēs pārvaldes funkcijas vai institucionālo struktūru.</w:t>
            </w:r>
          </w:p>
          <w:p w14:paraId="376F2768" w14:textId="77777777" w:rsidR="00E367FC" w:rsidRDefault="00E367FC" w:rsidP="00183611">
            <w:pPr>
              <w:pStyle w:val="naiskr"/>
              <w:spacing w:before="0" w:after="0"/>
              <w:jc w:val="both"/>
            </w:pPr>
            <w:r>
              <w:t>Jaunas institūcijas netiks izveidotas, esošo institūciju likvidācija vai reorganizācija nav plānota.</w:t>
            </w:r>
          </w:p>
          <w:p w14:paraId="345F98F3" w14:textId="119D5462" w:rsidR="00895374" w:rsidRPr="002821DE" w:rsidRDefault="00E367FC" w:rsidP="00226539">
            <w:pPr>
              <w:jc w:val="both"/>
            </w:pPr>
            <w:r>
              <w:t>Noteikumu projektā noteiktās normas</w:t>
            </w:r>
            <w:r w:rsidRPr="001C3699">
              <w:t xml:space="preserve"> tiks</w:t>
            </w:r>
            <w:r>
              <w:t xml:space="preserve"> īstenotas, izmantojot institūcijām pieejamos cilvēkresursus.</w:t>
            </w:r>
          </w:p>
        </w:tc>
      </w:tr>
      <w:tr w:rsidR="00895374" w:rsidRPr="00E030F4" w14:paraId="5E6AE4B7" w14:textId="77777777" w:rsidTr="00077095">
        <w:tc>
          <w:tcPr>
            <w:tcW w:w="471" w:type="dxa"/>
            <w:tcBorders>
              <w:top w:val="outset" w:sz="6" w:space="0" w:color="000000"/>
              <w:left w:val="outset" w:sz="6" w:space="0" w:color="000000"/>
              <w:bottom w:val="outset" w:sz="6" w:space="0" w:color="000000"/>
              <w:right w:val="outset" w:sz="6" w:space="0" w:color="000000"/>
            </w:tcBorders>
          </w:tcPr>
          <w:p w14:paraId="625BCA5A" w14:textId="77777777" w:rsidR="00895374" w:rsidRPr="00E030F4" w:rsidRDefault="00895374" w:rsidP="00964945">
            <w:pPr>
              <w:spacing w:before="100" w:beforeAutospacing="1" w:after="100" w:afterAutospacing="1"/>
            </w:pPr>
            <w:r>
              <w:t>3</w:t>
            </w:r>
            <w:r w:rsidRPr="00E030F4">
              <w:t>.</w:t>
            </w:r>
          </w:p>
        </w:tc>
        <w:tc>
          <w:tcPr>
            <w:tcW w:w="3931" w:type="dxa"/>
            <w:tcBorders>
              <w:top w:val="outset" w:sz="6" w:space="0" w:color="000000"/>
              <w:left w:val="outset" w:sz="6" w:space="0" w:color="000000"/>
              <w:bottom w:val="outset" w:sz="6" w:space="0" w:color="000000"/>
              <w:right w:val="outset" w:sz="6" w:space="0" w:color="000000"/>
            </w:tcBorders>
          </w:tcPr>
          <w:p w14:paraId="766EB921" w14:textId="77777777" w:rsidR="00895374" w:rsidRPr="00E030F4" w:rsidRDefault="00895374" w:rsidP="00964945">
            <w:pPr>
              <w:spacing w:before="100" w:beforeAutospacing="1" w:after="100" w:afterAutospacing="1"/>
            </w:pPr>
            <w:r w:rsidRPr="00E030F4">
              <w:t>Cita informācija</w:t>
            </w:r>
          </w:p>
        </w:tc>
        <w:tc>
          <w:tcPr>
            <w:tcW w:w="4961" w:type="dxa"/>
            <w:tcBorders>
              <w:top w:val="outset" w:sz="6" w:space="0" w:color="000000"/>
              <w:left w:val="outset" w:sz="6" w:space="0" w:color="000000"/>
              <w:bottom w:val="outset" w:sz="6" w:space="0" w:color="000000"/>
              <w:right w:val="outset" w:sz="6" w:space="0" w:color="000000"/>
            </w:tcBorders>
          </w:tcPr>
          <w:p w14:paraId="10C13069" w14:textId="77777777" w:rsidR="00895374" w:rsidRPr="002821DE" w:rsidRDefault="00895374" w:rsidP="000429A3">
            <w:pPr>
              <w:spacing w:before="100" w:beforeAutospacing="1" w:after="100" w:afterAutospacing="1"/>
            </w:pPr>
            <w:r w:rsidRPr="002821DE">
              <w:t>Nav</w:t>
            </w:r>
            <w:r w:rsidR="000D454D">
              <w:t>.</w:t>
            </w:r>
          </w:p>
        </w:tc>
      </w:tr>
    </w:tbl>
    <w:p w14:paraId="45D51FA4" w14:textId="77777777" w:rsidR="00895374" w:rsidRDefault="00895374" w:rsidP="00895374">
      <w:pPr>
        <w:tabs>
          <w:tab w:val="right" w:pos="8306"/>
        </w:tabs>
      </w:pPr>
    </w:p>
    <w:p w14:paraId="1C2BA448" w14:textId="77777777" w:rsidR="0059764D" w:rsidRDefault="0059764D" w:rsidP="00A25251">
      <w:pPr>
        <w:tabs>
          <w:tab w:val="left" w:pos="6804"/>
        </w:tabs>
      </w:pPr>
    </w:p>
    <w:p w14:paraId="5481DE92" w14:textId="77777777" w:rsidR="00D772E6" w:rsidRPr="006F0C88" w:rsidRDefault="00D772E6" w:rsidP="00D772E6">
      <w:pPr>
        <w:ind w:firstLine="709"/>
      </w:pPr>
      <w:r w:rsidRPr="006F0C88">
        <w:t xml:space="preserve">Vides aizsardzības un reģionālās </w:t>
      </w:r>
    </w:p>
    <w:p w14:paraId="15446D9E" w14:textId="6CFC0F7E" w:rsidR="00D772E6" w:rsidRPr="006F0C88" w:rsidRDefault="00D772E6" w:rsidP="00D772E6">
      <w:pPr>
        <w:tabs>
          <w:tab w:val="left" w:pos="6804"/>
        </w:tabs>
        <w:ind w:left="540" w:firstLine="169"/>
      </w:pPr>
      <w:r w:rsidRPr="006F0C88">
        <w:t>attīstības ministr</w:t>
      </w:r>
      <w:r w:rsidR="00BA5356">
        <w:t>s</w:t>
      </w:r>
      <w:r w:rsidR="00A56BB2">
        <w:tab/>
      </w:r>
      <w:r w:rsidR="00A56BB2">
        <w:rPr>
          <w:szCs w:val="28"/>
          <w:shd w:val="clear" w:color="auto" w:fill="FFFFFF"/>
        </w:rPr>
        <w:t xml:space="preserve">A. T. </w:t>
      </w:r>
      <w:proofErr w:type="spellStart"/>
      <w:r w:rsidR="00A56BB2">
        <w:rPr>
          <w:szCs w:val="28"/>
          <w:shd w:val="clear" w:color="auto" w:fill="FFFFFF"/>
        </w:rPr>
        <w:t>Plešs</w:t>
      </w:r>
      <w:proofErr w:type="spellEnd"/>
      <w:r w:rsidRPr="006F0C88">
        <w:tab/>
      </w:r>
    </w:p>
    <w:p w14:paraId="23A70D9A" w14:textId="5D53740F" w:rsidR="00A25251" w:rsidRPr="00326226" w:rsidRDefault="00556322" w:rsidP="00A25251">
      <w:pPr>
        <w:tabs>
          <w:tab w:val="left" w:pos="6804"/>
        </w:tabs>
      </w:pPr>
      <w:r>
        <w:tab/>
      </w:r>
    </w:p>
    <w:p w14:paraId="5AC184D7" w14:textId="77777777" w:rsidR="00A25251" w:rsidRPr="00326226" w:rsidRDefault="00A25251" w:rsidP="00A25251">
      <w:pPr>
        <w:tabs>
          <w:tab w:val="left" w:pos="6804"/>
        </w:tabs>
        <w:ind w:firstLine="720"/>
      </w:pPr>
    </w:p>
    <w:p w14:paraId="4D121947" w14:textId="77777777" w:rsidR="00895374" w:rsidRPr="00CE70FA" w:rsidRDefault="00895374" w:rsidP="00895374">
      <w:pPr>
        <w:tabs>
          <w:tab w:val="left" w:pos="6804"/>
        </w:tabs>
        <w:jc w:val="both"/>
      </w:pPr>
      <w:r>
        <w:tab/>
      </w:r>
    </w:p>
    <w:p w14:paraId="4A608538" w14:textId="77777777" w:rsidR="004B10C9" w:rsidRDefault="004B10C9" w:rsidP="00895374">
      <w:pPr>
        <w:tabs>
          <w:tab w:val="left" w:pos="2880"/>
        </w:tabs>
        <w:rPr>
          <w:iCs/>
          <w:sz w:val="20"/>
        </w:rPr>
      </w:pPr>
    </w:p>
    <w:p w14:paraId="73E399AB" w14:textId="77777777" w:rsidR="004B10C9" w:rsidRDefault="00895374" w:rsidP="00895374">
      <w:pPr>
        <w:rPr>
          <w:iCs/>
          <w:sz w:val="20"/>
        </w:rPr>
      </w:pPr>
      <w:r>
        <w:rPr>
          <w:iCs/>
          <w:sz w:val="20"/>
        </w:rPr>
        <w:t xml:space="preserve">Vāvere </w:t>
      </w:r>
      <w:r w:rsidR="00682CD6">
        <w:rPr>
          <w:iCs/>
          <w:sz w:val="20"/>
        </w:rPr>
        <w:t>67026</w:t>
      </w:r>
      <w:r w:rsidR="00367CB7">
        <w:rPr>
          <w:iCs/>
          <w:sz w:val="20"/>
        </w:rPr>
        <w:t>9</w:t>
      </w:r>
      <w:r w:rsidR="00682CD6">
        <w:rPr>
          <w:iCs/>
          <w:sz w:val="20"/>
        </w:rPr>
        <w:t>36</w:t>
      </w:r>
    </w:p>
    <w:p w14:paraId="7D8B3DA3" w14:textId="77777777" w:rsidR="00000023" w:rsidRDefault="006A6D5A" w:rsidP="00895374">
      <w:hyperlink r:id="rId8" w:history="1">
        <w:r w:rsidR="00895374" w:rsidRPr="00BA75D1">
          <w:rPr>
            <w:rStyle w:val="Hipersaite"/>
            <w:iCs/>
            <w:sz w:val="20"/>
          </w:rPr>
          <w:t>aija.vavere@varam.gov.lv</w:t>
        </w:r>
      </w:hyperlink>
    </w:p>
    <w:sectPr w:rsidR="00000023" w:rsidSect="00AC4AF3">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5307D" w14:textId="77777777" w:rsidR="003F0666" w:rsidRDefault="003F0666" w:rsidP="006451BA">
      <w:r>
        <w:separator/>
      </w:r>
    </w:p>
  </w:endnote>
  <w:endnote w:type="continuationSeparator" w:id="0">
    <w:p w14:paraId="6B4F70EC" w14:textId="77777777" w:rsidR="003F0666" w:rsidRDefault="003F0666" w:rsidP="006451BA">
      <w:r>
        <w:continuationSeparator/>
      </w:r>
    </w:p>
  </w:endnote>
  <w:endnote w:type="continuationNotice" w:id="1">
    <w:p w14:paraId="2040A647" w14:textId="77777777" w:rsidR="003F0666" w:rsidRDefault="003F0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EE"/>
    <w:family w:val="swiss"/>
    <w:notTrueType/>
    <w:pitch w:val="default"/>
    <w:sig w:usb0="00000005" w:usb1="00000000" w:usb2="00000000" w:usb3="00000000" w:csb0="00000083"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8D077" w14:textId="43EB8E7F" w:rsidR="006451BA" w:rsidRPr="00AD6658" w:rsidRDefault="00CF5F74" w:rsidP="006451BA">
    <w:pPr>
      <w:pStyle w:val="Kjene"/>
      <w:jc w:val="both"/>
      <w:rPr>
        <w:sz w:val="20"/>
      </w:rPr>
    </w:pPr>
    <w:r>
      <w:rPr>
        <w:noProof/>
        <w:sz w:val="20"/>
      </w:rPr>
      <w:fldChar w:fldCharType="begin"/>
    </w:r>
    <w:r>
      <w:rPr>
        <w:noProof/>
        <w:sz w:val="20"/>
      </w:rPr>
      <w:instrText xml:space="preserve"> FILENAME   \* MERGEFORMAT </w:instrText>
    </w:r>
    <w:r>
      <w:rPr>
        <w:noProof/>
        <w:sz w:val="20"/>
      </w:rPr>
      <w:fldChar w:fldCharType="separate"/>
    </w:r>
    <w:r w:rsidR="00F96BD4">
      <w:rPr>
        <w:noProof/>
        <w:sz w:val="20"/>
      </w:rPr>
      <w:t>VARAMAnot_181220_groz1151</w:t>
    </w:r>
    <w:r>
      <w:rPr>
        <w:noProof/>
        <w:sz w:val="20"/>
      </w:rPr>
      <w:fldChar w:fldCharType="end"/>
    </w:r>
  </w:p>
  <w:p w14:paraId="3E124B49" w14:textId="77777777" w:rsidR="006451BA" w:rsidRDefault="006451B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BC830" w14:textId="30E567D7" w:rsidR="00C7067E" w:rsidRPr="00AD6658" w:rsidRDefault="00CF5F74" w:rsidP="00C7067E">
    <w:pPr>
      <w:pStyle w:val="Kjene"/>
      <w:jc w:val="both"/>
      <w:rPr>
        <w:sz w:val="20"/>
      </w:rPr>
    </w:pPr>
    <w:r>
      <w:rPr>
        <w:noProof/>
        <w:sz w:val="20"/>
      </w:rPr>
      <w:fldChar w:fldCharType="begin"/>
    </w:r>
    <w:r>
      <w:rPr>
        <w:noProof/>
        <w:sz w:val="20"/>
      </w:rPr>
      <w:instrText xml:space="preserve"> FILENAME   \* MERGEFORMAT </w:instrText>
    </w:r>
    <w:r>
      <w:rPr>
        <w:noProof/>
        <w:sz w:val="20"/>
      </w:rPr>
      <w:fldChar w:fldCharType="separate"/>
    </w:r>
    <w:r w:rsidR="00F96BD4">
      <w:rPr>
        <w:noProof/>
        <w:sz w:val="20"/>
      </w:rPr>
      <w:t>VARAMAnot_181220_groz1151</w:t>
    </w:r>
    <w:r>
      <w:rPr>
        <w:noProof/>
        <w:sz w:val="20"/>
      </w:rPr>
      <w:fldChar w:fldCharType="end"/>
    </w:r>
  </w:p>
  <w:p w14:paraId="3B3B9801" w14:textId="1FEF2C4D" w:rsidR="00C7067E" w:rsidRDefault="00832526" w:rsidP="00832526">
    <w:pPr>
      <w:pStyle w:val="Kjene"/>
      <w:tabs>
        <w:tab w:val="clear" w:pos="4153"/>
        <w:tab w:val="clear" w:pos="8306"/>
        <w:tab w:val="left" w:pos="51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C8C25" w14:textId="77777777" w:rsidR="003F0666" w:rsidRDefault="003F0666" w:rsidP="006451BA">
      <w:r>
        <w:separator/>
      </w:r>
    </w:p>
  </w:footnote>
  <w:footnote w:type="continuationSeparator" w:id="0">
    <w:p w14:paraId="53B86245" w14:textId="77777777" w:rsidR="003F0666" w:rsidRDefault="003F0666" w:rsidP="006451BA">
      <w:r>
        <w:continuationSeparator/>
      </w:r>
    </w:p>
  </w:footnote>
  <w:footnote w:type="continuationNotice" w:id="1">
    <w:p w14:paraId="5CE0E334" w14:textId="77777777" w:rsidR="003F0666" w:rsidRDefault="003F0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107987"/>
      <w:docPartObj>
        <w:docPartGallery w:val="Page Numbers (Top of Page)"/>
        <w:docPartUnique/>
      </w:docPartObj>
    </w:sdtPr>
    <w:sdtEndPr>
      <w:rPr>
        <w:noProof/>
      </w:rPr>
    </w:sdtEndPr>
    <w:sdtContent>
      <w:p w14:paraId="5F4B7F63" w14:textId="6A19B80C" w:rsidR="00AC4AF3" w:rsidRDefault="00B616DA">
        <w:pPr>
          <w:pStyle w:val="Galvene"/>
          <w:jc w:val="center"/>
        </w:pPr>
        <w:r>
          <w:fldChar w:fldCharType="begin"/>
        </w:r>
        <w:r w:rsidR="00AC4AF3">
          <w:instrText xml:space="preserve"> PAGE   \* MERGEFORMAT </w:instrText>
        </w:r>
        <w:r>
          <w:fldChar w:fldCharType="separate"/>
        </w:r>
        <w:r w:rsidR="002864B7">
          <w:rPr>
            <w:noProof/>
          </w:rPr>
          <w:t>3</w:t>
        </w:r>
        <w:r>
          <w:rPr>
            <w:noProof/>
          </w:rPr>
          <w:fldChar w:fldCharType="end"/>
        </w:r>
      </w:p>
    </w:sdtContent>
  </w:sdt>
  <w:p w14:paraId="6E62DF3D" w14:textId="77777777" w:rsidR="00AC4AF3" w:rsidRDefault="00AC4AF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A8D"/>
    <w:multiLevelType w:val="hybridMultilevel"/>
    <w:tmpl w:val="E16A1E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637A6"/>
    <w:multiLevelType w:val="hybridMultilevel"/>
    <w:tmpl w:val="6A50D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2F0445"/>
    <w:multiLevelType w:val="hybridMultilevel"/>
    <w:tmpl w:val="5664B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64027"/>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08910D0"/>
    <w:multiLevelType w:val="hybridMultilevel"/>
    <w:tmpl w:val="3F68E1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C66B71"/>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62C1703"/>
    <w:multiLevelType w:val="hybridMultilevel"/>
    <w:tmpl w:val="E9144C6E"/>
    <w:lvl w:ilvl="0" w:tplc="076070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1144D1"/>
    <w:multiLevelType w:val="hybridMultilevel"/>
    <w:tmpl w:val="45820C48"/>
    <w:lvl w:ilvl="0" w:tplc="A2681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65"/>
    <w:rsid w:val="00000023"/>
    <w:rsid w:val="00000932"/>
    <w:rsid w:val="00002D39"/>
    <w:rsid w:val="00004315"/>
    <w:rsid w:val="0000776A"/>
    <w:rsid w:val="00011543"/>
    <w:rsid w:val="00011BE2"/>
    <w:rsid w:val="00015131"/>
    <w:rsid w:val="00020C05"/>
    <w:rsid w:val="00025C7B"/>
    <w:rsid w:val="00027636"/>
    <w:rsid w:val="00027745"/>
    <w:rsid w:val="00031338"/>
    <w:rsid w:val="000322D1"/>
    <w:rsid w:val="00033B5C"/>
    <w:rsid w:val="00035F55"/>
    <w:rsid w:val="00040989"/>
    <w:rsid w:val="000429A3"/>
    <w:rsid w:val="00046120"/>
    <w:rsid w:val="00047A06"/>
    <w:rsid w:val="000530A2"/>
    <w:rsid w:val="000533E9"/>
    <w:rsid w:val="000548AF"/>
    <w:rsid w:val="000558CE"/>
    <w:rsid w:val="00055E79"/>
    <w:rsid w:val="000566DB"/>
    <w:rsid w:val="00056DF6"/>
    <w:rsid w:val="0005758D"/>
    <w:rsid w:val="00062354"/>
    <w:rsid w:val="00063257"/>
    <w:rsid w:val="000641B2"/>
    <w:rsid w:val="00064DC9"/>
    <w:rsid w:val="00065285"/>
    <w:rsid w:val="00065C3F"/>
    <w:rsid w:val="000668B1"/>
    <w:rsid w:val="000722A6"/>
    <w:rsid w:val="00072A40"/>
    <w:rsid w:val="000746E5"/>
    <w:rsid w:val="00074FBB"/>
    <w:rsid w:val="00075060"/>
    <w:rsid w:val="0007531A"/>
    <w:rsid w:val="000763AC"/>
    <w:rsid w:val="00077095"/>
    <w:rsid w:val="00080333"/>
    <w:rsid w:val="00080D5F"/>
    <w:rsid w:val="00081962"/>
    <w:rsid w:val="00082303"/>
    <w:rsid w:val="00083582"/>
    <w:rsid w:val="00084273"/>
    <w:rsid w:val="00087AF0"/>
    <w:rsid w:val="0009064E"/>
    <w:rsid w:val="0009149E"/>
    <w:rsid w:val="0009335B"/>
    <w:rsid w:val="000939EF"/>
    <w:rsid w:val="000949AF"/>
    <w:rsid w:val="00095079"/>
    <w:rsid w:val="00095585"/>
    <w:rsid w:val="000A2AB9"/>
    <w:rsid w:val="000A42A2"/>
    <w:rsid w:val="000A4B35"/>
    <w:rsid w:val="000B1C39"/>
    <w:rsid w:val="000B3896"/>
    <w:rsid w:val="000B3ED6"/>
    <w:rsid w:val="000B7B7B"/>
    <w:rsid w:val="000C0D5C"/>
    <w:rsid w:val="000C1166"/>
    <w:rsid w:val="000C17E7"/>
    <w:rsid w:val="000C1957"/>
    <w:rsid w:val="000C28AC"/>
    <w:rsid w:val="000C44CA"/>
    <w:rsid w:val="000C4534"/>
    <w:rsid w:val="000C5691"/>
    <w:rsid w:val="000C6365"/>
    <w:rsid w:val="000C6D27"/>
    <w:rsid w:val="000C7628"/>
    <w:rsid w:val="000D00B5"/>
    <w:rsid w:val="000D058A"/>
    <w:rsid w:val="000D20ED"/>
    <w:rsid w:val="000D22EB"/>
    <w:rsid w:val="000D2668"/>
    <w:rsid w:val="000D3B9E"/>
    <w:rsid w:val="000D454D"/>
    <w:rsid w:val="000D57B7"/>
    <w:rsid w:val="000E0912"/>
    <w:rsid w:val="000E0E07"/>
    <w:rsid w:val="000E119F"/>
    <w:rsid w:val="000E4989"/>
    <w:rsid w:val="000E5904"/>
    <w:rsid w:val="000F26DC"/>
    <w:rsid w:val="000F58FF"/>
    <w:rsid w:val="00103E61"/>
    <w:rsid w:val="00105351"/>
    <w:rsid w:val="00111882"/>
    <w:rsid w:val="00112339"/>
    <w:rsid w:val="00114433"/>
    <w:rsid w:val="00117805"/>
    <w:rsid w:val="00117B02"/>
    <w:rsid w:val="00120157"/>
    <w:rsid w:val="00120930"/>
    <w:rsid w:val="001223FE"/>
    <w:rsid w:val="001267CB"/>
    <w:rsid w:val="00131732"/>
    <w:rsid w:val="001328CC"/>
    <w:rsid w:val="00133265"/>
    <w:rsid w:val="00133AF6"/>
    <w:rsid w:val="0013500C"/>
    <w:rsid w:val="00135054"/>
    <w:rsid w:val="00136BD1"/>
    <w:rsid w:val="001379FE"/>
    <w:rsid w:val="00143162"/>
    <w:rsid w:val="001478C3"/>
    <w:rsid w:val="00147C3B"/>
    <w:rsid w:val="001508DB"/>
    <w:rsid w:val="0015251B"/>
    <w:rsid w:val="00152CC5"/>
    <w:rsid w:val="001535A8"/>
    <w:rsid w:val="00153F12"/>
    <w:rsid w:val="00155C6D"/>
    <w:rsid w:val="00161775"/>
    <w:rsid w:val="00163B37"/>
    <w:rsid w:val="00165AA4"/>
    <w:rsid w:val="00165E0C"/>
    <w:rsid w:val="0016745B"/>
    <w:rsid w:val="00171798"/>
    <w:rsid w:val="00171DAE"/>
    <w:rsid w:val="00173F3A"/>
    <w:rsid w:val="00183611"/>
    <w:rsid w:val="0018387B"/>
    <w:rsid w:val="00183DDF"/>
    <w:rsid w:val="001857EC"/>
    <w:rsid w:val="00187DF8"/>
    <w:rsid w:val="00193CB0"/>
    <w:rsid w:val="001978D9"/>
    <w:rsid w:val="001979E5"/>
    <w:rsid w:val="001A0D44"/>
    <w:rsid w:val="001A4F0C"/>
    <w:rsid w:val="001A53B8"/>
    <w:rsid w:val="001A5F98"/>
    <w:rsid w:val="001B552E"/>
    <w:rsid w:val="001B73EA"/>
    <w:rsid w:val="001B74A6"/>
    <w:rsid w:val="001C12C7"/>
    <w:rsid w:val="001C3906"/>
    <w:rsid w:val="001C643E"/>
    <w:rsid w:val="001D3502"/>
    <w:rsid w:val="001D4385"/>
    <w:rsid w:val="001D6ED2"/>
    <w:rsid w:val="001D755D"/>
    <w:rsid w:val="001E15AF"/>
    <w:rsid w:val="001E3010"/>
    <w:rsid w:val="001E4F5E"/>
    <w:rsid w:val="001E4F6D"/>
    <w:rsid w:val="001E587F"/>
    <w:rsid w:val="001E5C8A"/>
    <w:rsid w:val="001E671E"/>
    <w:rsid w:val="001E68CF"/>
    <w:rsid w:val="001F261B"/>
    <w:rsid w:val="001F381E"/>
    <w:rsid w:val="001F3EC1"/>
    <w:rsid w:val="001F6340"/>
    <w:rsid w:val="001F6A53"/>
    <w:rsid w:val="00205296"/>
    <w:rsid w:val="00205CA7"/>
    <w:rsid w:val="00210858"/>
    <w:rsid w:val="0021211E"/>
    <w:rsid w:val="00214BED"/>
    <w:rsid w:val="00217D34"/>
    <w:rsid w:val="0022107B"/>
    <w:rsid w:val="002214E9"/>
    <w:rsid w:val="00224837"/>
    <w:rsid w:val="002252F6"/>
    <w:rsid w:val="00226396"/>
    <w:rsid w:val="00226539"/>
    <w:rsid w:val="00226B9B"/>
    <w:rsid w:val="0022739C"/>
    <w:rsid w:val="00227695"/>
    <w:rsid w:val="00234BB1"/>
    <w:rsid w:val="00236328"/>
    <w:rsid w:val="00240D37"/>
    <w:rsid w:val="00242286"/>
    <w:rsid w:val="00242E13"/>
    <w:rsid w:val="00244349"/>
    <w:rsid w:val="00245770"/>
    <w:rsid w:val="00247458"/>
    <w:rsid w:val="00252F7D"/>
    <w:rsid w:val="00253F73"/>
    <w:rsid w:val="00255D4F"/>
    <w:rsid w:val="00257693"/>
    <w:rsid w:val="00260C64"/>
    <w:rsid w:val="00265A05"/>
    <w:rsid w:val="00270BBA"/>
    <w:rsid w:val="0027223D"/>
    <w:rsid w:val="002741B5"/>
    <w:rsid w:val="00274D97"/>
    <w:rsid w:val="00280575"/>
    <w:rsid w:val="0028136F"/>
    <w:rsid w:val="0028207A"/>
    <w:rsid w:val="002864B7"/>
    <w:rsid w:val="00286E8C"/>
    <w:rsid w:val="00293340"/>
    <w:rsid w:val="0029508E"/>
    <w:rsid w:val="002A031E"/>
    <w:rsid w:val="002A0B52"/>
    <w:rsid w:val="002A0C5D"/>
    <w:rsid w:val="002A137B"/>
    <w:rsid w:val="002A14F4"/>
    <w:rsid w:val="002A1C17"/>
    <w:rsid w:val="002A6862"/>
    <w:rsid w:val="002B389B"/>
    <w:rsid w:val="002B508B"/>
    <w:rsid w:val="002B6287"/>
    <w:rsid w:val="002B6408"/>
    <w:rsid w:val="002B67A3"/>
    <w:rsid w:val="002C1709"/>
    <w:rsid w:val="002C580D"/>
    <w:rsid w:val="002C5EB8"/>
    <w:rsid w:val="002D073C"/>
    <w:rsid w:val="002E2810"/>
    <w:rsid w:val="002E2A02"/>
    <w:rsid w:val="002E5D80"/>
    <w:rsid w:val="002F1838"/>
    <w:rsid w:val="002F4D5F"/>
    <w:rsid w:val="002F5558"/>
    <w:rsid w:val="00300D95"/>
    <w:rsid w:val="00302A06"/>
    <w:rsid w:val="00302A74"/>
    <w:rsid w:val="00305571"/>
    <w:rsid w:val="003059AF"/>
    <w:rsid w:val="003059FD"/>
    <w:rsid w:val="00310133"/>
    <w:rsid w:val="003105A1"/>
    <w:rsid w:val="0031147C"/>
    <w:rsid w:val="00311FEC"/>
    <w:rsid w:val="00312EC5"/>
    <w:rsid w:val="00314155"/>
    <w:rsid w:val="0031581D"/>
    <w:rsid w:val="003170AB"/>
    <w:rsid w:val="003179F3"/>
    <w:rsid w:val="00321E56"/>
    <w:rsid w:val="0032354D"/>
    <w:rsid w:val="00327A05"/>
    <w:rsid w:val="00332946"/>
    <w:rsid w:val="0033612C"/>
    <w:rsid w:val="003374AC"/>
    <w:rsid w:val="003379F0"/>
    <w:rsid w:val="00343102"/>
    <w:rsid w:val="00344586"/>
    <w:rsid w:val="003445BC"/>
    <w:rsid w:val="0034594C"/>
    <w:rsid w:val="00347A0E"/>
    <w:rsid w:val="00350A5C"/>
    <w:rsid w:val="00355471"/>
    <w:rsid w:val="00356286"/>
    <w:rsid w:val="00356B66"/>
    <w:rsid w:val="00356BB7"/>
    <w:rsid w:val="00367CB7"/>
    <w:rsid w:val="003707B1"/>
    <w:rsid w:val="00372ECE"/>
    <w:rsid w:val="00376551"/>
    <w:rsid w:val="00381B64"/>
    <w:rsid w:val="00382BF9"/>
    <w:rsid w:val="00383145"/>
    <w:rsid w:val="003864DE"/>
    <w:rsid w:val="00395317"/>
    <w:rsid w:val="003A36DA"/>
    <w:rsid w:val="003A4E8D"/>
    <w:rsid w:val="003A5E9E"/>
    <w:rsid w:val="003A7BDF"/>
    <w:rsid w:val="003B22CA"/>
    <w:rsid w:val="003B31D4"/>
    <w:rsid w:val="003B3464"/>
    <w:rsid w:val="003B34D1"/>
    <w:rsid w:val="003B435A"/>
    <w:rsid w:val="003B73EE"/>
    <w:rsid w:val="003C3C67"/>
    <w:rsid w:val="003C3C9F"/>
    <w:rsid w:val="003C3E6E"/>
    <w:rsid w:val="003C5B0D"/>
    <w:rsid w:val="003C66B7"/>
    <w:rsid w:val="003C6FFB"/>
    <w:rsid w:val="003C7816"/>
    <w:rsid w:val="003D057A"/>
    <w:rsid w:val="003D0761"/>
    <w:rsid w:val="003D0B43"/>
    <w:rsid w:val="003D1607"/>
    <w:rsid w:val="003D1F51"/>
    <w:rsid w:val="003D2D63"/>
    <w:rsid w:val="003D6844"/>
    <w:rsid w:val="003D68AD"/>
    <w:rsid w:val="003D6C59"/>
    <w:rsid w:val="003D71D3"/>
    <w:rsid w:val="003D7867"/>
    <w:rsid w:val="003E30F0"/>
    <w:rsid w:val="003E507C"/>
    <w:rsid w:val="003F0408"/>
    <w:rsid w:val="003F0666"/>
    <w:rsid w:val="003F1FEE"/>
    <w:rsid w:val="00403EBF"/>
    <w:rsid w:val="004047BB"/>
    <w:rsid w:val="00404E3A"/>
    <w:rsid w:val="00405E90"/>
    <w:rsid w:val="00412489"/>
    <w:rsid w:val="0041267B"/>
    <w:rsid w:val="00412EF2"/>
    <w:rsid w:val="00414238"/>
    <w:rsid w:val="0041714B"/>
    <w:rsid w:val="00417CD9"/>
    <w:rsid w:val="00422D73"/>
    <w:rsid w:val="00423D64"/>
    <w:rsid w:val="0042638A"/>
    <w:rsid w:val="004273F6"/>
    <w:rsid w:val="00431B8C"/>
    <w:rsid w:val="00432E04"/>
    <w:rsid w:val="00433662"/>
    <w:rsid w:val="00437324"/>
    <w:rsid w:val="00437CED"/>
    <w:rsid w:val="0044053D"/>
    <w:rsid w:val="00440E29"/>
    <w:rsid w:val="00442242"/>
    <w:rsid w:val="0044308C"/>
    <w:rsid w:val="004466E0"/>
    <w:rsid w:val="0045098B"/>
    <w:rsid w:val="00450A79"/>
    <w:rsid w:val="00452393"/>
    <w:rsid w:val="00456F98"/>
    <w:rsid w:val="00465249"/>
    <w:rsid w:val="00466D2F"/>
    <w:rsid w:val="00472C05"/>
    <w:rsid w:val="00473CFB"/>
    <w:rsid w:val="0047682B"/>
    <w:rsid w:val="004777ED"/>
    <w:rsid w:val="00480381"/>
    <w:rsid w:val="0048437C"/>
    <w:rsid w:val="00485C7E"/>
    <w:rsid w:val="00485CE1"/>
    <w:rsid w:val="00491C74"/>
    <w:rsid w:val="00495E5D"/>
    <w:rsid w:val="00496050"/>
    <w:rsid w:val="004A2677"/>
    <w:rsid w:val="004A29D1"/>
    <w:rsid w:val="004A4853"/>
    <w:rsid w:val="004A52A3"/>
    <w:rsid w:val="004A752C"/>
    <w:rsid w:val="004B00E2"/>
    <w:rsid w:val="004B10C9"/>
    <w:rsid w:val="004B12B5"/>
    <w:rsid w:val="004B4995"/>
    <w:rsid w:val="004B614B"/>
    <w:rsid w:val="004B7683"/>
    <w:rsid w:val="004C20FF"/>
    <w:rsid w:val="004C2E9B"/>
    <w:rsid w:val="004C4553"/>
    <w:rsid w:val="004C5A46"/>
    <w:rsid w:val="004C6C72"/>
    <w:rsid w:val="004C70C2"/>
    <w:rsid w:val="004D0280"/>
    <w:rsid w:val="004D0B44"/>
    <w:rsid w:val="004D0E71"/>
    <w:rsid w:val="004D17D2"/>
    <w:rsid w:val="004D19C9"/>
    <w:rsid w:val="004D1DD4"/>
    <w:rsid w:val="004D30D8"/>
    <w:rsid w:val="004D6320"/>
    <w:rsid w:val="004E2D46"/>
    <w:rsid w:val="004E5B16"/>
    <w:rsid w:val="004E7B4F"/>
    <w:rsid w:val="004F08BD"/>
    <w:rsid w:val="005005AB"/>
    <w:rsid w:val="00501122"/>
    <w:rsid w:val="0050186E"/>
    <w:rsid w:val="00502771"/>
    <w:rsid w:val="0050331B"/>
    <w:rsid w:val="005053D6"/>
    <w:rsid w:val="00505451"/>
    <w:rsid w:val="00506123"/>
    <w:rsid w:val="00506D49"/>
    <w:rsid w:val="00506ECC"/>
    <w:rsid w:val="00507809"/>
    <w:rsid w:val="00516F57"/>
    <w:rsid w:val="00523344"/>
    <w:rsid w:val="0052596D"/>
    <w:rsid w:val="005259DB"/>
    <w:rsid w:val="00525C84"/>
    <w:rsid w:val="005262EB"/>
    <w:rsid w:val="00531870"/>
    <w:rsid w:val="00532001"/>
    <w:rsid w:val="00532707"/>
    <w:rsid w:val="00535DB2"/>
    <w:rsid w:val="005373D3"/>
    <w:rsid w:val="00541BAD"/>
    <w:rsid w:val="005449E2"/>
    <w:rsid w:val="005463AA"/>
    <w:rsid w:val="005479D5"/>
    <w:rsid w:val="00551101"/>
    <w:rsid w:val="005515B7"/>
    <w:rsid w:val="00551B84"/>
    <w:rsid w:val="00553ACA"/>
    <w:rsid w:val="00553D5F"/>
    <w:rsid w:val="00556322"/>
    <w:rsid w:val="0055792D"/>
    <w:rsid w:val="0056073B"/>
    <w:rsid w:val="00561DF8"/>
    <w:rsid w:val="005637A3"/>
    <w:rsid w:val="00563B20"/>
    <w:rsid w:val="005642CB"/>
    <w:rsid w:val="00566173"/>
    <w:rsid w:val="0056730C"/>
    <w:rsid w:val="005705FE"/>
    <w:rsid w:val="00570F4D"/>
    <w:rsid w:val="00573580"/>
    <w:rsid w:val="00573DA3"/>
    <w:rsid w:val="00574521"/>
    <w:rsid w:val="0057529B"/>
    <w:rsid w:val="00576700"/>
    <w:rsid w:val="005774E3"/>
    <w:rsid w:val="00577AA9"/>
    <w:rsid w:val="00581DB7"/>
    <w:rsid w:val="00582A40"/>
    <w:rsid w:val="00583C09"/>
    <w:rsid w:val="00583E8F"/>
    <w:rsid w:val="00583F51"/>
    <w:rsid w:val="00585308"/>
    <w:rsid w:val="00585650"/>
    <w:rsid w:val="00587922"/>
    <w:rsid w:val="00587A98"/>
    <w:rsid w:val="00596BC0"/>
    <w:rsid w:val="00596BE5"/>
    <w:rsid w:val="0059764D"/>
    <w:rsid w:val="005A0242"/>
    <w:rsid w:val="005A25DD"/>
    <w:rsid w:val="005A4C31"/>
    <w:rsid w:val="005A67B8"/>
    <w:rsid w:val="005A6DED"/>
    <w:rsid w:val="005B30C6"/>
    <w:rsid w:val="005B6A5D"/>
    <w:rsid w:val="005B6E38"/>
    <w:rsid w:val="005C0225"/>
    <w:rsid w:val="005C6095"/>
    <w:rsid w:val="005C682D"/>
    <w:rsid w:val="005D02C6"/>
    <w:rsid w:val="005D0541"/>
    <w:rsid w:val="005D1599"/>
    <w:rsid w:val="005D1AB3"/>
    <w:rsid w:val="005D2D60"/>
    <w:rsid w:val="005D4A0A"/>
    <w:rsid w:val="005D77C4"/>
    <w:rsid w:val="005E0865"/>
    <w:rsid w:val="005E4978"/>
    <w:rsid w:val="005E4A51"/>
    <w:rsid w:val="005E67CC"/>
    <w:rsid w:val="005E69EA"/>
    <w:rsid w:val="005E71BF"/>
    <w:rsid w:val="005E7BC4"/>
    <w:rsid w:val="005F01F1"/>
    <w:rsid w:val="005F03DC"/>
    <w:rsid w:val="005F3657"/>
    <w:rsid w:val="0060199F"/>
    <w:rsid w:val="006033E3"/>
    <w:rsid w:val="006039A6"/>
    <w:rsid w:val="006124C7"/>
    <w:rsid w:val="006135FD"/>
    <w:rsid w:val="0061372C"/>
    <w:rsid w:val="00622FDE"/>
    <w:rsid w:val="00625484"/>
    <w:rsid w:val="00626B87"/>
    <w:rsid w:val="00630C87"/>
    <w:rsid w:val="006358CE"/>
    <w:rsid w:val="00635D04"/>
    <w:rsid w:val="00636070"/>
    <w:rsid w:val="006370E8"/>
    <w:rsid w:val="006403B6"/>
    <w:rsid w:val="00641C77"/>
    <w:rsid w:val="00643830"/>
    <w:rsid w:val="00644E5E"/>
    <w:rsid w:val="006451BA"/>
    <w:rsid w:val="00646271"/>
    <w:rsid w:val="00646A0B"/>
    <w:rsid w:val="00647642"/>
    <w:rsid w:val="00650B2D"/>
    <w:rsid w:val="00651FF0"/>
    <w:rsid w:val="006551A6"/>
    <w:rsid w:val="00655CDF"/>
    <w:rsid w:val="006577AF"/>
    <w:rsid w:val="00657A2D"/>
    <w:rsid w:val="00657B36"/>
    <w:rsid w:val="00657F21"/>
    <w:rsid w:val="00662729"/>
    <w:rsid w:val="00662DE1"/>
    <w:rsid w:val="0066468F"/>
    <w:rsid w:val="00671247"/>
    <w:rsid w:val="006733F4"/>
    <w:rsid w:val="006749E7"/>
    <w:rsid w:val="00680608"/>
    <w:rsid w:val="006815CE"/>
    <w:rsid w:val="00682CD6"/>
    <w:rsid w:val="0068386A"/>
    <w:rsid w:val="00685E45"/>
    <w:rsid w:val="00685F45"/>
    <w:rsid w:val="006866AA"/>
    <w:rsid w:val="00690DD8"/>
    <w:rsid w:val="00694233"/>
    <w:rsid w:val="00694282"/>
    <w:rsid w:val="00694397"/>
    <w:rsid w:val="00695124"/>
    <w:rsid w:val="006A10CF"/>
    <w:rsid w:val="006A6672"/>
    <w:rsid w:val="006A6D5A"/>
    <w:rsid w:val="006B021E"/>
    <w:rsid w:val="006B2FF5"/>
    <w:rsid w:val="006B58BC"/>
    <w:rsid w:val="006B70B6"/>
    <w:rsid w:val="006C0FF9"/>
    <w:rsid w:val="006C2D2F"/>
    <w:rsid w:val="006C6844"/>
    <w:rsid w:val="006C6C92"/>
    <w:rsid w:val="006D1AEA"/>
    <w:rsid w:val="006D3D84"/>
    <w:rsid w:val="006D470C"/>
    <w:rsid w:val="006D600E"/>
    <w:rsid w:val="006E0E33"/>
    <w:rsid w:val="006E4062"/>
    <w:rsid w:val="006E54C7"/>
    <w:rsid w:val="006E7696"/>
    <w:rsid w:val="006F03EB"/>
    <w:rsid w:val="006F0C9B"/>
    <w:rsid w:val="006F2D5B"/>
    <w:rsid w:val="006F6457"/>
    <w:rsid w:val="0070074B"/>
    <w:rsid w:val="00702299"/>
    <w:rsid w:val="00703EEB"/>
    <w:rsid w:val="00712547"/>
    <w:rsid w:val="00713BE9"/>
    <w:rsid w:val="00713D53"/>
    <w:rsid w:val="00714A0E"/>
    <w:rsid w:val="007155D3"/>
    <w:rsid w:val="00721048"/>
    <w:rsid w:val="0072133D"/>
    <w:rsid w:val="00724965"/>
    <w:rsid w:val="007253D5"/>
    <w:rsid w:val="007315BA"/>
    <w:rsid w:val="007317A4"/>
    <w:rsid w:val="00732D3D"/>
    <w:rsid w:val="00734469"/>
    <w:rsid w:val="00734503"/>
    <w:rsid w:val="007351E9"/>
    <w:rsid w:val="00737CC4"/>
    <w:rsid w:val="00742537"/>
    <w:rsid w:val="007652A4"/>
    <w:rsid w:val="00767931"/>
    <w:rsid w:val="00767B23"/>
    <w:rsid w:val="00767B69"/>
    <w:rsid w:val="00770115"/>
    <w:rsid w:val="007712F7"/>
    <w:rsid w:val="00774422"/>
    <w:rsid w:val="007745EF"/>
    <w:rsid w:val="007756C4"/>
    <w:rsid w:val="00780C77"/>
    <w:rsid w:val="00781073"/>
    <w:rsid w:val="00783189"/>
    <w:rsid w:val="00783A60"/>
    <w:rsid w:val="00783AE9"/>
    <w:rsid w:val="00784059"/>
    <w:rsid w:val="007851CA"/>
    <w:rsid w:val="00786B2B"/>
    <w:rsid w:val="007902C0"/>
    <w:rsid w:val="00792DCE"/>
    <w:rsid w:val="007934BC"/>
    <w:rsid w:val="00794981"/>
    <w:rsid w:val="007968C9"/>
    <w:rsid w:val="007978E0"/>
    <w:rsid w:val="007A25BB"/>
    <w:rsid w:val="007A280D"/>
    <w:rsid w:val="007A2F18"/>
    <w:rsid w:val="007A39E5"/>
    <w:rsid w:val="007A5B70"/>
    <w:rsid w:val="007B0347"/>
    <w:rsid w:val="007B231D"/>
    <w:rsid w:val="007B2424"/>
    <w:rsid w:val="007B39B8"/>
    <w:rsid w:val="007B3A8B"/>
    <w:rsid w:val="007B45A6"/>
    <w:rsid w:val="007B7022"/>
    <w:rsid w:val="007C36CB"/>
    <w:rsid w:val="007C4D3E"/>
    <w:rsid w:val="007C581D"/>
    <w:rsid w:val="007C59B4"/>
    <w:rsid w:val="007C715F"/>
    <w:rsid w:val="007D055F"/>
    <w:rsid w:val="007D0F52"/>
    <w:rsid w:val="007D42FD"/>
    <w:rsid w:val="007D70AC"/>
    <w:rsid w:val="007E0DBB"/>
    <w:rsid w:val="007E5707"/>
    <w:rsid w:val="007E6BC7"/>
    <w:rsid w:val="007F4B02"/>
    <w:rsid w:val="007F6BD8"/>
    <w:rsid w:val="007F7493"/>
    <w:rsid w:val="007F7732"/>
    <w:rsid w:val="00800566"/>
    <w:rsid w:val="00800A1B"/>
    <w:rsid w:val="00802841"/>
    <w:rsid w:val="00802DBA"/>
    <w:rsid w:val="0080478C"/>
    <w:rsid w:val="00805DF7"/>
    <w:rsid w:val="008113EA"/>
    <w:rsid w:val="008123D9"/>
    <w:rsid w:val="0081254B"/>
    <w:rsid w:val="008126CC"/>
    <w:rsid w:val="00814C84"/>
    <w:rsid w:val="00820CB1"/>
    <w:rsid w:val="008243A6"/>
    <w:rsid w:val="00824991"/>
    <w:rsid w:val="00825724"/>
    <w:rsid w:val="00830EB9"/>
    <w:rsid w:val="00832526"/>
    <w:rsid w:val="008339D5"/>
    <w:rsid w:val="008354CB"/>
    <w:rsid w:val="00837C4E"/>
    <w:rsid w:val="0084007B"/>
    <w:rsid w:val="00841004"/>
    <w:rsid w:val="00841A26"/>
    <w:rsid w:val="00847E5C"/>
    <w:rsid w:val="00853410"/>
    <w:rsid w:val="00854A95"/>
    <w:rsid w:val="0085537F"/>
    <w:rsid w:val="0085565A"/>
    <w:rsid w:val="00855C63"/>
    <w:rsid w:val="00856190"/>
    <w:rsid w:val="008569D7"/>
    <w:rsid w:val="00864D70"/>
    <w:rsid w:val="00867B3C"/>
    <w:rsid w:val="008720CA"/>
    <w:rsid w:val="00874FE6"/>
    <w:rsid w:val="00876B60"/>
    <w:rsid w:val="00876C50"/>
    <w:rsid w:val="0087702A"/>
    <w:rsid w:val="0088049E"/>
    <w:rsid w:val="00881D48"/>
    <w:rsid w:val="00881F16"/>
    <w:rsid w:val="008821D8"/>
    <w:rsid w:val="00885232"/>
    <w:rsid w:val="008865B4"/>
    <w:rsid w:val="008866F8"/>
    <w:rsid w:val="00890944"/>
    <w:rsid w:val="008910FF"/>
    <w:rsid w:val="00894670"/>
    <w:rsid w:val="00895374"/>
    <w:rsid w:val="0089789D"/>
    <w:rsid w:val="008A3D33"/>
    <w:rsid w:val="008A3F5C"/>
    <w:rsid w:val="008A5611"/>
    <w:rsid w:val="008B2ECA"/>
    <w:rsid w:val="008B3766"/>
    <w:rsid w:val="008C0BCC"/>
    <w:rsid w:val="008C2864"/>
    <w:rsid w:val="008C32DE"/>
    <w:rsid w:val="008C4CB7"/>
    <w:rsid w:val="008C64D2"/>
    <w:rsid w:val="008C7A13"/>
    <w:rsid w:val="008D0D05"/>
    <w:rsid w:val="008D257A"/>
    <w:rsid w:val="008D5FF3"/>
    <w:rsid w:val="008D7D9A"/>
    <w:rsid w:val="008E0BF3"/>
    <w:rsid w:val="008E2207"/>
    <w:rsid w:val="008E411A"/>
    <w:rsid w:val="008E7347"/>
    <w:rsid w:val="008F08C8"/>
    <w:rsid w:val="008F10E7"/>
    <w:rsid w:val="008F14BF"/>
    <w:rsid w:val="008F5020"/>
    <w:rsid w:val="00902359"/>
    <w:rsid w:val="009029E0"/>
    <w:rsid w:val="00903A40"/>
    <w:rsid w:val="0090429D"/>
    <w:rsid w:val="009047BB"/>
    <w:rsid w:val="00906EC5"/>
    <w:rsid w:val="00915E49"/>
    <w:rsid w:val="00921481"/>
    <w:rsid w:val="00921A4E"/>
    <w:rsid w:val="00921F7A"/>
    <w:rsid w:val="00925BE5"/>
    <w:rsid w:val="0092643D"/>
    <w:rsid w:val="00931E4A"/>
    <w:rsid w:val="0093203E"/>
    <w:rsid w:val="0093246E"/>
    <w:rsid w:val="009366DD"/>
    <w:rsid w:val="0094250D"/>
    <w:rsid w:val="00942BD3"/>
    <w:rsid w:val="009462D9"/>
    <w:rsid w:val="00946D12"/>
    <w:rsid w:val="00954D7E"/>
    <w:rsid w:val="00961110"/>
    <w:rsid w:val="009642D5"/>
    <w:rsid w:val="00964945"/>
    <w:rsid w:val="00974A54"/>
    <w:rsid w:val="00975947"/>
    <w:rsid w:val="00987C42"/>
    <w:rsid w:val="00990AC6"/>
    <w:rsid w:val="00991180"/>
    <w:rsid w:val="00996921"/>
    <w:rsid w:val="00997752"/>
    <w:rsid w:val="009A1B53"/>
    <w:rsid w:val="009A60AC"/>
    <w:rsid w:val="009A6B65"/>
    <w:rsid w:val="009A7AED"/>
    <w:rsid w:val="009B10B4"/>
    <w:rsid w:val="009B27FF"/>
    <w:rsid w:val="009B2EB0"/>
    <w:rsid w:val="009B417E"/>
    <w:rsid w:val="009B4E56"/>
    <w:rsid w:val="009B6212"/>
    <w:rsid w:val="009B642B"/>
    <w:rsid w:val="009C2327"/>
    <w:rsid w:val="009C5133"/>
    <w:rsid w:val="009C57CC"/>
    <w:rsid w:val="009D2719"/>
    <w:rsid w:val="009D4940"/>
    <w:rsid w:val="009D4C5B"/>
    <w:rsid w:val="009E2E49"/>
    <w:rsid w:val="009E5E41"/>
    <w:rsid w:val="009F4008"/>
    <w:rsid w:val="009F4717"/>
    <w:rsid w:val="009F4F0E"/>
    <w:rsid w:val="009F6921"/>
    <w:rsid w:val="00A043BB"/>
    <w:rsid w:val="00A0589A"/>
    <w:rsid w:val="00A06EA1"/>
    <w:rsid w:val="00A11938"/>
    <w:rsid w:val="00A14699"/>
    <w:rsid w:val="00A17D02"/>
    <w:rsid w:val="00A17D68"/>
    <w:rsid w:val="00A2136F"/>
    <w:rsid w:val="00A215A5"/>
    <w:rsid w:val="00A221E9"/>
    <w:rsid w:val="00A23336"/>
    <w:rsid w:val="00A23593"/>
    <w:rsid w:val="00A24C69"/>
    <w:rsid w:val="00A25251"/>
    <w:rsid w:val="00A26CFB"/>
    <w:rsid w:val="00A30B56"/>
    <w:rsid w:val="00A3210B"/>
    <w:rsid w:val="00A32CF5"/>
    <w:rsid w:val="00A33315"/>
    <w:rsid w:val="00A33B9D"/>
    <w:rsid w:val="00A36826"/>
    <w:rsid w:val="00A375D3"/>
    <w:rsid w:val="00A407AB"/>
    <w:rsid w:val="00A4213B"/>
    <w:rsid w:val="00A46B8D"/>
    <w:rsid w:val="00A476F8"/>
    <w:rsid w:val="00A56BB2"/>
    <w:rsid w:val="00A57A83"/>
    <w:rsid w:val="00A60476"/>
    <w:rsid w:val="00A65B0E"/>
    <w:rsid w:val="00A67A3E"/>
    <w:rsid w:val="00A733E3"/>
    <w:rsid w:val="00A74C55"/>
    <w:rsid w:val="00A77B5E"/>
    <w:rsid w:val="00A77E8E"/>
    <w:rsid w:val="00A818BE"/>
    <w:rsid w:val="00A83347"/>
    <w:rsid w:val="00A83BA2"/>
    <w:rsid w:val="00A84320"/>
    <w:rsid w:val="00A848D8"/>
    <w:rsid w:val="00A84BB1"/>
    <w:rsid w:val="00A8526E"/>
    <w:rsid w:val="00A85E1D"/>
    <w:rsid w:val="00A86BF7"/>
    <w:rsid w:val="00A86EEE"/>
    <w:rsid w:val="00A908C8"/>
    <w:rsid w:val="00A922E2"/>
    <w:rsid w:val="00A9264D"/>
    <w:rsid w:val="00A94F99"/>
    <w:rsid w:val="00A95FDC"/>
    <w:rsid w:val="00AA0E4F"/>
    <w:rsid w:val="00AA14CB"/>
    <w:rsid w:val="00AA3272"/>
    <w:rsid w:val="00AA5622"/>
    <w:rsid w:val="00AA5DF3"/>
    <w:rsid w:val="00AA6CB4"/>
    <w:rsid w:val="00AB79FA"/>
    <w:rsid w:val="00AC0F04"/>
    <w:rsid w:val="00AC4AF3"/>
    <w:rsid w:val="00AC6411"/>
    <w:rsid w:val="00AC7887"/>
    <w:rsid w:val="00AD1DFD"/>
    <w:rsid w:val="00AD25A0"/>
    <w:rsid w:val="00AD4252"/>
    <w:rsid w:val="00AD5E1F"/>
    <w:rsid w:val="00AE05EA"/>
    <w:rsid w:val="00AE7065"/>
    <w:rsid w:val="00AE7AF4"/>
    <w:rsid w:val="00AF4703"/>
    <w:rsid w:val="00AF6062"/>
    <w:rsid w:val="00AF7093"/>
    <w:rsid w:val="00B020D0"/>
    <w:rsid w:val="00B0365B"/>
    <w:rsid w:val="00B055C5"/>
    <w:rsid w:val="00B05D3B"/>
    <w:rsid w:val="00B06E74"/>
    <w:rsid w:val="00B12C95"/>
    <w:rsid w:val="00B136F3"/>
    <w:rsid w:val="00B3127C"/>
    <w:rsid w:val="00B32A8C"/>
    <w:rsid w:val="00B36057"/>
    <w:rsid w:val="00B37FBF"/>
    <w:rsid w:val="00B4323B"/>
    <w:rsid w:val="00B514B2"/>
    <w:rsid w:val="00B55F79"/>
    <w:rsid w:val="00B568BE"/>
    <w:rsid w:val="00B56B3D"/>
    <w:rsid w:val="00B57E84"/>
    <w:rsid w:val="00B607DC"/>
    <w:rsid w:val="00B616DA"/>
    <w:rsid w:val="00B75443"/>
    <w:rsid w:val="00B760F8"/>
    <w:rsid w:val="00B767EE"/>
    <w:rsid w:val="00B816CF"/>
    <w:rsid w:val="00B824AC"/>
    <w:rsid w:val="00B84E89"/>
    <w:rsid w:val="00B8550D"/>
    <w:rsid w:val="00B87D2F"/>
    <w:rsid w:val="00B92BB5"/>
    <w:rsid w:val="00B933B3"/>
    <w:rsid w:val="00B95B9B"/>
    <w:rsid w:val="00B96504"/>
    <w:rsid w:val="00B96C47"/>
    <w:rsid w:val="00BA071A"/>
    <w:rsid w:val="00BA1001"/>
    <w:rsid w:val="00BA16AB"/>
    <w:rsid w:val="00BA1EF5"/>
    <w:rsid w:val="00BA2906"/>
    <w:rsid w:val="00BA4BDD"/>
    <w:rsid w:val="00BA4C94"/>
    <w:rsid w:val="00BA5000"/>
    <w:rsid w:val="00BA5356"/>
    <w:rsid w:val="00BA6734"/>
    <w:rsid w:val="00BB05FC"/>
    <w:rsid w:val="00BB1E23"/>
    <w:rsid w:val="00BB2232"/>
    <w:rsid w:val="00BB2B5E"/>
    <w:rsid w:val="00BB3F89"/>
    <w:rsid w:val="00BB5DAA"/>
    <w:rsid w:val="00BC15B1"/>
    <w:rsid w:val="00BC1ADD"/>
    <w:rsid w:val="00BC3F3A"/>
    <w:rsid w:val="00BC55F8"/>
    <w:rsid w:val="00BC5721"/>
    <w:rsid w:val="00BC5FE8"/>
    <w:rsid w:val="00BC62D5"/>
    <w:rsid w:val="00BC6B55"/>
    <w:rsid w:val="00BC740E"/>
    <w:rsid w:val="00BD096E"/>
    <w:rsid w:val="00BD1A47"/>
    <w:rsid w:val="00BD467C"/>
    <w:rsid w:val="00BD485E"/>
    <w:rsid w:val="00BD4FB9"/>
    <w:rsid w:val="00BD5025"/>
    <w:rsid w:val="00BD5517"/>
    <w:rsid w:val="00BD6952"/>
    <w:rsid w:val="00BD77CA"/>
    <w:rsid w:val="00BE002B"/>
    <w:rsid w:val="00BE038A"/>
    <w:rsid w:val="00BE28D5"/>
    <w:rsid w:val="00BE4160"/>
    <w:rsid w:val="00BE5AD8"/>
    <w:rsid w:val="00BE638F"/>
    <w:rsid w:val="00BE6F8E"/>
    <w:rsid w:val="00BF0C50"/>
    <w:rsid w:val="00BF33E7"/>
    <w:rsid w:val="00BF3670"/>
    <w:rsid w:val="00BF5FA5"/>
    <w:rsid w:val="00C00BB3"/>
    <w:rsid w:val="00C01753"/>
    <w:rsid w:val="00C01B34"/>
    <w:rsid w:val="00C03329"/>
    <w:rsid w:val="00C05096"/>
    <w:rsid w:val="00C05B68"/>
    <w:rsid w:val="00C07775"/>
    <w:rsid w:val="00C14289"/>
    <w:rsid w:val="00C16C0D"/>
    <w:rsid w:val="00C17808"/>
    <w:rsid w:val="00C22817"/>
    <w:rsid w:val="00C27DA0"/>
    <w:rsid w:val="00C30C5E"/>
    <w:rsid w:val="00C3120C"/>
    <w:rsid w:val="00C3153D"/>
    <w:rsid w:val="00C36202"/>
    <w:rsid w:val="00C4106F"/>
    <w:rsid w:val="00C429C1"/>
    <w:rsid w:val="00C4386C"/>
    <w:rsid w:val="00C50C2C"/>
    <w:rsid w:val="00C53CF3"/>
    <w:rsid w:val="00C55DDB"/>
    <w:rsid w:val="00C6474F"/>
    <w:rsid w:val="00C66B90"/>
    <w:rsid w:val="00C6778A"/>
    <w:rsid w:val="00C679A9"/>
    <w:rsid w:val="00C7067E"/>
    <w:rsid w:val="00C70759"/>
    <w:rsid w:val="00C74B8B"/>
    <w:rsid w:val="00C77E0C"/>
    <w:rsid w:val="00C80A95"/>
    <w:rsid w:val="00C82089"/>
    <w:rsid w:val="00C826F4"/>
    <w:rsid w:val="00C8518D"/>
    <w:rsid w:val="00C8569C"/>
    <w:rsid w:val="00C927A7"/>
    <w:rsid w:val="00C92BDD"/>
    <w:rsid w:val="00C92E24"/>
    <w:rsid w:val="00C93058"/>
    <w:rsid w:val="00C947F5"/>
    <w:rsid w:val="00C96A55"/>
    <w:rsid w:val="00CA2860"/>
    <w:rsid w:val="00CA43F8"/>
    <w:rsid w:val="00CB1CCE"/>
    <w:rsid w:val="00CB355A"/>
    <w:rsid w:val="00CB452B"/>
    <w:rsid w:val="00CB49F5"/>
    <w:rsid w:val="00CB6370"/>
    <w:rsid w:val="00CC6D3D"/>
    <w:rsid w:val="00CD1F16"/>
    <w:rsid w:val="00CD4214"/>
    <w:rsid w:val="00CD5F52"/>
    <w:rsid w:val="00CD69EA"/>
    <w:rsid w:val="00CD7174"/>
    <w:rsid w:val="00CE01AD"/>
    <w:rsid w:val="00CE395C"/>
    <w:rsid w:val="00CE5B6F"/>
    <w:rsid w:val="00CE5BC8"/>
    <w:rsid w:val="00CE5D85"/>
    <w:rsid w:val="00CF1D84"/>
    <w:rsid w:val="00CF5F74"/>
    <w:rsid w:val="00D01597"/>
    <w:rsid w:val="00D0189B"/>
    <w:rsid w:val="00D0338E"/>
    <w:rsid w:val="00D0451F"/>
    <w:rsid w:val="00D1220B"/>
    <w:rsid w:val="00D12ADF"/>
    <w:rsid w:val="00D14688"/>
    <w:rsid w:val="00D147D1"/>
    <w:rsid w:val="00D15227"/>
    <w:rsid w:val="00D15DCB"/>
    <w:rsid w:val="00D2235B"/>
    <w:rsid w:val="00D23BCA"/>
    <w:rsid w:val="00D25995"/>
    <w:rsid w:val="00D268E5"/>
    <w:rsid w:val="00D30496"/>
    <w:rsid w:val="00D310C0"/>
    <w:rsid w:val="00D31BAC"/>
    <w:rsid w:val="00D32343"/>
    <w:rsid w:val="00D32E8C"/>
    <w:rsid w:val="00D34C77"/>
    <w:rsid w:val="00D34FAA"/>
    <w:rsid w:val="00D35BCE"/>
    <w:rsid w:val="00D363C4"/>
    <w:rsid w:val="00D36872"/>
    <w:rsid w:val="00D36CC7"/>
    <w:rsid w:val="00D37311"/>
    <w:rsid w:val="00D454D4"/>
    <w:rsid w:val="00D47A6F"/>
    <w:rsid w:val="00D51140"/>
    <w:rsid w:val="00D52FE2"/>
    <w:rsid w:val="00D557DF"/>
    <w:rsid w:val="00D55C8B"/>
    <w:rsid w:val="00D56A08"/>
    <w:rsid w:val="00D56A7D"/>
    <w:rsid w:val="00D57C84"/>
    <w:rsid w:val="00D6055B"/>
    <w:rsid w:val="00D61F97"/>
    <w:rsid w:val="00D63C00"/>
    <w:rsid w:val="00D652CA"/>
    <w:rsid w:val="00D70528"/>
    <w:rsid w:val="00D730DC"/>
    <w:rsid w:val="00D735A5"/>
    <w:rsid w:val="00D744C4"/>
    <w:rsid w:val="00D76C44"/>
    <w:rsid w:val="00D772E6"/>
    <w:rsid w:val="00D7759B"/>
    <w:rsid w:val="00D803F9"/>
    <w:rsid w:val="00D81C65"/>
    <w:rsid w:val="00D82ECA"/>
    <w:rsid w:val="00D8364C"/>
    <w:rsid w:val="00D87022"/>
    <w:rsid w:val="00D90A8C"/>
    <w:rsid w:val="00D91B2B"/>
    <w:rsid w:val="00D92C31"/>
    <w:rsid w:val="00D9391D"/>
    <w:rsid w:val="00D94FE1"/>
    <w:rsid w:val="00DA04AA"/>
    <w:rsid w:val="00DA173D"/>
    <w:rsid w:val="00DA30BF"/>
    <w:rsid w:val="00DA421A"/>
    <w:rsid w:val="00DA6C14"/>
    <w:rsid w:val="00DA6C33"/>
    <w:rsid w:val="00DA76DE"/>
    <w:rsid w:val="00DA79A0"/>
    <w:rsid w:val="00DB062C"/>
    <w:rsid w:val="00DB131F"/>
    <w:rsid w:val="00DB1552"/>
    <w:rsid w:val="00DC407C"/>
    <w:rsid w:val="00DC411F"/>
    <w:rsid w:val="00DD1BD3"/>
    <w:rsid w:val="00DD3BFB"/>
    <w:rsid w:val="00DE483E"/>
    <w:rsid w:val="00DE7B33"/>
    <w:rsid w:val="00DF0848"/>
    <w:rsid w:val="00DF0AC9"/>
    <w:rsid w:val="00DF3B29"/>
    <w:rsid w:val="00DF651B"/>
    <w:rsid w:val="00DF6A6C"/>
    <w:rsid w:val="00E072CC"/>
    <w:rsid w:val="00E1172E"/>
    <w:rsid w:val="00E118B9"/>
    <w:rsid w:val="00E21401"/>
    <w:rsid w:val="00E21A29"/>
    <w:rsid w:val="00E252BE"/>
    <w:rsid w:val="00E25933"/>
    <w:rsid w:val="00E25E31"/>
    <w:rsid w:val="00E26395"/>
    <w:rsid w:val="00E3052E"/>
    <w:rsid w:val="00E30E18"/>
    <w:rsid w:val="00E32574"/>
    <w:rsid w:val="00E34CF5"/>
    <w:rsid w:val="00E367FC"/>
    <w:rsid w:val="00E43A60"/>
    <w:rsid w:val="00E4461C"/>
    <w:rsid w:val="00E459BA"/>
    <w:rsid w:val="00E4666B"/>
    <w:rsid w:val="00E46B38"/>
    <w:rsid w:val="00E501E2"/>
    <w:rsid w:val="00E52667"/>
    <w:rsid w:val="00E53716"/>
    <w:rsid w:val="00E541FF"/>
    <w:rsid w:val="00E54A87"/>
    <w:rsid w:val="00E55ECD"/>
    <w:rsid w:val="00E564A0"/>
    <w:rsid w:val="00E62BA2"/>
    <w:rsid w:val="00E645DC"/>
    <w:rsid w:val="00E647D6"/>
    <w:rsid w:val="00E64FF4"/>
    <w:rsid w:val="00E65004"/>
    <w:rsid w:val="00E715FF"/>
    <w:rsid w:val="00E7452F"/>
    <w:rsid w:val="00E74608"/>
    <w:rsid w:val="00E77F03"/>
    <w:rsid w:val="00E9082A"/>
    <w:rsid w:val="00E9082D"/>
    <w:rsid w:val="00E90B28"/>
    <w:rsid w:val="00E913BE"/>
    <w:rsid w:val="00E91741"/>
    <w:rsid w:val="00E91812"/>
    <w:rsid w:val="00E954E6"/>
    <w:rsid w:val="00E9679D"/>
    <w:rsid w:val="00EA08CD"/>
    <w:rsid w:val="00EA1DAC"/>
    <w:rsid w:val="00EA1FD2"/>
    <w:rsid w:val="00EA2998"/>
    <w:rsid w:val="00EA3516"/>
    <w:rsid w:val="00EA3A87"/>
    <w:rsid w:val="00EA58D2"/>
    <w:rsid w:val="00EA5B10"/>
    <w:rsid w:val="00EA6AEC"/>
    <w:rsid w:val="00EB3CAC"/>
    <w:rsid w:val="00EB3D04"/>
    <w:rsid w:val="00EB5569"/>
    <w:rsid w:val="00EB77CF"/>
    <w:rsid w:val="00EC09E1"/>
    <w:rsid w:val="00EC2F15"/>
    <w:rsid w:val="00EC422D"/>
    <w:rsid w:val="00ED00CB"/>
    <w:rsid w:val="00ED093F"/>
    <w:rsid w:val="00ED157B"/>
    <w:rsid w:val="00ED1EE7"/>
    <w:rsid w:val="00ED32F1"/>
    <w:rsid w:val="00ED69B4"/>
    <w:rsid w:val="00ED7020"/>
    <w:rsid w:val="00EE0782"/>
    <w:rsid w:val="00EE4693"/>
    <w:rsid w:val="00EE5894"/>
    <w:rsid w:val="00EE660A"/>
    <w:rsid w:val="00EE7EC4"/>
    <w:rsid w:val="00EF4B05"/>
    <w:rsid w:val="00EF656D"/>
    <w:rsid w:val="00F024FD"/>
    <w:rsid w:val="00F0298D"/>
    <w:rsid w:val="00F050BF"/>
    <w:rsid w:val="00F0511E"/>
    <w:rsid w:val="00F059E4"/>
    <w:rsid w:val="00F074CC"/>
    <w:rsid w:val="00F10B19"/>
    <w:rsid w:val="00F1275E"/>
    <w:rsid w:val="00F1289F"/>
    <w:rsid w:val="00F13F46"/>
    <w:rsid w:val="00F20433"/>
    <w:rsid w:val="00F24BF8"/>
    <w:rsid w:val="00F271F9"/>
    <w:rsid w:val="00F27D3A"/>
    <w:rsid w:val="00F333DB"/>
    <w:rsid w:val="00F34E58"/>
    <w:rsid w:val="00F360AF"/>
    <w:rsid w:val="00F36C5C"/>
    <w:rsid w:val="00F375F5"/>
    <w:rsid w:val="00F376CD"/>
    <w:rsid w:val="00F37910"/>
    <w:rsid w:val="00F4044B"/>
    <w:rsid w:val="00F4258D"/>
    <w:rsid w:val="00F42608"/>
    <w:rsid w:val="00F43235"/>
    <w:rsid w:val="00F44694"/>
    <w:rsid w:val="00F448C3"/>
    <w:rsid w:val="00F47F7D"/>
    <w:rsid w:val="00F5175C"/>
    <w:rsid w:val="00F523EF"/>
    <w:rsid w:val="00F52E54"/>
    <w:rsid w:val="00F60824"/>
    <w:rsid w:val="00F610C0"/>
    <w:rsid w:val="00F61D5A"/>
    <w:rsid w:val="00F64B84"/>
    <w:rsid w:val="00F666B4"/>
    <w:rsid w:val="00F6765F"/>
    <w:rsid w:val="00F70B03"/>
    <w:rsid w:val="00F71FE1"/>
    <w:rsid w:val="00F72424"/>
    <w:rsid w:val="00F724CB"/>
    <w:rsid w:val="00F72982"/>
    <w:rsid w:val="00F76E5A"/>
    <w:rsid w:val="00F7789E"/>
    <w:rsid w:val="00F81A13"/>
    <w:rsid w:val="00F82C47"/>
    <w:rsid w:val="00F8308A"/>
    <w:rsid w:val="00F83DBF"/>
    <w:rsid w:val="00F849BA"/>
    <w:rsid w:val="00F86C40"/>
    <w:rsid w:val="00F9205F"/>
    <w:rsid w:val="00F96BD4"/>
    <w:rsid w:val="00F96EC8"/>
    <w:rsid w:val="00FA146E"/>
    <w:rsid w:val="00FA6C71"/>
    <w:rsid w:val="00FA6FC0"/>
    <w:rsid w:val="00FA70CC"/>
    <w:rsid w:val="00FB0DFE"/>
    <w:rsid w:val="00FB234C"/>
    <w:rsid w:val="00FB3C9B"/>
    <w:rsid w:val="00FB452B"/>
    <w:rsid w:val="00FB46EF"/>
    <w:rsid w:val="00FB4E4A"/>
    <w:rsid w:val="00FB4FFE"/>
    <w:rsid w:val="00FB6F1F"/>
    <w:rsid w:val="00FC1A04"/>
    <w:rsid w:val="00FC3D71"/>
    <w:rsid w:val="00FC469F"/>
    <w:rsid w:val="00FC59D0"/>
    <w:rsid w:val="00FC5A51"/>
    <w:rsid w:val="00FD1065"/>
    <w:rsid w:val="00FD137C"/>
    <w:rsid w:val="00FD3F44"/>
    <w:rsid w:val="00FD44A5"/>
    <w:rsid w:val="00FD4F11"/>
    <w:rsid w:val="00FD5AD5"/>
    <w:rsid w:val="00FE0A22"/>
    <w:rsid w:val="00FE0EA2"/>
    <w:rsid w:val="00FE144B"/>
    <w:rsid w:val="00FE1BC7"/>
    <w:rsid w:val="00FE45BA"/>
    <w:rsid w:val="00FE46CF"/>
    <w:rsid w:val="00FE5585"/>
    <w:rsid w:val="00FE646D"/>
    <w:rsid w:val="00FE77E8"/>
    <w:rsid w:val="00FE7A27"/>
    <w:rsid w:val="00FF09B0"/>
    <w:rsid w:val="00FF1546"/>
    <w:rsid w:val="00FF158D"/>
    <w:rsid w:val="00FF23D3"/>
    <w:rsid w:val="00FF3BFD"/>
    <w:rsid w:val="00FF65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E3E238"/>
  <w15:docId w15:val="{5A33BDC4-C933-40DB-AE55-9477DC5A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5374"/>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895374"/>
    <w:pPr>
      <w:spacing w:before="58" w:after="58"/>
      <w:ind w:firstLine="288"/>
      <w:jc w:val="both"/>
    </w:pPr>
  </w:style>
  <w:style w:type="paragraph" w:customStyle="1" w:styleId="naiskr">
    <w:name w:val="naiskr"/>
    <w:basedOn w:val="Parasts"/>
    <w:rsid w:val="00895374"/>
    <w:pPr>
      <w:spacing w:before="58" w:after="58"/>
    </w:pPr>
  </w:style>
  <w:style w:type="paragraph" w:customStyle="1" w:styleId="naisc">
    <w:name w:val="naisc"/>
    <w:basedOn w:val="Parasts"/>
    <w:rsid w:val="00895374"/>
    <w:pPr>
      <w:spacing w:before="58" w:after="58"/>
      <w:jc w:val="center"/>
    </w:pPr>
  </w:style>
  <w:style w:type="character" w:styleId="Hipersaite">
    <w:name w:val="Hyperlink"/>
    <w:rsid w:val="00895374"/>
    <w:rPr>
      <w:color w:val="0000FF"/>
      <w:u w:val="single"/>
    </w:rPr>
  </w:style>
  <w:style w:type="paragraph" w:styleId="Paraststmeklis">
    <w:name w:val="Normal (Web)"/>
    <w:basedOn w:val="Parasts"/>
    <w:uiPriority w:val="99"/>
    <w:rsid w:val="00895374"/>
    <w:pPr>
      <w:spacing w:before="100" w:beforeAutospacing="1" w:after="100" w:afterAutospacing="1"/>
    </w:pPr>
    <w:rPr>
      <w:rFonts w:eastAsia="Arial Unicode MS"/>
      <w:lang w:val="en-GB" w:eastAsia="en-US"/>
    </w:rPr>
  </w:style>
  <w:style w:type="paragraph" w:styleId="Galvene">
    <w:name w:val="header"/>
    <w:basedOn w:val="Parasts"/>
    <w:link w:val="GalveneRakstz"/>
    <w:uiPriority w:val="99"/>
    <w:unhideWhenUsed/>
    <w:rsid w:val="006451BA"/>
    <w:pPr>
      <w:tabs>
        <w:tab w:val="center" w:pos="4153"/>
        <w:tab w:val="right" w:pos="8306"/>
      </w:tabs>
    </w:pPr>
  </w:style>
  <w:style w:type="character" w:customStyle="1" w:styleId="GalveneRakstz">
    <w:name w:val="Galvene Rakstz."/>
    <w:basedOn w:val="Noklusjumarindkopasfonts"/>
    <w:link w:val="Galvene"/>
    <w:uiPriority w:val="99"/>
    <w:rsid w:val="006451BA"/>
    <w:rPr>
      <w:rFonts w:ascii="Times New Roman" w:eastAsia="Times New Roman" w:hAnsi="Times New Roman" w:cs="Times New Roman"/>
      <w:sz w:val="24"/>
      <w:szCs w:val="24"/>
      <w:lang w:val="lv-LV" w:eastAsia="lv-LV"/>
    </w:rPr>
  </w:style>
  <w:style w:type="paragraph" w:styleId="Kjene">
    <w:name w:val="footer"/>
    <w:basedOn w:val="Parasts"/>
    <w:link w:val="KjeneRakstz"/>
    <w:unhideWhenUsed/>
    <w:rsid w:val="006451BA"/>
    <w:pPr>
      <w:tabs>
        <w:tab w:val="center" w:pos="4153"/>
        <w:tab w:val="right" w:pos="8306"/>
      </w:tabs>
    </w:pPr>
  </w:style>
  <w:style w:type="character" w:customStyle="1" w:styleId="KjeneRakstz">
    <w:name w:val="Kājene Rakstz."/>
    <w:basedOn w:val="Noklusjumarindkopasfonts"/>
    <w:link w:val="Kjene"/>
    <w:rsid w:val="006451BA"/>
    <w:rPr>
      <w:rFonts w:ascii="Times New Roman" w:eastAsia="Times New Roman" w:hAnsi="Times New Roman" w:cs="Times New Roman"/>
      <w:sz w:val="24"/>
      <w:szCs w:val="24"/>
      <w:lang w:val="lv-LV" w:eastAsia="lv-LV"/>
    </w:rPr>
  </w:style>
  <w:style w:type="paragraph" w:styleId="Balonteksts">
    <w:name w:val="Balloon Text"/>
    <w:basedOn w:val="Parasts"/>
    <w:link w:val="BalontekstsRakstz"/>
    <w:uiPriority w:val="99"/>
    <w:semiHidden/>
    <w:unhideWhenUsed/>
    <w:rsid w:val="00876C5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6C50"/>
    <w:rPr>
      <w:rFonts w:ascii="Segoe UI" w:eastAsia="Times New Roman" w:hAnsi="Segoe UI" w:cs="Segoe UI"/>
      <w:sz w:val="18"/>
      <w:szCs w:val="18"/>
      <w:lang w:val="lv-LV" w:eastAsia="lv-LV"/>
    </w:rPr>
  </w:style>
  <w:style w:type="paragraph" w:styleId="Sarakstarindkopa">
    <w:name w:val="List Paragraph"/>
    <w:aliases w:val="H&amp;P List Paragraph,2"/>
    <w:basedOn w:val="Parasts"/>
    <w:link w:val="SarakstarindkopaRakstz"/>
    <w:uiPriority w:val="34"/>
    <w:qFormat/>
    <w:rsid w:val="00FE0A22"/>
    <w:pPr>
      <w:ind w:left="720"/>
      <w:contextualSpacing/>
    </w:pPr>
  </w:style>
  <w:style w:type="character" w:styleId="Izteiksmgs">
    <w:name w:val="Strong"/>
    <w:basedOn w:val="Noklusjumarindkopasfonts"/>
    <w:uiPriority w:val="22"/>
    <w:qFormat/>
    <w:rsid w:val="00F059E4"/>
    <w:rPr>
      <w:b/>
      <w:bCs/>
    </w:rPr>
  </w:style>
  <w:style w:type="character" w:customStyle="1" w:styleId="apple-converted-space">
    <w:name w:val="apple-converted-space"/>
    <w:basedOn w:val="Noklusjumarindkopasfonts"/>
    <w:rsid w:val="00F059E4"/>
  </w:style>
  <w:style w:type="character" w:styleId="Izclums">
    <w:name w:val="Emphasis"/>
    <w:basedOn w:val="Noklusjumarindkopasfonts"/>
    <w:uiPriority w:val="20"/>
    <w:qFormat/>
    <w:rsid w:val="00F059E4"/>
    <w:rPr>
      <w:i/>
      <w:iCs/>
    </w:rPr>
  </w:style>
  <w:style w:type="paragraph" w:styleId="Bezatstarpm">
    <w:name w:val="No Spacing"/>
    <w:qFormat/>
    <w:rsid w:val="00193CB0"/>
    <w:pPr>
      <w:spacing w:after="0" w:line="240" w:lineRule="auto"/>
    </w:pPr>
    <w:rPr>
      <w:rFonts w:ascii="Times New Roman" w:eastAsia="Calibri" w:hAnsi="Times New Roman" w:cs="Times New Roman"/>
      <w:sz w:val="20"/>
      <w:szCs w:val="20"/>
      <w:lang w:val="lv-LV"/>
    </w:rPr>
  </w:style>
  <w:style w:type="character" w:styleId="Komentraatsauce">
    <w:name w:val="annotation reference"/>
    <w:basedOn w:val="Noklusjumarindkopasfonts"/>
    <w:uiPriority w:val="99"/>
    <w:semiHidden/>
    <w:unhideWhenUsed/>
    <w:rsid w:val="005A25DD"/>
    <w:rPr>
      <w:sz w:val="16"/>
      <w:szCs w:val="16"/>
    </w:rPr>
  </w:style>
  <w:style w:type="paragraph" w:styleId="Komentrateksts">
    <w:name w:val="annotation text"/>
    <w:basedOn w:val="Parasts"/>
    <w:link w:val="KomentratekstsRakstz"/>
    <w:uiPriority w:val="99"/>
    <w:semiHidden/>
    <w:unhideWhenUsed/>
    <w:rsid w:val="005A25DD"/>
    <w:rPr>
      <w:sz w:val="20"/>
      <w:szCs w:val="20"/>
    </w:rPr>
  </w:style>
  <w:style w:type="character" w:customStyle="1" w:styleId="KomentratekstsRakstz">
    <w:name w:val="Komentāra teksts Rakstz."/>
    <w:basedOn w:val="Noklusjumarindkopasfonts"/>
    <w:link w:val="Komentrateksts"/>
    <w:uiPriority w:val="99"/>
    <w:semiHidden/>
    <w:rsid w:val="005A25DD"/>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551B84"/>
    <w:rPr>
      <w:b/>
      <w:bCs/>
    </w:rPr>
  </w:style>
  <w:style w:type="character" w:customStyle="1" w:styleId="KomentratmaRakstz">
    <w:name w:val="Komentāra tēma Rakstz."/>
    <w:basedOn w:val="KomentratekstsRakstz"/>
    <w:link w:val="Komentratma"/>
    <w:uiPriority w:val="99"/>
    <w:semiHidden/>
    <w:rsid w:val="00551B84"/>
    <w:rPr>
      <w:rFonts w:ascii="Times New Roman" w:eastAsia="Times New Roman" w:hAnsi="Times New Roman" w:cs="Times New Roman"/>
      <w:b/>
      <w:bCs/>
      <w:sz w:val="20"/>
      <w:szCs w:val="20"/>
      <w:lang w:val="lv-LV" w:eastAsia="lv-LV"/>
    </w:rPr>
  </w:style>
  <w:style w:type="paragraph" w:styleId="Prskatjums">
    <w:name w:val="Revision"/>
    <w:hidden/>
    <w:uiPriority w:val="99"/>
    <w:semiHidden/>
    <w:rsid w:val="005449E2"/>
    <w:pPr>
      <w:spacing w:after="0" w:line="240" w:lineRule="auto"/>
    </w:pPr>
    <w:rPr>
      <w:rFonts w:ascii="Times New Roman" w:eastAsia="Times New Roman" w:hAnsi="Times New Roman" w:cs="Times New Roman"/>
      <w:sz w:val="24"/>
      <w:szCs w:val="24"/>
      <w:lang w:val="lv-LV" w:eastAsia="lv-LV"/>
    </w:rPr>
  </w:style>
  <w:style w:type="table" w:styleId="Reatabula">
    <w:name w:val="Table Grid"/>
    <w:basedOn w:val="Parastatabula"/>
    <w:rsid w:val="005A67B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B0347"/>
    <w:pPr>
      <w:spacing w:before="100" w:beforeAutospacing="1" w:after="100" w:afterAutospacing="1"/>
    </w:pPr>
    <w:rPr>
      <w:lang w:val="en-US" w:eastAsia="en-US"/>
    </w:rPr>
  </w:style>
  <w:style w:type="character" w:styleId="Izmantotahipersaite">
    <w:name w:val="FollowedHyperlink"/>
    <w:basedOn w:val="Noklusjumarindkopasfonts"/>
    <w:uiPriority w:val="99"/>
    <w:semiHidden/>
    <w:unhideWhenUsed/>
    <w:rsid w:val="00841004"/>
    <w:rPr>
      <w:color w:val="954F72" w:themeColor="followedHyperlink"/>
      <w:u w:val="single"/>
    </w:rPr>
  </w:style>
  <w:style w:type="paragraph" w:customStyle="1" w:styleId="Default">
    <w:name w:val="Default"/>
    <w:rsid w:val="00065C3F"/>
    <w:pPr>
      <w:autoSpaceDE w:val="0"/>
      <w:autoSpaceDN w:val="0"/>
      <w:adjustRightInd w:val="0"/>
      <w:spacing w:after="0" w:line="240" w:lineRule="auto"/>
    </w:pPr>
    <w:rPr>
      <w:rFonts w:ascii="EUAlbertina" w:hAnsi="EUAlbertina" w:cs="EUAlbertina"/>
      <w:color w:val="000000"/>
      <w:sz w:val="24"/>
      <w:szCs w:val="24"/>
      <w:lang w:val="lv-LV"/>
    </w:rPr>
  </w:style>
  <w:style w:type="paragraph" w:customStyle="1" w:styleId="tvhtml">
    <w:name w:val="tv_html"/>
    <w:basedOn w:val="Parasts"/>
    <w:rsid w:val="00F6765F"/>
    <w:pPr>
      <w:spacing w:before="100" w:beforeAutospacing="1" w:after="100" w:afterAutospacing="1"/>
    </w:pPr>
  </w:style>
  <w:style w:type="character" w:customStyle="1" w:styleId="SarakstarindkopaRakstz">
    <w:name w:val="Saraksta rindkopa Rakstz."/>
    <w:aliases w:val="H&amp;P List Paragraph Rakstz.,2 Rakstz."/>
    <w:link w:val="Sarakstarindkopa"/>
    <w:uiPriority w:val="34"/>
    <w:locked/>
    <w:rsid w:val="000A42A2"/>
    <w:rPr>
      <w:rFonts w:ascii="Times New Roman" w:eastAsia="Times New Roman" w:hAnsi="Times New Roman" w:cs="Times New Roman"/>
      <w:sz w:val="24"/>
      <w:szCs w:val="24"/>
      <w:lang w:val="lv-LV" w:eastAsia="lv-LV"/>
    </w:rPr>
  </w:style>
  <w:style w:type="paragraph" w:styleId="Vresteksts">
    <w:name w:val="footnote text"/>
    <w:basedOn w:val="Parasts"/>
    <w:link w:val="VrestekstsRakstz"/>
    <w:uiPriority w:val="99"/>
    <w:unhideWhenUsed/>
    <w:rsid w:val="005B6E38"/>
    <w:pPr>
      <w:ind w:firstLine="720"/>
      <w:jc w:val="both"/>
    </w:pPr>
    <w:rPr>
      <w:rFonts w:eastAsiaTheme="minorEastAsia" w:cstheme="minorBidi"/>
      <w:sz w:val="20"/>
      <w:szCs w:val="20"/>
      <w:lang w:eastAsia="en-US"/>
    </w:rPr>
  </w:style>
  <w:style w:type="character" w:customStyle="1" w:styleId="VrestekstsRakstz">
    <w:name w:val="Vēres teksts Rakstz."/>
    <w:basedOn w:val="Noklusjumarindkopasfonts"/>
    <w:link w:val="Vresteksts"/>
    <w:uiPriority w:val="99"/>
    <w:rsid w:val="005B6E38"/>
    <w:rPr>
      <w:rFonts w:ascii="Times New Roman" w:eastAsiaTheme="minorEastAsia" w:hAnsi="Times New Roman"/>
      <w:sz w:val="20"/>
      <w:szCs w:val="20"/>
      <w:lang w:val="lv-LV"/>
    </w:rPr>
  </w:style>
  <w:style w:type="character" w:styleId="Vresatsauce">
    <w:name w:val="footnote reference"/>
    <w:aliases w:val="Footnote symbol,Footnote,Footnote Reference Number,stylish,Footnote Refernece,BVI fnr,Fußnotenzeichen_Raxen,callout,Footnote Reference Superscript,Footnote reference number,Footnotemark,FR,Footnotemark1,Footnotemark2,FR1,SUPERS,Nota"/>
    <w:link w:val="FootnotesymbolCarZchn"/>
    <w:uiPriority w:val="99"/>
    <w:qFormat/>
    <w:rsid w:val="005B6E38"/>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5B6E38"/>
    <w:pPr>
      <w:spacing w:after="160" w:line="240" w:lineRule="exact"/>
      <w:ind w:firstLine="720"/>
      <w:jc w:val="both"/>
    </w:pPr>
    <w:rPr>
      <w:rFonts w:asciiTheme="minorHAnsi" w:eastAsiaTheme="minorHAnsi" w:hAnsiTheme="minorHAnsi" w:cstheme="minorBidi"/>
      <w:sz w:val="22"/>
      <w:szCs w:val="22"/>
      <w:vertAlign w:val="superscript"/>
      <w:lang w:val="en-US" w:eastAsia="en-US"/>
    </w:rPr>
  </w:style>
  <w:style w:type="paragraph" w:styleId="Nosaukums">
    <w:name w:val="Title"/>
    <w:basedOn w:val="Parasts"/>
    <w:next w:val="Parasts"/>
    <w:link w:val="NosaukumsRakstz"/>
    <w:uiPriority w:val="10"/>
    <w:qFormat/>
    <w:rsid w:val="00655CDF"/>
    <w:pPr>
      <w:pBdr>
        <w:bottom w:val="single" w:sz="4" w:space="1" w:color="auto"/>
      </w:pBdr>
      <w:ind w:firstLine="720"/>
      <w:contextualSpacing/>
      <w:jc w:val="center"/>
    </w:pPr>
    <w:rPr>
      <w:rFonts w:asciiTheme="majorHAnsi" w:eastAsiaTheme="majorEastAsia" w:hAnsiTheme="majorHAnsi" w:cstheme="majorBidi"/>
      <w:spacing w:val="5"/>
      <w:sz w:val="36"/>
      <w:szCs w:val="52"/>
      <w:lang w:eastAsia="en-US"/>
    </w:rPr>
  </w:style>
  <w:style w:type="character" w:customStyle="1" w:styleId="NosaukumsRakstz">
    <w:name w:val="Nosaukums Rakstz."/>
    <w:basedOn w:val="Noklusjumarindkopasfonts"/>
    <w:link w:val="Nosaukums"/>
    <w:uiPriority w:val="10"/>
    <w:rsid w:val="00655CDF"/>
    <w:rPr>
      <w:rFonts w:asciiTheme="majorHAnsi" w:eastAsiaTheme="majorEastAsia" w:hAnsiTheme="majorHAnsi" w:cstheme="majorBidi"/>
      <w:spacing w:val="5"/>
      <w:sz w:val="36"/>
      <w:szCs w:val="52"/>
      <w:lang w:val="lv-LV"/>
    </w:rPr>
  </w:style>
  <w:style w:type="character" w:customStyle="1" w:styleId="Neatrisintapieminana1">
    <w:name w:val="Neatrisināta pieminēšana1"/>
    <w:basedOn w:val="Noklusjumarindkopasfonts"/>
    <w:uiPriority w:val="99"/>
    <w:semiHidden/>
    <w:unhideWhenUsed/>
    <w:rsid w:val="001D7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15860">
      <w:bodyDiv w:val="1"/>
      <w:marLeft w:val="0"/>
      <w:marRight w:val="0"/>
      <w:marTop w:val="0"/>
      <w:marBottom w:val="0"/>
      <w:divBdr>
        <w:top w:val="none" w:sz="0" w:space="0" w:color="auto"/>
        <w:left w:val="none" w:sz="0" w:space="0" w:color="auto"/>
        <w:bottom w:val="none" w:sz="0" w:space="0" w:color="auto"/>
        <w:right w:val="none" w:sz="0" w:space="0" w:color="auto"/>
      </w:divBdr>
    </w:div>
    <w:div w:id="238911289">
      <w:bodyDiv w:val="1"/>
      <w:marLeft w:val="0"/>
      <w:marRight w:val="0"/>
      <w:marTop w:val="0"/>
      <w:marBottom w:val="0"/>
      <w:divBdr>
        <w:top w:val="none" w:sz="0" w:space="0" w:color="auto"/>
        <w:left w:val="none" w:sz="0" w:space="0" w:color="auto"/>
        <w:bottom w:val="none" w:sz="0" w:space="0" w:color="auto"/>
        <w:right w:val="none" w:sz="0" w:space="0" w:color="auto"/>
      </w:divBdr>
    </w:div>
    <w:div w:id="241718082">
      <w:bodyDiv w:val="1"/>
      <w:marLeft w:val="0"/>
      <w:marRight w:val="0"/>
      <w:marTop w:val="0"/>
      <w:marBottom w:val="0"/>
      <w:divBdr>
        <w:top w:val="none" w:sz="0" w:space="0" w:color="auto"/>
        <w:left w:val="none" w:sz="0" w:space="0" w:color="auto"/>
        <w:bottom w:val="none" w:sz="0" w:space="0" w:color="auto"/>
        <w:right w:val="none" w:sz="0" w:space="0" w:color="auto"/>
      </w:divBdr>
    </w:div>
    <w:div w:id="507839289">
      <w:bodyDiv w:val="1"/>
      <w:marLeft w:val="0"/>
      <w:marRight w:val="0"/>
      <w:marTop w:val="0"/>
      <w:marBottom w:val="0"/>
      <w:divBdr>
        <w:top w:val="none" w:sz="0" w:space="0" w:color="auto"/>
        <w:left w:val="none" w:sz="0" w:space="0" w:color="auto"/>
        <w:bottom w:val="none" w:sz="0" w:space="0" w:color="auto"/>
        <w:right w:val="none" w:sz="0" w:space="0" w:color="auto"/>
      </w:divBdr>
    </w:div>
    <w:div w:id="588272507">
      <w:bodyDiv w:val="1"/>
      <w:marLeft w:val="0"/>
      <w:marRight w:val="0"/>
      <w:marTop w:val="0"/>
      <w:marBottom w:val="0"/>
      <w:divBdr>
        <w:top w:val="none" w:sz="0" w:space="0" w:color="auto"/>
        <w:left w:val="none" w:sz="0" w:space="0" w:color="auto"/>
        <w:bottom w:val="none" w:sz="0" w:space="0" w:color="auto"/>
        <w:right w:val="none" w:sz="0" w:space="0" w:color="auto"/>
      </w:divBdr>
    </w:div>
    <w:div w:id="630088981">
      <w:bodyDiv w:val="1"/>
      <w:marLeft w:val="0"/>
      <w:marRight w:val="0"/>
      <w:marTop w:val="0"/>
      <w:marBottom w:val="0"/>
      <w:divBdr>
        <w:top w:val="none" w:sz="0" w:space="0" w:color="auto"/>
        <w:left w:val="none" w:sz="0" w:space="0" w:color="auto"/>
        <w:bottom w:val="none" w:sz="0" w:space="0" w:color="auto"/>
        <w:right w:val="none" w:sz="0" w:space="0" w:color="auto"/>
      </w:divBdr>
    </w:div>
    <w:div w:id="746151128">
      <w:bodyDiv w:val="1"/>
      <w:marLeft w:val="0"/>
      <w:marRight w:val="0"/>
      <w:marTop w:val="0"/>
      <w:marBottom w:val="0"/>
      <w:divBdr>
        <w:top w:val="none" w:sz="0" w:space="0" w:color="auto"/>
        <w:left w:val="none" w:sz="0" w:space="0" w:color="auto"/>
        <w:bottom w:val="none" w:sz="0" w:space="0" w:color="auto"/>
        <w:right w:val="none" w:sz="0" w:space="0" w:color="auto"/>
      </w:divBdr>
    </w:div>
    <w:div w:id="755057798">
      <w:bodyDiv w:val="1"/>
      <w:marLeft w:val="0"/>
      <w:marRight w:val="0"/>
      <w:marTop w:val="0"/>
      <w:marBottom w:val="0"/>
      <w:divBdr>
        <w:top w:val="none" w:sz="0" w:space="0" w:color="auto"/>
        <w:left w:val="none" w:sz="0" w:space="0" w:color="auto"/>
        <w:bottom w:val="none" w:sz="0" w:space="0" w:color="auto"/>
        <w:right w:val="none" w:sz="0" w:space="0" w:color="auto"/>
      </w:divBdr>
    </w:div>
    <w:div w:id="1123772543">
      <w:bodyDiv w:val="1"/>
      <w:marLeft w:val="0"/>
      <w:marRight w:val="0"/>
      <w:marTop w:val="0"/>
      <w:marBottom w:val="0"/>
      <w:divBdr>
        <w:top w:val="none" w:sz="0" w:space="0" w:color="auto"/>
        <w:left w:val="none" w:sz="0" w:space="0" w:color="auto"/>
        <w:bottom w:val="none" w:sz="0" w:space="0" w:color="auto"/>
        <w:right w:val="none" w:sz="0" w:space="0" w:color="auto"/>
      </w:divBdr>
    </w:div>
    <w:div w:id="1223760050">
      <w:bodyDiv w:val="1"/>
      <w:marLeft w:val="0"/>
      <w:marRight w:val="0"/>
      <w:marTop w:val="0"/>
      <w:marBottom w:val="0"/>
      <w:divBdr>
        <w:top w:val="none" w:sz="0" w:space="0" w:color="auto"/>
        <w:left w:val="none" w:sz="0" w:space="0" w:color="auto"/>
        <w:bottom w:val="none" w:sz="0" w:space="0" w:color="auto"/>
        <w:right w:val="none" w:sz="0" w:space="0" w:color="auto"/>
      </w:divBdr>
    </w:div>
    <w:div w:id="1284918657">
      <w:bodyDiv w:val="1"/>
      <w:marLeft w:val="0"/>
      <w:marRight w:val="0"/>
      <w:marTop w:val="0"/>
      <w:marBottom w:val="0"/>
      <w:divBdr>
        <w:top w:val="none" w:sz="0" w:space="0" w:color="auto"/>
        <w:left w:val="none" w:sz="0" w:space="0" w:color="auto"/>
        <w:bottom w:val="none" w:sz="0" w:space="0" w:color="auto"/>
        <w:right w:val="none" w:sz="0" w:space="0" w:color="auto"/>
      </w:divBdr>
    </w:div>
    <w:div w:id="1308710116">
      <w:bodyDiv w:val="1"/>
      <w:marLeft w:val="0"/>
      <w:marRight w:val="0"/>
      <w:marTop w:val="0"/>
      <w:marBottom w:val="0"/>
      <w:divBdr>
        <w:top w:val="none" w:sz="0" w:space="0" w:color="auto"/>
        <w:left w:val="none" w:sz="0" w:space="0" w:color="auto"/>
        <w:bottom w:val="none" w:sz="0" w:space="0" w:color="auto"/>
        <w:right w:val="none" w:sz="0" w:space="0" w:color="auto"/>
      </w:divBdr>
    </w:div>
    <w:div w:id="1317153245">
      <w:bodyDiv w:val="1"/>
      <w:marLeft w:val="0"/>
      <w:marRight w:val="0"/>
      <w:marTop w:val="0"/>
      <w:marBottom w:val="0"/>
      <w:divBdr>
        <w:top w:val="none" w:sz="0" w:space="0" w:color="auto"/>
        <w:left w:val="none" w:sz="0" w:space="0" w:color="auto"/>
        <w:bottom w:val="none" w:sz="0" w:space="0" w:color="auto"/>
        <w:right w:val="none" w:sz="0" w:space="0" w:color="auto"/>
      </w:divBdr>
    </w:div>
    <w:div w:id="1564177705">
      <w:bodyDiv w:val="1"/>
      <w:marLeft w:val="0"/>
      <w:marRight w:val="0"/>
      <w:marTop w:val="0"/>
      <w:marBottom w:val="0"/>
      <w:divBdr>
        <w:top w:val="none" w:sz="0" w:space="0" w:color="auto"/>
        <w:left w:val="none" w:sz="0" w:space="0" w:color="auto"/>
        <w:bottom w:val="none" w:sz="0" w:space="0" w:color="auto"/>
        <w:right w:val="none" w:sz="0" w:space="0" w:color="auto"/>
      </w:divBdr>
    </w:div>
    <w:div w:id="1889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vavere@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5258</Words>
  <Characters>2998</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Nacionālais radiofrekvenču plāns</vt:lpstr>
      <vt:lpstr>Nacionālais radiofrekvenču plāns</vt:lpstr>
    </vt:vector>
  </TitlesOfParts>
  <Company>VARAM</Company>
  <LinksUpToDate>false</LinksUpToDate>
  <CharactersWithSpaces>8240</CharactersWithSpaces>
  <SharedDoc>false</SharedDoc>
  <HLinks>
    <vt:vector size="6" baseType="variant">
      <vt:variant>
        <vt:i4>3276831</vt:i4>
      </vt:variant>
      <vt:variant>
        <vt:i4>0</vt:i4>
      </vt:variant>
      <vt:variant>
        <vt:i4>0</vt:i4>
      </vt:variant>
      <vt:variant>
        <vt:i4>5</vt:i4>
      </vt:variant>
      <vt:variant>
        <vt:lpwstr>mailto:aija.vavere@varam.gov.lv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Anotācija</dc:subject>
  <dc:creator>VARAM</dc:creator>
  <cp:keywords/>
  <dc:description>A.Vāvere_x000d_
tālrunis: 67026936_x000d_
Aija.Vavere@varam.gov.lv</dc:description>
  <cp:lastModifiedBy>Aija Vāvere</cp:lastModifiedBy>
  <cp:revision>6</cp:revision>
  <cp:lastPrinted>2020-02-07T00:05:00Z</cp:lastPrinted>
  <dcterms:created xsi:type="dcterms:W3CDTF">2020-12-18T12:42:00Z</dcterms:created>
  <dcterms:modified xsi:type="dcterms:W3CDTF">2021-01-11T08:21:00Z</dcterms:modified>
</cp:coreProperties>
</file>