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73BB4D65" w:rsidR="000E4698" w:rsidRPr="00F21A8B" w:rsidRDefault="003148AF" w:rsidP="004760EA">
            <w:pPr>
              <w:ind w:left="223"/>
              <w:jc w:val="center"/>
              <w:rPr>
                <w:b/>
                <w:bCs/>
                <w:color w:val="000000"/>
              </w:rPr>
            </w:pPr>
            <w:r w:rsidRPr="00F21A8B">
              <w:rPr>
                <w:b/>
                <w:bCs/>
                <w:color w:val="000000"/>
              </w:rPr>
              <w:t xml:space="preserve">Ministru kabineta rīkojuma projekta </w:t>
            </w:r>
            <w:r w:rsidR="00F21A8B" w:rsidRPr="00F21A8B">
              <w:rPr>
                <w:b/>
                <w:bCs/>
                <w:color w:val="000000"/>
              </w:rPr>
              <w:t>“</w:t>
            </w:r>
            <w:r w:rsidR="004760EA" w:rsidRPr="00F21A8B">
              <w:rPr>
                <w:b/>
                <w:bCs/>
                <w:color w:val="000000"/>
              </w:rPr>
              <w:t>Par valstij piekrītošā nekustamā īpašuma Oskara Kalpaka ielā 105-27, Liepājā nodošanu Liepājas pilsētas pašvaldības īpašumā</w:t>
            </w:r>
            <w:r w:rsidRPr="00F21A8B">
              <w:rPr>
                <w:b/>
                <w:bCs/>
                <w:color w:val="000000"/>
              </w:rPr>
              <w:t>”</w:t>
            </w:r>
            <w:r w:rsidR="007A2107" w:rsidRPr="00F21A8B">
              <w:rPr>
                <w:b/>
                <w:bCs/>
                <w:color w:val="000000"/>
              </w:rPr>
              <w:t xml:space="preserve"> VSS-1</w:t>
            </w:r>
            <w:r w:rsidR="004760EA" w:rsidRPr="00F21A8B">
              <w:rPr>
                <w:b/>
                <w:bCs/>
                <w:color w:val="000000"/>
              </w:rPr>
              <w:t>2</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ABE2568" w:rsidR="000E4698" w:rsidRPr="00475925" w:rsidRDefault="009E624B" w:rsidP="009E624B">
            <w:pPr>
              <w:pStyle w:val="NormalWeb"/>
              <w:spacing w:before="0" w:beforeAutospacing="0" w:after="0" w:afterAutospacing="0"/>
              <w:jc w:val="both"/>
              <w:rPr>
                <w:color w:val="000000"/>
              </w:rPr>
            </w:pPr>
            <w:r>
              <w:rPr>
                <w:color w:val="000000" w:themeColor="text1"/>
              </w:rPr>
              <w:t>07.01.2021</w:t>
            </w:r>
            <w:r w:rsidR="003148AF">
              <w:rPr>
                <w:color w:val="000000" w:themeColor="text1"/>
              </w:rPr>
              <w:t>., VSS-1</w:t>
            </w:r>
            <w:r>
              <w:rPr>
                <w:color w:val="000000" w:themeColor="text1"/>
              </w:rPr>
              <w:t>2</w:t>
            </w:r>
            <w:r w:rsidR="004C3C53">
              <w:rPr>
                <w:color w:val="000000" w:themeColor="text1"/>
              </w:rPr>
              <w:t>; 29.01.2021.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00ECC21"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r w:rsidR="009E624B">
              <w:rPr>
                <w:color w:val="000000" w:themeColor="text1"/>
              </w:rPr>
              <w:t>,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8"/>
        <w:gridCol w:w="2523"/>
        <w:gridCol w:w="4847"/>
        <w:gridCol w:w="25"/>
        <w:gridCol w:w="2508"/>
        <w:gridCol w:w="22"/>
        <w:gridCol w:w="4817"/>
      </w:tblGrid>
      <w:tr w:rsidR="00D7241B" w:rsidRPr="00475925" w14:paraId="2FCDD50B" w14:textId="77777777" w:rsidTr="004C3C53">
        <w:tc>
          <w:tcPr>
            <w:tcW w:w="704" w:type="dxa"/>
            <w:gridSpan w:val="2"/>
            <w:vAlign w:val="center"/>
          </w:tcPr>
          <w:p w14:paraId="1D3D9B2F" w14:textId="79078DE4" w:rsidR="00D7241B" w:rsidRPr="00475925" w:rsidRDefault="00D7241B" w:rsidP="004C3C53">
            <w:pPr>
              <w:pStyle w:val="naisc"/>
              <w:spacing w:before="0" w:after="0"/>
            </w:pPr>
            <w:r>
              <w:t>Nr. p.k.</w:t>
            </w:r>
          </w:p>
        </w:tc>
        <w:tc>
          <w:tcPr>
            <w:tcW w:w="2523" w:type="dxa"/>
            <w:vAlign w:val="center"/>
          </w:tcPr>
          <w:p w14:paraId="5F770C33" w14:textId="2432013D" w:rsidR="00D7241B" w:rsidRPr="00475925" w:rsidRDefault="00D7241B" w:rsidP="004C3C53">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4C3C53">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3"/>
            <w:vAlign w:val="center"/>
          </w:tcPr>
          <w:p w14:paraId="4B8ED78C" w14:textId="1738F24F" w:rsidR="00D7241B" w:rsidRPr="00475925" w:rsidRDefault="00D7241B" w:rsidP="004C3C53">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4C3C53">
            <w:pPr>
              <w:jc w:val="center"/>
            </w:pPr>
            <w:r>
              <w:t>Projekta attiecīgā punkta (panta) galīgā redakcija</w:t>
            </w:r>
          </w:p>
        </w:tc>
      </w:tr>
      <w:tr w:rsidR="00D7241B" w:rsidRPr="00475925" w14:paraId="7FA5DBD5" w14:textId="77777777" w:rsidTr="004C3C53">
        <w:tc>
          <w:tcPr>
            <w:tcW w:w="704" w:type="dxa"/>
            <w:gridSpan w:val="2"/>
          </w:tcPr>
          <w:p w14:paraId="1342461B" w14:textId="27A8AE3B" w:rsidR="00D7241B" w:rsidRPr="00475925" w:rsidRDefault="00D7241B" w:rsidP="004C3C53">
            <w:pPr>
              <w:pStyle w:val="naisc"/>
              <w:spacing w:before="0" w:after="0"/>
            </w:pPr>
            <w:r>
              <w:t>1</w:t>
            </w:r>
          </w:p>
        </w:tc>
        <w:tc>
          <w:tcPr>
            <w:tcW w:w="2523" w:type="dxa"/>
          </w:tcPr>
          <w:p w14:paraId="70883659" w14:textId="0D30E6AD" w:rsidR="00D7241B" w:rsidRPr="00475925" w:rsidRDefault="00D7241B" w:rsidP="004C3C53">
            <w:pPr>
              <w:pStyle w:val="naisc"/>
              <w:spacing w:before="0" w:after="0"/>
              <w:ind w:firstLine="12"/>
            </w:pPr>
            <w:r w:rsidRPr="00E3343C">
              <w:t>2</w:t>
            </w:r>
          </w:p>
        </w:tc>
        <w:tc>
          <w:tcPr>
            <w:tcW w:w="4847" w:type="dxa"/>
          </w:tcPr>
          <w:p w14:paraId="3499EB8B" w14:textId="280E3B23" w:rsidR="00D7241B" w:rsidRPr="00475925" w:rsidRDefault="00D7241B" w:rsidP="004C3C53">
            <w:pPr>
              <w:pStyle w:val="naisc"/>
              <w:spacing w:before="0" w:after="0"/>
              <w:ind w:right="3"/>
            </w:pPr>
            <w:r>
              <w:t>3</w:t>
            </w:r>
          </w:p>
        </w:tc>
        <w:tc>
          <w:tcPr>
            <w:tcW w:w="2555" w:type="dxa"/>
            <w:gridSpan w:val="3"/>
          </w:tcPr>
          <w:p w14:paraId="0FEE0D0A" w14:textId="44FF81B6" w:rsidR="00D7241B" w:rsidRPr="00475925" w:rsidRDefault="00D7241B" w:rsidP="004C3C53">
            <w:pPr>
              <w:pStyle w:val="naisc"/>
              <w:spacing w:before="0" w:after="0"/>
              <w:ind w:firstLine="21"/>
            </w:pPr>
            <w:r>
              <w:t>4</w:t>
            </w:r>
          </w:p>
        </w:tc>
        <w:tc>
          <w:tcPr>
            <w:tcW w:w="4817" w:type="dxa"/>
          </w:tcPr>
          <w:p w14:paraId="3A76EE6F" w14:textId="191FEE59" w:rsidR="00D7241B" w:rsidRPr="00475925" w:rsidRDefault="00D7241B" w:rsidP="004C3C53">
            <w:pPr>
              <w:jc w:val="center"/>
            </w:pPr>
            <w:r>
              <w:t>5</w:t>
            </w:r>
          </w:p>
        </w:tc>
      </w:tr>
      <w:tr w:rsidR="712E55AA" w14:paraId="77341968" w14:textId="77777777" w:rsidTr="004C3C53">
        <w:tc>
          <w:tcPr>
            <w:tcW w:w="15446" w:type="dxa"/>
            <w:gridSpan w:val="8"/>
          </w:tcPr>
          <w:p w14:paraId="3CD4BB16" w14:textId="5CF607DF" w:rsidR="712E55AA" w:rsidRDefault="004C3C53" w:rsidP="004C3C53">
            <w:pPr>
              <w:jc w:val="center"/>
              <w:rPr>
                <w:b/>
                <w:bCs/>
                <w:color w:val="000000" w:themeColor="text1"/>
              </w:rPr>
            </w:pPr>
            <w:r>
              <w:rPr>
                <w:b/>
                <w:bCs/>
                <w:color w:val="000000" w:themeColor="text1"/>
              </w:rPr>
              <w:t xml:space="preserve"> Atzinumi pēc elektroniskās saskaņošanas 2021.gada 29.janvārī</w:t>
            </w:r>
          </w:p>
        </w:tc>
      </w:tr>
      <w:tr w:rsidR="004C3C53" w14:paraId="0646D3D4" w14:textId="61F79EF5" w:rsidTr="004C3C53">
        <w:tc>
          <w:tcPr>
            <w:tcW w:w="696" w:type="dxa"/>
          </w:tcPr>
          <w:p w14:paraId="4F5B8D41" w14:textId="0F8445EA" w:rsidR="004C3C53" w:rsidRDefault="004C3C53" w:rsidP="004C3C53">
            <w:pPr>
              <w:jc w:val="center"/>
              <w:rPr>
                <w:b/>
                <w:bCs/>
                <w:color w:val="000000" w:themeColor="text1"/>
              </w:rPr>
            </w:pPr>
          </w:p>
        </w:tc>
        <w:tc>
          <w:tcPr>
            <w:tcW w:w="2531" w:type="dxa"/>
            <w:gridSpan w:val="2"/>
          </w:tcPr>
          <w:p w14:paraId="2BE6407B" w14:textId="1E219C8D" w:rsidR="004C3C53" w:rsidRDefault="004C3C53" w:rsidP="004C3C53">
            <w:pPr>
              <w:jc w:val="center"/>
              <w:rPr>
                <w:b/>
                <w:bCs/>
                <w:color w:val="000000" w:themeColor="text1"/>
              </w:rPr>
            </w:pPr>
          </w:p>
        </w:tc>
        <w:tc>
          <w:tcPr>
            <w:tcW w:w="4872" w:type="dxa"/>
            <w:gridSpan w:val="2"/>
          </w:tcPr>
          <w:p w14:paraId="25887316" w14:textId="77777777" w:rsidR="004C3C53" w:rsidRDefault="004C3C53" w:rsidP="004C3C53">
            <w:pPr>
              <w:rPr>
                <w:b/>
                <w:bCs/>
                <w:color w:val="000000" w:themeColor="text1"/>
              </w:rPr>
            </w:pPr>
            <w:r>
              <w:rPr>
                <w:b/>
                <w:bCs/>
                <w:color w:val="000000" w:themeColor="text1"/>
              </w:rPr>
              <w:t>Tieslietu ministrija</w:t>
            </w:r>
          </w:p>
          <w:p w14:paraId="28CA2334" w14:textId="24648513" w:rsidR="004C3C53" w:rsidRPr="004C3C53" w:rsidRDefault="004C3C53" w:rsidP="004C3C53">
            <w:pPr>
              <w:jc w:val="both"/>
              <w:rPr>
                <w:bCs/>
                <w:color w:val="000000" w:themeColor="text1"/>
              </w:rPr>
            </w:pPr>
            <w:r w:rsidRPr="004C3C53">
              <w:rPr>
                <w:bCs/>
                <w:color w:val="000000" w:themeColor="text1"/>
              </w:rPr>
              <w:t>Precizētās anotācijas I sadaļas 2. punktā norādīts : “Pamatojoties uz Civillikuma 416. panta septīto daļu, ierakstot zemesgrāmata īpašuma tiesības valstij uz nekustamo īpašumu, kas atzīts par bezmantinieka mantu, vienlaikus tiek dzēstas uz šo īpašumu ierakstītās  saistības, apgrūtinājumi un aizlieguma atzīmes.” Vēršam uzmanību, ka Civillikuma 416. panta septītā daļa ir piemērojama attiecībā uz nekustamo īpašumu, kas atzīts par bezmantinieka mantu, t.i. tādu mantu, kas palikusi  pēc mantojuma atstājēja nāves, ja viņam mantinieki nav palikuši vai šie mantinieki likumiskā termiņā pēc publikācijas par mantojuma atklāšanos nav ieradušies vai nav pierādījuši savas mantojuma tiesības, nevis uz mantu, kas atzīta par noziedzīgi iegūtu mantu. Līdz ar nepieciešams minēto teikumu svītrot no precizētās anotācijas.</w:t>
            </w:r>
          </w:p>
        </w:tc>
        <w:tc>
          <w:tcPr>
            <w:tcW w:w="2508" w:type="dxa"/>
          </w:tcPr>
          <w:p w14:paraId="7CC535EB" w14:textId="77777777" w:rsidR="004C3C53" w:rsidRDefault="004C3C53" w:rsidP="004C3C53">
            <w:pPr>
              <w:rPr>
                <w:b/>
                <w:bCs/>
                <w:color w:val="000000" w:themeColor="text1"/>
              </w:rPr>
            </w:pPr>
            <w:r>
              <w:rPr>
                <w:b/>
                <w:bCs/>
                <w:color w:val="000000" w:themeColor="text1"/>
              </w:rPr>
              <w:t>Ņemts vērā</w:t>
            </w:r>
          </w:p>
          <w:p w14:paraId="381185CD" w14:textId="2FE34856" w:rsidR="004C3C53" w:rsidRPr="004C3C53" w:rsidRDefault="004C3C53" w:rsidP="00B30D28">
            <w:pPr>
              <w:jc w:val="both"/>
              <w:rPr>
                <w:bCs/>
                <w:color w:val="000000" w:themeColor="text1"/>
              </w:rPr>
            </w:pPr>
            <w:r w:rsidRPr="004C3C53">
              <w:rPr>
                <w:bCs/>
                <w:color w:val="000000" w:themeColor="text1"/>
              </w:rPr>
              <w:t>Precizēta rīkojuma projekta anotācija</w:t>
            </w:r>
            <w:r>
              <w:rPr>
                <w:bCs/>
                <w:color w:val="000000" w:themeColor="text1"/>
              </w:rPr>
              <w:t xml:space="preserve"> – svītrota atsauce uz </w:t>
            </w:r>
            <w:r>
              <w:t xml:space="preserve"> </w:t>
            </w:r>
            <w:r w:rsidRPr="004C3C53">
              <w:rPr>
                <w:bCs/>
                <w:color w:val="000000" w:themeColor="text1"/>
              </w:rPr>
              <w:t>Civillikuma 416. panta septīto daļu</w:t>
            </w:r>
            <w:r>
              <w:rPr>
                <w:bCs/>
                <w:color w:val="000000" w:themeColor="text1"/>
              </w:rPr>
              <w:t xml:space="preserve"> un anotācija papildināta ar informāciju, ka </w:t>
            </w:r>
            <w:r w:rsidR="00B30D28">
              <w:rPr>
                <w:bCs/>
                <w:color w:val="000000" w:themeColor="text1"/>
              </w:rPr>
              <w:t xml:space="preserve">zemesgrāmatas </w:t>
            </w:r>
            <w:r w:rsidR="00B30D28">
              <w:t xml:space="preserve"> </w:t>
            </w:r>
            <w:r w:rsidR="00B30D28" w:rsidRPr="00B30D28">
              <w:rPr>
                <w:bCs/>
                <w:color w:val="000000" w:themeColor="text1"/>
              </w:rPr>
              <w:t>II sadaļas 2.iedaļā ierakstītās atzīmes</w:t>
            </w:r>
            <w:r w:rsidR="00B30D28">
              <w:rPr>
                <w:bCs/>
                <w:color w:val="000000" w:themeColor="text1"/>
              </w:rPr>
              <w:t xml:space="preserve"> dzēšanu atbilstoši rīkojuma projekta 3.punkta nodrošinās Liepājas pilsētas pašvaldība.</w:t>
            </w:r>
          </w:p>
        </w:tc>
        <w:tc>
          <w:tcPr>
            <w:tcW w:w="4839" w:type="dxa"/>
            <w:gridSpan w:val="2"/>
          </w:tcPr>
          <w:p w14:paraId="7399F8DD" w14:textId="77777777" w:rsidR="004C3C53" w:rsidRDefault="004C3C53" w:rsidP="004C3C53">
            <w:pPr>
              <w:jc w:val="center"/>
              <w:rPr>
                <w:b/>
                <w:bCs/>
                <w:color w:val="000000" w:themeColor="text1"/>
              </w:rPr>
            </w:pPr>
          </w:p>
        </w:tc>
      </w:tr>
      <w:tr w:rsidR="004C3C53" w14:paraId="4CF5FDB6" w14:textId="77777777" w:rsidTr="004C3C53">
        <w:tc>
          <w:tcPr>
            <w:tcW w:w="15446" w:type="dxa"/>
            <w:gridSpan w:val="8"/>
          </w:tcPr>
          <w:p w14:paraId="08EB7BB8" w14:textId="3731BE66" w:rsidR="004C3C53" w:rsidRDefault="004C3C53" w:rsidP="004C3C53">
            <w:pPr>
              <w:jc w:val="center"/>
              <w:rPr>
                <w:b/>
                <w:bCs/>
                <w:color w:val="000000" w:themeColor="text1"/>
              </w:rPr>
            </w:pPr>
            <w:r>
              <w:rPr>
                <w:b/>
                <w:bCs/>
                <w:color w:val="000000" w:themeColor="text1"/>
              </w:rPr>
              <w:t>Atzinumi pēc izsludināšanas VSS</w:t>
            </w:r>
          </w:p>
        </w:tc>
      </w:tr>
      <w:tr w:rsidR="00E248E4" w14:paraId="515DEFF6" w14:textId="54587C49" w:rsidTr="004C3C53">
        <w:tc>
          <w:tcPr>
            <w:tcW w:w="696" w:type="dxa"/>
          </w:tcPr>
          <w:p w14:paraId="3A93C0F3" w14:textId="20B095A7" w:rsidR="00E248E4" w:rsidRPr="007A2107" w:rsidRDefault="007A2107" w:rsidP="004C3C53">
            <w:pPr>
              <w:jc w:val="both"/>
              <w:rPr>
                <w:bCs/>
                <w:color w:val="000000" w:themeColor="text1"/>
              </w:rPr>
            </w:pPr>
            <w:r w:rsidRPr="007A2107">
              <w:rPr>
                <w:bCs/>
                <w:color w:val="000000" w:themeColor="text1"/>
              </w:rPr>
              <w:t>1.</w:t>
            </w:r>
          </w:p>
        </w:tc>
        <w:tc>
          <w:tcPr>
            <w:tcW w:w="2531" w:type="dxa"/>
            <w:gridSpan w:val="2"/>
          </w:tcPr>
          <w:p w14:paraId="63D48EDF" w14:textId="235717DE" w:rsidR="00E248E4" w:rsidRPr="0086484E" w:rsidRDefault="00E248E4" w:rsidP="004C3C53">
            <w:pPr>
              <w:jc w:val="both"/>
              <w:rPr>
                <w:bCs/>
                <w:color w:val="000000" w:themeColor="text1"/>
              </w:rPr>
            </w:pPr>
          </w:p>
        </w:tc>
        <w:tc>
          <w:tcPr>
            <w:tcW w:w="4847" w:type="dxa"/>
          </w:tcPr>
          <w:p w14:paraId="6E451D5C" w14:textId="421CC854" w:rsidR="009E624B" w:rsidRPr="009E624B" w:rsidRDefault="009E624B" w:rsidP="004C3C53">
            <w:pPr>
              <w:jc w:val="both"/>
              <w:rPr>
                <w:b/>
                <w:bCs/>
                <w:color w:val="000000" w:themeColor="text1"/>
              </w:rPr>
            </w:pPr>
            <w:r w:rsidRPr="009E624B">
              <w:rPr>
                <w:b/>
                <w:bCs/>
                <w:color w:val="000000" w:themeColor="text1"/>
              </w:rPr>
              <w:t>Finanšu ministrija</w:t>
            </w:r>
          </w:p>
          <w:p w14:paraId="033779A1" w14:textId="72BA4063" w:rsidR="009E624B" w:rsidRPr="009E624B" w:rsidRDefault="009E624B" w:rsidP="004C3C53">
            <w:pPr>
              <w:jc w:val="both"/>
              <w:rPr>
                <w:bCs/>
                <w:color w:val="000000" w:themeColor="text1"/>
              </w:rPr>
            </w:pPr>
            <w:r>
              <w:t xml:space="preserve"> </w:t>
            </w:r>
            <w:r w:rsidRPr="009E624B">
              <w:rPr>
                <w:bCs/>
                <w:color w:val="000000" w:themeColor="text1"/>
              </w:rPr>
              <w:t xml:space="preserve">Atbilstoši Ministru kabineta 2018.gada 12.jūnija sēdes protokola Nr.28, 31.§, 2.punktam, ja valsts nekustamo īpašumu plānots nodot bez atlīdzības pašvaldības īpašumā kādai </w:t>
            </w:r>
            <w:r w:rsidRPr="009E624B">
              <w:rPr>
                <w:bCs/>
                <w:color w:val="000000" w:themeColor="text1"/>
              </w:rPr>
              <w:lastRenderedPageBreak/>
              <w:t>no likuma “Par pašvaldībām” 15.panta pirmajā daļā minētajām pašvaldību autonomajām funkcijām, Ministru kabineta rīkojumā jāietver vispārīgu atsauci uz likuma “Par pašvaldībām” 15.panta pirmo daļu, bet Ministru kabineta rīkojuma projekta sākotnējās ietekmes novērtējuma ziņojumā (anotācijā) jāiekļauj pamatojums,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w:t>
            </w:r>
          </w:p>
          <w:p w14:paraId="0241C6DF" w14:textId="77777777" w:rsidR="009E624B" w:rsidRPr="009E624B" w:rsidRDefault="009E624B" w:rsidP="004C3C53">
            <w:pPr>
              <w:jc w:val="both"/>
              <w:rPr>
                <w:bCs/>
                <w:color w:val="000000" w:themeColor="text1"/>
              </w:rPr>
            </w:pPr>
            <w:r w:rsidRPr="009E624B">
              <w:rPr>
                <w:bCs/>
                <w:color w:val="000000" w:themeColor="text1"/>
              </w:rPr>
              <w:t>Ar rīkojuma projektu paredzēts valstij piekrītošo nekustamo īpašumu nodot pašvaldības īpašumā pašvaldības autonomās funkcijas īstenošanai – palīdzības sniegšanai iedzīvotājiem dzīvokļa jautājumu risināšanai.</w:t>
            </w:r>
          </w:p>
          <w:p w14:paraId="30770107" w14:textId="77777777" w:rsidR="009E624B" w:rsidRPr="009E624B" w:rsidRDefault="009E624B" w:rsidP="004C3C53">
            <w:pPr>
              <w:jc w:val="both"/>
              <w:rPr>
                <w:bCs/>
                <w:color w:val="000000" w:themeColor="text1"/>
              </w:rPr>
            </w:pPr>
            <w:r w:rsidRPr="009E624B">
              <w:rPr>
                <w:bCs/>
                <w:color w:val="000000" w:themeColor="text1"/>
              </w:rPr>
              <w:t>Pašvaldības autonomā funkcija – sniegt palīdzību iedzīvotājiem dzīvokļa jautājumu risināšanā, ir noteikta likuma “Par pašvaldībām” 15.panta pirmās daļas 9.punktā.</w:t>
            </w:r>
          </w:p>
          <w:p w14:paraId="3485B246" w14:textId="606F33DE" w:rsidR="00E248E4" w:rsidRPr="00E248E4" w:rsidRDefault="009E624B" w:rsidP="004C3C53">
            <w:pPr>
              <w:jc w:val="both"/>
              <w:rPr>
                <w:bCs/>
                <w:color w:val="000000" w:themeColor="text1"/>
              </w:rPr>
            </w:pPr>
            <w:r w:rsidRPr="009E624B">
              <w:rPr>
                <w:bCs/>
                <w:color w:val="000000" w:themeColor="text1"/>
              </w:rPr>
              <w:t>Ievērojot Ministru kabineta 2018.gada 12.jūnija sēdes protokola Nr.28, 31.§, 2.punktā noteikto, lūdzam rīkojuma projekta 1.punktu papildināt ar atsauci uz likuma “Par pašvaldībām” 15.panta pirmās daļas 9.punktu.</w:t>
            </w:r>
          </w:p>
        </w:tc>
        <w:tc>
          <w:tcPr>
            <w:tcW w:w="2555" w:type="dxa"/>
            <w:gridSpan w:val="3"/>
          </w:tcPr>
          <w:p w14:paraId="1A096901" w14:textId="77777777" w:rsidR="00EF4971" w:rsidRPr="00EF4971" w:rsidRDefault="00EF4971" w:rsidP="004C3C53">
            <w:pPr>
              <w:jc w:val="both"/>
              <w:rPr>
                <w:b/>
                <w:bCs/>
                <w:color w:val="000000" w:themeColor="text1"/>
              </w:rPr>
            </w:pPr>
            <w:r w:rsidRPr="00EF4971">
              <w:rPr>
                <w:b/>
                <w:bCs/>
                <w:color w:val="000000" w:themeColor="text1"/>
              </w:rPr>
              <w:lastRenderedPageBreak/>
              <w:t>Ņemts vērā</w:t>
            </w:r>
          </w:p>
          <w:p w14:paraId="0B2AC3A3" w14:textId="3CB964D1" w:rsidR="00E248E4" w:rsidRPr="00E248E4" w:rsidRDefault="00EF4971" w:rsidP="004C3C53">
            <w:pPr>
              <w:jc w:val="both"/>
              <w:rPr>
                <w:bCs/>
                <w:color w:val="000000" w:themeColor="text1"/>
              </w:rPr>
            </w:pPr>
            <w:r>
              <w:rPr>
                <w:bCs/>
                <w:color w:val="000000" w:themeColor="text1"/>
              </w:rPr>
              <w:t>Precizēta rīkojuma projekta 1.punkta redakcija</w:t>
            </w:r>
          </w:p>
        </w:tc>
        <w:tc>
          <w:tcPr>
            <w:tcW w:w="4817" w:type="dxa"/>
          </w:tcPr>
          <w:p w14:paraId="61A4CCEA" w14:textId="7A7457F8" w:rsidR="00E248E4" w:rsidRPr="00E248E4" w:rsidRDefault="00EF4971" w:rsidP="004C3C53">
            <w:pPr>
              <w:jc w:val="both"/>
              <w:rPr>
                <w:bCs/>
                <w:color w:val="000000" w:themeColor="text1"/>
              </w:rPr>
            </w:pPr>
            <w:r>
              <w:t xml:space="preserve"> </w:t>
            </w:r>
            <w:r w:rsidRPr="00EF4971">
              <w:rPr>
                <w:bCs/>
                <w:color w:val="000000" w:themeColor="text1"/>
              </w:rPr>
              <w:t xml:space="preserve">1. Saskaņā ar Publiskas personas mantas atsavināšanas likuma 42. panta pirmo daļu, 42.1 un 43. pantu Valsts ieņēmumu dienestam nodot bez atlīdzības Liepājas pilsētas pašvaldības īpašumā valstij piekrītošo noziedzīgi iegūto </w:t>
            </w:r>
            <w:r w:rsidRPr="00EF4971">
              <w:rPr>
                <w:bCs/>
                <w:color w:val="000000" w:themeColor="text1"/>
              </w:rPr>
              <w:lastRenderedPageBreak/>
              <w:t xml:space="preserve">mantu – dzīvokļa īpašumu (nekustamā īpašuma kadastra Nr. 17009011656) – dzīvokli Nr. 27 (telpu grupas kadastra apzīmējums 17000110160001027) un tam piekrītošās 470/37245 kopīpašuma domājamās daļas no daudzdzīvokļu mājas (būves kadastra apzīmējums 17000110160001) un zemes vienības (zemes vienības kadastra apzīmējums 17000110160) – Oskara Kalpaka ielā 105–27, Liepājā (turpmāk – dzīvokļa īpašums), </w:t>
            </w:r>
            <w:r w:rsidRPr="00EF4971">
              <w:rPr>
                <w:bCs/>
                <w:color w:val="000000" w:themeColor="text1"/>
                <w:u w:val="single"/>
              </w:rPr>
              <w:t>lai saskaņā ar likuma "Par pašvaldībām" 15. panta pirmās daļas 9. punktu to izmantotu pašvaldības autonomās funkcijas īstenošanai – palīdzības sniegšanai iedzīvotājiem</w:t>
            </w:r>
            <w:r>
              <w:rPr>
                <w:bCs/>
                <w:color w:val="000000" w:themeColor="text1"/>
                <w:u w:val="single"/>
              </w:rPr>
              <w:t xml:space="preserve"> dzīvokļa jautājumu risināšanā.</w:t>
            </w:r>
          </w:p>
        </w:tc>
      </w:tr>
      <w:tr w:rsidR="00E248E4" w14:paraId="3784C9B9" w14:textId="47127E35" w:rsidTr="004C3C53">
        <w:tc>
          <w:tcPr>
            <w:tcW w:w="696" w:type="dxa"/>
          </w:tcPr>
          <w:p w14:paraId="211180BE" w14:textId="208879CA" w:rsidR="00E248E4" w:rsidRPr="007A2107" w:rsidRDefault="007A2107" w:rsidP="004C3C53">
            <w:pPr>
              <w:jc w:val="both"/>
              <w:rPr>
                <w:bCs/>
                <w:color w:val="000000" w:themeColor="text1"/>
              </w:rPr>
            </w:pPr>
            <w:r w:rsidRPr="007A2107">
              <w:rPr>
                <w:bCs/>
                <w:color w:val="000000" w:themeColor="text1"/>
              </w:rPr>
              <w:lastRenderedPageBreak/>
              <w:t>2.</w:t>
            </w:r>
          </w:p>
        </w:tc>
        <w:tc>
          <w:tcPr>
            <w:tcW w:w="2531" w:type="dxa"/>
            <w:gridSpan w:val="2"/>
          </w:tcPr>
          <w:p w14:paraId="2DE0F8AC" w14:textId="4A2F71E7" w:rsidR="00E248E4" w:rsidRPr="004760EA" w:rsidRDefault="004760EA" w:rsidP="004C3C53">
            <w:pPr>
              <w:jc w:val="both"/>
              <w:rPr>
                <w:bCs/>
                <w:color w:val="000000" w:themeColor="text1"/>
              </w:rPr>
            </w:pPr>
            <w:r w:rsidRPr="004760EA">
              <w:rPr>
                <w:bCs/>
                <w:color w:val="000000" w:themeColor="text1"/>
              </w:rPr>
              <w:t xml:space="preserve">3. Pilnvarot Liepājas pilsētas pašvaldību parakstīt nostiprinājuma lūgumu par īpašuma tiesību nostiprināšanu </w:t>
            </w:r>
            <w:r w:rsidRPr="004760EA">
              <w:rPr>
                <w:bCs/>
                <w:color w:val="000000" w:themeColor="text1"/>
              </w:rPr>
              <w:lastRenderedPageBreak/>
              <w:t>valstij uz dzīvokļa īpašumu.</w:t>
            </w:r>
          </w:p>
        </w:tc>
        <w:tc>
          <w:tcPr>
            <w:tcW w:w="4847" w:type="dxa"/>
          </w:tcPr>
          <w:p w14:paraId="2DBCEF55" w14:textId="77777777" w:rsidR="009E624B" w:rsidRPr="009E624B" w:rsidRDefault="009E624B" w:rsidP="004C3C53">
            <w:pPr>
              <w:jc w:val="both"/>
              <w:rPr>
                <w:b/>
                <w:bCs/>
                <w:color w:val="000000" w:themeColor="text1"/>
              </w:rPr>
            </w:pPr>
            <w:r w:rsidRPr="009E624B">
              <w:rPr>
                <w:b/>
                <w:bCs/>
                <w:color w:val="000000" w:themeColor="text1"/>
              </w:rPr>
              <w:lastRenderedPageBreak/>
              <w:t>Tieslietu ministrija</w:t>
            </w:r>
          </w:p>
          <w:p w14:paraId="57949FE8" w14:textId="0E023B4C" w:rsidR="00E248E4" w:rsidRPr="00E248E4" w:rsidRDefault="009E624B" w:rsidP="004C3C53">
            <w:pPr>
              <w:jc w:val="both"/>
              <w:rPr>
                <w:bCs/>
                <w:color w:val="000000" w:themeColor="text1"/>
              </w:rPr>
            </w:pPr>
            <w:r w:rsidRPr="009E624B">
              <w:rPr>
                <w:bCs/>
                <w:color w:val="000000" w:themeColor="text1"/>
              </w:rPr>
              <w:t xml:space="preserve">1. Lūdzam projekta 3. punktu precizēt atbilstoši Publiskas personas mantas atsavināšanas likuma 42.1 panta otrajai daļai, saskaņā ar kuru Ministru kabineta lēmumā par nekustamā īpašuma nodošanu pilnvaro nekustamā īpašuma ieguvēju </w:t>
            </w:r>
            <w:r w:rsidRPr="009E624B">
              <w:rPr>
                <w:bCs/>
                <w:color w:val="000000" w:themeColor="text1"/>
              </w:rPr>
              <w:lastRenderedPageBreak/>
              <w:t>parakstīt nostiprinājuma lūgumu par nekustamā īpašuma ierakstīšanu zemesgrāmatā, kā arī veikt citas nepieciešamās darbības attiecīgā īpašuma ierakstīšanai zemesgrāmatā.</w:t>
            </w:r>
          </w:p>
        </w:tc>
        <w:tc>
          <w:tcPr>
            <w:tcW w:w="2555" w:type="dxa"/>
            <w:gridSpan w:val="3"/>
          </w:tcPr>
          <w:p w14:paraId="69FFE84D" w14:textId="77777777" w:rsidR="004760EA" w:rsidRPr="004760EA" w:rsidRDefault="004760EA" w:rsidP="004C3C53">
            <w:pPr>
              <w:jc w:val="both"/>
              <w:rPr>
                <w:b/>
                <w:bCs/>
                <w:color w:val="000000" w:themeColor="text1"/>
              </w:rPr>
            </w:pPr>
            <w:r w:rsidRPr="004760EA">
              <w:rPr>
                <w:b/>
                <w:bCs/>
                <w:color w:val="000000" w:themeColor="text1"/>
              </w:rPr>
              <w:lastRenderedPageBreak/>
              <w:t>Ņemts vērā</w:t>
            </w:r>
          </w:p>
          <w:p w14:paraId="02A12B2A" w14:textId="435FA34D" w:rsidR="00E248E4" w:rsidRPr="0086484E" w:rsidRDefault="004760EA" w:rsidP="004C3C53">
            <w:pPr>
              <w:jc w:val="both"/>
              <w:rPr>
                <w:bCs/>
                <w:color w:val="000000" w:themeColor="text1"/>
              </w:rPr>
            </w:pPr>
            <w:r>
              <w:rPr>
                <w:bCs/>
                <w:color w:val="000000" w:themeColor="text1"/>
              </w:rPr>
              <w:t>Precizēta rīkojuma projekta 3.punkta redakcija</w:t>
            </w:r>
          </w:p>
        </w:tc>
        <w:tc>
          <w:tcPr>
            <w:tcW w:w="4817" w:type="dxa"/>
          </w:tcPr>
          <w:p w14:paraId="2B808901" w14:textId="6CC72891" w:rsidR="00E248E4" w:rsidRPr="00E248E4" w:rsidRDefault="004760EA" w:rsidP="004C3C53">
            <w:pPr>
              <w:jc w:val="both"/>
              <w:rPr>
                <w:bCs/>
                <w:color w:val="000000" w:themeColor="text1"/>
              </w:rPr>
            </w:pPr>
            <w:r w:rsidRPr="004760EA">
              <w:rPr>
                <w:bCs/>
                <w:color w:val="000000" w:themeColor="text1"/>
              </w:rPr>
              <w:t>3. Pilnvarot Liepājas pilsētas pašvaldību parakstīt nostiprinājuma lūgumu par īpašuma tiesību nostiprināšanu valstij uz dzīvokļa īpašumu, kā arī veikt citas nepieciešamās darbības nekustamā īpašuma ierakstīšanai zemesgrāmatā.</w:t>
            </w:r>
          </w:p>
        </w:tc>
      </w:tr>
      <w:tr w:rsidR="00E248E4" w14:paraId="0F1799EC" w14:textId="77777777" w:rsidTr="004C3C53">
        <w:tc>
          <w:tcPr>
            <w:tcW w:w="696" w:type="dxa"/>
          </w:tcPr>
          <w:p w14:paraId="1062F018" w14:textId="57C9BABE" w:rsidR="00E248E4" w:rsidRPr="007A2107" w:rsidRDefault="007A2107" w:rsidP="004C3C53">
            <w:pPr>
              <w:jc w:val="both"/>
              <w:rPr>
                <w:bCs/>
                <w:color w:val="000000" w:themeColor="text1"/>
              </w:rPr>
            </w:pPr>
            <w:r w:rsidRPr="007A2107">
              <w:rPr>
                <w:bCs/>
                <w:color w:val="000000" w:themeColor="text1"/>
              </w:rPr>
              <w:t>3.</w:t>
            </w:r>
          </w:p>
        </w:tc>
        <w:tc>
          <w:tcPr>
            <w:tcW w:w="2531" w:type="dxa"/>
            <w:gridSpan w:val="2"/>
          </w:tcPr>
          <w:p w14:paraId="3EA194D9" w14:textId="77777777" w:rsidR="00E248E4" w:rsidRDefault="00E248E4" w:rsidP="004C3C53">
            <w:pPr>
              <w:jc w:val="both"/>
              <w:rPr>
                <w:b/>
                <w:bCs/>
                <w:color w:val="000000" w:themeColor="text1"/>
              </w:rPr>
            </w:pPr>
          </w:p>
        </w:tc>
        <w:tc>
          <w:tcPr>
            <w:tcW w:w="4847" w:type="dxa"/>
          </w:tcPr>
          <w:p w14:paraId="1289609C" w14:textId="6A3E7A5B" w:rsidR="009E624B" w:rsidRPr="009E624B" w:rsidRDefault="009E624B" w:rsidP="004C3C53">
            <w:pPr>
              <w:jc w:val="both"/>
              <w:rPr>
                <w:bCs/>
                <w:color w:val="000000" w:themeColor="text1"/>
              </w:rPr>
            </w:pPr>
            <w:r>
              <w:t xml:space="preserve"> </w:t>
            </w:r>
            <w:r w:rsidRPr="009E624B">
              <w:rPr>
                <w:bCs/>
                <w:color w:val="000000" w:themeColor="text1"/>
              </w:rPr>
              <w:t>Projekta sākotnējās ietekmes novērtējuma ziņojuma (anotācijas) (turpmāk – anotācija) I sadaļas 2. punktā norādīts, ka kriminālprocesa ietvaros Kurzemes apgabaltiesa ar 2020. gada 7. janvāra lēmumu (lietā Nr.11270005518) privātpersonai piederošo dzīvokli Oskara Kalpaka ielā 105-27, kadastra Nr. 17009011656 ir atzinusi par noziedzīgi iegūtu mantu, un tas tiek konfiscēts un ka saskaņā ar iepriekš minēto tiesas lēmumu nekustamais īpašums atbilstoši Krimināllikuma  42. panta pirmajai daļai ir atzīstams par valsts mantu un piekrīt valstij. Vēršam uzmanību, ka Krimināllikuma 42. panta pirmā daļa piemērojama attiecībā uz mantas konfiskāciju kā papildsoda veidu, kuru var piemērot personai, kura izdarījusi noziedzīgu nodarījumu, savukārt noziedzīgi iegūtas mantas konfiskācija saskaņā ar Krimināllikuma 70.10 pantu  nav kriminālsods, bet viens no mantas īpašas konfiskācijas veidiem, kas izpaužas kā  mantas, kas personas īpašumā vai valdījumā tieši vai netieši nonākusi noziedzīga nodarījuma izdarīšanas rezultātā (sk. arī Krimināllikuma 70.</w:t>
            </w:r>
            <w:r w:rsidRPr="00C97CCD">
              <w:rPr>
                <w:bCs/>
                <w:color w:val="000000" w:themeColor="text1"/>
                <w:vertAlign w:val="superscript"/>
              </w:rPr>
              <w:t>11</w:t>
            </w:r>
            <w:r w:rsidRPr="009E624B">
              <w:rPr>
                <w:bCs/>
                <w:color w:val="000000" w:themeColor="text1"/>
              </w:rPr>
              <w:t xml:space="preserve"> panta pirmo daļu), bezatlīdzības atsavināšana valsts īpašumā. </w:t>
            </w:r>
          </w:p>
          <w:p w14:paraId="57D81149" w14:textId="3B4BE935" w:rsidR="00E248E4" w:rsidRPr="00E248E4" w:rsidRDefault="009E624B" w:rsidP="004C3C53">
            <w:pPr>
              <w:jc w:val="both"/>
              <w:rPr>
                <w:bCs/>
                <w:color w:val="000000" w:themeColor="text1"/>
              </w:rPr>
            </w:pPr>
            <w:r w:rsidRPr="009E624B">
              <w:rPr>
                <w:bCs/>
                <w:color w:val="000000" w:themeColor="text1"/>
              </w:rPr>
              <w:t>Ņemot vērā minēto, lūdzam anotācijas I sadaļas 2. punktā aizstāt atsauci uz Krimināllikuma 42. panta pirmo daļu ar atsauci uz Krimināllikuma 70.</w:t>
            </w:r>
            <w:r w:rsidRPr="00C97CCD">
              <w:rPr>
                <w:bCs/>
                <w:color w:val="000000" w:themeColor="text1"/>
                <w:vertAlign w:val="superscript"/>
              </w:rPr>
              <w:t>10</w:t>
            </w:r>
            <w:r w:rsidRPr="009E624B">
              <w:rPr>
                <w:bCs/>
                <w:color w:val="000000" w:themeColor="text1"/>
              </w:rPr>
              <w:t xml:space="preserve"> pantu.</w:t>
            </w:r>
          </w:p>
        </w:tc>
        <w:tc>
          <w:tcPr>
            <w:tcW w:w="2555" w:type="dxa"/>
            <w:gridSpan w:val="3"/>
          </w:tcPr>
          <w:p w14:paraId="6340BEEC" w14:textId="77777777" w:rsidR="004760EA" w:rsidRPr="004760EA" w:rsidRDefault="004760EA" w:rsidP="004C3C53">
            <w:pPr>
              <w:jc w:val="both"/>
              <w:rPr>
                <w:b/>
                <w:bCs/>
                <w:color w:val="000000" w:themeColor="text1"/>
              </w:rPr>
            </w:pPr>
            <w:r w:rsidRPr="004760EA">
              <w:rPr>
                <w:b/>
                <w:bCs/>
                <w:color w:val="000000" w:themeColor="text1"/>
              </w:rPr>
              <w:t>Ņemts vērā</w:t>
            </w:r>
          </w:p>
          <w:p w14:paraId="171C102A" w14:textId="2F0BC2FA" w:rsidR="00E248E4" w:rsidRPr="0073287E" w:rsidRDefault="004760EA" w:rsidP="004C3C53">
            <w:pPr>
              <w:jc w:val="both"/>
              <w:rPr>
                <w:bCs/>
                <w:color w:val="000000" w:themeColor="text1"/>
              </w:rPr>
            </w:pPr>
            <w:r>
              <w:rPr>
                <w:bCs/>
                <w:color w:val="000000" w:themeColor="text1"/>
              </w:rPr>
              <w:t>Precizēta rīkojuma projekta anotācija</w:t>
            </w:r>
          </w:p>
        </w:tc>
        <w:tc>
          <w:tcPr>
            <w:tcW w:w="4817" w:type="dxa"/>
          </w:tcPr>
          <w:p w14:paraId="2AA4CB4A" w14:textId="14497BD0" w:rsidR="00E248E4" w:rsidRPr="0073287E" w:rsidRDefault="00C97CCD" w:rsidP="004C3C53">
            <w:pPr>
              <w:jc w:val="both"/>
              <w:rPr>
                <w:bCs/>
                <w:color w:val="000000" w:themeColor="text1"/>
              </w:rPr>
            </w:pPr>
            <w:r w:rsidRPr="00920C8E">
              <w:rPr>
                <w:color w:val="000000" w:themeColor="text1"/>
              </w:rPr>
              <w:t xml:space="preserve"> Saskaņā ar iepriekš minēto tiesas </w:t>
            </w:r>
            <w:r>
              <w:rPr>
                <w:color w:val="000000" w:themeColor="text1"/>
              </w:rPr>
              <w:t>lēmumu</w:t>
            </w:r>
            <w:r w:rsidRPr="00920C8E">
              <w:rPr>
                <w:color w:val="000000" w:themeColor="text1"/>
              </w:rPr>
              <w:t xml:space="preserve"> nekustamais īpašums</w:t>
            </w:r>
            <w:r>
              <w:rPr>
                <w:color w:val="000000" w:themeColor="text1"/>
              </w:rPr>
              <w:t xml:space="preserve"> </w:t>
            </w:r>
            <w:r w:rsidRPr="00920C8E">
              <w:rPr>
                <w:color w:val="000000" w:themeColor="text1"/>
              </w:rPr>
              <w:t xml:space="preserve">atbilstoši </w:t>
            </w:r>
            <w:r w:rsidRPr="006A71C0">
              <w:rPr>
                <w:sz w:val="26"/>
                <w:szCs w:val="26"/>
              </w:rPr>
              <w:t xml:space="preserve"> </w:t>
            </w:r>
            <w:r w:rsidRPr="00E46545">
              <w:t>Krimināllikuma 70.</w:t>
            </w:r>
            <w:r w:rsidRPr="00E46545">
              <w:rPr>
                <w:vertAlign w:val="superscript"/>
              </w:rPr>
              <w:t>10</w:t>
            </w:r>
            <w:r w:rsidRPr="00E46545">
              <w:t xml:space="preserve"> pantam</w:t>
            </w:r>
            <w:r>
              <w:rPr>
                <w:sz w:val="26"/>
                <w:szCs w:val="26"/>
              </w:rPr>
              <w:t xml:space="preserve"> </w:t>
            </w:r>
            <w:r w:rsidRPr="00920C8E">
              <w:rPr>
                <w:color w:val="000000" w:themeColor="text1"/>
              </w:rPr>
              <w:t>ir atzīstams par valsts mantu un piekrīt valstij.</w:t>
            </w:r>
          </w:p>
        </w:tc>
      </w:tr>
      <w:tr w:rsidR="00E248E4" w14:paraId="5678E70E" w14:textId="77777777" w:rsidTr="004C3C53">
        <w:tc>
          <w:tcPr>
            <w:tcW w:w="696" w:type="dxa"/>
          </w:tcPr>
          <w:p w14:paraId="16DF45D7" w14:textId="03CA724B" w:rsidR="00E248E4" w:rsidRPr="007A2107" w:rsidRDefault="007A2107" w:rsidP="004C3C53">
            <w:pPr>
              <w:jc w:val="both"/>
              <w:rPr>
                <w:bCs/>
                <w:color w:val="000000" w:themeColor="text1"/>
              </w:rPr>
            </w:pPr>
            <w:r w:rsidRPr="007A2107">
              <w:rPr>
                <w:bCs/>
                <w:color w:val="000000" w:themeColor="text1"/>
              </w:rPr>
              <w:t>4.</w:t>
            </w:r>
          </w:p>
        </w:tc>
        <w:tc>
          <w:tcPr>
            <w:tcW w:w="2531" w:type="dxa"/>
            <w:gridSpan w:val="2"/>
          </w:tcPr>
          <w:p w14:paraId="0E871456" w14:textId="77777777" w:rsidR="00E248E4" w:rsidRDefault="00E248E4" w:rsidP="004C3C53">
            <w:pPr>
              <w:jc w:val="both"/>
              <w:rPr>
                <w:b/>
                <w:bCs/>
                <w:color w:val="000000" w:themeColor="text1"/>
              </w:rPr>
            </w:pPr>
          </w:p>
        </w:tc>
        <w:tc>
          <w:tcPr>
            <w:tcW w:w="4847" w:type="dxa"/>
          </w:tcPr>
          <w:p w14:paraId="6F23E8CD" w14:textId="355D67AE" w:rsidR="00E248E4" w:rsidRPr="00E248E4" w:rsidRDefault="009E624B" w:rsidP="004C3C53">
            <w:pPr>
              <w:jc w:val="both"/>
              <w:rPr>
                <w:bCs/>
                <w:color w:val="000000" w:themeColor="text1"/>
              </w:rPr>
            </w:pPr>
            <w:r>
              <w:t xml:space="preserve"> </w:t>
            </w:r>
            <w:r w:rsidRPr="009E624B">
              <w:rPr>
                <w:bCs/>
                <w:color w:val="000000" w:themeColor="text1"/>
              </w:rPr>
              <w:t xml:space="preserve">Valsts ieņēmumu dienests saskaņā ar Ministru kabineta 2013. gada 26. novembra noteikumu </w:t>
            </w:r>
            <w:r w:rsidRPr="009E624B">
              <w:rPr>
                <w:bCs/>
                <w:color w:val="000000" w:themeColor="text1"/>
              </w:rPr>
              <w:lastRenderedPageBreak/>
              <w:t>Nr. 1354 „Kārtība, kādā veicama valstij piekritīgās mantas uzskaite, novērtēšana, realizācija, nodošana bez maksas, iznīcināšana, un realizācijas ieņēmumu ieskaitīšana valsts budžetā” 2. punktu valstij piekritīgo mantu tikai ņem uzskaitē pēc tam kad iestādes lēmums, zvērināta notāra akts vai tiesas nolēmums par attiecīgās mantas konfiscēšanu, atzīšanu par bezīpašnieka mantu, bezmantinieka mantu (gadījumos, kad aktā par mantojuma lietas izbeigšanu nav norādītas kreditoru pretenzijas), atrasto mantu, kas pāriet valsts kā atradēja īpašumā, atrasto apslēpto mantu, politisko organizāciju (partiju) pretlikumīgi iegūto mantu (tai skaitā anonīmi un pretlikumīgi saņemto dāvinājumu (ziedojumu)), mantu, no kuras persona atteikusies par labu valstij, kā arī pēc testamenta valsts īpašumā pārgājušo mantu un valsts amatpersonu ienākumiem un mantiskajiem labumiem, kas gūti, pārkāpjot atbilstošo jomu regulējošos normatīvos aktus, kļuvis izpildāms. Savukārt saskaņā ar Kriminālprocesa likuma 356. panta pirmo daļu mantu par noziedzīgi iegūtu var atzīt ar spēkā stājušos tiesas nolēmumu vai prokurora lēmumu par kriminālprocesa pabeigšanu. Ņemot vērā minēto, anotāciju nepieciešams papildināt ar informāciju par Kurzemes apgabaltiesas 2020. gada 7. janvāra lēmuma par attiecīgā dzīvokļa īpašuma atzīšanu par noziedzīgi iegūtu mantu spēkā stāšanās datumu.</w:t>
            </w:r>
          </w:p>
        </w:tc>
        <w:tc>
          <w:tcPr>
            <w:tcW w:w="2555" w:type="dxa"/>
            <w:gridSpan w:val="3"/>
          </w:tcPr>
          <w:p w14:paraId="29BE649A" w14:textId="77777777" w:rsidR="00C97CCD" w:rsidRPr="00C97CCD" w:rsidRDefault="00C97CCD" w:rsidP="004C3C53">
            <w:pPr>
              <w:jc w:val="both"/>
              <w:rPr>
                <w:b/>
                <w:bCs/>
                <w:color w:val="000000" w:themeColor="text1"/>
              </w:rPr>
            </w:pPr>
            <w:r w:rsidRPr="00C97CCD">
              <w:rPr>
                <w:b/>
                <w:bCs/>
                <w:color w:val="000000" w:themeColor="text1"/>
              </w:rPr>
              <w:lastRenderedPageBreak/>
              <w:t>Ņemts vērā</w:t>
            </w:r>
          </w:p>
          <w:p w14:paraId="4FA6FE34" w14:textId="075E1DBE" w:rsidR="00E248E4" w:rsidRPr="004B1C4A" w:rsidRDefault="00C97CCD" w:rsidP="004C3C53">
            <w:pPr>
              <w:jc w:val="both"/>
              <w:rPr>
                <w:bCs/>
                <w:color w:val="000000" w:themeColor="text1"/>
              </w:rPr>
            </w:pPr>
            <w:r>
              <w:rPr>
                <w:bCs/>
                <w:color w:val="000000" w:themeColor="text1"/>
              </w:rPr>
              <w:lastRenderedPageBreak/>
              <w:t>Precizēta rīkojuma projekta anotācija</w:t>
            </w:r>
          </w:p>
        </w:tc>
        <w:tc>
          <w:tcPr>
            <w:tcW w:w="4817" w:type="dxa"/>
          </w:tcPr>
          <w:p w14:paraId="5472E2F0" w14:textId="109EADCF" w:rsidR="00E248E4" w:rsidRPr="004B1C4A" w:rsidRDefault="00C97CCD" w:rsidP="004C3C53">
            <w:pPr>
              <w:jc w:val="both"/>
              <w:rPr>
                <w:bCs/>
                <w:color w:val="000000" w:themeColor="text1"/>
              </w:rPr>
            </w:pPr>
            <w:r>
              <w:lastRenderedPageBreak/>
              <w:t xml:space="preserve"> </w:t>
            </w:r>
            <w:r w:rsidRPr="00C97CCD">
              <w:rPr>
                <w:bCs/>
                <w:color w:val="000000" w:themeColor="text1"/>
              </w:rPr>
              <w:t xml:space="preserve">Kriminālprocesa ietvaros Kurzemes apgabaltiesa ar 2020. gada 7. janvāra lēmumu </w:t>
            </w:r>
            <w:r w:rsidRPr="00C97CCD">
              <w:rPr>
                <w:bCs/>
                <w:color w:val="000000" w:themeColor="text1"/>
              </w:rPr>
              <w:lastRenderedPageBreak/>
              <w:t>(lietā Nr.11270005518) privātpersonai piederošo dzīvokli Oskara Kalpaka ielā 105-27, kadastra Nr. 17009011656 ir atzinusi par noziedzīgi iegūtu mantu un tas tiek konfiscēts.  Tiesas lēmums stājies spēkā 2020.gada 21.janvārī.</w:t>
            </w:r>
          </w:p>
        </w:tc>
      </w:tr>
      <w:tr w:rsidR="00A724C3" w:rsidRPr="00475925" w14:paraId="358BCDF5" w14:textId="77777777" w:rsidTr="004C3C53">
        <w:tc>
          <w:tcPr>
            <w:tcW w:w="15446" w:type="dxa"/>
            <w:gridSpan w:val="8"/>
          </w:tcPr>
          <w:p w14:paraId="7BCAFE54" w14:textId="3BF8F919" w:rsidR="00A724C3" w:rsidRDefault="00A724C3" w:rsidP="004C3C53">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lastRenderedPageBreak/>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2B1F35E9" w:rsidR="00D60738" w:rsidRPr="009E624B" w:rsidRDefault="00A7153D" w:rsidP="009E624B">
    <w:pPr>
      <w:pStyle w:val="Footer"/>
    </w:pPr>
    <w:r>
      <w:rPr>
        <w:sz w:val="20"/>
        <w:szCs w:val="20"/>
      </w:rPr>
      <w:t>VARAMIzzina_0502</w:t>
    </w:r>
    <w:r w:rsidR="009E624B" w:rsidRPr="009E624B">
      <w:rPr>
        <w:sz w:val="20"/>
        <w:szCs w:val="20"/>
      </w:rPr>
      <w:t>21_Liepaja_OKalpaka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715C2444" w:rsidR="00D60738" w:rsidRPr="00B93FB3" w:rsidRDefault="00D60738" w:rsidP="00B93FB3">
    <w:pPr>
      <w:pStyle w:val="Footer"/>
      <w:rPr>
        <w:sz w:val="20"/>
        <w:szCs w:val="20"/>
      </w:rPr>
    </w:pPr>
    <w:r>
      <w:rPr>
        <w:sz w:val="20"/>
        <w:szCs w:val="20"/>
      </w:rPr>
      <w:t>VARAMIzzina_</w:t>
    </w:r>
    <w:r w:rsidR="00A7153D">
      <w:rPr>
        <w:sz w:val="20"/>
        <w:szCs w:val="20"/>
      </w:rPr>
      <w:t>0502</w:t>
    </w:r>
    <w:r w:rsidR="007A2107">
      <w:rPr>
        <w:sz w:val="20"/>
        <w:szCs w:val="20"/>
      </w:rPr>
      <w:t>21</w:t>
    </w:r>
    <w:r>
      <w:rPr>
        <w:sz w:val="20"/>
        <w:szCs w:val="20"/>
      </w:rPr>
      <w:t>_</w:t>
    </w:r>
    <w:r w:rsidR="009E624B">
      <w:rPr>
        <w:sz w:val="20"/>
        <w:szCs w:val="20"/>
      </w:rPr>
      <w:t>Liepaja_OKalpaka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7E43DB3B" w:rsidR="00D60738" w:rsidRDefault="00D60738" w:rsidP="001E08AC">
        <w:pPr>
          <w:pStyle w:val="Header"/>
          <w:jc w:val="center"/>
        </w:pPr>
        <w:r>
          <w:fldChar w:fldCharType="begin"/>
        </w:r>
        <w:r>
          <w:instrText xml:space="preserve"> PAGE   \* MERGEFORMAT </w:instrText>
        </w:r>
        <w:r>
          <w:fldChar w:fldCharType="separate"/>
        </w:r>
        <w:r w:rsidR="00A7153D">
          <w:rPr>
            <w:noProof/>
          </w:rPr>
          <w:t>6</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1A73"/>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760EA"/>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C3C5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E62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153D"/>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0D2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CCD"/>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71"/>
    <w:rsid w:val="00F13EE8"/>
    <w:rsid w:val="00F1485C"/>
    <w:rsid w:val="00F157CC"/>
    <w:rsid w:val="00F16D9C"/>
    <w:rsid w:val="00F17B98"/>
    <w:rsid w:val="00F20EE5"/>
    <w:rsid w:val="00F21A8B"/>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ED7E6713-F592-4106-A469-D1E9F741AEC9}">
  <ds:schemaRefs>
    <ds:schemaRef ds:uri="http://schemas.openxmlformats.org/officeDocument/2006/bibliography"/>
  </ds:schemaRefs>
</ds:datastoreItem>
</file>

<file path=customXml/itemProps4.xml><?xml version="1.0" encoding="utf-8"?>
<ds:datastoreItem xmlns:ds="http://schemas.openxmlformats.org/officeDocument/2006/customXml" ds:itemID="{3BED01E3-7E15-4018-93F1-8C686DB6E0AD}">
  <ds:schemaRefs>
    <ds:schemaRef ds:uri="http://schemas.microsoft.com/office/2006/metadata/properties"/>
    <ds:schemaRef ds:uri="122e0e09-afb4-4bf9-abab-ecc4519bc6eb"/>
    <ds:schemaRef ds:uri="ace8e44c-fa88-44c0-8590-dfda63664a63"/>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6135</Words>
  <Characters>3498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4</cp:revision>
  <cp:lastPrinted>2019-02-05T15:50:00Z</cp:lastPrinted>
  <dcterms:created xsi:type="dcterms:W3CDTF">2021-02-05T09:21:00Z</dcterms:created>
  <dcterms:modified xsi:type="dcterms:W3CDTF">2021-02-11T09:21:00Z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