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6A93B" w14:textId="743D8D6B" w:rsidR="006162E3" w:rsidRPr="00933EF0" w:rsidRDefault="00D3665D" w:rsidP="006162E3">
      <w:pPr>
        <w:jc w:val="right"/>
        <w:rPr>
          <w:b/>
          <w:bCs/>
        </w:rPr>
      </w:pPr>
      <w:bookmarkStart w:id="0" w:name="_Toc337476321"/>
      <w:r>
        <w:rPr>
          <w:b/>
          <w:bCs/>
        </w:rPr>
        <w:t>2</w:t>
      </w:r>
      <w:r w:rsidR="00D820E7" w:rsidRPr="00933EF0">
        <w:rPr>
          <w:b/>
          <w:bCs/>
        </w:rPr>
        <w:t>.</w:t>
      </w:r>
      <w:r w:rsidR="006162E3" w:rsidRPr="00933EF0">
        <w:rPr>
          <w:b/>
          <w:bCs/>
        </w:rPr>
        <w:t>pielikums</w:t>
      </w:r>
    </w:p>
    <w:p w14:paraId="3A26F4B5" w14:textId="77777777" w:rsidR="006162E3" w:rsidRPr="00933EF0" w:rsidRDefault="006162E3" w:rsidP="006162E3">
      <w:pPr>
        <w:jc w:val="right"/>
      </w:pPr>
      <w:r w:rsidRPr="00933EF0">
        <w:t>Atkritumu apsaimniekošanas valsts plānam</w:t>
      </w:r>
    </w:p>
    <w:p w14:paraId="0386870B" w14:textId="77777777" w:rsidR="006162E3" w:rsidRPr="00933EF0" w:rsidRDefault="006162E3" w:rsidP="006162E3">
      <w:pPr>
        <w:jc w:val="right"/>
      </w:pPr>
      <w:r w:rsidRPr="00933EF0">
        <w:t>2021.- 2028.gadam</w:t>
      </w:r>
    </w:p>
    <w:p w14:paraId="607D0020" w14:textId="013D7FA9" w:rsidR="005F4551" w:rsidRPr="00933EF0" w:rsidRDefault="005F4551" w:rsidP="00933EF0">
      <w:pPr>
        <w:keepNext/>
        <w:spacing w:before="240" w:after="60"/>
        <w:jc w:val="center"/>
        <w:outlineLvl w:val="0"/>
        <w:rPr>
          <w:rFonts w:eastAsia="MS Mincho"/>
          <w:b/>
          <w:bCs/>
          <w:kern w:val="32"/>
          <w:lang w:eastAsia="ja-JP"/>
        </w:rPr>
      </w:pPr>
      <w:r w:rsidRPr="00933EF0">
        <w:rPr>
          <w:rFonts w:eastAsia="MS Mincho"/>
          <w:b/>
          <w:bCs/>
          <w:kern w:val="32"/>
          <w:lang w:eastAsia="ja-JP"/>
        </w:rPr>
        <w:t>Sasniedzamie rezultāti atsevišķiem atkritumu veidiem un atkritumu plūsmām, kas izriet no ES direktīvu prasībām</w:t>
      </w:r>
      <w:bookmarkEnd w:id="0"/>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8646"/>
        <w:gridCol w:w="1964"/>
      </w:tblGrid>
      <w:tr w:rsidR="005F4551" w:rsidRPr="00933EF0" w14:paraId="2C95FD99" w14:textId="77777777" w:rsidTr="00933EF0">
        <w:trPr>
          <w:tblHeader/>
        </w:trPr>
        <w:tc>
          <w:tcPr>
            <w:tcW w:w="1288" w:type="pct"/>
            <w:shd w:val="clear" w:color="auto" w:fill="E2EFD9" w:themeFill="accent6" w:themeFillTint="33"/>
            <w:vAlign w:val="center"/>
          </w:tcPr>
          <w:p w14:paraId="367AC289" w14:textId="77777777" w:rsidR="005F4551" w:rsidRPr="00933EF0" w:rsidRDefault="005F4551" w:rsidP="00862DBF">
            <w:pPr>
              <w:spacing w:before="60" w:after="60"/>
              <w:jc w:val="center"/>
              <w:rPr>
                <w:b/>
              </w:rPr>
            </w:pPr>
            <w:r w:rsidRPr="00933EF0">
              <w:rPr>
                <w:b/>
              </w:rPr>
              <w:t>Direktīva</w:t>
            </w:r>
          </w:p>
        </w:tc>
        <w:tc>
          <w:tcPr>
            <w:tcW w:w="3025" w:type="pct"/>
            <w:shd w:val="clear" w:color="auto" w:fill="E2EFD9" w:themeFill="accent6" w:themeFillTint="33"/>
            <w:vAlign w:val="center"/>
          </w:tcPr>
          <w:p w14:paraId="1E85E5BA" w14:textId="77777777" w:rsidR="005F4551" w:rsidRPr="00933EF0" w:rsidRDefault="005F4551" w:rsidP="00862DBF">
            <w:pPr>
              <w:spacing w:before="60" w:after="60"/>
              <w:jc w:val="center"/>
              <w:rPr>
                <w:b/>
              </w:rPr>
            </w:pPr>
            <w:r w:rsidRPr="00933EF0">
              <w:t xml:space="preserve"> </w:t>
            </w:r>
            <w:r w:rsidRPr="00933EF0">
              <w:rPr>
                <w:b/>
              </w:rPr>
              <w:t>Sasniedzamie rezultatīvie rādītāji</w:t>
            </w:r>
          </w:p>
        </w:tc>
        <w:tc>
          <w:tcPr>
            <w:tcW w:w="687" w:type="pct"/>
            <w:shd w:val="clear" w:color="auto" w:fill="E2EFD9" w:themeFill="accent6" w:themeFillTint="33"/>
            <w:vAlign w:val="center"/>
          </w:tcPr>
          <w:p w14:paraId="11CACFE3" w14:textId="77777777" w:rsidR="005F4551" w:rsidRPr="00933EF0" w:rsidRDefault="005F4551" w:rsidP="00862DBF">
            <w:pPr>
              <w:spacing w:before="60" w:after="60"/>
              <w:jc w:val="center"/>
              <w:rPr>
                <w:b/>
              </w:rPr>
            </w:pPr>
            <w:r w:rsidRPr="00933EF0">
              <w:rPr>
                <w:b/>
              </w:rPr>
              <w:t>Sasniedzamie termiņi</w:t>
            </w:r>
          </w:p>
        </w:tc>
      </w:tr>
      <w:tr w:rsidR="0055519D" w:rsidRPr="00933EF0" w14:paraId="39518F55" w14:textId="77777777" w:rsidTr="00933EF0">
        <w:tc>
          <w:tcPr>
            <w:tcW w:w="1288" w:type="pct"/>
            <w:vMerge w:val="restart"/>
            <w:vAlign w:val="center"/>
          </w:tcPr>
          <w:p w14:paraId="112EB106" w14:textId="77777777" w:rsidR="0055519D" w:rsidRPr="00933EF0" w:rsidRDefault="0055519D" w:rsidP="00933EF0">
            <w:pPr>
              <w:spacing w:before="60" w:after="60"/>
              <w:jc w:val="both"/>
            </w:pPr>
            <w:r w:rsidRPr="00933EF0">
              <w:t xml:space="preserve">Eiropas Parlamenta un Padomes </w:t>
            </w:r>
            <w:r w:rsidRPr="00933EF0">
              <w:rPr>
                <w:bCs/>
              </w:rPr>
              <w:t xml:space="preserve">2008.gada 19.novembra </w:t>
            </w:r>
            <w:r w:rsidRPr="00933EF0">
              <w:t xml:space="preserve">Direktīva </w:t>
            </w:r>
            <w:r w:rsidRPr="00933EF0">
              <w:rPr>
                <w:bCs/>
              </w:rPr>
              <w:t>2008/98/EK par atkritumiem un par dažu direktīvu atcelšanu</w:t>
            </w:r>
          </w:p>
        </w:tc>
        <w:tc>
          <w:tcPr>
            <w:tcW w:w="3025" w:type="pct"/>
          </w:tcPr>
          <w:p w14:paraId="4749EFDF" w14:textId="77777777" w:rsidR="0055519D" w:rsidRPr="00933EF0" w:rsidRDefault="0055519D" w:rsidP="00714A76">
            <w:pPr>
              <w:spacing w:before="60" w:after="60"/>
              <w:jc w:val="both"/>
            </w:pPr>
            <w:r w:rsidRPr="00933EF0">
              <w:t>izveido dalītas savākšanas sistēmas tekstilmateriāliem (11.panta 1.punkta trešā rindkopa)</w:t>
            </w:r>
          </w:p>
        </w:tc>
        <w:tc>
          <w:tcPr>
            <w:tcW w:w="687" w:type="pct"/>
            <w:vAlign w:val="center"/>
          </w:tcPr>
          <w:p w14:paraId="7A841CCB" w14:textId="77777777" w:rsidR="0055519D" w:rsidRPr="00933EF0" w:rsidRDefault="0055519D" w:rsidP="00933EF0">
            <w:pPr>
              <w:spacing w:before="60" w:after="60"/>
              <w:jc w:val="center"/>
            </w:pPr>
            <w:r w:rsidRPr="00933EF0">
              <w:t>līdz 2025. gada 1. janvārim</w:t>
            </w:r>
          </w:p>
        </w:tc>
      </w:tr>
      <w:tr w:rsidR="0055519D" w:rsidRPr="00933EF0" w14:paraId="05B361A7" w14:textId="77777777" w:rsidTr="00933EF0">
        <w:tc>
          <w:tcPr>
            <w:tcW w:w="1288" w:type="pct"/>
            <w:vMerge/>
            <w:vAlign w:val="center"/>
          </w:tcPr>
          <w:p w14:paraId="08F485D3" w14:textId="77777777" w:rsidR="0055519D" w:rsidRPr="00933EF0" w:rsidRDefault="0055519D" w:rsidP="00933EF0">
            <w:pPr>
              <w:spacing w:before="60" w:after="60"/>
              <w:jc w:val="both"/>
              <w:rPr>
                <w:bCs/>
              </w:rPr>
            </w:pPr>
          </w:p>
        </w:tc>
        <w:tc>
          <w:tcPr>
            <w:tcW w:w="3025" w:type="pct"/>
          </w:tcPr>
          <w:p w14:paraId="27BEB03E" w14:textId="77777777" w:rsidR="0055519D" w:rsidRPr="00933EF0" w:rsidRDefault="0055519D" w:rsidP="00862DBF">
            <w:pPr>
              <w:spacing w:before="60" w:after="60"/>
              <w:jc w:val="both"/>
            </w:pPr>
            <w:r w:rsidRPr="00933EF0">
              <w:t>atkārtotai izmantošanai sagatavoto un pārstrādāto sadzīves atkritumu apjomu palielināt vismaz līdz 55 % pēc masas; (11.panta 2.daļas c)apakšpunkts)</w:t>
            </w:r>
          </w:p>
        </w:tc>
        <w:tc>
          <w:tcPr>
            <w:tcW w:w="687" w:type="pct"/>
            <w:vAlign w:val="center"/>
          </w:tcPr>
          <w:p w14:paraId="597C0407" w14:textId="77777777" w:rsidR="0055519D" w:rsidRPr="00933EF0" w:rsidRDefault="0055519D" w:rsidP="00933EF0">
            <w:pPr>
              <w:spacing w:before="60" w:after="60"/>
              <w:jc w:val="center"/>
            </w:pPr>
            <w:r w:rsidRPr="00933EF0">
              <w:t>līdz 2025. gadam</w:t>
            </w:r>
          </w:p>
        </w:tc>
      </w:tr>
      <w:tr w:rsidR="0055519D" w:rsidRPr="00933EF0" w14:paraId="21502180" w14:textId="77777777" w:rsidTr="00933EF0">
        <w:tc>
          <w:tcPr>
            <w:tcW w:w="1288" w:type="pct"/>
            <w:vMerge/>
            <w:vAlign w:val="center"/>
          </w:tcPr>
          <w:p w14:paraId="4DB606BA" w14:textId="77777777" w:rsidR="0055519D" w:rsidRPr="00933EF0" w:rsidRDefault="0055519D" w:rsidP="00933EF0">
            <w:pPr>
              <w:spacing w:before="60" w:after="60"/>
              <w:jc w:val="both"/>
            </w:pPr>
          </w:p>
        </w:tc>
        <w:tc>
          <w:tcPr>
            <w:tcW w:w="3025" w:type="pct"/>
          </w:tcPr>
          <w:p w14:paraId="5B2CFD36" w14:textId="77777777" w:rsidR="0055519D" w:rsidRPr="00933EF0" w:rsidRDefault="0055519D" w:rsidP="00862DBF">
            <w:pPr>
              <w:spacing w:before="60" w:after="60"/>
              <w:jc w:val="both"/>
            </w:pPr>
            <w:r w:rsidRPr="00933EF0">
              <w:t>atkārtotai izmantošanai sagatavoto un pārstrādāto sadzīves atkritumu apjomu palielināt vismaz līdz 60 % pēc masas; (11.panta 2.daļas d)apakšpunkts)</w:t>
            </w:r>
          </w:p>
        </w:tc>
        <w:tc>
          <w:tcPr>
            <w:tcW w:w="687" w:type="pct"/>
            <w:vAlign w:val="center"/>
          </w:tcPr>
          <w:p w14:paraId="67FAF32E" w14:textId="77777777" w:rsidR="0055519D" w:rsidRPr="00933EF0" w:rsidRDefault="0055519D" w:rsidP="00933EF0">
            <w:pPr>
              <w:spacing w:before="60" w:after="60"/>
              <w:jc w:val="center"/>
            </w:pPr>
            <w:r w:rsidRPr="00933EF0">
              <w:t>līdz 2030. gadam</w:t>
            </w:r>
          </w:p>
        </w:tc>
      </w:tr>
      <w:tr w:rsidR="0055519D" w:rsidRPr="00933EF0" w14:paraId="5D5E5E72" w14:textId="77777777" w:rsidTr="00933EF0">
        <w:tc>
          <w:tcPr>
            <w:tcW w:w="1288" w:type="pct"/>
            <w:vMerge/>
            <w:vAlign w:val="center"/>
          </w:tcPr>
          <w:p w14:paraId="1A21F3A9" w14:textId="77777777" w:rsidR="0055519D" w:rsidRPr="00933EF0" w:rsidRDefault="0055519D" w:rsidP="00933EF0">
            <w:pPr>
              <w:spacing w:before="60" w:after="60"/>
              <w:jc w:val="both"/>
            </w:pPr>
          </w:p>
        </w:tc>
        <w:tc>
          <w:tcPr>
            <w:tcW w:w="3025" w:type="pct"/>
          </w:tcPr>
          <w:p w14:paraId="238D4ACD" w14:textId="77777777" w:rsidR="0055519D" w:rsidRPr="00933EF0" w:rsidRDefault="0055519D" w:rsidP="00862DBF">
            <w:pPr>
              <w:spacing w:before="60" w:after="60"/>
              <w:jc w:val="both"/>
            </w:pPr>
            <w:r w:rsidRPr="00933EF0">
              <w:t>atkārtotai izmantošanai sagatavoto un pārstrādāto sadzīves atkritumu apjomu palielināt vismaz līdz 65 % pēc masas (11.panta 2.daļas e)apakšpunkts).</w:t>
            </w:r>
          </w:p>
        </w:tc>
        <w:tc>
          <w:tcPr>
            <w:tcW w:w="687" w:type="pct"/>
            <w:vAlign w:val="center"/>
          </w:tcPr>
          <w:p w14:paraId="7E7B5AFC" w14:textId="77777777" w:rsidR="0055519D" w:rsidRPr="00933EF0" w:rsidRDefault="0055519D" w:rsidP="00933EF0">
            <w:pPr>
              <w:spacing w:before="60" w:after="60"/>
              <w:jc w:val="center"/>
            </w:pPr>
            <w:r w:rsidRPr="00933EF0">
              <w:t>līdz 2035. gadam</w:t>
            </w:r>
          </w:p>
        </w:tc>
      </w:tr>
      <w:tr w:rsidR="0055519D" w:rsidRPr="00933EF0" w14:paraId="666D0CB0" w14:textId="77777777" w:rsidTr="00933EF0">
        <w:tc>
          <w:tcPr>
            <w:tcW w:w="1288" w:type="pct"/>
            <w:vMerge/>
            <w:vAlign w:val="center"/>
          </w:tcPr>
          <w:p w14:paraId="085A20A5" w14:textId="77777777" w:rsidR="0055519D" w:rsidRPr="00933EF0" w:rsidRDefault="0055519D" w:rsidP="00933EF0">
            <w:pPr>
              <w:spacing w:before="60" w:after="60"/>
              <w:jc w:val="both"/>
            </w:pPr>
          </w:p>
        </w:tc>
        <w:tc>
          <w:tcPr>
            <w:tcW w:w="3025" w:type="pct"/>
          </w:tcPr>
          <w:p w14:paraId="04A31CA2" w14:textId="77777777" w:rsidR="0055519D" w:rsidRPr="00933EF0" w:rsidRDefault="0055519D" w:rsidP="00862DBF">
            <w:pPr>
              <w:spacing w:before="60" w:after="60"/>
              <w:jc w:val="both"/>
            </w:pPr>
            <w:r w:rsidRPr="00933EF0">
              <w:t>izveido dalīto savākšanu mājsaimniecībās radītajām bīstamo atkritumu frakcijām (20.panta 1.punkts)</w:t>
            </w:r>
          </w:p>
        </w:tc>
        <w:tc>
          <w:tcPr>
            <w:tcW w:w="687" w:type="pct"/>
            <w:vAlign w:val="center"/>
          </w:tcPr>
          <w:p w14:paraId="008E194B" w14:textId="77777777" w:rsidR="0055519D" w:rsidRPr="00933EF0" w:rsidRDefault="0055519D" w:rsidP="00933EF0">
            <w:pPr>
              <w:spacing w:before="60" w:after="60"/>
              <w:jc w:val="center"/>
            </w:pPr>
            <w:r w:rsidRPr="00933EF0">
              <w:t>2025.gada 1,janvāris</w:t>
            </w:r>
          </w:p>
        </w:tc>
      </w:tr>
      <w:tr w:rsidR="0055519D" w:rsidRPr="00933EF0" w14:paraId="58C6FBD2" w14:textId="77777777" w:rsidTr="00933EF0">
        <w:tc>
          <w:tcPr>
            <w:tcW w:w="1288" w:type="pct"/>
            <w:vMerge/>
            <w:vAlign w:val="center"/>
          </w:tcPr>
          <w:p w14:paraId="008CAFDB" w14:textId="77777777" w:rsidR="0055519D" w:rsidRPr="00933EF0" w:rsidRDefault="0055519D" w:rsidP="00933EF0">
            <w:pPr>
              <w:spacing w:before="60" w:after="60"/>
              <w:jc w:val="both"/>
            </w:pPr>
          </w:p>
        </w:tc>
        <w:tc>
          <w:tcPr>
            <w:tcW w:w="3025" w:type="pct"/>
          </w:tcPr>
          <w:p w14:paraId="3043236D" w14:textId="77777777" w:rsidR="0055519D" w:rsidRPr="00933EF0" w:rsidRDefault="0055519D" w:rsidP="00862DBF">
            <w:pPr>
              <w:spacing w:before="60" w:after="60"/>
              <w:jc w:val="both"/>
            </w:pPr>
            <w:r w:rsidRPr="00933EF0">
              <w:t>bioloģiskie atkritumi ir vai nu atdalīti un pārstrādāti rašanās vietā, vai savākti dalīti un nav sajaukti ar citiem atkritumu veidiem.(22.panta 1.punkts)</w:t>
            </w:r>
          </w:p>
        </w:tc>
        <w:tc>
          <w:tcPr>
            <w:tcW w:w="687" w:type="pct"/>
            <w:vAlign w:val="center"/>
          </w:tcPr>
          <w:p w14:paraId="1AB2CF4A" w14:textId="77777777" w:rsidR="0055519D" w:rsidRPr="00933EF0" w:rsidRDefault="0055519D" w:rsidP="00933EF0">
            <w:pPr>
              <w:spacing w:before="60" w:after="60"/>
              <w:jc w:val="center"/>
            </w:pPr>
            <w:r w:rsidRPr="00933EF0">
              <w:t>2023. gada 31. decembris</w:t>
            </w:r>
          </w:p>
        </w:tc>
      </w:tr>
      <w:tr w:rsidR="0055519D" w:rsidRPr="00933EF0" w14:paraId="6534B6DF" w14:textId="77777777" w:rsidTr="00933EF0">
        <w:tc>
          <w:tcPr>
            <w:tcW w:w="1288" w:type="pct"/>
            <w:vMerge/>
            <w:vAlign w:val="center"/>
          </w:tcPr>
          <w:p w14:paraId="64B796BE" w14:textId="77777777" w:rsidR="0055519D" w:rsidRPr="00933EF0" w:rsidRDefault="0055519D" w:rsidP="00933EF0">
            <w:pPr>
              <w:spacing w:before="60" w:after="60"/>
              <w:jc w:val="both"/>
            </w:pPr>
          </w:p>
        </w:tc>
        <w:tc>
          <w:tcPr>
            <w:tcW w:w="3025" w:type="pct"/>
          </w:tcPr>
          <w:p w14:paraId="721EEB4F" w14:textId="77777777" w:rsidR="0055519D" w:rsidRPr="00933EF0" w:rsidRDefault="00424954" w:rsidP="00862DBF">
            <w:pPr>
              <w:spacing w:before="60" w:after="60"/>
              <w:jc w:val="both"/>
            </w:pPr>
            <w:r w:rsidRPr="00933EF0">
              <w:t>līdz vismaz 70 % pēc svara palielināt nebīstamo būvgružu un ēku nojaukšanas atkritumu, kas nav atkritumu saraksta 17 05 04 kategorijā definētie dabiskie materiāli, sagatavošanu atkārtotai izmantošanai, pārstrādei un citai materiālai reģenerācijai, tostarp aizbēršanai, izmantojot atkritumus kā citu materiālu aizstājējus</w:t>
            </w:r>
          </w:p>
        </w:tc>
        <w:tc>
          <w:tcPr>
            <w:tcW w:w="687" w:type="pct"/>
            <w:vAlign w:val="center"/>
          </w:tcPr>
          <w:p w14:paraId="2736324F" w14:textId="77777777" w:rsidR="00424954" w:rsidRPr="00933EF0" w:rsidRDefault="00424954" w:rsidP="00933EF0">
            <w:pPr>
              <w:spacing w:before="60" w:after="60"/>
              <w:jc w:val="center"/>
            </w:pPr>
            <w:r w:rsidRPr="00933EF0">
              <w:t>Visā plāna darbības laikā</w:t>
            </w:r>
          </w:p>
        </w:tc>
      </w:tr>
      <w:tr w:rsidR="005F4551" w:rsidRPr="00933EF0" w14:paraId="3797CBB9" w14:textId="77777777" w:rsidTr="00933EF0">
        <w:trPr>
          <w:trHeight w:val="1010"/>
        </w:trPr>
        <w:tc>
          <w:tcPr>
            <w:tcW w:w="1288" w:type="pct"/>
            <w:vAlign w:val="center"/>
          </w:tcPr>
          <w:p w14:paraId="32586F5D" w14:textId="7F81BC0B" w:rsidR="005F4551" w:rsidRPr="00933EF0" w:rsidRDefault="005F4551" w:rsidP="00933EF0">
            <w:pPr>
              <w:spacing w:before="60"/>
              <w:jc w:val="both"/>
              <w:rPr>
                <w:lang w:eastAsia="en-US"/>
              </w:rPr>
            </w:pPr>
            <w:r w:rsidRPr="00933EF0">
              <w:lastRenderedPageBreak/>
              <w:t>Padomes 1999.gada 26.aprīļa direktīva 1999/31/EK par atkritumu poligoniem</w:t>
            </w:r>
          </w:p>
        </w:tc>
        <w:tc>
          <w:tcPr>
            <w:tcW w:w="3025" w:type="pct"/>
          </w:tcPr>
          <w:p w14:paraId="05B52146" w14:textId="77777777" w:rsidR="005F4551" w:rsidRPr="00933EF0" w:rsidRDefault="0055519D" w:rsidP="00862DBF">
            <w:pPr>
              <w:spacing w:before="60"/>
              <w:jc w:val="both"/>
            </w:pPr>
            <w:r w:rsidRPr="00933EF0">
              <w:t>Poligonos apglabāto sadzīves atkritumu īpatsvars ir samazinājies līdz 10 % no kopējā radīto sadzīves atkritumu daudzuma (pēc svara) vai ir vēl mazāks. (5.panta 5.punkts).</w:t>
            </w:r>
          </w:p>
        </w:tc>
        <w:tc>
          <w:tcPr>
            <w:tcW w:w="687" w:type="pct"/>
            <w:vAlign w:val="center"/>
          </w:tcPr>
          <w:p w14:paraId="10CA2FC8" w14:textId="77777777" w:rsidR="005F4551" w:rsidRPr="00933EF0" w:rsidRDefault="0055519D" w:rsidP="00933EF0">
            <w:pPr>
              <w:spacing w:before="60"/>
              <w:jc w:val="center"/>
            </w:pPr>
            <w:r w:rsidRPr="00933EF0">
              <w:t>2035.gads</w:t>
            </w:r>
          </w:p>
        </w:tc>
      </w:tr>
      <w:tr w:rsidR="005F4551" w:rsidRPr="00933EF0" w14:paraId="36278EBC" w14:textId="77777777" w:rsidTr="00933EF0">
        <w:trPr>
          <w:trHeight w:val="1665"/>
        </w:trPr>
        <w:tc>
          <w:tcPr>
            <w:tcW w:w="1288" w:type="pct"/>
            <w:vMerge w:val="restart"/>
            <w:vAlign w:val="center"/>
          </w:tcPr>
          <w:p w14:paraId="556F374C" w14:textId="77777777" w:rsidR="005F4551" w:rsidRPr="00933EF0" w:rsidRDefault="005F4551" w:rsidP="00933EF0">
            <w:pPr>
              <w:jc w:val="both"/>
            </w:pPr>
            <w:r w:rsidRPr="00933EF0">
              <w:t>Eiropas Parlamenta un Padomes 1994. gada 20.decembra Direktīva 94/62/EK par iepakojumu un izlietoto iepakojumu</w:t>
            </w:r>
          </w:p>
          <w:p w14:paraId="26A93634" w14:textId="77777777" w:rsidR="005F4551" w:rsidRPr="00933EF0" w:rsidRDefault="005F4551" w:rsidP="00933EF0">
            <w:pPr>
              <w:jc w:val="both"/>
            </w:pPr>
          </w:p>
        </w:tc>
        <w:tc>
          <w:tcPr>
            <w:tcW w:w="3025" w:type="pct"/>
          </w:tcPr>
          <w:p w14:paraId="44912954" w14:textId="77777777" w:rsidR="005F4551" w:rsidRPr="00933EF0" w:rsidRDefault="0055519D" w:rsidP="00862DBF">
            <w:pPr>
              <w:keepNext/>
              <w:keepLines/>
              <w:overflowPunct w:val="0"/>
              <w:autoSpaceDE w:val="0"/>
              <w:autoSpaceDN w:val="0"/>
              <w:adjustRightInd w:val="0"/>
              <w:spacing w:before="40" w:after="40"/>
              <w:jc w:val="both"/>
              <w:textAlignment w:val="baseline"/>
              <w:rPr>
                <w:lang w:eastAsia="en-US"/>
              </w:rPr>
            </w:pPr>
            <w:r w:rsidRPr="00933EF0">
              <w:rPr>
                <w:lang w:eastAsia="en-US"/>
              </w:rPr>
              <w:t>Pārstrādāt</w:t>
            </w:r>
            <w:r w:rsidR="005F4551" w:rsidRPr="00933EF0">
              <w:rPr>
                <w:lang w:eastAsia="en-US"/>
              </w:rPr>
              <w:t xml:space="preserve"> 60% no izlietotā iepakojuma</w:t>
            </w:r>
            <w:r w:rsidRPr="00933EF0">
              <w:rPr>
                <w:lang w:eastAsia="en-US"/>
              </w:rPr>
              <w:t xml:space="preserve"> (6.panta 11.punkta f) apakšpunkts)</w:t>
            </w:r>
            <w:r w:rsidR="005F4551" w:rsidRPr="00933EF0">
              <w:rPr>
                <w:lang w:eastAsia="en-US"/>
              </w:rPr>
              <w:t xml:space="preserve"> un sasniegt šādus minimālos reģenerācijas mērķus</w:t>
            </w:r>
            <w:r w:rsidRPr="00933EF0">
              <w:rPr>
                <w:lang w:eastAsia="en-US"/>
              </w:rPr>
              <w:t xml:space="preserve"> (6.panta 11.punkta g)apakšpunkts</w:t>
            </w:r>
            <w:r w:rsidR="005F4551" w:rsidRPr="00933EF0">
              <w:rPr>
                <w:lang w:eastAsia="en-US"/>
              </w:rPr>
              <w:t>:</w:t>
            </w:r>
          </w:p>
          <w:p w14:paraId="0FEB5D73" w14:textId="77777777" w:rsidR="0055519D" w:rsidRPr="00933EF0" w:rsidRDefault="0055519D" w:rsidP="00862DBF">
            <w:pPr>
              <w:keepNext/>
              <w:keepLines/>
              <w:overflowPunct w:val="0"/>
              <w:autoSpaceDE w:val="0"/>
              <w:autoSpaceDN w:val="0"/>
              <w:adjustRightInd w:val="0"/>
              <w:spacing w:before="40" w:after="40"/>
              <w:jc w:val="both"/>
              <w:textAlignment w:val="baseline"/>
              <w:rPr>
                <w:lang w:eastAsia="en-US"/>
              </w:rPr>
            </w:pPr>
            <w:r w:rsidRPr="00933EF0">
              <w:rPr>
                <w:lang w:eastAsia="en-US"/>
              </w:rPr>
              <w:t>- 50 % pēc svara plastmasām;</w:t>
            </w:r>
          </w:p>
          <w:p w14:paraId="536CC7C3" w14:textId="77777777" w:rsidR="0055519D" w:rsidRPr="00933EF0" w:rsidRDefault="0055519D" w:rsidP="00862DBF">
            <w:pPr>
              <w:keepNext/>
              <w:keepLines/>
              <w:overflowPunct w:val="0"/>
              <w:autoSpaceDE w:val="0"/>
              <w:autoSpaceDN w:val="0"/>
              <w:adjustRightInd w:val="0"/>
              <w:spacing w:before="40" w:after="40"/>
              <w:jc w:val="both"/>
              <w:textAlignment w:val="baseline"/>
            </w:pPr>
            <w:r w:rsidRPr="00933EF0">
              <w:rPr>
                <w:lang w:eastAsia="en-US"/>
              </w:rPr>
              <w:t xml:space="preserve">- </w:t>
            </w:r>
            <w:r w:rsidRPr="00933EF0">
              <w:t>25% pēc svara kokam;</w:t>
            </w:r>
          </w:p>
          <w:p w14:paraId="0F386C85" w14:textId="77777777" w:rsidR="0055519D" w:rsidRPr="00933EF0" w:rsidRDefault="0055519D" w:rsidP="0055519D">
            <w:pPr>
              <w:keepNext/>
              <w:keepLines/>
              <w:overflowPunct w:val="0"/>
              <w:autoSpaceDE w:val="0"/>
              <w:autoSpaceDN w:val="0"/>
              <w:adjustRightInd w:val="0"/>
              <w:spacing w:before="40" w:after="40"/>
              <w:jc w:val="both"/>
              <w:textAlignment w:val="baseline"/>
              <w:rPr>
                <w:lang w:eastAsia="en-US"/>
              </w:rPr>
            </w:pPr>
            <w:r w:rsidRPr="00933EF0">
              <w:rPr>
                <w:lang w:eastAsia="en-US"/>
              </w:rPr>
              <w:t>- 70% pēc svara melnajiem metāliem;</w:t>
            </w:r>
          </w:p>
          <w:p w14:paraId="02A7D448" w14:textId="77777777" w:rsidR="0055519D" w:rsidRPr="00933EF0" w:rsidRDefault="0055519D" w:rsidP="00862DBF">
            <w:pPr>
              <w:keepNext/>
              <w:keepLines/>
              <w:overflowPunct w:val="0"/>
              <w:autoSpaceDE w:val="0"/>
              <w:autoSpaceDN w:val="0"/>
              <w:adjustRightInd w:val="0"/>
              <w:spacing w:before="40" w:after="40"/>
              <w:jc w:val="both"/>
              <w:textAlignment w:val="baseline"/>
            </w:pPr>
            <w:r w:rsidRPr="00933EF0">
              <w:t>- 50% pēc svara attiecībā uz alumīniju;</w:t>
            </w:r>
          </w:p>
          <w:p w14:paraId="7B8776D7" w14:textId="77777777" w:rsidR="005F4551" w:rsidRPr="00933EF0" w:rsidRDefault="0055519D" w:rsidP="00862DBF">
            <w:pPr>
              <w:keepNext/>
              <w:keepLines/>
              <w:overflowPunct w:val="0"/>
              <w:autoSpaceDE w:val="0"/>
              <w:autoSpaceDN w:val="0"/>
              <w:adjustRightInd w:val="0"/>
              <w:spacing w:before="40" w:after="40"/>
              <w:jc w:val="both"/>
              <w:textAlignment w:val="baseline"/>
              <w:rPr>
                <w:lang w:eastAsia="en-US"/>
              </w:rPr>
            </w:pPr>
            <w:r w:rsidRPr="00933EF0">
              <w:rPr>
                <w:lang w:eastAsia="en-US"/>
              </w:rPr>
              <w:t xml:space="preserve">- 70 </w:t>
            </w:r>
            <w:r w:rsidR="005F4551" w:rsidRPr="00933EF0">
              <w:rPr>
                <w:lang w:eastAsia="en-US"/>
              </w:rPr>
              <w:t>% pēc svara stiklam;</w:t>
            </w:r>
          </w:p>
          <w:p w14:paraId="16E70827" w14:textId="77777777" w:rsidR="005F4551" w:rsidRPr="00933EF0" w:rsidRDefault="0055519D" w:rsidP="0055519D">
            <w:pPr>
              <w:keepNext/>
              <w:keepLines/>
              <w:overflowPunct w:val="0"/>
              <w:autoSpaceDE w:val="0"/>
              <w:autoSpaceDN w:val="0"/>
              <w:adjustRightInd w:val="0"/>
              <w:spacing w:before="40" w:after="40"/>
              <w:jc w:val="both"/>
              <w:textAlignment w:val="baseline"/>
              <w:rPr>
                <w:lang w:eastAsia="en-US"/>
              </w:rPr>
            </w:pPr>
            <w:r w:rsidRPr="00933EF0">
              <w:rPr>
                <w:lang w:eastAsia="en-US"/>
              </w:rPr>
              <w:t xml:space="preserve">- 75 </w:t>
            </w:r>
            <w:r w:rsidR="005F4551" w:rsidRPr="00933EF0">
              <w:rPr>
                <w:lang w:eastAsia="en-US"/>
              </w:rPr>
              <w:t>%</w:t>
            </w:r>
            <w:r w:rsidRPr="00933EF0">
              <w:rPr>
                <w:lang w:eastAsia="en-US"/>
              </w:rPr>
              <w:t xml:space="preserve"> pēc svara papīram un kartonam;</w:t>
            </w:r>
          </w:p>
        </w:tc>
        <w:tc>
          <w:tcPr>
            <w:tcW w:w="687" w:type="pct"/>
            <w:shd w:val="clear" w:color="auto" w:fill="auto"/>
            <w:vAlign w:val="center"/>
          </w:tcPr>
          <w:p w14:paraId="383075E4" w14:textId="77777777" w:rsidR="005F4551" w:rsidRPr="00933EF0" w:rsidRDefault="0055519D" w:rsidP="00933EF0">
            <w:pPr>
              <w:spacing w:before="60"/>
              <w:jc w:val="center"/>
            </w:pPr>
            <w:r w:rsidRPr="00933EF0">
              <w:t>2025.gada 31.decembris</w:t>
            </w:r>
          </w:p>
        </w:tc>
      </w:tr>
      <w:tr w:rsidR="005F4551" w:rsidRPr="00933EF0" w14:paraId="10667883" w14:textId="77777777" w:rsidTr="00933EF0">
        <w:trPr>
          <w:trHeight w:val="931"/>
        </w:trPr>
        <w:tc>
          <w:tcPr>
            <w:tcW w:w="1288" w:type="pct"/>
            <w:vMerge/>
            <w:vAlign w:val="center"/>
          </w:tcPr>
          <w:p w14:paraId="269B9325" w14:textId="77777777" w:rsidR="005F4551" w:rsidRPr="00933EF0" w:rsidRDefault="005F4551" w:rsidP="00933EF0">
            <w:pPr>
              <w:spacing w:before="60"/>
              <w:jc w:val="both"/>
            </w:pPr>
          </w:p>
        </w:tc>
        <w:tc>
          <w:tcPr>
            <w:tcW w:w="3025" w:type="pct"/>
          </w:tcPr>
          <w:p w14:paraId="3968CBE8" w14:textId="77777777" w:rsidR="0055519D" w:rsidRPr="00933EF0" w:rsidRDefault="0055519D" w:rsidP="0055519D">
            <w:pPr>
              <w:keepNext/>
              <w:keepLines/>
              <w:overflowPunct w:val="0"/>
              <w:autoSpaceDE w:val="0"/>
              <w:autoSpaceDN w:val="0"/>
              <w:adjustRightInd w:val="0"/>
              <w:spacing w:before="40" w:after="40"/>
              <w:jc w:val="both"/>
              <w:textAlignment w:val="baseline"/>
              <w:rPr>
                <w:lang w:eastAsia="en-US"/>
              </w:rPr>
            </w:pPr>
            <w:r w:rsidRPr="00933EF0">
              <w:rPr>
                <w:lang w:eastAsia="en-US"/>
              </w:rPr>
              <w:t>Pārstrādāt 70% no izlietotā iepakojuma (6.panta 11.punkta h) apakšpunkts) un sasniegt šādus minimālos reģenerācijas mērķus (6.panta 11.punkta i)apakšpunkts:</w:t>
            </w:r>
          </w:p>
          <w:p w14:paraId="0463587B" w14:textId="77777777" w:rsidR="0055519D" w:rsidRPr="00933EF0" w:rsidRDefault="0055519D" w:rsidP="0055519D">
            <w:pPr>
              <w:keepNext/>
              <w:keepLines/>
              <w:overflowPunct w:val="0"/>
              <w:autoSpaceDE w:val="0"/>
              <w:autoSpaceDN w:val="0"/>
              <w:adjustRightInd w:val="0"/>
              <w:spacing w:before="40" w:after="40"/>
              <w:jc w:val="both"/>
              <w:textAlignment w:val="baseline"/>
              <w:rPr>
                <w:lang w:eastAsia="en-US"/>
              </w:rPr>
            </w:pPr>
            <w:r w:rsidRPr="00933EF0">
              <w:rPr>
                <w:lang w:eastAsia="en-US"/>
              </w:rPr>
              <w:t>- 55 % pēc svara plastmasām;</w:t>
            </w:r>
          </w:p>
          <w:p w14:paraId="724607F3" w14:textId="77777777" w:rsidR="0055519D" w:rsidRPr="00933EF0" w:rsidRDefault="0055519D" w:rsidP="0055519D">
            <w:pPr>
              <w:keepNext/>
              <w:keepLines/>
              <w:overflowPunct w:val="0"/>
              <w:autoSpaceDE w:val="0"/>
              <w:autoSpaceDN w:val="0"/>
              <w:adjustRightInd w:val="0"/>
              <w:spacing w:before="40" w:after="40"/>
              <w:jc w:val="both"/>
              <w:textAlignment w:val="baseline"/>
            </w:pPr>
            <w:r w:rsidRPr="00933EF0">
              <w:rPr>
                <w:lang w:eastAsia="en-US"/>
              </w:rPr>
              <w:t xml:space="preserve">- </w:t>
            </w:r>
            <w:r w:rsidRPr="00933EF0">
              <w:t>30 % pēc svara kokam;</w:t>
            </w:r>
          </w:p>
          <w:p w14:paraId="03ABE7FF" w14:textId="77777777" w:rsidR="0055519D" w:rsidRPr="00933EF0" w:rsidRDefault="0055519D" w:rsidP="0055519D">
            <w:pPr>
              <w:keepNext/>
              <w:keepLines/>
              <w:overflowPunct w:val="0"/>
              <w:autoSpaceDE w:val="0"/>
              <w:autoSpaceDN w:val="0"/>
              <w:adjustRightInd w:val="0"/>
              <w:spacing w:before="40" w:after="40"/>
              <w:jc w:val="both"/>
              <w:textAlignment w:val="baseline"/>
              <w:rPr>
                <w:lang w:eastAsia="en-US"/>
              </w:rPr>
            </w:pPr>
            <w:r w:rsidRPr="00933EF0">
              <w:rPr>
                <w:lang w:eastAsia="en-US"/>
              </w:rPr>
              <w:t>- 80% pēc svara melnajiem metāliem;</w:t>
            </w:r>
          </w:p>
          <w:p w14:paraId="74EFD8B5" w14:textId="77777777" w:rsidR="0055519D" w:rsidRPr="00933EF0" w:rsidRDefault="0055519D" w:rsidP="0055519D">
            <w:pPr>
              <w:keepNext/>
              <w:keepLines/>
              <w:overflowPunct w:val="0"/>
              <w:autoSpaceDE w:val="0"/>
              <w:autoSpaceDN w:val="0"/>
              <w:adjustRightInd w:val="0"/>
              <w:spacing w:before="40" w:after="40"/>
              <w:jc w:val="both"/>
              <w:textAlignment w:val="baseline"/>
            </w:pPr>
            <w:r w:rsidRPr="00933EF0">
              <w:t>- 60% pēc svara attiecībā uz alumīniju;</w:t>
            </w:r>
          </w:p>
          <w:p w14:paraId="30598500" w14:textId="77777777" w:rsidR="0055519D" w:rsidRPr="00933EF0" w:rsidRDefault="0055519D" w:rsidP="0055519D">
            <w:pPr>
              <w:keepNext/>
              <w:keepLines/>
              <w:overflowPunct w:val="0"/>
              <w:autoSpaceDE w:val="0"/>
              <w:autoSpaceDN w:val="0"/>
              <w:adjustRightInd w:val="0"/>
              <w:spacing w:before="40" w:after="40"/>
              <w:jc w:val="both"/>
              <w:textAlignment w:val="baseline"/>
              <w:rPr>
                <w:lang w:eastAsia="en-US"/>
              </w:rPr>
            </w:pPr>
            <w:r w:rsidRPr="00933EF0">
              <w:rPr>
                <w:lang w:eastAsia="en-US"/>
              </w:rPr>
              <w:t>- 75 % pēc svara stiklam;</w:t>
            </w:r>
          </w:p>
          <w:p w14:paraId="7550248B" w14:textId="77777777" w:rsidR="005F4551" w:rsidRPr="00933EF0" w:rsidRDefault="0055519D" w:rsidP="0055519D">
            <w:pPr>
              <w:keepNext/>
              <w:keepLines/>
              <w:overflowPunct w:val="0"/>
              <w:autoSpaceDE w:val="0"/>
              <w:autoSpaceDN w:val="0"/>
              <w:adjustRightInd w:val="0"/>
              <w:spacing w:before="40" w:after="40"/>
              <w:jc w:val="both"/>
              <w:textAlignment w:val="baseline"/>
              <w:rPr>
                <w:highlight w:val="yellow"/>
                <w:lang w:eastAsia="en-US"/>
              </w:rPr>
            </w:pPr>
            <w:r w:rsidRPr="00933EF0">
              <w:rPr>
                <w:lang w:eastAsia="en-US"/>
              </w:rPr>
              <w:t>- 85 % pēc svara papīram un kartonam;</w:t>
            </w:r>
          </w:p>
        </w:tc>
        <w:tc>
          <w:tcPr>
            <w:tcW w:w="687" w:type="pct"/>
            <w:shd w:val="clear" w:color="auto" w:fill="auto"/>
            <w:vAlign w:val="center"/>
          </w:tcPr>
          <w:p w14:paraId="1E96D6A5" w14:textId="77777777" w:rsidR="005F4551" w:rsidRPr="00933EF0" w:rsidRDefault="0055519D" w:rsidP="00933EF0">
            <w:pPr>
              <w:spacing w:before="60"/>
              <w:jc w:val="center"/>
            </w:pPr>
            <w:r w:rsidRPr="00933EF0">
              <w:t>2030</w:t>
            </w:r>
            <w:r w:rsidR="005F4551" w:rsidRPr="00933EF0">
              <w:t>.gada 31.decembris</w:t>
            </w:r>
          </w:p>
          <w:p w14:paraId="1BB52C05" w14:textId="77777777" w:rsidR="005F4551" w:rsidRPr="00933EF0" w:rsidRDefault="005F4551" w:rsidP="00933EF0">
            <w:pPr>
              <w:spacing w:before="60"/>
              <w:jc w:val="center"/>
            </w:pPr>
          </w:p>
        </w:tc>
      </w:tr>
      <w:tr w:rsidR="005F4551" w:rsidRPr="00933EF0" w14:paraId="3F0836EE" w14:textId="77777777" w:rsidTr="00933EF0">
        <w:trPr>
          <w:trHeight w:val="1578"/>
        </w:trPr>
        <w:tc>
          <w:tcPr>
            <w:tcW w:w="1288" w:type="pct"/>
            <w:vAlign w:val="center"/>
          </w:tcPr>
          <w:p w14:paraId="4629F203" w14:textId="2F17EED4" w:rsidR="005F4551" w:rsidRPr="00933EF0" w:rsidRDefault="005F4551" w:rsidP="00933EF0">
            <w:pPr>
              <w:jc w:val="both"/>
            </w:pPr>
            <w:r w:rsidRPr="00933EF0">
              <w:lastRenderedPageBreak/>
              <w:t>Eiropas Parlamenta un Padomes 2000. gada 18.septembra Direktīva 2000/53/EK  par nolietotiem transportlīdzekļiem (7.panta 2.punkts)</w:t>
            </w:r>
            <w:r w:rsidR="0055519D" w:rsidRPr="00933EF0">
              <w:t>.</w:t>
            </w:r>
          </w:p>
        </w:tc>
        <w:tc>
          <w:tcPr>
            <w:tcW w:w="3025" w:type="pct"/>
          </w:tcPr>
          <w:p w14:paraId="52362E50" w14:textId="77777777" w:rsidR="005F4551" w:rsidRPr="00933EF0" w:rsidRDefault="005F4551" w:rsidP="00862DBF">
            <w:pPr>
              <w:spacing w:before="60"/>
              <w:jc w:val="both"/>
            </w:pPr>
            <w:r w:rsidRPr="00933EF0">
              <w:t>Visus nolietotos transportlīdzekļus atkārtoti izmantot un reģenerēt vismaz 95% apmērā no transportlīdzekļa vidējās masas gadā.</w:t>
            </w:r>
          </w:p>
          <w:p w14:paraId="039B8902" w14:textId="77777777" w:rsidR="005F4551" w:rsidRPr="00933EF0" w:rsidRDefault="005F4551" w:rsidP="00862DBF">
            <w:pPr>
              <w:spacing w:before="60"/>
              <w:jc w:val="both"/>
            </w:pPr>
            <w:r w:rsidRPr="00933EF0">
              <w:t>Visus nolietotos transportlīdzekļus atkārtoti izmantot un pārstrādāt vismaz 85% apmērā no transportlīdzekļa vidējās masas gadā.</w:t>
            </w:r>
          </w:p>
        </w:tc>
        <w:tc>
          <w:tcPr>
            <w:tcW w:w="687" w:type="pct"/>
            <w:vAlign w:val="center"/>
          </w:tcPr>
          <w:p w14:paraId="00E3D252" w14:textId="77777777" w:rsidR="005F4551" w:rsidRPr="00933EF0" w:rsidRDefault="0055519D" w:rsidP="00933EF0">
            <w:pPr>
              <w:spacing w:before="60"/>
              <w:jc w:val="center"/>
            </w:pPr>
            <w:r w:rsidRPr="00933EF0">
              <w:t>Visā plāna darbības laikā</w:t>
            </w:r>
          </w:p>
        </w:tc>
      </w:tr>
      <w:tr w:rsidR="0055519D" w:rsidRPr="00933EF0" w14:paraId="521AD460" w14:textId="77777777" w:rsidTr="00933EF0">
        <w:trPr>
          <w:trHeight w:val="1149"/>
        </w:trPr>
        <w:tc>
          <w:tcPr>
            <w:tcW w:w="1288" w:type="pct"/>
            <w:vMerge w:val="restart"/>
            <w:vAlign w:val="center"/>
          </w:tcPr>
          <w:p w14:paraId="39302992" w14:textId="4E238094" w:rsidR="0055519D" w:rsidRPr="00933EF0" w:rsidRDefault="0055519D" w:rsidP="00933EF0">
            <w:pPr>
              <w:jc w:val="both"/>
            </w:pPr>
            <w:r w:rsidRPr="00933EF0">
              <w:t>Padomes 2012. gada 4.jūlija Direktīva 2012/19/ES par elektrisko un elektronisko iekārtu atkritumiem (EEIA)</w:t>
            </w:r>
          </w:p>
          <w:p w14:paraId="07B79491" w14:textId="77777777" w:rsidR="0055519D" w:rsidRPr="00933EF0" w:rsidRDefault="0055519D" w:rsidP="00933EF0">
            <w:pPr>
              <w:jc w:val="both"/>
            </w:pPr>
          </w:p>
        </w:tc>
        <w:tc>
          <w:tcPr>
            <w:tcW w:w="3025" w:type="pct"/>
          </w:tcPr>
          <w:p w14:paraId="28CB3FF1" w14:textId="77777777" w:rsidR="0055519D" w:rsidRPr="00933EF0" w:rsidRDefault="0055519D" w:rsidP="0055519D">
            <w:pPr>
              <w:spacing w:before="75" w:after="75"/>
              <w:ind w:right="21"/>
              <w:jc w:val="both"/>
              <w:rPr>
                <w:noProof/>
                <w:highlight w:val="yellow"/>
                <w:lang w:bidi="sa-IN"/>
              </w:rPr>
            </w:pPr>
            <w:r w:rsidRPr="00933EF0">
              <w:rPr>
                <w:noProof/>
                <w:lang w:bidi="sa-IN"/>
              </w:rPr>
              <w:t xml:space="preserve"> </w:t>
            </w:r>
            <w:r w:rsidRPr="00933EF0">
              <w:rPr>
                <w:noProof/>
                <w:lang w:eastAsia="en-US" w:bidi="sa-IN"/>
              </w:rPr>
              <w:t>Palielināt elektrisko un elektronisko iekārtu atkritumu savākšanas apjomu līdz 40-45 % gadā,   no to EEI vidējā svara, kuras ir laistas Latvijas tirgū trīs iepriekšējos gados. (7.panta 1.un 3.punkts)</w:t>
            </w:r>
          </w:p>
        </w:tc>
        <w:tc>
          <w:tcPr>
            <w:tcW w:w="687" w:type="pct"/>
            <w:vAlign w:val="center"/>
          </w:tcPr>
          <w:p w14:paraId="1860BC0C" w14:textId="77777777" w:rsidR="0055519D" w:rsidRPr="00933EF0" w:rsidRDefault="0055519D" w:rsidP="00933EF0">
            <w:pPr>
              <w:jc w:val="center"/>
            </w:pPr>
            <w:r w:rsidRPr="00933EF0">
              <w:t>Līdz 2021.gada 13.augustam</w:t>
            </w:r>
          </w:p>
        </w:tc>
      </w:tr>
      <w:tr w:rsidR="005F4551" w:rsidRPr="00933EF0" w14:paraId="2CDF5D33" w14:textId="77777777" w:rsidTr="00933EF0">
        <w:trPr>
          <w:trHeight w:val="970"/>
        </w:trPr>
        <w:tc>
          <w:tcPr>
            <w:tcW w:w="1288" w:type="pct"/>
            <w:vMerge/>
            <w:vAlign w:val="center"/>
          </w:tcPr>
          <w:p w14:paraId="6A5253AB" w14:textId="77777777" w:rsidR="005F4551" w:rsidRPr="00933EF0" w:rsidRDefault="005F4551" w:rsidP="00933EF0">
            <w:pPr>
              <w:spacing w:before="60"/>
              <w:jc w:val="both"/>
            </w:pPr>
          </w:p>
        </w:tc>
        <w:tc>
          <w:tcPr>
            <w:tcW w:w="3025" w:type="pct"/>
          </w:tcPr>
          <w:p w14:paraId="7360BD6E" w14:textId="77777777" w:rsidR="005F4551" w:rsidRPr="00933EF0" w:rsidRDefault="005F4551" w:rsidP="00862DBF">
            <w:pPr>
              <w:jc w:val="both"/>
              <w:rPr>
                <w:lang w:eastAsia="en-US" w:bidi="sa-IN"/>
              </w:rPr>
            </w:pPr>
            <w:r w:rsidRPr="00933EF0">
              <w:rPr>
                <w:noProof/>
                <w:lang w:eastAsia="en-US" w:bidi="sa-IN"/>
              </w:rPr>
              <w:t xml:space="preserve"> Palielināt elektrisko un elektronisko iekārtu atkritumu savākšanas apjomu līdz</w:t>
            </w:r>
            <w:r w:rsidRPr="00933EF0">
              <w:rPr>
                <w:b/>
                <w:i/>
                <w:lang w:eastAsia="en-US" w:bidi="sa-IN"/>
              </w:rPr>
              <w:t xml:space="preserve"> </w:t>
            </w:r>
            <w:r w:rsidRPr="00933EF0">
              <w:rPr>
                <w:lang w:eastAsia="en-US" w:bidi="sa-IN"/>
              </w:rPr>
              <w:t xml:space="preserve">65 % no </w:t>
            </w:r>
            <w:r w:rsidRPr="00933EF0">
              <w:rPr>
                <w:noProof/>
                <w:lang w:eastAsia="en-US" w:bidi="sa-IN"/>
              </w:rPr>
              <w:t xml:space="preserve">to </w:t>
            </w:r>
            <w:r w:rsidRPr="00933EF0">
              <w:rPr>
                <w:lang w:eastAsia="en-US" w:bidi="sa-IN"/>
              </w:rPr>
              <w:t>EEI</w:t>
            </w:r>
            <w:r w:rsidRPr="00933EF0">
              <w:rPr>
                <w:noProof/>
                <w:lang w:eastAsia="en-US" w:bidi="sa-IN"/>
              </w:rPr>
              <w:t xml:space="preserve"> vidējā svara, kuras ir laistas Latvijas </w:t>
            </w:r>
            <w:r w:rsidRPr="00933EF0">
              <w:rPr>
                <w:lang w:eastAsia="en-US" w:bidi="sa-IN"/>
              </w:rPr>
              <w:t>tirgū trīs iepriekšējos gados, vai arī 85 % no Latvijas teritorijā radītajiem EEIA.</w:t>
            </w:r>
            <w:r w:rsidR="0055519D" w:rsidRPr="00933EF0">
              <w:rPr>
                <w:noProof/>
                <w:lang w:eastAsia="en-US" w:bidi="sa-IN"/>
              </w:rPr>
              <w:t xml:space="preserve"> 7.panta 1.un 3.punkts)</w:t>
            </w:r>
          </w:p>
        </w:tc>
        <w:tc>
          <w:tcPr>
            <w:tcW w:w="687" w:type="pct"/>
            <w:vAlign w:val="center"/>
          </w:tcPr>
          <w:p w14:paraId="61501DE5" w14:textId="77777777" w:rsidR="005F4551" w:rsidRPr="00933EF0" w:rsidRDefault="005F4551" w:rsidP="00933EF0">
            <w:pPr>
              <w:jc w:val="center"/>
              <w:rPr>
                <w:b/>
              </w:rPr>
            </w:pPr>
            <w:r w:rsidRPr="00933EF0">
              <w:t>2021.gada 14.augusts</w:t>
            </w:r>
          </w:p>
          <w:p w14:paraId="5997BA9F" w14:textId="77777777" w:rsidR="005F4551" w:rsidRPr="00933EF0" w:rsidRDefault="005F4551" w:rsidP="00933EF0">
            <w:pPr>
              <w:jc w:val="center"/>
              <w:rPr>
                <w:b/>
              </w:rPr>
            </w:pPr>
          </w:p>
        </w:tc>
      </w:tr>
      <w:tr w:rsidR="005F4551" w:rsidRPr="00933EF0" w14:paraId="65370A7D" w14:textId="77777777" w:rsidTr="00933EF0">
        <w:trPr>
          <w:trHeight w:val="835"/>
        </w:trPr>
        <w:tc>
          <w:tcPr>
            <w:tcW w:w="1288" w:type="pct"/>
            <w:vMerge/>
            <w:vAlign w:val="center"/>
          </w:tcPr>
          <w:p w14:paraId="10073589" w14:textId="77777777" w:rsidR="005F4551" w:rsidRPr="00933EF0" w:rsidRDefault="005F4551" w:rsidP="00933EF0">
            <w:pPr>
              <w:spacing w:before="60"/>
              <w:jc w:val="both"/>
            </w:pPr>
          </w:p>
        </w:tc>
        <w:tc>
          <w:tcPr>
            <w:tcW w:w="3025" w:type="pct"/>
          </w:tcPr>
          <w:p w14:paraId="7F9D9199" w14:textId="77777777" w:rsidR="005F4551" w:rsidRPr="00933EF0" w:rsidRDefault="005F4551" w:rsidP="006162E3">
            <w:pPr>
              <w:jc w:val="both"/>
              <w:rPr>
                <w:lang w:eastAsia="en-US" w:bidi="sa-IN"/>
              </w:rPr>
            </w:pPr>
            <w:r w:rsidRPr="00933EF0">
              <w:rPr>
                <w:noProof/>
                <w:lang w:eastAsia="en-US" w:bidi="sa-IN"/>
              </w:rPr>
              <w:t>Nodrošināt EEIA reģenerāciju un pārstrādi atbilstoši Direktīvas 2012/19/EK I pielikumā un III pielikumā noteiktajiem reģenerācijas un pārstrādes rādītājiem</w:t>
            </w:r>
            <w:r w:rsidRPr="00933EF0">
              <w:rPr>
                <w:lang w:eastAsia="en-US" w:bidi="sa-IN"/>
              </w:rPr>
              <w:t>min</w:t>
            </w:r>
          </w:p>
          <w:p w14:paraId="5AE789B3" w14:textId="77777777" w:rsidR="005F4551" w:rsidRPr="00933EF0" w:rsidRDefault="005F4551" w:rsidP="00862DBF">
            <w:pPr>
              <w:ind w:hanging="567"/>
              <w:rPr>
                <w:lang w:eastAsia="en-US" w:bidi="sa-IN"/>
              </w:rPr>
            </w:pPr>
            <w:r w:rsidRPr="00933EF0">
              <w:rPr>
                <w:lang w:eastAsia="en-US" w:bidi="sa-IN"/>
              </w:rPr>
              <w:t xml:space="preserve"> </w:t>
            </w:r>
          </w:p>
        </w:tc>
        <w:tc>
          <w:tcPr>
            <w:tcW w:w="687" w:type="pct"/>
            <w:vAlign w:val="center"/>
          </w:tcPr>
          <w:p w14:paraId="7F9A8040" w14:textId="77777777" w:rsidR="005F4551" w:rsidRPr="00933EF0" w:rsidRDefault="005F4551" w:rsidP="00933EF0">
            <w:pPr>
              <w:jc w:val="center"/>
              <w:rPr>
                <w:b/>
              </w:rPr>
            </w:pPr>
            <w:r w:rsidRPr="00933EF0">
              <w:t>Visā plāna darbības laikā</w:t>
            </w:r>
          </w:p>
        </w:tc>
      </w:tr>
      <w:tr w:rsidR="005F4551" w:rsidRPr="00933EF0" w14:paraId="012535F9" w14:textId="77777777" w:rsidTr="00933EF0">
        <w:trPr>
          <w:trHeight w:val="942"/>
        </w:trPr>
        <w:tc>
          <w:tcPr>
            <w:tcW w:w="1288" w:type="pct"/>
            <w:vAlign w:val="center"/>
          </w:tcPr>
          <w:p w14:paraId="0B9A4557" w14:textId="77777777" w:rsidR="005F4551" w:rsidRPr="00933EF0" w:rsidRDefault="005F4551" w:rsidP="00933EF0">
            <w:pPr>
              <w:jc w:val="both"/>
            </w:pPr>
            <w:r w:rsidRPr="00933EF0">
              <w:t>Eiropas Parlamenta un Padomes Direktīva 2006. gada 6.septembra 2006/66/EK par baterijām un akumulatoriem, un bateriju un akumulatoru atkritumiem un ar ko atceļ Direktīvu 91/157/</w:t>
            </w:r>
            <w:smartTag w:uri="schemas-tilde-lv/tildestengine" w:element="currency2">
              <w:smartTagPr>
                <w:attr w:name="currency_id" w:val="14"/>
                <w:attr w:name="currency_key" w:val="EEK"/>
                <w:attr w:name="currency_value" w:val="1"/>
                <w:attr w:name="currency_text" w:val="EEK"/>
              </w:smartTagPr>
              <w:r w:rsidRPr="00933EF0">
                <w:t>EEK</w:t>
              </w:r>
            </w:smartTag>
            <w:r w:rsidR="0055519D" w:rsidRPr="00933EF0">
              <w:t xml:space="preserve"> </w:t>
            </w:r>
            <w:r w:rsidRPr="00933EF0">
              <w:rPr>
                <w:bCs/>
              </w:rPr>
              <w:t>.</w:t>
            </w:r>
          </w:p>
        </w:tc>
        <w:tc>
          <w:tcPr>
            <w:tcW w:w="3025" w:type="pct"/>
          </w:tcPr>
          <w:p w14:paraId="3862CB9C" w14:textId="77777777" w:rsidR="005F4551" w:rsidRPr="00933EF0" w:rsidRDefault="005F4551" w:rsidP="00862DBF">
            <w:pPr>
              <w:spacing w:before="75" w:after="150"/>
              <w:ind w:right="21"/>
              <w:jc w:val="both"/>
            </w:pPr>
            <w:r w:rsidRPr="00933EF0">
              <w:t xml:space="preserve">Savākt 45 % no iepriekšējos trīs gados tirgū laistā pārnēsājamo bateriju un akumulatoru vidējā svara. </w:t>
            </w:r>
          </w:p>
        </w:tc>
        <w:tc>
          <w:tcPr>
            <w:tcW w:w="687" w:type="pct"/>
            <w:vAlign w:val="center"/>
          </w:tcPr>
          <w:p w14:paraId="4129F192" w14:textId="77777777" w:rsidR="005F4551" w:rsidRPr="00933EF0" w:rsidRDefault="0055519D" w:rsidP="00933EF0">
            <w:pPr>
              <w:jc w:val="center"/>
              <w:rPr>
                <w:b/>
              </w:rPr>
            </w:pPr>
            <w:r w:rsidRPr="00933EF0">
              <w:t>Visā plāna darbības laikā</w:t>
            </w:r>
          </w:p>
        </w:tc>
      </w:tr>
    </w:tbl>
    <w:p w14:paraId="0CAEB35C" w14:textId="3081A59F" w:rsidR="00306B34" w:rsidRDefault="00306B34" w:rsidP="00306B34">
      <w:pPr>
        <w:rPr>
          <w:sz w:val="28"/>
          <w:szCs w:val="28"/>
        </w:rPr>
      </w:pPr>
    </w:p>
    <w:p w14:paraId="2523900A" w14:textId="77777777" w:rsidR="00306B34" w:rsidRDefault="00306B34" w:rsidP="00306B34">
      <w:pPr>
        <w:rPr>
          <w:sz w:val="28"/>
          <w:szCs w:val="28"/>
        </w:rPr>
      </w:pPr>
    </w:p>
    <w:p w14:paraId="60598B46" w14:textId="77777777" w:rsidR="00306B34" w:rsidRDefault="00306B34" w:rsidP="00306B34">
      <w:pPr>
        <w:pStyle w:val="Header"/>
        <w:tabs>
          <w:tab w:val="clear" w:pos="4153"/>
        </w:tabs>
        <w:ind w:firstLine="709"/>
        <w:jc w:val="both"/>
        <w:rPr>
          <w:rFonts w:cstheme="minorBidi"/>
          <w:sz w:val="28"/>
          <w:szCs w:val="28"/>
        </w:rPr>
      </w:pPr>
      <w:r>
        <w:rPr>
          <w:sz w:val="28"/>
          <w:szCs w:val="28"/>
        </w:rPr>
        <w:t>Vides aizsardzības un</w:t>
      </w:r>
    </w:p>
    <w:p w14:paraId="6640ECBF" w14:textId="77777777" w:rsidR="00306B34" w:rsidRDefault="00306B34" w:rsidP="00306B34">
      <w:pPr>
        <w:pStyle w:val="Header"/>
        <w:tabs>
          <w:tab w:val="clear" w:pos="4153"/>
          <w:tab w:val="left" w:pos="6521"/>
        </w:tabs>
        <w:ind w:firstLine="709"/>
        <w:jc w:val="both"/>
        <w:rPr>
          <w:sz w:val="28"/>
          <w:szCs w:val="28"/>
        </w:rPr>
      </w:pPr>
      <w:r>
        <w:rPr>
          <w:sz w:val="28"/>
          <w:szCs w:val="28"/>
        </w:rPr>
        <w:t>reģionālās attīstības ministrs</w:t>
      </w:r>
      <w:r>
        <w:rPr>
          <w:sz w:val="28"/>
          <w:szCs w:val="28"/>
        </w:rPr>
        <w:tab/>
        <w:t>A. T. Plešs</w:t>
      </w:r>
    </w:p>
    <w:sectPr w:rsidR="00306B34" w:rsidSect="00306B34">
      <w:headerReference w:type="default" r:id="rId9"/>
      <w:footerReference w:type="default" r:id="rId10"/>
      <w:footerReference w:type="first" r:id="rId11"/>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232CC" w14:textId="77777777" w:rsidR="00301440" w:rsidRDefault="00301440" w:rsidP="00A85539">
      <w:r>
        <w:separator/>
      </w:r>
    </w:p>
  </w:endnote>
  <w:endnote w:type="continuationSeparator" w:id="0">
    <w:p w14:paraId="6C4FEF1C" w14:textId="77777777" w:rsidR="00301440" w:rsidRDefault="00301440" w:rsidP="00A8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8E9E4" w14:textId="77777777" w:rsidR="00306B34" w:rsidRPr="00306B34" w:rsidRDefault="00306B34" w:rsidP="00306B34">
    <w:pPr>
      <w:pStyle w:val="Footer"/>
      <w:rPr>
        <w:sz w:val="16"/>
        <w:szCs w:val="16"/>
      </w:rPr>
    </w:pPr>
    <w:r>
      <w:rPr>
        <w:sz w:val="16"/>
        <w:szCs w:val="16"/>
      </w:rPr>
      <w:t>(TA-2622)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E9806" w14:textId="3FAE768A" w:rsidR="00306B34" w:rsidRPr="00306B34" w:rsidRDefault="00306B34">
    <w:pPr>
      <w:pStyle w:val="Footer"/>
      <w:rPr>
        <w:sz w:val="16"/>
        <w:szCs w:val="16"/>
      </w:rPr>
    </w:pPr>
    <w:r>
      <w:rPr>
        <w:sz w:val="16"/>
        <w:szCs w:val="16"/>
      </w:rPr>
      <w:t>(TA-2622)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37618" w14:textId="77777777" w:rsidR="00301440" w:rsidRDefault="00301440" w:rsidP="00A85539">
      <w:r>
        <w:separator/>
      </w:r>
    </w:p>
  </w:footnote>
  <w:footnote w:type="continuationSeparator" w:id="0">
    <w:p w14:paraId="1703C38E" w14:textId="77777777" w:rsidR="00301440" w:rsidRDefault="00301440" w:rsidP="00A8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676700"/>
      <w:docPartObj>
        <w:docPartGallery w:val="Page Numbers (Top of Page)"/>
        <w:docPartUnique/>
      </w:docPartObj>
    </w:sdtPr>
    <w:sdtEndPr>
      <w:rPr>
        <w:noProof/>
      </w:rPr>
    </w:sdtEndPr>
    <w:sdtContent>
      <w:p w14:paraId="0888CFA0" w14:textId="77777777" w:rsidR="00A85539" w:rsidRDefault="00A85539">
        <w:pPr>
          <w:pStyle w:val="Header"/>
          <w:jc w:val="center"/>
        </w:pPr>
        <w:r>
          <w:fldChar w:fldCharType="begin"/>
        </w:r>
        <w:r>
          <w:instrText xml:space="preserve"> PAGE   \* MERGEFORMAT </w:instrText>
        </w:r>
        <w:r>
          <w:fldChar w:fldCharType="separate"/>
        </w:r>
        <w:r w:rsidR="00EA2FAC">
          <w:rPr>
            <w:noProof/>
          </w:rPr>
          <w:t>1</w:t>
        </w:r>
        <w:r>
          <w:rPr>
            <w:noProof/>
          </w:rPr>
          <w:fldChar w:fldCharType="end"/>
        </w:r>
      </w:p>
    </w:sdtContent>
  </w:sdt>
  <w:p w14:paraId="0391E16E" w14:textId="77777777" w:rsidR="00A85539" w:rsidRDefault="00A855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551"/>
    <w:rsid w:val="00045518"/>
    <w:rsid w:val="000C1BFD"/>
    <w:rsid w:val="001724D4"/>
    <w:rsid w:val="002B4D09"/>
    <w:rsid w:val="002D167C"/>
    <w:rsid w:val="00301440"/>
    <w:rsid w:val="00306B34"/>
    <w:rsid w:val="00312F9D"/>
    <w:rsid w:val="00424954"/>
    <w:rsid w:val="004D025F"/>
    <w:rsid w:val="004F6FB2"/>
    <w:rsid w:val="0055519D"/>
    <w:rsid w:val="005F4551"/>
    <w:rsid w:val="006162E3"/>
    <w:rsid w:val="006754F0"/>
    <w:rsid w:val="006849A3"/>
    <w:rsid w:val="006F1886"/>
    <w:rsid w:val="00700D2F"/>
    <w:rsid w:val="00714A76"/>
    <w:rsid w:val="007B6F2F"/>
    <w:rsid w:val="00881680"/>
    <w:rsid w:val="008A65AB"/>
    <w:rsid w:val="008D4E2B"/>
    <w:rsid w:val="00933EF0"/>
    <w:rsid w:val="009906BF"/>
    <w:rsid w:val="00A85539"/>
    <w:rsid w:val="00AB3219"/>
    <w:rsid w:val="00AE701D"/>
    <w:rsid w:val="00B4223E"/>
    <w:rsid w:val="00B86B37"/>
    <w:rsid w:val="00C60AF8"/>
    <w:rsid w:val="00C969D6"/>
    <w:rsid w:val="00D14089"/>
    <w:rsid w:val="00D3665D"/>
    <w:rsid w:val="00D820E7"/>
    <w:rsid w:val="00DC1CB5"/>
    <w:rsid w:val="00E02758"/>
    <w:rsid w:val="00E25FD4"/>
    <w:rsid w:val="00E400C8"/>
    <w:rsid w:val="00E90BD6"/>
    <w:rsid w:val="00EA2FAC"/>
    <w:rsid w:val="00EA5E76"/>
    <w:rsid w:val="00F3177E"/>
    <w:rsid w:val="00F42954"/>
    <w:rsid w:val="00F60355"/>
    <w:rsid w:val="00F7691C"/>
    <w:rsid w:val="00F77330"/>
    <w:rsid w:val="00FD24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09D2D50E"/>
  <w15:chartTrackingRefBased/>
  <w15:docId w15:val="{383D07E7-266A-4E59-ADF0-8B73BCD9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55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5F4551"/>
    <w:pPr>
      <w:keepNext/>
      <w:spacing w:before="240" w:after="60"/>
      <w:jc w:val="center"/>
      <w:outlineLvl w:val="0"/>
    </w:pPr>
    <w:rPr>
      <w:rFonts w:eastAsia="MS Mincho"/>
      <w:b/>
      <w:bCs/>
      <w:kern w:val="32"/>
      <w:sz w:val="3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4551"/>
    <w:rPr>
      <w:rFonts w:ascii="Times New Roman" w:eastAsia="MS Mincho" w:hAnsi="Times New Roman" w:cs="Times New Roman"/>
      <w:b/>
      <w:bCs/>
      <w:kern w:val="32"/>
      <w:sz w:val="32"/>
      <w:szCs w:val="24"/>
      <w:lang w:val="en-GB" w:eastAsia="ja-JP"/>
    </w:rPr>
  </w:style>
  <w:style w:type="paragraph" w:styleId="ListParagraph">
    <w:name w:val="List Paragraph"/>
    <w:basedOn w:val="Normal"/>
    <w:uiPriority w:val="34"/>
    <w:qFormat/>
    <w:rsid w:val="005F4551"/>
    <w:pPr>
      <w:ind w:left="720"/>
      <w:contextualSpacing/>
    </w:pPr>
  </w:style>
  <w:style w:type="paragraph" w:styleId="Header">
    <w:name w:val="header"/>
    <w:basedOn w:val="Normal"/>
    <w:link w:val="HeaderChar"/>
    <w:uiPriority w:val="99"/>
    <w:unhideWhenUsed/>
    <w:rsid w:val="00A85539"/>
    <w:pPr>
      <w:tabs>
        <w:tab w:val="center" w:pos="4153"/>
        <w:tab w:val="right" w:pos="8306"/>
      </w:tabs>
    </w:pPr>
  </w:style>
  <w:style w:type="character" w:customStyle="1" w:styleId="HeaderChar">
    <w:name w:val="Header Char"/>
    <w:basedOn w:val="DefaultParagraphFont"/>
    <w:link w:val="Header"/>
    <w:uiPriority w:val="99"/>
    <w:rsid w:val="00A8553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85539"/>
    <w:pPr>
      <w:tabs>
        <w:tab w:val="center" w:pos="4153"/>
        <w:tab w:val="right" w:pos="8306"/>
      </w:tabs>
    </w:pPr>
  </w:style>
  <w:style w:type="character" w:customStyle="1" w:styleId="FooterChar">
    <w:name w:val="Footer Char"/>
    <w:basedOn w:val="DefaultParagraphFont"/>
    <w:link w:val="Footer"/>
    <w:uiPriority w:val="99"/>
    <w:rsid w:val="00A85539"/>
    <w:rPr>
      <w:rFonts w:ascii="Times New Roman" w:eastAsia="Times New Roman" w:hAnsi="Times New Roman" w:cs="Times New Roman"/>
      <w:sz w:val="24"/>
      <w:szCs w:val="24"/>
      <w:lang w:eastAsia="lv-LV"/>
    </w:rPr>
  </w:style>
  <w:style w:type="paragraph" w:styleId="TOC1">
    <w:name w:val="toc 1"/>
    <w:basedOn w:val="Normal"/>
    <w:next w:val="Normal"/>
    <w:autoRedefine/>
    <w:semiHidden/>
    <w:unhideWhenUsed/>
    <w:rsid w:val="00A85539"/>
    <w:pPr>
      <w:tabs>
        <w:tab w:val="left" w:pos="0"/>
        <w:tab w:val="right" w:leader="dot" w:pos="9000"/>
      </w:tabs>
      <w:jc w:val="both"/>
    </w:pPr>
    <w:rPr>
      <w:rFonts w:eastAsia="MS Mincho"/>
      <w:bCs/>
      <w:iCs/>
      <w:noProof/>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404643">
      <w:bodyDiv w:val="1"/>
      <w:marLeft w:val="0"/>
      <w:marRight w:val="0"/>
      <w:marTop w:val="0"/>
      <w:marBottom w:val="0"/>
      <w:divBdr>
        <w:top w:val="none" w:sz="0" w:space="0" w:color="auto"/>
        <w:left w:val="none" w:sz="0" w:space="0" w:color="auto"/>
        <w:bottom w:val="none" w:sz="0" w:space="0" w:color="auto"/>
        <w:right w:val="none" w:sz="0" w:space="0" w:color="auto"/>
      </w:divBdr>
    </w:div>
    <w:div w:id="1465542279">
      <w:bodyDiv w:val="1"/>
      <w:marLeft w:val="0"/>
      <w:marRight w:val="0"/>
      <w:marTop w:val="0"/>
      <w:marBottom w:val="0"/>
      <w:divBdr>
        <w:top w:val="none" w:sz="0" w:space="0" w:color="auto"/>
        <w:left w:val="none" w:sz="0" w:space="0" w:color="auto"/>
        <w:bottom w:val="none" w:sz="0" w:space="0" w:color="auto"/>
        <w:right w:val="none" w:sz="0" w:space="0" w:color="auto"/>
      </w:divBdr>
    </w:div>
    <w:div w:id="1679572837">
      <w:bodyDiv w:val="1"/>
      <w:marLeft w:val="0"/>
      <w:marRight w:val="0"/>
      <w:marTop w:val="0"/>
      <w:marBottom w:val="0"/>
      <w:divBdr>
        <w:top w:val="none" w:sz="0" w:space="0" w:color="auto"/>
        <w:left w:val="none" w:sz="0" w:space="0" w:color="auto"/>
        <w:bottom w:val="none" w:sz="0" w:space="0" w:color="auto"/>
        <w:right w:val="none" w:sz="0" w:space="0" w:color="auto"/>
      </w:divBdr>
    </w:div>
    <w:div w:id="173821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978650fdf22c0c9a0e9543bb0e34063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ff23940b4e502ab88bb0bef0479d9c9b"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60A4B5-D9F4-4268-A587-B31452AD8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0345A-0EBB-4879-9C8F-76A2298A0778}">
  <ds:schemaRefs>
    <ds:schemaRef ds:uri="http://schemas.microsoft.com/sharepoint/v3/contenttype/forms"/>
  </ds:schemaRefs>
</ds:datastoreItem>
</file>

<file path=customXml/itemProps3.xml><?xml version="1.0" encoding="utf-8"?>
<ds:datastoreItem xmlns:ds="http://schemas.openxmlformats.org/officeDocument/2006/customXml" ds:itemID="{F49D7D41-91FE-412D-90F3-BBE85BAE9C3E}">
  <ds:schemaRef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122e0e09-afb4-4bf9-abab-ecc4519bc6eb"/>
    <ds:schemaRef ds:uri="ace8e44c-fa88-44c0-8590-dfda63664a6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2768</Words>
  <Characters>1578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2.pielikums Atkritumu apsaimniekošanas valsts plānam 2021.-2028.gadam</vt:lpstr>
    </vt:vector>
  </TitlesOfParts>
  <Manager>Erika.Lagzdina@varam.gov.lv</Manager>
  <Company>VARAM</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Atkritumu apsaimniekošanas valsts plānam 2021.-2028.gadam</dc:title>
  <dc:subject>Pielikums</dc:subject>
  <dc:creator>Erika.Lagzdina@varam.gov.lv</dc:creator>
  <cp:keywords/>
  <dc:description>e-pasts: 
pasts@varam.gov.lv
Tālrunis: 67026420</dc:description>
  <cp:lastModifiedBy>Aija Talmane</cp:lastModifiedBy>
  <cp:revision>4</cp:revision>
  <dcterms:created xsi:type="dcterms:W3CDTF">2020-12-22T11:54:00Z</dcterms:created>
  <dcterms:modified xsi:type="dcterms:W3CDTF">2021-01-12T11:25:00Z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