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BCB7" w14:textId="524FB071" w:rsidR="00B27359" w:rsidRPr="00200258" w:rsidRDefault="00B27359" w:rsidP="00B27359">
      <w:pPr>
        <w:jc w:val="right"/>
        <w:rPr>
          <w:b/>
          <w:bCs/>
        </w:rPr>
      </w:pPr>
      <w:bookmarkStart w:id="0" w:name="_Toc337476321"/>
      <w:r w:rsidRPr="00200258">
        <w:rPr>
          <w:b/>
          <w:bCs/>
        </w:rPr>
        <w:t>3.</w:t>
      </w:r>
      <w:r w:rsidR="00A37EF8" w:rsidRPr="00200258">
        <w:rPr>
          <w:b/>
          <w:bCs/>
        </w:rPr>
        <w:t> </w:t>
      </w:r>
      <w:r w:rsidRPr="00200258">
        <w:rPr>
          <w:b/>
          <w:bCs/>
        </w:rPr>
        <w:t>pielikums</w:t>
      </w:r>
    </w:p>
    <w:p w14:paraId="17C7684A" w14:textId="77777777" w:rsidR="00B27359" w:rsidRPr="00200258" w:rsidRDefault="00B27359" w:rsidP="00B27359">
      <w:pPr>
        <w:jc w:val="right"/>
      </w:pPr>
      <w:r w:rsidRPr="00200258">
        <w:t>Atkritumu apsaimniekošanas valsts plānam</w:t>
      </w:r>
    </w:p>
    <w:p w14:paraId="57F88E03" w14:textId="77777777" w:rsidR="00B27359" w:rsidRPr="00200258" w:rsidRDefault="00B27359" w:rsidP="00B27359">
      <w:pPr>
        <w:jc w:val="right"/>
      </w:pPr>
      <w:r w:rsidRPr="00200258">
        <w:t>2021.- 2028.gadam</w:t>
      </w:r>
    </w:p>
    <w:p w14:paraId="43C65552" w14:textId="0DAB0430" w:rsidR="00EE6FEC" w:rsidRPr="00200258" w:rsidRDefault="00674A23" w:rsidP="00C25243">
      <w:pPr>
        <w:keepNext/>
        <w:spacing w:before="240" w:after="60"/>
        <w:jc w:val="center"/>
        <w:outlineLvl w:val="0"/>
        <w:rPr>
          <w:rFonts w:eastAsia="MS Mincho"/>
          <w:b/>
          <w:bCs/>
          <w:kern w:val="32"/>
          <w:lang w:eastAsia="ja-JP"/>
        </w:rPr>
      </w:pPr>
      <w:r w:rsidRPr="00200258">
        <w:rPr>
          <w:rFonts w:eastAsia="MS Mincho"/>
          <w:b/>
          <w:bCs/>
          <w:kern w:val="32"/>
          <w:lang w:eastAsia="ja-JP"/>
        </w:rPr>
        <w:t xml:space="preserve">Informācija par sasniedzamo rezultātu izpildi </w:t>
      </w:r>
      <w:r w:rsidR="00EE6FEC" w:rsidRPr="00200258">
        <w:rPr>
          <w:rFonts w:eastAsia="MS Mincho"/>
          <w:b/>
          <w:bCs/>
          <w:kern w:val="32"/>
          <w:lang w:eastAsia="ja-JP"/>
        </w:rPr>
        <w:t>atsevišķiem atkritumu veidiem un atkritumu plūsmā</w:t>
      </w:r>
      <w:r w:rsidR="00A169E0" w:rsidRPr="00200258">
        <w:rPr>
          <w:rFonts w:eastAsia="MS Mincho"/>
          <w:b/>
          <w:bCs/>
          <w:kern w:val="32"/>
          <w:lang w:eastAsia="ja-JP"/>
        </w:rPr>
        <w:t xml:space="preserve">m atbilstoši </w:t>
      </w:r>
      <w:r w:rsidR="00EE6FEC" w:rsidRPr="00200258">
        <w:rPr>
          <w:rFonts w:eastAsia="MS Mincho"/>
          <w:b/>
          <w:bCs/>
          <w:kern w:val="32"/>
          <w:lang w:eastAsia="ja-JP"/>
        </w:rPr>
        <w:t>E</w:t>
      </w:r>
      <w:r w:rsidR="00A40ABA" w:rsidRPr="00200258">
        <w:rPr>
          <w:rFonts w:eastAsia="MS Mincho"/>
          <w:b/>
          <w:bCs/>
          <w:kern w:val="32"/>
          <w:lang w:eastAsia="ja-JP"/>
        </w:rPr>
        <w:t xml:space="preserve">iropas </w:t>
      </w:r>
      <w:r w:rsidR="00EE6FEC" w:rsidRPr="00200258">
        <w:rPr>
          <w:rFonts w:eastAsia="MS Mincho"/>
          <w:b/>
          <w:bCs/>
          <w:kern w:val="32"/>
          <w:lang w:eastAsia="ja-JP"/>
        </w:rPr>
        <w:t>S</w:t>
      </w:r>
      <w:r w:rsidR="00A40ABA" w:rsidRPr="00200258">
        <w:rPr>
          <w:rFonts w:eastAsia="MS Mincho"/>
          <w:b/>
          <w:bCs/>
          <w:kern w:val="32"/>
          <w:lang w:eastAsia="ja-JP"/>
        </w:rPr>
        <w:t>avienības</w:t>
      </w:r>
      <w:r w:rsidR="00EE6FEC" w:rsidRPr="00200258">
        <w:rPr>
          <w:rFonts w:eastAsia="MS Mincho"/>
          <w:b/>
          <w:bCs/>
          <w:kern w:val="32"/>
          <w:lang w:eastAsia="ja-JP"/>
        </w:rPr>
        <w:t xml:space="preserve"> direktīvu prasībām</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360"/>
        <w:gridCol w:w="1741"/>
        <w:gridCol w:w="5577"/>
      </w:tblGrid>
      <w:tr w:rsidR="00200258" w:rsidRPr="00200258" w14:paraId="6BC68AE3" w14:textId="77777777" w:rsidTr="22599E9B">
        <w:trPr>
          <w:tblHeader/>
        </w:trPr>
        <w:tc>
          <w:tcPr>
            <w:tcW w:w="964" w:type="pct"/>
            <w:shd w:val="clear" w:color="auto" w:fill="E2EFD9" w:themeFill="accent6" w:themeFillTint="33"/>
            <w:vAlign w:val="center"/>
          </w:tcPr>
          <w:p w14:paraId="2AC3F1E6" w14:textId="77777777" w:rsidR="00EE6FEC" w:rsidRPr="00200258" w:rsidRDefault="00EE6FEC" w:rsidP="00C25243">
            <w:pPr>
              <w:spacing w:before="60" w:after="60"/>
              <w:jc w:val="center"/>
              <w:rPr>
                <w:b/>
              </w:rPr>
            </w:pPr>
            <w:r w:rsidRPr="00200258">
              <w:rPr>
                <w:b/>
              </w:rPr>
              <w:t>Direktīva</w:t>
            </w:r>
          </w:p>
        </w:tc>
        <w:tc>
          <w:tcPr>
            <w:tcW w:w="1270" w:type="pct"/>
            <w:shd w:val="clear" w:color="auto" w:fill="E2EFD9" w:themeFill="accent6" w:themeFillTint="33"/>
            <w:vAlign w:val="center"/>
          </w:tcPr>
          <w:p w14:paraId="3A23C67E" w14:textId="74CC4F66" w:rsidR="00EE6FEC" w:rsidRPr="00200258" w:rsidRDefault="00EE6FEC" w:rsidP="00C25243">
            <w:pPr>
              <w:spacing w:before="60" w:after="60"/>
              <w:jc w:val="center"/>
              <w:rPr>
                <w:b/>
              </w:rPr>
            </w:pPr>
            <w:r w:rsidRPr="00200258">
              <w:rPr>
                <w:b/>
              </w:rPr>
              <w:t>Sasniedzamie rezultatīvie rādītāji</w:t>
            </w:r>
          </w:p>
        </w:tc>
        <w:tc>
          <w:tcPr>
            <w:tcW w:w="658" w:type="pct"/>
            <w:shd w:val="clear" w:color="auto" w:fill="E2EFD9" w:themeFill="accent6" w:themeFillTint="33"/>
            <w:vAlign w:val="center"/>
          </w:tcPr>
          <w:p w14:paraId="0982A39F" w14:textId="77777777" w:rsidR="00EE6FEC" w:rsidRPr="00200258" w:rsidRDefault="00EE6FEC" w:rsidP="00C25243">
            <w:pPr>
              <w:spacing w:before="60" w:after="60"/>
              <w:jc w:val="center"/>
              <w:rPr>
                <w:b/>
              </w:rPr>
            </w:pPr>
            <w:r w:rsidRPr="00200258">
              <w:rPr>
                <w:b/>
              </w:rPr>
              <w:t>Sasniedzamie termiņi</w:t>
            </w:r>
          </w:p>
        </w:tc>
        <w:tc>
          <w:tcPr>
            <w:tcW w:w="2108" w:type="pct"/>
            <w:shd w:val="clear" w:color="auto" w:fill="E2EFD9" w:themeFill="accent6" w:themeFillTint="33"/>
            <w:vAlign w:val="center"/>
          </w:tcPr>
          <w:p w14:paraId="73CBC80D" w14:textId="5F9E7473" w:rsidR="00EE6FEC" w:rsidRPr="00200258" w:rsidRDefault="00D9115A" w:rsidP="3265E1E6">
            <w:pPr>
              <w:spacing w:before="60" w:after="60"/>
              <w:jc w:val="center"/>
              <w:rPr>
                <w:b/>
                <w:bCs/>
              </w:rPr>
            </w:pPr>
            <w:r w:rsidRPr="00200258">
              <w:rPr>
                <w:b/>
                <w:bCs/>
              </w:rPr>
              <w:t>Informācija par rezultatīvā rādītāja izpildi</w:t>
            </w:r>
          </w:p>
        </w:tc>
      </w:tr>
      <w:tr w:rsidR="00200258" w:rsidRPr="00200258" w14:paraId="3F4AE50C" w14:textId="77777777" w:rsidTr="22599E9B">
        <w:tc>
          <w:tcPr>
            <w:tcW w:w="964" w:type="pct"/>
            <w:vMerge w:val="restart"/>
            <w:vAlign w:val="center"/>
          </w:tcPr>
          <w:p w14:paraId="5AC8FC6F" w14:textId="3F5CD4E6" w:rsidR="002A16B5" w:rsidRPr="00200258" w:rsidRDefault="002A16B5" w:rsidP="00C25243">
            <w:pPr>
              <w:spacing w:before="60" w:after="60"/>
              <w:jc w:val="both"/>
            </w:pPr>
            <w:r w:rsidRPr="00200258">
              <w:t>Padomes 1999.gada 26.aprīļa direktīva 1999/31/EK par atkritumu apglabāšanu poligonos</w:t>
            </w:r>
          </w:p>
        </w:tc>
        <w:tc>
          <w:tcPr>
            <w:tcW w:w="1270" w:type="pct"/>
          </w:tcPr>
          <w:p w14:paraId="6B890E4E" w14:textId="32BFF204" w:rsidR="002A16B5" w:rsidRPr="00200258" w:rsidRDefault="002A16B5" w:rsidP="00F40F74">
            <w:pPr>
              <w:spacing w:before="60" w:after="60"/>
              <w:jc w:val="both"/>
            </w:pPr>
            <w:r w:rsidRPr="00200258">
              <w:t>Samazināt apglabājamo bioloģiski noārdāmo atkritumu daudzumu līdz 50% no 1995.gadā apglabātā bioloģiski noārdāmo atkritumu daudzuma</w:t>
            </w:r>
            <w:r w:rsidR="00A37EF8" w:rsidRPr="00200258">
              <w:t>.</w:t>
            </w:r>
          </w:p>
        </w:tc>
        <w:tc>
          <w:tcPr>
            <w:tcW w:w="658" w:type="pct"/>
            <w:vAlign w:val="center"/>
          </w:tcPr>
          <w:p w14:paraId="03F6BA54" w14:textId="556267C6" w:rsidR="002A16B5" w:rsidRPr="00200258" w:rsidRDefault="002A16B5" w:rsidP="00C25243">
            <w:pPr>
              <w:spacing w:before="60" w:after="60"/>
              <w:jc w:val="center"/>
            </w:pPr>
            <w:r w:rsidRPr="00200258">
              <w:t>2013.gada 16.jūlijs</w:t>
            </w:r>
          </w:p>
        </w:tc>
        <w:tc>
          <w:tcPr>
            <w:tcW w:w="2108" w:type="pct"/>
          </w:tcPr>
          <w:p w14:paraId="2B56E2E3" w14:textId="4B5CECAF" w:rsidR="002A16B5" w:rsidRPr="00200258" w:rsidRDefault="002A16B5" w:rsidP="4144E5B3">
            <w:pPr>
              <w:spacing w:before="60" w:after="60"/>
              <w:jc w:val="both"/>
              <w:rPr>
                <w:b/>
                <w:bCs/>
              </w:rPr>
            </w:pPr>
            <w:r w:rsidRPr="00200258">
              <w:rPr>
                <w:b/>
                <w:bCs/>
              </w:rPr>
              <w:t xml:space="preserve">Nav izpildīts. 2019.gadā tika apglabāti </w:t>
            </w:r>
            <w:r w:rsidR="5F31ECC9" w:rsidRPr="00200258">
              <w:rPr>
                <w:b/>
                <w:bCs/>
              </w:rPr>
              <w:t>55,</w:t>
            </w:r>
            <w:r w:rsidRPr="00200258">
              <w:rPr>
                <w:b/>
                <w:bCs/>
              </w:rPr>
              <w:t xml:space="preserve">7% </w:t>
            </w:r>
            <w:r w:rsidRPr="00200258">
              <w:t xml:space="preserve">no 1995.gadā apglabātā bioloģiski noārdāmo atkritumu daudzuma. </w:t>
            </w:r>
          </w:p>
        </w:tc>
      </w:tr>
      <w:tr w:rsidR="00200258" w:rsidRPr="00200258" w14:paraId="1A442CFB" w14:textId="77777777" w:rsidTr="22599E9B">
        <w:tc>
          <w:tcPr>
            <w:tcW w:w="964" w:type="pct"/>
            <w:vMerge/>
            <w:vAlign w:val="center"/>
          </w:tcPr>
          <w:p w14:paraId="1EBDC731" w14:textId="77777777" w:rsidR="002A16B5" w:rsidRPr="00200258" w:rsidRDefault="002A16B5" w:rsidP="00C25243">
            <w:pPr>
              <w:spacing w:before="60" w:after="60"/>
              <w:jc w:val="both"/>
            </w:pPr>
          </w:p>
        </w:tc>
        <w:tc>
          <w:tcPr>
            <w:tcW w:w="1270" w:type="pct"/>
          </w:tcPr>
          <w:p w14:paraId="718F541A" w14:textId="7413B2D1" w:rsidR="002A16B5" w:rsidRPr="00200258" w:rsidRDefault="002A16B5" w:rsidP="00F40F74">
            <w:pPr>
              <w:spacing w:before="60" w:after="60"/>
              <w:jc w:val="both"/>
            </w:pPr>
            <w:r w:rsidRPr="00200258">
              <w:t>Samazināt apglabājamo bioloģiski noārdāmo atkritumu daudzumu līdz 35 % no 1995.gadā apglabātā bioloģiski noārdāmo atkritumu daudzuma</w:t>
            </w:r>
            <w:r w:rsidR="00A37EF8" w:rsidRPr="00200258">
              <w:t>.</w:t>
            </w:r>
          </w:p>
        </w:tc>
        <w:tc>
          <w:tcPr>
            <w:tcW w:w="658" w:type="pct"/>
            <w:vAlign w:val="center"/>
          </w:tcPr>
          <w:p w14:paraId="229A5738" w14:textId="6EBEE49A" w:rsidR="002A16B5" w:rsidRPr="00200258" w:rsidRDefault="002A16B5" w:rsidP="00C25243">
            <w:pPr>
              <w:spacing w:before="60" w:after="60"/>
              <w:jc w:val="center"/>
            </w:pPr>
            <w:r w:rsidRPr="00200258">
              <w:t>2020.gada 16.jūlijs</w:t>
            </w:r>
          </w:p>
        </w:tc>
        <w:tc>
          <w:tcPr>
            <w:tcW w:w="2108" w:type="pct"/>
          </w:tcPr>
          <w:p w14:paraId="1610B6DE" w14:textId="32BF09F3" w:rsidR="002A16B5" w:rsidRPr="00200258" w:rsidRDefault="002A16B5" w:rsidP="00054B71">
            <w:pPr>
              <w:spacing w:before="60" w:after="60"/>
              <w:jc w:val="both"/>
              <w:rPr>
                <w:b/>
              </w:rPr>
            </w:pPr>
            <w:r w:rsidRPr="00200258">
              <w:rPr>
                <w:b/>
              </w:rPr>
              <w:t xml:space="preserve">Nav izpildīts. Var prognozēt, ka 2020.gadā tiks apglabāti </w:t>
            </w:r>
            <w:r w:rsidR="009120F6" w:rsidRPr="00200258">
              <w:rPr>
                <w:b/>
              </w:rPr>
              <w:t>48,4</w:t>
            </w:r>
            <w:r w:rsidRPr="00200258">
              <w:rPr>
                <w:b/>
              </w:rPr>
              <w:t xml:space="preserve">% </w:t>
            </w:r>
            <w:r w:rsidRPr="00200258">
              <w:t xml:space="preserve">no 1995.gadā apglabātā bioloģiski noārdāmo atkritumu daudzuma. </w:t>
            </w:r>
          </w:p>
        </w:tc>
      </w:tr>
      <w:tr w:rsidR="00200258" w:rsidRPr="00200258" w14:paraId="1D1B3379" w14:textId="77777777" w:rsidTr="22599E9B">
        <w:tc>
          <w:tcPr>
            <w:tcW w:w="964" w:type="pct"/>
            <w:vMerge w:val="restart"/>
            <w:vAlign w:val="center"/>
          </w:tcPr>
          <w:p w14:paraId="3ACB2385" w14:textId="77777777" w:rsidR="00EE6FEC" w:rsidRPr="00200258" w:rsidRDefault="00EE6FEC" w:rsidP="00C25243">
            <w:pPr>
              <w:spacing w:before="60" w:after="60"/>
              <w:jc w:val="both"/>
              <w:rPr>
                <w:bCs/>
              </w:rPr>
            </w:pPr>
            <w:r w:rsidRPr="00200258">
              <w:t xml:space="preserve">Eiropas Parlamenta un Padomes </w:t>
            </w:r>
            <w:r w:rsidRPr="00200258">
              <w:rPr>
                <w:bCs/>
              </w:rPr>
              <w:t>2008.</w:t>
            </w:r>
            <w:r w:rsidR="00A768EA" w:rsidRPr="00200258">
              <w:rPr>
                <w:bCs/>
              </w:rPr>
              <w:t> </w:t>
            </w:r>
            <w:r w:rsidRPr="00200258">
              <w:rPr>
                <w:bCs/>
              </w:rPr>
              <w:t>gada 19.</w:t>
            </w:r>
            <w:r w:rsidR="00A768EA" w:rsidRPr="00200258">
              <w:rPr>
                <w:bCs/>
              </w:rPr>
              <w:t> </w:t>
            </w:r>
            <w:r w:rsidRPr="00200258">
              <w:rPr>
                <w:bCs/>
              </w:rPr>
              <w:t xml:space="preserve">novembra </w:t>
            </w:r>
            <w:r w:rsidRPr="00200258">
              <w:t xml:space="preserve">Direktīva </w:t>
            </w:r>
            <w:r w:rsidRPr="00200258">
              <w:rPr>
                <w:bCs/>
              </w:rPr>
              <w:t>2008/98/EK par atkritumiem un par dažu direktīvu atcelšanu</w:t>
            </w:r>
          </w:p>
          <w:p w14:paraId="1E1E854D" w14:textId="50DD9792" w:rsidR="00EE6FEC" w:rsidRPr="00200258" w:rsidRDefault="00EE6FEC" w:rsidP="00C25243">
            <w:pPr>
              <w:spacing w:before="60" w:after="60"/>
              <w:jc w:val="both"/>
              <w:rPr>
                <w:bCs/>
              </w:rPr>
            </w:pPr>
            <w:r w:rsidRPr="00200258">
              <w:rPr>
                <w:bCs/>
              </w:rPr>
              <w:lastRenderedPageBreak/>
              <w:t>(11.</w:t>
            </w:r>
            <w:r w:rsidR="00A768EA" w:rsidRPr="00200258">
              <w:rPr>
                <w:bCs/>
              </w:rPr>
              <w:t> </w:t>
            </w:r>
            <w:r w:rsidRPr="00200258">
              <w:rPr>
                <w:bCs/>
              </w:rPr>
              <w:t>panta 1.</w:t>
            </w:r>
            <w:r w:rsidR="00A768EA" w:rsidRPr="00200258">
              <w:rPr>
                <w:bCs/>
              </w:rPr>
              <w:t> </w:t>
            </w:r>
            <w:r w:rsidRPr="00200258">
              <w:rPr>
                <w:bCs/>
              </w:rPr>
              <w:t>punkta 3.</w:t>
            </w:r>
            <w:r w:rsidR="00A768EA" w:rsidRPr="00200258">
              <w:rPr>
                <w:bCs/>
              </w:rPr>
              <w:t> </w:t>
            </w:r>
            <w:r w:rsidRPr="00200258">
              <w:rPr>
                <w:bCs/>
              </w:rPr>
              <w:t>rindkopa un 2.</w:t>
            </w:r>
            <w:r w:rsidR="00B45843" w:rsidRPr="00200258">
              <w:rPr>
                <w:bCs/>
              </w:rPr>
              <w:t xml:space="preserve"> punkta </w:t>
            </w:r>
            <w:r w:rsidRPr="00200258">
              <w:rPr>
                <w:bCs/>
              </w:rPr>
              <w:t>a) un b)</w:t>
            </w:r>
            <w:r w:rsidR="00B45843" w:rsidRPr="00200258">
              <w:rPr>
                <w:bCs/>
              </w:rPr>
              <w:t xml:space="preserve"> apakš</w:t>
            </w:r>
            <w:r w:rsidRPr="00200258">
              <w:rPr>
                <w:bCs/>
              </w:rPr>
              <w:t>punkts).</w:t>
            </w:r>
          </w:p>
          <w:p w14:paraId="13ECA89A" w14:textId="77777777" w:rsidR="00EE6FEC" w:rsidRPr="00200258" w:rsidRDefault="00EE6FEC" w:rsidP="00C25243">
            <w:pPr>
              <w:spacing w:before="60" w:after="60"/>
              <w:jc w:val="both"/>
            </w:pPr>
          </w:p>
        </w:tc>
        <w:tc>
          <w:tcPr>
            <w:tcW w:w="1270" w:type="pct"/>
          </w:tcPr>
          <w:p w14:paraId="790CD650" w14:textId="77777777" w:rsidR="00EE6FEC" w:rsidRPr="00200258" w:rsidRDefault="00EE6FEC" w:rsidP="00F40F74">
            <w:pPr>
              <w:spacing w:before="60" w:after="60"/>
              <w:jc w:val="both"/>
            </w:pPr>
            <w:r w:rsidRPr="00200258">
              <w:lastRenderedPageBreak/>
              <w:t>Attīstīt un pilnveidot dalītas savākšanas sistēmu papīram, metālam, plastmasai un stiklam, nodrošinot sistēmas darbību un pakalpojuma pieejamību visā valsts teritorijā.</w:t>
            </w:r>
          </w:p>
        </w:tc>
        <w:tc>
          <w:tcPr>
            <w:tcW w:w="658" w:type="pct"/>
            <w:vAlign w:val="center"/>
          </w:tcPr>
          <w:p w14:paraId="7C86A801" w14:textId="77777777" w:rsidR="00EE6FEC" w:rsidRPr="00200258" w:rsidRDefault="00EE6FEC" w:rsidP="00C25243">
            <w:pPr>
              <w:spacing w:before="60" w:after="60"/>
              <w:jc w:val="center"/>
            </w:pPr>
            <w:r w:rsidRPr="00200258">
              <w:t>2014.</w:t>
            </w:r>
            <w:r w:rsidR="00B45843" w:rsidRPr="00200258">
              <w:t> </w:t>
            </w:r>
            <w:r w:rsidRPr="00200258">
              <w:t>gada 31.</w:t>
            </w:r>
            <w:r w:rsidR="00B45843" w:rsidRPr="00200258">
              <w:t> </w:t>
            </w:r>
            <w:r w:rsidRPr="00200258">
              <w:t>decembris</w:t>
            </w:r>
          </w:p>
          <w:p w14:paraId="54E832C3" w14:textId="77777777" w:rsidR="00EE6FEC" w:rsidRPr="00200258" w:rsidRDefault="00EE6FEC" w:rsidP="00C25243">
            <w:pPr>
              <w:spacing w:before="60" w:after="60"/>
              <w:jc w:val="center"/>
            </w:pPr>
          </w:p>
        </w:tc>
        <w:tc>
          <w:tcPr>
            <w:tcW w:w="2108" w:type="pct"/>
          </w:tcPr>
          <w:p w14:paraId="6AF03B2E" w14:textId="26D00AEA" w:rsidR="00EE6FEC" w:rsidRPr="00200258" w:rsidRDefault="00D9115A" w:rsidP="00054B71">
            <w:pPr>
              <w:spacing w:before="60" w:after="60"/>
              <w:jc w:val="both"/>
            </w:pPr>
            <w:r w:rsidRPr="00200258">
              <w:rPr>
                <w:b/>
              </w:rPr>
              <w:t>Rezultatīvais rādītājs</w:t>
            </w:r>
            <w:r w:rsidRPr="00200258">
              <w:t xml:space="preserve"> </w:t>
            </w:r>
            <w:r w:rsidRPr="00200258">
              <w:rPr>
                <w:b/>
              </w:rPr>
              <w:t>izpildīts daļēji.</w:t>
            </w:r>
            <w:r w:rsidRPr="00200258">
              <w:t xml:space="preserve">  Vidēji valstī viens atkritumu dalītās savākšanas punkts ir ierīkots uz </w:t>
            </w:r>
            <w:r w:rsidR="00665752" w:rsidRPr="00200258">
              <w:t>656</w:t>
            </w:r>
            <w:r w:rsidRPr="00200258">
              <w:t xml:space="preserve"> iedzīvotājiem (atbilst normatīvo aktu prasībām</w:t>
            </w:r>
            <w:r w:rsidRPr="00200258">
              <w:rPr>
                <w:rStyle w:val="FootnoteReference"/>
              </w:rPr>
              <w:footnoteReference w:id="2"/>
            </w:r>
            <w:r w:rsidRPr="00200258">
              <w:t>), bet viens dalītās savākšanas laukums ir ierīkots uz 14816 iedzīvotājiem (neatbilst normatīvo aktu prasībām</w:t>
            </w:r>
            <w:r w:rsidRPr="00200258">
              <w:rPr>
                <w:rStyle w:val="FootnoteReference"/>
              </w:rPr>
              <w:footnoteReference w:id="3"/>
            </w:r>
            <w:r w:rsidRPr="00200258">
              <w:t>)</w:t>
            </w:r>
            <w:r w:rsidR="00F40F74" w:rsidRPr="00200258">
              <w:t xml:space="preserve"> (informācija uz </w:t>
            </w:r>
            <w:r w:rsidR="00054B71" w:rsidRPr="00200258">
              <w:t>201</w:t>
            </w:r>
            <w:r w:rsidR="00665752" w:rsidRPr="00200258">
              <w:t>9</w:t>
            </w:r>
            <w:r w:rsidR="00054B71" w:rsidRPr="00200258">
              <w:t xml:space="preserve">.gada </w:t>
            </w:r>
            <w:r w:rsidR="00F40F74" w:rsidRPr="00200258">
              <w:t>beigām)</w:t>
            </w:r>
            <w:r w:rsidRPr="00200258">
              <w:t>.</w:t>
            </w:r>
          </w:p>
        </w:tc>
      </w:tr>
      <w:tr w:rsidR="00200258" w:rsidRPr="00200258" w14:paraId="2AF1DD08" w14:textId="77777777" w:rsidTr="22599E9B">
        <w:tc>
          <w:tcPr>
            <w:tcW w:w="964" w:type="pct"/>
            <w:vMerge/>
            <w:vAlign w:val="center"/>
          </w:tcPr>
          <w:p w14:paraId="379261D4" w14:textId="77777777" w:rsidR="00EE6FEC" w:rsidRPr="00200258" w:rsidRDefault="00EE6FEC" w:rsidP="00C25243">
            <w:pPr>
              <w:spacing w:before="60" w:after="60"/>
              <w:jc w:val="both"/>
            </w:pPr>
          </w:p>
        </w:tc>
        <w:tc>
          <w:tcPr>
            <w:tcW w:w="1270" w:type="pct"/>
          </w:tcPr>
          <w:p w14:paraId="05BFD6B0" w14:textId="77777777" w:rsidR="00EE6FEC" w:rsidRPr="00200258" w:rsidRDefault="00EE6FEC" w:rsidP="00F40F74">
            <w:pPr>
              <w:spacing w:before="60" w:after="60"/>
              <w:jc w:val="both"/>
            </w:pPr>
            <w:r w:rsidRPr="00200258">
              <w:t>Sagatavot otrreizējai izmantošanai un pārstrādāt vismaz 50% (pēc svara) mājsaimniecības atkritumos un citās līdzīgās atkritumu plūsmās esošos papīra, metāla, plastmasas un stikla atkritumus.</w:t>
            </w:r>
          </w:p>
        </w:tc>
        <w:tc>
          <w:tcPr>
            <w:tcW w:w="658" w:type="pct"/>
            <w:vAlign w:val="center"/>
          </w:tcPr>
          <w:p w14:paraId="2B9BDB28" w14:textId="77777777" w:rsidR="00EE6FEC" w:rsidRPr="00200258" w:rsidRDefault="00EE6FEC" w:rsidP="00C25243">
            <w:pPr>
              <w:spacing w:before="60" w:after="60"/>
              <w:jc w:val="center"/>
            </w:pPr>
            <w:r w:rsidRPr="00200258">
              <w:t>2019.</w:t>
            </w:r>
            <w:r w:rsidR="00B45843" w:rsidRPr="00200258">
              <w:t> </w:t>
            </w:r>
            <w:r w:rsidRPr="00200258">
              <w:t>gada 31.</w:t>
            </w:r>
            <w:r w:rsidR="00B45843" w:rsidRPr="00200258">
              <w:t> </w:t>
            </w:r>
            <w:r w:rsidRPr="00200258">
              <w:t>decembris</w:t>
            </w:r>
          </w:p>
          <w:p w14:paraId="1533505F" w14:textId="77777777" w:rsidR="00EE6FEC" w:rsidRPr="00200258" w:rsidRDefault="00EE6FEC" w:rsidP="00C25243">
            <w:pPr>
              <w:spacing w:before="60" w:after="60"/>
              <w:jc w:val="center"/>
            </w:pPr>
          </w:p>
        </w:tc>
        <w:tc>
          <w:tcPr>
            <w:tcW w:w="2108" w:type="pct"/>
          </w:tcPr>
          <w:p w14:paraId="6C9F00E2" w14:textId="63195A87" w:rsidR="00EE6FEC" w:rsidRPr="00200258" w:rsidRDefault="00D9115A" w:rsidP="00D9115A">
            <w:pPr>
              <w:spacing w:before="60" w:after="60"/>
              <w:jc w:val="both"/>
            </w:pPr>
            <w:r w:rsidRPr="00200258">
              <w:rPr>
                <w:b/>
              </w:rPr>
              <w:t xml:space="preserve">Rezultatīvais rādītājs </w:t>
            </w:r>
            <w:r w:rsidR="005F27B5" w:rsidRPr="00200258">
              <w:rPr>
                <w:b/>
              </w:rPr>
              <w:t>nav izpildīts.</w:t>
            </w:r>
            <w:r w:rsidR="005F27B5" w:rsidRPr="00200258">
              <w:t xml:space="preserve"> 201</w:t>
            </w:r>
            <w:r w:rsidR="00F01CD8" w:rsidRPr="00200258">
              <w:t>9</w:t>
            </w:r>
            <w:r w:rsidR="005F27B5" w:rsidRPr="00200258">
              <w:t>.</w:t>
            </w:r>
            <w:r w:rsidR="0088752D" w:rsidRPr="00200258">
              <w:t> </w:t>
            </w:r>
            <w:r w:rsidR="005F27B5" w:rsidRPr="00200258">
              <w:t xml:space="preserve">gadā ir sagatavoti otrreizējai izmantošanai un pārstrādāti </w:t>
            </w:r>
            <w:r w:rsidR="00A70331" w:rsidRPr="00200258">
              <w:t xml:space="preserve">44,3 </w:t>
            </w:r>
            <w:r w:rsidR="005F27B5" w:rsidRPr="00200258">
              <w:t xml:space="preserve">% </w:t>
            </w:r>
            <w:r w:rsidR="00674A23" w:rsidRPr="00200258">
              <w:t>mājsaimniecības  atkritumu.</w:t>
            </w:r>
            <w:r w:rsidR="00674A23" w:rsidRPr="00200258">
              <w:rPr>
                <w:rStyle w:val="FootnoteReference"/>
              </w:rPr>
              <w:footnoteReference w:id="4"/>
            </w:r>
          </w:p>
        </w:tc>
      </w:tr>
      <w:tr w:rsidR="00200258" w:rsidRPr="00200258" w14:paraId="2280806C" w14:textId="77777777" w:rsidTr="22599E9B">
        <w:trPr>
          <w:trHeight w:val="1776"/>
        </w:trPr>
        <w:tc>
          <w:tcPr>
            <w:tcW w:w="964" w:type="pct"/>
            <w:vMerge/>
            <w:vAlign w:val="center"/>
          </w:tcPr>
          <w:p w14:paraId="1BB94A5C" w14:textId="77777777" w:rsidR="00EE6FEC" w:rsidRPr="00200258" w:rsidRDefault="00EE6FEC" w:rsidP="00C25243">
            <w:pPr>
              <w:spacing w:before="60" w:after="60"/>
              <w:jc w:val="both"/>
            </w:pPr>
          </w:p>
        </w:tc>
        <w:tc>
          <w:tcPr>
            <w:tcW w:w="1270" w:type="pct"/>
          </w:tcPr>
          <w:p w14:paraId="2E6665B8" w14:textId="77777777" w:rsidR="00EE6FEC" w:rsidRPr="00200258" w:rsidRDefault="00EE6FEC" w:rsidP="00F40F74">
            <w:pPr>
              <w:spacing w:before="60" w:after="60"/>
              <w:jc w:val="both"/>
            </w:pPr>
            <w:r w:rsidRPr="00200258">
              <w:t>Palielināt līdz vismaz 70 % pēc svara sagatavošanu atkārtotai izmantošanai, pārstrādei un citai materiālai reģenerācijai, tostarp aizbēršanai, izmantojot atkritumus kā citu materiālu aizstājējus</w:t>
            </w:r>
          </w:p>
        </w:tc>
        <w:tc>
          <w:tcPr>
            <w:tcW w:w="658" w:type="pct"/>
            <w:vAlign w:val="center"/>
          </w:tcPr>
          <w:p w14:paraId="29590376" w14:textId="77777777" w:rsidR="00EE6FEC" w:rsidRPr="00200258" w:rsidRDefault="00EE6FEC" w:rsidP="00C25243">
            <w:pPr>
              <w:spacing w:before="60" w:after="60"/>
              <w:jc w:val="center"/>
            </w:pPr>
            <w:r w:rsidRPr="00200258">
              <w:t>2019.</w:t>
            </w:r>
            <w:r w:rsidR="0088752D" w:rsidRPr="00200258">
              <w:t> </w:t>
            </w:r>
            <w:r w:rsidRPr="00200258">
              <w:t>gada 31.</w:t>
            </w:r>
            <w:r w:rsidR="0088752D" w:rsidRPr="00200258">
              <w:t> </w:t>
            </w:r>
            <w:r w:rsidRPr="00200258">
              <w:t>decembris</w:t>
            </w:r>
          </w:p>
          <w:p w14:paraId="56E68182" w14:textId="77777777" w:rsidR="00EE6FEC" w:rsidRPr="00200258" w:rsidRDefault="00EE6FEC" w:rsidP="00C25243">
            <w:pPr>
              <w:spacing w:before="60" w:after="60"/>
              <w:jc w:val="center"/>
            </w:pPr>
          </w:p>
          <w:p w14:paraId="6403488B" w14:textId="77777777" w:rsidR="00EE6FEC" w:rsidRPr="00200258" w:rsidRDefault="00EE6FEC" w:rsidP="00C25243">
            <w:pPr>
              <w:spacing w:before="60" w:after="60"/>
              <w:jc w:val="center"/>
            </w:pPr>
          </w:p>
        </w:tc>
        <w:tc>
          <w:tcPr>
            <w:tcW w:w="2108" w:type="pct"/>
          </w:tcPr>
          <w:p w14:paraId="6D02E10C" w14:textId="5FD87F56" w:rsidR="00EE6FEC" w:rsidRPr="00200258" w:rsidRDefault="00D9115A" w:rsidP="00D9115A">
            <w:pPr>
              <w:spacing w:before="60" w:after="60"/>
              <w:jc w:val="both"/>
            </w:pPr>
            <w:r w:rsidRPr="00200258">
              <w:rPr>
                <w:b/>
              </w:rPr>
              <w:t>Rezultatīvais rādītājs</w:t>
            </w:r>
            <w:r w:rsidR="005F27B5" w:rsidRPr="00200258">
              <w:t xml:space="preserve"> </w:t>
            </w:r>
            <w:r w:rsidR="005F27B5" w:rsidRPr="00200258">
              <w:rPr>
                <w:b/>
              </w:rPr>
              <w:t xml:space="preserve">ir izpildīts. </w:t>
            </w:r>
            <w:r w:rsidR="005F27B5" w:rsidRPr="00200258">
              <w:t>Atbilstoši Eurostat paziņotajai informācijai, 201</w:t>
            </w:r>
            <w:r w:rsidR="00DF7BD8" w:rsidRPr="00200258">
              <w:t>8</w:t>
            </w:r>
            <w:r w:rsidR="005F27B5" w:rsidRPr="00200258">
              <w:t>.</w:t>
            </w:r>
            <w:r w:rsidR="0088752D" w:rsidRPr="00200258">
              <w:t> </w:t>
            </w:r>
            <w:r w:rsidR="005F27B5" w:rsidRPr="00200258">
              <w:t>gadā ir pārstrādāti un citai materiālai reģenerācijai, tostarp aizbēršanai, izmantoti 9</w:t>
            </w:r>
            <w:r w:rsidR="00014157" w:rsidRPr="00200258">
              <w:t>9</w:t>
            </w:r>
            <w:r w:rsidR="005F27B5" w:rsidRPr="00200258">
              <w:t>% būvniecības atkritumu. 201</w:t>
            </w:r>
            <w:r w:rsidR="00374CB2" w:rsidRPr="00200258">
              <w:t>8</w:t>
            </w:r>
            <w:r w:rsidR="005F27B5" w:rsidRPr="00200258">
              <w:t>.</w:t>
            </w:r>
            <w:r w:rsidR="00DA1A6D" w:rsidRPr="00200258">
              <w:t> </w:t>
            </w:r>
            <w:r w:rsidR="005F27B5" w:rsidRPr="00200258">
              <w:t>gadā ir pārstrādāti un citai materiālai reģenerācijai, tostarp aizbēršanai, izmantoti 9</w:t>
            </w:r>
            <w:r w:rsidR="00014157" w:rsidRPr="00200258">
              <w:t>9</w:t>
            </w:r>
            <w:r w:rsidR="005F27B5" w:rsidRPr="00200258">
              <w:t xml:space="preserve"> % būvniecības atkritumu</w:t>
            </w:r>
            <w:r w:rsidRPr="00200258">
              <w:t>.</w:t>
            </w:r>
            <w:r w:rsidR="00674A23" w:rsidRPr="00200258">
              <w:rPr>
                <w:rStyle w:val="FootnoteReference"/>
              </w:rPr>
              <w:footnoteReference w:id="5"/>
            </w:r>
          </w:p>
        </w:tc>
      </w:tr>
      <w:tr w:rsidR="00200258" w:rsidRPr="00200258" w14:paraId="5A740E81" w14:textId="77777777" w:rsidTr="22599E9B">
        <w:trPr>
          <w:trHeight w:val="1665"/>
        </w:trPr>
        <w:tc>
          <w:tcPr>
            <w:tcW w:w="964" w:type="pct"/>
            <w:vMerge w:val="restart"/>
            <w:vAlign w:val="center"/>
          </w:tcPr>
          <w:p w14:paraId="58645BA9" w14:textId="430BD486" w:rsidR="00EE6FEC" w:rsidRPr="00200258" w:rsidRDefault="00EE6FEC" w:rsidP="00C25243">
            <w:pPr>
              <w:jc w:val="both"/>
            </w:pPr>
            <w:r w:rsidRPr="00200258">
              <w:lastRenderedPageBreak/>
              <w:t>Eiropas Parlamenta un Padomes 1994. gada 20.</w:t>
            </w:r>
            <w:r w:rsidR="00AE762E" w:rsidRPr="00200258">
              <w:t> </w:t>
            </w:r>
            <w:r w:rsidRPr="00200258">
              <w:t>decembra Direktīva 94/62/EK par iepakojumu un izlietoto iepakojumu</w:t>
            </w:r>
          </w:p>
          <w:p w14:paraId="1D1D4E38" w14:textId="5D0EE21B" w:rsidR="00EE6FEC" w:rsidRPr="00200258" w:rsidRDefault="00EE6FEC" w:rsidP="00C25243">
            <w:pPr>
              <w:jc w:val="both"/>
            </w:pPr>
            <w:r w:rsidRPr="00200258">
              <w:t>(6.</w:t>
            </w:r>
            <w:r w:rsidR="00AE762E" w:rsidRPr="00200258">
              <w:t> </w:t>
            </w:r>
            <w:r w:rsidRPr="00200258">
              <w:t>panta 1.</w:t>
            </w:r>
            <w:r w:rsidR="00AE762E" w:rsidRPr="00200258">
              <w:t> </w:t>
            </w:r>
            <w:r w:rsidRPr="00200258">
              <w:t>punkts).</w:t>
            </w:r>
          </w:p>
          <w:p w14:paraId="084E7C6F" w14:textId="77777777" w:rsidR="00EE6FEC" w:rsidRPr="00200258" w:rsidRDefault="00EE6FEC" w:rsidP="00C25243">
            <w:pPr>
              <w:jc w:val="both"/>
            </w:pPr>
          </w:p>
        </w:tc>
        <w:tc>
          <w:tcPr>
            <w:tcW w:w="1270" w:type="pct"/>
          </w:tcPr>
          <w:p w14:paraId="460869BE"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Reģenerēt 60% no izlietotā iepakojuma un sasniegt šādus minimālos reģenerācijas mērķus:</w:t>
            </w:r>
          </w:p>
          <w:p w14:paraId="4BCD7970"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- 65% pēc svara stiklam;</w:t>
            </w:r>
          </w:p>
          <w:p w14:paraId="24B8883E"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- 83% pēc svara papīram un kartonam;</w:t>
            </w:r>
          </w:p>
          <w:p w14:paraId="564F8219"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- 50% pēc svara metāliem;</w:t>
            </w:r>
          </w:p>
          <w:p w14:paraId="433ECF2D"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- 41% pēc svara plastmasām, uzskaitot tikai tādus materiālus, kas pārstrādāti plastmasā;</w:t>
            </w:r>
          </w:p>
          <w:p w14:paraId="5B9EBFDF" w14:textId="77777777" w:rsidR="00EE6FEC" w:rsidRPr="00200258" w:rsidRDefault="00EE6FEC" w:rsidP="00F40F74">
            <w:pPr>
              <w:spacing w:before="60"/>
            </w:pPr>
            <w:r w:rsidRPr="00200258">
              <w:t>- 29% pēc svara kokam.</w:t>
            </w:r>
          </w:p>
        </w:tc>
        <w:tc>
          <w:tcPr>
            <w:tcW w:w="658" w:type="pct"/>
            <w:shd w:val="clear" w:color="auto" w:fill="auto"/>
            <w:vAlign w:val="center"/>
          </w:tcPr>
          <w:p w14:paraId="7433B5A2" w14:textId="7E1FDDF3" w:rsidR="00EE6FEC" w:rsidRPr="00200258" w:rsidRDefault="00EE6FEC" w:rsidP="00C25243">
            <w:pPr>
              <w:spacing w:before="60"/>
              <w:jc w:val="center"/>
            </w:pPr>
            <w:r w:rsidRPr="00200258">
              <w:t>2015.</w:t>
            </w:r>
            <w:r w:rsidR="00AE762E" w:rsidRPr="00200258">
              <w:t> </w:t>
            </w:r>
            <w:r w:rsidRPr="00200258">
              <w:t>gada 31.</w:t>
            </w:r>
            <w:r w:rsidR="00AE762E" w:rsidRPr="00200258">
              <w:t> </w:t>
            </w:r>
            <w:r w:rsidRPr="00200258">
              <w:t>decembris</w:t>
            </w:r>
          </w:p>
          <w:p w14:paraId="7ECC1011" w14:textId="77777777" w:rsidR="00EE6FEC" w:rsidRPr="00200258" w:rsidRDefault="00EE6FEC" w:rsidP="00C25243">
            <w:pPr>
              <w:spacing w:before="60"/>
              <w:jc w:val="center"/>
            </w:pPr>
          </w:p>
        </w:tc>
        <w:tc>
          <w:tcPr>
            <w:tcW w:w="2108" w:type="pct"/>
          </w:tcPr>
          <w:p w14:paraId="75916511" w14:textId="17495FAE" w:rsidR="00EE6FEC" w:rsidRPr="00200258" w:rsidRDefault="00522175" w:rsidP="00D9115A">
            <w:pPr>
              <w:spacing w:before="60"/>
              <w:jc w:val="both"/>
            </w:pPr>
            <w:r w:rsidRPr="00200258">
              <w:rPr>
                <w:b/>
                <w:bCs/>
              </w:rPr>
              <w:t xml:space="preserve">Kopējais izlietotā iepakojuma reģenerācijas </w:t>
            </w:r>
            <w:r w:rsidR="00D9115A" w:rsidRPr="00200258">
              <w:rPr>
                <w:b/>
                <w:bCs/>
              </w:rPr>
              <w:t xml:space="preserve">rezultatīvais rādītājs </w:t>
            </w:r>
            <w:r w:rsidRPr="00200258">
              <w:rPr>
                <w:b/>
                <w:bCs/>
              </w:rPr>
              <w:t>ir izpildīts.</w:t>
            </w:r>
            <w:r w:rsidR="00674A23" w:rsidRPr="00200258">
              <w:rPr>
                <w:rStyle w:val="FootnoteReference"/>
              </w:rPr>
              <w:footnoteReference w:id="6"/>
            </w:r>
            <w:r w:rsidRPr="00200258">
              <w:t xml:space="preserve"> 201</w:t>
            </w:r>
            <w:r w:rsidR="4D0C4C77" w:rsidRPr="00200258">
              <w:t>8</w:t>
            </w:r>
            <w:r w:rsidRPr="00200258">
              <w:t xml:space="preserve">.gadā reģenerēti </w:t>
            </w:r>
            <w:r w:rsidR="0017386A" w:rsidRPr="00200258">
              <w:t>6</w:t>
            </w:r>
            <w:r w:rsidR="0D212E39" w:rsidRPr="00200258">
              <w:t>4</w:t>
            </w:r>
            <w:r w:rsidR="0017386A" w:rsidRPr="00200258">
              <w:t>,</w:t>
            </w:r>
            <w:r w:rsidR="4512737A" w:rsidRPr="00200258">
              <w:t>34</w:t>
            </w:r>
            <w:r w:rsidRPr="00200258">
              <w:t>% izlietotā iepakojuma, tajā skaitā:</w:t>
            </w:r>
          </w:p>
          <w:p w14:paraId="65DF37FB" w14:textId="1E9B998C" w:rsidR="00522175" w:rsidRPr="00200258" w:rsidRDefault="00522175" w:rsidP="00D9115A">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stiklam </w:t>
            </w:r>
            <w:r w:rsidR="0017386A" w:rsidRPr="00200258">
              <w:rPr>
                <w:lang w:eastAsia="en-US"/>
              </w:rPr>
              <w:t>6</w:t>
            </w:r>
            <w:r w:rsidR="53E1AB85" w:rsidRPr="00200258">
              <w:rPr>
                <w:lang w:eastAsia="en-US"/>
              </w:rPr>
              <w:t>8</w:t>
            </w:r>
            <w:r w:rsidR="0017386A" w:rsidRPr="00200258">
              <w:rPr>
                <w:lang w:eastAsia="en-US"/>
              </w:rPr>
              <w:t>,</w:t>
            </w:r>
            <w:r w:rsidR="5C6A2504" w:rsidRPr="00200258">
              <w:rPr>
                <w:lang w:eastAsia="en-US"/>
              </w:rPr>
              <w:t>84</w:t>
            </w:r>
            <w:r w:rsidR="0017386A" w:rsidRPr="00200258">
              <w:rPr>
                <w:lang w:eastAsia="en-US"/>
              </w:rPr>
              <w:t xml:space="preserve"> </w:t>
            </w:r>
            <w:r w:rsidRPr="00200258">
              <w:rPr>
                <w:lang w:eastAsia="en-US"/>
              </w:rPr>
              <w:t>%;</w:t>
            </w:r>
          </w:p>
          <w:p w14:paraId="3F738D4C" w14:textId="09BEAD45" w:rsidR="00522175" w:rsidRPr="00200258" w:rsidRDefault="00522175" w:rsidP="00D9115A">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papīram un kartonam </w:t>
            </w:r>
            <w:r w:rsidR="00ED3EA3" w:rsidRPr="00200258">
              <w:rPr>
                <w:lang w:eastAsia="en-US"/>
              </w:rPr>
              <w:t>8</w:t>
            </w:r>
            <w:r w:rsidR="308FE9F5" w:rsidRPr="00200258">
              <w:rPr>
                <w:lang w:eastAsia="en-US"/>
              </w:rPr>
              <w:t>4</w:t>
            </w:r>
            <w:r w:rsidR="00ED3EA3" w:rsidRPr="00200258">
              <w:rPr>
                <w:lang w:eastAsia="en-US"/>
              </w:rPr>
              <w:t>,</w:t>
            </w:r>
            <w:r w:rsidR="38A63238" w:rsidRPr="00200258">
              <w:rPr>
                <w:lang w:eastAsia="en-US"/>
              </w:rPr>
              <w:t>56</w:t>
            </w:r>
            <w:r w:rsidR="00ED3EA3" w:rsidRPr="00200258">
              <w:rPr>
                <w:lang w:eastAsia="en-US"/>
              </w:rPr>
              <w:t xml:space="preserve"> </w:t>
            </w:r>
            <w:r w:rsidRPr="00200258">
              <w:rPr>
                <w:lang w:eastAsia="en-US"/>
              </w:rPr>
              <w:t>%</w:t>
            </w:r>
          </w:p>
          <w:p w14:paraId="4F0072C7" w14:textId="468C221B" w:rsidR="00522175" w:rsidRPr="00200258" w:rsidRDefault="00522175" w:rsidP="00D9115A">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metāliem </w:t>
            </w:r>
            <w:r w:rsidR="00ED3EA3" w:rsidRPr="00200258">
              <w:rPr>
                <w:lang w:eastAsia="en-US"/>
              </w:rPr>
              <w:t>7</w:t>
            </w:r>
            <w:r w:rsidR="4BC6136A" w:rsidRPr="00200258">
              <w:rPr>
                <w:lang w:eastAsia="en-US"/>
              </w:rPr>
              <w:t>1</w:t>
            </w:r>
            <w:r w:rsidR="00ED3EA3" w:rsidRPr="00200258">
              <w:rPr>
                <w:lang w:eastAsia="en-US"/>
              </w:rPr>
              <w:t>,</w:t>
            </w:r>
            <w:r w:rsidR="4A183569" w:rsidRPr="00200258">
              <w:rPr>
                <w:lang w:eastAsia="en-US"/>
              </w:rPr>
              <w:t>38</w:t>
            </w:r>
            <w:r w:rsidR="00ED3EA3" w:rsidRPr="00200258">
              <w:rPr>
                <w:lang w:eastAsia="en-US"/>
              </w:rPr>
              <w:t xml:space="preserve"> </w:t>
            </w:r>
            <w:r w:rsidRPr="00200258">
              <w:rPr>
                <w:lang w:eastAsia="en-US"/>
              </w:rPr>
              <w:t>%</w:t>
            </w:r>
            <w:r w:rsidR="00D9115A" w:rsidRPr="00200258">
              <w:rPr>
                <w:lang w:eastAsia="en-US"/>
              </w:rPr>
              <w:t>;</w:t>
            </w:r>
          </w:p>
          <w:p w14:paraId="5F4011C9" w14:textId="23F41D74" w:rsidR="00522175" w:rsidRPr="00200258" w:rsidRDefault="00522175" w:rsidP="00D9115A">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plastmasām </w:t>
            </w:r>
            <w:r w:rsidR="2A3FF6B6" w:rsidRPr="00200258">
              <w:rPr>
                <w:lang w:eastAsia="en-US"/>
              </w:rPr>
              <w:t>50</w:t>
            </w:r>
            <w:r w:rsidR="00ED3EA3" w:rsidRPr="00200258">
              <w:rPr>
                <w:lang w:eastAsia="en-US"/>
              </w:rPr>
              <w:t>,</w:t>
            </w:r>
            <w:r w:rsidR="04046238" w:rsidRPr="00200258">
              <w:rPr>
                <w:lang w:eastAsia="en-US"/>
              </w:rPr>
              <w:t>77</w:t>
            </w:r>
            <w:r w:rsidR="00ED3EA3" w:rsidRPr="00200258">
              <w:rPr>
                <w:lang w:eastAsia="en-US"/>
              </w:rPr>
              <w:t xml:space="preserve"> </w:t>
            </w:r>
            <w:r w:rsidRPr="00200258">
              <w:rPr>
                <w:lang w:eastAsia="en-US"/>
              </w:rPr>
              <w:t>%</w:t>
            </w:r>
            <w:r w:rsidR="00D9115A" w:rsidRPr="00200258">
              <w:rPr>
                <w:lang w:eastAsia="en-US"/>
              </w:rPr>
              <w:t>;</w:t>
            </w:r>
          </w:p>
          <w:p w14:paraId="37F72F86" w14:textId="6A3D9122" w:rsidR="00522175" w:rsidRPr="00200258" w:rsidRDefault="00522175" w:rsidP="00D9115A">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kokam </w:t>
            </w:r>
            <w:r w:rsidR="24221A5C" w:rsidRPr="00200258">
              <w:rPr>
                <w:lang w:eastAsia="en-US"/>
              </w:rPr>
              <w:t>47</w:t>
            </w:r>
            <w:r w:rsidR="00BF05F4" w:rsidRPr="00200258">
              <w:rPr>
                <w:lang w:eastAsia="en-US"/>
              </w:rPr>
              <w:t>,</w:t>
            </w:r>
            <w:r w:rsidR="3B2F8203" w:rsidRPr="00200258">
              <w:rPr>
                <w:lang w:eastAsia="en-US"/>
              </w:rPr>
              <w:t>68</w:t>
            </w:r>
            <w:r w:rsidR="00BF05F4" w:rsidRPr="00200258">
              <w:rPr>
                <w:lang w:eastAsia="en-US"/>
              </w:rPr>
              <w:t xml:space="preserve"> </w:t>
            </w:r>
            <w:r w:rsidRPr="00200258">
              <w:rPr>
                <w:lang w:eastAsia="en-US"/>
              </w:rPr>
              <w:t>%</w:t>
            </w:r>
            <w:r w:rsidR="00D9115A" w:rsidRPr="00200258">
              <w:rPr>
                <w:lang w:eastAsia="en-US"/>
              </w:rPr>
              <w:t>.</w:t>
            </w:r>
          </w:p>
          <w:p w14:paraId="20E709EA" w14:textId="77777777" w:rsidR="00522175" w:rsidRPr="00200258" w:rsidRDefault="00522175" w:rsidP="00F40F74">
            <w:pPr>
              <w:spacing w:before="60"/>
              <w:jc w:val="center"/>
            </w:pPr>
          </w:p>
        </w:tc>
      </w:tr>
      <w:tr w:rsidR="00200258" w:rsidRPr="00200258" w14:paraId="0F0AD3B3" w14:textId="77777777" w:rsidTr="22599E9B">
        <w:trPr>
          <w:trHeight w:val="931"/>
        </w:trPr>
        <w:tc>
          <w:tcPr>
            <w:tcW w:w="964" w:type="pct"/>
            <w:vMerge/>
            <w:vAlign w:val="center"/>
          </w:tcPr>
          <w:p w14:paraId="315D430E" w14:textId="77777777" w:rsidR="00EE6FEC" w:rsidRPr="00200258" w:rsidRDefault="00EE6FEC" w:rsidP="00C25243">
            <w:pPr>
              <w:spacing w:before="60"/>
              <w:jc w:val="both"/>
            </w:pPr>
          </w:p>
        </w:tc>
        <w:tc>
          <w:tcPr>
            <w:tcW w:w="1270" w:type="pct"/>
          </w:tcPr>
          <w:p w14:paraId="61E241E8"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Pārstrādāt 55% no izlietotā iepakojuma un sasniegt šādus minimālos reģenerācijas mērķus:</w:t>
            </w:r>
          </w:p>
          <w:p w14:paraId="4007489C"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- 60% pēc svara stiklam;</w:t>
            </w:r>
          </w:p>
          <w:p w14:paraId="72794EA7"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- 60% pēc svara papīram un kartonam;</w:t>
            </w:r>
          </w:p>
          <w:p w14:paraId="32CB4F89"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- 50% pēc svara metāliem;</w:t>
            </w:r>
          </w:p>
          <w:p w14:paraId="3CB6FFC7" w14:textId="77777777" w:rsidR="00EE6FEC" w:rsidRPr="00200258" w:rsidRDefault="00EE6FEC" w:rsidP="00F40F74">
            <w:pPr>
              <w:keepNext/>
              <w:keepLines/>
              <w:overflowPunct w:val="0"/>
              <w:autoSpaceDE w:val="0"/>
              <w:autoSpaceDN w:val="0"/>
              <w:adjustRightInd w:val="0"/>
              <w:spacing w:before="40" w:after="40"/>
              <w:jc w:val="both"/>
              <w:textAlignment w:val="baseline"/>
              <w:rPr>
                <w:lang w:eastAsia="en-US"/>
              </w:rPr>
            </w:pPr>
            <w:r w:rsidRPr="00200258">
              <w:rPr>
                <w:lang w:eastAsia="en-US"/>
              </w:rPr>
              <w:t>- 22.5% pēc svara plastmasām, uzskaitot tikai tādus materiālus, kas pārstrādāti plastmasā;</w:t>
            </w:r>
          </w:p>
          <w:p w14:paraId="537F5A4C" w14:textId="77777777" w:rsidR="00EE6FEC" w:rsidRPr="00200258" w:rsidRDefault="00EE6FEC" w:rsidP="00F40F74">
            <w:pPr>
              <w:keepNext/>
              <w:keepLines/>
              <w:overflowPunct w:val="0"/>
              <w:autoSpaceDE w:val="0"/>
              <w:autoSpaceDN w:val="0"/>
              <w:adjustRightInd w:val="0"/>
              <w:spacing w:before="40" w:after="40"/>
              <w:jc w:val="both"/>
              <w:textAlignment w:val="baseline"/>
              <w:rPr>
                <w:highlight w:val="yellow"/>
                <w:lang w:eastAsia="en-US"/>
              </w:rPr>
            </w:pPr>
            <w:r w:rsidRPr="00200258">
              <w:rPr>
                <w:lang w:val="en-GB" w:eastAsia="en-US"/>
              </w:rPr>
              <w:t xml:space="preserve">- 15% </w:t>
            </w:r>
            <w:proofErr w:type="spellStart"/>
            <w:r w:rsidRPr="00200258">
              <w:rPr>
                <w:lang w:val="en-GB" w:eastAsia="en-US"/>
              </w:rPr>
              <w:t>pēc</w:t>
            </w:r>
            <w:proofErr w:type="spellEnd"/>
            <w:r w:rsidRPr="00200258">
              <w:rPr>
                <w:lang w:val="en-GB" w:eastAsia="en-US"/>
              </w:rPr>
              <w:t xml:space="preserve"> </w:t>
            </w:r>
            <w:proofErr w:type="spellStart"/>
            <w:r w:rsidRPr="00200258">
              <w:rPr>
                <w:lang w:val="en-GB" w:eastAsia="en-US"/>
              </w:rPr>
              <w:t>svara</w:t>
            </w:r>
            <w:proofErr w:type="spellEnd"/>
            <w:r w:rsidRPr="00200258">
              <w:rPr>
                <w:lang w:val="en-GB" w:eastAsia="en-US"/>
              </w:rPr>
              <w:t xml:space="preserve"> </w:t>
            </w:r>
            <w:proofErr w:type="spellStart"/>
            <w:r w:rsidRPr="00200258">
              <w:rPr>
                <w:lang w:val="en-GB" w:eastAsia="en-US"/>
              </w:rPr>
              <w:t>kokam</w:t>
            </w:r>
            <w:proofErr w:type="spellEnd"/>
            <w:r w:rsidRPr="00200258">
              <w:rPr>
                <w:lang w:val="en-GB" w:eastAsia="en-US"/>
              </w:rPr>
              <w:t>.</w:t>
            </w:r>
          </w:p>
        </w:tc>
        <w:tc>
          <w:tcPr>
            <w:tcW w:w="658" w:type="pct"/>
            <w:shd w:val="clear" w:color="auto" w:fill="auto"/>
            <w:vAlign w:val="center"/>
          </w:tcPr>
          <w:p w14:paraId="57B7E9C1" w14:textId="4194CC16" w:rsidR="00EE6FEC" w:rsidRPr="00200258" w:rsidRDefault="00EE6FEC" w:rsidP="00C25243">
            <w:pPr>
              <w:spacing w:before="60"/>
              <w:jc w:val="center"/>
            </w:pPr>
            <w:r w:rsidRPr="00200258">
              <w:t>2015.</w:t>
            </w:r>
            <w:r w:rsidR="00AE762E" w:rsidRPr="00200258">
              <w:t> </w:t>
            </w:r>
            <w:r w:rsidRPr="00200258">
              <w:t>gada 31.</w:t>
            </w:r>
            <w:r w:rsidR="00AE762E" w:rsidRPr="00200258">
              <w:t> </w:t>
            </w:r>
            <w:r w:rsidRPr="00200258">
              <w:t>decembris</w:t>
            </w:r>
          </w:p>
          <w:p w14:paraId="458F6A47" w14:textId="77777777" w:rsidR="00EE6FEC" w:rsidRPr="00200258" w:rsidRDefault="00EE6FEC" w:rsidP="00C25243">
            <w:pPr>
              <w:spacing w:before="60"/>
              <w:jc w:val="center"/>
            </w:pPr>
          </w:p>
        </w:tc>
        <w:tc>
          <w:tcPr>
            <w:tcW w:w="2108" w:type="pct"/>
          </w:tcPr>
          <w:p w14:paraId="29ED057A" w14:textId="4ED1976C" w:rsidR="00522175" w:rsidRPr="00200258" w:rsidRDefault="00445354" w:rsidP="00445354">
            <w:pPr>
              <w:keepNext/>
              <w:keepLines/>
              <w:overflowPunct w:val="0"/>
              <w:autoSpaceDE w:val="0"/>
              <w:autoSpaceDN w:val="0"/>
              <w:adjustRightInd w:val="0"/>
              <w:spacing w:before="40" w:after="40"/>
              <w:jc w:val="both"/>
              <w:textAlignment w:val="baseline"/>
              <w:rPr>
                <w:lang w:eastAsia="en-US"/>
              </w:rPr>
            </w:pPr>
            <w:r w:rsidRPr="00200258">
              <w:rPr>
                <w:b/>
                <w:bCs/>
                <w:lang w:eastAsia="en-US"/>
              </w:rPr>
              <w:t xml:space="preserve">Kopējais izlietotā iepakojuma </w:t>
            </w:r>
            <w:r w:rsidR="42420E1C" w:rsidRPr="00200258">
              <w:rPr>
                <w:b/>
                <w:bCs/>
                <w:lang w:eastAsia="en-US"/>
              </w:rPr>
              <w:t>pārstrādes</w:t>
            </w:r>
            <w:r w:rsidRPr="00200258">
              <w:rPr>
                <w:b/>
                <w:bCs/>
                <w:lang w:eastAsia="en-US"/>
              </w:rPr>
              <w:t xml:space="preserve"> </w:t>
            </w:r>
            <w:r w:rsidR="00D9115A" w:rsidRPr="00200258">
              <w:rPr>
                <w:b/>
                <w:bCs/>
              </w:rPr>
              <w:t xml:space="preserve">rezultatīvais rādītājs </w:t>
            </w:r>
            <w:r w:rsidRPr="00200258">
              <w:rPr>
                <w:b/>
                <w:bCs/>
                <w:lang w:eastAsia="en-US"/>
              </w:rPr>
              <w:t>ir izpildīts</w:t>
            </w:r>
            <w:r w:rsidRPr="00200258">
              <w:rPr>
                <w:lang w:eastAsia="en-US"/>
              </w:rPr>
              <w:t>.</w:t>
            </w:r>
            <w:r w:rsidR="00674A23" w:rsidRPr="00200258">
              <w:rPr>
                <w:rStyle w:val="FootnoteReference"/>
                <w:lang w:eastAsia="en-US"/>
              </w:rPr>
              <w:footnoteReference w:id="7"/>
            </w:r>
            <w:r w:rsidRPr="00200258">
              <w:rPr>
                <w:lang w:eastAsia="en-US"/>
              </w:rPr>
              <w:t xml:space="preserve"> 201</w:t>
            </w:r>
            <w:r w:rsidR="3C42B105" w:rsidRPr="00200258">
              <w:rPr>
                <w:lang w:eastAsia="en-US"/>
              </w:rPr>
              <w:t>8</w:t>
            </w:r>
            <w:r w:rsidRPr="00200258">
              <w:rPr>
                <w:lang w:eastAsia="en-US"/>
              </w:rPr>
              <w:t>.</w:t>
            </w:r>
            <w:r w:rsidR="00AE762E" w:rsidRPr="00200258">
              <w:rPr>
                <w:lang w:eastAsia="en-US"/>
              </w:rPr>
              <w:t> </w:t>
            </w:r>
            <w:r w:rsidRPr="00200258">
              <w:rPr>
                <w:lang w:eastAsia="en-US"/>
              </w:rPr>
              <w:t>gadā pārstrād</w:t>
            </w:r>
            <w:r w:rsidR="00522175" w:rsidRPr="00200258">
              <w:rPr>
                <w:lang w:eastAsia="en-US"/>
              </w:rPr>
              <w:t xml:space="preserve">āti </w:t>
            </w:r>
            <w:r w:rsidR="7E2BFF4E" w:rsidRPr="00200258">
              <w:rPr>
                <w:lang w:eastAsia="en-US"/>
              </w:rPr>
              <w:t>55</w:t>
            </w:r>
            <w:r w:rsidR="00522175" w:rsidRPr="00200258">
              <w:rPr>
                <w:lang w:eastAsia="en-US"/>
              </w:rPr>
              <w:t>,</w:t>
            </w:r>
            <w:r w:rsidR="4C1F0D50" w:rsidRPr="00200258">
              <w:rPr>
                <w:lang w:eastAsia="en-US"/>
              </w:rPr>
              <w:t>82</w:t>
            </w:r>
            <w:r w:rsidR="00522175" w:rsidRPr="00200258">
              <w:rPr>
                <w:lang w:eastAsia="en-US"/>
              </w:rPr>
              <w:t>% izlietotā iepakojuma, tajā skaitā:</w:t>
            </w:r>
          </w:p>
          <w:p w14:paraId="04F7F171" w14:textId="37143623" w:rsidR="00522175" w:rsidRPr="00200258" w:rsidRDefault="00522175" w:rsidP="00522175">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stiklam 6</w:t>
            </w:r>
            <w:r w:rsidR="44E27B42" w:rsidRPr="00200258">
              <w:rPr>
                <w:lang w:eastAsia="en-US"/>
              </w:rPr>
              <w:t>8</w:t>
            </w:r>
            <w:r w:rsidRPr="00200258">
              <w:rPr>
                <w:lang w:eastAsia="en-US"/>
              </w:rPr>
              <w:t>,</w:t>
            </w:r>
            <w:r w:rsidR="10E0112C" w:rsidRPr="00200258">
              <w:rPr>
                <w:lang w:eastAsia="en-US"/>
              </w:rPr>
              <w:t>84</w:t>
            </w:r>
            <w:r w:rsidRPr="00200258">
              <w:rPr>
                <w:lang w:eastAsia="en-US"/>
              </w:rPr>
              <w:t>%;</w:t>
            </w:r>
          </w:p>
          <w:p w14:paraId="36F6208B" w14:textId="61A4F149" w:rsidR="00522175" w:rsidRPr="00200258" w:rsidRDefault="00522175" w:rsidP="00522175">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papīram un kartonam </w:t>
            </w:r>
            <w:r w:rsidR="50D6C908" w:rsidRPr="00200258">
              <w:rPr>
                <w:lang w:eastAsia="en-US"/>
              </w:rPr>
              <w:t>82</w:t>
            </w:r>
            <w:r w:rsidRPr="00200258">
              <w:rPr>
                <w:lang w:eastAsia="en-US"/>
              </w:rPr>
              <w:t>,</w:t>
            </w:r>
            <w:r w:rsidR="151AABDB" w:rsidRPr="00200258">
              <w:rPr>
                <w:lang w:eastAsia="en-US"/>
              </w:rPr>
              <w:t>89</w:t>
            </w:r>
            <w:r w:rsidRPr="00200258">
              <w:rPr>
                <w:lang w:eastAsia="en-US"/>
              </w:rPr>
              <w:t>%</w:t>
            </w:r>
            <w:r w:rsidR="00D9115A" w:rsidRPr="00200258">
              <w:rPr>
                <w:lang w:eastAsia="en-US"/>
              </w:rPr>
              <w:t>;</w:t>
            </w:r>
          </w:p>
          <w:p w14:paraId="1B4B3995" w14:textId="6F8DFAEC" w:rsidR="00522175" w:rsidRPr="00200258" w:rsidRDefault="00522175" w:rsidP="00522175">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metāliem </w:t>
            </w:r>
            <w:r w:rsidR="2434EDDB" w:rsidRPr="00200258">
              <w:rPr>
                <w:lang w:eastAsia="en-US"/>
              </w:rPr>
              <w:t>71,34</w:t>
            </w:r>
            <w:r w:rsidRPr="00200258">
              <w:rPr>
                <w:lang w:eastAsia="en-US"/>
              </w:rPr>
              <w:t>%</w:t>
            </w:r>
            <w:r w:rsidR="00D9115A" w:rsidRPr="00200258">
              <w:rPr>
                <w:lang w:eastAsia="en-US"/>
              </w:rPr>
              <w:t>;</w:t>
            </w:r>
          </w:p>
          <w:p w14:paraId="2FECCEBD" w14:textId="64407F97" w:rsidR="00522175" w:rsidRPr="00200258" w:rsidRDefault="00522175" w:rsidP="00522175">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plastmasām </w:t>
            </w:r>
            <w:r w:rsidR="5362F223" w:rsidRPr="00200258">
              <w:rPr>
                <w:lang w:eastAsia="en-US"/>
              </w:rPr>
              <w:t>35</w:t>
            </w:r>
            <w:r w:rsidRPr="00200258">
              <w:rPr>
                <w:lang w:eastAsia="en-US"/>
              </w:rPr>
              <w:t>,</w:t>
            </w:r>
            <w:r w:rsidR="2CA4C322" w:rsidRPr="00200258">
              <w:rPr>
                <w:lang w:eastAsia="en-US"/>
              </w:rPr>
              <w:t>81</w:t>
            </w:r>
            <w:r w:rsidRPr="00200258">
              <w:rPr>
                <w:lang w:eastAsia="en-US"/>
              </w:rPr>
              <w:t>%</w:t>
            </w:r>
            <w:r w:rsidR="00D9115A" w:rsidRPr="00200258">
              <w:rPr>
                <w:lang w:eastAsia="en-US"/>
              </w:rPr>
              <w:t>;</w:t>
            </w:r>
          </w:p>
          <w:p w14:paraId="2AC3F8AF" w14:textId="540332F7" w:rsidR="00522175" w:rsidRPr="00200258" w:rsidRDefault="00522175" w:rsidP="00522175">
            <w:pPr>
              <w:pStyle w:val="ListParagraph"/>
              <w:keepNext/>
              <w:keepLines/>
              <w:numPr>
                <w:ilvl w:val="0"/>
                <w:numId w:val="3"/>
              </w:numPr>
              <w:overflowPunct w:val="0"/>
              <w:autoSpaceDE w:val="0"/>
              <w:autoSpaceDN w:val="0"/>
              <w:adjustRightInd w:val="0"/>
              <w:spacing w:before="40" w:after="40"/>
              <w:jc w:val="both"/>
              <w:textAlignment w:val="baseline"/>
              <w:rPr>
                <w:lang w:eastAsia="en-US"/>
              </w:rPr>
            </w:pPr>
            <w:r w:rsidRPr="00200258">
              <w:rPr>
                <w:lang w:eastAsia="en-US"/>
              </w:rPr>
              <w:t xml:space="preserve">kokam </w:t>
            </w:r>
            <w:r w:rsidR="4C177F26" w:rsidRPr="00200258">
              <w:rPr>
                <w:lang w:eastAsia="en-US"/>
              </w:rPr>
              <w:t>27,31</w:t>
            </w:r>
            <w:r w:rsidRPr="00200258">
              <w:rPr>
                <w:lang w:eastAsia="en-US"/>
              </w:rPr>
              <w:t>%.</w:t>
            </w:r>
          </w:p>
          <w:p w14:paraId="3B282B1D" w14:textId="77777777" w:rsidR="00EE6FEC" w:rsidRPr="00200258" w:rsidRDefault="00EE6FEC" w:rsidP="00F40F74">
            <w:pPr>
              <w:spacing w:before="60"/>
              <w:jc w:val="center"/>
            </w:pPr>
          </w:p>
        </w:tc>
      </w:tr>
      <w:tr w:rsidR="00200258" w:rsidRPr="00200258" w14:paraId="2FC464FB" w14:textId="77777777" w:rsidTr="22599E9B">
        <w:trPr>
          <w:trHeight w:val="1829"/>
        </w:trPr>
        <w:tc>
          <w:tcPr>
            <w:tcW w:w="964" w:type="pct"/>
            <w:vMerge w:val="restart"/>
            <w:vAlign w:val="center"/>
          </w:tcPr>
          <w:p w14:paraId="2D683D8A" w14:textId="0CA26AA0" w:rsidR="00445354" w:rsidRPr="00200258" w:rsidRDefault="00445354" w:rsidP="00C25243">
            <w:pPr>
              <w:jc w:val="both"/>
            </w:pPr>
            <w:r w:rsidRPr="00200258">
              <w:lastRenderedPageBreak/>
              <w:t>Eiropas Parlamenta un Padomes 2000. gada 18.</w:t>
            </w:r>
            <w:r w:rsidR="00C36171" w:rsidRPr="00200258">
              <w:t> </w:t>
            </w:r>
            <w:r w:rsidRPr="00200258">
              <w:t>septembra Direktīva 2000/53/EK  par nolietotiem transportlīdzekļiem (7.</w:t>
            </w:r>
            <w:r w:rsidR="00C17CC5" w:rsidRPr="00200258">
              <w:t> </w:t>
            </w:r>
            <w:r w:rsidRPr="00200258">
              <w:t>panta 2.</w:t>
            </w:r>
            <w:r w:rsidR="00C17CC5" w:rsidRPr="00200258">
              <w:t> </w:t>
            </w:r>
            <w:r w:rsidRPr="00200258">
              <w:t>punkts)</w:t>
            </w:r>
          </w:p>
        </w:tc>
        <w:tc>
          <w:tcPr>
            <w:tcW w:w="1270" w:type="pct"/>
          </w:tcPr>
          <w:p w14:paraId="130DA3DD" w14:textId="77777777" w:rsidR="00445354" w:rsidRPr="00200258" w:rsidRDefault="00445354" w:rsidP="00F40F74">
            <w:pPr>
              <w:spacing w:before="60"/>
              <w:jc w:val="both"/>
            </w:pPr>
            <w:r w:rsidRPr="00200258">
              <w:t>Visus nolietotos transportlīdzekļus atkārtoti izmantot un reģenerēt vismaz 95% apmērā no transportlīdzekļa vidējās masas gadā.</w:t>
            </w:r>
          </w:p>
        </w:tc>
        <w:tc>
          <w:tcPr>
            <w:tcW w:w="658" w:type="pct"/>
            <w:vAlign w:val="center"/>
          </w:tcPr>
          <w:p w14:paraId="0D5408C4" w14:textId="348CFAC7" w:rsidR="00445354" w:rsidRPr="00200258" w:rsidRDefault="00445354" w:rsidP="00C25243">
            <w:pPr>
              <w:spacing w:before="60"/>
              <w:jc w:val="center"/>
            </w:pPr>
            <w:r w:rsidRPr="00200258">
              <w:t>2015.</w:t>
            </w:r>
            <w:r w:rsidR="00AE762E" w:rsidRPr="00200258">
              <w:t> </w:t>
            </w:r>
            <w:r w:rsidRPr="00200258">
              <w:t>g</w:t>
            </w:r>
            <w:r w:rsidR="00AE762E" w:rsidRPr="00200258">
              <w:t xml:space="preserve">ada </w:t>
            </w:r>
            <w:r w:rsidRPr="00200258">
              <w:t>1.</w:t>
            </w:r>
            <w:r w:rsidR="00AE762E" w:rsidRPr="00200258">
              <w:t> </w:t>
            </w:r>
            <w:r w:rsidRPr="00200258">
              <w:t>janvāris</w:t>
            </w:r>
          </w:p>
        </w:tc>
        <w:tc>
          <w:tcPr>
            <w:tcW w:w="2108" w:type="pct"/>
          </w:tcPr>
          <w:p w14:paraId="6BE0F282" w14:textId="7431543C" w:rsidR="00445354" w:rsidRPr="00200258" w:rsidRDefault="00D9115A" w:rsidP="00674A23">
            <w:pPr>
              <w:spacing w:before="60"/>
              <w:jc w:val="both"/>
            </w:pPr>
            <w:r w:rsidRPr="00200258">
              <w:rPr>
                <w:b/>
              </w:rPr>
              <w:t>Rezultatīvais rādītājs</w:t>
            </w:r>
            <w:r w:rsidR="00445354" w:rsidRPr="00200258">
              <w:t xml:space="preserve"> </w:t>
            </w:r>
            <w:r w:rsidR="00445354" w:rsidRPr="00200258">
              <w:rPr>
                <w:b/>
              </w:rPr>
              <w:t>ir izpildīts daļēji.</w:t>
            </w:r>
            <w:r w:rsidR="00445354" w:rsidRPr="00200258">
              <w:t xml:space="preserve"> Latvijā 201</w:t>
            </w:r>
            <w:r w:rsidR="00BF05F4" w:rsidRPr="00200258">
              <w:t>9</w:t>
            </w:r>
            <w:r w:rsidR="00445354" w:rsidRPr="00200258">
              <w:t>.</w:t>
            </w:r>
            <w:r w:rsidR="00DA1A6D" w:rsidRPr="00200258">
              <w:t> </w:t>
            </w:r>
            <w:r w:rsidR="00445354" w:rsidRPr="00200258">
              <w:t xml:space="preserve">gadā tika atkārtoti izmantoti un pārstrādāti – </w:t>
            </w:r>
            <w:r w:rsidR="007A376A" w:rsidRPr="00200258">
              <w:t xml:space="preserve"> 93,5 </w:t>
            </w:r>
            <w:r w:rsidR="00445354" w:rsidRPr="00200258">
              <w:t>% no nolietota transportlīdzekļa vidējās masas gadā.</w:t>
            </w:r>
            <w:r w:rsidR="00674A23" w:rsidRPr="00200258">
              <w:rPr>
                <w:rStyle w:val="FootnoteReference"/>
              </w:rPr>
              <w:footnoteReference w:id="8"/>
            </w:r>
          </w:p>
        </w:tc>
      </w:tr>
      <w:tr w:rsidR="00200258" w:rsidRPr="00200258" w14:paraId="287A11F8" w14:textId="77777777" w:rsidTr="22599E9B">
        <w:trPr>
          <w:trHeight w:val="1829"/>
        </w:trPr>
        <w:tc>
          <w:tcPr>
            <w:tcW w:w="964" w:type="pct"/>
            <w:vMerge/>
            <w:vAlign w:val="center"/>
          </w:tcPr>
          <w:p w14:paraId="1C62BF7C" w14:textId="77777777" w:rsidR="00445354" w:rsidRPr="00200258" w:rsidRDefault="00445354" w:rsidP="00C25243">
            <w:pPr>
              <w:jc w:val="both"/>
            </w:pPr>
          </w:p>
        </w:tc>
        <w:tc>
          <w:tcPr>
            <w:tcW w:w="1270" w:type="pct"/>
          </w:tcPr>
          <w:p w14:paraId="1358CAC5" w14:textId="77777777" w:rsidR="00445354" w:rsidRPr="00200258" w:rsidRDefault="00445354" w:rsidP="00F40F74">
            <w:pPr>
              <w:spacing w:before="60"/>
              <w:jc w:val="both"/>
            </w:pPr>
            <w:r w:rsidRPr="00200258">
              <w:t>Visus nolietotos transportlīdzekļus atkārtoti izmantot un pārstrādāt vismaz 85% apmērā no transportlīdzekļa vidējās masas gadā.</w:t>
            </w:r>
          </w:p>
        </w:tc>
        <w:tc>
          <w:tcPr>
            <w:tcW w:w="658" w:type="pct"/>
            <w:vAlign w:val="center"/>
          </w:tcPr>
          <w:p w14:paraId="5067AF6C" w14:textId="1F7D7CEF" w:rsidR="00445354" w:rsidRPr="00200258" w:rsidRDefault="00445354" w:rsidP="00C25243">
            <w:pPr>
              <w:spacing w:before="60"/>
              <w:jc w:val="center"/>
            </w:pPr>
            <w:r w:rsidRPr="00200258">
              <w:t>2015.</w:t>
            </w:r>
            <w:r w:rsidR="00AE762E" w:rsidRPr="00200258">
              <w:t> </w:t>
            </w:r>
            <w:r w:rsidRPr="00200258">
              <w:t>g</w:t>
            </w:r>
            <w:r w:rsidR="00AE762E" w:rsidRPr="00200258">
              <w:t xml:space="preserve">ada </w:t>
            </w:r>
            <w:r w:rsidRPr="00200258">
              <w:t>1.</w:t>
            </w:r>
            <w:r w:rsidR="00AE762E" w:rsidRPr="00200258">
              <w:t> </w:t>
            </w:r>
            <w:r w:rsidRPr="00200258">
              <w:t>janvāris</w:t>
            </w:r>
          </w:p>
        </w:tc>
        <w:tc>
          <w:tcPr>
            <w:tcW w:w="2108" w:type="pct"/>
          </w:tcPr>
          <w:p w14:paraId="03A9E9C6" w14:textId="23536F5A" w:rsidR="00445354" w:rsidRPr="00200258" w:rsidRDefault="00D9115A" w:rsidP="003E4D55">
            <w:pPr>
              <w:keepNext/>
              <w:keepLines/>
              <w:overflowPunct w:val="0"/>
              <w:autoSpaceDE w:val="0"/>
              <w:autoSpaceDN w:val="0"/>
              <w:adjustRightInd w:val="0"/>
              <w:spacing w:before="40" w:after="40"/>
              <w:jc w:val="both"/>
              <w:textAlignment w:val="baseline"/>
            </w:pPr>
            <w:r w:rsidRPr="00200258">
              <w:rPr>
                <w:b/>
              </w:rPr>
              <w:t>Rezultatīvais rādītājs</w:t>
            </w:r>
            <w:r w:rsidR="00445354" w:rsidRPr="00200258">
              <w:t xml:space="preserve"> </w:t>
            </w:r>
            <w:r w:rsidR="00445354" w:rsidRPr="00200258">
              <w:rPr>
                <w:b/>
              </w:rPr>
              <w:t>ir izpildīts.</w:t>
            </w:r>
            <w:r w:rsidR="00445354" w:rsidRPr="00200258">
              <w:t xml:space="preserve"> Atbilstoši Eurostat vietnē pieejamiem datiem Latvijā 201</w:t>
            </w:r>
            <w:r w:rsidR="00BF05F4" w:rsidRPr="00200258">
              <w:t>9</w:t>
            </w:r>
            <w:r w:rsidR="00445354" w:rsidRPr="00200258">
              <w:t>.</w:t>
            </w:r>
            <w:r w:rsidR="00DA1A6D" w:rsidRPr="00200258">
              <w:t> </w:t>
            </w:r>
            <w:r w:rsidR="00445354" w:rsidRPr="00200258">
              <w:t xml:space="preserve">gadā tika atkārtoti izmantoti un pārstrādāti – </w:t>
            </w:r>
            <w:r w:rsidR="006D27CC" w:rsidRPr="00200258">
              <w:t xml:space="preserve">93.5 </w:t>
            </w:r>
            <w:r w:rsidR="00445354" w:rsidRPr="00200258">
              <w:t>% no nolietota transportlīdzekļa vidējās masas gadā</w:t>
            </w:r>
            <w:r w:rsidR="00445354" w:rsidRPr="00200258">
              <w:rPr>
                <w:rStyle w:val="FootnoteReference"/>
              </w:rPr>
              <w:footnoteReference w:id="9"/>
            </w:r>
            <w:r w:rsidR="003E4D55" w:rsidRPr="00200258">
              <w:t>.</w:t>
            </w:r>
          </w:p>
        </w:tc>
      </w:tr>
      <w:tr w:rsidR="00200258" w:rsidRPr="00200258" w14:paraId="67E4DCCD" w14:textId="77777777" w:rsidTr="22599E9B">
        <w:tc>
          <w:tcPr>
            <w:tcW w:w="964" w:type="pct"/>
            <w:vMerge w:val="restart"/>
            <w:vAlign w:val="center"/>
          </w:tcPr>
          <w:p w14:paraId="6E10240B" w14:textId="1F050EEF" w:rsidR="00EE6FEC" w:rsidRPr="00200258" w:rsidRDefault="00EE6FEC" w:rsidP="00C25243">
            <w:pPr>
              <w:jc w:val="both"/>
            </w:pPr>
            <w:r w:rsidRPr="00200258">
              <w:t>Eiropas Parlamenta un Padomes 2003. gada 27.janvāra Direktīva 2002/96/EK par elektrisko un elektronisko iekārtu atkritumiem (EEIA)</w:t>
            </w:r>
            <w:r w:rsidR="0021213F" w:rsidRPr="00200258">
              <w:rPr>
                <w:rStyle w:val="FootnoteReference"/>
              </w:rPr>
              <w:footnoteReference w:id="10"/>
            </w:r>
            <w:r w:rsidRPr="00200258">
              <w:t xml:space="preserve"> (5.</w:t>
            </w:r>
            <w:r w:rsidR="003F6C84" w:rsidRPr="00200258">
              <w:t> </w:t>
            </w:r>
            <w:r w:rsidRPr="00200258">
              <w:t>panta 5.</w:t>
            </w:r>
            <w:r w:rsidR="003F6C84" w:rsidRPr="00200258">
              <w:t> </w:t>
            </w:r>
            <w:r w:rsidRPr="00200258">
              <w:t>punkts un 7.</w:t>
            </w:r>
            <w:r w:rsidR="003F6C84" w:rsidRPr="00200258">
              <w:t> </w:t>
            </w:r>
            <w:r w:rsidRPr="00200258">
              <w:t>panta 2.</w:t>
            </w:r>
            <w:r w:rsidR="003F6C84" w:rsidRPr="00200258">
              <w:t> </w:t>
            </w:r>
            <w:r w:rsidRPr="00200258">
              <w:t>punkts) un Eiropas Parlamenta un Padomes 2012</w:t>
            </w:r>
            <w:r w:rsidR="00A64283" w:rsidRPr="00200258">
              <w:t>. </w:t>
            </w:r>
            <w:r w:rsidRPr="00200258">
              <w:t>gada 4.</w:t>
            </w:r>
            <w:r w:rsidR="00A64283" w:rsidRPr="00200258">
              <w:t> </w:t>
            </w:r>
            <w:r w:rsidRPr="00200258">
              <w:t xml:space="preserve">jūlija Direktīva </w:t>
            </w:r>
            <w:r w:rsidRPr="00200258">
              <w:lastRenderedPageBreak/>
              <w:t>2012/19/ES par elektrisko un elektronisko iekārtu atkritumiem (EEIA)</w:t>
            </w:r>
            <w:r w:rsidR="00435745" w:rsidRPr="00200258">
              <w:t xml:space="preserve"> (turpmāk -</w:t>
            </w:r>
            <w:r w:rsidR="00435745" w:rsidRPr="00200258">
              <w:rPr>
                <w:noProof/>
                <w:lang w:eastAsia="en-US" w:bidi="sa-IN"/>
              </w:rPr>
              <w:t xml:space="preserve"> Direktīva 2012/19/ES)</w:t>
            </w:r>
            <w:r w:rsidR="00435745" w:rsidRPr="00200258">
              <w:t xml:space="preserve"> </w:t>
            </w:r>
            <w:r w:rsidRPr="00200258">
              <w:t xml:space="preserve"> (7.</w:t>
            </w:r>
            <w:r w:rsidR="00A64283" w:rsidRPr="00200258">
              <w:t> </w:t>
            </w:r>
            <w:r w:rsidRPr="00200258">
              <w:t>panta 1.</w:t>
            </w:r>
            <w:r w:rsidR="00A64283" w:rsidRPr="00200258">
              <w:t xml:space="preserve"> </w:t>
            </w:r>
            <w:r w:rsidRPr="00200258">
              <w:t>un 3.</w:t>
            </w:r>
            <w:r w:rsidR="00A64283" w:rsidRPr="00200258">
              <w:t> </w:t>
            </w:r>
            <w:r w:rsidRPr="00200258">
              <w:t>punkts, 11.</w:t>
            </w:r>
            <w:r w:rsidR="00A64283" w:rsidRPr="00200258">
              <w:t> </w:t>
            </w:r>
            <w:r w:rsidRPr="00200258">
              <w:t>pants un V</w:t>
            </w:r>
            <w:r w:rsidR="00A64283" w:rsidRPr="00200258">
              <w:t> </w:t>
            </w:r>
            <w:r w:rsidRPr="00200258">
              <w:t>pielikums).</w:t>
            </w:r>
          </w:p>
          <w:p w14:paraId="7C43A8BD" w14:textId="77777777" w:rsidR="00EE6FEC" w:rsidRPr="00200258" w:rsidRDefault="00EE6FEC" w:rsidP="00C25243">
            <w:pPr>
              <w:jc w:val="both"/>
            </w:pPr>
          </w:p>
        </w:tc>
        <w:tc>
          <w:tcPr>
            <w:tcW w:w="1270" w:type="pct"/>
          </w:tcPr>
          <w:p w14:paraId="4AAD467B" w14:textId="6EBA808D" w:rsidR="00EE6FEC" w:rsidRPr="00200258" w:rsidRDefault="00EE6FEC">
            <w:pPr>
              <w:spacing w:before="75" w:after="75"/>
              <w:ind w:right="21"/>
              <w:jc w:val="both"/>
              <w:rPr>
                <w:noProof/>
                <w:highlight w:val="yellow"/>
                <w:lang w:bidi="sa-IN"/>
              </w:rPr>
            </w:pPr>
            <w:r w:rsidRPr="00200258">
              <w:rPr>
                <w:noProof/>
                <w:lang w:bidi="sa-IN"/>
              </w:rPr>
              <w:lastRenderedPageBreak/>
              <w:t xml:space="preserve"> Nodrošināt, ka uz vienu iedzīvotāju gadā tiek savākti četri kilogrami māsaimniecības </w:t>
            </w:r>
            <w:r w:rsidR="00C17CC5" w:rsidRPr="00200258">
              <w:t xml:space="preserve">elektrisko un elektronisko iekārtu atkritumu (turpmāk – </w:t>
            </w:r>
            <w:r w:rsidRPr="00200258">
              <w:rPr>
                <w:noProof/>
                <w:lang w:bidi="sa-IN"/>
              </w:rPr>
              <w:t>EEIA</w:t>
            </w:r>
            <w:r w:rsidR="00C17CC5" w:rsidRPr="00200258">
              <w:rPr>
                <w:noProof/>
                <w:lang w:bidi="sa-IN"/>
              </w:rPr>
              <w:t>)</w:t>
            </w:r>
          </w:p>
        </w:tc>
        <w:tc>
          <w:tcPr>
            <w:tcW w:w="658" w:type="pct"/>
            <w:vAlign w:val="center"/>
          </w:tcPr>
          <w:p w14:paraId="7475C535" w14:textId="03E283FB" w:rsidR="00EE6FEC" w:rsidRPr="00200258" w:rsidRDefault="00EE6FEC" w:rsidP="00C25243">
            <w:pPr>
              <w:jc w:val="center"/>
            </w:pPr>
            <w:r w:rsidRPr="00200258">
              <w:t>No 2013.</w:t>
            </w:r>
            <w:r w:rsidR="00AE762E" w:rsidRPr="00200258">
              <w:t> </w:t>
            </w:r>
            <w:r w:rsidRPr="00200258">
              <w:t>gada 1.</w:t>
            </w:r>
            <w:r w:rsidR="00AE762E" w:rsidRPr="00200258">
              <w:t> </w:t>
            </w:r>
            <w:r w:rsidRPr="00200258">
              <w:t>janvāra līdz 2016. gada 13.</w:t>
            </w:r>
            <w:r w:rsidR="00AE762E" w:rsidRPr="00200258">
              <w:t> </w:t>
            </w:r>
            <w:r w:rsidRPr="00200258">
              <w:t>augustam</w:t>
            </w:r>
          </w:p>
        </w:tc>
        <w:tc>
          <w:tcPr>
            <w:tcW w:w="2108" w:type="pct"/>
          </w:tcPr>
          <w:p w14:paraId="651B6B00" w14:textId="03F694ED" w:rsidR="00EE6FEC" w:rsidRPr="00200258" w:rsidRDefault="00D9115A">
            <w:r w:rsidRPr="00200258">
              <w:rPr>
                <w:b/>
              </w:rPr>
              <w:t>Rezultatīvais rādītājs</w:t>
            </w:r>
            <w:r w:rsidR="00A66F6A" w:rsidRPr="00200258">
              <w:t xml:space="preserve"> </w:t>
            </w:r>
            <w:r w:rsidR="00A66F6A" w:rsidRPr="00200258">
              <w:rPr>
                <w:b/>
              </w:rPr>
              <w:t>ir izpildīts.</w:t>
            </w:r>
            <w:r w:rsidR="00A66F6A" w:rsidRPr="00200258">
              <w:t xml:space="preserve"> Atbilstoši Eurostat pieejamai informācijai, 201</w:t>
            </w:r>
            <w:r w:rsidR="006D27CC" w:rsidRPr="00200258">
              <w:t>8</w:t>
            </w:r>
            <w:r w:rsidR="00A66F6A" w:rsidRPr="00200258">
              <w:t>.</w:t>
            </w:r>
            <w:r w:rsidR="00B70750" w:rsidRPr="00200258">
              <w:t> </w:t>
            </w:r>
            <w:r w:rsidR="00A66F6A" w:rsidRPr="00200258">
              <w:t xml:space="preserve">gadā uz </w:t>
            </w:r>
            <w:r w:rsidR="007C5E4B" w:rsidRPr="00200258">
              <w:t xml:space="preserve">vienu </w:t>
            </w:r>
            <w:r w:rsidR="00445354" w:rsidRPr="00200258">
              <w:t>iedzīvotāju Latvijā savākti 4.</w:t>
            </w:r>
            <w:r w:rsidR="0045131F" w:rsidRPr="00200258">
              <w:t>8</w:t>
            </w:r>
            <w:r w:rsidR="00A66F6A" w:rsidRPr="00200258">
              <w:t xml:space="preserve"> kg EEIA</w:t>
            </w:r>
            <w:r w:rsidR="00445354" w:rsidRPr="00200258">
              <w:rPr>
                <w:rStyle w:val="FootnoteReference"/>
              </w:rPr>
              <w:footnoteReference w:id="11"/>
            </w:r>
            <w:r w:rsidR="00A66F6A" w:rsidRPr="00200258">
              <w:t>.</w:t>
            </w:r>
          </w:p>
        </w:tc>
      </w:tr>
      <w:tr w:rsidR="00200258" w:rsidRPr="00200258" w14:paraId="7CB86B23" w14:textId="77777777" w:rsidTr="22599E9B">
        <w:tc>
          <w:tcPr>
            <w:tcW w:w="964" w:type="pct"/>
            <w:vMerge/>
            <w:vAlign w:val="center"/>
          </w:tcPr>
          <w:p w14:paraId="51F7A3B3" w14:textId="77777777" w:rsidR="00EE6FEC" w:rsidRPr="00200258" w:rsidRDefault="00EE6FEC" w:rsidP="00C25243">
            <w:pPr>
              <w:spacing w:before="60"/>
              <w:jc w:val="both"/>
            </w:pPr>
          </w:p>
        </w:tc>
        <w:tc>
          <w:tcPr>
            <w:tcW w:w="1270" w:type="pct"/>
          </w:tcPr>
          <w:p w14:paraId="244FF434" w14:textId="23EDF73F" w:rsidR="00EE6FEC" w:rsidRPr="00200258" w:rsidRDefault="00EE6FEC">
            <w:pPr>
              <w:jc w:val="both"/>
              <w:rPr>
                <w:lang w:eastAsia="en-US" w:bidi="sa-IN"/>
              </w:rPr>
            </w:pPr>
            <w:r w:rsidRPr="00200258">
              <w:rPr>
                <w:noProof/>
                <w:lang w:eastAsia="en-US" w:bidi="sa-IN"/>
              </w:rPr>
              <w:t>Palielināt elektrisko un elektronisko iekārtu atkritumu savākšanas apjomu līdz 40-45 % gadā, no to EEI vidējā svara, kuras ir laistas Latvijas tirgū trīs iepriekšējos gados.</w:t>
            </w:r>
          </w:p>
        </w:tc>
        <w:tc>
          <w:tcPr>
            <w:tcW w:w="658" w:type="pct"/>
            <w:vAlign w:val="center"/>
          </w:tcPr>
          <w:p w14:paraId="2A583121" w14:textId="08E72B35" w:rsidR="00EE6FEC" w:rsidRPr="00200258" w:rsidRDefault="00EE6FEC" w:rsidP="00C25243">
            <w:pPr>
              <w:jc w:val="center"/>
              <w:rPr>
                <w:b/>
              </w:rPr>
            </w:pPr>
            <w:r w:rsidRPr="00200258">
              <w:t>2016.</w:t>
            </w:r>
            <w:r w:rsidR="00A46E57" w:rsidRPr="00200258">
              <w:t> </w:t>
            </w:r>
            <w:r w:rsidRPr="00200258">
              <w:t>gada 14.</w:t>
            </w:r>
            <w:r w:rsidR="00A46E57" w:rsidRPr="00200258">
              <w:t> </w:t>
            </w:r>
            <w:r w:rsidRPr="00200258">
              <w:t>augusts</w:t>
            </w:r>
          </w:p>
        </w:tc>
        <w:tc>
          <w:tcPr>
            <w:tcW w:w="2108" w:type="pct"/>
          </w:tcPr>
          <w:p w14:paraId="14618859" w14:textId="5E25C728" w:rsidR="00EE6FEC" w:rsidRPr="00200258" w:rsidRDefault="00D9115A" w:rsidP="00A66F6A">
            <w:pPr>
              <w:jc w:val="both"/>
            </w:pPr>
            <w:r w:rsidRPr="00200258">
              <w:rPr>
                <w:b/>
              </w:rPr>
              <w:t>Rezultatīvais rādītājs</w:t>
            </w:r>
            <w:r w:rsidR="00A66F6A" w:rsidRPr="00200258">
              <w:t xml:space="preserve"> </w:t>
            </w:r>
            <w:r w:rsidR="00A66F6A" w:rsidRPr="00200258">
              <w:rPr>
                <w:b/>
              </w:rPr>
              <w:t>ir izpildīts.</w:t>
            </w:r>
            <w:r w:rsidR="00A66F6A" w:rsidRPr="00200258">
              <w:t xml:space="preserve"> Atbilstoši Eurostat paziņotajai informācijai Latvijā 2018.</w:t>
            </w:r>
            <w:r w:rsidR="00B70750" w:rsidRPr="00200258">
              <w:t> </w:t>
            </w:r>
            <w:r w:rsidR="00A66F6A" w:rsidRPr="00200258">
              <w:t xml:space="preserve">gadā ir savākti 40.5% </w:t>
            </w:r>
            <w:r w:rsidR="00A66F6A" w:rsidRPr="00200258">
              <w:rPr>
                <w:noProof/>
                <w:lang w:eastAsia="en-US" w:bidi="sa-IN"/>
              </w:rPr>
              <w:t>no to EEI vidējā svara, kuras ir laistas Latvijas tirgū trīs iepriekšējos gados.</w:t>
            </w:r>
          </w:p>
        </w:tc>
      </w:tr>
      <w:tr w:rsidR="00200258" w:rsidRPr="00200258" w14:paraId="07435F16" w14:textId="77777777" w:rsidTr="22599E9B">
        <w:trPr>
          <w:trHeight w:val="970"/>
        </w:trPr>
        <w:tc>
          <w:tcPr>
            <w:tcW w:w="964" w:type="pct"/>
            <w:vMerge/>
            <w:vAlign w:val="center"/>
          </w:tcPr>
          <w:p w14:paraId="49F30F61" w14:textId="77777777" w:rsidR="00EE6FEC" w:rsidRPr="00200258" w:rsidRDefault="00EE6FEC" w:rsidP="00C25243">
            <w:pPr>
              <w:spacing w:before="60"/>
              <w:jc w:val="both"/>
            </w:pPr>
          </w:p>
        </w:tc>
        <w:tc>
          <w:tcPr>
            <w:tcW w:w="1270" w:type="pct"/>
          </w:tcPr>
          <w:p w14:paraId="0CA1EB36" w14:textId="77777777" w:rsidR="00EE6FEC" w:rsidRPr="00200258" w:rsidRDefault="00EE6FEC" w:rsidP="00F40F74">
            <w:pPr>
              <w:jc w:val="both"/>
              <w:rPr>
                <w:lang w:eastAsia="en-US" w:bidi="sa-IN"/>
              </w:rPr>
            </w:pPr>
            <w:r w:rsidRPr="00200258">
              <w:rPr>
                <w:noProof/>
                <w:lang w:eastAsia="en-US" w:bidi="sa-IN"/>
              </w:rPr>
              <w:t xml:space="preserve"> Palielināt elektrisko un elektronisko iekārtu atkritumu savākšanas apjomu līdz</w:t>
            </w:r>
            <w:r w:rsidRPr="00200258">
              <w:rPr>
                <w:b/>
                <w:i/>
                <w:lang w:eastAsia="en-US" w:bidi="sa-IN"/>
              </w:rPr>
              <w:t xml:space="preserve"> </w:t>
            </w:r>
            <w:r w:rsidRPr="00200258">
              <w:rPr>
                <w:lang w:eastAsia="en-US" w:bidi="sa-IN"/>
              </w:rPr>
              <w:t xml:space="preserve">65 % no </w:t>
            </w:r>
            <w:r w:rsidRPr="00200258">
              <w:rPr>
                <w:noProof/>
                <w:lang w:eastAsia="en-US" w:bidi="sa-IN"/>
              </w:rPr>
              <w:t xml:space="preserve">to </w:t>
            </w:r>
            <w:r w:rsidRPr="00200258">
              <w:rPr>
                <w:lang w:eastAsia="en-US" w:bidi="sa-IN"/>
              </w:rPr>
              <w:t>EEI</w:t>
            </w:r>
            <w:r w:rsidRPr="00200258">
              <w:rPr>
                <w:noProof/>
                <w:lang w:eastAsia="en-US" w:bidi="sa-IN"/>
              </w:rPr>
              <w:t xml:space="preserve"> vidējā svara, kuras ir laistas Latvijas </w:t>
            </w:r>
            <w:r w:rsidRPr="00200258">
              <w:rPr>
                <w:lang w:eastAsia="en-US" w:bidi="sa-IN"/>
              </w:rPr>
              <w:t>tirgū trīs iepriekšējos gados, vai arī 85 % no Latvijas teritorijā radītajiem EEIA.</w:t>
            </w:r>
          </w:p>
        </w:tc>
        <w:tc>
          <w:tcPr>
            <w:tcW w:w="658" w:type="pct"/>
            <w:vAlign w:val="center"/>
          </w:tcPr>
          <w:p w14:paraId="3AC92A78" w14:textId="3FE9C6FA" w:rsidR="00EE6FEC" w:rsidRPr="00200258" w:rsidRDefault="00EE6FEC" w:rsidP="00C25243">
            <w:pPr>
              <w:jc w:val="center"/>
              <w:rPr>
                <w:b/>
              </w:rPr>
            </w:pPr>
            <w:r w:rsidRPr="00200258">
              <w:t>2021.</w:t>
            </w:r>
            <w:r w:rsidR="00A46E57" w:rsidRPr="00200258">
              <w:t> </w:t>
            </w:r>
            <w:r w:rsidRPr="00200258">
              <w:t>gada 14.</w:t>
            </w:r>
            <w:r w:rsidR="00A46E57" w:rsidRPr="00200258">
              <w:t> </w:t>
            </w:r>
            <w:r w:rsidRPr="00200258">
              <w:t>augusts</w:t>
            </w:r>
          </w:p>
          <w:p w14:paraId="526F0BBE" w14:textId="77777777" w:rsidR="00EE6FEC" w:rsidRPr="00200258" w:rsidRDefault="00EE6FEC" w:rsidP="00C25243">
            <w:pPr>
              <w:jc w:val="center"/>
              <w:rPr>
                <w:b/>
              </w:rPr>
            </w:pPr>
          </w:p>
        </w:tc>
        <w:tc>
          <w:tcPr>
            <w:tcW w:w="2108" w:type="pct"/>
          </w:tcPr>
          <w:p w14:paraId="0922632D" w14:textId="77777777" w:rsidR="00EE6FEC" w:rsidRPr="00200258" w:rsidRDefault="00D9115A" w:rsidP="00A66F6A">
            <w:r w:rsidRPr="00200258">
              <w:rPr>
                <w:b/>
              </w:rPr>
              <w:t xml:space="preserve">Rezultatīvā rādītāja </w:t>
            </w:r>
            <w:r w:rsidR="00A66F6A" w:rsidRPr="00200258">
              <w:rPr>
                <w:b/>
              </w:rPr>
              <w:t>izpildes termiņš vēl nav iestājies.</w:t>
            </w:r>
          </w:p>
        </w:tc>
      </w:tr>
      <w:tr w:rsidR="00200258" w:rsidRPr="00200258" w14:paraId="7F100767" w14:textId="77777777" w:rsidTr="22599E9B">
        <w:trPr>
          <w:trHeight w:val="2299"/>
        </w:trPr>
        <w:tc>
          <w:tcPr>
            <w:tcW w:w="964" w:type="pct"/>
            <w:vMerge/>
            <w:vAlign w:val="center"/>
          </w:tcPr>
          <w:p w14:paraId="3EA38923" w14:textId="77777777" w:rsidR="00EE6FEC" w:rsidRPr="00200258" w:rsidRDefault="00EE6FEC" w:rsidP="00C25243">
            <w:pPr>
              <w:spacing w:before="60"/>
              <w:jc w:val="both"/>
            </w:pPr>
          </w:p>
        </w:tc>
        <w:tc>
          <w:tcPr>
            <w:tcW w:w="1270" w:type="pct"/>
          </w:tcPr>
          <w:p w14:paraId="22D0DBC2" w14:textId="77777777" w:rsidR="00EE6FEC" w:rsidRPr="00200258" w:rsidRDefault="00EE6FEC" w:rsidP="00F40F74">
            <w:pPr>
              <w:jc w:val="both"/>
              <w:rPr>
                <w:lang w:eastAsia="en-US" w:bidi="sa-IN"/>
              </w:rPr>
            </w:pPr>
            <w:r w:rsidRPr="00200258">
              <w:rPr>
                <w:noProof/>
                <w:lang w:eastAsia="en-US" w:bidi="sa-IN"/>
              </w:rPr>
              <w:t>Nodrošināt EEIA reģenerāciju un pārstrādi atbilstoši Direktīvas 2012/19/EK I pielikumā un III pielikumā noteiktajiem reģenerācijas un pārstrādes rādītājiem</w:t>
            </w:r>
          </w:p>
          <w:p w14:paraId="418B655D" w14:textId="77777777" w:rsidR="00EE6FEC" w:rsidRPr="00200258" w:rsidRDefault="00EE6FEC" w:rsidP="00F40F74">
            <w:pPr>
              <w:tabs>
                <w:tab w:val="left" w:pos="355"/>
              </w:tabs>
              <w:ind w:hanging="40"/>
              <w:jc w:val="both"/>
              <w:rPr>
                <w:lang w:eastAsia="en-US" w:bidi="sa-IN"/>
              </w:rPr>
            </w:pPr>
            <w:r w:rsidRPr="00200258">
              <w:rPr>
                <w:lang w:eastAsia="en-US" w:bidi="sa-IN"/>
              </w:rPr>
              <w:t xml:space="preserve"> </w:t>
            </w:r>
          </w:p>
          <w:p w14:paraId="1BBC69FE" w14:textId="77777777" w:rsidR="00EE6FEC" w:rsidRPr="00200258" w:rsidRDefault="00EE6FEC" w:rsidP="00F40F74">
            <w:pPr>
              <w:ind w:hanging="850"/>
              <w:rPr>
                <w:lang w:eastAsia="en-US" w:bidi="sa-IN"/>
              </w:rPr>
            </w:pPr>
            <w:r w:rsidRPr="00200258">
              <w:rPr>
                <w:lang w:eastAsia="en-US" w:bidi="sa-IN"/>
              </w:rPr>
              <w:t>min</w:t>
            </w:r>
          </w:p>
          <w:p w14:paraId="263AFA82" w14:textId="77777777" w:rsidR="00EE6FEC" w:rsidRPr="00200258" w:rsidRDefault="00EE6FEC" w:rsidP="00F40F74">
            <w:pPr>
              <w:ind w:hanging="567"/>
              <w:rPr>
                <w:lang w:eastAsia="en-US" w:bidi="sa-IN"/>
              </w:rPr>
            </w:pPr>
            <w:r w:rsidRPr="00200258">
              <w:rPr>
                <w:lang w:eastAsia="en-US" w:bidi="sa-IN"/>
              </w:rPr>
              <w:t xml:space="preserve"> </w:t>
            </w:r>
          </w:p>
        </w:tc>
        <w:tc>
          <w:tcPr>
            <w:tcW w:w="658" w:type="pct"/>
            <w:vAlign w:val="center"/>
          </w:tcPr>
          <w:p w14:paraId="3FA920C6" w14:textId="77777777" w:rsidR="00EE6FEC" w:rsidRPr="00200258" w:rsidRDefault="00EE6FEC" w:rsidP="00C25243">
            <w:pPr>
              <w:jc w:val="center"/>
              <w:rPr>
                <w:b/>
              </w:rPr>
            </w:pPr>
            <w:r w:rsidRPr="00200258">
              <w:t>Visā plāna darbības laikā</w:t>
            </w:r>
          </w:p>
        </w:tc>
        <w:tc>
          <w:tcPr>
            <w:tcW w:w="2108" w:type="pct"/>
          </w:tcPr>
          <w:p w14:paraId="565B13B6" w14:textId="7B32F52A" w:rsidR="00EE6FEC" w:rsidRPr="00200258" w:rsidRDefault="00D9115A">
            <w:pPr>
              <w:jc w:val="both"/>
              <w:rPr>
                <w:lang w:eastAsia="en-US" w:bidi="sa-IN"/>
              </w:rPr>
            </w:pPr>
            <w:r w:rsidRPr="00200258">
              <w:rPr>
                <w:b/>
              </w:rPr>
              <w:t>Rezultatīvais rādītājs</w:t>
            </w:r>
            <w:r w:rsidR="00A66F6A" w:rsidRPr="00200258">
              <w:t xml:space="preserve"> </w:t>
            </w:r>
            <w:r w:rsidR="00A66F6A" w:rsidRPr="00200258">
              <w:rPr>
                <w:b/>
              </w:rPr>
              <w:t>ir izpildīts.</w:t>
            </w:r>
            <w:r w:rsidR="00A66F6A" w:rsidRPr="00200258">
              <w:t xml:space="preserve"> Atbilstoši Eurostat paziņotajai informācijai Latvijā 2018.</w:t>
            </w:r>
            <w:r w:rsidR="00186992" w:rsidRPr="00200258">
              <w:t> </w:t>
            </w:r>
            <w:r w:rsidR="00A66F6A" w:rsidRPr="00200258">
              <w:t xml:space="preserve">gadā ir veikta EEIA reģenerācija un pārstrāde atbilstoši </w:t>
            </w:r>
            <w:r w:rsidR="00A66F6A" w:rsidRPr="00200258">
              <w:rPr>
                <w:noProof/>
                <w:lang w:eastAsia="en-US" w:bidi="sa-IN"/>
              </w:rPr>
              <w:t>Direktīvas 2012/19/</w:t>
            </w:r>
            <w:r w:rsidR="00186992" w:rsidRPr="00200258">
              <w:rPr>
                <w:noProof/>
                <w:lang w:eastAsia="en-US" w:bidi="sa-IN"/>
              </w:rPr>
              <w:t xml:space="preserve">ES </w:t>
            </w:r>
            <w:r w:rsidR="00A66F6A" w:rsidRPr="00200258">
              <w:rPr>
                <w:noProof/>
                <w:lang w:eastAsia="en-US" w:bidi="sa-IN"/>
              </w:rPr>
              <w:t>I pielikumā un III pielikumā noteiktajiem reģenerācijas un pārstrādes rādītājiem.</w:t>
            </w:r>
            <w:r w:rsidR="00674A23" w:rsidRPr="00200258">
              <w:rPr>
                <w:rStyle w:val="FootnoteReference"/>
                <w:noProof/>
                <w:lang w:eastAsia="en-US" w:bidi="sa-IN"/>
              </w:rPr>
              <w:footnoteReference w:id="12"/>
            </w:r>
          </w:p>
        </w:tc>
      </w:tr>
      <w:tr w:rsidR="00EE6FEC" w:rsidRPr="00200258" w14:paraId="38DD0873" w14:textId="77777777" w:rsidTr="22599E9B">
        <w:trPr>
          <w:trHeight w:val="942"/>
        </w:trPr>
        <w:tc>
          <w:tcPr>
            <w:tcW w:w="964" w:type="pct"/>
            <w:vAlign w:val="center"/>
          </w:tcPr>
          <w:p w14:paraId="24F8F5E7" w14:textId="201ABA99" w:rsidR="00EE6FEC" w:rsidRPr="00200258" w:rsidRDefault="00EE6FEC" w:rsidP="00C25243">
            <w:pPr>
              <w:jc w:val="both"/>
            </w:pPr>
            <w:r w:rsidRPr="00200258">
              <w:t xml:space="preserve">Eiropas Parlamenta un Padomes </w:t>
            </w:r>
            <w:r w:rsidR="009D5AA6" w:rsidRPr="00200258">
              <w:t xml:space="preserve">2006. gada 6. septembra </w:t>
            </w:r>
            <w:r w:rsidRPr="00200258">
              <w:t xml:space="preserve">Direktīva 2006/66/EK par baterijām un akumulatoriem, un bateriju un akumulatoru atkritumiem un ar ko </w:t>
            </w:r>
            <w:r w:rsidRPr="00200258">
              <w:lastRenderedPageBreak/>
              <w:t>atceļ Direktīvu 91/157/</w:t>
            </w:r>
            <w:smartTag w:uri="schemas-tilde-lv/tildestengine" w:element="currency2">
              <w:smartTagPr>
                <w:attr w:name="currency_text" w:val="EEK"/>
                <w:attr w:name="currency_value" w:val="1"/>
                <w:attr w:name="currency_key" w:val="EEK"/>
                <w:attr w:name="currency_id" w:val="14"/>
              </w:smartTagPr>
              <w:r w:rsidRPr="00200258">
                <w:t>EEK</w:t>
              </w:r>
            </w:smartTag>
          </w:p>
          <w:p w14:paraId="7DFE5F94" w14:textId="1C5E82B2" w:rsidR="00EE6FEC" w:rsidRPr="00200258" w:rsidRDefault="00EE6FEC" w:rsidP="00C25243">
            <w:pPr>
              <w:jc w:val="both"/>
            </w:pPr>
            <w:r w:rsidRPr="00200258">
              <w:t>(10.</w:t>
            </w:r>
            <w:r w:rsidR="00186992" w:rsidRPr="00200258">
              <w:t> </w:t>
            </w:r>
            <w:r w:rsidRPr="00200258">
              <w:t>panta 2.</w:t>
            </w:r>
            <w:r w:rsidR="00186992" w:rsidRPr="00200258">
              <w:t xml:space="preserve"> punkta </w:t>
            </w:r>
            <w:r w:rsidRPr="00200258">
              <w:t>b)</w:t>
            </w:r>
            <w:r w:rsidR="00186992" w:rsidRPr="00200258">
              <w:t> apakš</w:t>
            </w:r>
            <w:r w:rsidRPr="00200258">
              <w:t>punkts)</w:t>
            </w:r>
            <w:r w:rsidRPr="00200258">
              <w:rPr>
                <w:bCs/>
              </w:rPr>
              <w:t>.</w:t>
            </w:r>
          </w:p>
        </w:tc>
        <w:tc>
          <w:tcPr>
            <w:tcW w:w="1270" w:type="pct"/>
          </w:tcPr>
          <w:p w14:paraId="22A5A79B" w14:textId="77777777" w:rsidR="00EE6FEC" w:rsidRPr="00200258" w:rsidRDefault="00EE6FEC" w:rsidP="00F40F74">
            <w:pPr>
              <w:spacing w:before="75" w:after="150"/>
              <w:ind w:right="21"/>
              <w:jc w:val="both"/>
            </w:pPr>
            <w:r w:rsidRPr="00200258">
              <w:lastRenderedPageBreak/>
              <w:t xml:space="preserve">Savākt 45 % no iepriekšējos trīs gados tirgū laistā pārnēsājamo bateriju un akumulatoru vidējā svara. </w:t>
            </w:r>
          </w:p>
        </w:tc>
        <w:tc>
          <w:tcPr>
            <w:tcW w:w="658" w:type="pct"/>
            <w:vAlign w:val="center"/>
          </w:tcPr>
          <w:p w14:paraId="481B9C15" w14:textId="77777777" w:rsidR="00EE6FEC" w:rsidRPr="00200258" w:rsidRDefault="00EE6FEC" w:rsidP="00C25243">
            <w:pPr>
              <w:jc w:val="center"/>
              <w:rPr>
                <w:b/>
              </w:rPr>
            </w:pPr>
            <w:r w:rsidRPr="00200258">
              <w:t>2016.</w:t>
            </w:r>
            <w:r w:rsidR="00A768EA" w:rsidRPr="00200258">
              <w:t> </w:t>
            </w:r>
            <w:r w:rsidRPr="00200258">
              <w:t>gada 26.</w:t>
            </w:r>
            <w:r w:rsidR="00A768EA" w:rsidRPr="00200258">
              <w:t> </w:t>
            </w:r>
            <w:r w:rsidRPr="00200258">
              <w:t>septembris</w:t>
            </w:r>
          </w:p>
        </w:tc>
        <w:tc>
          <w:tcPr>
            <w:tcW w:w="2108" w:type="pct"/>
          </w:tcPr>
          <w:p w14:paraId="663FA300" w14:textId="43711136" w:rsidR="00EE6FEC" w:rsidRPr="00200258" w:rsidRDefault="00D9115A" w:rsidP="00EE6FEC">
            <w:pPr>
              <w:jc w:val="both"/>
            </w:pPr>
            <w:r w:rsidRPr="00200258">
              <w:rPr>
                <w:b/>
              </w:rPr>
              <w:t>Rezultatīvais rādītājs</w:t>
            </w:r>
            <w:r w:rsidR="00EE6FEC" w:rsidRPr="00200258">
              <w:t xml:space="preserve"> </w:t>
            </w:r>
            <w:r w:rsidR="00EE6FEC" w:rsidRPr="00200258">
              <w:rPr>
                <w:b/>
              </w:rPr>
              <w:t>ir izpildīts.</w:t>
            </w:r>
            <w:r w:rsidR="00EE6FEC" w:rsidRPr="00200258">
              <w:t xml:space="preserve"> Atbilstoši Eurostat </w:t>
            </w:r>
            <w:r w:rsidR="00A66F6A" w:rsidRPr="00200258">
              <w:t xml:space="preserve">paziņotajai informācijai </w:t>
            </w:r>
            <w:r w:rsidR="00EE6FEC" w:rsidRPr="00200258">
              <w:t>Latvijā 2018.</w:t>
            </w:r>
            <w:r w:rsidR="00435745" w:rsidRPr="00200258">
              <w:t> </w:t>
            </w:r>
            <w:r w:rsidR="00EE6FEC" w:rsidRPr="00200258">
              <w:t>gadā ir savākti 45.4% no iepriekšējos trīs gados tirgū laistā pārnēsājamo bateriju un akumulatoru vidējā svara.</w:t>
            </w:r>
            <w:r w:rsidR="00674A23" w:rsidRPr="00200258">
              <w:rPr>
                <w:rStyle w:val="FootnoteReference"/>
              </w:rPr>
              <w:footnoteReference w:id="13"/>
            </w:r>
          </w:p>
          <w:p w14:paraId="325D1AE1" w14:textId="77777777" w:rsidR="00EE6FEC" w:rsidRPr="00200258" w:rsidRDefault="00EE6FEC" w:rsidP="00F40F74">
            <w:pPr>
              <w:jc w:val="center"/>
            </w:pPr>
          </w:p>
        </w:tc>
      </w:tr>
    </w:tbl>
    <w:p w14:paraId="1299EE09" w14:textId="61A2F2E9" w:rsidR="00EE6FEC" w:rsidRPr="003B1C6B" w:rsidRDefault="00EE6FEC" w:rsidP="00EE6FEC">
      <w:pPr>
        <w:rPr>
          <w:sz w:val="28"/>
          <w:szCs w:val="28"/>
        </w:rPr>
      </w:pPr>
    </w:p>
    <w:p w14:paraId="434DC962" w14:textId="1A338E4B" w:rsidR="00767F82" w:rsidRPr="003B1C6B" w:rsidRDefault="00767F82" w:rsidP="00EE6FEC">
      <w:pPr>
        <w:rPr>
          <w:sz w:val="28"/>
          <w:szCs w:val="28"/>
        </w:rPr>
      </w:pPr>
    </w:p>
    <w:p w14:paraId="4298DDAA" w14:textId="77777777" w:rsidR="003B1C6B" w:rsidRPr="003B1C6B" w:rsidRDefault="003B1C6B" w:rsidP="003B1C6B">
      <w:pPr>
        <w:rPr>
          <w:sz w:val="28"/>
          <w:szCs w:val="28"/>
        </w:rPr>
      </w:pPr>
    </w:p>
    <w:p w14:paraId="7D7CA61C" w14:textId="77777777" w:rsidR="003B1C6B" w:rsidRPr="003B1C6B" w:rsidRDefault="003B1C6B" w:rsidP="003B1C6B">
      <w:pPr>
        <w:pStyle w:val="Header"/>
        <w:tabs>
          <w:tab w:val="clear" w:pos="4153"/>
        </w:tabs>
        <w:ind w:firstLine="709"/>
        <w:jc w:val="both"/>
        <w:rPr>
          <w:rFonts w:cstheme="minorBidi"/>
          <w:sz w:val="28"/>
          <w:szCs w:val="28"/>
        </w:rPr>
      </w:pPr>
      <w:r w:rsidRPr="003B1C6B">
        <w:rPr>
          <w:sz w:val="28"/>
          <w:szCs w:val="28"/>
        </w:rPr>
        <w:t>Vides aizsardzības un</w:t>
      </w:r>
    </w:p>
    <w:p w14:paraId="31FD7AD5" w14:textId="77777777" w:rsidR="003B1C6B" w:rsidRPr="003B1C6B" w:rsidRDefault="003B1C6B" w:rsidP="003B1C6B">
      <w:pPr>
        <w:pStyle w:val="Header"/>
        <w:tabs>
          <w:tab w:val="clear" w:pos="4153"/>
          <w:tab w:val="left" w:pos="6521"/>
        </w:tabs>
        <w:ind w:firstLine="709"/>
        <w:jc w:val="both"/>
        <w:rPr>
          <w:sz w:val="28"/>
          <w:szCs w:val="28"/>
        </w:rPr>
      </w:pPr>
      <w:r w:rsidRPr="003B1C6B">
        <w:rPr>
          <w:sz w:val="28"/>
          <w:szCs w:val="28"/>
        </w:rPr>
        <w:t>reģionālās attīstības ministrs</w:t>
      </w:r>
      <w:r w:rsidRPr="003B1C6B">
        <w:rPr>
          <w:sz w:val="28"/>
          <w:szCs w:val="28"/>
        </w:rPr>
        <w:tab/>
        <w:t>A. T. Plešs</w:t>
      </w:r>
    </w:p>
    <w:sectPr w:rsidR="003B1C6B" w:rsidRPr="003B1C6B" w:rsidSect="00543327">
      <w:headerReference w:type="default" r:id="rId11"/>
      <w:footerReference w:type="default" r:id="rId12"/>
      <w:footerReference w:type="first" r:id="rId13"/>
      <w:pgSz w:w="16838" w:h="11906" w:orient="landscape"/>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DFDE" w14:textId="77777777" w:rsidR="00A67B52" w:rsidRDefault="00A67B52" w:rsidP="00EE6FEC">
      <w:r>
        <w:separator/>
      </w:r>
    </w:p>
  </w:endnote>
  <w:endnote w:type="continuationSeparator" w:id="0">
    <w:p w14:paraId="4F3B362A" w14:textId="77777777" w:rsidR="00A67B52" w:rsidRDefault="00A67B52" w:rsidP="00EE6FEC">
      <w:r>
        <w:continuationSeparator/>
      </w:r>
    </w:p>
  </w:endnote>
  <w:endnote w:type="continuationNotice" w:id="1">
    <w:p w14:paraId="016DCA46" w14:textId="77777777" w:rsidR="00A67B52" w:rsidRDefault="00A67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2211" w14:textId="77777777" w:rsidR="003B1C6B" w:rsidRPr="003B1C6B" w:rsidRDefault="003B1C6B" w:rsidP="003B1C6B">
    <w:pPr>
      <w:pStyle w:val="Footer"/>
      <w:rPr>
        <w:sz w:val="16"/>
        <w:szCs w:val="16"/>
      </w:rPr>
    </w:pPr>
    <w:r w:rsidRPr="003B1C6B">
      <w:rPr>
        <w:rFonts w:eastAsia="MS Mincho"/>
        <w:bCs/>
        <w:iCs/>
        <w:noProof/>
        <w:sz w:val="16"/>
        <w:szCs w:val="16"/>
        <w:lang w:eastAsia="ja-JP"/>
      </w:rPr>
      <w:t>(TA-2622)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43A0" w14:textId="559F1C59" w:rsidR="008A1E19" w:rsidRPr="003B1C6B" w:rsidRDefault="003B1C6B" w:rsidP="00C25243">
    <w:pPr>
      <w:pStyle w:val="Footer"/>
      <w:rPr>
        <w:sz w:val="16"/>
        <w:szCs w:val="16"/>
      </w:rPr>
    </w:pPr>
    <w:r w:rsidRPr="003B1C6B">
      <w:rPr>
        <w:rFonts w:eastAsia="MS Mincho"/>
        <w:bCs/>
        <w:iCs/>
        <w:noProof/>
        <w:sz w:val="16"/>
        <w:szCs w:val="16"/>
        <w:lang w:eastAsia="ja-JP"/>
      </w:rPr>
      <w:t>(TA-2622)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2C0F" w14:textId="77777777" w:rsidR="00A67B52" w:rsidRDefault="00A67B52" w:rsidP="00EE6FEC">
      <w:r>
        <w:separator/>
      </w:r>
    </w:p>
  </w:footnote>
  <w:footnote w:type="continuationSeparator" w:id="0">
    <w:p w14:paraId="3C8D167D" w14:textId="77777777" w:rsidR="00A67B52" w:rsidRDefault="00A67B52" w:rsidP="00EE6FEC">
      <w:r>
        <w:continuationSeparator/>
      </w:r>
    </w:p>
  </w:footnote>
  <w:footnote w:type="continuationNotice" w:id="1">
    <w:p w14:paraId="422521C5" w14:textId="77777777" w:rsidR="00A67B52" w:rsidRDefault="00A67B52"/>
  </w:footnote>
  <w:footnote w:id="2">
    <w:p w14:paraId="0A568DD6" w14:textId="3DFE27DC" w:rsidR="008A1E19" w:rsidRPr="009E256E" w:rsidRDefault="008A1E19" w:rsidP="00C25243">
      <w:pPr>
        <w:pStyle w:val="footnotre"/>
        <w:rPr>
          <w:szCs w:val="18"/>
        </w:rPr>
      </w:pPr>
      <w:r w:rsidRPr="009E256E">
        <w:rPr>
          <w:rStyle w:val="FootnoteReference"/>
          <w:szCs w:val="18"/>
        </w:rPr>
        <w:footnoteRef/>
      </w:r>
      <w:r w:rsidRPr="009E256E">
        <w:rPr>
          <w:szCs w:val="18"/>
        </w:rPr>
        <w:t xml:space="preserve"> Ministru kabineta 2017. gada 13. jūnija noteikumi Nr. 328 “Kritēriji un kārtība, kādā novērtē atkritumu dalītās savākšanas pakalpojuma pieejamību iedzīvotājiem” 2.1.un 3.1.apakšpunkts</w:t>
      </w:r>
    </w:p>
  </w:footnote>
  <w:footnote w:id="3">
    <w:p w14:paraId="358C0B1B" w14:textId="69807EB3" w:rsidR="008A1E19" w:rsidRPr="005E476E" w:rsidRDefault="008A1E19" w:rsidP="00C25243">
      <w:pPr>
        <w:pStyle w:val="footnotre"/>
      </w:pPr>
      <w:r w:rsidRPr="009E256E">
        <w:rPr>
          <w:rStyle w:val="FootnoteReference"/>
          <w:szCs w:val="18"/>
        </w:rPr>
        <w:footnoteRef/>
      </w:r>
      <w:r w:rsidRPr="009E256E">
        <w:rPr>
          <w:szCs w:val="18"/>
        </w:rPr>
        <w:t xml:space="preserve"> Ministru kabineta 2017. gada 13. jūnija noteikumi Nr. 328 “Kritēriji un kārtība, kādā novērtē atkritumu dalītās savākšanas pakalpojuma pieejamību iedzīvotājiem” 2.2. un 3.3.apakšpunkts</w:t>
      </w:r>
    </w:p>
  </w:footnote>
  <w:footnote w:id="4">
    <w:p w14:paraId="5892E5C5" w14:textId="75F92ED6" w:rsidR="008A1E19" w:rsidRPr="009E256E" w:rsidRDefault="008A1E19" w:rsidP="00C25243">
      <w:pPr>
        <w:pStyle w:val="footnotre"/>
        <w:rPr>
          <w:szCs w:val="18"/>
        </w:rPr>
      </w:pPr>
      <w:r w:rsidRPr="009E256E">
        <w:rPr>
          <w:rStyle w:val="FootnoteReference"/>
          <w:szCs w:val="18"/>
        </w:rPr>
        <w:footnoteRef/>
      </w:r>
      <w:r w:rsidRPr="009E256E">
        <w:rPr>
          <w:szCs w:val="18"/>
        </w:rPr>
        <w:t xml:space="preserve"> Norādīta Latvijas iesniegtā informācija Eurostat atbilstoši Eiropas Komisijas 2019. gada 6. novembra Īstenošanas lēmumam 2019/1885/ES, ar ko nosaka noteikumus par to, kā saskaņā ar Padomes Direktīvu 1999/31/EK aprēķināmi, verificējami un iesniedzami dati par atkritumiem, un atceļ Komisijas Lēmumu 2000/738/EK</w:t>
      </w:r>
    </w:p>
  </w:footnote>
  <w:footnote w:id="5">
    <w:p w14:paraId="1685A40A" w14:textId="7386B1D6" w:rsidR="008A1E19" w:rsidRDefault="008A1E19" w:rsidP="00C25243">
      <w:pPr>
        <w:pStyle w:val="footnotre"/>
      </w:pPr>
      <w:r w:rsidRPr="009E256E">
        <w:rPr>
          <w:rStyle w:val="FootnoteReference"/>
          <w:szCs w:val="18"/>
        </w:rPr>
        <w:footnoteRef/>
      </w:r>
      <w:r w:rsidRPr="009E256E">
        <w:rPr>
          <w:szCs w:val="18"/>
        </w:rPr>
        <w:t xml:space="preserve"> Norādīta Latvijas iesniegtā informācija Eurostat atbilstoši Eiropas Komisijas 2019. gada 6. novembra Īstenošanas lēmumam 2019/1885/ES, ar ko nosaka noteikumus par to, kā saskaņā ar Padomes Direktīvu 1999/31/EK aprēķināmi, verificējami un iesniedzami dati par atkritumiem, un atceļ Komisijas Lēmumu 2000/738/EK</w:t>
      </w:r>
    </w:p>
  </w:footnote>
  <w:footnote w:id="6">
    <w:p w14:paraId="41F815E2" w14:textId="34B9E2A4" w:rsidR="008A1E19" w:rsidRPr="005E476E" w:rsidRDefault="008A1E19" w:rsidP="00C25243">
      <w:pPr>
        <w:pStyle w:val="footnotre"/>
      </w:pPr>
      <w:r w:rsidRPr="005E476E">
        <w:rPr>
          <w:rStyle w:val="FootnoteReference"/>
        </w:rPr>
        <w:footnoteRef/>
      </w:r>
      <w:r w:rsidR="4F8A5C9F">
        <w:t>VARAM. Ziņojums par izlietoto iepakojumu, 2018. Pieejams:</w:t>
      </w:r>
      <w:r w:rsidR="4F8A5C9F" w:rsidRPr="005E476E">
        <w:t xml:space="preserve"> </w:t>
      </w:r>
      <w:r w:rsidR="4F8A5C9F">
        <w:t>https://www.varam.gov.lv/lv/zinojumu-par-latvijas-republika-gada-radita-iepakojuma-veidiem-un-resursu-atgusanas-apjomiem</w:t>
      </w:r>
    </w:p>
  </w:footnote>
  <w:footnote w:id="7">
    <w:p w14:paraId="656C62C1" w14:textId="361B2890" w:rsidR="008A1E19" w:rsidRPr="005E476E" w:rsidRDefault="008A1E19" w:rsidP="00C25243">
      <w:pPr>
        <w:pStyle w:val="footnotre"/>
      </w:pPr>
      <w:r w:rsidRPr="005E476E">
        <w:rPr>
          <w:rStyle w:val="FootnoteReference"/>
        </w:rPr>
        <w:footnoteRef/>
      </w:r>
      <w:r w:rsidRPr="005E476E">
        <w:t xml:space="preserve"> </w:t>
      </w:r>
      <w:r w:rsidR="00A37EF8">
        <w:t>Turpat</w:t>
      </w:r>
    </w:p>
  </w:footnote>
  <w:footnote w:id="8">
    <w:p w14:paraId="0A157649" w14:textId="09B1009B" w:rsidR="008A1E19" w:rsidRPr="005E476E" w:rsidRDefault="008A1E19" w:rsidP="00C25243">
      <w:pPr>
        <w:pStyle w:val="footnotre"/>
      </w:pPr>
      <w:r w:rsidRPr="005E476E">
        <w:rPr>
          <w:rStyle w:val="FootnoteReference"/>
        </w:rPr>
        <w:footnoteRef/>
      </w:r>
      <w:r w:rsidRPr="005E476E">
        <w:t xml:space="preserve"> </w:t>
      </w:r>
      <w:r w:rsidR="007211B2">
        <w:t>Pēc</w:t>
      </w:r>
      <w:r w:rsidRPr="005E476E">
        <w:t xml:space="preserve"> Latvijas iesniegtā</w:t>
      </w:r>
      <w:r w:rsidR="007211B2">
        <w:t>s</w:t>
      </w:r>
      <w:r w:rsidRPr="005E476E">
        <w:t xml:space="preserve"> informācija Eurostat</w:t>
      </w:r>
      <w:r w:rsidR="007211B2">
        <w:t>.</w:t>
      </w:r>
    </w:p>
  </w:footnote>
  <w:footnote w:id="9">
    <w:p w14:paraId="74677EC5" w14:textId="6A12CE19" w:rsidR="008A1E19" w:rsidRPr="005E476E" w:rsidRDefault="008A1E19" w:rsidP="00C25243">
      <w:pPr>
        <w:pStyle w:val="footnotre"/>
      </w:pPr>
      <w:r w:rsidRPr="005E476E">
        <w:rPr>
          <w:rStyle w:val="FootnoteReference"/>
        </w:rPr>
        <w:footnoteRef/>
      </w:r>
      <w:r w:rsidRPr="005E476E">
        <w:t xml:space="preserve"> </w:t>
      </w:r>
      <w:r w:rsidR="006E3959">
        <w:t xml:space="preserve">Eurostat. Pieejams: </w:t>
      </w:r>
      <w:hyperlink r:id="rId1" w:history="1">
        <w:r w:rsidRPr="005E476E">
          <w:rPr>
            <w:rStyle w:val="Hyperlink"/>
          </w:rPr>
          <w:t>http://appsso.eurostat.ec.europa.eu/nui/submitViewTableAction.do</w:t>
        </w:r>
      </w:hyperlink>
      <w:r w:rsidRPr="005E476E">
        <w:t xml:space="preserve"> </w:t>
      </w:r>
    </w:p>
  </w:footnote>
  <w:footnote w:id="10">
    <w:p w14:paraId="63045028" w14:textId="30921F00" w:rsidR="008A1E19" w:rsidRPr="00DE2FE0" w:rsidRDefault="008A1E19" w:rsidP="00C25243">
      <w:pPr>
        <w:pStyle w:val="footnotre"/>
      </w:pPr>
      <w:r w:rsidRPr="00DE2FE0">
        <w:rPr>
          <w:rStyle w:val="FootnoteReference"/>
        </w:rPr>
        <w:footnoteRef/>
      </w:r>
      <w:r w:rsidRPr="00DE2FE0">
        <w:t xml:space="preserve"> Zaudēja spēku 2014.gada 14.februārī ar Eiropas Parlamenta un Padomes 2012. gada 4. jūlija Direktīva 2012/19/ES par elektrisko un elektronisko iekārtu atkritumiem (EEIA)</w:t>
      </w:r>
    </w:p>
  </w:footnote>
  <w:footnote w:id="11">
    <w:p w14:paraId="41774ADF" w14:textId="1887F41C" w:rsidR="008A1E19" w:rsidRPr="005E476E" w:rsidRDefault="008A1E19" w:rsidP="00C25243">
      <w:pPr>
        <w:pStyle w:val="footnotre"/>
      </w:pPr>
      <w:r w:rsidRPr="005E476E">
        <w:rPr>
          <w:rStyle w:val="FootnoteReference"/>
        </w:rPr>
        <w:footnoteRef/>
      </w:r>
      <w:r w:rsidRPr="005E476E">
        <w:t xml:space="preserve"> </w:t>
      </w:r>
      <w:r w:rsidR="006E3959">
        <w:t>Eurostat. Pieejams</w:t>
      </w:r>
      <w:r>
        <w:t xml:space="preserve">: </w:t>
      </w:r>
      <w:hyperlink r:id="rId2" w:history="1">
        <w:r w:rsidRPr="005E476E">
          <w:rPr>
            <w:rStyle w:val="Hyperlink"/>
          </w:rPr>
          <w:t>http://appsso.eurostat.ec.europa.eu/nui/show.do?lang=en&amp;dataset=env_waselee</w:t>
        </w:r>
      </w:hyperlink>
      <w:r w:rsidRPr="005E476E">
        <w:t xml:space="preserve"> </w:t>
      </w:r>
    </w:p>
  </w:footnote>
  <w:footnote w:id="12">
    <w:p w14:paraId="188017DE" w14:textId="3CBDA7F0" w:rsidR="008A1E19" w:rsidRPr="007F4CE8" w:rsidRDefault="008A1E19" w:rsidP="00C25243">
      <w:pPr>
        <w:pStyle w:val="footnotre"/>
      </w:pPr>
      <w:r w:rsidRPr="005E476E">
        <w:rPr>
          <w:rStyle w:val="FootnoteReference"/>
        </w:rPr>
        <w:footnoteRef/>
      </w:r>
      <w:r w:rsidRPr="005E476E">
        <w:t xml:space="preserve"> </w:t>
      </w:r>
      <w:r w:rsidR="007211B2">
        <w:t xml:space="preserve">Pēc </w:t>
      </w:r>
      <w:r w:rsidRPr="005E476E">
        <w:t>Latvijas iesniegtā</w:t>
      </w:r>
      <w:r w:rsidR="007211B2">
        <w:t>s</w:t>
      </w:r>
      <w:r w:rsidRPr="005E476E">
        <w:t xml:space="preserve"> informācija</w:t>
      </w:r>
      <w:r w:rsidR="007211B2">
        <w:t>s</w:t>
      </w:r>
      <w:r w:rsidRPr="005E476E">
        <w:t xml:space="preserve"> Eurostat</w:t>
      </w:r>
      <w:r>
        <w:t xml:space="preserve"> </w:t>
      </w:r>
      <w:r w:rsidRPr="007F4CE8">
        <w:t xml:space="preserve">atbilstoši Eiropas </w:t>
      </w:r>
      <w:r w:rsidRPr="007670E8">
        <w:t>Komisijas 2005. gada 3. maija Lēmumam 2005/369/EK, ar ko paredz noteikumus dalībvalstu atbilstības uzraudzībai un nosaka datu formātus attiecībā uz Eiropas Parlamenta un Padomes Direktīvu 2002/96/EK par elektrisko un elektronisko iekārtu atkritumiem</w:t>
      </w:r>
    </w:p>
  </w:footnote>
  <w:footnote w:id="13">
    <w:p w14:paraId="052064BC" w14:textId="496D00F6" w:rsidR="008A1E19" w:rsidRPr="007F4CE8" w:rsidRDefault="008A1E19" w:rsidP="00C25243">
      <w:pPr>
        <w:pStyle w:val="footnotre"/>
      </w:pPr>
      <w:r w:rsidRPr="007F4CE8">
        <w:rPr>
          <w:rStyle w:val="FootnoteReference"/>
        </w:rPr>
        <w:footnoteRef/>
      </w:r>
      <w:r w:rsidRPr="007F4CE8">
        <w:t xml:space="preserve"> </w:t>
      </w:r>
      <w:r w:rsidR="007211B2">
        <w:t xml:space="preserve">Eurostat. Pieejams: </w:t>
      </w:r>
      <w:r w:rsidRPr="007F4CE8">
        <w:t>http://appsso.eurostat.ec.europa.eu/nui/submitViewTableAction.do</w:t>
      </w:r>
      <w:r w:rsidRPr="007F4CE8" w:rsidDel="007104F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382654"/>
      <w:docPartObj>
        <w:docPartGallery w:val="Page Numbers (Top of Page)"/>
        <w:docPartUnique/>
      </w:docPartObj>
    </w:sdtPr>
    <w:sdtEndPr>
      <w:rPr>
        <w:noProof/>
      </w:rPr>
    </w:sdtEndPr>
    <w:sdtContent>
      <w:p w14:paraId="3C0AAE29" w14:textId="77777777" w:rsidR="008A1E19" w:rsidRDefault="008A1E19">
        <w:pPr>
          <w:pStyle w:val="Header"/>
          <w:jc w:val="center"/>
        </w:pPr>
        <w:r>
          <w:fldChar w:fldCharType="begin"/>
        </w:r>
        <w:r>
          <w:instrText xml:space="preserve"> PAGE   \* MERGEFORMAT </w:instrText>
        </w:r>
        <w:r>
          <w:fldChar w:fldCharType="separate"/>
        </w:r>
        <w:r w:rsidR="002A16B5">
          <w:rPr>
            <w:noProof/>
          </w:rPr>
          <w:t>2</w:t>
        </w:r>
        <w:r>
          <w:rPr>
            <w:noProof/>
          </w:rPr>
          <w:fldChar w:fldCharType="end"/>
        </w:r>
      </w:p>
    </w:sdtContent>
  </w:sdt>
  <w:p w14:paraId="00C81C76" w14:textId="77777777" w:rsidR="008A1E19" w:rsidRDefault="008A1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50D31"/>
    <w:multiLevelType w:val="hybridMultilevel"/>
    <w:tmpl w:val="163EBC44"/>
    <w:lvl w:ilvl="0" w:tplc="FA7C2F46">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63432A"/>
    <w:multiLevelType w:val="hybridMultilevel"/>
    <w:tmpl w:val="E39C8A92"/>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5E4529"/>
    <w:multiLevelType w:val="hybridMultilevel"/>
    <w:tmpl w:val="067289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EC"/>
    <w:rsid w:val="000076A3"/>
    <w:rsid w:val="00014157"/>
    <w:rsid w:val="00054B71"/>
    <w:rsid w:val="0008325B"/>
    <w:rsid w:val="00083E99"/>
    <w:rsid w:val="0008415A"/>
    <w:rsid w:val="000B31AF"/>
    <w:rsid w:val="000B31DF"/>
    <w:rsid w:val="000C0F17"/>
    <w:rsid w:val="000C1ED0"/>
    <w:rsid w:val="00141067"/>
    <w:rsid w:val="0017386A"/>
    <w:rsid w:val="00176189"/>
    <w:rsid w:val="00186992"/>
    <w:rsid w:val="00191A4B"/>
    <w:rsid w:val="00194944"/>
    <w:rsid w:val="001C43F2"/>
    <w:rsid w:val="00200258"/>
    <w:rsid w:val="00201C9C"/>
    <w:rsid w:val="00202C71"/>
    <w:rsid w:val="002076ED"/>
    <w:rsid w:val="0021213F"/>
    <w:rsid w:val="00296AE4"/>
    <w:rsid w:val="002A16B5"/>
    <w:rsid w:val="00342DCF"/>
    <w:rsid w:val="00374CB2"/>
    <w:rsid w:val="003B1C6B"/>
    <w:rsid w:val="003E4D55"/>
    <w:rsid w:val="003F6C84"/>
    <w:rsid w:val="00424085"/>
    <w:rsid w:val="00435745"/>
    <w:rsid w:val="00445354"/>
    <w:rsid w:val="0045131F"/>
    <w:rsid w:val="00451784"/>
    <w:rsid w:val="0046780A"/>
    <w:rsid w:val="0047449E"/>
    <w:rsid w:val="004E0DE6"/>
    <w:rsid w:val="00522175"/>
    <w:rsid w:val="00530423"/>
    <w:rsid w:val="00543327"/>
    <w:rsid w:val="0059243D"/>
    <w:rsid w:val="005B2EFD"/>
    <w:rsid w:val="005D414A"/>
    <w:rsid w:val="005E12C7"/>
    <w:rsid w:val="005E476E"/>
    <w:rsid w:val="005F27B5"/>
    <w:rsid w:val="00627372"/>
    <w:rsid w:val="00665752"/>
    <w:rsid w:val="00674A23"/>
    <w:rsid w:val="006D25A3"/>
    <w:rsid w:val="006D27CC"/>
    <w:rsid w:val="006E3959"/>
    <w:rsid w:val="006F299F"/>
    <w:rsid w:val="006F60BC"/>
    <w:rsid w:val="007104FA"/>
    <w:rsid w:val="007211B2"/>
    <w:rsid w:val="007362F5"/>
    <w:rsid w:val="00755C1B"/>
    <w:rsid w:val="007670E8"/>
    <w:rsid w:val="00767F82"/>
    <w:rsid w:val="00791D4F"/>
    <w:rsid w:val="0079431C"/>
    <w:rsid w:val="007A376A"/>
    <w:rsid w:val="007B555B"/>
    <w:rsid w:val="007C5E4B"/>
    <w:rsid w:val="007F4CE8"/>
    <w:rsid w:val="00856E53"/>
    <w:rsid w:val="00860B92"/>
    <w:rsid w:val="0088752D"/>
    <w:rsid w:val="00890BF7"/>
    <w:rsid w:val="008A1E19"/>
    <w:rsid w:val="008A4EDF"/>
    <w:rsid w:val="009120F6"/>
    <w:rsid w:val="009168ED"/>
    <w:rsid w:val="00945450"/>
    <w:rsid w:val="0097526F"/>
    <w:rsid w:val="00994909"/>
    <w:rsid w:val="0099708E"/>
    <w:rsid w:val="009D5AA6"/>
    <w:rsid w:val="009E256E"/>
    <w:rsid w:val="00A0069A"/>
    <w:rsid w:val="00A13540"/>
    <w:rsid w:val="00A169E0"/>
    <w:rsid w:val="00A275DA"/>
    <w:rsid w:val="00A37EF8"/>
    <w:rsid w:val="00A40ABA"/>
    <w:rsid w:val="00A43DA3"/>
    <w:rsid w:val="00A46E57"/>
    <w:rsid w:val="00A64283"/>
    <w:rsid w:val="00A66F6A"/>
    <w:rsid w:val="00A67B52"/>
    <w:rsid w:val="00A70331"/>
    <w:rsid w:val="00A768EA"/>
    <w:rsid w:val="00AE762E"/>
    <w:rsid w:val="00B06C26"/>
    <w:rsid w:val="00B243BF"/>
    <w:rsid w:val="00B27359"/>
    <w:rsid w:val="00B36844"/>
    <w:rsid w:val="00B45843"/>
    <w:rsid w:val="00B70750"/>
    <w:rsid w:val="00BD0C50"/>
    <w:rsid w:val="00BF05F4"/>
    <w:rsid w:val="00C0638E"/>
    <w:rsid w:val="00C126CA"/>
    <w:rsid w:val="00C17CC5"/>
    <w:rsid w:val="00C25243"/>
    <w:rsid w:val="00C26137"/>
    <w:rsid w:val="00C36171"/>
    <w:rsid w:val="00C80F07"/>
    <w:rsid w:val="00C8489F"/>
    <w:rsid w:val="00CC4484"/>
    <w:rsid w:val="00D5431F"/>
    <w:rsid w:val="00D75994"/>
    <w:rsid w:val="00D9115A"/>
    <w:rsid w:val="00D962D3"/>
    <w:rsid w:val="00DA1A6D"/>
    <w:rsid w:val="00DE2FE0"/>
    <w:rsid w:val="00DF7BD8"/>
    <w:rsid w:val="00ED3EA3"/>
    <w:rsid w:val="00EE6FEC"/>
    <w:rsid w:val="00F01CD8"/>
    <w:rsid w:val="00F40F74"/>
    <w:rsid w:val="00FC18CF"/>
    <w:rsid w:val="00FE1D59"/>
    <w:rsid w:val="04046238"/>
    <w:rsid w:val="09D82D1C"/>
    <w:rsid w:val="0D0FCDDE"/>
    <w:rsid w:val="0D212E39"/>
    <w:rsid w:val="10E0112C"/>
    <w:rsid w:val="151AABDB"/>
    <w:rsid w:val="22599E9B"/>
    <w:rsid w:val="24221A5C"/>
    <w:rsid w:val="2434EDDB"/>
    <w:rsid w:val="2A3FF6B6"/>
    <w:rsid w:val="2CA4C322"/>
    <w:rsid w:val="308FE9F5"/>
    <w:rsid w:val="3265E1E6"/>
    <w:rsid w:val="38A63238"/>
    <w:rsid w:val="3B2F8203"/>
    <w:rsid w:val="3C42B105"/>
    <w:rsid w:val="3C98F0F7"/>
    <w:rsid w:val="4144E5B3"/>
    <w:rsid w:val="42420E1C"/>
    <w:rsid w:val="44E27B42"/>
    <w:rsid w:val="4512737A"/>
    <w:rsid w:val="46EFCE31"/>
    <w:rsid w:val="488B9E92"/>
    <w:rsid w:val="4A183569"/>
    <w:rsid w:val="4BC6136A"/>
    <w:rsid w:val="4C177F26"/>
    <w:rsid w:val="4C1F0D50"/>
    <w:rsid w:val="4D0C4C77"/>
    <w:rsid w:val="4F8A5C9F"/>
    <w:rsid w:val="4F91B2AD"/>
    <w:rsid w:val="50D6C908"/>
    <w:rsid w:val="5362F223"/>
    <w:rsid w:val="53E1AB85"/>
    <w:rsid w:val="597C5CF2"/>
    <w:rsid w:val="5C6A2504"/>
    <w:rsid w:val="5EA326BD"/>
    <w:rsid w:val="5F31ECC9"/>
    <w:rsid w:val="64CD87E9"/>
    <w:rsid w:val="6C221410"/>
    <w:rsid w:val="74A7C6F9"/>
    <w:rsid w:val="7E2BF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006C4BC"/>
  <w15:chartTrackingRefBased/>
  <w15:docId w15:val="{383D07E7-266A-4E59-ADF0-8B73BCD9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E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E6FEC"/>
    <w:pPr>
      <w:keepNext/>
      <w:spacing w:before="240" w:after="60"/>
      <w:jc w:val="center"/>
      <w:outlineLvl w:val="0"/>
    </w:pPr>
    <w:rPr>
      <w:rFonts w:eastAsia="MS Mincho"/>
      <w:b/>
      <w:bCs/>
      <w:kern w:val="32"/>
      <w:sz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FEC"/>
    <w:rPr>
      <w:rFonts w:ascii="Times New Roman" w:eastAsia="MS Mincho" w:hAnsi="Times New Roman" w:cs="Times New Roman"/>
      <w:b/>
      <w:bCs/>
      <w:kern w:val="32"/>
      <w:sz w:val="32"/>
      <w:szCs w:val="24"/>
      <w:lang w:val="en-GB" w:eastAsia="ja-JP"/>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E6FEC"/>
    <w:pPr>
      <w:ind w:left="720"/>
    </w:pPr>
    <w:rPr>
      <w:rFonts w:eastAsiaTheme="minorHAnsi"/>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rsid w:val="00EE6FEC"/>
    <w:rPr>
      <w:rFonts w:ascii="Times New Roman" w:hAnsi="Times New Roman" w:cs="Times New Roman"/>
      <w:sz w:val="24"/>
      <w:szCs w:val="24"/>
      <w:lang w:eastAsia="lv-LV"/>
    </w:rPr>
  </w:style>
  <w:style w:type="paragraph" w:styleId="FootnoteText">
    <w:name w:val="footnote text"/>
    <w:aliases w:val="Footnote,Fußnote,-E Fußnotentext,footnote text,Fußnotentext Ursprung,Vēres teksts Char Char Char Char Char Char Char Char Char Char Char Char1,Char Char Char Char Char Char Char Char Char Char Char Char Char Char Char Char Char Char Char1"/>
    <w:basedOn w:val="Normal"/>
    <w:link w:val="FootnoteTextChar"/>
    <w:uiPriority w:val="99"/>
    <w:unhideWhenUsed/>
    <w:rsid w:val="00EE6FEC"/>
    <w:rPr>
      <w:rFonts w:ascii="Calibri" w:eastAsiaTheme="minorHAnsi" w:hAnsi="Calibri"/>
      <w:sz w:val="20"/>
      <w:szCs w:val="20"/>
    </w:rPr>
  </w:style>
  <w:style w:type="character" w:customStyle="1" w:styleId="FootnoteTextChar">
    <w:name w:val="Footnote Text Char"/>
    <w:aliases w:val="Footnote Char,Fußnote Char,-E Fußnotentext Char,footnote text Char,Fußnotentext Ursprung Char,Vēres teksts Char Char Char Char Char Char Char Char Char Char Char Char1 Char"/>
    <w:basedOn w:val="DefaultParagraphFont"/>
    <w:link w:val="FootnoteText"/>
    <w:uiPriority w:val="99"/>
    <w:rsid w:val="00EE6FEC"/>
    <w:rPr>
      <w:rFonts w:ascii="Calibri" w:hAnsi="Calibri" w:cs="Times New Roman"/>
      <w:sz w:val="20"/>
      <w:szCs w:val="20"/>
      <w:lang w:eastAsia="lv-LV"/>
    </w:rPr>
  </w:style>
  <w:style w:type="character" w:styleId="FootnoteReference">
    <w:name w:val="footnote reference"/>
    <w:aliases w:val="Footnote Reference Number"/>
    <w:basedOn w:val="DefaultParagraphFont"/>
    <w:uiPriority w:val="99"/>
    <w:unhideWhenUsed/>
    <w:rsid w:val="00EE6FEC"/>
    <w:rPr>
      <w:vertAlign w:val="superscript"/>
    </w:rPr>
  </w:style>
  <w:style w:type="character" w:styleId="Hyperlink">
    <w:name w:val="Hyperlink"/>
    <w:basedOn w:val="DefaultParagraphFont"/>
    <w:uiPriority w:val="99"/>
    <w:unhideWhenUsed/>
    <w:rsid w:val="00EE6FEC"/>
    <w:rPr>
      <w:color w:val="0563C1" w:themeColor="hyperlink"/>
      <w:u w:val="single"/>
    </w:rPr>
  </w:style>
  <w:style w:type="character" w:styleId="FollowedHyperlink">
    <w:name w:val="FollowedHyperlink"/>
    <w:basedOn w:val="DefaultParagraphFont"/>
    <w:uiPriority w:val="99"/>
    <w:semiHidden/>
    <w:unhideWhenUsed/>
    <w:rsid w:val="00EE6FEC"/>
    <w:rPr>
      <w:color w:val="954F72" w:themeColor="followedHyperlink"/>
      <w:u w:val="single"/>
    </w:rPr>
  </w:style>
  <w:style w:type="paragraph" w:styleId="Header">
    <w:name w:val="header"/>
    <w:basedOn w:val="Normal"/>
    <w:link w:val="HeaderChar"/>
    <w:uiPriority w:val="99"/>
    <w:unhideWhenUsed/>
    <w:rsid w:val="00A169E0"/>
    <w:pPr>
      <w:tabs>
        <w:tab w:val="center" w:pos="4153"/>
        <w:tab w:val="right" w:pos="8306"/>
      </w:tabs>
    </w:pPr>
  </w:style>
  <w:style w:type="character" w:customStyle="1" w:styleId="HeaderChar">
    <w:name w:val="Header Char"/>
    <w:basedOn w:val="DefaultParagraphFont"/>
    <w:link w:val="Header"/>
    <w:uiPriority w:val="99"/>
    <w:rsid w:val="00A169E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169E0"/>
    <w:pPr>
      <w:tabs>
        <w:tab w:val="center" w:pos="4153"/>
        <w:tab w:val="right" w:pos="8306"/>
      </w:tabs>
    </w:pPr>
  </w:style>
  <w:style w:type="character" w:customStyle="1" w:styleId="FooterChar">
    <w:name w:val="Footer Char"/>
    <w:basedOn w:val="DefaultParagraphFont"/>
    <w:link w:val="Footer"/>
    <w:uiPriority w:val="99"/>
    <w:rsid w:val="00A169E0"/>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8A1E19"/>
    <w:pPr>
      <w:tabs>
        <w:tab w:val="left" w:pos="0"/>
        <w:tab w:val="right" w:leader="dot" w:pos="9000"/>
      </w:tabs>
      <w:jc w:val="both"/>
    </w:pPr>
    <w:rPr>
      <w:rFonts w:eastAsia="MS Mincho"/>
      <w:bCs/>
      <w:iCs/>
      <w:noProof/>
      <w:sz w:val="20"/>
      <w:lang w:eastAsia="ja-JP"/>
    </w:rPr>
  </w:style>
  <w:style w:type="character" w:styleId="CommentReference">
    <w:name w:val="annotation reference"/>
    <w:basedOn w:val="DefaultParagraphFont"/>
    <w:uiPriority w:val="99"/>
    <w:semiHidden/>
    <w:unhideWhenUsed/>
    <w:rsid w:val="0088752D"/>
    <w:rPr>
      <w:sz w:val="16"/>
      <w:szCs w:val="16"/>
    </w:rPr>
  </w:style>
  <w:style w:type="paragraph" w:styleId="CommentText">
    <w:name w:val="annotation text"/>
    <w:basedOn w:val="Normal"/>
    <w:link w:val="CommentTextChar"/>
    <w:uiPriority w:val="99"/>
    <w:semiHidden/>
    <w:unhideWhenUsed/>
    <w:rsid w:val="0088752D"/>
    <w:rPr>
      <w:sz w:val="20"/>
      <w:szCs w:val="20"/>
    </w:rPr>
  </w:style>
  <w:style w:type="character" w:customStyle="1" w:styleId="CommentTextChar">
    <w:name w:val="Comment Text Char"/>
    <w:basedOn w:val="DefaultParagraphFont"/>
    <w:link w:val="CommentText"/>
    <w:uiPriority w:val="99"/>
    <w:semiHidden/>
    <w:rsid w:val="008875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752D"/>
    <w:rPr>
      <w:b/>
      <w:bCs/>
    </w:rPr>
  </w:style>
  <w:style w:type="character" w:customStyle="1" w:styleId="CommentSubjectChar">
    <w:name w:val="Comment Subject Char"/>
    <w:basedOn w:val="CommentTextChar"/>
    <w:link w:val="CommentSubject"/>
    <w:uiPriority w:val="99"/>
    <w:semiHidden/>
    <w:rsid w:val="0088752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7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2D"/>
    <w:rPr>
      <w:rFonts w:ascii="Segoe UI" w:eastAsia="Times New Roman" w:hAnsi="Segoe UI" w:cs="Segoe UI"/>
      <w:sz w:val="18"/>
      <w:szCs w:val="18"/>
      <w:lang w:eastAsia="lv-LV"/>
    </w:rPr>
  </w:style>
  <w:style w:type="paragraph" w:customStyle="1" w:styleId="footnotre">
    <w:name w:val="footnotre"/>
    <w:basedOn w:val="FootnoteText"/>
    <w:link w:val="footnotreChar"/>
    <w:autoRedefine/>
    <w:qFormat/>
    <w:rsid w:val="00C25243"/>
    <w:rPr>
      <w:rFonts w:ascii="Times New Roman" w:hAnsi="Times New Roman"/>
      <w:color w:val="7F7F7F" w:themeColor="text1" w:themeTint="80"/>
      <w:sz w:val="18"/>
    </w:rPr>
  </w:style>
  <w:style w:type="character" w:customStyle="1" w:styleId="footnotreChar">
    <w:name w:val="footnotre Char"/>
    <w:basedOn w:val="FootnoteTextChar"/>
    <w:link w:val="footnotre"/>
    <w:rsid w:val="00C25243"/>
    <w:rPr>
      <w:rFonts w:ascii="Times New Roman" w:hAnsi="Times New Roman" w:cs="Times New Roman"/>
      <w:color w:val="7F7F7F" w:themeColor="text1" w:themeTint="80"/>
      <w:sz w:val="1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3261">
      <w:bodyDiv w:val="1"/>
      <w:marLeft w:val="0"/>
      <w:marRight w:val="0"/>
      <w:marTop w:val="0"/>
      <w:marBottom w:val="0"/>
      <w:divBdr>
        <w:top w:val="none" w:sz="0" w:space="0" w:color="auto"/>
        <w:left w:val="none" w:sz="0" w:space="0" w:color="auto"/>
        <w:bottom w:val="none" w:sz="0" w:space="0" w:color="auto"/>
        <w:right w:val="none" w:sz="0" w:space="0" w:color="auto"/>
      </w:divBdr>
    </w:div>
    <w:div w:id="737365745">
      <w:bodyDiv w:val="1"/>
      <w:marLeft w:val="0"/>
      <w:marRight w:val="0"/>
      <w:marTop w:val="0"/>
      <w:marBottom w:val="0"/>
      <w:divBdr>
        <w:top w:val="none" w:sz="0" w:space="0" w:color="auto"/>
        <w:left w:val="none" w:sz="0" w:space="0" w:color="auto"/>
        <w:bottom w:val="none" w:sz="0" w:space="0" w:color="auto"/>
        <w:right w:val="none" w:sz="0" w:space="0" w:color="auto"/>
      </w:divBdr>
    </w:div>
    <w:div w:id="891430017">
      <w:bodyDiv w:val="1"/>
      <w:marLeft w:val="0"/>
      <w:marRight w:val="0"/>
      <w:marTop w:val="0"/>
      <w:marBottom w:val="0"/>
      <w:divBdr>
        <w:top w:val="none" w:sz="0" w:space="0" w:color="auto"/>
        <w:left w:val="none" w:sz="0" w:space="0" w:color="auto"/>
        <w:bottom w:val="none" w:sz="0" w:space="0" w:color="auto"/>
        <w:right w:val="none" w:sz="0" w:space="0" w:color="auto"/>
      </w:divBdr>
    </w:div>
    <w:div w:id="1637761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so.eurostat.ec.europa.eu/nui/show.do?lang=en&amp;dataset=env_waselee" TargetMode="External"/><Relationship Id="rId1" Type="http://schemas.openxmlformats.org/officeDocument/2006/relationships/hyperlink" Target="http://appsso.eurostat.ec.europa.eu/nui/submitViewTableActi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978650fdf22c0c9a0e9543bb0e34063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ff23940b4e502ab88bb0bef0479d9c9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1782E-889E-4F23-BBF1-C5698CD85AF1}">
  <ds:schemaRefs>
    <ds:schemaRef ds:uri="http://schemas.microsoft.com/sharepoint/v3/contenttype/forms"/>
  </ds:schemaRefs>
</ds:datastoreItem>
</file>

<file path=customXml/itemProps2.xml><?xml version="1.0" encoding="utf-8"?>
<ds:datastoreItem xmlns:ds="http://schemas.openxmlformats.org/officeDocument/2006/customXml" ds:itemID="{8261D3A7-15A8-4A4A-A8DB-56DD9F123AD1}">
  <ds:schemaRefs>
    <ds:schemaRef ds:uri="ace8e44c-fa88-44c0-8590-dfda63664a63"/>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122e0e09-afb4-4bf9-abab-ecc4519bc6eb"/>
    <ds:schemaRef ds:uri="http://purl.org/dc/dcmitype/"/>
  </ds:schemaRefs>
</ds:datastoreItem>
</file>

<file path=customXml/itemProps3.xml><?xml version="1.0" encoding="utf-8"?>
<ds:datastoreItem xmlns:ds="http://schemas.openxmlformats.org/officeDocument/2006/customXml" ds:itemID="{BC093C99-7966-48F6-9C03-114465658B4F}">
  <ds:schemaRefs>
    <ds:schemaRef ds:uri="http://schemas.openxmlformats.org/officeDocument/2006/bibliography"/>
  </ds:schemaRefs>
</ds:datastoreItem>
</file>

<file path=customXml/itemProps4.xml><?xml version="1.0" encoding="utf-8"?>
<ds:datastoreItem xmlns:ds="http://schemas.openxmlformats.org/officeDocument/2006/customXml" ds:itemID="{A151B02B-C767-4053-8777-928EA9381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4551</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3.pielikums Atkritumu apsaimniekošanas valsts plānam 2021.-2028.gadam</vt:lpstr>
    </vt:vector>
  </TitlesOfParts>
  <Manager>Erika.Lagzdina@varam.gov.lv</Manager>
  <Company>VARAM</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Atkritumu apsaimniekošanas valsts plānam 2021.-2028.gadam</dc:title>
  <dc:subject>Pielikums</dc:subject>
  <dc:creator>Erika.Lagzdina@varam.gov.lv</dc:creator>
  <cp:keywords/>
  <dc:description>e-pasts: 
erika.lagzdina@varam.gov.lv
Tālrunis: 67026420</dc:description>
  <cp:lastModifiedBy>Aija Talmane</cp:lastModifiedBy>
  <cp:revision>4</cp:revision>
  <dcterms:created xsi:type="dcterms:W3CDTF">2020-12-22T11:53:00Z</dcterms:created>
  <dcterms:modified xsi:type="dcterms:W3CDTF">2021-01-12T11:27:00Z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