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BD9B" w14:textId="3EB89045" w:rsidR="00E5323B" w:rsidRPr="00676B4D" w:rsidRDefault="00494EA5" w:rsidP="006C5D4A">
      <w:pPr>
        <w:shd w:val="clear" w:color="auto" w:fill="FFFFFF"/>
        <w:spacing w:after="0" w:line="240" w:lineRule="auto"/>
        <w:jc w:val="center"/>
        <w:rPr>
          <w:rFonts w:ascii="Times New Roman" w:hAnsi="Times New Roman" w:cs="Times New Roman"/>
          <w:b/>
          <w:sz w:val="28"/>
          <w:szCs w:val="28"/>
          <w:lang w:eastAsia="lv-LV"/>
        </w:rPr>
      </w:pPr>
      <w:r w:rsidRPr="00676B4D">
        <w:rPr>
          <w:rFonts w:ascii="Times New Roman" w:hAnsi="Times New Roman" w:cs="Times New Roman"/>
          <w:b/>
          <w:sz w:val="28"/>
          <w:szCs w:val="28"/>
          <w:lang w:eastAsia="lv-LV"/>
        </w:rPr>
        <w:t xml:space="preserve">Ministru kabineta noteikumu projekta </w:t>
      </w:r>
      <w:bookmarkStart w:id="0" w:name="OLE_LINK27"/>
      <w:bookmarkStart w:id="1" w:name="OLE_LINK26"/>
      <w:bookmarkStart w:id="2" w:name="OLE_LINK12"/>
      <w:bookmarkStart w:id="3" w:name="OLE_LINK11"/>
      <w:bookmarkStart w:id="4" w:name="_Hlk41393740"/>
      <w:r w:rsidRPr="00676B4D">
        <w:rPr>
          <w:rFonts w:ascii="Times New Roman" w:hAnsi="Times New Roman" w:cs="Times New Roman"/>
          <w:b/>
          <w:sz w:val="28"/>
          <w:szCs w:val="28"/>
        </w:rPr>
        <w:t>"</w:t>
      </w:r>
      <w:bookmarkEnd w:id="0"/>
      <w:bookmarkEnd w:id="1"/>
      <w:bookmarkEnd w:id="2"/>
      <w:bookmarkEnd w:id="3"/>
      <w:r w:rsidR="000866B2" w:rsidRPr="00676B4D">
        <w:rPr>
          <w:rFonts w:ascii="Times New Roman" w:hAnsi="Times New Roman" w:cs="Times New Roman"/>
          <w:b/>
          <w:sz w:val="28"/>
          <w:szCs w:val="28"/>
        </w:rPr>
        <w:t>Grozījumi Ministru kabineta 2018. gada 23. janvāra noteikumos Nr. 56 "</w:t>
      </w:r>
      <w:bookmarkStart w:id="5" w:name="_Hlk47008371"/>
      <w:r w:rsidR="000866B2" w:rsidRPr="00676B4D">
        <w:rPr>
          <w:rFonts w:ascii="Times New Roman" w:hAnsi="Times New Roman" w:cs="Times New Roman"/>
          <w:b/>
          <w:sz w:val="28"/>
          <w:szCs w:val="28"/>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bookmarkEnd w:id="5"/>
      <w:r w:rsidR="000866B2" w:rsidRPr="00676B4D">
        <w:rPr>
          <w:rFonts w:ascii="Times New Roman" w:hAnsi="Times New Roman" w:cs="Times New Roman"/>
          <w:b/>
          <w:sz w:val="28"/>
          <w:szCs w:val="28"/>
        </w:rPr>
        <w:t>"</w:t>
      </w:r>
      <w:r w:rsidRPr="00676B4D">
        <w:rPr>
          <w:rFonts w:ascii="Times New Roman" w:hAnsi="Times New Roman" w:cs="Times New Roman"/>
          <w:b/>
          <w:sz w:val="28"/>
          <w:szCs w:val="28"/>
        </w:rPr>
        <w:t>"</w:t>
      </w:r>
      <w:r w:rsidRPr="00676B4D">
        <w:rPr>
          <w:rFonts w:ascii="Times New Roman" w:hAnsi="Times New Roman" w:cs="Times New Roman"/>
          <w:b/>
          <w:sz w:val="28"/>
          <w:szCs w:val="28"/>
          <w:lang w:eastAsia="lv-LV"/>
        </w:rPr>
        <w:t xml:space="preserve"> </w:t>
      </w:r>
      <w:bookmarkEnd w:id="4"/>
      <w:r w:rsidRPr="00676B4D">
        <w:rPr>
          <w:rFonts w:ascii="Times New Roman" w:hAnsi="Times New Roman" w:cs="Times New Roman"/>
          <w:b/>
          <w:sz w:val="28"/>
          <w:szCs w:val="28"/>
          <w:lang w:eastAsia="lv-LV"/>
        </w:rPr>
        <w:t>sākotnējās ietekmes novērtējuma ziņojums (anotācija)</w:t>
      </w:r>
    </w:p>
    <w:p w14:paraId="27DEFC67" w14:textId="77777777" w:rsidR="00162590" w:rsidRPr="00676B4D" w:rsidRDefault="00162590" w:rsidP="006C5D4A">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676B4D" w:rsidRPr="00676B4D"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676B4D" w:rsidRDefault="00910840" w:rsidP="006C5D4A">
            <w:pPr>
              <w:spacing w:after="0" w:line="240" w:lineRule="auto"/>
              <w:jc w:val="center"/>
              <w:rPr>
                <w:rFonts w:ascii="Times New Roman" w:eastAsia="Times New Roman" w:hAnsi="Times New Roman" w:cs="Times New Roman"/>
                <w:b/>
                <w:bCs/>
                <w:iCs/>
                <w:sz w:val="24"/>
                <w:szCs w:val="24"/>
                <w:lang w:eastAsia="lv-LV"/>
              </w:rPr>
            </w:pPr>
            <w:r w:rsidRPr="00676B4D">
              <w:rPr>
                <w:rFonts w:ascii="Times New Roman" w:eastAsia="Times New Roman" w:hAnsi="Times New Roman" w:cs="Times New Roman"/>
                <w:b/>
                <w:bCs/>
                <w:iCs/>
                <w:sz w:val="24"/>
                <w:szCs w:val="24"/>
                <w:lang w:eastAsia="lv-LV"/>
              </w:rPr>
              <w:t>Tiesību akta projekta anotācijas kopsavilkums</w:t>
            </w:r>
          </w:p>
        </w:tc>
      </w:tr>
      <w:tr w:rsidR="00676B4D" w:rsidRPr="00676B4D"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676B4D" w:rsidRDefault="00910840" w:rsidP="006C5D4A">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3F8B41C8" w14:textId="60F11F20" w:rsidR="00F51C54" w:rsidRPr="00676B4D" w:rsidRDefault="00B118C7" w:rsidP="006C5D4A">
            <w:pPr>
              <w:pStyle w:val="naiskr"/>
              <w:spacing w:before="0" w:beforeAutospacing="0" w:after="0" w:afterAutospacing="0"/>
              <w:ind w:left="51" w:right="142"/>
              <w:jc w:val="both"/>
            </w:pPr>
            <w:r w:rsidRPr="00676B4D">
              <w:t xml:space="preserve">Ministru kabineta </w:t>
            </w:r>
            <w:r w:rsidR="000812E5" w:rsidRPr="00676B4D">
              <w:t>noteikumu projekts “</w:t>
            </w:r>
            <w:r w:rsidR="000866B2" w:rsidRPr="00676B4D">
              <w:t>Grozījumi Ministru kabineta 2018. gada 23. janvāra noteikumos Nr. 56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Pr="00676B4D">
              <w:t xml:space="preserve">" </w:t>
            </w:r>
            <w:r w:rsidR="00716D86" w:rsidRPr="00676B4D">
              <w:t xml:space="preserve"> (turpmāk –</w:t>
            </w:r>
            <w:r w:rsidR="00AE34DE" w:rsidRPr="00676B4D">
              <w:t xml:space="preserve"> </w:t>
            </w:r>
            <w:r w:rsidR="00716D86" w:rsidRPr="00676B4D">
              <w:t>noteikum</w:t>
            </w:r>
            <w:r w:rsidR="00F51C54" w:rsidRPr="00676B4D">
              <w:t>u projekts</w:t>
            </w:r>
            <w:r w:rsidR="00716D86" w:rsidRPr="00676B4D">
              <w:t>)</w:t>
            </w:r>
            <w:r w:rsidR="00132C38" w:rsidRPr="00676B4D">
              <w:t xml:space="preserve"> mērķis</w:t>
            </w:r>
            <w:r w:rsidR="00F51C54" w:rsidRPr="00676B4D">
              <w:t>:</w:t>
            </w:r>
          </w:p>
          <w:p w14:paraId="5DC19FC8" w14:textId="2E7F9F8A" w:rsidR="002B5588" w:rsidRPr="00676B4D" w:rsidRDefault="002B5588" w:rsidP="002B5588">
            <w:pPr>
              <w:pStyle w:val="naiskr"/>
              <w:numPr>
                <w:ilvl w:val="0"/>
                <w:numId w:val="2"/>
              </w:numPr>
              <w:spacing w:before="120" w:beforeAutospacing="0" w:after="0" w:afterAutospacing="0"/>
              <w:ind w:right="142"/>
              <w:jc w:val="both"/>
            </w:pPr>
            <w:r w:rsidRPr="00676B4D">
              <w:t>papildināt un precizēt sasniedzamo finanšu rādītāja vērtību un atbalstāmās darbības;</w:t>
            </w:r>
          </w:p>
          <w:p w14:paraId="6ECEC91F" w14:textId="681BB45D" w:rsidR="000866B2" w:rsidRPr="00676B4D" w:rsidRDefault="002B5588" w:rsidP="002B5588">
            <w:pPr>
              <w:pStyle w:val="ListParagraph"/>
              <w:numPr>
                <w:ilvl w:val="0"/>
                <w:numId w:val="2"/>
              </w:numPr>
              <w:jc w:val="both"/>
              <w:rPr>
                <w:i/>
                <w:iCs/>
              </w:rPr>
            </w:pPr>
            <w:r w:rsidRPr="00676B4D">
              <w:rPr>
                <w:rFonts w:ascii="Times New Roman" w:eastAsia="Times New Roman" w:hAnsi="Times New Roman" w:cs="Times New Roman"/>
                <w:lang w:eastAsia="lv-LV" w:bidi="lo-LA"/>
              </w:rPr>
              <w:t>veikt tehniskus precizējumus</w:t>
            </w:r>
          </w:p>
          <w:p w14:paraId="07B374D4" w14:textId="6600729E" w:rsidR="00AD7C62" w:rsidRPr="00676B4D" w:rsidRDefault="00AD7C62" w:rsidP="002B5588">
            <w:pPr>
              <w:pStyle w:val="ListParagraph"/>
              <w:ind w:left="694"/>
              <w:jc w:val="both"/>
              <w:rPr>
                <w:i/>
                <w:iCs/>
              </w:rPr>
            </w:pPr>
          </w:p>
        </w:tc>
      </w:tr>
    </w:tbl>
    <w:p w14:paraId="2B6FFF1E" w14:textId="77777777" w:rsidR="00E5323B" w:rsidRPr="00676B4D" w:rsidRDefault="00910840" w:rsidP="006C5D4A">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2525"/>
        <w:gridCol w:w="6114"/>
      </w:tblGrid>
      <w:tr w:rsidR="00676B4D" w:rsidRPr="00676B4D"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676B4D" w:rsidRDefault="00910840" w:rsidP="006C5D4A">
            <w:pPr>
              <w:spacing w:after="0" w:line="240" w:lineRule="auto"/>
              <w:jc w:val="center"/>
              <w:rPr>
                <w:rFonts w:ascii="Times New Roman" w:eastAsia="Times New Roman" w:hAnsi="Times New Roman" w:cs="Times New Roman"/>
                <w:b/>
                <w:bCs/>
                <w:iCs/>
                <w:sz w:val="24"/>
                <w:szCs w:val="24"/>
                <w:lang w:eastAsia="lv-LV"/>
              </w:rPr>
            </w:pPr>
            <w:r w:rsidRPr="00676B4D">
              <w:rPr>
                <w:rFonts w:ascii="Times New Roman" w:eastAsia="Times New Roman" w:hAnsi="Times New Roman" w:cs="Times New Roman"/>
                <w:b/>
                <w:bCs/>
                <w:iCs/>
                <w:sz w:val="24"/>
                <w:szCs w:val="24"/>
                <w:lang w:eastAsia="lv-LV"/>
              </w:rPr>
              <w:t>I. Tiesību akta projekta izstrādes nepieciešamība</w:t>
            </w:r>
          </w:p>
        </w:tc>
      </w:tr>
      <w:tr w:rsidR="00676B4D" w:rsidRPr="00676B4D" w14:paraId="3B1DF27A" w14:textId="77777777" w:rsidTr="00D96E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E4215D2" w14:textId="77777777" w:rsidR="00655F2C" w:rsidRPr="00676B4D" w:rsidRDefault="00910840" w:rsidP="006C5D4A">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w:t>
            </w:r>
          </w:p>
        </w:tc>
        <w:tc>
          <w:tcPr>
            <w:tcW w:w="1387" w:type="pct"/>
            <w:tcBorders>
              <w:top w:val="outset" w:sz="6" w:space="0" w:color="auto"/>
              <w:left w:val="outset" w:sz="6" w:space="0" w:color="auto"/>
              <w:bottom w:val="outset" w:sz="6" w:space="0" w:color="auto"/>
              <w:right w:val="outset" w:sz="6" w:space="0" w:color="auto"/>
            </w:tcBorders>
            <w:hideMark/>
          </w:tcPr>
          <w:p w14:paraId="1FF23D2B" w14:textId="77777777" w:rsidR="00E5323B" w:rsidRDefault="00910840" w:rsidP="006C5D4A">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Pamatojums</w:t>
            </w:r>
          </w:p>
          <w:p w14:paraId="396FF33A" w14:textId="77777777" w:rsidR="00D97B0E" w:rsidRPr="00D97B0E" w:rsidRDefault="00D97B0E" w:rsidP="00D97B0E">
            <w:pPr>
              <w:rPr>
                <w:rFonts w:ascii="Times New Roman" w:eastAsia="Times New Roman" w:hAnsi="Times New Roman" w:cs="Times New Roman"/>
                <w:sz w:val="24"/>
                <w:szCs w:val="24"/>
                <w:lang w:eastAsia="lv-LV"/>
              </w:rPr>
            </w:pPr>
          </w:p>
          <w:p w14:paraId="2F7598B5" w14:textId="77777777" w:rsidR="00D97B0E" w:rsidRPr="00D97B0E" w:rsidRDefault="00D97B0E" w:rsidP="00D97B0E">
            <w:pPr>
              <w:rPr>
                <w:rFonts w:ascii="Times New Roman" w:eastAsia="Times New Roman" w:hAnsi="Times New Roman" w:cs="Times New Roman"/>
                <w:sz w:val="24"/>
                <w:szCs w:val="24"/>
                <w:lang w:eastAsia="lv-LV"/>
              </w:rPr>
            </w:pPr>
          </w:p>
          <w:p w14:paraId="62DB1505" w14:textId="77777777" w:rsidR="00D97B0E" w:rsidRPr="00D97B0E" w:rsidRDefault="00D97B0E" w:rsidP="00D97B0E">
            <w:pPr>
              <w:rPr>
                <w:rFonts w:ascii="Times New Roman" w:eastAsia="Times New Roman" w:hAnsi="Times New Roman" w:cs="Times New Roman"/>
                <w:sz w:val="24"/>
                <w:szCs w:val="24"/>
                <w:lang w:eastAsia="lv-LV"/>
              </w:rPr>
            </w:pPr>
          </w:p>
          <w:p w14:paraId="7E844BD7" w14:textId="77777777" w:rsidR="00D97B0E" w:rsidRPr="00D97B0E" w:rsidRDefault="00D97B0E" w:rsidP="00D97B0E">
            <w:pPr>
              <w:rPr>
                <w:rFonts w:ascii="Times New Roman" w:eastAsia="Times New Roman" w:hAnsi="Times New Roman" w:cs="Times New Roman"/>
                <w:sz w:val="24"/>
                <w:szCs w:val="24"/>
                <w:lang w:eastAsia="lv-LV"/>
              </w:rPr>
            </w:pPr>
          </w:p>
          <w:p w14:paraId="2938EAD2" w14:textId="77777777" w:rsidR="00D97B0E" w:rsidRPr="00D97B0E" w:rsidRDefault="00D97B0E" w:rsidP="00D97B0E">
            <w:pPr>
              <w:rPr>
                <w:rFonts w:ascii="Times New Roman" w:eastAsia="Times New Roman" w:hAnsi="Times New Roman" w:cs="Times New Roman"/>
                <w:sz w:val="24"/>
                <w:szCs w:val="24"/>
                <w:lang w:eastAsia="lv-LV"/>
              </w:rPr>
            </w:pPr>
          </w:p>
          <w:p w14:paraId="05D4F2A8" w14:textId="77777777" w:rsidR="00D97B0E" w:rsidRPr="00D97B0E" w:rsidRDefault="00D97B0E" w:rsidP="00D97B0E">
            <w:pPr>
              <w:rPr>
                <w:rFonts w:ascii="Times New Roman" w:eastAsia="Times New Roman" w:hAnsi="Times New Roman" w:cs="Times New Roman"/>
                <w:sz w:val="24"/>
                <w:szCs w:val="24"/>
                <w:lang w:eastAsia="lv-LV"/>
              </w:rPr>
            </w:pPr>
          </w:p>
          <w:p w14:paraId="70AE0702" w14:textId="77777777" w:rsidR="00D97B0E" w:rsidRPr="00D97B0E" w:rsidRDefault="00D97B0E" w:rsidP="00D97B0E">
            <w:pPr>
              <w:rPr>
                <w:rFonts w:ascii="Times New Roman" w:eastAsia="Times New Roman" w:hAnsi="Times New Roman" w:cs="Times New Roman"/>
                <w:sz w:val="24"/>
                <w:szCs w:val="24"/>
                <w:lang w:eastAsia="lv-LV"/>
              </w:rPr>
            </w:pPr>
          </w:p>
          <w:p w14:paraId="11DCDCA9" w14:textId="77777777" w:rsidR="00D97B0E" w:rsidRPr="00D97B0E" w:rsidRDefault="00D97B0E" w:rsidP="00D97B0E">
            <w:pPr>
              <w:rPr>
                <w:rFonts w:ascii="Times New Roman" w:eastAsia="Times New Roman" w:hAnsi="Times New Roman" w:cs="Times New Roman"/>
                <w:sz w:val="24"/>
                <w:szCs w:val="24"/>
                <w:lang w:eastAsia="lv-LV"/>
              </w:rPr>
            </w:pPr>
          </w:p>
          <w:p w14:paraId="57FEAC6E" w14:textId="77777777" w:rsidR="00D97B0E" w:rsidRPr="00D97B0E" w:rsidRDefault="00D97B0E" w:rsidP="00D97B0E">
            <w:pPr>
              <w:rPr>
                <w:rFonts w:ascii="Times New Roman" w:eastAsia="Times New Roman" w:hAnsi="Times New Roman" w:cs="Times New Roman"/>
                <w:sz w:val="24"/>
                <w:szCs w:val="24"/>
                <w:lang w:eastAsia="lv-LV"/>
              </w:rPr>
            </w:pPr>
          </w:p>
          <w:p w14:paraId="406DCB1E" w14:textId="77777777" w:rsidR="00D97B0E" w:rsidRPr="00D97B0E" w:rsidRDefault="00D97B0E" w:rsidP="00D97B0E">
            <w:pPr>
              <w:rPr>
                <w:rFonts w:ascii="Times New Roman" w:eastAsia="Times New Roman" w:hAnsi="Times New Roman" w:cs="Times New Roman"/>
                <w:sz w:val="24"/>
                <w:szCs w:val="24"/>
                <w:lang w:eastAsia="lv-LV"/>
              </w:rPr>
            </w:pPr>
          </w:p>
          <w:p w14:paraId="1D969F77" w14:textId="77777777" w:rsidR="00D97B0E" w:rsidRPr="00D97B0E" w:rsidRDefault="00D97B0E" w:rsidP="00D97B0E">
            <w:pPr>
              <w:rPr>
                <w:rFonts w:ascii="Times New Roman" w:eastAsia="Times New Roman" w:hAnsi="Times New Roman" w:cs="Times New Roman"/>
                <w:sz w:val="24"/>
                <w:szCs w:val="24"/>
                <w:lang w:eastAsia="lv-LV"/>
              </w:rPr>
            </w:pPr>
          </w:p>
          <w:p w14:paraId="0DA20A18" w14:textId="77777777" w:rsidR="00D97B0E" w:rsidRPr="00D97B0E" w:rsidRDefault="00D97B0E" w:rsidP="00D97B0E">
            <w:pPr>
              <w:rPr>
                <w:rFonts w:ascii="Times New Roman" w:eastAsia="Times New Roman" w:hAnsi="Times New Roman" w:cs="Times New Roman"/>
                <w:sz w:val="24"/>
                <w:szCs w:val="24"/>
                <w:lang w:eastAsia="lv-LV"/>
              </w:rPr>
            </w:pPr>
          </w:p>
          <w:p w14:paraId="254E7813" w14:textId="77777777" w:rsidR="00D97B0E" w:rsidRPr="00D97B0E" w:rsidRDefault="00D97B0E" w:rsidP="00D97B0E">
            <w:pPr>
              <w:rPr>
                <w:rFonts w:ascii="Times New Roman" w:eastAsia="Times New Roman" w:hAnsi="Times New Roman" w:cs="Times New Roman"/>
                <w:sz w:val="24"/>
                <w:szCs w:val="24"/>
                <w:lang w:eastAsia="lv-LV"/>
              </w:rPr>
            </w:pPr>
          </w:p>
          <w:p w14:paraId="0083C5FE" w14:textId="77777777" w:rsidR="00D97B0E" w:rsidRPr="00D97B0E" w:rsidRDefault="00D97B0E" w:rsidP="00D97B0E">
            <w:pPr>
              <w:rPr>
                <w:rFonts w:ascii="Times New Roman" w:eastAsia="Times New Roman" w:hAnsi="Times New Roman" w:cs="Times New Roman"/>
                <w:sz w:val="24"/>
                <w:szCs w:val="24"/>
                <w:lang w:eastAsia="lv-LV"/>
              </w:rPr>
            </w:pPr>
          </w:p>
          <w:p w14:paraId="2E03577D" w14:textId="77777777" w:rsidR="00D97B0E" w:rsidRDefault="00D97B0E" w:rsidP="00286355">
            <w:pPr>
              <w:ind w:firstLine="720"/>
              <w:rPr>
                <w:rFonts w:ascii="Times New Roman" w:eastAsia="Times New Roman" w:hAnsi="Times New Roman" w:cs="Times New Roman"/>
                <w:iCs/>
                <w:sz w:val="24"/>
                <w:szCs w:val="24"/>
                <w:lang w:eastAsia="lv-LV"/>
              </w:rPr>
            </w:pPr>
          </w:p>
          <w:p w14:paraId="184BCB42" w14:textId="5A4F447D" w:rsidR="00D97B0E" w:rsidRPr="00D97B0E" w:rsidRDefault="00D97B0E" w:rsidP="00286355">
            <w:pPr>
              <w:ind w:firstLine="720"/>
              <w:rPr>
                <w:rFonts w:ascii="Times New Roman" w:eastAsia="Times New Roman" w:hAnsi="Times New Roman" w:cs="Times New Roman"/>
                <w:sz w:val="24"/>
                <w:szCs w:val="24"/>
                <w:lang w:eastAsia="lv-LV"/>
              </w:rPr>
            </w:pPr>
          </w:p>
        </w:tc>
        <w:tc>
          <w:tcPr>
            <w:tcW w:w="3341" w:type="pct"/>
            <w:tcBorders>
              <w:top w:val="outset" w:sz="6" w:space="0" w:color="auto"/>
              <w:left w:val="outset" w:sz="6" w:space="0" w:color="auto"/>
              <w:bottom w:val="outset" w:sz="6" w:space="0" w:color="auto"/>
              <w:right w:val="outset" w:sz="6" w:space="0" w:color="auto"/>
            </w:tcBorders>
          </w:tcPr>
          <w:p w14:paraId="708E79D4" w14:textId="3E824D59" w:rsidR="00D96E58" w:rsidRPr="00676B4D" w:rsidRDefault="00D96E58" w:rsidP="00D96E58">
            <w:pPr>
              <w:pStyle w:val="naiskr"/>
              <w:tabs>
                <w:tab w:val="left" w:pos="360"/>
              </w:tabs>
              <w:spacing w:before="0" w:beforeAutospacing="0" w:after="0" w:afterAutospacing="0" w:line="256" w:lineRule="auto"/>
              <w:ind w:left="51" w:right="57"/>
              <w:jc w:val="both"/>
            </w:pPr>
            <w:r w:rsidRPr="00676B4D">
              <w:lastRenderedPageBreak/>
              <w:t>Noteikumu projekts izstrādāts pamatojoties uz Eiropas</w:t>
            </w:r>
            <w:r w:rsidR="00DC332D" w:rsidRPr="00676B4D">
              <w:t xml:space="preserve"> </w:t>
            </w:r>
            <w:r w:rsidRPr="00676B4D">
              <w:t xml:space="preserve">Savienības struktūrfondu un Kohēzijas fonda 2014.-2020. gada plānošanas perioda vadības likuma 20. panta 6. un 13. punktu, lai nodrošinātu sekmīgu un savlaicīgu Eiropas Savienības fondu līdzekļu apguvi un darbības programmas </w:t>
            </w:r>
            <w:r w:rsidRPr="00676B4D">
              <w:rPr>
                <w:bCs/>
                <w:iCs/>
              </w:rPr>
              <w:t xml:space="preserve">“Izaugsme un nodarbinātība” </w:t>
            </w:r>
            <w:r w:rsidRPr="00676B4D">
              <w:t xml:space="preserve">kopējā mērķa un iznākumu rādītāju  sasniegšanu </w:t>
            </w:r>
            <w:r w:rsidRPr="00676B4D">
              <w:rPr>
                <w:iCs/>
              </w:rPr>
              <w:t>Eiropas Savienības struktūrfondu un Kohēzijas fonda 2014.-2020.gada plānošanas perioda</w:t>
            </w:r>
            <w:r w:rsidRPr="00676B4D">
              <w:t xml:space="preserve"> ietvaros.</w:t>
            </w:r>
          </w:p>
          <w:p w14:paraId="78965A95" w14:textId="5C8A2B55" w:rsidR="00D96E58" w:rsidRPr="00676B4D" w:rsidRDefault="00D96E58" w:rsidP="00376B77">
            <w:pPr>
              <w:pStyle w:val="naiskr"/>
              <w:tabs>
                <w:tab w:val="left" w:pos="360"/>
              </w:tabs>
              <w:spacing w:before="0" w:beforeAutospacing="0" w:after="0" w:afterAutospacing="0" w:line="256" w:lineRule="auto"/>
              <w:ind w:left="51" w:right="57"/>
              <w:jc w:val="both"/>
            </w:pPr>
            <w:r w:rsidRPr="00676B4D">
              <w:t>Ministru kabineta 2020.gada 21.janvāra sēdes protokola Nr.3 32. § “</w:t>
            </w:r>
            <w:r w:rsidRPr="00676B4D">
              <w:rPr>
                <w:shd w:val="clear" w:color="auto" w:fill="FFFFFF"/>
              </w:rPr>
              <w:t>Rīkojuma projekts "Grozījumi Eiropas Savienības struktūrfondu un Kohēzijas fonda 2014.-2020.gada plānošanas perioda darbības programmā "Izaugsme un nodarbinātība""” (TA-31)</w:t>
            </w:r>
            <w:r w:rsidRPr="00676B4D">
              <w:t xml:space="preserve">” </w:t>
            </w:r>
            <w:r w:rsidR="00376B77" w:rsidRPr="00676B4D">
              <w:t xml:space="preserve">(turpmāk – 21.01.2020 MK </w:t>
            </w:r>
            <w:proofErr w:type="spellStart"/>
            <w:r w:rsidR="00376B77" w:rsidRPr="00676B4D">
              <w:t>prot</w:t>
            </w:r>
            <w:r w:rsidR="00012E7C">
              <w:t>okollēmuma</w:t>
            </w:r>
            <w:proofErr w:type="spellEnd"/>
            <w:r w:rsidR="00012E7C">
              <w:t xml:space="preserve"> </w:t>
            </w:r>
            <w:r w:rsidR="00376B77" w:rsidRPr="00676B4D">
              <w:t>Nr.3</w:t>
            </w:r>
            <w:r w:rsidR="00201883" w:rsidRPr="00676B4D">
              <w:t xml:space="preserve"> </w:t>
            </w:r>
            <w:r w:rsidR="00376B77" w:rsidRPr="00676B4D">
              <w:t>32.</w:t>
            </w:r>
            <w:r w:rsidR="00012E7C">
              <w:t>§</w:t>
            </w:r>
            <w:r w:rsidR="00376B77" w:rsidRPr="00676B4D">
              <w:t xml:space="preserve">) </w:t>
            </w:r>
            <w:r w:rsidRPr="00676B4D">
              <w:t>5.punkts nosaka kārtību, kādā novirzāms finansējums 29 378 444 EUR apmērā VSIA “Paula Stradiņa klīniskās universitātes slimnīca” Eiropas Reģionālās attīstības fonda projektam Nr.9.3.2.0/17/I/013 “Paula Stradiņa klīniskās universitātes slimnīcas jaunās A2 ēkas attīstība”</w:t>
            </w:r>
            <w:r w:rsidR="00DC332D" w:rsidRPr="00676B4D">
              <w:t xml:space="preserve">, tai skaitā 5.2.apakšpunkts nosaka novirzīt arī 9.3.2. specifiskā atbalsta mērķa "Uzlabot kvalitatīvu veselības aprūpes pakalpojumu pieejamību, jo īpaši sociālās, teritoriālās atstumtības un nabadzības riskam pakļautajiem iedzīvotājiem, attīstot veselības aprūpes infrastruktūru" </w:t>
            </w:r>
            <w:r w:rsidR="00DC332D" w:rsidRPr="00676B4D">
              <w:lastRenderedPageBreak/>
              <w:t xml:space="preserve">(turpmāk –  SAM 9.3.2.) </w:t>
            </w:r>
            <w:r w:rsidR="00FB2CEF" w:rsidRPr="00676B4D">
              <w:t xml:space="preserve">pirmās un </w:t>
            </w:r>
            <w:r w:rsidR="00DC332D" w:rsidRPr="00676B4D">
              <w:t xml:space="preserve">trešās projektu iesniegumu atlases kārtas </w:t>
            </w:r>
            <w:r w:rsidR="00FB2CEF" w:rsidRPr="00676B4D">
              <w:t xml:space="preserve">nenokontraktēto un neatbilstību </w:t>
            </w:r>
            <w:r w:rsidR="00DC332D" w:rsidRPr="00676B4D">
              <w:t>ERAF finansējumu un valsts budžetu</w:t>
            </w:r>
            <w:r w:rsidRPr="00676B4D">
              <w:t>.</w:t>
            </w:r>
          </w:p>
        </w:tc>
      </w:tr>
      <w:tr w:rsidR="00676B4D" w:rsidRPr="00676B4D" w14:paraId="32CC59BB" w14:textId="77777777" w:rsidTr="00D96E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EBFEFA" w14:textId="77777777"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lastRenderedPageBreak/>
              <w:t>2.</w:t>
            </w:r>
          </w:p>
        </w:tc>
        <w:tc>
          <w:tcPr>
            <w:tcW w:w="1387" w:type="pct"/>
            <w:tcBorders>
              <w:top w:val="outset" w:sz="6" w:space="0" w:color="auto"/>
              <w:left w:val="outset" w:sz="6" w:space="0" w:color="auto"/>
              <w:bottom w:val="outset" w:sz="6" w:space="0" w:color="auto"/>
              <w:right w:val="outset" w:sz="6" w:space="0" w:color="auto"/>
            </w:tcBorders>
            <w:hideMark/>
          </w:tcPr>
          <w:p w14:paraId="26A16954" w14:textId="06EDE74D"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FCF2A8B" w14:textId="09C5CAC1" w:rsidR="00D96E58" w:rsidRPr="00676B4D" w:rsidRDefault="00D96E58" w:rsidP="00D96E58">
            <w:pPr>
              <w:ind w:firstLine="720"/>
              <w:rPr>
                <w:rFonts w:ascii="Times New Roman" w:eastAsia="Times New Roman" w:hAnsi="Times New Roman" w:cs="Times New Roman"/>
                <w:sz w:val="24"/>
                <w:szCs w:val="24"/>
                <w:lang w:eastAsia="lv-LV"/>
              </w:rPr>
            </w:pPr>
          </w:p>
        </w:tc>
        <w:tc>
          <w:tcPr>
            <w:tcW w:w="3341" w:type="pct"/>
            <w:tcBorders>
              <w:top w:val="outset" w:sz="6" w:space="0" w:color="auto"/>
              <w:left w:val="outset" w:sz="6" w:space="0" w:color="auto"/>
              <w:bottom w:val="outset" w:sz="6" w:space="0" w:color="auto"/>
              <w:right w:val="outset" w:sz="6" w:space="0" w:color="auto"/>
            </w:tcBorders>
            <w:hideMark/>
          </w:tcPr>
          <w:p w14:paraId="314F1DF3" w14:textId="483ED089" w:rsidR="00E05026" w:rsidRDefault="00FB2CEF" w:rsidP="001B5F0D">
            <w:pPr>
              <w:pStyle w:val="ListParagraph"/>
              <w:numPr>
                <w:ilvl w:val="0"/>
                <w:numId w:val="9"/>
              </w:numPr>
              <w:spacing w:before="120"/>
              <w:ind w:left="402" w:right="142"/>
              <w:contextualSpacing w:val="0"/>
              <w:jc w:val="both"/>
              <w:rPr>
                <w:rFonts w:ascii="Times New Roman" w:hAnsi="Times New Roman" w:cs="Times New Roman"/>
              </w:rPr>
            </w:pPr>
            <w:r w:rsidRPr="00E05026">
              <w:rPr>
                <w:rFonts w:ascii="Times New Roman" w:hAnsi="Times New Roman" w:cs="Times New Roman"/>
              </w:rPr>
              <w:t xml:space="preserve">Ministru kabineta 2018. gada 23. janvāra noteikumu Nr. 56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w:t>
            </w:r>
            <w:r w:rsidR="00E05026">
              <w:rPr>
                <w:rFonts w:ascii="Times New Roman" w:hAnsi="Times New Roman" w:cs="Times New Roman"/>
              </w:rPr>
              <w:t xml:space="preserve">(turpmāk – SAM 9.3.2.) </w:t>
            </w:r>
            <w:r w:rsidRPr="00E05026">
              <w:rPr>
                <w:rFonts w:ascii="Times New Roman" w:hAnsi="Times New Roman" w:cs="Times New Roman"/>
              </w:rPr>
              <w:t xml:space="preserve">projektu iesniegumu atlases trešo kārtu" (turpmāk </w:t>
            </w:r>
            <w:r w:rsidR="00E05026">
              <w:rPr>
                <w:rFonts w:ascii="Times New Roman" w:hAnsi="Times New Roman" w:cs="Times New Roman"/>
              </w:rPr>
              <w:t xml:space="preserve">kopā </w:t>
            </w:r>
            <w:r w:rsidRPr="00E05026">
              <w:rPr>
                <w:rFonts w:ascii="Times New Roman" w:hAnsi="Times New Roman" w:cs="Times New Roman"/>
              </w:rPr>
              <w:t>– MK Noteikumu Nr.56) 7.punkts nosaka</w:t>
            </w:r>
            <w:r w:rsidR="00E05026">
              <w:rPr>
                <w:rFonts w:ascii="Times New Roman" w:hAnsi="Times New Roman" w:cs="Times New Roman"/>
              </w:rPr>
              <w:t>:</w:t>
            </w:r>
          </w:p>
          <w:p w14:paraId="10C44921" w14:textId="15CE95A2" w:rsidR="00DE0ECC" w:rsidRPr="00E05026" w:rsidRDefault="00DE0ECC" w:rsidP="001B5F0D">
            <w:pPr>
              <w:pStyle w:val="ListParagraph"/>
              <w:numPr>
                <w:ilvl w:val="0"/>
                <w:numId w:val="9"/>
              </w:numPr>
              <w:spacing w:before="120"/>
              <w:ind w:left="402" w:right="142"/>
              <w:contextualSpacing w:val="0"/>
              <w:jc w:val="both"/>
              <w:rPr>
                <w:rFonts w:ascii="Times New Roman" w:hAnsi="Times New Roman" w:cs="Times New Roman"/>
              </w:rPr>
            </w:pPr>
            <w:r w:rsidRPr="00E05026">
              <w:rPr>
                <w:rFonts w:ascii="Times New Roman" w:hAnsi="Times New Roman" w:cs="Times New Roman"/>
              </w:rPr>
              <w:t>7.2.1. līdz 2023.gada 31.decembrim uzlaboto ārstniecības iestāžu skaits, kurās attīstīta infrastruktūra veselības aprūpes pakalpojumu sniegšanai, – 775 ārstniecības iestādes;</w:t>
            </w:r>
          </w:p>
          <w:p w14:paraId="5536352E" w14:textId="77777777" w:rsidR="00DE0ECC" w:rsidRPr="00676B4D" w:rsidRDefault="00DE0ECC" w:rsidP="00582C41">
            <w:pPr>
              <w:pStyle w:val="ListParagraph"/>
              <w:numPr>
                <w:ilvl w:val="0"/>
                <w:numId w:val="9"/>
              </w:numPr>
              <w:spacing w:before="120"/>
              <w:ind w:left="402" w:right="142"/>
              <w:contextualSpacing w:val="0"/>
              <w:jc w:val="both"/>
              <w:rPr>
                <w:rFonts w:ascii="Times New Roman" w:hAnsi="Times New Roman" w:cs="Times New Roman"/>
              </w:rPr>
            </w:pPr>
            <w:r w:rsidRPr="00676B4D">
              <w:rPr>
                <w:rFonts w:ascii="Times New Roman" w:hAnsi="Times New Roman" w:cs="Times New Roman"/>
              </w:rPr>
              <w:t>7.2.2. līdz 2023.gada 31.decembrim iedzīvotāju skaits, kuriem ir pieejami uzlaboti veselības aprūpes pakalpojumi, – 2 023 825 iedzīvotāji;</w:t>
            </w:r>
          </w:p>
          <w:p w14:paraId="515163E8" w14:textId="4C251D6E" w:rsidR="00DE0ECC" w:rsidRPr="00676B4D" w:rsidRDefault="00DE0ECC" w:rsidP="00582C41">
            <w:pPr>
              <w:pStyle w:val="ListParagraph"/>
              <w:numPr>
                <w:ilvl w:val="0"/>
                <w:numId w:val="9"/>
              </w:numPr>
              <w:spacing w:before="120"/>
              <w:ind w:left="402" w:right="142"/>
              <w:contextualSpacing w:val="0"/>
              <w:jc w:val="both"/>
              <w:rPr>
                <w:rFonts w:ascii="Times New Roman" w:hAnsi="Times New Roman" w:cs="Times New Roman"/>
              </w:rPr>
            </w:pPr>
            <w:r w:rsidRPr="00676B4D">
              <w:rPr>
                <w:rFonts w:ascii="Times New Roman" w:hAnsi="Times New Roman" w:cs="Times New Roman"/>
              </w:rPr>
              <w:t xml:space="preserve">7.3. līdz 2018.gada 31.decembrim sasniedzamo finanšu uzraudzības rādītāju – sertificēti attiecināmie izdevumi 46 799 872 </w:t>
            </w:r>
            <w:proofErr w:type="spellStart"/>
            <w:r w:rsidRPr="00676B4D">
              <w:rPr>
                <w:rFonts w:ascii="Times New Roman" w:hAnsi="Times New Roman" w:cs="Times New Roman"/>
                <w:i/>
              </w:rPr>
              <w:t>euro</w:t>
            </w:r>
            <w:proofErr w:type="spellEnd"/>
            <w:r w:rsidRPr="00676B4D">
              <w:rPr>
                <w:rFonts w:ascii="Times New Roman" w:hAnsi="Times New Roman" w:cs="Times New Roman"/>
              </w:rPr>
              <w:t> apmērā.</w:t>
            </w:r>
          </w:p>
          <w:p w14:paraId="0C0176B5" w14:textId="2BF78260" w:rsidR="00DE0ECC" w:rsidRPr="00676B4D" w:rsidRDefault="00DE0ECC" w:rsidP="00853C0A">
            <w:pPr>
              <w:spacing w:before="120" w:after="0" w:line="240" w:lineRule="auto"/>
              <w:ind w:left="42" w:right="142"/>
              <w:jc w:val="both"/>
              <w:rPr>
                <w:rFonts w:ascii="Times New Roman" w:hAnsi="Times New Roman" w:cs="Times New Roman"/>
                <w:sz w:val="24"/>
                <w:szCs w:val="24"/>
              </w:rPr>
            </w:pPr>
            <w:r w:rsidRPr="00676B4D">
              <w:rPr>
                <w:rFonts w:ascii="Times New Roman" w:hAnsi="Times New Roman" w:cs="Times New Roman"/>
                <w:sz w:val="24"/>
                <w:szCs w:val="24"/>
              </w:rPr>
              <w:t xml:space="preserve">Savukārt  saskaņā ar 2017.gada 30.novembrī ar Eiropas Komisijas  Eiropas Komisijas apstiprinātajiem darbības programmas “Izaugsme un nodarbinātība” (turpmāk - DP) grozījumiem Nr.2, kas nacionālā līmenī tika apstiprināti ar Ministru kabineta 2017.gada 29.marta rīkojumu Nr.160 </w:t>
            </w:r>
            <w:r w:rsidRPr="00676B4D">
              <w:rPr>
                <w:rFonts w:ascii="Times New Roman" w:hAnsi="Times New Roman" w:cs="Times New Roman"/>
                <w:i/>
                <w:sz w:val="24"/>
                <w:szCs w:val="24"/>
              </w:rPr>
              <w:t xml:space="preserve">“Grozījumi Eiropas Savienības struktūrfondu un Kohēzijas </w:t>
            </w:r>
            <w:r w:rsidRPr="00676B4D">
              <w:rPr>
                <w:rFonts w:ascii="Times New Roman" w:eastAsia="Times New Roman" w:hAnsi="Times New Roman" w:cs="Times New Roman"/>
                <w:i/>
                <w:sz w:val="24"/>
                <w:szCs w:val="24"/>
              </w:rPr>
              <w:t>fonda 2014.-2020. gada plānošanas perioda darbības programmā "Izaugsme un nodarbinātība””</w:t>
            </w:r>
            <w:r w:rsidRPr="00676B4D">
              <w:rPr>
                <w:rFonts w:ascii="Times New Roman" w:eastAsia="Times New Roman" w:hAnsi="Times New Roman" w:cs="Times New Roman"/>
                <w:sz w:val="24"/>
                <w:szCs w:val="24"/>
              </w:rPr>
              <w:t xml:space="preserve"> Eiropas Reģionālās attīstības fonda (turpmāk – ERAF) tika precizēti iznākuma rādītāji  uz šādām vērtībām, proti Nr. i.9.3.2.a </w:t>
            </w:r>
            <w:r w:rsidRPr="00676B4D">
              <w:rPr>
                <w:rFonts w:ascii="Times New Roman" w:eastAsia="Times New Roman" w:hAnsi="Times New Roman" w:cs="Times New Roman"/>
                <w:i/>
                <w:sz w:val="24"/>
                <w:szCs w:val="24"/>
              </w:rPr>
              <w:t>“Uzlaboto ārstniecības iestāžu skaits, kurās attīstīta infrastruktūra veselības aprūpes pakalpojumu sniegšanai”</w:t>
            </w:r>
            <w:r w:rsidRPr="00676B4D">
              <w:rPr>
                <w:rFonts w:ascii="Times New Roman" w:eastAsia="Times New Roman" w:hAnsi="Times New Roman" w:cs="Times New Roman"/>
                <w:sz w:val="24"/>
                <w:szCs w:val="24"/>
              </w:rPr>
              <w:t xml:space="preserve"> ārstniecības iestāžu skaits – 606 un Nr. i.9.3.2.b (CO36) </w:t>
            </w:r>
            <w:r w:rsidRPr="00676B4D">
              <w:rPr>
                <w:rFonts w:ascii="Times New Roman" w:eastAsia="Times New Roman" w:hAnsi="Times New Roman" w:cs="Times New Roman"/>
                <w:i/>
                <w:sz w:val="24"/>
                <w:szCs w:val="24"/>
              </w:rPr>
              <w:t>“Iedzīvotāju skaits, kuriem ir pieejami uzlaboti veselības aprūpes pakalpojumi”</w:t>
            </w:r>
            <w:r w:rsidRPr="00676B4D">
              <w:rPr>
                <w:rFonts w:ascii="Times New Roman" w:eastAsia="Times New Roman" w:hAnsi="Times New Roman" w:cs="Times New Roman"/>
                <w:sz w:val="24"/>
                <w:szCs w:val="24"/>
              </w:rPr>
              <w:t xml:space="preserve"> - cilvēku skaits - 1 839 598.</w:t>
            </w:r>
            <w:r w:rsidRPr="00676B4D">
              <w:rPr>
                <w:rFonts w:ascii="Times New Roman" w:hAnsi="Times New Roman" w:cs="Times New Roman"/>
                <w:sz w:val="24"/>
                <w:szCs w:val="24"/>
              </w:rPr>
              <w:t xml:space="preserve"> </w:t>
            </w:r>
          </w:p>
          <w:p w14:paraId="2F33C529" w14:textId="3CCC8485" w:rsidR="00DE0ECC" w:rsidRPr="00676B4D" w:rsidRDefault="00DE0ECC" w:rsidP="00853C0A">
            <w:pPr>
              <w:spacing w:before="120" w:after="0" w:line="240" w:lineRule="auto"/>
              <w:ind w:right="142"/>
              <w:jc w:val="both"/>
              <w:rPr>
                <w:rFonts w:ascii="Times New Roman" w:hAnsi="Times New Roman" w:cs="Times New Roman"/>
                <w:i/>
                <w:sz w:val="24"/>
                <w:szCs w:val="24"/>
              </w:rPr>
            </w:pPr>
            <w:r w:rsidRPr="00676B4D">
              <w:rPr>
                <w:rFonts w:ascii="Times New Roman" w:hAnsi="Times New Roman" w:cs="Times New Roman"/>
                <w:sz w:val="24"/>
                <w:szCs w:val="24"/>
              </w:rPr>
              <w:t xml:space="preserve">Kā arī ar 2018.gada 5.jūlijā Eiropas Komisijas apstiprinātajiem DP grozījumiem Nr.3, kas nacionālā līmenī tika apstiprināti ar Ministru kabineta 2018.gada 26.februāra rīkojumu Nr.69 “Grozījumi Eiropas Savienības struktūrfondu un Kohēzijas fonda 2014.-2020.gada plānošanas perioda darbības programmā “Izaugsme un nodarbinātība””, 9.prioritārā virziena “Sociālā iekļaušana un nabadzības apkarošana” ERAF snieguma ietvara finanšu rādītāja starpposma izpilde attiecībā uz Veselības ministrijas administrējamo 9.3.2. specifisko atbalsta mērķi "Uzlabot kvalitatīvu veselības aprūpes pakalpojumu pieejamību, jo īpaši sociālās, teritoriālās atstumtības un nabadzības riskam </w:t>
            </w:r>
            <w:r w:rsidRPr="00676B4D">
              <w:rPr>
                <w:rFonts w:ascii="Times New Roman" w:hAnsi="Times New Roman" w:cs="Times New Roman"/>
                <w:sz w:val="24"/>
                <w:szCs w:val="24"/>
              </w:rPr>
              <w:lastRenderedPageBreak/>
              <w:t>pakļautajiem iedzīvotājiem, attīstot veselības aprūpes infrastruktūru" (turpmāk –  SAM 9.3.2.) uz 2018.gada 31.decembri tika grozīta no</w:t>
            </w:r>
            <w:r w:rsidRPr="00676B4D">
              <w:rPr>
                <w:rFonts w:ascii="Times New Roman" w:hAnsi="Times New Roman" w:cs="Times New Roman"/>
                <w:sz w:val="24"/>
                <w:szCs w:val="24"/>
                <w:shd w:val="clear" w:color="auto" w:fill="FFFFFF"/>
              </w:rPr>
              <w:t xml:space="preserve"> </w:t>
            </w:r>
            <w:r w:rsidRPr="00676B4D">
              <w:rPr>
                <w:rFonts w:ascii="Times New Roman" w:hAnsi="Times New Roman" w:cs="Times New Roman"/>
                <w:sz w:val="24"/>
                <w:szCs w:val="24"/>
              </w:rPr>
              <w:t xml:space="preserve">46 799 872 </w:t>
            </w:r>
            <w:proofErr w:type="spellStart"/>
            <w:r w:rsidRPr="00676B4D">
              <w:rPr>
                <w:rFonts w:ascii="Times New Roman" w:hAnsi="Times New Roman" w:cs="Times New Roman"/>
                <w:i/>
                <w:sz w:val="24"/>
                <w:szCs w:val="24"/>
              </w:rPr>
              <w:t>euro</w:t>
            </w:r>
            <w:proofErr w:type="spellEnd"/>
            <w:r w:rsidRPr="00676B4D">
              <w:rPr>
                <w:rFonts w:ascii="Times New Roman" w:hAnsi="Times New Roman" w:cs="Times New Roman"/>
                <w:sz w:val="24"/>
                <w:szCs w:val="24"/>
                <w:shd w:val="clear" w:color="auto" w:fill="FFFFFF"/>
              </w:rPr>
              <w:t xml:space="preserve"> uz </w:t>
            </w:r>
            <w:r w:rsidRPr="00676B4D">
              <w:rPr>
                <w:rFonts w:ascii="Times New Roman" w:hAnsi="Times New Roman" w:cs="Times New Roman"/>
                <w:sz w:val="24"/>
                <w:szCs w:val="24"/>
              </w:rPr>
              <w:t xml:space="preserve">7 796 118 </w:t>
            </w:r>
            <w:proofErr w:type="spellStart"/>
            <w:r w:rsidRPr="00676B4D">
              <w:rPr>
                <w:rFonts w:ascii="Times New Roman" w:hAnsi="Times New Roman" w:cs="Times New Roman"/>
                <w:i/>
                <w:sz w:val="24"/>
                <w:szCs w:val="24"/>
              </w:rPr>
              <w:t>euro</w:t>
            </w:r>
            <w:proofErr w:type="spellEnd"/>
            <w:r w:rsidRPr="00676B4D">
              <w:rPr>
                <w:rFonts w:ascii="Times New Roman" w:hAnsi="Times New Roman" w:cs="Times New Roman"/>
                <w:i/>
                <w:sz w:val="24"/>
                <w:szCs w:val="24"/>
              </w:rPr>
              <w:t>.</w:t>
            </w:r>
          </w:p>
          <w:p w14:paraId="701F93B4" w14:textId="1B5E373D" w:rsidR="00DE0ECC" w:rsidRPr="00676B4D" w:rsidRDefault="00DE0ECC" w:rsidP="00853C0A">
            <w:pPr>
              <w:spacing w:before="120" w:after="0" w:line="240" w:lineRule="auto"/>
              <w:ind w:right="142"/>
              <w:jc w:val="both"/>
              <w:rPr>
                <w:rFonts w:ascii="Times New Roman" w:hAnsi="Times New Roman" w:cs="Times New Roman"/>
                <w:sz w:val="24"/>
                <w:szCs w:val="24"/>
              </w:rPr>
            </w:pPr>
            <w:r w:rsidRPr="00676B4D">
              <w:rPr>
                <w:rFonts w:ascii="Times New Roman" w:hAnsi="Times New Roman" w:cs="Times New Roman"/>
                <w:sz w:val="24"/>
                <w:szCs w:val="24"/>
              </w:rPr>
              <w:t xml:space="preserve">Papildus ņemot vērā SAM aktuālo situāciju </w:t>
            </w:r>
            <w:r w:rsidRPr="00676B4D">
              <w:rPr>
                <w:rStyle w:val="FootnoteReference"/>
                <w:rFonts w:ascii="Times New Roman" w:hAnsi="Times New Roman" w:cs="Times New Roman"/>
                <w:sz w:val="24"/>
                <w:szCs w:val="24"/>
              </w:rPr>
              <w:footnoteReference w:id="1"/>
            </w:r>
            <w:r w:rsidRPr="00676B4D">
              <w:rPr>
                <w:rFonts w:ascii="Times New Roman" w:hAnsi="Times New Roman" w:cs="Times New Roman"/>
                <w:sz w:val="24"/>
                <w:szCs w:val="24"/>
              </w:rPr>
              <w:t xml:space="preserve"> nepieciešams veikt tehniskus grozījumus un precizēt MK noteikumu Nr.56 7.2.1., 7.2.2. un 7.3.apakšpunkta redakciju, nosakot, ka:</w:t>
            </w:r>
          </w:p>
          <w:p w14:paraId="06724A1E" w14:textId="7091000E" w:rsidR="00DE0ECC" w:rsidRPr="00676B4D" w:rsidRDefault="00DE0ECC" w:rsidP="00582C41">
            <w:pPr>
              <w:pStyle w:val="ListParagraph"/>
              <w:numPr>
                <w:ilvl w:val="0"/>
                <w:numId w:val="10"/>
              </w:numPr>
              <w:spacing w:before="120"/>
              <w:ind w:left="402" w:right="142"/>
              <w:contextualSpacing w:val="0"/>
              <w:jc w:val="both"/>
              <w:rPr>
                <w:rFonts w:ascii="Times New Roman" w:hAnsi="Times New Roman" w:cs="Times New Roman"/>
              </w:rPr>
            </w:pPr>
            <w:r w:rsidRPr="00676B4D">
              <w:rPr>
                <w:rFonts w:ascii="Times New Roman" w:hAnsi="Times New Roman" w:cs="Times New Roman"/>
              </w:rPr>
              <w:t>līdz 2023.gada 31.decembrim uzlaboto ārstniecības iestāžu skaits, kurās attīstīta infrastruktūra veselības aprūpes pakalpojumu sniegšanai, – 608 ārstniecības iestādes</w:t>
            </w:r>
            <w:r w:rsidR="00B3718D">
              <w:rPr>
                <w:rFonts w:ascii="Times New Roman" w:hAnsi="Times New Roman" w:cs="Times New Roman"/>
              </w:rPr>
              <w:t xml:space="preserve"> (t.sk. </w:t>
            </w:r>
            <w:r w:rsidR="00B3718D" w:rsidRPr="00B8624B">
              <w:rPr>
                <w:rFonts w:ascii="Times New Roman" w:hAnsi="Times New Roman" w:cs="Times New Roman"/>
              </w:rPr>
              <w:t>atbalstu paredzēts sniegt divām jaunām ārstniecības iestādēm</w:t>
            </w:r>
            <w:r w:rsidR="00B3718D">
              <w:rPr>
                <w:rFonts w:ascii="Times New Roman" w:hAnsi="Times New Roman" w:cs="Times New Roman"/>
              </w:rPr>
              <w:t xml:space="preserve"> -</w:t>
            </w:r>
            <w:r w:rsidR="00B3718D" w:rsidRPr="00B8624B">
              <w:rPr>
                <w:rFonts w:ascii="Times New Roman" w:hAnsi="Times New Roman" w:cs="Times New Roman"/>
              </w:rPr>
              <w:t xml:space="preserve"> Neatliekamās medicīniskās palīdzības dienestam un SIA “Rīgas Psihiatrijas un narkoloģijas centrs”</w:t>
            </w:r>
            <w:r w:rsidR="00B3718D">
              <w:rPr>
                <w:rFonts w:ascii="Times New Roman" w:hAnsi="Times New Roman" w:cs="Times New Roman"/>
              </w:rPr>
              <w:t>)</w:t>
            </w:r>
            <w:r w:rsidRPr="00676B4D">
              <w:rPr>
                <w:rFonts w:ascii="Times New Roman" w:hAnsi="Times New Roman" w:cs="Times New Roman"/>
              </w:rPr>
              <w:t>;</w:t>
            </w:r>
          </w:p>
          <w:p w14:paraId="69921FC3" w14:textId="36D25768" w:rsidR="00DE0ECC" w:rsidRPr="00676B4D" w:rsidRDefault="00DE0ECC" w:rsidP="00582C41">
            <w:pPr>
              <w:pStyle w:val="ListParagraph"/>
              <w:numPr>
                <w:ilvl w:val="0"/>
                <w:numId w:val="10"/>
              </w:numPr>
              <w:spacing w:before="120"/>
              <w:ind w:left="402" w:right="142"/>
              <w:contextualSpacing w:val="0"/>
              <w:jc w:val="both"/>
              <w:rPr>
                <w:rFonts w:ascii="Times New Roman" w:hAnsi="Times New Roman" w:cs="Times New Roman"/>
              </w:rPr>
            </w:pPr>
            <w:r w:rsidRPr="00676B4D">
              <w:rPr>
                <w:rFonts w:ascii="Times New Roman" w:hAnsi="Times New Roman" w:cs="Times New Roman"/>
              </w:rPr>
              <w:t>līdz 2023.gada 31.decembrim iedzīvotāju skaits, kuriem ir pieejami uzlaboti veselības aprūpes pakalpojumi, –  1 839 598 iedzīvotāji;</w:t>
            </w:r>
          </w:p>
          <w:p w14:paraId="2E798B5B" w14:textId="15B9464E" w:rsidR="00DE0ECC" w:rsidRPr="00676B4D" w:rsidRDefault="00DE0ECC" w:rsidP="00582C41">
            <w:pPr>
              <w:pStyle w:val="ListParagraph"/>
              <w:numPr>
                <w:ilvl w:val="0"/>
                <w:numId w:val="10"/>
              </w:numPr>
              <w:spacing w:before="120"/>
              <w:ind w:left="402" w:right="142"/>
              <w:contextualSpacing w:val="0"/>
              <w:jc w:val="both"/>
              <w:rPr>
                <w:rFonts w:ascii="Times New Roman" w:hAnsi="Times New Roman" w:cs="Times New Roman"/>
              </w:rPr>
            </w:pPr>
            <w:r w:rsidRPr="00676B4D">
              <w:rPr>
                <w:rFonts w:ascii="Times New Roman" w:hAnsi="Times New Roman" w:cs="Times New Roman"/>
              </w:rPr>
              <w:t xml:space="preserve">SAM 9.3.2. ietvaros līdz 2018.gada 31.decembrim ir sasniedzams finanšu uzraudzības rādītājs – sertificēti attiecināmie izdevumi 7 796 118 </w:t>
            </w:r>
            <w:proofErr w:type="spellStart"/>
            <w:r w:rsidRPr="00676B4D">
              <w:rPr>
                <w:rFonts w:ascii="Times New Roman" w:hAnsi="Times New Roman" w:cs="Times New Roman"/>
                <w:i/>
              </w:rPr>
              <w:t>euro</w:t>
            </w:r>
            <w:proofErr w:type="spellEnd"/>
            <w:r w:rsidRPr="00676B4D">
              <w:rPr>
                <w:rFonts w:ascii="Times New Roman" w:hAnsi="Times New Roman" w:cs="Times New Roman"/>
              </w:rPr>
              <w:t> apmērā.</w:t>
            </w:r>
          </w:p>
          <w:p w14:paraId="7B2B7067" w14:textId="0834CD68" w:rsidR="00DE0ECC" w:rsidRPr="00012E7C" w:rsidRDefault="00376B77" w:rsidP="00582C41">
            <w:pPr>
              <w:pStyle w:val="ListParagraph"/>
              <w:numPr>
                <w:ilvl w:val="0"/>
                <w:numId w:val="13"/>
              </w:numPr>
              <w:spacing w:before="120"/>
              <w:ind w:left="402" w:right="142"/>
              <w:contextualSpacing w:val="0"/>
              <w:jc w:val="both"/>
              <w:rPr>
                <w:rFonts w:ascii="Times New Roman" w:hAnsi="Times New Roman" w:cs="Times New Roman"/>
              </w:rPr>
            </w:pPr>
            <w:r w:rsidRPr="00676B4D">
              <w:rPr>
                <w:rFonts w:ascii="Times New Roman" w:hAnsi="Times New Roman" w:cs="Times New Roman"/>
              </w:rPr>
              <w:t xml:space="preserve">Saskaņā ar 21.01.2020 MK </w:t>
            </w:r>
            <w:proofErr w:type="spellStart"/>
            <w:r w:rsidRPr="00676B4D">
              <w:rPr>
                <w:rFonts w:ascii="Times New Roman" w:hAnsi="Times New Roman" w:cs="Times New Roman"/>
              </w:rPr>
              <w:t>pro</w:t>
            </w:r>
            <w:r w:rsidR="0062327E">
              <w:rPr>
                <w:rFonts w:ascii="Times New Roman" w:hAnsi="Times New Roman" w:cs="Times New Roman"/>
              </w:rPr>
              <w:t>tokollēmuma</w:t>
            </w:r>
            <w:proofErr w:type="spellEnd"/>
            <w:r w:rsidRPr="00676B4D">
              <w:rPr>
                <w:rFonts w:ascii="Times New Roman" w:hAnsi="Times New Roman" w:cs="Times New Roman"/>
              </w:rPr>
              <w:t xml:space="preserve"> Nr.3</w:t>
            </w:r>
            <w:r w:rsidR="00201883" w:rsidRPr="00676B4D">
              <w:rPr>
                <w:rFonts w:ascii="Times New Roman" w:hAnsi="Times New Roman" w:cs="Times New Roman"/>
              </w:rPr>
              <w:t xml:space="preserve"> </w:t>
            </w:r>
            <w:r w:rsidRPr="00676B4D">
              <w:rPr>
                <w:rFonts w:ascii="Times New Roman" w:hAnsi="Times New Roman" w:cs="Times New Roman"/>
              </w:rPr>
              <w:t>32</w:t>
            </w:r>
            <w:r w:rsidR="0062327E">
              <w:rPr>
                <w:rFonts w:ascii="Times New Roman" w:hAnsi="Times New Roman" w:cs="Times New Roman"/>
              </w:rPr>
              <w:t xml:space="preserve">.§ </w:t>
            </w:r>
            <w:r w:rsidRPr="00676B4D">
              <w:rPr>
                <w:rFonts w:ascii="Times New Roman" w:hAnsi="Times New Roman" w:cs="Times New Roman"/>
              </w:rPr>
              <w:t xml:space="preserve">5.2.apakšpunktu </w:t>
            </w:r>
            <w:r w:rsidR="00853C0A" w:rsidRPr="00676B4D">
              <w:rPr>
                <w:rFonts w:ascii="Times New Roman" w:hAnsi="Times New Roman" w:cs="Times New Roman"/>
              </w:rPr>
              <w:t xml:space="preserve">noteikts </w:t>
            </w:r>
            <w:r w:rsidR="00D94E59" w:rsidRPr="00676B4D">
              <w:rPr>
                <w:rFonts w:ascii="Times New Roman" w:hAnsi="Times New Roman" w:cs="Times New Roman"/>
              </w:rPr>
              <w:t>novirzīt SAM 9</w:t>
            </w:r>
            <w:r w:rsidR="0062327E">
              <w:rPr>
                <w:rFonts w:ascii="Times New Roman" w:hAnsi="Times New Roman" w:cs="Times New Roman"/>
              </w:rPr>
              <w:t>.</w:t>
            </w:r>
            <w:r w:rsidR="00D94E59" w:rsidRPr="00676B4D">
              <w:rPr>
                <w:rFonts w:ascii="Times New Roman" w:hAnsi="Times New Roman" w:cs="Times New Roman"/>
              </w:rPr>
              <w:t>3</w:t>
            </w:r>
            <w:r w:rsidR="0062327E">
              <w:rPr>
                <w:rFonts w:ascii="Times New Roman" w:hAnsi="Times New Roman" w:cs="Times New Roman"/>
              </w:rPr>
              <w:t>.</w:t>
            </w:r>
            <w:r w:rsidR="00D94E59" w:rsidRPr="00676B4D">
              <w:rPr>
                <w:rFonts w:ascii="Times New Roman" w:hAnsi="Times New Roman" w:cs="Times New Roman"/>
              </w:rPr>
              <w:t>2</w:t>
            </w:r>
            <w:r w:rsidR="0062327E">
              <w:rPr>
                <w:rFonts w:ascii="Times New Roman" w:hAnsi="Times New Roman" w:cs="Times New Roman"/>
              </w:rPr>
              <w:t>.</w:t>
            </w:r>
            <w:r w:rsidR="00D94E59" w:rsidRPr="00676B4D">
              <w:rPr>
                <w:rFonts w:ascii="Times New Roman" w:hAnsi="Times New Roman" w:cs="Times New Roman"/>
              </w:rPr>
              <w:t xml:space="preserve"> </w:t>
            </w:r>
            <w:r w:rsidRPr="00676B4D">
              <w:rPr>
                <w:rFonts w:ascii="Times New Roman" w:hAnsi="Times New Roman" w:cs="Times New Roman"/>
              </w:rPr>
              <w:t xml:space="preserve"> </w:t>
            </w:r>
            <w:r w:rsidR="00D94E59" w:rsidRPr="00676B4D">
              <w:rPr>
                <w:rFonts w:ascii="Times New Roman" w:hAnsi="Times New Roman" w:cs="Times New Roman"/>
              </w:rPr>
              <w:t>pirmās un trešās projektu iesniegumu atlases kārtas nenokontraktēto un neatbilstību ERAF finansējumu un valsts budžetu SAM 9</w:t>
            </w:r>
            <w:r w:rsidR="0062327E">
              <w:rPr>
                <w:rFonts w:ascii="Times New Roman" w:hAnsi="Times New Roman" w:cs="Times New Roman"/>
              </w:rPr>
              <w:t>.</w:t>
            </w:r>
            <w:r w:rsidR="00D94E59" w:rsidRPr="00676B4D">
              <w:rPr>
                <w:rFonts w:ascii="Times New Roman" w:hAnsi="Times New Roman" w:cs="Times New Roman"/>
              </w:rPr>
              <w:t>3</w:t>
            </w:r>
            <w:r w:rsidR="0062327E">
              <w:rPr>
                <w:rFonts w:ascii="Times New Roman" w:hAnsi="Times New Roman" w:cs="Times New Roman"/>
              </w:rPr>
              <w:t>.</w:t>
            </w:r>
            <w:r w:rsidR="00D94E59" w:rsidRPr="00676B4D">
              <w:rPr>
                <w:rFonts w:ascii="Times New Roman" w:hAnsi="Times New Roman" w:cs="Times New Roman"/>
              </w:rPr>
              <w:t>2</w:t>
            </w:r>
            <w:r w:rsidR="0062327E">
              <w:rPr>
                <w:rFonts w:ascii="Times New Roman" w:hAnsi="Times New Roman" w:cs="Times New Roman"/>
              </w:rPr>
              <w:t>.</w:t>
            </w:r>
            <w:r w:rsidR="00D94E59" w:rsidRPr="00676B4D">
              <w:rPr>
                <w:rFonts w:ascii="Times New Roman" w:hAnsi="Times New Roman" w:cs="Times New Roman"/>
              </w:rPr>
              <w:t xml:space="preserve"> 2.kārtas projektam Nr.9.3.2.0/17/I/013 “Paula Stradiņa klīniskās universitātes slimnīcas jaunās A2 ēkas attīstība”, tādejādi samazinot SAM 9</w:t>
            </w:r>
            <w:r w:rsidR="0062327E">
              <w:rPr>
                <w:rFonts w:ascii="Times New Roman" w:hAnsi="Times New Roman" w:cs="Times New Roman"/>
              </w:rPr>
              <w:t>.</w:t>
            </w:r>
            <w:r w:rsidR="00D94E59" w:rsidRPr="00676B4D">
              <w:rPr>
                <w:rFonts w:ascii="Times New Roman" w:hAnsi="Times New Roman" w:cs="Times New Roman"/>
              </w:rPr>
              <w:t>3</w:t>
            </w:r>
            <w:r w:rsidR="0062327E">
              <w:rPr>
                <w:rFonts w:ascii="Times New Roman" w:hAnsi="Times New Roman" w:cs="Times New Roman"/>
              </w:rPr>
              <w:t>.</w:t>
            </w:r>
            <w:r w:rsidR="00D94E59" w:rsidRPr="00676B4D">
              <w:rPr>
                <w:rFonts w:ascii="Times New Roman" w:hAnsi="Times New Roman" w:cs="Times New Roman"/>
              </w:rPr>
              <w:t xml:space="preserve">2 3.kārtas projektiem pieejamo finansējumu. Attiecīgi </w:t>
            </w:r>
            <w:r w:rsidR="00D94E59" w:rsidRPr="00012E7C">
              <w:rPr>
                <w:rFonts w:ascii="Times New Roman" w:hAnsi="Times New Roman" w:cs="Times New Roman"/>
              </w:rPr>
              <w:t>noteikumu projekts precizē MK noteikumu Nr.56 9.punktu.</w:t>
            </w:r>
          </w:p>
          <w:p w14:paraId="40B050E6" w14:textId="10561F5B" w:rsidR="0040360B" w:rsidRPr="00676B4D" w:rsidRDefault="00D94E59" w:rsidP="00853C0A">
            <w:pPr>
              <w:spacing w:before="120" w:after="0" w:line="240" w:lineRule="auto"/>
              <w:ind w:left="42" w:right="142"/>
              <w:jc w:val="both"/>
              <w:rPr>
                <w:rFonts w:ascii="Times New Roman" w:hAnsi="Times New Roman" w:cs="Times New Roman"/>
                <w:sz w:val="24"/>
                <w:szCs w:val="24"/>
              </w:rPr>
            </w:pPr>
            <w:r w:rsidRPr="00012E7C">
              <w:rPr>
                <w:rFonts w:ascii="Times New Roman" w:hAnsi="Times New Roman" w:cs="Times New Roman"/>
                <w:sz w:val="24"/>
                <w:szCs w:val="24"/>
              </w:rPr>
              <w:t>Papildus tehniski tiek svītrots 8.punkts, jo tas nav attiecināms uz SAM 9</w:t>
            </w:r>
            <w:r w:rsidR="0062327E" w:rsidRPr="00012E7C">
              <w:rPr>
                <w:rFonts w:ascii="Times New Roman" w:hAnsi="Times New Roman" w:cs="Times New Roman"/>
                <w:sz w:val="24"/>
                <w:szCs w:val="24"/>
              </w:rPr>
              <w:t>.</w:t>
            </w:r>
            <w:r w:rsidRPr="00012E7C">
              <w:rPr>
                <w:rFonts w:ascii="Times New Roman" w:hAnsi="Times New Roman" w:cs="Times New Roman"/>
                <w:sz w:val="24"/>
                <w:szCs w:val="24"/>
              </w:rPr>
              <w:t>3</w:t>
            </w:r>
            <w:r w:rsidR="0062327E" w:rsidRPr="00012E7C">
              <w:rPr>
                <w:rFonts w:ascii="Times New Roman" w:hAnsi="Times New Roman" w:cs="Times New Roman"/>
                <w:sz w:val="24"/>
                <w:szCs w:val="24"/>
              </w:rPr>
              <w:t>.</w:t>
            </w:r>
            <w:r w:rsidRPr="00012E7C">
              <w:rPr>
                <w:rFonts w:ascii="Times New Roman" w:hAnsi="Times New Roman" w:cs="Times New Roman"/>
                <w:sz w:val="24"/>
                <w:szCs w:val="24"/>
              </w:rPr>
              <w:t>2</w:t>
            </w:r>
            <w:r w:rsidR="0062327E" w:rsidRPr="00012E7C">
              <w:rPr>
                <w:rFonts w:ascii="Times New Roman" w:hAnsi="Times New Roman" w:cs="Times New Roman"/>
                <w:sz w:val="24"/>
                <w:szCs w:val="24"/>
              </w:rPr>
              <w:t>.</w:t>
            </w:r>
            <w:r w:rsidRPr="00012E7C">
              <w:rPr>
                <w:rFonts w:ascii="Times New Roman" w:hAnsi="Times New Roman" w:cs="Times New Roman"/>
                <w:sz w:val="24"/>
                <w:szCs w:val="24"/>
              </w:rPr>
              <w:t xml:space="preserve"> 3.kārtu. SAM 3.kārtai pieejamais finansējums tika noteikts kā pamatsumma MK </w:t>
            </w:r>
            <w:r w:rsidR="00853C0A" w:rsidRPr="00012E7C">
              <w:rPr>
                <w:rFonts w:ascii="Times New Roman" w:hAnsi="Times New Roman" w:cs="Times New Roman"/>
                <w:sz w:val="24"/>
                <w:szCs w:val="24"/>
              </w:rPr>
              <w:t>n</w:t>
            </w:r>
            <w:r w:rsidRPr="00012E7C">
              <w:rPr>
                <w:rFonts w:ascii="Times New Roman" w:hAnsi="Times New Roman" w:cs="Times New Roman"/>
                <w:sz w:val="24"/>
                <w:szCs w:val="24"/>
              </w:rPr>
              <w:t>oteikumu Nr.56 9.1.apakšpunkts un 1.pielikums, kā arī papildus pieejamais finansējums par sadarbību izveidi</w:t>
            </w:r>
            <w:r w:rsidR="00853C0A" w:rsidRPr="00676B4D">
              <w:rPr>
                <w:rFonts w:ascii="Times New Roman" w:hAnsi="Times New Roman" w:cs="Times New Roman"/>
                <w:sz w:val="24"/>
                <w:szCs w:val="24"/>
              </w:rPr>
              <w:t xml:space="preserve"> tika noteikti</w:t>
            </w:r>
            <w:r w:rsidRPr="00676B4D">
              <w:rPr>
                <w:rFonts w:ascii="Times New Roman" w:hAnsi="Times New Roman" w:cs="Times New Roman"/>
                <w:sz w:val="24"/>
                <w:szCs w:val="24"/>
              </w:rPr>
              <w:t xml:space="preserve"> 9.2.apakšpunkt</w:t>
            </w:r>
            <w:r w:rsidR="00853C0A" w:rsidRPr="00676B4D">
              <w:rPr>
                <w:rFonts w:ascii="Times New Roman" w:hAnsi="Times New Roman" w:cs="Times New Roman"/>
                <w:sz w:val="24"/>
                <w:szCs w:val="24"/>
              </w:rPr>
              <w:t>ā</w:t>
            </w:r>
            <w:r w:rsidRPr="00676B4D">
              <w:rPr>
                <w:rFonts w:ascii="Times New Roman" w:hAnsi="Times New Roman" w:cs="Times New Roman"/>
                <w:sz w:val="24"/>
                <w:szCs w:val="24"/>
              </w:rPr>
              <w:t>, 38.un 39.punkt</w:t>
            </w:r>
            <w:r w:rsidR="00853C0A" w:rsidRPr="00676B4D">
              <w:rPr>
                <w:rFonts w:ascii="Times New Roman" w:hAnsi="Times New Roman" w:cs="Times New Roman"/>
                <w:sz w:val="24"/>
                <w:szCs w:val="24"/>
              </w:rPr>
              <w:t>ā.</w:t>
            </w:r>
            <w:r w:rsidRPr="00676B4D">
              <w:rPr>
                <w:rFonts w:ascii="Times New Roman" w:hAnsi="Times New Roman" w:cs="Times New Roman"/>
                <w:sz w:val="24"/>
                <w:szCs w:val="24"/>
              </w:rPr>
              <w:t xml:space="preserve"> </w:t>
            </w:r>
            <w:r w:rsidR="00853C0A" w:rsidRPr="00676B4D">
              <w:rPr>
                <w:rFonts w:ascii="Times New Roman" w:hAnsi="Times New Roman" w:cs="Times New Roman"/>
                <w:sz w:val="24"/>
                <w:szCs w:val="24"/>
              </w:rPr>
              <w:t>V</w:t>
            </w:r>
            <w:r w:rsidRPr="00676B4D">
              <w:rPr>
                <w:rFonts w:ascii="Times New Roman" w:hAnsi="Times New Roman" w:cs="Times New Roman"/>
                <w:sz w:val="24"/>
                <w:szCs w:val="24"/>
              </w:rPr>
              <w:t>ēsturiski sadarbības ir izveidotas</w:t>
            </w:r>
            <w:r w:rsidR="00DC200C" w:rsidRPr="00676B4D">
              <w:rPr>
                <w:rFonts w:ascii="Times New Roman" w:hAnsi="Times New Roman" w:cs="Times New Roman"/>
                <w:sz w:val="24"/>
                <w:szCs w:val="24"/>
              </w:rPr>
              <w:t xml:space="preserve"> un par to izveid</w:t>
            </w:r>
            <w:r w:rsidR="00853C0A" w:rsidRPr="00676B4D">
              <w:rPr>
                <w:rFonts w:ascii="Times New Roman" w:hAnsi="Times New Roman" w:cs="Times New Roman"/>
                <w:sz w:val="24"/>
                <w:szCs w:val="24"/>
              </w:rPr>
              <w:t>i</w:t>
            </w:r>
            <w:r w:rsidR="00DC200C" w:rsidRPr="00676B4D">
              <w:rPr>
                <w:rFonts w:ascii="Times New Roman" w:hAnsi="Times New Roman" w:cs="Times New Roman"/>
                <w:sz w:val="24"/>
                <w:szCs w:val="24"/>
              </w:rPr>
              <w:t xml:space="preserve"> pieejamais finansējums tika noteikts un iekļauts projektos</w:t>
            </w:r>
            <w:r w:rsidR="0040360B" w:rsidRPr="00676B4D">
              <w:rPr>
                <w:rFonts w:ascii="Times New Roman" w:hAnsi="Times New Roman" w:cs="Times New Roman"/>
                <w:sz w:val="24"/>
                <w:szCs w:val="24"/>
              </w:rPr>
              <w:t xml:space="preserve"> (Veselības ministrijas </w:t>
            </w:r>
            <w:r w:rsidR="0040360B" w:rsidRPr="00676B4D">
              <w:rPr>
                <w:rFonts w:ascii="Times New Roman" w:hAnsi="Times New Roman" w:cs="Times New Roman"/>
                <w:sz w:val="24"/>
                <w:szCs w:val="24"/>
                <w:shd w:val="clear" w:color="auto" w:fill="FFFFFF"/>
              </w:rPr>
              <w:t>16.04.2018 rīkojums Nr.69 “</w:t>
            </w:r>
            <w:r w:rsidR="0040360B" w:rsidRPr="00676B4D">
              <w:rPr>
                <w:rFonts w:ascii="Times New Roman" w:hAnsi="Times New Roman" w:cs="Times New Roman"/>
                <w:i/>
                <w:sz w:val="24"/>
                <w:szCs w:val="24"/>
              </w:rPr>
              <w:t xml:space="preserve">Par </w:t>
            </w:r>
            <w:bookmarkStart w:id="6" w:name="_Hlk509579553"/>
            <w:r w:rsidR="0040360B" w:rsidRPr="00676B4D">
              <w:rPr>
                <w:rFonts w:ascii="Times New Roman" w:hAnsi="Times New Roman" w:cs="Times New Roman"/>
                <w:i/>
                <w:sz w:val="24"/>
                <w:szCs w:val="24"/>
              </w:rPr>
              <w:t xml:space="preserve">SAM 9.3.2. III kārtas ietvaros projektiem pieejamā un ārstniecības iestāžu sadarbības atbalstam paredzētā attiecināmā papildu </w:t>
            </w:r>
            <w:r w:rsidR="0040360B" w:rsidRPr="00676B4D">
              <w:rPr>
                <w:rFonts w:ascii="Times New Roman" w:hAnsi="Times New Roman" w:cs="Times New Roman"/>
                <w:i/>
                <w:sz w:val="24"/>
                <w:szCs w:val="24"/>
              </w:rPr>
              <w:lastRenderedPageBreak/>
              <w:t>finansējuma sadalījumu</w:t>
            </w:r>
            <w:bookmarkEnd w:id="6"/>
            <w:r w:rsidR="0040360B" w:rsidRPr="00676B4D">
              <w:rPr>
                <w:rFonts w:ascii="Times New Roman" w:hAnsi="Times New Roman" w:cs="Times New Roman"/>
                <w:sz w:val="24"/>
                <w:szCs w:val="24"/>
                <w:shd w:val="clear" w:color="auto" w:fill="FFFFFF"/>
              </w:rPr>
              <w:t>”</w:t>
            </w:r>
            <w:r w:rsidR="002E38C8" w:rsidRPr="00676B4D">
              <w:rPr>
                <w:rStyle w:val="FootnoteReference"/>
                <w:rFonts w:ascii="Times New Roman" w:hAnsi="Times New Roman" w:cs="Times New Roman"/>
                <w:sz w:val="24"/>
                <w:szCs w:val="24"/>
              </w:rPr>
              <w:footnoteReference w:id="2"/>
            </w:r>
            <w:r w:rsidR="0040360B" w:rsidRPr="00676B4D">
              <w:rPr>
                <w:rFonts w:ascii="Times New Roman" w:hAnsi="Times New Roman" w:cs="Times New Roman"/>
                <w:sz w:val="24"/>
                <w:szCs w:val="24"/>
              </w:rPr>
              <w:t>)</w:t>
            </w:r>
            <w:r w:rsidR="002E38C8">
              <w:rPr>
                <w:rFonts w:ascii="Times New Roman" w:hAnsi="Times New Roman" w:cs="Times New Roman"/>
                <w:sz w:val="24"/>
                <w:szCs w:val="24"/>
              </w:rPr>
              <w:t xml:space="preserve">. </w:t>
            </w:r>
            <w:r w:rsidR="0040360B" w:rsidRPr="00676B4D">
              <w:rPr>
                <w:rFonts w:ascii="Times New Roman" w:hAnsi="Times New Roman" w:cs="Times New Roman"/>
                <w:sz w:val="24"/>
                <w:szCs w:val="24"/>
              </w:rPr>
              <w:t>Saskaņā ar MK noteikumu Nr.56 nosacījumiem un VM rīkojuma prasībām reizi gadā finansējuma saņēmēji un sadarbības partneri atskaitās Veselības ministrijas komisijai par sadarbības teritoriju aktuālo sadarbību, attiecīgi uzlabojot un attīstot sadarbības procesu.</w:t>
            </w:r>
          </w:p>
          <w:p w14:paraId="4AC43F39" w14:textId="101CC242" w:rsidR="00DC200C" w:rsidRPr="00676B4D" w:rsidRDefault="0040360B" w:rsidP="009459FE">
            <w:pPr>
              <w:spacing w:before="120" w:after="0" w:line="240" w:lineRule="auto"/>
              <w:ind w:left="42" w:right="142"/>
              <w:jc w:val="both"/>
              <w:rPr>
                <w:rFonts w:ascii="Times New Roman" w:hAnsi="Times New Roman" w:cs="Times New Roman"/>
                <w:sz w:val="24"/>
                <w:szCs w:val="24"/>
              </w:rPr>
            </w:pPr>
            <w:r w:rsidRPr="00676B4D">
              <w:rPr>
                <w:rFonts w:ascii="Times New Roman" w:hAnsi="Times New Roman" w:cs="Times New Roman"/>
                <w:sz w:val="24"/>
                <w:szCs w:val="24"/>
              </w:rPr>
              <w:t>Tādejādi t</w:t>
            </w:r>
            <w:r w:rsidR="00DC200C" w:rsidRPr="00676B4D">
              <w:rPr>
                <w:rFonts w:ascii="Times New Roman" w:hAnsi="Times New Roman" w:cs="Times New Roman"/>
                <w:sz w:val="24"/>
                <w:szCs w:val="24"/>
              </w:rPr>
              <w:t xml:space="preserve">ehniski tiek precizēti MK noteikumu Nr.56 9.1. un 9.2.apakšpunkti, </w:t>
            </w:r>
            <w:r w:rsidR="0062327E">
              <w:rPr>
                <w:rFonts w:ascii="Times New Roman" w:hAnsi="Times New Roman" w:cs="Times New Roman"/>
                <w:sz w:val="24"/>
                <w:szCs w:val="24"/>
              </w:rPr>
              <w:t xml:space="preserve">noteikumi </w:t>
            </w:r>
            <w:r w:rsidR="00DC200C" w:rsidRPr="00676B4D">
              <w:rPr>
                <w:rFonts w:ascii="Times New Roman" w:hAnsi="Times New Roman" w:cs="Times New Roman"/>
                <w:sz w:val="24"/>
                <w:szCs w:val="24"/>
              </w:rPr>
              <w:t>papildināt</w:t>
            </w:r>
            <w:r w:rsidR="0062327E">
              <w:rPr>
                <w:rFonts w:ascii="Times New Roman" w:hAnsi="Times New Roman" w:cs="Times New Roman"/>
                <w:sz w:val="24"/>
                <w:szCs w:val="24"/>
              </w:rPr>
              <w:t>i</w:t>
            </w:r>
            <w:r w:rsidR="00DC200C" w:rsidRPr="00676B4D">
              <w:rPr>
                <w:rFonts w:ascii="Times New Roman" w:hAnsi="Times New Roman" w:cs="Times New Roman"/>
                <w:sz w:val="24"/>
                <w:szCs w:val="24"/>
              </w:rPr>
              <w:t xml:space="preserve"> ar jaunu 9.</w:t>
            </w:r>
            <w:r w:rsidR="00291AC0" w:rsidRPr="00676B4D">
              <w:rPr>
                <w:rFonts w:ascii="Times New Roman" w:hAnsi="Times New Roman" w:cs="Times New Roman"/>
                <w:sz w:val="24"/>
                <w:szCs w:val="24"/>
                <w:shd w:val="clear" w:color="auto" w:fill="FFFFFF"/>
                <w:vertAlign w:val="superscript"/>
              </w:rPr>
              <w:t xml:space="preserve">1 </w:t>
            </w:r>
            <w:r w:rsidR="00DC200C" w:rsidRPr="00676B4D">
              <w:rPr>
                <w:rFonts w:ascii="Times New Roman" w:hAnsi="Times New Roman" w:cs="Times New Roman"/>
                <w:sz w:val="24"/>
                <w:szCs w:val="24"/>
              </w:rPr>
              <w:t>punktu, kurš nosaka ka projektiem pieejamais kopējais attiecināmais finansējums noteikts 1.pielikumā. 1.pielikums izteikts jaunā redakcijā</w:t>
            </w:r>
            <w:r w:rsidR="0062327E">
              <w:rPr>
                <w:rFonts w:ascii="Times New Roman" w:hAnsi="Times New Roman" w:cs="Times New Roman"/>
                <w:sz w:val="24"/>
                <w:szCs w:val="24"/>
              </w:rPr>
              <w:t>,</w:t>
            </w:r>
            <w:r w:rsidRPr="00676B4D">
              <w:rPr>
                <w:rFonts w:ascii="Times New Roman" w:hAnsi="Times New Roman" w:cs="Times New Roman"/>
                <w:sz w:val="24"/>
                <w:szCs w:val="24"/>
              </w:rPr>
              <w:t xml:space="preserve"> atainojot kopējo </w:t>
            </w:r>
            <w:r w:rsidR="004B695A">
              <w:rPr>
                <w:rFonts w:ascii="Times New Roman" w:hAnsi="Times New Roman" w:cs="Times New Roman"/>
                <w:sz w:val="24"/>
                <w:szCs w:val="24"/>
              </w:rPr>
              <w:t xml:space="preserve">šobrīd </w:t>
            </w:r>
            <w:r w:rsidRPr="00676B4D">
              <w:rPr>
                <w:rFonts w:ascii="Times New Roman" w:hAnsi="Times New Roman" w:cs="Times New Roman"/>
                <w:sz w:val="24"/>
                <w:szCs w:val="24"/>
              </w:rPr>
              <w:t>projektiem pieejamo attiecināmo finansējumu, proti</w:t>
            </w:r>
            <w:r w:rsidR="0062327E">
              <w:rPr>
                <w:rFonts w:ascii="Times New Roman" w:hAnsi="Times New Roman" w:cs="Times New Roman"/>
                <w:sz w:val="24"/>
                <w:szCs w:val="24"/>
              </w:rPr>
              <w:t>,</w:t>
            </w:r>
            <w:r w:rsidRPr="00676B4D">
              <w:rPr>
                <w:rFonts w:ascii="Times New Roman" w:hAnsi="Times New Roman" w:cs="Times New Roman"/>
                <w:sz w:val="24"/>
                <w:szCs w:val="24"/>
              </w:rPr>
              <w:t xml:space="preserve"> neizdalot starp pamatsummu un papildus summu par sadarbību izveidi</w:t>
            </w:r>
            <w:r w:rsidR="00DC200C" w:rsidRPr="00676B4D">
              <w:rPr>
                <w:rFonts w:ascii="Times New Roman" w:hAnsi="Times New Roman" w:cs="Times New Roman"/>
                <w:sz w:val="24"/>
                <w:szCs w:val="24"/>
              </w:rPr>
              <w:t xml:space="preserve">. </w:t>
            </w:r>
            <w:r w:rsidR="004B695A">
              <w:rPr>
                <w:rFonts w:ascii="Times New Roman" w:hAnsi="Times New Roman" w:cs="Times New Roman"/>
                <w:sz w:val="24"/>
                <w:szCs w:val="24"/>
              </w:rPr>
              <w:t xml:space="preserve">Atšķirības 1.pielikumā un MK noteikumu 56 9.punktā vērojamas, jo saskaņā ar </w:t>
            </w:r>
            <w:r w:rsidR="004B695A" w:rsidRPr="009459FE">
              <w:rPr>
                <w:rFonts w:ascii="Times New Roman" w:hAnsi="Times New Roman" w:cs="Times New Roman"/>
                <w:sz w:val="24"/>
                <w:szCs w:val="24"/>
              </w:rPr>
              <w:t xml:space="preserve">MK 2020.gada 21.janvāra sēdes protokola Nr.3 32. § “Rīkojuma projekts “Grozījumi Eiropas Savienības struktūrfondu un Kohēzijas fonda 2014.–2020. gada plānošanas perioda darbības programmā “Izaugsme un nodarbinātība””” (TA-31)” noteikto, no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trešās kārtas tika izgrozīti 195 965 </w:t>
            </w:r>
            <w:proofErr w:type="spellStart"/>
            <w:r w:rsidR="004B695A" w:rsidRPr="009459FE">
              <w:rPr>
                <w:rFonts w:ascii="Times New Roman" w:hAnsi="Times New Roman" w:cs="Times New Roman"/>
                <w:sz w:val="24"/>
                <w:szCs w:val="24"/>
              </w:rPr>
              <w:t>euro</w:t>
            </w:r>
            <w:proofErr w:type="spellEnd"/>
            <w:r w:rsidR="004B695A" w:rsidRPr="009459FE">
              <w:rPr>
                <w:rFonts w:ascii="Times New Roman" w:hAnsi="Times New Roman" w:cs="Times New Roman"/>
                <w:sz w:val="24"/>
                <w:szCs w:val="24"/>
              </w:rPr>
              <w:t>, savukārt šobrīd atsevišķos projektos konstatētas papildu neatbilstības u</w:t>
            </w:r>
            <w:r w:rsidR="009459FE" w:rsidRPr="009459FE">
              <w:rPr>
                <w:rFonts w:ascii="Times New Roman" w:hAnsi="Times New Roman" w:cs="Times New Roman"/>
                <w:sz w:val="24"/>
                <w:szCs w:val="24"/>
              </w:rPr>
              <w:t>n mainījies projektiem pieejamais kopējais attiecināmai finansējums</w:t>
            </w:r>
            <w:r w:rsidR="009459FE">
              <w:rPr>
                <w:rFonts w:ascii="Times New Roman" w:hAnsi="Times New Roman" w:cs="Times New Roman"/>
                <w:sz w:val="24"/>
                <w:szCs w:val="24"/>
              </w:rPr>
              <w:t xml:space="preserve"> (</w:t>
            </w:r>
            <w:r w:rsidR="009459FE" w:rsidRPr="00686EEE">
              <w:rPr>
                <w:rFonts w:ascii="Times New Roman" w:eastAsia="Times New Roman" w:hAnsi="Times New Roman" w:cs="Times New Roman"/>
                <w:color w:val="000000"/>
                <w:sz w:val="24"/>
                <w:szCs w:val="24"/>
              </w:rPr>
              <w:t>15 611</w:t>
            </w:r>
            <w:r w:rsidR="009459FE">
              <w:rPr>
                <w:rFonts w:ascii="Times New Roman" w:eastAsia="Times New Roman" w:hAnsi="Times New Roman" w:cs="Times New Roman"/>
                <w:color w:val="000000"/>
                <w:sz w:val="24"/>
                <w:szCs w:val="24"/>
              </w:rPr>
              <w:t> </w:t>
            </w:r>
            <w:r w:rsidR="009459FE" w:rsidRPr="00686EEE">
              <w:rPr>
                <w:rFonts w:ascii="Times New Roman" w:eastAsia="Times New Roman" w:hAnsi="Times New Roman" w:cs="Times New Roman"/>
                <w:color w:val="000000"/>
                <w:sz w:val="24"/>
                <w:szCs w:val="24"/>
              </w:rPr>
              <w:t>010</w:t>
            </w:r>
            <w:r w:rsidR="009459FE">
              <w:rPr>
                <w:rFonts w:ascii="Times New Roman" w:eastAsia="Times New Roman" w:hAnsi="Times New Roman" w:cs="Times New Roman"/>
                <w:color w:val="000000"/>
                <w:sz w:val="24"/>
                <w:szCs w:val="24"/>
              </w:rPr>
              <w:t xml:space="preserve"> </w:t>
            </w:r>
            <w:proofErr w:type="spellStart"/>
            <w:r w:rsidR="009459FE">
              <w:rPr>
                <w:rFonts w:ascii="Times New Roman" w:eastAsia="Times New Roman" w:hAnsi="Times New Roman" w:cs="Times New Roman"/>
                <w:color w:val="000000"/>
                <w:sz w:val="24"/>
                <w:szCs w:val="24"/>
              </w:rPr>
              <w:t>euro</w:t>
            </w:r>
            <w:proofErr w:type="spellEnd"/>
            <w:r w:rsidR="009459FE">
              <w:rPr>
                <w:rFonts w:ascii="Times New Roman" w:hAnsi="Times New Roman" w:cs="Times New Roman"/>
                <w:sz w:val="24"/>
                <w:szCs w:val="24"/>
              </w:rPr>
              <w:t>). P</w:t>
            </w:r>
            <w:r w:rsidR="00DC200C" w:rsidRPr="00676B4D">
              <w:rPr>
                <w:rFonts w:ascii="Times New Roman" w:hAnsi="Times New Roman" w:cs="Times New Roman"/>
                <w:sz w:val="24"/>
                <w:szCs w:val="24"/>
              </w:rPr>
              <w:t xml:space="preserve">recizēts </w:t>
            </w:r>
            <w:r w:rsidR="009459FE">
              <w:rPr>
                <w:rFonts w:ascii="Times New Roman" w:hAnsi="Times New Roman" w:cs="Times New Roman"/>
                <w:sz w:val="24"/>
                <w:szCs w:val="24"/>
              </w:rPr>
              <w:t xml:space="preserve">arī noteikumu </w:t>
            </w:r>
            <w:r w:rsidR="00DC200C" w:rsidRPr="00676B4D">
              <w:rPr>
                <w:rFonts w:ascii="Times New Roman" w:hAnsi="Times New Roman" w:cs="Times New Roman"/>
                <w:sz w:val="24"/>
                <w:szCs w:val="24"/>
              </w:rPr>
              <w:t xml:space="preserve">38.punkts un precizētas atsauces uz 38.punktu visā MK noteikumu Nr.56 tekstā. </w:t>
            </w:r>
          </w:p>
          <w:p w14:paraId="030C39D5" w14:textId="66BD4434" w:rsidR="00D96E58" w:rsidRPr="00676B4D" w:rsidRDefault="00D96E58" w:rsidP="00582C41">
            <w:pPr>
              <w:pStyle w:val="ListParagraph"/>
              <w:numPr>
                <w:ilvl w:val="0"/>
                <w:numId w:val="13"/>
              </w:numPr>
              <w:spacing w:before="120"/>
              <w:ind w:left="402" w:right="142"/>
              <w:contextualSpacing w:val="0"/>
              <w:jc w:val="both"/>
              <w:rPr>
                <w:rFonts w:ascii="Times New Roman" w:hAnsi="Times New Roman" w:cs="Times New Roman"/>
              </w:rPr>
            </w:pPr>
            <w:r w:rsidRPr="00676B4D">
              <w:rPr>
                <w:rFonts w:ascii="Times New Roman" w:hAnsi="Times New Roman" w:cs="Times New Roman"/>
              </w:rPr>
              <w:t xml:space="preserve">SAM 9.3.2. atbalsts ārstniecības iestādēm tiek sniegts </w:t>
            </w:r>
            <w:r w:rsidRPr="00676B4D">
              <w:rPr>
                <w:rFonts w:ascii="Times New Roman" w:eastAsia="Times New Roman" w:hAnsi="Times New Roman" w:cs="Times New Roman"/>
              </w:rPr>
              <w:t>saskaņā ar Eiropas Komisijas 2011. gada 20. decembra lēmumu Nr. </w:t>
            </w:r>
            <w:hyperlink r:id="rId8" w:tgtFrame="_blank" w:history="1">
              <w:r w:rsidRPr="00676B4D">
                <w:rPr>
                  <w:rStyle w:val="Hyperlink"/>
                  <w:rFonts w:ascii="Times New Roman" w:eastAsia="Times New Roman" w:hAnsi="Times New Roman" w:cs="Times New Roman"/>
                  <w:color w:val="auto"/>
                </w:rPr>
                <w:t>2012/21/ES</w:t>
              </w:r>
            </w:hyperlink>
            <w:r w:rsidRPr="00676B4D">
              <w:rPr>
                <w:rFonts w:ascii="Times New Roman" w:eastAsia="Times New Roman" w:hAnsi="Times New Roman" w:cs="Times New Roman"/>
              </w:rPr>
              <w:t> par Līguma par Eiropas Savienības darbību </w:t>
            </w:r>
            <w:hyperlink r:id="rId9" w:anchor="p106" w:history="1">
              <w:r w:rsidRPr="00676B4D">
                <w:rPr>
                  <w:rStyle w:val="Hyperlink"/>
                  <w:rFonts w:ascii="Times New Roman" w:eastAsia="Times New Roman" w:hAnsi="Times New Roman" w:cs="Times New Roman"/>
                  <w:color w:val="auto"/>
                </w:rPr>
                <w:t>106. panta</w:t>
              </w:r>
            </w:hyperlink>
            <w:r w:rsidRPr="00676B4D">
              <w:rPr>
                <w:rFonts w:ascii="Times New Roman" w:eastAsia="Times New Roman" w:hAnsi="Times New Roman" w:cs="Times New Roman"/>
              </w:rPr>
              <w:t xml:space="preserve"> 2. punkta piemērošanu valsts atbalstam attiecībā uz kompensāciju par sabiedriskajiem pakalpojumiem dažiem uzņēmumiem, kuriem uzticēts sniegt pakalpojumus ar vispārēju tautsaimniecisku nozīmi (turpmāk – VTNP). Ņemot vērā, ka ārstniecības iestādēm </w:t>
            </w:r>
            <w:r w:rsidRPr="00676B4D">
              <w:rPr>
                <w:rFonts w:ascii="Times New Roman" w:hAnsi="Times New Roman" w:cs="Times New Roman"/>
                <w:shd w:val="clear" w:color="auto" w:fill="FFFFFF"/>
              </w:rPr>
              <w:t xml:space="preserve">vispārējas tautsaimnieciskas nozīmes pakalpojuma pilnvarojuma uzlicējs ir Nacionālais veselības dienests (turpmāk </w:t>
            </w:r>
            <w:r w:rsidRPr="00676B4D">
              <w:rPr>
                <w:rFonts w:ascii="Times New Roman" w:eastAsia="Times New Roman" w:hAnsi="Times New Roman" w:cs="Times New Roman"/>
              </w:rPr>
              <w:t>–</w:t>
            </w:r>
            <w:r w:rsidRPr="00676B4D">
              <w:rPr>
                <w:rFonts w:ascii="Times New Roman" w:hAnsi="Times New Roman" w:cs="Times New Roman"/>
                <w:shd w:val="clear" w:color="auto" w:fill="FFFFFF"/>
              </w:rPr>
              <w:t xml:space="preserve"> NVD), kurš nodrošina VTNP lēmuma nosacījumu izpildes uzraudzību, noteikumu projekts papildina MK noteikumus Nr.</w:t>
            </w:r>
            <w:r w:rsidR="00291AC0" w:rsidRPr="00676B4D">
              <w:rPr>
                <w:rFonts w:ascii="Times New Roman" w:hAnsi="Times New Roman" w:cs="Times New Roman"/>
                <w:shd w:val="clear" w:color="auto" w:fill="FFFFFF"/>
              </w:rPr>
              <w:t>56</w:t>
            </w:r>
            <w:r w:rsidRPr="00676B4D">
              <w:rPr>
                <w:rFonts w:ascii="Times New Roman" w:hAnsi="Times New Roman" w:cs="Times New Roman"/>
                <w:shd w:val="clear" w:color="auto" w:fill="FFFFFF"/>
              </w:rPr>
              <w:t xml:space="preserve"> ar jaunu </w:t>
            </w:r>
            <w:r w:rsidR="00291AC0" w:rsidRPr="00676B4D">
              <w:rPr>
                <w:rFonts w:ascii="Times New Roman" w:eastAsia="Times New Roman" w:hAnsi="Times New Roman" w:cs="Times New Roman"/>
              </w:rPr>
              <w:t>23.</w:t>
            </w:r>
            <w:r w:rsidRPr="00676B4D">
              <w:rPr>
                <w:rFonts w:ascii="Times New Roman" w:hAnsi="Times New Roman" w:cs="Times New Roman"/>
                <w:shd w:val="clear" w:color="auto" w:fill="FFFFFF"/>
                <w:vertAlign w:val="superscript"/>
              </w:rPr>
              <w:t>1</w:t>
            </w:r>
            <w:r w:rsidRPr="00676B4D">
              <w:rPr>
                <w:rFonts w:ascii="Times New Roman" w:hAnsi="Times New Roman" w:cs="Times New Roman"/>
                <w:shd w:val="clear" w:color="auto" w:fill="FFFFFF"/>
              </w:rPr>
              <w:t xml:space="preserve"> punktu. Iepriekš minētais punkts nosaka pienākumu finansējuma saņēmējam iesniegt sadarbības iestādei vispārējas tautsaimnieciskas nozīmes pakalpojuma pilnvarojuma uzlicēja – NVD, apliecinājumu, ka tas kontrolēs un pārskatīs deleģēšanas līgumā paredzētos atlīdzības (kompensācijas) </w:t>
            </w:r>
            <w:r w:rsidRPr="00676B4D">
              <w:rPr>
                <w:rFonts w:ascii="Times New Roman" w:hAnsi="Times New Roman" w:cs="Times New Roman"/>
                <w:shd w:val="clear" w:color="auto" w:fill="FFFFFF"/>
              </w:rPr>
              <w:lastRenderedPageBreak/>
              <w:t>maksājumus, kā arī novērsīs un atgūs deleģēšanas līgumā paredzēto atlīdzības (kompensācijas) maksājumu pārmaksu,</w:t>
            </w:r>
            <w:r w:rsidRPr="00676B4D">
              <w:rPr>
                <w:rFonts w:ascii="Times New Roman" w:hAnsi="Times New Roman" w:cs="Times New Roman"/>
                <w:i/>
              </w:rPr>
              <w:t xml:space="preserve"> </w:t>
            </w:r>
            <w:r w:rsidRPr="00676B4D">
              <w:rPr>
                <w:rFonts w:ascii="Times New Roman" w:hAnsi="Times New Roman" w:cs="Times New Roman"/>
                <w:iCs/>
              </w:rPr>
              <w:t>ievērojot Eiropas Komisijas lēmumā Nr. </w:t>
            </w:r>
            <w:hyperlink r:id="rId10" w:tgtFrame="_blank" w:history="1">
              <w:r w:rsidRPr="00676B4D">
                <w:rPr>
                  <w:rStyle w:val="Hyperlink"/>
                  <w:rFonts w:ascii="Times New Roman" w:hAnsi="Times New Roman" w:cs="Times New Roman"/>
                  <w:iCs/>
                  <w:color w:val="auto"/>
                </w:rPr>
                <w:t>2012/21/ES</w:t>
              </w:r>
            </w:hyperlink>
            <w:r w:rsidRPr="00676B4D">
              <w:rPr>
                <w:rFonts w:ascii="Times New Roman" w:hAnsi="Times New Roman" w:cs="Times New Roman"/>
                <w:iCs/>
              </w:rPr>
              <w:t> noteikto pārbaužu regularitāti, bet ne retāk kā reizi trijos gados un pilnvarojuma akta darbības perioda beigās</w:t>
            </w:r>
            <w:r w:rsidRPr="00676B4D">
              <w:rPr>
                <w:rFonts w:ascii="Times New Roman" w:hAnsi="Times New Roman" w:cs="Times New Roman"/>
                <w:iCs/>
                <w:shd w:val="clear" w:color="auto" w:fill="FFFFFF"/>
              </w:rPr>
              <w:t>.</w:t>
            </w:r>
          </w:p>
          <w:p w14:paraId="0F288896" w14:textId="77777777" w:rsidR="00291AC0" w:rsidRPr="00676B4D" w:rsidRDefault="00D96E58" w:rsidP="00676B4D">
            <w:pPr>
              <w:pStyle w:val="naiskr"/>
              <w:tabs>
                <w:tab w:val="left" w:pos="360"/>
              </w:tabs>
              <w:spacing w:before="120" w:beforeAutospacing="0" w:after="0" w:afterAutospacing="0"/>
              <w:ind w:left="42" w:right="57"/>
              <w:jc w:val="both"/>
              <w:rPr>
                <w:shd w:val="clear" w:color="auto" w:fill="FFFFFF"/>
              </w:rPr>
            </w:pPr>
            <w:r w:rsidRPr="00676B4D">
              <w:t>Papildus precizēts MK Noteikumu Nr.</w:t>
            </w:r>
            <w:r w:rsidR="00291AC0" w:rsidRPr="00676B4D">
              <w:t>56</w:t>
            </w:r>
            <w:r w:rsidRPr="00676B4D">
              <w:t xml:space="preserve"> </w:t>
            </w:r>
            <w:r w:rsidR="00291AC0" w:rsidRPr="00676B4D">
              <w:t>23</w:t>
            </w:r>
            <w:r w:rsidRPr="00676B4D">
              <w:t xml:space="preserve">.punkts, nosakot, ka </w:t>
            </w:r>
            <w:r w:rsidRPr="00676B4D">
              <w:rPr>
                <w:shd w:val="clear" w:color="auto" w:fill="FFFFFF"/>
              </w:rPr>
              <w:t>pilnvarojuma uzlicējam un atbalsta saņēmējam ir pienākums dokumentāciju par saņemto atbalstu glabāt 10 gadus no pilnvarojuma termiņa beigām, savukārt atbalsta sniedzējam, kas nav pilnvarojuma uzlicējs, bet piešķir komercdarbības atbalstu saskaņā ar šīs nodaļas prasībām, ir pienākums dokumentāciju, kas saistīta ar atbalsta piešķiršanu, glabāt 10 gadus no atbalsta piešķiršanas dienas.</w:t>
            </w:r>
          </w:p>
          <w:p w14:paraId="5F3F5616" w14:textId="5A55F7DA" w:rsidR="00D96E58" w:rsidRPr="00676B4D" w:rsidRDefault="00D96E58" w:rsidP="00582C41">
            <w:pPr>
              <w:pStyle w:val="naiskr"/>
              <w:numPr>
                <w:ilvl w:val="0"/>
                <w:numId w:val="13"/>
              </w:numPr>
              <w:tabs>
                <w:tab w:val="left" w:pos="360"/>
              </w:tabs>
              <w:spacing w:before="120" w:beforeAutospacing="0" w:after="0" w:afterAutospacing="0"/>
              <w:ind w:left="402" w:right="57"/>
              <w:jc w:val="both"/>
              <w:rPr>
                <w:shd w:val="clear" w:color="auto" w:fill="FFFFFF"/>
              </w:rPr>
            </w:pPr>
            <w:r w:rsidRPr="00676B4D">
              <w:rPr>
                <w:shd w:val="clear" w:color="auto" w:fill="FFFFFF"/>
              </w:rPr>
              <w:t>VTNP paredz atbalstu publisko deleģēto funkciju izpildes nepieciešamās infrastruktūras atbalstam (valsts apmaksāto veselības aprūpes pakalpojumi). Ņemot vērā faktu, ka atbalstu saņēmušās ārstniecības iestādes veic arī ne publiska avota finansētus pakalpojumus (maksas pakalpojumus), MK noteikumu Nr.</w:t>
            </w:r>
            <w:r w:rsidR="00291AC0" w:rsidRPr="00676B4D">
              <w:rPr>
                <w:shd w:val="clear" w:color="auto" w:fill="FFFFFF"/>
              </w:rPr>
              <w:t>56</w:t>
            </w:r>
            <w:r w:rsidRPr="00676B4D">
              <w:rPr>
                <w:shd w:val="clear" w:color="auto" w:fill="FFFFFF"/>
              </w:rPr>
              <w:t xml:space="preserve"> </w:t>
            </w:r>
            <w:r w:rsidR="00291AC0" w:rsidRPr="00676B4D">
              <w:rPr>
                <w:shd w:val="clear" w:color="auto" w:fill="FFFFFF"/>
              </w:rPr>
              <w:t>19</w:t>
            </w:r>
            <w:r w:rsidRPr="00676B4D">
              <w:rPr>
                <w:shd w:val="clear" w:color="auto" w:fill="FFFFFF"/>
              </w:rPr>
              <w:t xml:space="preserve">.- </w:t>
            </w:r>
            <w:r w:rsidR="00291AC0" w:rsidRPr="00676B4D">
              <w:rPr>
                <w:shd w:val="clear" w:color="auto" w:fill="FFFFFF"/>
              </w:rPr>
              <w:t>20</w:t>
            </w:r>
            <w:r w:rsidRPr="00676B4D">
              <w:rPr>
                <w:shd w:val="clear" w:color="auto" w:fill="FFFFFF"/>
              </w:rPr>
              <w:t xml:space="preserve">.punkts paredz kārtību </w:t>
            </w:r>
            <w:r w:rsidRPr="00676B4D">
              <w:t>infrastruktūras izmantošanas atbalstāmo darbību proporciju valsts apmaksāto veselības aprūpes pakalpojumu sniegšanai un citu darbību veikšanai un piemēro to projekta kopējam finansējumam, nosakot publiskā un privātā finansējuma apmēru. Lai mazinātu administratīvo slogu, tiek precizēti MK noteikumu Nr.</w:t>
            </w:r>
            <w:r w:rsidR="00291AC0" w:rsidRPr="00676B4D">
              <w:t>56</w:t>
            </w:r>
            <w:r w:rsidRPr="00676B4D">
              <w:t xml:space="preserve"> 1</w:t>
            </w:r>
            <w:r w:rsidR="00291AC0" w:rsidRPr="00676B4D">
              <w:t xml:space="preserve">9. </w:t>
            </w:r>
            <w:r w:rsidRPr="00676B4D">
              <w:t xml:space="preserve"> un </w:t>
            </w:r>
            <w:r w:rsidR="00291AC0" w:rsidRPr="00676B4D">
              <w:t>20</w:t>
            </w:r>
            <w:r w:rsidRPr="00676B4D">
              <w:t>.punkti, nosakot, ka finansējuma saņēmējs infrastruktūras izmantošanas proporciju aprēķina un iesniedz sadarbības iestādē:</w:t>
            </w:r>
          </w:p>
          <w:p w14:paraId="1BD6862E" w14:textId="77777777" w:rsidR="00D96E58" w:rsidRPr="00676B4D" w:rsidRDefault="00D96E58" w:rsidP="00676B4D">
            <w:pPr>
              <w:pStyle w:val="naiskr"/>
              <w:numPr>
                <w:ilvl w:val="1"/>
                <w:numId w:val="17"/>
              </w:numPr>
              <w:spacing w:before="120" w:beforeAutospacing="0" w:after="0" w:afterAutospacing="0"/>
              <w:ind w:right="142"/>
              <w:jc w:val="both"/>
              <w:rPr>
                <w:shd w:val="clear" w:color="auto" w:fill="FFFFFF"/>
              </w:rPr>
            </w:pPr>
            <w:r w:rsidRPr="00676B4D">
              <w:t>iesniedzot projekta iesniegumu;</w:t>
            </w:r>
          </w:p>
          <w:p w14:paraId="0FE64CC9" w14:textId="77777777" w:rsidR="00D96E58" w:rsidRPr="00676B4D" w:rsidRDefault="00D96E58" w:rsidP="00676B4D">
            <w:pPr>
              <w:pStyle w:val="naiskr"/>
              <w:numPr>
                <w:ilvl w:val="1"/>
                <w:numId w:val="17"/>
              </w:numPr>
              <w:spacing w:before="120" w:beforeAutospacing="0" w:after="0" w:afterAutospacing="0"/>
              <w:ind w:right="142"/>
              <w:jc w:val="both"/>
              <w:rPr>
                <w:shd w:val="clear" w:color="auto" w:fill="FFFFFF"/>
              </w:rPr>
            </w:pPr>
            <w:r w:rsidRPr="00676B4D">
              <w:t>iesniedzot projekta noslēguma maksājuma pieprasījumu;</w:t>
            </w:r>
          </w:p>
          <w:p w14:paraId="111C65BB" w14:textId="2F123B2A" w:rsidR="00D96E58" w:rsidRPr="00676B4D" w:rsidRDefault="00D96E58" w:rsidP="00676B4D">
            <w:pPr>
              <w:pStyle w:val="naiskr"/>
              <w:numPr>
                <w:ilvl w:val="1"/>
                <w:numId w:val="17"/>
              </w:numPr>
              <w:spacing w:before="120" w:beforeAutospacing="0" w:after="0" w:afterAutospacing="0"/>
              <w:ind w:right="142"/>
              <w:jc w:val="both"/>
              <w:rPr>
                <w:shd w:val="clear" w:color="auto" w:fill="FFFFFF"/>
              </w:rPr>
            </w:pPr>
            <w:r w:rsidRPr="00676B4D">
              <w:t xml:space="preserve">iesniedzot pēdējo </w:t>
            </w:r>
            <w:proofErr w:type="spellStart"/>
            <w:r w:rsidRPr="00676B4D">
              <w:t>pēcprojekta</w:t>
            </w:r>
            <w:proofErr w:type="spellEnd"/>
            <w:r w:rsidRPr="00676B4D">
              <w:t xml:space="preserve"> pārskatu.</w:t>
            </w:r>
          </w:p>
          <w:p w14:paraId="09777EF1" w14:textId="77777777" w:rsidR="00D96E58" w:rsidRPr="00676B4D" w:rsidRDefault="00D96E58" w:rsidP="00676B4D">
            <w:pPr>
              <w:pStyle w:val="naiskr"/>
              <w:tabs>
                <w:tab w:val="left" w:pos="360"/>
              </w:tabs>
              <w:spacing w:before="120" w:beforeAutospacing="0" w:after="0" w:afterAutospacing="0"/>
              <w:ind w:right="57"/>
              <w:jc w:val="both"/>
              <w:rPr>
                <w:shd w:val="clear" w:color="auto" w:fill="FFFFFF"/>
              </w:rPr>
            </w:pPr>
            <w:r w:rsidRPr="00676B4D">
              <w:rPr>
                <w:shd w:val="clear" w:color="auto" w:fill="FFFFFF"/>
              </w:rPr>
              <w:t>Ar šīm izmaiņām tiek mazināts administratīvais slogs gan finansējuma saņēmējam, gan uzraugošajām institūcijām, vienlaikus saglabājot normas būtību – lai publisko pakalpojumu veikšanai nepieciešamais infrastruktūras attīstības atbalsts nepārsniedz šī infrastruktūras izmantošanu valsts apmaksāto veselības aprūpes pakalpojumu un citu darbību (maksas apkalpojumu sniegšanai) proporcijai</w:t>
            </w:r>
          </w:p>
          <w:p w14:paraId="66DAF45B" w14:textId="257E1309" w:rsidR="00D96E58" w:rsidRPr="00676B4D" w:rsidRDefault="00D96E58" w:rsidP="00582C41">
            <w:pPr>
              <w:pStyle w:val="naiskr"/>
              <w:numPr>
                <w:ilvl w:val="0"/>
                <w:numId w:val="13"/>
              </w:numPr>
              <w:spacing w:before="120" w:beforeAutospacing="0" w:after="0" w:afterAutospacing="0"/>
              <w:ind w:left="402" w:right="142"/>
              <w:jc w:val="both"/>
              <w:rPr>
                <w:shd w:val="clear" w:color="auto" w:fill="FFFFFF"/>
              </w:rPr>
            </w:pPr>
            <w:r w:rsidRPr="00676B4D">
              <w:rPr>
                <w:shd w:val="clear" w:color="auto" w:fill="FFFFFF"/>
              </w:rPr>
              <w:t>MK noteikumu Nr.</w:t>
            </w:r>
            <w:r w:rsidR="00291AC0" w:rsidRPr="00676B4D">
              <w:rPr>
                <w:shd w:val="clear" w:color="auto" w:fill="FFFFFF"/>
              </w:rPr>
              <w:t>56</w:t>
            </w:r>
            <w:r w:rsidRPr="00676B4D">
              <w:rPr>
                <w:shd w:val="clear" w:color="auto" w:fill="FFFFFF"/>
              </w:rPr>
              <w:t xml:space="preserve"> esošā</w:t>
            </w:r>
            <w:r w:rsidR="00676B4D">
              <w:rPr>
                <w:shd w:val="clear" w:color="auto" w:fill="FFFFFF"/>
              </w:rPr>
              <w:t>s</w:t>
            </w:r>
            <w:r w:rsidRPr="00676B4D">
              <w:rPr>
                <w:shd w:val="clear" w:color="auto" w:fill="FFFFFF"/>
              </w:rPr>
              <w:t xml:space="preserve"> redakcijas </w:t>
            </w:r>
            <w:r w:rsidR="00291AC0" w:rsidRPr="00676B4D">
              <w:rPr>
                <w:shd w:val="clear" w:color="auto" w:fill="FFFFFF"/>
              </w:rPr>
              <w:t>24</w:t>
            </w:r>
            <w:r w:rsidRPr="00676B4D">
              <w:rPr>
                <w:shd w:val="clear" w:color="auto" w:fill="FFFFFF"/>
              </w:rPr>
              <w:t xml:space="preserve">.punkts nosaka kārtību gadījumos, ja </w:t>
            </w:r>
            <w:r w:rsidRPr="00676B4D">
              <w:t xml:space="preserve">projekta ietvaros paredzēts attīstīt infrastruktūru, kuru finansējuma saņēmējs iznomā citai ārstniecības iestādei veselības aprūpes pakalpojumu sniegšana, nosakot, ka infrastruktūras nomas maksas apmērs nepārsniedz saprātīgas peļņas un tādu ārstniecības iestādes izmaksu summu, kuras netiek finansētas no publiskā finansējuma un kuras tieši vai netieši saistītas ar infrastruktūras iznomāšanu. Līdz šim </w:t>
            </w:r>
            <w:r w:rsidRPr="00676B4D">
              <w:lastRenderedPageBreak/>
              <w:t xml:space="preserve">saprātīgas peļņas norma saskaņā ar </w:t>
            </w:r>
            <w:r w:rsidRPr="00676B4D">
              <w:rPr>
                <w:i/>
                <w:iCs/>
              </w:rPr>
              <w:t>Eiropas Komisijas 2011. gada 20. decembra lēmuma Nr. </w:t>
            </w:r>
            <w:hyperlink r:id="rId11" w:tgtFrame="_blank" w:history="1">
              <w:r w:rsidRPr="00676B4D">
                <w:rPr>
                  <w:rStyle w:val="Hyperlink"/>
                  <w:i/>
                  <w:iCs/>
                  <w:color w:val="auto"/>
                </w:rPr>
                <w:t>2012/21/ES</w:t>
              </w:r>
            </w:hyperlink>
            <w:r w:rsidRPr="00676B4D">
              <w:rPr>
                <w:i/>
                <w:iCs/>
              </w:rPr>
              <w:t> par Līguma par Eiropas Savienības darbību </w:t>
            </w:r>
            <w:hyperlink r:id="rId12" w:anchor="p106" w:history="1">
              <w:r w:rsidRPr="00676B4D">
                <w:rPr>
                  <w:rStyle w:val="Hyperlink"/>
                  <w:i/>
                  <w:iCs/>
                  <w:color w:val="auto"/>
                </w:rPr>
                <w:t>106. panta</w:t>
              </w:r>
            </w:hyperlink>
            <w:r w:rsidRPr="00676B4D">
              <w:rPr>
                <w:i/>
                <w:iCs/>
              </w:rPr>
              <w:t> 2. punkta piemērošanu valsts atbalstam attiecībā uz kompensāciju par sabiedriskajiem pakalpojumiem dažiem uzņēmumiem, kuriem uzticēts sniegt pakalpojumus ar vispārēju tautsaimniecisku nozīmi</w:t>
            </w:r>
            <w:r w:rsidRPr="00676B4D">
              <w:t xml:space="preserve"> </w:t>
            </w:r>
            <w:r w:rsidRPr="00676B4D">
              <w:rPr>
                <w:shd w:val="clear" w:color="auto" w:fill="FFFFFF"/>
              </w:rPr>
              <w:t>preambulas 21.punktā norādīto tika noteikta ar  apgrozījuma rentabilitātes metodi, aprēķina metodiku nosakot MK Noteikumu Nr.</w:t>
            </w:r>
            <w:r w:rsidR="00291AC0" w:rsidRPr="00676B4D">
              <w:rPr>
                <w:shd w:val="clear" w:color="auto" w:fill="FFFFFF"/>
              </w:rPr>
              <w:t>56</w:t>
            </w:r>
            <w:r w:rsidRPr="00676B4D">
              <w:rPr>
                <w:shd w:val="clear" w:color="auto" w:fill="FFFFFF"/>
              </w:rPr>
              <w:t xml:space="preserve"> </w:t>
            </w:r>
            <w:r w:rsidR="00291AC0" w:rsidRPr="00676B4D">
              <w:rPr>
                <w:shd w:val="clear" w:color="auto" w:fill="FFFFFF"/>
              </w:rPr>
              <w:t>24</w:t>
            </w:r>
            <w:r w:rsidRPr="00676B4D">
              <w:rPr>
                <w:shd w:val="clear" w:color="auto" w:fill="FFFFFF"/>
              </w:rPr>
              <w:t>.2.3.apakšpunktā. Proti trīs iepriekšējo gadu (UFG030) Komersantu neto apgrozījums pa darbības</w:t>
            </w:r>
            <w:r w:rsidRPr="00676B4D">
              <w:rPr>
                <w:b/>
                <w:bCs/>
                <w:shd w:val="clear" w:color="auto" w:fill="FFFFFF"/>
              </w:rPr>
              <w:t xml:space="preserve"> </w:t>
            </w:r>
            <w:r w:rsidRPr="00676B4D">
              <w:rPr>
                <w:shd w:val="clear" w:color="auto" w:fill="FFFFFF"/>
              </w:rPr>
              <w:t>veidiem (NACE 2.red.), (milj.</w:t>
            </w:r>
            <w:r w:rsidRPr="00676B4D">
              <w:rPr>
                <w:b/>
                <w:bCs/>
                <w:shd w:val="clear" w:color="auto" w:fill="FFFFFF"/>
              </w:rPr>
              <w:t xml:space="preserve"> </w:t>
            </w:r>
            <w:proofErr w:type="spellStart"/>
            <w:r w:rsidRPr="00676B4D">
              <w:rPr>
                <w:shd w:val="clear" w:color="auto" w:fill="FFFFFF"/>
              </w:rPr>
              <w:t>euro</w:t>
            </w:r>
            <w:proofErr w:type="spellEnd"/>
            <w:r w:rsidRPr="00676B4D">
              <w:rPr>
                <w:shd w:val="clear" w:color="auto" w:fill="FFFFFF"/>
              </w:rPr>
              <w:t>) (..(86) Veselības</w:t>
            </w:r>
            <w:r w:rsidRPr="00676B4D">
              <w:rPr>
                <w:b/>
                <w:bCs/>
                <w:shd w:val="clear" w:color="auto" w:fill="FFFFFF"/>
              </w:rPr>
              <w:t xml:space="preserve"> </w:t>
            </w:r>
            <w:r w:rsidRPr="00676B4D">
              <w:rPr>
                <w:shd w:val="clear" w:color="auto" w:fill="FFFFFF"/>
              </w:rPr>
              <w:t xml:space="preserve">aizsardzība) (https://data1.csb.gov.lv/pxweb/lv/uzn/uzn__uznemfin__ikgad/UFG030.px/?rxid=e00b1d98-adfc-4db2-a781-076ee6ab1c44) tika attiecināts pret trīs iepriekšējo gadu (UFG040.) Komersantu peļņa vai zaudējumi pēc nodokļiem pa darbības veidiem (NACE 2.red.), (milj. </w:t>
            </w:r>
            <w:proofErr w:type="spellStart"/>
            <w:r w:rsidRPr="00676B4D">
              <w:rPr>
                <w:shd w:val="clear" w:color="auto" w:fill="FFFFFF"/>
              </w:rPr>
              <w:t>euro</w:t>
            </w:r>
            <w:proofErr w:type="spellEnd"/>
            <w:r w:rsidRPr="00676B4D">
              <w:rPr>
                <w:shd w:val="clear" w:color="auto" w:fill="FFFFFF"/>
              </w:rPr>
              <w:t>) (https://data1.csb.gov.lv/pxweb/lv/uzn/uzn__uznemfin__ikgad/UFG040.px/?rxid=e00b1d98-adfc-4db2-a781-076ee6ab1c44). Attiecīgi peļņas normu nosakot 2020.gadā – 3,43%, 2019.gadā – 3,03%, 2018.gadā – 2,92%, 2017.gadā – 2,5%.</w:t>
            </w:r>
          </w:p>
          <w:p w14:paraId="78DD2F35" w14:textId="1246285D" w:rsidR="00D96E58" w:rsidRPr="00676B4D" w:rsidRDefault="00D96E58" w:rsidP="00676B4D">
            <w:pPr>
              <w:shd w:val="clear" w:color="auto" w:fill="FFFFFF"/>
              <w:spacing w:before="120" w:after="0" w:line="240" w:lineRule="auto"/>
              <w:ind w:left="42"/>
              <w:jc w:val="both"/>
              <w:rPr>
                <w:rFonts w:ascii="Times New Roman" w:eastAsia="Times New Roman" w:hAnsi="Times New Roman" w:cs="Times New Roman"/>
                <w:sz w:val="24"/>
                <w:szCs w:val="24"/>
              </w:rPr>
            </w:pPr>
            <w:r w:rsidRPr="00676B4D">
              <w:rPr>
                <w:rFonts w:ascii="Times New Roman" w:hAnsi="Times New Roman" w:cs="Times New Roman"/>
                <w:sz w:val="24"/>
                <w:szCs w:val="24"/>
                <w:shd w:val="clear" w:color="auto" w:fill="FFFFFF"/>
              </w:rPr>
              <w:t xml:space="preserve">Ārstniecības iestādēm kā VTNP pakalpojumu sniedzējiem par valsts apmaksāto pakalpojumu sniegšanu tiek slēgti deleģējuma līgumi ar NVD. Valsts apmaksāto pakalpojumu tarifi, apmaksas izriet no </w:t>
            </w:r>
            <w:r w:rsidRPr="00676B4D">
              <w:rPr>
                <w:rFonts w:ascii="Times New Roman" w:eastAsia="Times New Roman" w:hAnsi="Times New Roman" w:cs="Times New Roman"/>
                <w:sz w:val="24"/>
                <w:szCs w:val="24"/>
              </w:rPr>
              <w:t>2018. gada 28. augusta Ministru kabineta noteikumiem Nr. 555 “Veselības aprūpes pakalpojumu organizēšanas un samaksas kārtība”. Ņemot vērā, ka tarifos nav iestrādāts peļņas procents un amortizācijas izmaksas nav pietiekošas, lai publisko pakalpojumu sniedzējiem - ārstniecības iestādēm ilgtermiņā veidojot uzkrājumus būtu spēja atjaunot infrastruktūru bez publisku līdzekļu līdzfinansējuma,  tiek noteikts cits saprātīgās peļņas piešķiršanas mehānisms, proti</w:t>
            </w:r>
            <w:r w:rsidR="0062327E">
              <w:rPr>
                <w:rFonts w:ascii="Times New Roman" w:eastAsia="Times New Roman" w:hAnsi="Times New Roman" w:cs="Times New Roman"/>
                <w:sz w:val="24"/>
                <w:szCs w:val="24"/>
              </w:rPr>
              <w:t>,</w:t>
            </w:r>
            <w:r w:rsidRPr="00676B4D">
              <w:rPr>
                <w:rFonts w:ascii="Times New Roman" w:eastAsia="Times New Roman" w:hAnsi="Times New Roman" w:cs="Times New Roman"/>
                <w:sz w:val="24"/>
                <w:szCs w:val="24"/>
              </w:rPr>
              <w:t xml:space="preserve"> kā pašu kapitāla </w:t>
            </w:r>
            <w:proofErr w:type="spellStart"/>
            <w:r w:rsidRPr="00676B4D">
              <w:rPr>
                <w:rFonts w:ascii="Times New Roman" w:eastAsia="Times New Roman" w:hAnsi="Times New Roman" w:cs="Times New Roman"/>
                <w:sz w:val="24"/>
                <w:szCs w:val="24"/>
              </w:rPr>
              <w:t>atdeves</w:t>
            </w:r>
            <w:proofErr w:type="spellEnd"/>
            <w:r w:rsidRPr="00676B4D">
              <w:rPr>
                <w:rFonts w:ascii="Times New Roman" w:eastAsia="Times New Roman" w:hAnsi="Times New Roman" w:cs="Times New Roman"/>
                <w:sz w:val="24"/>
                <w:szCs w:val="24"/>
              </w:rPr>
              <w:t xml:space="preserve"> metode. Saprātīga peļņas procents tiek noteiks kā </w:t>
            </w:r>
            <w:r w:rsidRPr="00676B4D">
              <w:rPr>
                <w:rFonts w:ascii="Times New Roman" w:hAnsi="Times New Roman" w:cs="Times New Roman"/>
                <w:sz w:val="24"/>
                <w:szCs w:val="24"/>
              </w:rPr>
              <w:t xml:space="preserve">finansiālās rentabilitātes procents pēc nodokļiem (UFG070) Komersantu finanšu analīzes rādītājs </w:t>
            </w:r>
            <w:r w:rsidRPr="00676B4D">
              <w:rPr>
                <w:rFonts w:ascii="Times New Roman" w:eastAsia="Times New Roman" w:hAnsi="Times New Roman" w:cs="Times New Roman"/>
                <w:sz w:val="24"/>
                <w:szCs w:val="24"/>
              </w:rPr>
              <w:t xml:space="preserve">atbilstoši saimniecisko darbību statistiskajai klasifikācijai (NACE 2. </w:t>
            </w:r>
            <w:proofErr w:type="spellStart"/>
            <w:r w:rsidRPr="00676B4D">
              <w:rPr>
                <w:rFonts w:ascii="Times New Roman" w:eastAsia="Times New Roman" w:hAnsi="Times New Roman" w:cs="Times New Roman"/>
                <w:sz w:val="24"/>
                <w:szCs w:val="24"/>
              </w:rPr>
              <w:t>red</w:t>
            </w:r>
            <w:proofErr w:type="spellEnd"/>
            <w:r w:rsidRPr="00676B4D">
              <w:rPr>
                <w:rFonts w:ascii="Times New Roman" w:eastAsia="Times New Roman" w:hAnsi="Times New Roman" w:cs="Times New Roman"/>
                <w:sz w:val="24"/>
                <w:szCs w:val="24"/>
              </w:rPr>
              <w:t>) attiecīgajā pārskata gadā (</w:t>
            </w:r>
            <w:hyperlink r:id="rId13" w:history="1">
              <w:r w:rsidRPr="00676B4D">
                <w:rPr>
                  <w:rStyle w:val="Hyperlink"/>
                  <w:rFonts w:ascii="Times New Roman" w:hAnsi="Times New Roman" w:cs="Times New Roman"/>
                  <w:color w:val="auto"/>
                  <w:sz w:val="24"/>
                  <w:szCs w:val="24"/>
                </w:rPr>
                <w:t>https://data1.csb.gov.lv/pxweb/lv/uzn/uzn__uznemfin__ikgad/UFG070.px/?rxid=e00b1d98-adfc-4db2-a781-076ee6ab1c44</w:t>
              </w:r>
            </w:hyperlink>
            <w:r w:rsidRPr="00676B4D">
              <w:rPr>
                <w:rFonts w:ascii="Times New Roman" w:hAnsi="Times New Roman" w:cs="Times New Roman"/>
                <w:sz w:val="24"/>
                <w:szCs w:val="24"/>
              </w:rPr>
              <w:t>)</w:t>
            </w:r>
            <w:r w:rsidRPr="00676B4D">
              <w:rPr>
                <w:rFonts w:ascii="Times New Roman" w:eastAsia="Times New Roman" w:hAnsi="Times New Roman" w:cs="Times New Roman"/>
                <w:sz w:val="24"/>
                <w:szCs w:val="24"/>
              </w:rPr>
              <w:t>. Piemēram 2018.gadā – 10,884%, 2017.gadā – 7,717 % un 2016.gadā kā 8,818%.</w:t>
            </w:r>
          </w:p>
          <w:p w14:paraId="3396D731" w14:textId="70AD0F2B" w:rsidR="00582C41" w:rsidRPr="00676B4D" w:rsidRDefault="00D96E58" w:rsidP="00676B4D">
            <w:pPr>
              <w:pStyle w:val="naiskr"/>
              <w:tabs>
                <w:tab w:val="left" w:pos="360"/>
              </w:tabs>
              <w:spacing w:before="120" w:beforeAutospacing="0" w:after="0" w:afterAutospacing="0"/>
              <w:ind w:right="57"/>
              <w:jc w:val="both"/>
            </w:pPr>
            <w:r w:rsidRPr="00676B4D">
              <w:t>Attiecīgi precizēts MK noteikumu Nr.</w:t>
            </w:r>
            <w:r w:rsidR="00291AC0" w:rsidRPr="00676B4D">
              <w:t>56</w:t>
            </w:r>
            <w:r w:rsidRPr="00676B4D">
              <w:t xml:space="preserve"> </w:t>
            </w:r>
            <w:r w:rsidR="00291AC0" w:rsidRPr="00676B4D">
              <w:t>24</w:t>
            </w:r>
            <w:r w:rsidR="00676B4D">
              <w:t>.</w:t>
            </w:r>
            <w:r w:rsidRPr="00676B4D">
              <w:t xml:space="preserve">2.3.apakšpunkts aizstājot saprātīgas peļņas procenta noteikšanas metodi no </w:t>
            </w:r>
            <w:r w:rsidRPr="00676B4D">
              <w:rPr>
                <w:shd w:val="clear" w:color="auto" w:fill="FFFFFF"/>
              </w:rPr>
              <w:t xml:space="preserve">apgrozījuma rentabilitātes metodes uz </w:t>
            </w:r>
            <w:r w:rsidRPr="00676B4D">
              <w:t xml:space="preserve">pašu kapitāla </w:t>
            </w:r>
            <w:proofErr w:type="spellStart"/>
            <w:r w:rsidRPr="00676B4D">
              <w:t>atdeves</w:t>
            </w:r>
            <w:proofErr w:type="spellEnd"/>
            <w:r w:rsidRPr="00676B4D">
              <w:t xml:space="preserve"> metodi.</w:t>
            </w:r>
          </w:p>
          <w:p w14:paraId="32F9BC91" w14:textId="77777777" w:rsidR="00044C12" w:rsidRDefault="00582C41" w:rsidP="00044C12">
            <w:pPr>
              <w:pStyle w:val="naiskr"/>
              <w:numPr>
                <w:ilvl w:val="0"/>
                <w:numId w:val="13"/>
              </w:numPr>
              <w:tabs>
                <w:tab w:val="left" w:pos="360"/>
              </w:tabs>
              <w:spacing w:before="120" w:beforeAutospacing="0" w:after="0" w:afterAutospacing="0"/>
              <w:ind w:left="402" w:right="57"/>
              <w:jc w:val="both"/>
            </w:pPr>
            <w:r w:rsidRPr="00676B4D">
              <w:rPr>
                <w:shd w:val="clear" w:color="auto" w:fill="FFFFFF"/>
              </w:rPr>
              <w:lastRenderedPageBreak/>
              <w:t xml:space="preserve">Nodrošinot pēdējā Eiropas Savienības tiesas praksē nostiprināto pienākumu izpildi (skat. spriedumu lietā Nr. C-349/17), noteikumu projekts tiek papildināts ar jaunu  V sadaļas “Valsts atbalsta piešķiršanas nosacījumi” </w:t>
            </w:r>
            <w:r w:rsidRPr="00676B4D">
              <w:t>27.</w:t>
            </w:r>
            <w:r w:rsidR="00044C12" w:rsidRPr="00044C12">
              <w:rPr>
                <w:vertAlign w:val="superscript"/>
              </w:rPr>
              <w:t>1</w:t>
            </w:r>
            <w:r w:rsidRPr="00676B4D">
              <w:t xml:space="preserve">punktu, kas nosaka, ka ja valsts atbalsta saņēmējs ir pārkāpis Komisijas lēmuma 2012/21/ES prasības, </w:t>
            </w:r>
            <w:r w:rsidR="00044C12" w:rsidRPr="00F14F41">
              <w:rPr>
                <w:sz w:val="28"/>
                <w:szCs w:val="28"/>
                <w:shd w:val="clear" w:color="auto" w:fill="FFFFFF"/>
              </w:rPr>
              <w:t>va</w:t>
            </w:r>
            <w:r w:rsidR="00044C12" w:rsidRPr="00044C12">
              <w:t>lsts atbalsta saņēmējam ir pienākums atmaksāt atbalsta sniedzējam visu projekta ietvaros saņemto nelikumīgo valsts atbalstu kopā ar procentiem, kuru likmi publicē Eiropas Komisija saskaņā ar Komisijas 2004. gada 21. aprīļa Regulas (EK) Nr. 794/2004, ar ko īsteno Padomes Regulu (ES) </w:t>
            </w:r>
            <w:hyperlink r:id="rId14" w:tgtFrame="_blank" w:history="1">
              <w:r w:rsidR="00044C12" w:rsidRPr="00044C12">
                <w:t>2015/1589</w:t>
              </w:r>
            </w:hyperlink>
            <w:r w:rsidR="00044C12" w:rsidRPr="00044C12">
              <w:t>, ar ko nosaka sīki izstrādātus noteikumus Līguma par Eiropas Savienības darbību </w:t>
            </w:r>
            <w:hyperlink r:id="rId15" w:anchor="p108" w:history="1">
              <w:r w:rsidR="00044C12" w:rsidRPr="00044C12">
                <w:t>108.</w:t>
              </w:r>
            </w:hyperlink>
            <w:r w:rsidR="00044C12" w:rsidRPr="00044C12">
              <w:t> panta piemērošanai 10. pantu, tiem pieskaitot 100 bāzes punktus, no dienas, kad valsts atbalsts tika izmaksāts valsts atbalsta saņēmējam, līdz tā atgūšanas dienai, ievērojot Komisijas regulas Nr. 794/2004 11. pantā noteikto procentu likmes piemērošanas metodi</w:t>
            </w:r>
            <w:r w:rsidR="00044C12">
              <w:t xml:space="preserve">. </w:t>
            </w:r>
            <w:r w:rsidRPr="00044C12">
              <w:t>Pienākums atgūt nelikumīgā atbalsta procentus ir obligāts priekšnosacījums Eiropas Savienības tiesību ievērošanai un procentu atmaksāšanai nav sodīšanas raksturs, bet tās mērķis ir atjaunot iepriekš pastāvošo situāciju tirgū pirms nelikumīgā atbalsta piešķiršanas tā saņēmējam.</w:t>
            </w:r>
          </w:p>
          <w:p w14:paraId="74210BBD" w14:textId="663FE4D6" w:rsidR="00CB2178" w:rsidRPr="00676B4D" w:rsidRDefault="00F01FCE" w:rsidP="00CB2178">
            <w:pPr>
              <w:pStyle w:val="naiskr"/>
              <w:spacing w:before="120" w:beforeAutospacing="0" w:after="0" w:afterAutospacing="0"/>
              <w:ind w:left="119" w:right="57" w:firstLine="283"/>
              <w:jc w:val="both"/>
            </w:pPr>
            <w:r>
              <w:t>Tiesību akta projekta mērķis</w:t>
            </w:r>
            <w:r w:rsidR="00D96E58" w:rsidRPr="00676B4D">
              <w:t xml:space="preserve"> ir vērst</w:t>
            </w:r>
            <w:r>
              <w:t>s</w:t>
            </w:r>
            <w:r w:rsidR="00D96E58" w:rsidRPr="00676B4D">
              <w:t xml:space="preserve"> uz labāku SAM 9.3.2. mērķa sasniegšanu</w:t>
            </w:r>
            <w:r w:rsidR="0003064C">
              <w:t xml:space="preserve">, </w:t>
            </w:r>
            <w:r w:rsidR="00D96E58" w:rsidRPr="00676B4D">
              <w:t>iznākumu rādītāju sasniegšanu</w:t>
            </w:r>
            <w:r>
              <w:t>, administratīvā sloga mazināš</w:t>
            </w:r>
            <w:r w:rsidR="00C1433C">
              <w:t>a</w:t>
            </w:r>
            <w:r>
              <w:t>nu</w:t>
            </w:r>
            <w:r w:rsidR="00B638F6">
              <w:t xml:space="preserve"> un būtiski neietekmē īstenošanā esošos projektus, kā arī</w:t>
            </w:r>
            <w:r w:rsidR="00D96E58" w:rsidRPr="00676B4D">
              <w:t xml:space="preserve"> </w:t>
            </w:r>
            <w:r w:rsidR="00B638F6">
              <w:t>g</w:t>
            </w:r>
            <w:r w:rsidR="00D96E58" w:rsidRPr="00676B4D">
              <w:t>rozījumi īstenošanā esošajos projektos</w:t>
            </w:r>
            <w:r w:rsidR="00676B4D">
              <w:t xml:space="preserve"> nav nepieciešami</w:t>
            </w:r>
            <w:r w:rsidR="00E97465">
              <w:t>.</w:t>
            </w:r>
          </w:p>
        </w:tc>
      </w:tr>
      <w:tr w:rsidR="00676B4D" w:rsidRPr="00676B4D" w14:paraId="682B64DE" w14:textId="77777777" w:rsidTr="00D96E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49B2F60" w14:textId="77777777"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lastRenderedPageBreak/>
              <w:t>3.</w:t>
            </w:r>
          </w:p>
        </w:tc>
        <w:tc>
          <w:tcPr>
            <w:tcW w:w="1387" w:type="pct"/>
            <w:tcBorders>
              <w:top w:val="outset" w:sz="6" w:space="0" w:color="auto"/>
              <w:left w:val="outset" w:sz="6" w:space="0" w:color="auto"/>
              <w:bottom w:val="outset" w:sz="6" w:space="0" w:color="auto"/>
              <w:right w:val="outset" w:sz="6" w:space="0" w:color="auto"/>
            </w:tcBorders>
            <w:hideMark/>
          </w:tcPr>
          <w:p w14:paraId="30756AEA" w14:textId="77777777"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1" w:type="pct"/>
            <w:tcBorders>
              <w:top w:val="outset" w:sz="6" w:space="0" w:color="auto"/>
              <w:left w:val="outset" w:sz="6" w:space="0" w:color="auto"/>
              <w:bottom w:val="outset" w:sz="6" w:space="0" w:color="auto"/>
              <w:right w:val="outset" w:sz="6" w:space="0" w:color="auto"/>
            </w:tcBorders>
            <w:hideMark/>
          </w:tcPr>
          <w:p w14:paraId="23936236" w14:textId="75B85A78" w:rsidR="00D96E58" w:rsidRPr="00676B4D" w:rsidRDefault="00D96E58" w:rsidP="00D96E58">
            <w:pPr>
              <w:pStyle w:val="naiskr"/>
              <w:spacing w:before="0" w:beforeAutospacing="0" w:after="0" w:afterAutospacing="0"/>
              <w:ind w:left="51" w:right="142"/>
              <w:jc w:val="both"/>
            </w:pPr>
            <w:r w:rsidRPr="00676B4D">
              <w:t xml:space="preserve">Noteikumu projekta izstrādē tika </w:t>
            </w:r>
            <w:r w:rsidRPr="00676B4D">
              <w:rPr>
                <w:szCs w:val="28"/>
              </w:rPr>
              <w:t>iesaistīta</w:t>
            </w:r>
            <w:r w:rsidRPr="00676B4D">
              <w:t xml:space="preserve"> Veselības ministrija.</w:t>
            </w:r>
          </w:p>
        </w:tc>
      </w:tr>
      <w:tr w:rsidR="00676B4D" w:rsidRPr="00676B4D" w14:paraId="7C8BF92E" w14:textId="77777777" w:rsidTr="00D96E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3C97BC7" w14:textId="77777777"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4.</w:t>
            </w:r>
          </w:p>
        </w:tc>
        <w:tc>
          <w:tcPr>
            <w:tcW w:w="1387" w:type="pct"/>
            <w:tcBorders>
              <w:top w:val="outset" w:sz="6" w:space="0" w:color="auto"/>
              <w:left w:val="outset" w:sz="6" w:space="0" w:color="auto"/>
              <w:bottom w:val="outset" w:sz="6" w:space="0" w:color="auto"/>
              <w:right w:val="outset" w:sz="6" w:space="0" w:color="auto"/>
            </w:tcBorders>
            <w:hideMark/>
          </w:tcPr>
          <w:p w14:paraId="439E670C" w14:textId="77777777"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Cita informācija</w:t>
            </w:r>
          </w:p>
        </w:tc>
        <w:tc>
          <w:tcPr>
            <w:tcW w:w="3341" w:type="pct"/>
            <w:tcBorders>
              <w:top w:val="outset" w:sz="6" w:space="0" w:color="auto"/>
              <w:left w:val="outset" w:sz="6" w:space="0" w:color="auto"/>
              <w:bottom w:val="outset" w:sz="6" w:space="0" w:color="auto"/>
              <w:right w:val="outset" w:sz="6" w:space="0" w:color="auto"/>
            </w:tcBorders>
            <w:hideMark/>
          </w:tcPr>
          <w:p w14:paraId="2EE40476" w14:textId="77777777" w:rsidR="00D96E58" w:rsidRPr="00676B4D" w:rsidRDefault="00D96E58" w:rsidP="00D96E58">
            <w:pPr>
              <w:pStyle w:val="naiskr"/>
              <w:spacing w:before="0" w:beforeAutospacing="0" w:after="0" w:afterAutospacing="0"/>
              <w:ind w:left="51" w:right="142" w:firstLine="283"/>
              <w:jc w:val="both"/>
              <w:rPr>
                <w:iCs/>
              </w:rPr>
            </w:pPr>
            <w:r w:rsidRPr="00676B4D">
              <w:t>Nav</w:t>
            </w:r>
          </w:p>
        </w:tc>
      </w:tr>
    </w:tbl>
    <w:p w14:paraId="6C92722A" w14:textId="77777777" w:rsidR="00CB25F8" w:rsidRPr="00676B4D" w:rsidRDefault="00CB25F8" w:rsidP="006C5D4A">
      <w:pPr>
        <w:spacing w:after="0" w:line="240" w:lineRule="auto"/>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76B4D" w:rsidRPr="00676B4D" w14:paraId="2CE12401" w14:textId="77777777" w:rsidTr="00CB25F8">
        <w:trPr>
          <w:trHeight w:val="556"/>
          <w:tblCellSpacing w:w="20" w:type="dxa"/>
        </w:trPr>
        <w:tc>
          <w:tcPr>
            <w:tcW w:w="9001" w:type="dxa"/>
            <w:gridSpan w:val="3"/>
            <w:vAlign w:val="center"/>
          </w:tcPr>
          <w:p w14:paraId="7EDAC520" w14:textId="77777777" w:rsidR="006D5050" w:rsidRPr="00676B4D" w:rsidRDefault="006D5050" w:rsidP="006C5D4A">
            <w:pPr>
              <w:pStyle w:val="naisnod"/>
              <w:spacing w:before="0" w:beforeAutospacing="0" w:after="0" w:afterAutospacing="0"/>
              <w:ind w:left="57" w:right="57"/>
              <w:jc w:val="center"/>
              <w:rPr>
                <w:b/>
              </w:rPr>
            </w:pPr>
            <w:r w:rsidRPr="00676B4D">
              <w:rPr>
                <w:b/>
              </w:rPr>
              <w:t>II. Tiesību akta projekta ietekme uz sabiedrību, tautsaimniecības attīstību</w:t>
            </w:r>
          </w:p>
          <w:p w14:paraId="29C95C28" w14:textId="77777777" w:rsidR="006D5050" w:rsidRPr="00676B4D" w:rsidRDefault="006D5050" w:rsidP="006C5D4A">
            <w:pPr>
              <w:pStyle w:val="naisnod"/>
              <w:spacing w:before="0" w:beforeAutospacing="0" w:after="0" w:afterAutospacing="0"/>
              <w:ind w:left="57" w:right="57"/>
              <w:jc w:val="center"/>
              <w:rPr>
                <w:b/>
              </w:rPr>
            </w:pPr>
            <w:r w:rsidRPr="00676B4D">
              <w:rPr>
                <w:b/>
              </w:rPr>
              <w:t>un administratīvo slogu</w:t>
            </w:r>
          </w:p>
        </w:tc>
      </w:tr>
      <w:tr w:rsidR="00676B4D" w:rsidRPr="00676B4D" w14:paraId="5AB3E9D9" w14:textId="77777777" w:rsidTr="00CB25F8">
        <w:trPr>
          <w:trHeight w:val="467"/>
          <w:tblCellSpacing w:w="20" w:type="dxa"/>
        </w:trPr>
        <w:tc>
          <w:tcPr>
            <w:tcW w:w="424" w:type="dxa"/>
          </w:tcPr>
          <w:p w14:paraId="542EFA0D" w14:textId="77777777" w:rsidR="006D5050" w:rsidRPr="00676B4D" w:rsidRDefault="006D5050" w:rsidP="006C5D4A">
            <w:pPr>
              <w:pStyle w:val="naiskr"/>
              <w:spacing w:before="0" w:beforeAutospacing="0" w:after="0" w:afterAutospacing="0"/>
              <w:ind w:left="57" w:right="57"/>
              <w:jc w:val="both"/>
            </w:pPr>
            <w:r w:rsidRPr="00676B4D">
              <w:t xml:space="preserve">1. </w:t>
            </w:r>
          </w:p>
        </w:tc>
        <w:tc>
          <w:tcPr>
            <w:tcW w:w="2587" w:type="dxa"/>
          </w:tcPr>
          <w:p w14:paraId="293BADB3" w14:textId="77777777" w:rsidR="006D5050" w:rsidRPr="00676B4D" w:rsidRDefault="006D5050" w:rsidP="006C5D4A">
            <w:pPr>
              <w:pStyle w:val="naiskr"/>
              <w:spacing w:before="0" w:beforeAutospacing="0" w:after="0" w:afterAutospacing="0"/>
              <w:ind w:left="57" w:right="57"/>
            </w:pPr>
            <w:r w:rsidRPr="00676B4D">
              <w:t xml:space="preserve">Sabiedrības </w:t>
            </w:r>
            <w:proofErr w:type="spellStart"/>
            <w:r w:rsidRPr="00676B4D">
              <w:t>mērķgrupas</w:t>
            </w:r>
            <w:proofErr w:type="spellEnd"/>
            <w:r w:rsidRPr="00676B4D">
              <w:t>, kuras tiesiskais regulējums ietekmē vai varētu ietekmēt</w:t>
            </w:r>
          </w:p>
        </w:tc>
        <w:tc>
          <w:tcPr>
            <w:tcW w:w="5910" w:type="dxa"/>
          </w:tcPr>
          <w:p w14:paraId="718371DC" w14:textId="6F2CC493" w:rsidR="006D5050" w:rsidRPr="00676B4D" w:rsidRDefault="006D5050" w:rsidP="006C5D4A">
            <w:pPr>
              <w:pStyle w:val="naiskr"/>
              <w:spacing w:before="0" w:beforeAutospacing="0" w:after="0" w:afterAutospacing="0"/>
              <w:ind w:left="111" w:right="57"/>
              <w:jc w:val="both"/>
            </w:pPr>
            <w:bookmarkStart w:id="7" w:name="p21"/>
            <w:bookmarkEnd w:id="7"/>
            <w:r w:rsidRPr="00676B4D">
              <w:t>Tiesiskais regulējums ietekmē Veselības ministriju</w:t>
            </w:r>
            <w:r w:rsidR="00E823D8" w:rsidRPr="00676B4D">
              <w:t>, pašvaldības un to iestādes, ārstniecības iestādes.</w:t>
            </w:r>
          </w:p>
        </w:tc>
      </w:tr>
      <w:tr w:rsidR="00676B4D" w:rsidRPr="00676B4D" w14:paraId="65F673B6" w14:textId="77777777" w:rsidTr="00CB25F8">
        <w:trPr>
          <w:trHeight w:val="523"/>
          <w:tblCellSpacing w:w="20" w:type="dxa"/>
        </w:trPr>
        <w:tc>
          <w:tcPr>
            <w:tcW w:w="424" w:type="dxa"/>
          </w:tcPr>
          <w:p w14:paraId="431F1D72" w14:textId="77777777" w:rsidR="006D5050" w:rsidRPr="00676B4D" w:rsidRDefault="006D5050" w:rsidP="006C5D4A">
            <w:pPr>
              <w:pStyle w:val="naiskr"/>
              <w:spacing w:before="0" w:beforeAutospacing="0" w:after="0" w:afterAutospacing="0"/>
              <w:ind w:left="57" w:right="57"/>
              <w:jc w:val="both"/>
            </w:pPr>
            <w:r w:rsidRPr="00676B4D">
              <w:t xml:space="preserve">2. </w:t>
            </w:r>
          </w:p>
        </w:tc>
        <w:tc>
          <w:tcPr>
            <w:tcW w:w="2587" w:type="dxa"/>
          </w:tcPr>
          <w:p w14:paraId="1BB982AC" w14:textId="77777777" w:rsidR="006D5050" w:rsidRPr="00676B4D" w:rsidRDefault="006D5050" w:rsidP="006C5D4A">
            <w:pPr>
              <w:pStyle w:val="naiskr"/>
              <w:spacing w:before="0" w:beforeAutospacing="0" w:after="0" w:afterAutospacing="0"/>
              <w:ind w:left="57" w:right="57"/>
            </w:pPr>
            <w:r w:rsidRPr="00676B4D">
              <w:t>Tiesiskā regulējuma ietekme uz tautsaimniecību un administratīvo slogu</w:t>
            </w:r>
          </w:p>
        </w:tc>
        <w:tc>
          <w:tcPr>
            <w:tcW w:w="5910" w:type="dxa"/>
          </w:tcPr>
          <w:p w14:paraId="36D6B54F" w14:textId="3133CF29" w:rsidR="00173748" w:rsidRPr="00676B4D" w:rsidRDefault="006D5050" w:rsidP="00F75F30">
            <w:pPr>
              <w:pStyle w:val="naiskr"/>
              <w:spacing w:before="0" w:beforeAutospacing="0" w:after="0" w:afterAutospacing="0"/>
              <w:ind w:left="111" w:right="57"/>
              <w:jc w:val="both"/>
            </w:pPr>
            <w:r w:rsidRPr="00676B4D">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676B4D" w:rsidRPr="00676B4D" w14:paraId="2CADEC10" w14:textId="77777777" w:rsidTr="00CB25F8">
        <w:trPr>
          <w:trHeight w:val="523"/>
          <w:tblCellSpacing w:w="20" w:type="dxa"/>
        </w:trPr>
        <w:tc>
          <w:tcPr>
            <w:tcW w:w="424" w:type="dxa"/>
          </w:tcPr>
          <w:p w14:paraId="3AC1E90E" w14:textId="77777777" w:rsidR="006D5050" w:rsidRPr="00676B4D" w:rsidRDefault="006D5050" w:rsidP="006C5D4A">
            <w:pPr>
              <w:pStyle w:val="naiskr"/>
              <w:spacing w:before="0" w:beforeAutospacing="0" w:after="0" w:afterAutospacing="0"/>
              <w:ind w:left="57" w:right="57"/>
              <w:jc w:val="both"/>
            </w:pPr>
            <w:r w:rsidRPr="00676B4D">
              <w:t xml:space="preserve">3. </w:t>
            </w:r>
          </w:p>
        </w:tc>
        <w:tc>
          <w:tcPr>
            <w:tcW w:w="2587" w:type="dxa"/>
          </w:tcPr>
          <w:p w14:paraId="3C16930E" w14:textId="77777777" w:rsidR="006D5050" w:rsidRPr="00676B4D" w:rsidRDefault="006D5050" w:rsidP="006C5D4A">
            <w:pPr>
              <w:pStyle w:val="naiskr"/>
              <w:spacing w:before="0" w:beforeAutospacing="0" w:after="0" w:afterAutospacing="0"/>
              <w:ind w:left="57" w:right="57"/>
            </w:pPr>
            <w:r w:rsidRPr="00676B4D">
              <w:t>Administratīvo izmaksu monetārs novērtējums</w:t>
            </w:r>
          </w:p>
        </w:tc>
        <w:tc>
          <w:tcPr>
            <w:tcW w:w="5910" w:type="dxa"/>
          </w:tcPr>
          <w:p w14:paraId="4914592D" w14:textId="22503083" w:rsidR="006D5050" w:rsidRPr="00676B4D" w:rsidRDefault="006C5070" w:rsidP="006C5D4A">
            <w:pPr>
              <w:pStyle w:val="naiskr"/>
              <w:spacing w:before="0" w:beforeAutospacing="0" w:after="0" w:afterAutospacing="0"/>
              <w:ind w:left="111" w:right="57"/>
              <w:jc w:val="both"/>
            </w:pPr>
            <w:r w:rsidRPr="00676B4D">
              <w:t>N</w:t>
            </w:r>
            <w:r w:rsidR="006D5050" w:rsidRPr="00676B4D">
              <w:t>oteikumu projekts šo jomu neskar.</w:t>
            </w:r>
          </w:p>
        </w:tc>
      </w:tr>
      <w:tr w:rsidR="00676B4D" w:rsidRPr="00676B4D" w14:paraId="6F54A459" w14:textId="77777777" w:rsidTr="00CB25F8">
        <w:trPr>
          <w:trHeight w:val="357"/>
          <w:tblCellSpacing w:w="20" w:type="dxa"/>
        </w:trPr>
        <w:tc>
          <w:tcPr>
            <w:tcW w:w="424" w:type="dxa"/>
          </w:tcPr>
          <w:p w14:paraId="2745FE0D" w14:textId="77777777" w:rsidR="006D5050" w:rsidRPr="00676B4D" w:rsidRDefault="006D5050" w:rsidP="006C5D4A">
            <w:pPr>
              <w:pStyle w:val="naiskr"/>
              <w:spacing w:before="0" w:beforeAutospacing="0" w:after="0" w:afterAutospacing="0"/>
              <w:ind w:left="57" w:right="57"/>
              <w:jc w:val="both"/>
            </w:pPr>
            <w:r w:rsidRPr="00676B4D">
              <w:lastRenderedPageBreak/>
              <w:t xml:space="preserve">4. </w:t>
            </w:r>
          </w:p>
        </w:tc>
        <w:tc>
          <w:tcPr>
            <w:tcW w:w="2587" w:type="dxa"/>
          </w:tcPr>
          <w:p w14:paraId="43300334" w14:textId="77777777" w:rsidR="006D5050" w:rsidRPr="00676B4D" w:rsidRDefault="006D5050" w:rsidP="006C5D4A">
            <w:pPr>
              <w:pStyle w:val="naiskr"/>
              <w:spacing w:before="0" w:beforeAutospacing="0" w:after="0" w:afterAutospacing="0"/>
              <w:ind w:left="57" w:right="57"/>
            </w:pPr>
            <w:r w:rsidRPr="00676B4D">
              <w:t>Atbilstības izmaksu monetārs novērtējums</w:t>
            </w:r>
          </w:p>
        </w:tc>
        <w:tc>
          <w:tcPr>
            <w:tcW w:w="5910" w:type="dxa"/>
          </w:tcPr>
          <w:p w14:paraId="23F7AA80" w14:textId="1FDFEA0E" w:rsidR="006D5050" w:rsidRPr="00676B4D" w:rsidRDefault="006C5070" w:rsidP="006C5D4A">
            <w:pPr>
              <w:pStyle w:val="naiskr"/>
              <w:spacing w:before="0" w:beforeAutospacing="0" w:after="0" w:afterAutospacing="0"/>
              <w:ind w:left="111" w:right="57"/>
              <w:jc w:val="both"/>
            </w:pPr>
            <w:r w:rsidRPr="00676B4D">
              <w:t>N</w:t>
            </w:r>
            <w:r w:rsidR="006D5050" w:rsidRPr="00676B4D">
              <w:t>oteikumu projekts šo jomu neskar.</w:t>
            </w:r>
          </w:p>
        </w:tc>
      </w:tr>
      <w:tr w:rsidR="00676B4D" w:rsidRPr="00676B4D" w14:paraId="0E12628A" w14:textId="77777777" w:rsidTr="00CB25F8">
        <w:trPr>
          <w:trHeight w:val="357"/>
          <w:tblCellSpacing w:w="20" w:type="dxa"/>
        </w:trPr>
        <w:tc>
          <w:tcPr>
            <w:tcW w:w="424" w:type="dxa"/>
          </w:tcPr>
          <w:p w14:paraId="1D31DED9" w14:textId="77777777" w:rsidR="006D5050" w:rsidRPr="00676B4D" w:rsidRDefault="006D5050" w:rsidP="006C5D4A">
            <w:pPr>
              <w:pStyle w:val="naiskr"/>
              <w:spacing w:before="0" w:beforeAutospacing="0" w:after="0" w:afterAutospacing="0"/>
              <w:ind w:left="57" w:right="57"/>
              <w:jc w:val="both"/>
            </w:pPr>
            <w:r w:rsidRPr="00676B4D">
              <w:t>5.</w:t>
            </w:r>
          </w:p>
        </w:tc>
        <w:tc>
          <w:tcPr>
            <w:tcW w:w="2587" w:type="dxa"/>
          </w:tcPr>
          <w:p w14:paraId="1D3EEFB2" w14:textId="77777777" w:rsidR="006D5050" w:rsidRPr="00676B4D" w:rsidRDefault="006D5050" w:rsidP="006C5D4A">
            <w:pPr>
              <w:pStyle w:val="naiskr"/>
              <w:spacing w:before="0" w:beforeAutospacing="0" w:after="0" w:afterAutospacing="0"/>
              <w:ind w:left="57" w:right="57"/>
            </w:pPr>
            <w:r w:rsidRPr="00676B4D">
              <w:t>Cita informācija</w:t>
            </w:r>
          </w:p>
        </w:tc>
        <w:tc>
          <w:tcPr>
            <w:tcW w:w="5910" w:type="dxa"/>
          </w:tcPr>
          <w:p w14:paraId="127E305F" w14:textId="77777777" w:rsidR="006D5050" w:rsidRPr="00676B4D" w:rsidRDefault="006D5050" w:rsidP="006C5D4A">
            <w:pPr>
              <w:pStyle w:val="naiskr"/>
              <w:spacing w:before="0" w:beforeAutospacing="0" w:after="0" w:afterAutospacing="0"/>
              <w:ind w:left="111" w:right="57"/>
              <w:jc w:val="both"/>
            </w:pPr>
            <w:r w:rsidRPr="00676B4D">
              <w:t>Nav.</w:t>
            </w:r>
          </w:p>
        </w:tc>
      </w:tr>
    </w:tbl>
    <w:p w14:paraId="273CC3CE" w14:textId="77777777" w:rsidR="006D5050" w:rsidRPr="00676B4D" w:rsidRDefault="006D5050" w:rsidP="006C5D4A">
      <w:pPr>
        <w:pStyle w:val="naisnod"/>
        <w:spacing w:before="0" w:beforeAutospacing="0" w:after="0" w:afterAutospacing="0"/>
        <w:ind w:right="57"/>
        <w:rPr>
          <w:b/>
        </w:rPr>
      </w:pPr>
    </w:p>
    <w:p w14:paraId="2F46EEEA" w14:textId="6313DFE9" w:rsidR="006D5050" w:rsidRPr="00676B4D" w:rsidRDefault="006D5050" w:rsidP="006C5D4A">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676B4D" w:rsidRPr="00676B4D" w14:paraId="1D1EE976" w14:textId="77777777" w:rsidTr="00912DD2">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3EB18AF" w14:textId="77777777" w:rsidR="00297540" w:rsidRPr="00676B4D" w:rsidRDefault="00297540" w:rsidP="00912DD2">
            <w:pPr>
              <w:spacing w:after="0" w:line="240" w:lineRule="auto"/>
              <w:jc w:val="center"/>
              <w:rPr>
                <w:rFonts w:ascii="Times New Roman" w:eastAsia="Times New Roman" w:hAnsi="Times New Roman" w:cs="Times New Roman"/>
                <w:b/>
                <w:bCs/>
                <w:iCs/>
                <w:sz w:val="24"/>
                <w:szCs w:val="24"/>
                <w:lang w:eastAsia="lv-LV"/>
              </w:rPr>
            </w:pPr>
            <w:r w:rsidRPr="00676B4D">
              <w:rPr>
                <w:rFonts w:ascii="Times New Roman" w:eastAsia="Times New Roman" w:hAnsi="Times New Roman" w:cs="Times New Roman"/>
                <w:b/>
                <w:bCs/>
                <w:iCs/>
                <w:sz w:val="24"/>
                <w:szCs w:val="24"/>
                <w:lang w:eastAsia="lv-LV"/>
              </w:rPr>
              <w:t>III. Tiesību akta projekta ietekme uz valsts budžetu un pašvaldību budžetiem</w:t>
            </w:r>
          </w:p>
        </w:tc>
      </w:tr>
      <w:tr w:rsidR="00676B4D" w:rsidRPr="00676B4D" w14:paraId="3E816135" w14:textId="77777777" w:rsidTr="00B06C06">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45EF1F52" w14:textId="77777777" w:rsidR="00297540" w:rsidRPr="00676B4D" w:rsidRDefault="00297540" w:rsidP="00912DD2">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1916343" w14:textId="035EAED6"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20</w:t>
            </w:r>
            <w:r w:rsidR="000866B2" w:rsidRPr="00676B4D">
              <w:rPr>
                <w:rFonts w:ascii="Times New Roman" w:eastAsia="Times New Roman" w:hAnsi="Times New Roman" w:cs="Times New Roman"/>
                <w:iCs/>
                <w:sz w:val="24"/>
                <w:szCs w:val="24"/>
                <w:lang w:eastAsia="lv-LV"/>
              </w:rPr>
              <w:t>2</w:t>
            </w:r>
            <w:r w:rsidR="00667834">
              <w:rPr>
                <w:rFonts w:ascii="Times New Roman" w:eastAsia="Times New Roman" w:hAnsi="Times New Roman" w:cs="Times New Roman"/>
                <w:iCs/>
                <w:sz w:val="24"/>
                <w:szCs w:val="24"/>
                <w:lang w:eastAsia="lv-LV"/>
              </w:rPr>
              <w:t>1</w:t>
            </w:r>
            <w:r w:rsidRPr="00676B4D">
              <w:rPr>
                <w:rFonts w:ascii="Times New Roman" w:eastAsia="Times New Roman" w:hAnsi="Times New Roman" w:cs="Times New Roman"/>
                <w:iCs/>
                <w:sz w:val="24"/>
                <w:szCs w:val="24"/>
                <w:lang w:eastAsia="lv-LV"/>
              </w:rPr>
              <w:t>.gads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4199A5FB" w14:textId="77777777"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Turpmākie trīs gadi (</w:t>
            </w:r>
            <w:proofErr w:type="spellStart"/>
            <w:r w:rsidRPr="00676B4D">
              <w:rPr>
                <w:rFonts w:ascii="Times New Roman" w:eastAsia="Times New Roman" w:hAnsi="Times New Roman" w:cs="Times New Roman"/>
                <w:i/>
                <w:iCs/>
                <w:sz w:val="24"/>
                <w:szCs w:val="24"/>
                <w:lang w:eastAsia="lv-LV"/>
              </w:rPr>
              <w:t>euro</w:t>
            </w:r>
            <w:proofErr w:type="spellEnd"/>
            <w:r w:rsidRPr="00676B4D">
              <w:rPr>
                <w:rFonts w:ascii="Times New Roman" w:eastAsia="Times New Roman" w:hAnsi="Times New Roman" w:cs="Times New Roman"/>
                <w:iCs/>
                <w:sz w:val="24"/>
                <w:szCs w:val="24"/>
                <w:lang w:eastAsia="lv-LV"/>
              </w:rPr>
              <w:t>)</w:t>
            </w:r>
          </w:p>
        </w:tc>
      </w:tr>
      <w:tr w:rsidR="00676B4D" w:rsidRPr="00676B4D" w14:paraId="1F63933F" w14:textId="77777777" w:rsidTr="00B06C06">
        <w:trPr>
          <w:tblCellSpacing w:w="15" w:type="dxa"/>
        </w:trPr>
        <w:tc>
          <w:tcPr>
            <w:tcW w:w="874" w:type="pct"/>
            <w:vMerge/>
            <w:tcBorders>
              <w:top w:val="outset" w:sz="6" w:space="0" w:color="auto"/>
              <w:left w:val="outset" w:sz="6" w:space="0" w:color="auto"/>
              <w:bottom w:val="outset" w:sz="6" w:space="0" w:color="auto"/>
              <w:right w:val="outset" w:sz="6" w:space="0" w:color="auto"/>
            </w:tcBorders>
            <w:vAlign w:val="center"/>
            <w:hideMark/>
          </w:tcPr>
          <w:p w14:paraId="047AF717" w14:textId="77777777" w:rsidR="00297540" w:rsidRPr="00676B4D" w:rsidRDefault="00297540" w:rsidP="00912DD2">
            <w:pPr>
              <w:spacing w:after="0" w:line="240" w:lineRule="auto"/>
              <w:rPr>
                <w:rFonts w:ascii="Times New Roman" w:eastAsia="Times New Roman" w:hAnsi="Times New Roman" w:cs="Times New Roman"/>
                <w:iCs/>
                <w:sz w:val="24"/>
                <w:szCs w:val="24"/>
                <w:lang w:eastAsia="lv-LV"/>
              </w:rPr>
            </w:pPr>
          </w:p>
        </w:tc>
        <w:tc>
          <w:tcPr>
            <w:tcW w:w="1096" w:type="pct"/>
            <w:gridSpan w:val="2"/>
            <w:vMerge/>
            <w:tcBorders>
              <w:top w:val="outset" w:sz="6" w:space="0" w:color="auto"/>
              <w:left w:val="outset" w:sz="6" w:space="0" w:color="auto"/>
              <w:bottom w:val="outset" w:sz="6" w:space="0" w:color="auto"/>
              <w:right w:val="outset" w:sz="6" w:space="0" w:color="auto"/>
            </w:tcBorders>
            <w:vAlign w:val="center"/>
            <w:hideMark/>
          </w:tcPr>
          <w:p w14:paraId="7C65CFBF" w14:textId="77777777" w:rsidR="00297540" w:rsidRPr="00676B4D" w:rsidRDefault="00297540" w:rsidP="00912DD2">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8DFBA89" w14:textId="3253A43C"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202</w:t>
            </w:r>
            <w:r w:rsidR="00667834">
              <w:rPr>
                <w:rFonts w:ascii="Times New Roman" w:eastAsia="Times New Roman" w:hAnsi="Times New Roman" w:cs="Times New Roman"/>
                <w:iCs/>
                <w:sz w:val="24"/>
                <w:szCs w:val="24"/>
                <w:lang w:eastAsia="lv-LV"/>
              </w:rPr>
              <w:t>2</w:t>
            </w:r>
            <w:r w:rsidRPr="00676B4D">
              <w:rPr>
                <w:rFonts w:ascii="Times New Roman" w:eastAsia="Times New Roman" w:hAnsi="Times New Roman" w:cs="Times New Roman"/>
                <w:iCs/>
                <w:sz w:val="24"/>
                <w:szCs w:val="24"/>
                <w:lang w:eastAsia="lv-LV"/>
              </w:rPr>
              <w:t>.gads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A040630" w14:textId="504DD76B"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202</w:t>
            </w:r>
            <w:r w:rsidR="00667834">
              <w:rPr>
                <w:rFonts w:ascii="Times New Roman" w:eastAsia="Times New Roman" w:hAnsi="Times New Roman" w:cs="Times New Roman"/>
                <w:iCs/>
                <w:sz w:val="24"/>
                <w:szCs w:val="24"/>
                <w:lang w:eastAsia="lv-LV"/>
              </w:rPr>
              <w:t>3</w:t>
            </w:r>
            <w:r w:rsidRPr="00676B4D">
              <w:rPr>
                <w:rFonts w:ascii="Times New Roman" w:eastAsia="Times New Roman" w:hAnsi="Times New Roman" w:cs="Times New Roman"/>
                <w:iCs/>
                <w:sz w:val="24"/>
                <w:szCs w:val="24"/>
                <w:lang w:eastAsia="lv-LV"/>
              </w:rPr>
              <w:t>.gads</w:t>
            </w:r>
          </w:p>
        </w:tc>
        <w:tc>
          <w:tcPr>
            <w:tcW w:w="843" w:type="pct"/>
            <w:tcBorders>
              <w:top w:val="outset" w:sz="6" w:space="0" w:color="auto"/>
              <w:left w:val="outset" w:sz="6" w:space="0" w:color="auto"/>
              <w:bottom w:val="outset" w:sz="6" w:space="0" w:color="auto"/>
              <w:right w:val="outset" w:sz="6" w:space="0" w:color="auto"/>
            </w:tcBorders>
            <w:vAlign w:val="center"/>
            <w:hideMark/>
          </w:tcPr>
          <w:p w14:paraId="376E5946" w14:textId="2F9757EC"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202</w:t>
            </w:r>
            <w:r w:rsidR="00667834">
              <w:rPr>
                <w:rFonts w:ascii="Times New Roman" w:eastAsia="Times New Roman" w:hAnsi="Times New Roman" w:cs="Times New Roman"/>
                <w:iCs/>
                <w:sz w:val="24"/>
                <w:szCs w:val="24"/>
                <w:lang w:eastAsia="lv-LV"/>
              </w:rPr>
              <w:t>4</w:t>
            </w:r>
            <w:r w:rsidRPr="00676B4D">
              <w:rPr>
                <w:rFonts w:ascii="Times New Roman" w:eastAsia="Times New Roman" w:hAnsi="Times New Roman" w:cs="Times New Roman"/>
                <w:iCs/>
                <w:sz w:val="24"/>
                <w:szCs w:val="24"/>
                <w:lang w:eastAsia="lv-LV"/>
              </w:rPr>
              <w:t>. gads</w:t>
            </w:r>
          </w:p>
        </w:tc>
      </w:tr>
      <w:tr w:rsidR="00714316" w:rsidRPr="00676B4D" w14:paraId="5F04A3A7" w14:textId="77777777" w:rsidTr="0078498E">
        <w:trPr>
          <w:tblCellSpacing w:w="15" w:type="dxa"/>
        </w:trPr>
        <w:tc>
          <w:tcPr>
            <w:tcW w:w="874" w:type="pct"/>
            <w:vMerge/>
            <w:tcBorders>
              <w:top w:val="outset" w:sz="6" w:space="0" w:color="auto"/>
              <w:left w:val="outset" w:sz="6" w:space="0" w:color="auto"/>
              <w:bottom w:val="outset" w:sz="6" w:space="0" w:color="auto"/>
              <w:right w:val="outset" w:sz="6" w:space="0" w:color="auto"/>
            </w:tcBorders>
            <w:vAlign w:val="center"/>
            <w:hideMark/>
          </w:tcPr>
          <w:p w14:paraId="4A148FEF" w14:textId="77777777" w:rsidR="00714316" w:rsidRPr="00676B4D" w:rsidRDefault="00714316" w:rsidP="00714316">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11E29892" w14:textId="77777777" w:rsidR="00714316" w:rsidRPr="00676B4D" w:rsidRDefault="00714316" w:rsidP="00714316">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03DD39" w14:textId="77777777" w:rsidR="00714316" w:rsidRPr="00676B4D" w:rsidRDefault="00714316" w:rsidP="00714316">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4AB8C9" w14:textId="236BEEFD" w:rsidR="00714316" w:rsidRPr="00676B4D" w:rsidRDefault="00714316" w:rsidP="0071431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9FD222" w14:textId="19E87C60" w:rsidR="00714316" w:rsidRPr="00676B4D" w:rsidRDefault="00714316" w:rsidP="0071431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izmaiņas, salīdzinot ar vidēja termiņa budžeta ietvaru 202</w:t>
            </w:r>
            <w:r w:rsidR="00B3718D">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4D3766" w14:textId="49CE1351" w:rsidR="00714316" w:rsidRPr="00676B4D" w:rsidRDefault="00714316" w:rsidP="0071431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52FDBF" w14:textId="051F8DD9" w:rsidR="00714316" w:rsidRPr="00676B4D" w:rsidRDefault="00714316" w:rsidP="0071431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izmaiņas, salīdzinot ar vidēja termiņa budžeta ietvaru 202</w:t>
            </w:r>
            <w:r w:rsidR="00667834">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3ADD8358" w14:textId="36CE3D30" w:rsidR="00714316" w:rsidRPr="00676B4D" w:rsidRDefault="00714316" w:rsidP="0071431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izmaiņas, salīdzinot ar vidēja termiņa budžeta ietvaru 202</w:t>
            </w:r>
            <w:r w:rsidR="00667834">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.gadam</w:t>
            </w:r>
          </w:p>
        </w:tc>
      </w:tr>
      <w:tr w:rsidR="00676B4D" w:rsidRPr="00676B4D" w14:paraId="40A6DB8F"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500731F5" w14:textId="77777777"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145A3F" w14:textId="77777777"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D6FF5A" w14:textId="77777777"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0ED8B6" w14:textId="77777777"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9CC716" w14:textId="77777777"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A8E7254" w14:textId="77777777"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C4EA77" w14:textId="77777777"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2E63AB14" w14:textId="77777777" w:rsidR="00297540" w:rsidRPr="00676B4D" w:rsidRDefault="00297540" w:rsidP="00912DD2">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8</w:t>
            </w:r>
          </w:p>
        </w:tc>
      </w:tr>
      <w:tr w:rsidR="007A5B39" w:rsidRPr="00676B4D" w14:paraId="453F30BA" w14:textId="77777777" w:rsidTr="0078498E">
        <w:trPr>
          <w:trHeight w:val="643"/>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5C41C6C1" w14:textId="77777777" w:rsidR="007A5B39" w:rsidRPr="00676B4D" w:rsidRDefault="007A5B39" w:rsidP="007A5B39">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tcPr>
          <w:p w14:paraId="6272B0BB" w14:textId="5A9F6632" w:rsidR="007A5B39" w:rsidRPr="007A5B39" w:rsidRDefault="00667834"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3 012 348</w:t>
            </w:r>
          </w:p>
        </w:tc>
        <w:tc>
          <w:tcPr>
            <w:tcW w:w="565" w:type="pct"/>
            <w:tcBorders>
              <w:top w:val="outset" w:sz="6" w:space="0" w:color="auto"/>
              <w:left w:val="outset" w:sz="6" w:space="0" w:color="auto"/>
              <w:bottom w:val="outset" w:sz="6" w:space="0" w:color="auto"/>
              <w:right w:val="outset" w:sz="6" w:space="0" w:color="auto"/>
            </w:tcBorders>
            <w:vAlign w:val="center"/>
          </w:tcPr>
          <w:p w14:paraId="64F2CEDF" w14:textId="4CE1B0BF" w:rsidR="007A5B39" w:rsidRPr="004147A0" w:rsidRDefault="00F929DA" w:rsidP="004147A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tcPr>
          <w:p w14:paraId="51F73227" w14:textId="0ED62BDC" w:rsidR="007A5B39" w:rsidRPr="004147A0" w:rsidRDefault="00667834" w:rsidP="004147A0">
            <w:pPr>
              <w:spacing w:after="0" w:line="240" w:lineRule="auto"/>
              <w:jc w:val="right"/>
              <w:rPr>
                <w:rFonts w:ascii="Times New Roman" w:hAnsi="Times New Roman" w:cs="Times New Roman"/>
                <w:color w:val="000000"/>
                <w:sz w:val="24"/>
                <w:szCs w:val="24"/>
              </w:rPr>
            </w:pPr>
            <w:r w:rsidRPr="007A5B39">
              <w:rPr>
                <w:rFonts w:ascii="Times New Roman" w:hAnsi="Times New Roman" w:cs="Times New Roman"/>
                <w:color w:val="000000"/>
                <w:sz w:val="24"/>
                <w:szCs w:val="24"/>
              </w:rPr>
              <w:t>264 273</w:t>
            </w:r>
          </w:p>
        </w:tc>
        <w:tc>
          <w:tcPr>
            <w:tcW w:w="565" w:type="pct"/>
            <w:tcBorders>
              <w:top w:val="outset" w:sz="6" w:space="0" w:color="auto"/>
              <w:left w:val="outset" w:sz="6" w:space="0" w:color="auto"/>
              <w:bottom w:val="outset" w:sz="6" w:space="0" w:color="auto"/>
              <w:right w:val="outset" w:sz="6" w:space="0" w:color="auto"/>
            </w:tcBorders>
            <w:vAlign w:val="center"/>
          </w:tcPr>
          <w:p w14:paraId="134BE6A6" w14:textId="6F702E85" w:rsidR="007A5B39" w:rsidRPr="004147A0" w:rsidRDefault="00F929DA" w:rsidP="004147A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tcPr>
          <w:p w14:paraId="61DC3808" w14:textId="4CAB222A" w:rsidR="007A5B39" w:rsidRPr="004147A0" w:rsidRDefault="00667834" w:rsidP="004147A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895 092</w:t>
            </w:r>
          </w:p>
        </w:tc>
        <w:tc>
          <w:tcPr>
            <w:tcW w:w="565" w:type="pct"/>
            <w:tcBorders>
              <w:top w:val="outset" w:sz="6" w:space="0" w:color="auto"/>
              <w:left w:val="outset" w:sz="6" w:space="0" w:color="auto"/>
              <w:bottom w:val="outset" w:sz="6" w:space="0" w:color="auto"/>
              <w:right w:val="outset" w:sz="6" w:space="0" w:color="auto"/>
            </w:tcBorders>
            <w:vAlign w:val="center"/>
          </w:tcPr>
          <w:p w14:paraId="585E80EB" w14:textId="7CB1B145" w:rsidR="007A5B39" w:rsidRPr="004147A0" w:rsidRDefault="00F929DA" w:rsidP="004147A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tcPr>
          <w:p w14:paraId="3C84946F" w14:textId="210E3075" w:rsidR="007A5B39" w:rsidRPr="007A5B39" w:rsidRDefault="00667834" w:rsidP="007A5B39">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7A5B39" w:rsidRPr="0002405C" w14:paraId="5ACF794A" w14:textId="77777777" w:rsidTr="0078498E">
        <w:trPr>
          <w:trHeight w:val="1467"/>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243D3793" w14:textId="77777777" w:rsidR="007A5B39" w:rsidRPr="00676B4D" w:rsidRDefault="007A5B39" w:rsidP="007A5B39">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tcPr>
          <w:p w14:paraId="5B89BA5F" w14:textId="6E48C63B"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4DBFC2A6" w14:textId="03D9B5E9"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509B48F9" w14:textId="3E0F7431"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04B5D28" w14:textId="663AFAAB"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1641CC88" w14:textId="16D5651A"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55040C4" w14:textId="104AFBE1"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22D1845C" w14:textId="1849EB8A"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A5B39" w:rsidRPr="00676B4D" w14:paraId="239D5199"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646CEABD" w14:textId="77777777" w:rsidR="007A5B39" w:rsidRPr="00676B4D" w:rsidRDefault="007A5B39" w:rsidP="007A5B39">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tcPr>
          <w:p w14:paraId="41765337" w14:textId="78E9C628"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36336CD" w14:textId="522454DB"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03A3DCD" w14:textId="71E9636D"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561A789" w14:textId="7FAF6CDA"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5E64DFE0" w14:textId="1394504B"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EED7B8D" w14:textId="27ADAE72"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57A9AEA2" w14:textId="66DDCD6B"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A5B39" w:rsidRPr="00676B4D" w14:paraId="1E6370C7"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65501EC4" w14:textId="77777777" w:rsidR="007A5B39" w:rsidRPr="00676B4D" w:rsidRDefault="007A5B39" w:rsidP="007A5B39">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tcPr>
          <w:p w14:paraId="4DB92A48" w14:textId="3B63EF22"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397E745" w14:textId="56D82BA6"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0590171D" w14:textId="21982E75"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03D36D3C" w14:textId="07EFD545"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61124507" w14:textId="3BD9096A"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4EEFA28" w14:textId="4D0A1EBC"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2EFF977D" w14:textId="661E7C3A" w:rsidR="007A5B39" w:rsidRPr="007A5B39" w:rsidRDefault="007A5B39" w:rsidP="007A5B39">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4D14BB67"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67EA3804"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tcPr>
          <w:p w14:paraId="1F73D45C" w14:textId="6E101C76"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3 331 302</w:t>
            </w:r>
          </w:p>
        </w:tc>
        <w:tc>
          <w:tcPr>
            <w:tcW w:w="565" w:type="pct"/>
            <w:tcBorders>
              <w:top w:val="outset" w:sz="6" w:space="0" w:color="auto"/>
              <w:left w:val="outset" w:sz="6" w:space="0" w:color="auto"/>
              <w:bottom w:val="outset" w:sz="6" w:space="0" w:color="auto"/>
              <w:right w:val="outset" w:sz="6" w:space="0" w:color="auto"/>
            </w:tcBorders>
            <w:vAlign w:val="center"/>
          </w:tcPr>
          <w:p w14:paraId="39A69E45" w14:textId="04F03D25"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tcPr>
          <w:p w14:paraId="48129688" w14:textId="167B2195"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292 255</w:t>
            </w:r>
          </w:p>
        </w:tc>
        <w:tc>
          <w:tcPr>
            <w:tcW w:w="565" w:type="pct"/>
            <w:tcBorders>
              <w:top w:val="outset" w:sz="6" w:space="0" w:color="auto"/>
              <w:left w:val="outset" w:sz="6" w:space="0" w:color="auto"/>
              <w:bottom w:val="outset" w:sz="6" w:space="0" w:color="auto"/>
              <w:right w:val="outset" w:sz="6" w:space="0" w:color="auto"/>
            </w:tcBorders>
            <w:vAlign w:val="center"/>
          </w:tcPr>
          <w:p w14:paraId="0C25B49A" w14:textId="66D8921A"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tcPr>
          <w:p w14:paraId="1D8E3F94" w14:textId="257D9AA3"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1 053 049 </w:t>
            </w:r>
          </w:p>
        </w:tc>
        <w:tc>
          <w:tcPr>
            <w:tcW w:w="565" w:type="pct"/>
            <w:tcBorders>
              <w:top w:val="outset" w:sz="6" w:space="0" w:color="auto"/>
              <w:left w:val="outset" w:sz="6" w:space="0" w:color="auto"/>
              <w:bottom w:val="outset" w:sz="6" w:space="0" w:color="auto"/>
              <w:right w:val="outset" w:sz="6" w:space="0" w:color="auto"/>
            </w:tcBorders>
            <w:vAlign w:val="center"/>
          </w:tcPr>
          <w:p w14:paraId="7529DD1D" w14:textId="00868E3C"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tcPr>
          <w:p w14:paraId="6214A542" w14:textId="5EA23049"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78498E" w:rsidRPr="00676B4D" w14:paraId="7A9150AE"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2F6643DF"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tcPr>
          <w:p w14:paraId="0146999B" w14:textId="37017533"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0C7F8FC0" w14:textId="0F62ECAF"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14BA7452" w14:textId="2ECB210B"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00D3C47" w14:textId="052FF563"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26CE40C1" w14:textId="7E27B00D"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196FCE3" w14:textId="2979BE0C"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287062F6" w14:textId="256367F9"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622B0EF6"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33D110D5"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tcPr>
          <w:p w14:paraId="767F8B53" w14:textId="4DFA0429"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610E817" w14:textId="611EB569"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21A4746D" w14:textId="41BF6276"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3D134AAC" w14:textId="1BE59469"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2824707E" w14:textId="5399E2C6"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8FC5A9B" w14:textId="3E7C9BB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242CB511" w14:textId="719883FC"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19EE3CE5"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28E9DFA4"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tcPr>
          <w:p w14:paraId="2F355C1D" w14:textId="0B7E828C"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D1B8D97" w14:textId="7222740E"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1513B785" w14:textId="66311CEF"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30741EBE" w14:textId="517B3186"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1CC260E" w14:textId="519DB01A"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3FDCC86B" w14:textId="4D6E8EA6"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140188EA" w14:textId="030C5429"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07DC4623" w14:textId="77777777" w:rsidTr="0078498E">
        <w:trPr>
          <w:trHeight w:val="842"/>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63A2E665"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tcPr>
          <w:p w14:paraId="7B6D9C49" w14:textId="64B4140B"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-318 954</w:t>
            </w:r>
          </w:p>
        </w:tc>
        <w:tc>
          <w:tcPr>
            <w:tcW w:w="565" w:type="pct"/>
            <w:tcBorders>
              <w:top w:val="outset" w:sz="6" w:space="0" w:color="auto"/>
              <w:left w:val="outset" w:sz="6" w:space="0" w:color="auto"/>
              <w:bottom w:val="outset" w:sz="6" w:space="0" w:color="auto"/>
              <w:right w:val="outset" w:sz="6" w:space="0" w:color="auto"/>
            </w:tcBorders>
            <w:vAlign w:val="center"/>
          </w:tcPr>
          <w:p w14:paraId="3711966E" w14:textId="306ADDCD"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tcPr>
          <w:p w14:paraId="38C4C1D1" w14:textId="7DCF2170"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-27 982</w:t>
            </w:r>
          </w:p>
        </w:tc>
        <w:tc>
          <w:tcPr>
            <w:tcW w:w="565" w:type="pct"/>
            <w:tcBorders>
              <w:top w:val="outset" w:sz="6" w:space="0" w:color="auto"/>
              <w:left w:val="outset" w:sz="6" w:space="0" w:color="auto"/>
              <w:bottom w:val="outset" w:sz="6" w:space="0" w:color="auto"/>
              <w:right w:val="outset" w:sz="6" w:space="0" w:color="auto"/>
            </w:tcBorders>
            <w:vAlign w:val="center"/>
          </w:tcPr>
          <w:p w14:paraId="6F4C502E" w14:textId="3DF6FA3E"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tcPr>
          <w:p w14:paraId="5DACEC12" w14:textId="7D25BFC0"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lang w:eastAsia="lv-LV"/>
              </w:rPr>
              <w:t>-157 957</w:t>
            </w:r>
          </w:p>
        </w:tc>
        <w:tc>
          <w:tcPr>
            <w:tcW w:w="565" w:type="pct"/>
            <w:tcBorders>
              <w:top w:val="outset" w:sz="6" w:space="0" w:color="auto"/>
              <w:left w:val="outset" w:sz="6" w:space="0" w:color="auto"/>
              <w:bottom w:val="outset" w:sz="6" w:space="0" w:color="auto"/>
              <w:right w:val="outset" w:sz="6" w:space="0" w:color="auto"/>
            </w:tcBorders>
            <w:vAlign w:val="center"/>
          </w:tcPr>
          <w:p w14:paraId="4DE95604" w14:textId="3F7B79A3"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tcPr>
          <w:p w14:paraId="0B95AB60" w14:textId="2C3A1ACB" w:rsidR="0078498E" w:rsidRPr="0002405C" w:rsidRDefault="0078498E" w:rsidP="0078498E">
            <w:pPr>
              <w:pStyle w:val="ListParagraph"/>
              <w:ind w:left="756"/>
              <w:jc w:val="right"/>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78498E" w:rsidRPr="00676B4D" w14:paraId="7D02BC1C" w14:textId="77777777" w:rsidTr="0078498E">
        <w:trPr>
          <w:trHeight w:val="842"/>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287B7266"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lastRenderedPageBreak/>
              <w:t>3.1. valsts pamatbudžets</w:t>
            </w:r>
          </w:p>
        </w:tc>
        <w:tc>
          <w:tcPr>
            <w:tcW w:w="514" w:type="pct"/>
            <w:tcBorders>
              <w:top w:val="outset" w:sz="6" w:space="0" w:color="auto"/>
              <w:left w:val="outset" w:sz="6" w:space="0" w:color="auto"/>
              <w:bottom w:val="outset" w:sz="6" w:space="0" w:color="auto"/>
              <w:right w:val="outset" w:sz="6" w:space="0" w:color="auto"/>
            </w:tcBorders>
          </w:tcPr>
          <w:p w14:paraId="22E08A0C" w14:textId="0BD59186"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B1CC3C8" w14:textId="7DD6606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398F85D5" w14:textId="75092C0C"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20DFC5E" w14:textId="36C35B2F"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D9780A1" w14:textId="5EAD7F09"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382EA291" w14:textId="40CD9273"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701F54BD" w14:textId="0E3844C6"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3C13CC72"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F77C46"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tcPr>
          <w:p w14:paraId="6D677E3E" w14:textId="1B3C75C2"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3662F142" w14:textId="243D4715"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0CCE37A3" w14:textId="7BEBB47A"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E3926B4" w14:textId="7F8DF9D4"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518EB3F6" w14:textId="40EF6F0F"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6A9AC5C6" w14:textId="29781DAC"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4EA21BDD" w14:textId="1FB3246B"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4AE543FF"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E96FF1D"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tcPr>
          <w:p w14:paraId="61C5E33C" w14:textId="797E502A"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FAB5D9E" w14:textId="5DDCA740"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6C337B05" w14:textId="1C77B0B9"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0E035C24" w14:textId="04B63F78"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31F28528" w14:textId="3C8476C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3FEB0C39" w14:textId="00170570"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3740C57E" w14:textId="3688DEC1"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02C6930A"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86E6394"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tcPr>
          <w:p w14:paraId="1DEF0BB8" w14:textId="7CE0E083"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76A15B58" w14:textId="0B60D3F1"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273A4671" w14:textId="49E1A442"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01AD201E" w14:textId="49AE8E96"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69B5C1D0" w14:textId="1EEB15CD"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CD93B20" w14:textId="6BC839A1"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34BE476B" w14:textId="170443BB"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77F2042B"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7039ED5"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tcPr>
          <w:p w14:paraId="00F10DB4" w14:textId="33557E4A"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3AA75EF9" w14:textId="1CAF866A"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vMerge w:val="restart"/>
            <w:tcBorders>
              <w:top w:val="outset" w:sz="6" w:space="0" w:color="auto"/>
              <w:left w:val="outset" w:sz="6" w:space="0" w:color="auto"/>
              <w:bottom w:val="outset" w:sz="6" w:space="0" w:color="auto"/>
              <w:right w:val="outset" w:sz="6" w:space="0" w:color="auto"/>
            </w:tcBorders>
          </w:tcPr>
          <w:p w14:paraId="41F35338" w14:textId="70676585"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ECC6BB4" w14:textId="48A0E04A"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vMerge w:val="restart"/>
            <w:tcBorders>
              <w:top w:val="outset" w:sz="6" w:space="0" w:color="auto"/>
              <w:left w:val="outset" w:sz="6" w:space="0" w:color="auto"/>
              <w:bottom w:val="outset" w:sz="6" w:space="0" w:color="auto"/>
              <w:right w:val="outset" w:sz="6" w:space="0" w:color="auto"/>
            </w:tcBorders>
          </w:tcPr>
          <w:p w14:paraId="734CA27E" w14:textId="3BB00BFA"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E02AE43" w14:textId="7B57BE16"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27E42F29" w14:textId="19A72C6F"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5694B858"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A96E261"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5.1. valsts pamatbudžets</w:t>
            </w:r>
          </w:p>
        </w:tc>
        <w:tc>
          <w:tcPr>
            <w:tcW w:w="514" w:type="pct"/>
            <w:vMerge/>
            <w:tcBorders>
              <w:top w:val="outset" w:sz="6" w:space="0" w:color="auto"/>
              <w:left w:val="outset" w:sz="6" w:space="0" w:color="auto"/>
              <w:bottom w:val="outset" w:sz="6" w:space="0" w:color="auto"/>
              <w:right w:val="outset" w:sz="6" w:space="0" w:color="auto"/>
            </w:tcBorders>
            <w:vAlign w:val="center"/>
          </w:tcPr>
          <w:p w14:paraId="2977675A" w14:textId="7777777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64C49F71" w14:textId="14C45D63"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vMerge/>
            <w:tcBorders>
              <w:top w:val="outset" w:sz="6" w:space="0" w:color="auto"/>
              <w:left w:val="outset" w:sz="6" w:space="0" w:color="auto"/>
              <w:bottom w:val="outset" w:sz="6" w:space="0" w:color="auto"/>
              <w:right w:val="outset" w:sz="6" w:space="0" w:color="auto"/>
            </w:tcBorders>
          </w:tcPr>
          <w:p w14:paraId="66259148" w14:textId="7777777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4A437230" w14:textId="5EC961E1"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vMerge/>
            <w:tcBorders>
              <w:top w:val="outset" w:sz="6" w:space="0" w:color="auto"/>
              <w:left w:val="outset" w:sz="6" w:space="0" w:color="auto"/>
              <w:bottom w:val="outset" w:sz="6" w:space="0" w:color="auto"/>
              <w:right w:val="outset" w:sz="6" w:space="0" w:color="auto"/>
            </w:tcBorders>
          </w:tcPr>
          <w:p w14:paraId="18807F05" w14:textId="7777777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1495A5A8" w14:textId="702441B5"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4C00D268" w14:textId="3D606D73"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63412D9F"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270FCA2"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5.2. speciālais budžets</w:t>
            </w:r>
          </w:p>
        </w:tc>
        <w:tc>
          <w:tcPr>
            <w:tcW w:w="514" w:type="pct"/>
            <w:vMerge/>
            <w:tcBorders>
              <w:top w:val="outset" w:sz="6" w:space="0" w:color="auto"/>
              <w:left w:val="outset" w:sz="6" w:space="0" w:color="auto"/>
              <w:bottom w:val="outset" w:sz="6" w:space="0" w:color="auto"/>
              <w:right w:val="outset" w:sz="6" w:space="0" w:color="auto"/>
            </w:tcBorders>
            <w:vAlign w:val="center"/>
          </w:tcPr>
          <w:p w14:paraId="6398A592" w14:textId="7777777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7214C041" w14:textId="4C3F6060"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vMerge/>
            <w:tcBorders>
              <w:top w:val="outset" w:sz="6" w:space="0" w:color="auto"/>
              <w:left w:val="outset" w:sz="6" w:space="0" w:color="auto"/>
              <w:bottom w:val="outset" w:sz="6" w:space="0" w:color="auto"/>
              <w:right w:val="outset" w:sz="6" w:space="0" w:color="auto"/>
            </w:tcBorders>
          </w:tcPr>
          <w:p w14:paraId="2120853C" w14:textId="7777777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77A41FF1" w14:textId="6EBCDD43"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vMerge/>
            <w:tcBorders>
              <w:top w:val="outset" w:sz="6" w:space="0" w:color="auto"/>
              <w:left w:val="outset" w:sz="6" w:space="0" w:color="auto"/>
              <w:bottom w:val="outset" w:sz="6" w:space="0" w:color="auto"/>
              <w:right w:val="outset" w:sz="6" w:space="0" w:color="auto"/>
            </w:tcBorders>
          </w:tcPr>
          <w:p w14:paraId="6E6A55E3" w14:textId="7777777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006DD0B1" w14:textId="39F9B65D"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0FEBC715" w14:textId="3753A76D"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4F4DBD67" w14:textId="77777777" w:rsidTr="0078498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6800C8E"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5.3. pašvaldību budžets</w:t>
            </w:r>
          </w:p>
        </w:tc>
        <w:tc>
          <w:tcPr>
            <w:tcW w:w="514" w:type="pct"/>
            <w:vMerge/>
            <w:tcBorders>
              <w:top w:val="outset" w:sz="6" w:space="0" w:color="auto"/>
              <w:left w:val="outset" w:sz="6" w:space="0" w:color="auto"/>
              <w:bottom w:val="outset" w:sz="6" w:space="0" w:color="auto"/>
              <w:right w:val="outset" w:sz="6" w:space="0" w:color="auto"/>
            </w:tcBorders>
            <w:vAlign w:val="center"/>
          </w:tcPr>
          <w:p w14:paraId="096E9960" w14:textId="7777777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72FEC007" w14:textId="366132AB"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vMerge/>
            <w:tcBorders>
              <w:top w:val="outset" w:sz="6" w:space="0" w:color="auto"/>
              <w:left w:val="outset" w:sz="6" w:space="0" w:color="auto"/>
              <w:bottom w:val="outset" w:sz="6" w:space="0" w:color="auto"/>
              <w:right w:val="outset" w:sz="6" w:space="0" w:color="auto"/>
            </w:tcBorders>
          </w:tcPr>
          <w:p w14:paraId="3219C9AD" w14:textId="7777777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225AB283" w14:textId="5E813C1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462" w:type="pct"/>
            <w:vMerge/>
            <w:tcBorders>
              <w:top w:val="outset" w:sz="6" w:space="0" w:color="auto"/>
              <w:left w:val="outset" w:sz="6" w:space="0" w:color="auto"/>
              <w:bottom w:val="outset" w:sz="6" w:space="0" w:color="auto"/>
              <w:right w:val="outset" w:sz="6" w:space="0" w:color="auto"/>
            </w:tcBorders>
          </w:tcPr>
          <w:p w14:paraId="0C7F1C11" w14:textId="77777777"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14:paraId="03646ECD" w14:textId="3BD5E022"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c>
          <w:tcPr>
            <w:tcW w:w="843" w:type="pct"/>
            <w:tcBorders>
              <w:top w:val="outset" w:sz="6" w:space="0" w:color="auto"/>
              <w:left w:val="outset" w:sz="6" w:space="0" w:color="auto"/>
              <w:bottom w:val="outset" w:sz="6" w:space="0" w:color="auto"/>
              <w:right w:val="outset" w:sz="6" w:space="0" w:color="auto"/>
            </w:tcBorders>
          </w:tcPr>
          <w:p w14:paraId="3EFB71E9" w14:textId="1F4AC17D" w:rsidR="0078498E" w:rsidRPr="007A5B39" w:rsidRDefault="0078498E" w:rsidP="0078498E">
            <w:pPr>
              <w:spacing w:after="0" w:line="240" w:lineRule="auto"/>
              <w:jc w:val="right"/>
              <w:rPr>
                <w:rFonts w:ascii="Times New Roman" w:eastAsia="Times New Roman" w:hAnsi="Times New Roman" w:cs="Times New Roman"/>
                <w:iCs/>
                <w:sz w:val="24"/>
                <w:szCs w:val="24"/>
                <w:lang w:eastAsia="lv-LV"/>
              </w:rPr>
            </w:pPr>
            <w:r w:rsidRPr="007A5B39">
              <w:rPr>
                <w:rFonts w:ascii="Times New Roman" w:hAnsi="Times New Roman" w:cs="Times New Roman"/>
                <w:color w:val="000000"/>
                <w:sz w:val="24"/>
                <w:szCs w:val="24"/>
              </w:rPr>
              <w:t>0</w:t>
            </w:r>
          </w:p>
        </w:tc>
      </w:tr>
      <w:tr w:rsidR="0078498E" w:rsidRPr="00676B4D" w14:paraId="33AB3CC2"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467F660" w14:textId="77777777" w:rsidR="0078498E" w:rsidRPr="00D97B0E" w:rsidRDefault="0078498E" w:rsidP="0078498E">
            <w:pPr>
              <w:spacing w:after="0" w:line="240" w:lineRule="auto"/>
              <w:rPr>
                <w:rFonts w:ascii="Times New Roman" w:eastAsia="Times New Roman" w:hAnsi="Times New Roman" w:cs="Times New Roman"/>
                <w:iCs/>
                <w:sz w:val="24"/>
                <w:szCs w:val="24"/>
                <w:lang w:eastAsia="lv-LV"/>
              </w:rPr>
            </w:pPr>
            <w:r w:rsidRPr="00D97B0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hideMark/>
          </w:tcPr>
          <w:p w14:paraId="5994A261" w14:textId="5CCDE8B6" w:rsidR="0078498E" w:rsidRPr="00D97B0E" w:rsidRDefault="0078498E" w:rsidP="0078498E">
            <w:pPr>
              <w:pStyle w:val="tv213"/>
              <w:shd w:val="clear" w:color="auto" w:fill="FFFFFF"/>
              <w:spacing w:before="0" w:beforeAutospacing="0" w:after="0" w:afterAutospacing="0" w:line="293" w:lineRule="atLeast"/>
              <w:ind w:firstLine="203"/>
              <w:jc w:val="both"/>
              <w:rPr>
                <w:lang w:eastAsia="en-US"/>
              </w:rPr>
            </w:pPr>
            <w:r w:rsidRPr="00D97B0E">
              <w:t xml:space="preserve">SAM 9.3.2. </w:t>
            </w:r>
            <w:r w:rsidRPr="00D97B0E">
              <w:rPr>
                <w:lang w:eastAsia="en-US"/>
              </w:rPr>
              <w:t xml:space="preserve">pieejamais kopējais attiecināmais finansējums projektu iesniegumu 3.kārtas ietvaros ir 15 632 498 </w:t>
            </w:r>
            <w:proofErr w:type="spellStart"/>
            <w:r w:rsidRPr="00D97B0E">
              <w:rPr>
                <w:lang w:eastAsia="en-US"/>
              </w:rPr>
              <w:t>euro</w:t>
            </w:r>
            <w:proofErr w:type="spellEnd"/>
            <w:r w:rsidRPr="00D97B0E">
              <w:rPr>
                <w:lang w:eastAsia="en-US"/>
              </w:rPr>
              <w:t xml:space="preserve">, tai skaitā Eiropas Reģionālās attīstības fonda (turpmāk – ERAF) finansējums – </w:t>
            </w:r>
            <w:bookmarkStart w:id="8" w:name="_Hlk59436551"/>
            <w:r w:rsidRPr="00D97B0E">
              <w:rPr>
                <w:lang w:eastAsia="en-US"/>
              </w:rPr>
              <w:t xml:space="preserve">13 287 623 </w:t>
            </w:r>
            <w:bookmarkEnd w:id="8"/>
            <w:proofErr w:type="spellStart"/>
            <w:r w:rsidRPr="00D97B0E">
              <w:rPr>
                <w:lang w:eastAsia="en-US"/>
              </w:rPr>
              <w:t>euro</w:t>
            </w:r>
            <w:proofErr w:type="spellEnd"/>
            <w:r w:rsidRPr="00D97B0E">
              <w:rPr>
                <w:lang w:eastAsia="en-US"/>
              </w:rPr>
              <w:t xml:space="preserve"> un nacionālais finansējums – </w:t>
            </w:r>
            <w:bookmarkStart w:id="9" w:name="_Hlk59436567"/>
            <w:r w:rsidRPr="00D97B0E">
              <w:rPr>
                <w:lang w:eastAsia="en-US"/>
              </w:rPr>
              <w:t xml:space="preserve">2 344 875 </w:t>
            </w:r>
            <w:bookmarkEnd w:id="9"/>
            <w:proofErr w:type="spellStart"/>
            <w:r w:rsidRPr="00D97B0E">
              <w:rPr>
                <w:lang w:eastAsia="en-US"/>
              </w:rPr>
              <w:t>euro</w:t>
            </w:r>
            <w:proofErr w:type="spellEnd"/>
            <w:r w:rsidRPr="00D97B0E">
              <w:rPr>
                <w:lang w:eastAsia="en-US"/>
              </w:rPr>
              <w:t xml:space="preserve"> (maksimālais valsts budžeta finansējums </w:t>
            </w:r>
            <w:bookmarkStart w:id="10" w:name="_Hlk59436585"/>
            <w:r w:rsidRPr="00D97B0E">
              <w:rPr>
                <w:lang w:eastAsia="en-US"/>
              </w:rPr>
              <w:t xml:space="preserve">– 1 406 925 </w:t>
            </w:r>
            <w:bookmarkEnd w:id="10"/>
            <w:proofErr w:type="spellStart"/>
            <w:r w:rsidRPr="00D97B0E">
              <w:rPr>
                <w:lang w:eastAsia="en-US"/>
              </w:rPr>
              <w:t>euro</w:t>
            </w:r>
            <w:proofErr w:type="spellEnd"/>
            <w:r w:rsidRPr="00D97B0E">
              <w:rPr>
                <w:lang w:eastAsia="en-US"/>
              </w:rPr>
              <w:t xml:space="preserve"> un minimālais privātais finansējums </w:t>
            </w:r>
            <w:bookmarkStart w:id="11" w:name="_Hlk59436606"/>
            <w:r w:rsidRPr="00D97B0E">
              <w:rPr>
                <w:lang w:eastAsia="en-US"/>
              </w:rPr>
              <w:t>937 950 </w:t>
            </w:r>
            <w:bookmarkEnd w:id="11"/>
            <w:proofErr w:type="spellStart"/>
            <w:r w:rsidRPr="00D97B0E">
              <w:rPr>
                <w:lang w:eastAsia="en-US"/>
              </w:rPr>
              <w:t>euro</w:t>
            </w:r>
            <w:proofErr w:type="spellEnd"/>
            <w:r w:rsidRPr="00D97B0E">
              <w:rPr>
                <w:lang w:eastAsia="en-US"/>
              </w:rPr>
              <w:t>).</w:t>
            </w:r>
          </w:p>
          <w:p w14:paraId="6265888C" w14:textId="1D3DA663" w:rsidR="0078498E" w:rsidRDefault="0078498E" w:rsidP="0078498E">
            <w:pPr>
              <w:pStyle w:val="tv213"/>
              <w:shd w:val="clear" w:color="auto" w:fill="FFFFFF"/>
              <w:spacing w:before="0" w:beforeAutospacing="0" w:after="0" w:afterAutospacing="0" w:line="293" w:lineRule="atLeast"/>
              <w:ind w:firstLine="203"/>
              <w:jc w:val="both"/>
              <w:rPr>
                <w:lang w:eastAsia="en-US"/>
              </w:rPr>
            </w:pPr>
            <w:r w:rsidRPr="00D97B0E">
              <w:rPr>
                <w:color w:val="000000"/>
              </w:rPr>
              <w:t xml:space="preserve">2021.gadā </w:t>
            </w:r>
            <w:r w:rsidRPr="00D97B0E">
              <w:rPr>
                <w:lang w:eastAsia="en-US"/>
              </w:rPr>
              <w:t xml:space="preserve">paredzami budžeta ieņēmumi 3 012 348 </w:t>
            </w:r>
            <w:proofErr w:type="spellStart"/>
            <w:r w:rsidRPr="00D97B0E">
              <w:rPr>
                <w:lang w:eastAsia="en-US"/>
              </w:rPr>
              <w:t>euro</w:t>
            </w:r>
            <w:proofErr w:type="spellEnd"/>
            <w:r w:rsidRPr="00D97B0E">
              <w:rPr>
                <w:lang w:eastAsia="en-US"/>
              </w:rPr>
              <w:t xml:space="preserve"> apmērā, 2022.gadā - 264 273 </w:t>
            </w:r>
            <w:proofErr w:type="spellStart"/>
            <w:r w:rsidRPr="00D97B0E">
              <w:rPr>
                <w:lang w:eastAsia="en-US"/>
              </w:rPr>
              <w:t>euro</w:t>
            </w:r>
            <w:proofErr w:type="spellEnd"/>
            <w:r w:rsidRPr="00D97B0E">
              <w:rPr>
                <w:lang w:eastAsia="en-US"/>
              </w:rPr>
              <w:t xml:space="preserve"> apmērā, savukārt 2023.gadā </w:t>
            </w:r>
            <w:r w:rsidRPr="00D97B0E">
              <w:rPr>
                <w:color w:val="000000"/>
              </w:rPr>
              <w:t xml:space="preserve">895 092 </w:t>
            </w:r>
            <w:proofErr w:type="spellStart"/>
            <w:r w:rsidRPr="00D97B0E">
              <w:rPr>
                <w:lang w:eastAsia="en-US"/>
              </w:rPr>
              <w:t>euro</w:t>
            </w:r>
            <w:proofErr w:type="spellEnd"/>
            <w:r w:rsidRPr="00D97B0E">
              <w:rPr>
                <w:lang w:eastAsia="en-US"/>
              </w:rPr>
              <w:t xml:space="preserve"> apmērā. Visus iepriekš minētos budžeta ieņēmumus veido ERAF finansējums.</w:t>
            </w:r>
          </w:p>
          <w:p w14:paraId="60AB7637" w14:textId="088BC790" w:rsidR="0078498E" w:rsidRDefault="0078498E" w:rsidP="0078498E">
            <w:pPr>
              <w:pStyle w:val="tv213"/>
              <w:shd w:val="clear" w:color="auto" w:fill="FFFFFF"/>
              <w:spacing w:before="0" w:beforeAutospacing="0" w:after="0" w:afterAutospacing="0" w:line="293" w:lineRule="atLeast"/>
              <w:jc w:val="both"/>
              <w:rPr>
                <w:lang w:eastAsia="en-US"/>
              </w:rPr>
            </w:pPr>
            <w:r w:rsidRPr="00BC1F4B">
              <w:rPr>
                <w:lang w:eastAsia="en-US"/>
              </w:rPr>
              <w:t xml:space="preserve">Finansējums SAM 9.3.2. projektu iesniegumu </w:t>
            </w:r>
            <w:r>
              <w:rPr>
                <w:lang w:eastAsia="en-US"/>
              </w:rPr>
              <w:t xml:space="preserve">3.kārtas </w:t>
            </w:r>
            <w:r w:rsidRPr="00BC1F4B">
              <w:rPr>
                <w:lang w:eastAsia="en-US"/>
              </w:rPr>
              <w:t>projektiem ir plānots CFLA apakšprogrammā 62.08.00 “Eiropas Reģionālās attīstības fonda (ERAF) avansa maksājumi un atmaksas finansējuma saņēmējiem (2014-2020)”.</w:t>
            </w:r>
            <w:r w:rsidR="007B3C16">
              <w:rPr>
                <w:lang w:eastAsia="en-US"/>
              </w:rPr>
              <w:t xml:space="preserve"> SAM 9.3.2. finansējuma uzraudzību veic Centrālā finanšu un līgumu aģentūra.</w:t>
            </w:r>
          </w:p>
          <w:p w14:paraId="07636D10" w14:textId="77777777" w:rsidR="00C5665B" w:rsidRPr="00BC1F4B" w:rsidRDefault="00C5665B" w:rsidP="0078498E">
            <w:pPr>
              <w:pStyle w:val="tv213"/>
              <w:shd w:val="clear" w:color="auto" w:fill="FFFFFF"/>
              <w:spacing w:before="0" w:beforeAutospacing="0" w:after="0" w:afterAutospacing="0" w:line="293" w:lineRule="atLeast"/>
              <w:jc w:val="both"/>
              <w:rPr>
                <w:lang w:eastAsia="en-US"/>
              </w:rPr>
            </w:pPr>
          </w:p>
          <w:p w14:paraId="6124ED2B" w14:textId="77777777" w:rsidR="0078498E" w:rsidRPr="00D97B0E" w:rsidRDefault="0078498E" w:rsidP="0078498E">
            <w:pPr>
              <w:pStyle w:val="tv213"/>
              <w:shd w:val="clear" w:color="auto" w:fill="FFFFFF"/>
              <w:spacing w:before="0" w:beforeAutospacing="0" w:after="0" w:afterAutospacing="0" w:line="293" w:lineRule="atLeast"/>
              <w:ind w:firstLine="203"/>
              <w:jc w:val="both"/>
              <w:rPr>
                <w:lang w:eastAsia="en-US"/>
              </w:rPr>
            </w:pPr>
          </w:p>
          <w:p w14:paraId="5363B889" w14:textId="1DBCD79D" w:rsidR="0078498E" w:rsidRPr="00D97B0E" w:rsidRDefault="0078498E" w:rsidP="0078498E">
            <w:pPr>
              <w:pStyle w:val="tv213"/>
              <w:shd w:val="clear" w:color="auto" w:fill="FFFFFF"/>
              <w:spacing w:before="0" w:beforeAutospacing="0" w:after="0" w:afterAutospacing="0" w:line="293" w:lineRule="atLeast"/>
              <w:ind w:firstLine="203"/>
              <w:jc w:val="both"/>
            </w:pPr>
          </w:p>
        </w:tc>
      </w:tr>
      <w:tr w:rsidR="0078498E" w:rsidRPr="00676B4D" w14:paraId="73A06429"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B46A1E9"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6.1. detalizēts ieņēmumu aprēķins</w:t>
            </w:r>
          </w:p>
        </w:tc>
        <w:tc>
          <w:tcPr>
            <w:tcW w:w="4076" w:type="pct"/>
            <w:gridSpan w:val="7"/>
            <w:vMerge/>
            <w:tcBorders>
              <w:top w:val="outset" w:sz="6" w:space="0" w:color="auto"/>
              <w:left w:val="outset" w:sz="6" w:space="0" w:color="auto"/>
              <w:bottom w:val="outset" w:sz="6" w:space="0" w:color="auto"/>
              <w:right w:val="outset" w:sz="6" w:space="0" w:color="auto"/>
            </w:tcBorders>
            <w:vAlign w:val="center"/>
            <w:hideMark/>
          </w:tcPr>
          <w:p w14:paraId="6FBE53C3"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p>
        </w:tc>
      </w:tr>
      <w:tr w:rsidR="0078498E" w:rsidRPr="00676B4D" w14:paraId="225DA2B2"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B2F70B4"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6.2. detalizēts izdevumu aprēķins</w:t>
            </w:r>
          </w:p>
        </w:tc>
        <w:tc>
          <w:tcPr>
            <w:tcW w:w="4076" w:type="pct"/>
            <w:gridSpan w:val="7"/>
            <w:vMerge/>
            <w:tcBorders>
              <w:top w:val="outset" w:sz="6" w:space="0" w:color="auto"/>
              <w:left w:val="outset" w:sz="6" w:space="0" w:color="auto"/>
              <w:bottom w:val="outset" w:sz="6" w:space="0" w:color="auto"/>
              <w:right w:val="outset" w:sz="6" w:space="0" w:color="auto"/>
            </w:tcBorders>
            <w:vAlign w:val="center"/>
            <w:hideMark/>
          </w:tcPr>
          <w:p w14:paraId="16039451"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p>
        </w:tc>
      </w:tr>
      <w:tr w:rsidR="0078498E" w:rsidRPr="00676B4D" w14:paraId="7A6B4F45"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D375423"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4EA3BBE0"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Projekts šo jomu neskar.</w:t>
            </w:r>
          </w:p>
        </w:tc>
      </w:tr>
      <w:tr w:rsidR="0078498E" w:rsidRPr="00676B4D" w14:paraId="198F2CEB"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1CD148A" w14:textId="77777777" w:rsidR="0078498E" w:rsidRPr="00676B4D" w:rsidRDefault="0078498E" w:rsidP="0078498E">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lastRenderedPageBreak/>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59FEA866" w14:textId="138D0456" w:rsidR="0078498E" w:rsidRPr="00676B4D" w:rsidRDefault="0078498E" w:rsidP="0078498E">
            <w:pPr>
              <w:spacing w:after="0" w:line="240" w:lineRule="auto"/>
              <w:jc w:val="both"/>
              <w:rPr>
                <w:rFonts w:ascii="Times New Roman" w:eastAsia="Times New Roman" w:hAnsi="Times New Roman" w:cs="Times New Roman"/>
                <w:iCs/>
                <w:sz w:val="24"/>
                <w:szCs w:val="24"/>
                <w:lang w:eastAsia="lv-LV"/>
              </w:rPr>
            </w:pPr>
          </w:p>
        </w:tc>
      </w:tr>
    </w:tbl>
    <w:p w14:paraId="3A5898CF" w14:textId="77777777" w:rsidR="00297540" w:rsidRPr="00676B4D" w:rsidRDefault="00297540" w:rsidP="00330241">
      <w:pPr>
        <w:pStyle w:val="naisnod"/>
        <w:spacing w:before="0" w:beforeAutospacing="0" w:after="0" w:afterAutospacing="0"/>
        <w:ind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76B4D" w:rsidRPr="00184D16" w14:paraId="26FA5388"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86292" w14:textId="77777777" w:rsidR="006D5050" w:rsidRPr="00184D16" w:rsidRDefault="006D5050" w:rsidP="006C5D4A">
            <w:pPr>
              <w:spacing w:after="0" w:line="240" w:lineRule="auto"/>
              <w:rPr>
                <w:rFonts w:ascii="Times New Roman" w:hAnsi="Times New Roman" w:cs="Times New Roman"/>
                <w:b/>
                <w:bCs/>
                <w:iCs/>
                <w:sz w:val="24"/>
                <w:szCs w:val="24"/>
                <w:lang w:eastAsia="lv-LV"/>
              </w:rPr>
            </w:pPr>
            <w:r w:rsidRPr="00184D16">
              <w:rPr>
                <w:rFonts w:ascii="Times New Roman" w:hAnsi="Times New Roman" w:cs="Times New Roman"/>
                <w:b/>
                <w:bCs/>
                <w:iCs/>
                <w:sz w:val="24"/>
                <w:szCs w:val="24"/>
                <w:lang w:eastAsia="lv-LV"/>
              </w:rPr>
              <w:t>IV. Tiesību akta projekta ietekme uz spēkā esošo tiesību normu sistēmu</w:t>
            </w:r>
          </w:p>
        </w:tc>
      </w:tr>
      <w:tr w:rsidR="006D5050" w:rsidRPr="00184D16" w14:paraId="38F6DC81" w14:textId="77777777" w:rsidTr="001D3D7D">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634FBC" w14:textId="77777777" w:rsidR="006D5050" w:rsidRPr="00184D16" w:rsidRDefault="006D5050" w:rsidP="006C5D4A">
            <w:pPr>
              <w:spacing w:after="0" w:line="240" w:lineRule="auto"/>
              <w:ind w:firstLine="336"/>
              <w:jc w:val="center"/>
              <w:rPr>
                <w:rFonts w:ascii="Times New Roman" w:hAnsi="Times New Roman" w:cs="Times New Roman"/>
                <w:iCs/>
                <w:sz w:val="24"/>
                <w:szCs w:val="24"/>
                <w:lang w:eastAsia="lv-LV"/>
              </w:rPr>
            </w:pPr>
            <w:r w:rsidRPr="00184D16">
              <w:rPr>
                <w:rFonts w:ascii="Times New Roman" w:eastAsia="Arial Unicode MS" w:hAnsi="Times New Roman" w:cs="Times New Roman"/>
                <w:sz w:val="24"/>
                <w:szCs w:val="24"/>
              </w:rPr>
              <w:t>Projekts šo jomu neskar.</w:t>
            </w:r>
          </w:p>
        </w:tc>
      </w:tr>
    </w:tbl>
    <w:p w14:paraId="44C93B29" w14:textId="76EF6B08" w:rsidR="00C53688" w:rsidRPr="00184D16" w:rsidRDefault="00C53688" w:rsidP="00330241">
      <w:pPr>
        <w:pStyle w:val="naisnod"/>
        <w:spacing w:before="0" w:beforeAutospacing="0" w:after="0" w:afterAutospacing="0"/>
        <w:ind w:right="57"/>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80"/>
        <w:gridCol w:w="6381"/>
      </w:tblGrid>
      <w:tr w:rsidR="00923FF0" w:rsidRPr="00C939E3" w14:paraId="009680F4" w14:textId="77777777" w:rsidTr="00B43D65">
        <w:trPr>
          <w:cantSplit/>
        </w:trPr>
        <w:tc>
          <w:tcPr>
            <w:tcW w:w="5000" w:type="pct"/>
            <w:gridSpan w:val="2"/>
            <w:vAlign w:val="center"/>
            <w:hideMark/>
          </w:tcPr>
          <w:p w14:paraId="6D4B660A" w14:textId="77777777" w:rsidR="00923FF0" w:rsidRPr="00C939E3" w:rsidRDefault="00923FF0" w:rsidP="00B43D65">
            <w:pPr>
              <w:jc w:val="center"/>
              <w:rPr>
                <w:b/>
                <w:bCs/>
                <w:iCs/>
                <w:sz w:val="26"/>
                <w:szCs w:val="26"/>
                <w:lang w:eastAsia="lv-LV"/>
              </w:rPr>
            </w:pPr>
            <w:r w:rsidRPr="00923FF0">
              <w:rPr>
                <w:rFonts w:ascii="Times New Roman" w:hAnsi="Times New Roman" w:cs="Times New Roman"/>
                <w:b/>
                <w:bCs/>
                <w:iCs/>
                <w:sz w:val="24"/>
                <w:szCs w:val="24"/>
                <w:lang w:eastAsia="lv-LV"/>
              </w:rPr>
              <w:t>V. Tiesību akta projekta atbilstība Latvijas Republikas starptautiskajām saistībām</w:t>
            </w:r>
          </w:p>
        </w:tc>
      </w:tr>
      <w:tr w:rsidR="00923FF0" w:rsidRPr="00923FF0" w14:paraId="1E4FC34C" w14:textId="77777777" w:rsidTr="00B43D65">
        <w:trPr>
          <w:cantSplit/>
        </w:trPr>
        <w:tc>
          <w:tcPr>
            <w:tcW w:w="1479" w:type="pct"/>
            <w:hideMark/>
          </w:tcPr>
          <w:p w14:paraId="28DDB2BC"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Saistības pret Eiropas Savienību</w:t>
            </w:r>
          </w:p>
        </w:tc>
        <w:tc>
          <w:tcPr>
            <w:tcW w:w="3521" w:type="pct"/>
            <w:hideMark/>
          </w:tcPr>
          <w:p w14:paraId="5C1EA293" w14:textId="55480DC1"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Tiesību akta projekts atbilst Latvijas Republikas starptautiskajām saistībām. Ievērot</w:t>
            </w:r>
            <w:r>
              <w:rPr>
                <w:rFonts w:ascii="Times New Roman" w:eastAsia="Arial Unicode MS" w:hAnsi="Times New Roman" w:cs="Times New Roman"/>
                <w:sz w:val="24"/>
                <w:szCs w:val="24"/>
              </w:rPr>
              <w:t>s</w:t>
            </w:r>
            <w:r w:rsidRPr="00923FF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Eiropas </w:t>
            </w:r>
            <w:r w:rsidRPr="00923FF0">
              <w:rPr>
                <w:rFonts w:ascii="Times New Roman" w:eastAsia="Arial Unicode MS" w:hAnsi="Times New Roman" w:cs="Times New Roman"/>
                <w:sz w:val="24"/>
                <w:szCs w:val="24"/>
              </w:rPr>
              <w:t>Komisijas 2011. gada 20. decembra Lēmums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rFonts w:ascii="Times New Roman" w:eastAsia="Arial Unicode MS" w:hAnsi="Times New Roman" w:cs="Times New Roman"/>
                <w:sz w:val="24"/>
                <w:szCs w:val="24"/>
              </w:rPr>
              <w:t>.</w:t>
            </w:r>
          </w:p>
        </w:tc>
      </w:tr>
      <w:tr w:rsidR="00923FF0" w:rsidRPr="00923FF0" w14:paraId="4DCD36A1" w14:textId="77777777" w:rsidTr="00B43D65">
        <w:trPr>
          <w:cantSplit/>
        </w:trPr>
        <w:tc>
          <w:tcPr>
            <w:tcW w:w="1479" w:type="pct"/>
            <w:hideMark/>
          </w:tcPr>
          <w:p w14:paraId="75040D54"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Citas starptautiskās saistības</w:t>
            </w:r>
          </w:p>
        </w:tc>
        <w:tc>
          <w:tcPr>
            <w:tcW w:w="3521" w:type="pct"/>
            <w:hideMark/>
          </w:tcPr>
          <w:p w14:paraId="37803DBC"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Noteikumu projekts šo jomu neskar.</w:t>
            </w:r>
          </w:p>
        </w:tc>
      </w:tr>
      <w:tr w:rsidR="00923FF0" w:rsidRPr="00923FF0" w14:paraId="6FAAD38F" w14:textId="77777777" w:rsidTr="00B43D65">
        <w:trPr>
          <w:cantSplit/>
        </w:trPr>
        <w:tc>
          <w:tcPr>
            <w:tcW w:w="1479" w:type="pct"/>
            <w:hideMark/>
          </w:tcPr>
          <w:p w14:paraId="54B59674"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Cita informācija</w:t>
            </w:r>
          </w:p>
        </w:tc>
        <w:tc>
          <w:tcPr>
            <w:tcW w:w="3521" w:type="pct"/>
            <w:hideMark/>
          </w:tcPr>
          <w:p w14:paraId="5559C36B"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 xml:space="preserve">Ar tiesību akta projektu plānots panākt Latvijas normatīvā regulējuma atbilstību secinājumiem un apsvērumiem, kas izriet no ES Tiesas 2019. gada 5. marta spriedumā lietā C 349/17 </w:t>
            </w:r>
            <w:proofErr w:type="spellStart"/>
            <w:r w:rsidRPr="00923FF0">
              <w:rPr>
                <w:rFonts w:ascii="Times New Roman" w:eastAsia="Arial Unicode MS" w:hAnsi="Times New Roman" w:cs="Times New Roman"/>
                <w:sz w:val="24"/>
                <w:szCs w:val="24"/>
              </w:rPr>
              <w:t>Eesti</w:t>
            </w:r>
            <w:proofErr w:type="spellEnd"/>
            <w:r w:rsidRPr="00923FF0">
              <w:rPr>
                <w:rFonts w:ascii="Times New Roman" w:eastAsia="Arial Unicode MS" w:hAnsi="Times New Roman" w:cs="Times New Roman"/>
                <w:sz w:val="24"/>
                <w:szCs w:val="24"/>
              </w:rPr>
              <w:t xml:space="preserve"> </w:t>
            </w:r>
            <w:proofErr w:type="spellStart"/>
            <w:r w:rsidRPr="00923FF0">
              <w:rPr>
                <w:rFonts w:ascii="Times New Roman" w:eastAsia="Arial Unicode MS" w:hAnsi="Times New Roman" w:cs="Times New Roman"/>
                <w:sz w:val="24"/>
                <w:szCs w:val="24"/>
              </w:rPr>
              <w:t>Pagar</w:t>
            </w:r>
            <w:proofErr w:type="spellEnd"/>
            <w:r w:rsidRPr="00923FF0">
              <w:rPr>
                <w:rFonts w:ascii="Times New Roman" w:eastAsia="Arial Unicode MS" w:hAnsi="Times New Roman" w:cs="Times New Roman"/>
                <w:sz w:val="24"/>
                <w:szCs w:val="24"/>
              </w:rPr>
              <w:t>.</w:t>
            </w:r>
          </w:p>
        </w:tc>
      </w:tr>
    </w:tbl>
    <w:p w14:paraId="0783002D" w14:textId="77777777" w:rsidR="00923FF0" w:rsidRPr="00923FF0" w:rsidRDefault="00923FF0" w:rsidP="00923FF0">
      <w:pPr>
        <w:rPr>
          <w:rFonts w:ascii="Times New Roman" w:eastAsia="Arial Unicode MS" w:hAnsi="Times New Roman" w:cs="Times New Roman"/>
          <w:sz w:val="24"/>
          <w:szCs w:val="24"/>
        </w:rPr>
      </w:pPr>
    </w:p>
    <w:tbl>
      <w:tblPr>
        <w:tblW w:w="959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00"/>
        <w:gridCol w:w="2457"/>
        <w:gridCol w:w="2695"/>
        <w:gridCol w:w="2242"/>
      </w:tblGrid>
      <w:tr w:rsidR="00923FF0" w:rsidRPr="00923FF0" w14:paraId="7A36CE7A" w14:textId="77777777" w:rsidTr="00923FF0">
        <w:trPr>
          <w:jc w:val="center"/>
        </w:trPr>
        <w:tc>
          <w:tcPr>
            <w:tcW w:w="9594" w:type="dxa"/>
            <w:gridSpan w:val="4"/>
            <w:tcBorders>
              <w:top w:val="outset" w:sz="6" w:space="0" w:color="auto"/>
              <w:left w:val="outset" w:sz="6" w:space="0" w:color="auto"/>
              <w:bottom w:val="outset" w:sz="6" w:space="0" w:color="auto"/>
              <w:right w:val="outset" w:sz="6" w:space="0" w:color="auto"/>
            </w:tcBorders>
            <w:vAlign w:val="center"/>
            <w:hideMark/>
          </w:tcPr>
          <w:p w14:paraId="47AA6F20"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1. tabula</w:t>
            </w:r>
          </w:p>
          <w:p w14:paraId="707601FA"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Tiesību akta projekta atbilstība ES tiesību aktiem</w:t>
            </w:r>
          </w:p>
        </w:tc>
      </w:tr>
      <w:tr w:rsidR="00923FF0" w:rsidRPr="00923FF0" w14:paraId="0444770F" w14:textId="77777777" w:rsidTr="00923FF0">
        <w:trPr>
          <w:jc w:val="center"/>
        </w:trPr>
        <w:tc>
          <w:tcPr>
            <w:tcW w:w="2200" w:type="dxa"/>
            <w:tcBorders>
              <w:top w:val="outset" w:sz="6" w:space="0" w:color="auto"/>
              <w:left w:val="outset" w:sz="6" w:space="0" w:color="auto"/>
              <w:bottom w:val="outset" w:sz="6" w:space="0" w:color="auto"/>
              <w:right w:val="outset" w:sz="6" w:space="0" w:color="auto"/>
            </w:tcBorders>
            <w:hideMark/>
          </w:tcPr>
          <w:p w14:paraId="239C0580"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Attiecīgā ES tiesību akta datums, numurs un nosaukums</w:t>
            </w:r>
          </w:p>
        </w:tc>
        <w:tc>
          <w:tcPr>
            <w:tcW w:w="7394" w:type="dxa"/>
            <w:gridSpan w:val="3"/>
            <w:tcBorders>
              <w:top w:val="outset" w:sz="6" w:space="0" w:color="auto"/>
              <w:left w:val="outset" w:sz="6" w:space="0" w:color="auto"/>
              <w:bottom w:val="outset" w:sz="6" w:space="0" w:color="auto"/>
              <w:right w:val="outset" w:sz="6" w:space="0" w:color="auto"/>
            </w:tcBorders>
            <w:hideMark/>
          </w:tcPr>
          <w:p w14:paraId="113A4A63" w14:textId="171D844E"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Komisijas lēmums Nr. 2012/21/ES</w:t>
            </w:r>
          </w:p>
        </w:tc>
      </w:tr>
      <w:tr w:rsidR="00923FF0" w:rsidRPr="00923FF0" w14:paraId="1D52EB1E" w14:textId="77777777" w:rsidTr="00923FF0">
        <w:trPr>
          <w:jc w:val="center"/>
        </w:trPr>
        <w:tc>
          <w:tcPr>
            <w:tcW w:w="2200" w:type="dxa"/>
            <w:tcBorders>
              <w:top w:val="outset" w:sz="6" w:space="0" w:color="auto"/>
              <w:left w:val="outset" w:sz="6" w:space="0" w:color="auto"/>
              <w:bottom w:val="outset" w:sz="6" w:space="0" w:color="auto"/>
              <w:right w:val="outset" w:sz="6" w:space="0" w:color="auto"/>
            </w:tcBorders>
            <w:vAlign w:val="center"/>
            <w:hideMark/>
          </w:tcPr>
          <w:p w14:paraId="51982BAD"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A</w:t>
            </w:r>
          </w:p>
        </w:tc>
        <w:tc>
          <w:tcPr>
            <w:tcW w:w="2457" w:type="dxa"/>
            <w:tcBorders>
              <w:top w:val="outset" w:sz="6" w:space="0" w:color="auto"/>
              <w:left w:val="outset" w:sz="6" w:space="0" w:color="auto"/>
              <w:bottom w:val="outset" w:sz="6" w:space="0" w:color="auto"/>
              <w:right w:val="outset" w:sz="6" w:space="0" w:color="auto"/>
            </w:tcBorders>
            <w:vAlign w:val="center"/>
            <w:hideMark/>
          </w:tcPr>
          <w:p w14:paraId="55D072A6"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B</w:t>
            </w:r>
          </w:p>
        </w:tc>
        <w:tc>
          <w:tcPr>
            <w:tcW w:w="2695" w:type="dxa"/>
            <w:tcBorders>
              <w:top w:val="outset" w:sz="6" w:space="0" w:color="auto"/>
              <w:left w:val="outset" w:sz="6" w:space="0" w:color="auto"/>
              <w:bottom w:val="outset" w:sz="6" w:space="0" w:color="auto"/>
              <w:right w:val="outset" w:sz="6" w:space="0" w:color="auto"/>
            </w:tcBorders>
            <w:vAlign w:val="center"/>
            <w:hideMark/>
          </w:tcPr>
          <w:p w14:paraId="38CB2C3D"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C</w:t>
            </w:r>
          </w:p>
        </w:tc>
        <w:tc>
          <w:tcPr>
            <w:tcW w:w="2242" w:type="dxa"/>
            <w:tcBorders>
              <w:top w:val="outset" w:sz="6" w:space="0" w:color="auto"/>
              <w:left w:val="outset" w:sz="6" w:space="0" w:color="auto"/>
              <w:bottom w:val="outset" w:sz="6" w:space="0" w:color="auto"/>
              <w:right w:val="outset" w:sz="6" w:space="0" w:color="auto"/>
            </w:tcBorders>
            <w:vAlign w:val="center"/>
            <w:hideMark/>
          </w:tcPr>
          <w:p w14:paraId="656CE325"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D</w:t>
            </w:r>
          </w:p>
        </w:tc>
      </w:tr>
      <w:tr w:rsidR="00923FF0" w:rsidRPr="00923FF0" w14:paraId="2376C9F7" w14:textId="77777777" w:rsidTr="00923FF0">
        <w:trPr>
          <w:jc w:val="center"/>
        </w:trPr>
        <w:tc>
          <w:tcPr>
            <w:tcW w:w="2200" w:type="dxa"/>
            <w:tcBorders>
              <w:top w:val="outset" w:sz="6" w:space="0" w:color="auto"/>
              <w:left w:val="outset" w:sz="6" w:space="0" w:color="auto"/>
              <w:bottom w:val="outset" w:sz="6" w:space="0" w:color="auto"/>
              <w:right w:val="outset" w:sz="6" w:space="0" w:color="auto"/>
            </w:tcBorders>
          </w:tcPr>
          <w:p w14:paraId="1112AE3A"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Attiecīgā ES tiesību akta panta numurs (uzskaitot katru tiesību akta vienību – pantu, daļu, punktu, apakšpunktu)</w:t>
            </w:r>
          </w:p>
        </w:tc>
        <w:tc>
          <w:tcPr>
            <w:tcW w:w="2457" w:type="dxa"/>
            <w:tcBorders>
              <w:top w:val="outset" w:sz="6" w:space="0" w:color="auto"/>
              <w:left w:val="outset" w:sz="6" w:space="0" w:color="auto"/>
              <w:bottom w:val="outset" w:sz="6" w:space="0" w:color="auto"/>
              <w:right w:val="outset" w:sz="6" w:space="0" w:color="auto"/>
            </w:tcBorders>
          </w:tcPr>
          <w:p w14:paraId="14B28FC2"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5" w:type="dxa"/>
            <w:tcBorders>
              <w:top w:val="outset" w:sz="6" w:space="0" w:color="auto"/>
              <w:left w:val="outset" w:sz="6" w:space="0" w:color="auto"/>
              <w:bottom w:val="outset" w:sz="6" w:space="0" w:color="auto"/>
              <w:right w:val="outset" w:sz="6" w:space="0" w:color="auto"/>
            </w:tcBorders>
          </w:tcPr>
          <w:p w14:paraId="2141D128"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 xml:space="preserve">Informācija par to, vai šīs tabulas A ailē minētās ES tiesību akta vienības tiek pārņemtas vai ieviestas pilnībā vai daļēji. </w:t>
            </w:r>
          </w:p>
          <w:p w14:paraId="7501B08A"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 xml:space="preserve">Ja attiecīgā ES tiesību akta vienība tiek pārņemta vai ieviesta daļēji, sniedz attiecīgu skaidrojumu, kā arī precīzi norāda, kad un kādā veidā ES tiesību akta </w:t>
            </w:r>
            <w:r w:rsidRPr="00923FF0">
              <w:rPr>
                <w:rFonts w:ascii="Times New Roman" w:eastAsia="Arial Unicode MS" w:hAnsi="Times New Roman" w:cs="Times New Roman"/>
                <w:sz w:val="24"/>
                <w:szCs w:val="24"/>
              </w:rPr>
              <w:lastRenderedPageBreak/>
              <w:t xml:space="preserve">vienība tiks pārņemta vai ieviesta pilnībā. </w:t>
            </w:r>
          </w:p>
          <w:p w14:paraId="5CDE8322"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Norāda institūciju, kas ir atbildīga par šo saistību izpildi pilnībā</w:t>
            </w:r>
          </w:p>
        </w:tc>
        <w:tc>
          <w:tcPr>
            <w:tcW w:w="2242" w:type="dxa"/>
            <w:tcBorders>
              <w:top w:val="outset" w:sz="6" w:space="0" w:color="auto"/>
              <w:left w:val="outset" w:sz="6" w:space="0" w:color="auto"/>
              <w:bottom w:val="outset" w:sz="6" w:space="0" w:color="auto"/>
              <w:right w:val="outset" w:sz="6" w:space="0" w:color="auto"/>
            </w:tcBorders>
            <w:vAlign w:val="center"/>
          </w:tcPr>
          <w:p w14:paraId="5F59A9DC"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lastRenderedPageBreak/>
              <w:t xml:space="preserve">Informācija par to, vai šīs tabulas B ailē minētās projekta vienības paredz stingrākas prasības nekā šīs tabulas A ailē minētās ES tiesību akta vienības. </w:t>
            </w:r>
          </w:p>
          <w:p w14:paraId="0DD63617"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Ja projekts satur stingrā</w:t>
            </w:r>
            <w:r w:rsidRPr="00923FF0">
              <w:rPr>
                <w:rFonts w:ascii="Times New Roman" w:eastAsia="Arial Unicode MS" w:hAnsi="Times New Roman" w:cs="Times New Roman"/>
                <w:sz w:val="24"/>
                <w:szCs w:val="24"/>
              </w:rPr>
              <w:softHyphen/>
              <w:t>kas prasības nekā attie</w:t>
            </w:r>
            <w:r w:rsidRPr="00923FF0">
              <w:rPr>
                <w:rFonts w:ascii="Times New Roman" w:eastAsia="Arial Unicode MS" w:hAnsi="Times New Roman" w:cs="Times New Roman"/>
                <w:sz w:val="24"/>
                <w:szCs w:val="24"/>
              </w:rPr>
              <w:softHyphen/>
              <w:t xml:space="preserve">cīgais ES tiesību akts, norāda </w:t>
            </w:r>
            <w:r w:rsidRPr="00923FF0">
              <w:rPr>
                <w:rFonts w:ascii="Times New Roman" w:eastAsia="Arial Unicode MS" w:hAnsi="Times New Roman" w:cs="Times New Roman"/>
                <w:sz w:val="24"/>
                <w:szCs w:val="24"/>
              </w:rPr>
              <w:lastRenderedPageBreak/>
              <w:t xml:space="preserve">pamatojumu un samērīgumu. </w:t>
            </w:r>
          </w:p>
          <w:p w14:paraId="6DE5C9AC" w14:textId="77777777" w:rsidR="00923FF0" w:rsidRPr="00923FF0" w:rsidRDefault="00923FF0" w:rsidP="00B43D65">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Norāda iespējamās alternatīvas (t. sk. alternatīvas, kas neparedz tiesiskā regulējuma izstrādi) – kādos gadījumos būtu iespējams izvairīties no stingrāku prasību noteikšanas, nekā paredzēts attiecīgajos ES tiesību aktos</w:t>
            </w:r>
          </w:p>
        </w:tc>
      </w:tr>
      <w:tr w:rsidR="00923FF0" w:rsidRPr="00923FF0" w14:paraId="461FE8C1" w14:textId="77777777" w:rsidTr="00923FF0">
        <w:trPr>
          <w:jc w:val="center"/>
        </w:trPr>
        <w:tc>
          <w:tcPr>
            <w:tcW w:w="2200" w:type="dxa"/>
            <w:tcBorders>
              <w:top w:val="outset" w:sz="6" w:space="0" w:color="auto"/>
              <w:left w:val="outset" w:sz="6" w:space="0" w:color="auto"/>
              <w:bottom w:val="outset" w:sz="6" w:space="0" w:color="auto"/>
              <w:right w:val="outset" w:sz="6" w:space="0" w:color="auto"/>
            </w:tcBorders>
          </w:tcPr>
          <w:p w14:paraId="6774B8C2" w14:textId="7C42450C"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lastRenderedPageBreak/>
              <w:t xml:space="preserve">Komisijas lēmums Nr. 2012/21/ES, </w:t>
            </w:r>
            <w:r w:rsidR="00344EEA">
              <w:rPr>
                <w:rFonts w:ascii="Times New Roman" w:eastAsia="Arial Unicode MS" w:hAnsi="Times New Roman" w:cs="Times New Roman"/>
                <w:sz w:val="24"/>
                <w:szCs w:val="24"/>
              </w:rPr>
              <w:t>6</w:t>
            </w:r>
            <w:r w:rsidRPr="00923FF0">
              <w:rPr>
                <w:rFonts w:ascii="Times New Roman" w:eastAsia="Arial Unicode MS" w:hAnsi="Times New Roman" w:cs="Times New Roman"/>
                <w:sz w:val="24"/>
                <w:szCs w:val="24"/>
              </w:rPr>
              <w:t>.pants</w:t>
            </w:r>
          </w:p>
        </w:tc>
        <w:tc>
          <w:tcPr>
            <w:tcW w:w="2457" w:type="dxa"/>
            <w:tcBorders>
              <w:top w:val="outset" w:sz="6" w:space="0" w:color="auto"/>
              <w:left w:val="outset" w:sz="6" w:space="0" w:color="auto"/>
              <w:bottom w:val="outset" w:sz="6" w:space="0" w:color="auto"/>
              <w:right w:val="outset" w:sz="6" w:space="0" w:color="auto"/>
            </w:tcBorders>
          </w:tcPr>
          <w:p w14:paraId="03E0EAAF" w14:textId="641B4151"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MK noteikumu projekta 1</w:t>
            </w:r>
            <w:r w:rsidR="003B2539">
              <w:rPr>
                <w:rFonts w:ascii="Times New Roman" w:eastAsia="Arial Unicode MS" w:hAnsi="Times New Roman" w:cs="Times New Roman"/>
                <w:sz w:val="24"/>
                <w:szCs w:val="24"/>
              </w:rPr>
              <w:t>0</w:t>
            </w:r>
            <w:r w:rsidRPr="00923FF0">
              <w:rPr>
                <w:rFonts w:ascii="Times New Roman" w:eastAsia="Arial Unicode MS" w:hAnsi="Times New Roman" w:cs="Times New Roman"/>
                <w:sz w:val="24"/>
                <w:szCs w:val="24"/>
              </w:rPr>
              <w:t>.punkts</w:t>
            </w:r>
          </w:p>
        </w:tc>
        <w:tc>
          <w:tcPr>
            <w:tcW w:w="2695" w:type="dxa"/>
            <w:tcBorders>
              <w:top w:val="outset" w:sz="6" w:space="0" w:color="auto"/>
              <w:left w:val="outset" w:sz="6" w:space="0" w:color="auto"/>
              <w:bottom w:val="outset" w:sz="6" w:space="0" w:color="auto"/>
              <w:right w:val="outset" w:sz="6" w:space="0" w:color="auto"/>
            </w:tcBorders>
          </w:tcPr>
          <w:p w14:paraId="6697E6E1"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 xml:space="preserve">Tiek ieviesta pilnībā. </w:t>
            </w:r>
          </w:p>
          <w:p w14:paraId="6C81457D"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Atbildīgā institūcija – Veselības ministrija (projekta iesniedzējs).</w:t>
            </w:r>
          </w:p>
        </w:tc>
        <w:tc>
          <w:tcPr>
            <w:tcW w:w="2242" w:type="dxa"/>
            <w:tcBorders>
              <w:top w:val="outset" w:sz="6" w:space="0" w:color="auto"/>
              <w:left w:val="outset" w:sz="6" w:space="0" w:color="auto"/>
              <w:bottom w:val="outset" w:sz="6" w:space="0" w:color="auto"/>
              <w:right w:val="outset" w:sz="6" w:space="0" w:color="auto"/>
            </w:tcBorders>
          </w:tcPr>
          <w:p w14:paraId="3653C100"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Netiek paredzētas stingrākas prasības.</w:t>
            </w:r>
          </w:p>
        </w:tc>
      </w:tr>
      <w:tr w:rsidR="00923FF0" w:rsidRPr="00923FF0" w14:paraId="32B8C893" w14:textId="77777777" w:rsidTr="00923FF0">
        <w:trPr>
          <w:jc w:val="center"/>
        </w:trPr>
        <w:tc>
          <w:tcPr>
            <w:tcW w:w="2200" w:type="dxa"/>
            <w:tcBorders>
              <w:top w:val="outset" w:sz="6" w:space="0" w:color="auto"/>
              <w:left w:val="outset" w:sz="6" w:space="0" w:color="auto"/>
              <w:bottom w:val="outset" w:sz="6" w:space="0" w:color="auto"/>
              <w:right w:val="outset" w:sz="6" w:space="0" w:color="auto"/>
            </w:tcBorders>
          </w:tcPr>
          <w:p w14:paraId="5FDD533C"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Komisijas lēmums Nr. 2012/21/ES, 2.pants</w:t>
            </w:r>
          </w:p>
        </w:tc>
        <w:tc>
          <w:tcPr>
            <w:tcW w:w="2457" w:type="dxa"/>
            <w:tcBorders>
              <w:top w:val="outset" w:sz="6" w:space="0" w:color="auto"/>
              <w:left w:val="outset" w:sz="6" w:space="0" w:color="auto"/>
              <w:bottom w:val="outset" w:sz="6" w:space="0" w:color="auto"/>
              <w:right w:val="outset" w:sz="6" w:space="0" w:color="auto"/>
            </w:tcBorders>
          </w:tcPr>
          <w:p w14:paraId="48CF1FAE" w14:textId="49CBB5EF"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 xml:space="preserve">MK noteikumu projekta </w:t>
            </w:r>
            <w:r w:rsidR="003B2539">
              <w:rPr>
                <w:rFonts w:ascii="Times New Roman" w:eastAsia="Arial Unicode MS" w:hAnsi="Times New Roman" w:cs="Times New Roman"/>
                <w:sz w:val="24"/>
                <w:szCs w:val="24"/>
              </w:rPr>
              <w:t>12</w:t>
            </w:r>
            <w:r w:rsidRPr="00923FF0">
              <w:rPr>
                <w:rFonts w:ascii="Times New Roman" w:eastAsia="Arial Unicode MS" w:hAnsi="Times New Roman" w:cs="Times New Roman"/>
                <w:sz w:val="24"/>
                <w:szCs w:val="24"/>
              </w:rPr>
              <w:t>.punkts</w:t>
            </w:r>
          </w:p>
        </w:tc>
        <w:tc>
          <w:tcPr>
            <w:tcW w:w="2695" w:type="dxa"/>
            <w:tcBorders>
              <w:top w:val="outset" w:sz="6" w:space="0" w:color="auto"/>
              <w:left w:val="outset" w:sz="6" w:space="0" w:color="auto"/>
              <w:bottom w:val="outset" w:sz="6" w:space="0" w:color="auto"/>
              <w:right w:val="outset" w:sz="6" w:space="0" w:color="auto"/>
            </w:tcBorders>
          </w:tcPr>
          <w:p w14:paraId="4CFF2BDA"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 xml:space="preserve">Tiek ieviesta pilnībā. </w:t>
            </w:r>
          </w:p>
          <w:p w14:paraId="74423BA2"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Atbildīgā institūcija – Veselības ministrija (projekta iesniedzējs).</w:t>
            </w:r>
          </w:p>
        </w:tc>
        <w:tc>
          <w:tcPr>
            <w:tcW w:w="2242" w:type="dxa"/>
            <w:tcBorders>
              <w:top w:val="outset" w:sz="6" w:space="0" w:color="auto"/>
              <w:left w:val="outset" w:sz="6" w:space="0" w:color="auto"/>
              <w:bottom w:val="outset" w:sz="6" w:space="0" w:color="auto"/>
              <w:right w:val="outset" w:sz="6" w:space="0" w:color="auto"/>
            </w:tcBorders>
          </w:tcPr>
          <w:p w14:paraId="2BF6B635" w14:textId="77777777" w:rsidR="00923FF0" w:rsidRPr="00923FF0" w:rsidRDefault="00923FF0" w:rsidP="00923FF0">
            <w:pPr>
              <w:rPr>
                <w:rFonts w:ascii="Times New Roman" w:eastAsia="Arial Unicode MS" w:hAnsi="Times New Roman" w:cs="Times New Roman"/>
                <w:sz w:val="24"/>
                <w:szCs w:val="24"/>
              </w:rPr>
            </w:pPr>
            <w:r w:rsidRPr="00923FF0">
              <w:rPr>
                <w:rFonts w:ascii="Times New Roman" w:eastAsia="Arial Unicode MS" w:hAnsi="Times New Roman" w:cs="Times New Roman"/>
                <w:sz w:val="24"/>
                <w:szCs w:val="24"/>
              </w:rPr>
              <w:t>Netiek paredzētas stingrākas prasības.</w:t>
            </w:r>
          </w:p>
        </w:tc>
      </w:tr>
    </w:tbl>
    <w:p w14:paraId="419EFC5F" w14:textId="77777777" w:rsidR="00DA76CE" w:rsidRPr="00184D16" w:rsidRDefault="00DA76CE" w:rsidP="00273945">
      <w:pPr>
        <w:pStyle w:val="naisnod"/>
        <w:spacing w:before="0" w:beforeAutospacing="0" w:after="0" w:afterAutospacing="0"/>
        <w:ind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126"/>
        <w:gridCol w:w="5464"/>
      </w:tblGrid>
      <w:tr w:rsidR="00676B4D" w:rsidRPr="00184D16" w14:paraId="55523F27" w14:textId="77777777" w:rsidTr="001D3D7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9940A8" w14:textId="77777777" w:rsidR="006D5050" w:rsidRPr="00184D16" w:rsidRDefault="006D5050" w:rsidP="006C5D4A">
            <w:pPr>
              <w:spacing w:after="0" w:line="240" w:lineRule="auto"/>
              <w:jc w:val="center"/>
              <w:rPr>
                <w:rFonts w:ascii="Times New Roman" w:hAnsi="Times New Roman" w:cs="Times New Roman"/>
                <w:b/>
                <w:bCs/>
                <w:iCs/>
                <w:sz w:val="24"/>
                <w:szCs w:val="24"/>
                <w:lang w:eastAsia="lv-LV"/>
              </w:rPr>
            </w:pPr>
            <w:r w:rsidRPr="00184D16">
              <w:rPr>
                <w:rFonts w:ascii="Times New Roman" w:hAnsi="Times New Roman" w:cs="Times New Roman"/>
                <w:b/>
                <w:bCs/>
                <w:iCs/>
                <w:sz w:val="24"/>
                <w:szCs w:val="24"/>
                <w:lang w:eastAsia="lv-LV"/>
              </w:rPr>
              <w:t>VI. Sabiedrības līdzdalība un komunikācijas aktivitātes</w:t>
            </w:r>
          </w:p>
        </w:tc>
      </w:tr>
      <w:tr w:rsidR="00676B4D" w:rsidRPr="00184D16" w14:paraId="60316AFF" w14:textId="77777777" w:rsidTr="001D3D7D">
        <w:trPr>
          <w:trHeight w:val="279"/>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F4DAF02" w14:textId="77777777" w:rsidR="006D5050" w:rsidRPr="00184D16" w:rsidRDefault="006D5050" w:rsidP="006C5D4A">
            <w:pPr>
              <w:spacing w:after="0" w:line="240" w:lineRule="auto"/>
              <w:rPr>
                <w:rFonts w:ascii="Times New Roman" w:hAnsi="Times New Roman" w:cs="Times New Roman"/>
                <w:iCs/>
                <w:sz w:val="24"/>
                <w:szCs w:val="24"/>
                <w:lang w:eastAsia="lv-LV"/>
              </w:rPr>
            </w:pPr>
            <w:r w:rsidRPr="00184D16">
              <w:rPr>
                <w:rFonts w:ascii="Times New Roman" w:hAnsi="Times New Roman" w:cs="Times New Roman"/>
                <w:iCs/>
                <w:sz w:val="24"/>
                <w:szCs w:val="24"/>
                <w:lang w:eastAsia="lv-LV"/>
              </w:rPr>
              <w:t>1.</w:t>
            </w:r>
          </w:p>
        </w:tc>
        <w:tc>
          <w:tcPr>
            <w:tcW w:w="1720" w:type="pct"/>
            <w:tcBorders>
              <w:top w:val="outset" w:sz="6" w:space="0" w:color="auto"/>
              <w:left w:val="outset" w:sz="6" w:space="0" w:color="auto"/>
              <w:bottom w:val="outset" w:sz="6" w:space="0" w:color="auto"/>
              <w:right w:val="outset" w:sz="6" w:space="0" w:color="auto"/>
            </w:tcBorders>
          </w:tcPr>
          <w:p w14:paraId="723FB285" w14:textId="77777777" w:rsidR="006D5050" w:rsidRPr="00184D16" w:rsidRDefault="006D5050" w:rsidP="006C5D4A">
            <w:pPr>
              <w:spacing w:after="0" w:line="240" w:lineRule="auto"/>
              <w:rPr>
                <w:rFonts w:ascii="Times New Roman" w:eastAsia="Arial Unicode MS" w:hAnsi="Times New Roman" w:cs="Times New Roman"/>
                <w:sz w:val="24"/>
                <w:szCs w:val="24"/>
              </w:rPr>
            </w:pPr>
            <w:r w:rsidRPr="00184D16">
              <w:rPr>
                <w:rFonts w:ascii="Times New Roman" w:eastAsia="Arial Unicode MS" w:hAnsi="Times New Roman" w:cs="Times New Roman"/>
                <w:sz w:val="24"/>
                <w:szCs w:val="24"/>
              </w:rPr>
              <w:t>Plānotās sabiedrības līdzdalības un komunikācijas aktivitātes saistībā ar projektu</w:t>
            </w:r>
          </w:p>
        </w:tc>
        <w:tc>
          <w:tcPr>
            <w:tcW w:w="2977" w:type="pct"/>
            <w:tcBorders>
              <w:top w:val="outset" w:sz="6" w:space="0" w:color="auto"/>
              <w:left w:val="outset" w:sz="6" w:space="0" w:color="auto"/>
              <w:bottom w:val="outset" w:sz="6" w:space="0" w:color="auto"/>
              <w:right w:val="outset" w:sz="6" w:space="0" w:color="auto"/>
            </w:tcBorders>
          </w:tcPr>
          <w:p w14:paraId="10B08D82" w14:textId="2B1EA045" w:rsidR="006D5050" w:rsidRPr="00184D16" w:rsidRDefault="00330241" w:rsidP="006C5D4A">
            <w:pPr>
              <w:spacing w:after="0" w:line="240" w:lineRule="auto"/>
              <w:ind w:left="168"/>
              <w:jc w:val="both"/>
              <w:rPr>
                <w:rFonts w:ascii="Times New Roman" w:hAnsi="Times New Roman" w:cs="Times New Roman"/>
                <w:iCs/>
                <w:sz w:val="24"/>
                <w:szCs w:val="24"/>
                <w:lang w:eastAsia="lv-LV"/>
              </w:rPr>
            </w:pPr>
            <w:r w:rsidRPr="00184D16">
              <w:rPr>
                <w:rFonts w:ascii="Times New Roman" w:eastAsia="Arial Unicode MS" w:hAnsi="Times New Roman" w:cs="Times New Roman"/>
                <w:sz w:val="24"/>
                <w:szCs w:val="24"/>
              </w:rPr>
              <w:t>Sabiedrības līdzdalība nav plānota</w:t>
            </w:r>
          </w:p>
        </w:tc>
      </w:tr>
      <w:tr w:rsidR="00676B4D" w:rsidRPr="00184D16" w14:paraId="5D8868E3"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62E2B05F" w14:textId="77777777" w:rsidR="006D5050" w:rsidRPr="00184D16" w:rsidRDefault="006D5050" w:rsidP="006C5D4A">
            <w:pPr>
              <w:spacing w:after="0" w:line="240" w:lineRule="auto"/>
              <w:rPr>
                <w:rFonts w:ascii="Times New Roman" w:hAnsi="Times New Roman" w:cs="Times New Roman"/>
                <w:sz w:val="24"/>
                <w:szCs w:val="24"/>
              </w:rPr>
            </w:pPr>
            <w:r w:rsidRPr="00184D16">
              <w:rPr>
                <w:rFonts w:ascii="Times New Roman" w:hAnsi="Times New Roman" w:cs="Times New Roman"/>
                <w:sz w:val="24"/>
                <w:szCs w:val="24"/>
              </w:rPr>
              <w:t>2.</w:t>
            </w:r>
          </w:p>
        </w:tc>
        <w:tc>
          <w:tcPr>
            <w:tcW w:w="1720" w:type="pct"/>
            <w:tcBorders>
              <w:top w:val="outset" w:sz="6" w:space="0" w:color="auto"/>
              <w:left w:val="outset" w:sz="6" w:space="0" w:color="auto"/>
              <w:bottom w:val="outset" w:sz="6" w:space="0" w:color="auto"/>
              <w:right w:val="outset" w:sz="6" w:space="0" w:color="auto"/>
            </w:tcBorders>
          </w:tcPr>
          <w:p w14:paraId="2D951065" w14:textId="77777777" w:rsidR="006D5050" w:rsidRPr="00184D16" w:rsidRDefault="006D5050" w:rsidP="006C5D4A">
            <w:pPr>
              <w:spacing w:after="0" w:line="240" w:lineRule="auto"/>
              <w:rPr>
                <w:rFonts w:ascii="Times New Roman" w:hAnsi="Times New Roman" w:cs="Times New Roman"/>
                <w:sz w:val="24"/>
                <w:szCs w:val="24"/>
              </w:rPr>
            </w:pPr>
            <w:r w:rsidRPr="00184D16">
              <w:rPr>
                <w:rFonts w:ascii="Times New Roman" w:hAnsi="Times New Roman" w:cs="Times New Roman"/>
                <w:sz w:val="24"/>
                <w:szCs w:val="24"/>
              </w:rPr>
              <w:t>Sabiedrības līdzdalība projekta izstrādē</w:t>
            </w:r>
          </w:p>
        </w:tc>
        <w:tc>
          <w:tcPr>
            <w:tcW w:w="2977" w:type="pct"/>
            <w:tcBorders>
              <w:top w:val="outset" w:sz="6" w:space="0" w:color="auto"/>
              <w:left w:val="outset" w:sz="6" w:space="0" w:color="auto"/>
              <w:bottom w:val="outset" w:sz="6" w:space="0" w:color="auto"/>
              <w:right w:val="outset" w:sz="6" w:space="0" w:color="auto"/>
            </w:tcBorders>
          </w:tcPr>
          <w:p w14:paraId="4AA2AB0A" w14:textId="77777777" w:rsidR="006D5050" w:rsidRPr="00184D16" w:rsidRDefault="006D5050" w:rsidP="006C5D4A">
            <w:pPr>
              <w:spacing w:after="0" w:line="240" w:lineRule="auto"/>
              <w:ind w:left="168"/>
              <w:jc w:val="both"/>
              <w:rPr>
                <w:rFonts w:ascii="Times New Roman" w:hAnsi="Times New Roman" w:cs="Times New Roman"/>
                <w:sz w:val="24"/>
                <w:szCs w:val="24"/>
              </w:rPr>
            </w:pPr>
            <w:r w:rsidRPr="00184D16">
              <w:rPr>
                <w:rFonts w:ascii="Times New Roman" w:eastAsia="Arial Unicode MS" w:hAnsi="Times New Roman" w:cs="Times New Roman"/>
                <w:sz w:val="24"/>
                <w:szCs w:val="24"/>
              </w:rPr>
              <w:t>Projekts šo jomu neskar.</w:t>
            </w:r>
          </w:p>
        </w:tc>
      </w:tr>
      <w:tr w:rsidR="00676B4D" w:rsidRPr="00184D16" w14:paraId="26285BBC"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552CA687" w14:textId="77777777" w:rsidR="006D5050" w:rsidRPr="00184D16" w:rsidRDefault="006D5050" w:rsidP="006C5D4A">
            <w:pPr>
              <w:spacing w:after="0" w:line="240" w:lineRule="auto"/>
              <w:rPr>
                <w:rFonts w:ascii="Times New Roman" w:hAnsi="Times New Roman" w:cs="Times New Roman"/>
                <w:sz w:val="24"/>
                <w:szCs w:val="24"/>
              </w:rPr>
            </w:pPr>
            <w:r w:rsidRPr="00184D16">
              <w:rPr>
                <w:rFonts w:ascii="Times New Roman" w:hAnsi="Times New Roman" w:cs="Times New Roman"/>
                <w:sz w:val="24"/>
                <w:szCs w:val="24"/>
              </w:rPr>
              <w:t>3.</w:t>
            </w:r>
          </w:p>
        </w:tc>
        <w:tc>
          <w:tcPr>
            <w:tcW w:w="1720" w:type="pct"/>
            <w:tcBorders>
              <w:top w:val="outset" w:sz="6" w:space="0" w:color="auto"/>
              <w:left w:val="outset" w:sz="6" w:space="0" w:color="auto"/>
              <w:bottom w:val="outset" w:sz="6" w:space="0" w:color="auto"/>
              <w:right w:val="outset" w:sz="6" w:space="0" w:color="auto"/>
            </w:tcBorders>
          </w:tcPr>
          <w:p w14:paraId="2CFD6F9F" w14:textId="77777777" w:rsidR="006D5050" w:rsidRPr="00184D16" w:rsidRDefault="006D5050" w:rsidP="006C5D4A">
            <w:pPr>
              <w:spacing w:after="0" w:line="240" w:lineRule="auto"/>
              <w:rPr>
                <w:rFonts w:ascii="Times New Roman" w:hAnsi="Times New Roman" w:cs="Times New Roman"/>
                <w:sz w:val="24"/>
                <w:szCs w:val="24"/>
              </w:rPr>
            </w:pPr>
            <w:r w:rsidRPr="00184D16">
              <w:rPr>
                <w:rFonts w:ascii="Times New Roman" w:hAnsi="Times New Roman" w:cs="Times New Roman"/>
                <w:sz w:val="24"/>
                <w:szCs w:val="24"/>
              </w:rPr>
              <w:t>Sabiedrības līdzdalības rezultāti</w:t>
            </w:r>
          </w:p>
        </w:tc>
        <w:tc>
          <w:tcPr>
            <w:tcW w:w="2977" w:type="pct"/>
            <w:tcBorders>
              <w:top w:val="outset" w:sz="6" w:space="0" w:color="auto"/>
              <w:left w:val="outset" w:sz="6" w:space="0" w:color="auto"/>
              <w:bottom w:val="outset" w:sz="6" w:space="0" w:color="auto"/>
              <w:right w:val="outset" w:sz="6" w:space="0" w:color="auto"/>
            </w:tcBorders>
          </w:tcPr>
          <w:p w14:paraId="11AFF3CB" w14:textId="77777777" w:rsidR="006D5050" w:rsidRPr="00184D16" w:rsidRDefault="006D5050" w:rsidP="006C5D4A">
            <w:pPr>
              <w:spacing w:after="0" w:line="240" w:lineRule="auto"/>
              <w:ind w:left="168"/>
              <w:jc w:val="both"/>
              <w:rPr>
                <w:rFonts w:ascii="Times New Roman" w:hAnsi="Times New Roman" w:cs="Times New Roman"/>
                <w:sz w:val="24"/>
                <w:szCs w:val="24"/>
              </w:rPr>
            </w:pPr>
            <w:r w:rsidRPr="00184D16">
              <w:rPr>
                <w:rFonts w:ascii="Times New Roman" w:eastAsia="Arial Unicode MS" w:hAnsi="Times New Roman" w:cs="Times New Roman"/>
                <w:sz w:val="24"/>
                <w:szCs w:val="24"/>
              </w:rPr>
              <w:t>Projekts šo jomu neskar.</w:t>
            </w:r>
          </w:p>
        </w:tc>
      </w:tr>
      <w:tr w:rsidR="00676B4D" w:rsidRPr="00184D16" w14:paraId="241DCA72"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7553FC7B" w14:textId="77777777" w:rsidR="006D5050" w:rsidRPr="00184D16" w:rsidRDefault="006D5050" w:rsidP="006C5D4A">
            <w:pPr>
              <w:spacing w:after="0" w:line="240" w:lineRule="auto"/>
              <w:rPr>
                <w:rFonts w:ascii="Times New Roman" w:hAnsi="Times New Roman" w:cs="Times New Roman"/>
                <w:sz w:val="24"/>
                <w:szCs w:val="24"/>
              </w:rPr>
            </w:pPr>
            <w:r w:rsidRPr="00184D16">
              <w:rPr>
                <w:rFonts w:ascii="Times New Roman" w:hAnsi="Times New Roman" w:cs="Times New Roman"/>
                <w:sz w:val="24"/>
                <w:szCs w:val="24"/>
              </w:rPr>
              <w:t>4.</w:t>
            </w:r>
          </w:p>
        </w:tc>
        <w:tc>
          <w:tcPr>
            <w:tcW w:w="1720" w:type="pct"/>
            <w:tcBorders>
              <w:top w:val="outset" w:sz="6" w:space="0" w:color="auto"/>
              <w:left w:val="outset" w:sz="6" w:space="0" w:color="auto"/>
              <w:bottom w:val="outset" w:sz="6" w:space="0" w:color="auto"/>
              <w:right w:val="outset" w:sz="6" w:space="0" w:color="auto"/>
            </w:tcBorders>
          </w:tcPr>
          <w:p w14:paraId="509D8E27" w14:textId="77777777" w:rsidR="006D5050" w:rsidRPr="00184D16" w:rsidRDefault="006D5050" w:rsidP="006C5D4A">
            <w:pPr>
              <w:spacing w:after="0" w:line="240" w:lineRule="auto"/>
              <w:jc w:val="both"/>
              <w:rPr>
                <w:rFonts w:ascii="Times New Roman" w:hAnsi="Times New Roman" w:cs="Times New Roman"/>
                <w:sz w:val="24"/>
                <w:szCs w:val="24"/>
              </w:rPr>
            </w:pPr>
            <w:r w:rsidRPr="00184D16">
              <w:rPr>
                <w:rFonts w:ascii="Times New Roman" w:hAnsi="Times New Roman" w:cs="Times New Roman"/>
                <w:sz w:val="24"/>
                <w:szCs w:val="24"/>
              </w:rPr>
              <w:t>Cita informācija</w:t>
            </w:r>
          </w:p>
          <w:p w14:paraId="46416CBC" w14:textId="77777777" w:rsidR="005B239D" w:rsidRPr="00184D16" w:rsidRDefault="005B239D" w:rsidP="005B239D">
            <w:pPr>
              <w:rPr>
                <w:rFonts w:ascii="Times New Roman" w:hAnsi="Times New Roman" w:cs="Times New Roman"/>
                <w:sz w:val="24"/>
                <w:szCs w:val="24"/>
              </w:rPr>
            </w:pPr>
          </w:p>
          <w:p w14:paraId="1B69D9B5" w14:textId="77777777" w:rsidR="005B239D" w:rsidRPr="00184D16" w:rsidRDefault="005B239D" w:rsidP="005B239D">
            <w:pPr>
              <w:rPr>
                <w:rFonts w:ascii="Times New Roman" w:hAnsi="Times New Roman" w:cs="Times New Roman"/>
                <w:sz w:val="24"/>
                <w:szCs w:val="24"/>
              </w:rPr>
            </w:pPr>
          </w:p>
          <w:p w14:paraId="74F04870" w14:textId="77777777" w:rsidR="005B239D" w:rsidRPr="00184D16" w:rsidRDefault="005B239D" w:rsidP="005B239D">
            <w:pPr>
              <w:rPr>
                <w:rFonts w:ascii="Times New Roman" w:hAnsi="Times New Roman" w:cs="Times New Roman"/>
                <w:sz w:val="24"/>
                <w:szCs w:val="24"/>
              </w:rPr>
            </w:pPr>
          </w:p>
          <w:p w14:paraId="3209FBF0" w14:textId="46D1AD40" w:rsidR="005B239D" w:rsidRPr="00184D16" w:rsidRDefault="005B239D" w:rsidP="005B239D">
            <w:pPr>
              <w:rPr>
                <w:rFonts w:ascii="Times New Roman" w:hAnsi="Times New Roman" w:cs="Times New Roman"/>
                <w:sz w:val="24"/>
                <w:szCs w:val="24"/>
              </w:rPr>
            </w:pPr>
          </w:p>
        </w:tc>
        <w:tc>
          <w:tcPr>
            <w:tcW w:w="2977" w:type="pct"/>
            <w:tcBorders>
              <w:top w:val="outset" w:sz="6" w:space="0" w:color="auto"/>
              <w:left w:val="outset" w:sz="6" w:space="0" w:color="auto"/>
              <w:bottom w:val="outset" w:sz="6" w:space="0" w:color="auto"/>
              <w:right w:val="outset" w:sz="6" w:space="0" w:color="auto"/>
            </w:tcBorders>
          </w:tcPr>
          <w:p w14:paraId="4412E667" w14:textId="5A9FF062" w:rsidR="006D5050" w:rsidRPr="00184D16" w:rsidRDefault="006D5050" w:rsidP="006C5D4A">
            <w:pPr>
              <w:spacing w:after="0" w:line="240" w:lineRule="auto"/>
              <w:ind w:left="168"/>
              <w:jc w:val="both"/>
              <w:rPr>
                <w:rFonts w:ascii="Times New Roman" w:hAnsi="Times New Roman" w:cs="Times New Roman"/>
                <w:sz w:val="24"/>
                <w:szCs w:val="24"/>
              </w:rPr>
            </w:pPr>
            <w:r w:rsidRPr="00184D16">
              <w:rPr>
                <w:rFonts w:ascii="Times New Roman" w:eastAsia="Times New Roman" w:hAnsi="Times New Roman" w:cs="Times New Roman"/>
                <w:sz w:val="24"/>
                <w:szCs w:val="24"/>
                <w:lang w:eastAsia="lv-LV" w:bidi="lo-LA"/>
              </w:rPr>
              <w:t xml:space="preserve">Tiesību akta projekts nodrošina ātrāku un kvalitatīvāku SAM </w:t>
            </w:r>
            <w:r w:rsidR="00C53688" w:rsidRPr="00184D16">
              <w:rPr>
                <w:rFonts w:ascii="Times New Roman" w:eastAsia="Times New Roman" w:hAnsi="Times New Roman" w:cs="Times New Roman"/>
                <w:sz w:val="24"/>
                <w:szCs w:val="24"/>
                <w:lang w:eastAsia="lv-LV" w:bidi="lo-LA"/>
              </w:rPr>
              <w:t>9</w:t>
            </w:r>
            <w:r w:rsidR="0025200E" w:rsidRPr="00184D16">
              <w:rPr>
                <w:rFonts w:ascii="Times New Roman" w:eastAsia="Times New Roman" w:hAnsi="Times New Roman" w:cs="Times New Roman"/>
                <w:sz w:val="24"/>
                <w:szCs w:val="24"/>
                <w:lang w:eastAsia="lv-LV" w:bidi="lo-LA"/>
              </w:rPr>
              <w:t>.</w:t>
            </w:r>
            <w:r w:rsidR="000866B2" w:rsidRPr="00184D16">
              <w:rPr>
                <w:rFonts w:ascii="Times New Roman" w:eastAsia="Times New Roman" w:hAnsi="Times New Roman" w:cs="Times New Roman"/>
                <w:sz w:val="24"/>
                <w:szCs w:val="24"/>
                <w:lang w:eastAsia="lv-LV" w:bidi="lo-LA"/>
              </w:rPr>
              <w:t>3</w:t>
            </w:r>
            <w:r w:rsidR="0025200E" w:rsidRPr="00184D16">
              <w:rPr>
                <w:rFonts w:ascii="Times New Roman" w:eastAsia="Times New Roman" w:hAnsi="Times New Roman" w:cs="Times New Roman"/>
                <w:sz w:val="24"/>
                <w:szCs w:val="24"/>
                <w:lang w:eastAsia="lv-LV" w:bidi="lo-LA"/>
              </w:rPr>
              <w:t>.</w:t>
            </w:r>
            <w:r w:rsidR="000866B2" w:rsidRPr="00184D16">
              <w:rPr>
                <w:rFonts w:ascii="Times New Roman" w:eastAsia="Times New Roman" w:hAnsi="Times New Roman" w:cs="Times New Roman"/>
                <w:sz w:val="24"/>
                <w:szCs w:val="24"/>
                <w:lang w:eastAsia="lv-LV" w:bidi="lo-LA"/>
              </w:rPr>
              <w:t>2</w:t>
            </w:r>
            <w:r w:rsidR="0025200E" w:rsidRPr="00184D16">
              <w:rPr>
                <w:rFonts w:ascii="Times New Roman" w:eastAsia="Times New Roman" w:hAnsi="Times New Roman" w:cs="Times New Roman"/>
                <w:sz w:val="24"/>
                <w:szCs w:val="24"/>
                <w:lang w:eastAsia="lv-LV" w:bidi="lo-LA"/>
              </w:rPr>
              <w:t>.</w:t>
            </w:r>
            <w:r w:rsidRPr="00184D16">
              <w:rPr>
                <w:rFonts w:ascii="Times New Roman" w:eastAsia="Times New Roman" w:hAnsi="Times New Roman" w:cs="Times New Roman"/>
                <w:sz w:val="24"/>
                <w:szCs w:val="24"/>
                <w:lang w:eastAsia="lv-LV" w:bidi="lo-LA"/>
              </w:rPr>
              <w:t xml:space="preserve">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74638E63" w14:textId="77777777" w:rsidR="006D5050" w:rsidRPr="00184D16" w:rsidRDefault="006D5050" w:rsidP="006C5D4A">
      <w:pPr>
        <w:spacing w:after="0" w:line="240" w:lineRule="auto"/>
        <w:rPr>
          <w:rFonts w:ascii="Times New Roman" w:hAnsi="Times New Roman" w:cs="Times New Roman"/>
          <w:sz w:val="24"/>
          <w:szCs w:val="24"/>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45"/>
        <w:gridCol w:w="5300"/>
      </w:tblGrid>
      <w:tr w:rsidR="00676B4D" w:rsidRPr="00184D16" w14:paraId="6A1CBD8E" w14:textId="77777777" w:rsidTr="00C16469">
        <w:trPr>
          <w:trHeight w:val="381"/>
          <w:tblCellSpacing w:w="20" w:type="dxa"/>
        </w:trPr>
        <w:tc>
          <w:tcPr>
            <w:tcW w:w="9072" w:type="dxa"/>
            <w:gridSpan w:val="3"/>
            <w:vAlign w:val="center"/>
          </w:tcPr>
          <w:p w14:paraId="2A5A6D38" w14:textId="77777777" w:rsidR="006D5050" w:rsidRPr="00184D16" w:rsidRDefault="006D5050" w:rsidP="006C5D4A">
            <w:pPr>
              <w:pStyle w:val="naisnod"/>
              <w:spacing w:before="0" w:beforeAutospacing="0" w:after="0" w:afterAutospacing="0"/>
              <w:ind w:left="57" w:right="57"/>
              <w:jc w:val="center"/>
              <w:rPr>
                <w:b/>
              </w:rPr>
            </w:pPr>
            <w:r w:rsidRPr="00184D16">
              <w:rPr>
                <w:b/>
              </w:rPr>
              <w:t>VII. Tiesību akta projekta izpildes nodrošināšana un tās ietekme uz institūcijām</w:t>
            </w:r>
          </w:p>
        </w:tc>
      </w:tr>
      <w:tr w:rsidR="00676B4D" w:rsidRPr="00184D16" w14:paraId="66F70CBE" w14:textId="77777777" w:rsidTr="00C16469">
        <w:trPr>
          <w:trHeight w:val="427"/>
          <w:tblCellSpacing w:w="20" w:type="dxa"/>
        </w:trPr>
        <w:tc>
          <w:tcPr>
            <w:tcW w:w="470" w:type="dxa"/>
          </w:tcPr>
          <w:p w14:paraId="6BA0E3F9" w14:textId="77777777" w:rsidR="006D5050" w:rsidRPr="00184D16" w:rsidRDefault="006D5050" w:rsidP="006C5D4A">
            <w:pPr>
              <w:pStyle w:val="naisnod"/>
              <w:spacing w:before="0" w:beforeAutospacing="0" w:after="0" w:afterAutospacing="0"/>
              <w:ind w:left="57" w:right="57"/>
              <w:jc w:val="both"/>
            </w:pPr>
            <w:r w:rsidRPr="00184D16">
              <w:t xml:space="preserve">1. </w:t>
            </w:r>
          </w:p>
        </w:tc>
        <w:tc>
          <w:tcPr>
            <w:tcW w:w="3249" w:type="dxa"/>
          </w:tcPr>
          <w:p w14:paraId="1656BD2C" w14:textId="77777777" w:rsidR="006D5050" w:rsidRPr="00184D16" w:rsidRDefault="006D5050" w:rsidP="006C5D4A">
            <w:pPr>
              <w:pStyle w:val="naisf"/>
              <w:spacing w:before="0" w:beforeAutospacing="0" w:after="0" w:afterAutospacing="0"/>
              <w:ind w:left="57" w:right="57"/>
              <w:rPr>
                <w:lang w:val="lv-LV"/>
              </w:rPr>
            </w:pPr>
            <w:r w:rsidRPr="00184D16">
              <w:rPr>
                <w:lang w:val="lv-LV"/>
              </w:rPr>
              <w:t>Projekta izpildē iesaistītās institūcijas</w:t>
            </w:r>
          </w:p>
        </w:tc>
        <w:tc>
          <w:tcPr>
            <w:tcW w:w="5353" w:type="dxa"/>
          </w:tcPr>
          <w:p w14:paraId="18A40240" w14:textId="54BEC0AC" w:rsidR="006D5050" w:rsidRPr="00184D16" w:rsidRDefault="00CB25F8" w:rsidP="006C5D4A">
            <w:pPr>
              <w:pStyle w:val="naiskr"/>
              <w:spacing w:before="0" w:beforeAutospacing="0" w:after="0" w:afterAutospacing="0"/>
              <w:ind w:left="129" w:right="57" w:firstLine="1"/>
              <w:jc w:val="both"/>
            </w:pPr>
            <w:bookmarkStart w:id="12" w:name="p66"/>
            <w:bookmarkStart w:id="13" w:name="p67"/>
            <w:bookmarkStart w:id="14" w:name="p68"/>
            <w:bookmarkStart w:id="15" w:name="p69"/>
            <w:bookmarkEnd w:id="12"/>
            <w:bookmarkEnd w:id="13"/>
            <w:bookmarkEnd w:id="14"/>
            <w:bookmarkEnd w:id="15"/>
            <w:r w:rsidRPr="00184D16">
              <w:rPr>
                <w:szCs w:val="28"/>
              </w:rPr>
              <w:t>Atbildīgās</w:t>
            </w:r>
            <w:r w:rsidRPr="00184D16">
              <w:t xml:space="preserve"> iestādes funkcijas pilda Veselības ministrija, sadarbības iestādes funkcijas – CFLA. </w:t>
            </w:r>
            <w:r w:rsidRPr="00184D16">
              <w:lastRenderedPageBreak/>
              <w:t>Projekta iesniedzējs un finansējuma saņēmēj</w:t>
            </w:r>
            <w:r w:rsidR="00C53688" w:rsidRPr="00184D16">
              <w:t>s</w:t>
            </w:r>
            <w:r w:rsidRPr="00184D16">
              <w:t xml:space="preserve"> </w:t>
            </w:r>
            <w:r w:rsidR="00C53688" w:rsidRPr="00184D16">
              <w:t>Veselības ministrija</w:t>
            </w:r>
          </w:p>
        </w:tc>
      </w:tr>
      <w:tr w:rsidR="00676B4D" w:rsidRPr="00676B4D" w14:paraId="4AADE430" w14:textId="77777777" w:rsidTr="00C16469">
        <w:trPr>
          <w:trHeight w:val="463"/>
          <w:tblCellSpacing w:w="20" w:type="dxa"/>
        </w:trPr>
        <w:tc>
          <w:tcPr>
            <w:tcW w:w="470" w:type="dxa"/>
          </w:tcPr>
          <w:p w14:paraId="2EB0B768" w14:textId="77777777" w:rsidR="006D5050" w:rsidRPr="00184D16" w:rsidRDefault="006D5050" w:rsidP="006C5D4A">
            <w:pPr>
              <w:pStyle w:val="naisnod"/>
              <w:spacing w:before="0" w:beforeAutospacing="0" w:after="0" w:afterAutospacing="0"/>
              <w:ind w:left="57" w:right="57"/>
              <w:jc w:val="both"/>
            </w:pPr>
            <w:r w:rsidRPr="00184D16">
              <w:lastRenderedPageBreak/>
              <w:t xml:space="preserve">2. </w:t>
            </w:r>
          </w:p>
        </w:tc>
        <w:tc>
          <w:tcPr>
            <w:tcW w:w="3249" w:type="dxa"/>
          </w:tcPr>
          <w:p w14:paraId="4C78D737" w14:textId="77777777" w:rsidR="006D5050" w:rsidRPr="00184D16" w:rsidRDefault="006D5050" w:rsidP="006C5D4A">
            <w:pPr>
              <w:pStyle w:val="naisf"/>
              <w:spacing w:before="0" w:beforeAutospacing="0" w:after="0" w:afterAutospacing="0"/>
              <w:ind w:left="57" w:right="57"/>
              <w:rPr>
                <w:lang w:val="lv-LV"/>
              </w:rPr>
            </w:pPr>
            <w:r w:rsidRPr="00184D16">
              <w:rPr>
                <w:lang w:val="lv-LV"/>
              </w:rPr>
              <w:t>Projekta izpildes ietekme uz pār</w:t>
            </w:r>
            <w:r w:rsidRPr="00184D16">
              <w:rPr>
                <w:lang w:val="lv-LV"/>
              </w:rPr>
              <w:softHyphen/>
              <w:t xml:space="preserve">valdes funkcijām un institucionālo struktūru. </w:t>
            </w:r>
          </w:p>
          <w:p w14:paraId="52E528EE" w14:textId="77777777" w:rsidR="006D5050" w:rsidRPr="00184D16" w:rsidRDefault="006D5050" w:rsidP="006C5D4A">
            <w:pPr>
              <w:pStyle w:val="naisf"/>
              <w:spacing w:before="0" w:beforeAutospacing="0" w:after="0" w:afterAutospacing="0"/>
              <w:ind w:left="57" w:right="57"/>
              <w:rPr>
                <w:lang w:val="lv-LV"/>
              </w:rPr>
            </w:pPr>
            <w:r w:rsidRPr="00184D16">
              <w:rPr>
                <w:lang w:val="lv-LV"/>
              </w:rPr>
              <w:t>Jaunu institūciju izveide, esošu institūciju likvidācija vai reorga</w:t>
            </w:r>
            <w:r w:rsidRPr="00184D16">
              <w:rPr>
                <w:lang w:val="lv-LV"/>
              </w:rPr>
              <w:softHyphen/>
              <w:t>nizācija, to ietekme uz institūcijas cilvēkresursiem</w:t>
            </w:r>
          </w:p>
        </w:tc>
        <w:tc>
          <w:tcPr>
            <w:tcW w:w="5353" w:type="dxa"/>
          </w:tcPr>
          <w:p w14:paraId="3C600508" w14:textId="225AA888" w:rsidR="006D5050" w:rsidRPr="00676B4D" w:rsidRDefault="00F75F30" w:rsidP="006C5D4A">
            <w:pPr>
              <w:pStyle w:val="naiskr"/>
              <w:spacing w:before="0" w:beforeAutospacing="0" w:after="0" w:afterAutospacing="0"/>
              <w:ind w:left="57" w:right="57"/>
              <w:jc w:val="both"/>
            </w:pPr>
            <w:r w:rsidRPr="00184D16">
              <w:t>Ar noteikumu projektu noteiktie institūciju pienākumi tiks veikti esošo finanšu un darbinieku kapacitātes ietvaros, nepalielinot kopējās izmaksas.</w:t>
            </w:r>
          </w:p>
        </w:tc>
      </w:tr>
      <w:tr w:rsidR="00676B4D" w:rsidRPr="00676B4D" w14:paraId="45E68A5D" w14:textId="77777777" w:rsidTr="00C16469">
        <w:trPr>
          <w:trHeight w:val="402"/>
          <w:tblCellSpacing w:w="20" w:type="dxa"/>
        </w:trPr>
        <w:tc>
          <w:tcPr>
            <w:tcW w:w="470" w:type="dxa"/>
          </w:tcPr>
          <w:p w14:paraId="0C17EEF1" w14:textId="77777777" w:rsidR="006D5050" w:rsidRPr="00676B4D" w:rsidRDefault="006D5050" w:rsidP="006C5D4A">
            <w:pPr>
              <w:pStyle w:val="naisnod"/>
              <w:spacing w:before="0" w:beforeAutospacing="0" w:after="0" w:afterAutospacing="0"/>
              <w:ind w:left="57" w:right="57"/>
              <w:jc w:val="both"/>
            </w:pPr>
            <w:r w:rsidRPr="00676B4D">
              <w:t xml:space="preserve">3. </w:t>
            </w:r>
          </w:p>
        </w:tc>
        <w:tc>
          <w:tcPr>
            <w:tcW w:w="3249" w:type="dxa"/>
          </w:tcPr>
          <w:p w14:paraId="0D363D70" w14:textId="77777777" w:rsidR="006D5050" w:rsidRPr="00676B4D" w:rsidRDefault="006D5050" w:rsidP="006C5D4A">
            <w:pPr>
              <w:pStyle w:val="naisf"/>
              <w:spacing w:before="0" w:beforeAutospacing="0" w:after="0" w:afterAutospacing="0"/>
              <w:ind w:left="57" w:right="57"/>
              <w:rPr>
                <w:lang w:val="lv-LV"/>
              </w:rPr>
            </w:pPr>
            <w:r w:rsidRPr="00676B4D">
              <w:rPr>
                <w:lang w:val="lv-LV"/>
              </w:rPr>
              <w:t>Cita informācija</w:t>
            </w:r>
          </w:p>
        </w:tc>
        <w:tc>
          <w:tcPr>
            <w:tcW w:w="5353" w:type="dxa"/>
          </w:tcPr>
          <w:p w14:paraId="74DFB9C4" w14:textId="77777777" w:rsidR="006D5050" w:rsidRPr="00676B4D" w:rsidRDefault="006D5050" w:rsidP="006C5D4A">
            <w:pPr>
              <w:pStyle w:val="naiskr"/>
              <w:spacing w:before="0" w:beforeAutospacing="0" w:after="0" w:afterAutospacing="0"/>
              <w:ind w:left="57" w:right="57" w:firstLine="284"/>
              <w:jc w:val="both"/>
            </w:pPr>
            <w:r w:rsidRPr="00676B4D">
              <w:t xml:space="preserve">Nav. </w:t>
            </w:r>
          </w:p>
        </w:tc>
      </w:tr>
    </w:tbl>
    <w:p w14:paraId="48CE2A96" w14:textId="77777777" w:rsidR="00CB25F8" w:rsidRPr="00676B4D" w:rsidRDefault="00CB25F8" w:rsidP="006C5D4A">
      <w:pPr>
        <w:tabs>
          <w:tab w:val="right" w:pos="9356"/>
        </w:tabs>
        <w:spacing w:after="0" w:line="240" w:lineRule="auto"/>
        <w:ind w:right="49"/>
        <w:rPr>
          <w:rFonts w:ascii="Times New Roman" w:eastAsia="Calibri" w:hAnsi="Times New Roman" w:cs="Times New Roman"/>
          <w:sz w:val="16"/>
          <w:szCs w:val="16"/>
        </w:rPr>
      </w:pPr>
    </w:p>
    <w:p w14:paraId="18E287CA" w14:textId="77777777" w:rsidR="00ED5938" w:rsidRPr="00676B4D" w:rsidRDefault="00ED5938" w:rsidP="006C5D4A">
      <w:pPr>
        <w:tabs>
          <w:tab w:val="right" w:pos="9356"/>
        </w:tabs>
        <w:spacing w:after="0" w:line="240" w:lineRule="auto"/>
        <w:ind w:right="49"/>
        <w:rPr>
          <w:rFonts w:ascii="Times New Roman" w:eastAsia="Calibri" w:hAnsi="Times New Roman" w:cs="Times New Roman"/>
          <w:sz w:val="28"/>
          <w:szCs w:val="28"/>
        </w:rPr>
      </w:pPr>
    </w:p>
    <w:p w14:paraId="7A9E2E8C" w14:textId="5F8A4666" w:rsidR="00D01C06" w:rsidRPr="00676B4D" w:rsidRDefault="006D5050" w:rsidP="006C5D4A">
      <w:pPr>
        <w:tabs>
          <w:tab w:val="right" w:pos="9356"/>
        </w:tabs>
        <w:spacing w:after="0" w:line="240" w:lineRule="auto"/>
        <w:ind w:right="49"/>
        <w:rPr>
          <w:rFonts w:ascii="Times New Roman" w:eastAsia="Calibri" w:hAnsi="Times New Roman" w:cs="Times New Roman"/>
          <w:sz w:val="28"/>
          <w:szCs w:val="28"/>
        </w:rPr>
      </w:pPr>
      <w:r w:rsidRPr="00676B4D">
        <w:rPr>
          <w:rFonts w:ascii="Times New Roman" w:eastAsia="Calibri" w:hAnsi="Times New Roman" w:cs="Times New Roman"/>
          <w:sz w:val="28"/>
          <w:szCs w:val="28"/>
        </w:rPr>
        <w:t>Veselības ministr</w:t>
      </w:r>
      <w:r w:rsidR="000924F5">
        <w:rPr>
          <w:rFonts w:ascii="Times New Roman" w:eastAsia="Calibri" w:hAnsi="Times New Roman" w:cs="Times New Roman"/>
          <w:sz w:val="28"/>
          <w:szCs w:val="28"/>
        </w:rPr>
        <w:t>s</w:t>
      </w:r>
      <w:r w:rsidRPr="00676B4D">
        <w:rPr>
          <w:rFonts w:ascii="Times New Roman" w:eastAsia="Calibri" w:hAnsi="Times New Roman" w:cs="Times New Roman"/>
          <w:sz w:val="28"/>
          <w:szCs w:val="28"/>
        </w:rPr>
        <w:tab/>
        <w:t xml:space="preserve"> </w:t>
      </w:r>
      <w:r w:rsidR="000924F5">
        <w:rPr>
          <w:rFonts w:ascii="Times New Roman" w:hAnsi="Times New Roman" w:cs="Times New Roman"/>
          <w:sz w:val="28"/>
          <w:szCs w:val="28"/>
        </w:rPr>
        <w:t>D</w:t>
      </w:r>
      <w:r w:rsidR="0043737A" w:rsidRPr="00676B4D">
        <w:rPr>
          <w:rFonts w:ascii="Times New Roman" w:hAnsi="Times New Roman" w:cs="Times New Roman"/>
          <w:sz w:val="28"/>
          <w:szCs w:val="28"/>
        </w:rPr>
        <w:t>.</w:t>
      </w:r>
      <w:r w:rsidRPr="00676B4D">
        <w:rPr>
          <w:rFonts w:ascii="Times New Roman" w:hAnsi="Times New Roman" w:cs="Times New Roman"/>
          <w:sz w:val="28"/>
          <w:szCs w:val="28"/>
        </w:rPr>
        <w:t xml:space="preserve"> </w:t>
      </w:r>
      <w:r w:rsidR="000924F5">
        <w:rPr>
          <w:rFonts w:ascii="Times New Roman" w:hAnsi="Times New Roman" w:cs="Times New Roman"/>
          <w:sz w:val="28"/>
          <w:szCs w:val="28"/>
        </w:rPr>
        <w:t>Pavļuts</w:t>
      </w:r>
    </w:p>
    <w:p w14:paraId="0E7AF5C3" w14:textId="1885CAB9" w:rsidR="006C5D4A" w:rsidRPr="00676B4D" w:rsidRDefault="006C5D4A" w:rsidP="006C5D4A">
      <w:pPr>
        <w:tabs>
          <w:tab w:val="right" w:pos="9356"/>
        </w:tabs>
        <w:spacing w:after="0" w:line="240" w:lineRule="auto"/>
        <w:ind w:right="49"/>
        <w:rPr>
          <w:rFonts w:ascii="Times New Roman" w:eastAsia="Calibri" w:hAnsi="Times New Roman" w:cs="Times New Roman"/>
          <w:sz w:val="28"/>
          <w:szCs w:val="28"/>
        </w:rPr>
      </w:pPr>
    </w:p>
    <w:p w14:paraId="5FBEE84E" w14:textId="77777777" w:rsidR="0043737A" w:rsidRPr="00676B4D" w:rsidRDefault="0043737A" w:rsidP="006C5D4A">
      <w:pPr>
        <w:tabs>
          <w:tab w:val="right" w:pos="9356"/>
        </w:tabs>
        <w:spacing w:after="0" w:line="240" w:lineRule="auto"/>
        <w:ind w:right="49"/>
        <w:rPr>
          <w:rFonts w:ascii="Times New Roman" w:eastAsia="Calibri" w:hAnsi="Times New Roman" w:cs="Times New Roman"/>
          <w:sz w:val="28"/>
          <w:szCs w:val="28"/>
        </w:rPr>
      </w:pPr>
    </w:p>
    <w:p w14:paraId="634453CD" w14:textId="752B4869" w:rsidR="00D01C06" w:rsidRPr="00676B4D" w:rsidRDefault="006D5050" w:rsidP="006C5D4A">
      <w:pPr>
        <w:tabs>
          <w:tab w:val="right" w:pos="9356"/>
        </w:tabs>
        <w:spacing w:after="0" w:line="240" w:lineRule="auto"/>
        <w:ind w:right="49"/>
        <w:rPr>
          <w:rFonts w:ascii="Times New Roman" w:eastAsia="Calibri" w:hAnsi="Times New Roman" w:cs="Times New Roman"/>
          <w:sz w:val="28"/>
          <w:szCs w:val="28"/>
        </w:rPr>
      </w:pPr>
      <w:r w:rsidRPr="00676B4D">
        <w:rPr>
          <w:rFonts w:ascii="Times New Roman" w:eastAsia="Calibri" w:hAnsi="Times New Roman" w:cs="Times New Roman"/>
          <w:sz w:val="28"/>
          <w:szCs w:val="28"/>
        </w:rPr>
        <w:t>Vīza: Valsts sekretāre</w:t>
      </w:r>
      <w:r w:rsidRPr="00676B4D">
        <w:rPr>
          <w:rFonts w:ascii="Times New Roman" w:eastAsia="Calibri" w:hAnsi="Times New Roman" w:cs="Times New Roman"/>
          <w:sz w:val="28"/>
          <w:szCs w:val="28"/>
        </w:rPr>
        <w:tab/>
        <w:t>D</w:t>
      </w:r>
      <w:r w:rsidR="0043737A" w:rsidRPr="00676B4D">
        <w:rPr>
          <w:rFonts w:ascii="Times New Roman" w:eastAsia="Calibri" w:hAnsi="Times New Roman" w:cs="Times New Roman"/>
          <w:sz w:val="28"/>
          <w:szCs w:val="28"/>
        </w:rPr>
        <w:t>.</w:t>
      </w:r>
      <w:r w:rsidRPr="00676B4D">
        <w:rPr>
          <w:rFonts w:ascii="Times New Roman" w:eastAsia="Calibri" w:hAnsi="Times New Roman" w:cs="Times New Roman"/>
          <w:sz w:val="28"/>
          <w:szCs w:val="28"/>
        </w:rPr>
        <w:t xml:space="preserve"> </w:t>
      </w:r>
      <w:proofErr w:type="spellStart"/>
      <w:r w:rsidRPr="00676B4D">
        <w:rPr>
          <w:rFonts w:ascii="Times New Roman" w:eastAsia="Calibri" w:hAnsi="Times New Roman" w:cs="Times New Roman"/>
          <w:sz w:val="28"/>
          <w:szCs w:val="28"/>
        </w:rPr>
        <w:t>Mūrmane</w:t>
      </w:r>
      <w:proofErr w:type="spellEnd"/>
      <w:r w:rsidRPr="00676B4D">
        <w:rPr>
          <w:rFonts w:ascii="Times New Roman" w:eastAsia="Calibri" w:hAnsi="Times New Roman" w:cs="Times New Roman"/>
          <w:sz w:val="28"/>
          <w:szCs w:val="28"/>
        </w:rPr>
        <w:t xml:space="preserve"> - </w:t>
      </w:r>
      <w:proofErr w:type="spellStart"/>
      <w:r w:rsidRPr="00676B4D">
        <w:rPr>
          <w:rFonts w:ascii="Times New Roman" w:eastAsia="Calibri" w:hAnsi="Times New Roman" w:cs="Times New Roman"/>
          <w:sz w:val="28"/>
          <w:szCs w:val="28"/>
        </w:rPr>
        <w:t>Umbraško</w:t>
      </w:r>
      <w:proofErr w:type="spellEnd"/>
    </w:p>
    <w:p w14:paraId="634A5435" w14:textId="77777777" w:rsidR="00B63DD5" w:rsidRPr="00676B4D" w:rsidRDefault="00B63DD5" w:rsidP="006C5D4A">
      <w:pPr>
        <w:spacing w:after="0" w:line="240" w:lineRule="auto"/>
        <w:rPr>
          <w:rFonts w:ascii="Times New Roman" w:hAnsi="Times New Roman" w:cs="Times New Roman"/>
          <w:sz w:val="24"/>
          <w:szCs w:val="24"/>
        </w:rPr>
      </w:pPr>
    </w:p>
    <w:p w14:paraId="665E89A9" w14:textId="77777777" w:rsidR="00ED5938" w:rsidRPr="00676B4D" w:rsidRDefault="00ED5938" w:rsidP="006C5D4A">
      <w:pPr>
        <w:spacing w:after="0" w:line="240" w:lineRule="auto"/>
        <w:rPr>
          <w:rFonts w:ascii="Times New Roman" w:hAnsi="Times New Roman" w:cs="Times New Roman"/>
        </w:rPr>
      </w:pPr>
    </w:p>
    <w:p w14:paraId="41459B12" w14:textId="55C5EBAE" w:rsidR="00D01C06" w:rsidRPr="00AF61E9" w:rsidRDefault="001F3AEB" w:rsidP="006C5D4A">
      <w:pPr>
        <w:spacing w:after="0" w:line="240" w:lineRule="auto"/>
        <w:rPr>
          <w:rFonts w:ascii="Times New Roman" w:hAnsi="Times New Roman" w:cs="Times New Roman"/>
        </w:rPr>
      </w:pPr>
      <w:r w:rsidRPr="00AF61E9">
        <w:rPr>
          <w:rFonts w:ascii="Times New Roman" w:hAnsi="Times New Roman" w:cs="Times New Roman"/>
        </w:rPr>
        <w:t>Tomsone  67876181</w:t>
      </w:r>
    </w:p>
    <w:p w14:paraId="4572039E" w14:textId="1B1AE904" w:rsidR="00D01C06" w:rsidRPr="00676B4D" w:rsidRDefault="001F3AEB" w:rsidP="006C5D4A">
      <w:pPr>
        <w:spacing w:after="0" w:line="240" w:lineRule="auto"/>
        <w:rPr>
          <w:rFonts w:ascii="Times New Roman" w:hAnsi="Times New Roman" w:cs="Times New Roman"/>
        </w:rPr>
      </w:pPr>
      <w:r w:rsidRPr="00AF61E9">
        <w:rPr>
          <w:rFonts w:ascii="Times New Roman" w:hAnsi="Times New Roman" w:cs="Times New Roman"/>
        </w:rPr>
        <w:t>Agnese</w:t>
      </w:r>
      <w:r w:rsidR="00D01C06" w:rsidRPr="00AF61E9">
        <w:rPr>
          <w:rFonts w:ascii="Times New Roman" w:hAnsi="Times New Roman" w:cs="Times New Roman"/>
        </w:rPr>
        <w:t>.</w:t>
      </w:r>
      <w:r w:rsidRPr="00AF61E9">
        <w:rPr>
          <w:rFonts w:ascii="Times New Roman" w:hAnsi="Times New Roman" w:cs="Times New Roman"/>
        </w:rPr>
        <w:t>Tomsone</w:t>
      </w:r>
      <w:r w:rsidR="00D01C06" w:rsidRPr="00AF61E9">
        <w:rPr>
          <w:rFonts w:ascii="Times New Roman" w:hAnsi="Times New Roman" w:cs="Times New Roman"/>
        </w:rPr>
        <w:t>@vm.gov.lv</w:t>
      </w:r>
    </w:p>
    <w:sectPr w:rsidR="00D01C06" w:rsidRPr="00676B4D" w:rsidSect="00ED5938">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7AF0" w14:textId="77777777" w:rsidR="00132C38" w:rsidRDefault="00132C38">
      <w:pPr>
        <w:spacing w:after="0" w:line="240" w:lineRule="auto"/>
      </w:pPr>
      <w:r>
        <w:separator/>
      </w:r>
    </w:p>
  </w:endnote>
  <w:endnote w:type="continuationSeparator" w:id="0">
    <w:p w14:paraId="7ECB50C7" w14:textId="77777777" w:rsidR="00132C38" w:rsidRDefault="0013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0548" w14:textId="08E6AAC8" w:rsidR="00162590" w:rsidRPr="000866B2" w:rsidRDefault="000866B2" w:rsidP="000866B2">
    <w:pPr>
      <w:pStyle w:val="Footer"/>
    </w:pPr>
    <w:r w:rsidRPr="000866B2">
      <w:rPr>
        <w:rFonts w:ascii="Times New Roman" w:hAnsi="Times New Roman" w:cs="Times New Roman"/>
        <w:sz w:val="20"/>
        <w:szCs w:val="20"/>
        <w:lang w:eastAsia="lv-LV"/>
      </w:rPr>
      <w:t>VManot_</w:t>
    </w:r>
    <w:r w:rsidR="00286355">
      <w:rPr>
        <w:rFonts w:ascii="Times New Roman" w:hAnsi="Times New Roman" w:cs="Times New Roman"/>
        <w:sz w:val="20"/>
        <w:szCs w:val="20"/>
        <w:lang w:eastAsia="lv-LV"/>
      </w:rPr>
      <w:t>080221</w:t>
    </w:r>
    <w:r w:rsidRPr="000866B2">
      <w:rPr>
        <w:rFonts w:ascii="Times New Roman" w:hAnsi="Times New Roman" w:cs="Times New Roman"/>
        <w:sz w:val="20"/>
        <w:szCs w:val="20"/>
        <w:lang w:eastAsia="lv-LV"/>
      </w:rPr>
      <w:t>_SAM932</w:t>
    </w:r>
    <w:r w:rsidR="00B3446F">
      <w:rPr>
        <w:rFonts w:ascii="Times New Roman" w:hAnsi="Times New Roman" w:cs="Times New Roman"/>
        <w:sz w:val="20"/>
        <w:szCs w:val="20"/>
        <w:lang w:eastAsia="lv-LV"/>
      </w:rPr>
      <w:t>_</w:t>
    </w:r>
    <w:r w:rsidRPr="000866B2">
      <w:rPr>
        <w:rFonts w:ascii="Times New Roman" w:hAnsi="Times New Roman" w:cs="Times New Roman"/>
        <w:sz w:val="20"/>
        <w:szCs w:val="20"/>
        <w:lang w:eastAsia="lv-LV"/>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6D14" w14:textId="7FB75818" w:rsidR="00494EA5" w:rsidRPr="00B118C7" w:rsidRDefault="00494EA5" w:rsidP="00494EA5">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286355">
      <w:rPr>
        <w:rFonts w:ascii="Times New Roman" w:hAnsi="Times New Roman" w:cs="Times New Roman"/>
        <w:sz w:val="20"/>
        <w:szCs w:val="20"/>
        <w:lang w:eastAsia="lv-LV"/>
      </w:rPr>
      <w:t>080221</w:t>
    </w:r>
    <w:r w:rsidRPr="00B118C7">
      <w:rPr>
        <w:rFonts w:ascii="Times New Roman" w:hAnsi="Times New Roman" w:cs="Times New Roman"/>
        <w:sz w:val="20"/>
        <w:szCs w:val="20"/>
        <w:lang w:eastAsia="lv-LV"/>
      </w:rPr>
      <w:t>_SAM</w:t>
    </w:r>
    <w:r w:rsidR="000866B2">
      <w:rPr>
        <w:rFonts w:ascii="Times New Roman" w:hAnsi="Times New Roman" w:cs="Times New Roman"/>
        <w:sz w:val="20"/>
        <w:szCs w:val="20"/>
        <w:lang w:eastAsia="lv-LV"/>
      </w:rPr>
      <w:t>932</w:t>
    </w:r>
    <w:r w:rsidR="00B3446F">
      <w:rPr>
        <w:rFonts w:ascii="Times New Roman" w:hAnsi="Times New Roman" w:cs="Times New Roman"/>
        <w:sz w:val="20"/>
        <w:szCs w:val="20"/>
        <w:lang w:eastAsia="lv-LV"/>
      </w:rPr>
      <w:t>_</w:t>
    </w:r>
    <w:r w:rsidR="000866B2">
      <w:rPr>
        <w:rFonts w:ascii="Times New Roman" w:hAnsi="Times New Roman" w:cs="Times New Roman"/>
        <w:sz w:val="20"/>
        <w:szCs w:val="20"/>
        <w:lang w:eastAsia="lv-LV"/>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7E92" w14:textId="77777777" w:rsidR="00132C38" w:rsidRDefault="00132C38" w:rsidP="00894C55">
      <w:pPr>
        <w:spacing w:after="0" w:line="240" w:lineRule="auto"/>
      </w:pPr>
      <w:r>
        <w:separator/>
      </w:r>
    </w:p>
  </w:footnote>
  <w:footnote w:type="continuationSeparator" w:id="0">
    <w:p w14:paraId="13A2D286" w14:textId="77777777" w:rsidR="00132C38" w:rsidRDefault="00132C38" w:rsidP="00894C55">
      <w:pPr>
        <w:spacing w:after="0" w:line="240" w:lineRule="auto"/>
      </w:pPr>
      <w:r>
        <w:continuationSeparator/>
      </w:r>
    </w:p>
  </w:footnote>
  <w:footnote w:id="1">
    <w:p w14:paraId="347BD4E7" w14:textId="695E9768" w:rsidR="00DE0ECC" w:rsidRDefault="00DE0ECC" w:rsidP="002E38C8">
      <w:pPr>
        <w:ind w:left="112" w:right="142" w:firstLine="284"/>
        <w:jc w:val="both"/>
      </w:pPr>
      <w:r>
        <w:rPr>
          <w:rStyle w:val="FootnoteReference"/>
          <w:sz w:val="20"/>
          <w:szCs w:val="20"/>
        </w:rPr>
        <w:footnoteRef/>
      </w:r>
      <w:r>
        <w:rPr>
          <w:sz w:val="20"/>
          <w:szCs w:val="20"/>
        </w:rPr>
        <w:t xml:space="preserve"> </w:t>
      </w:r>
      <w:r w:rsidRPr="007B0329">
        <w:rPr>
          <w:rFonts w:ascii="Times New Roman" w:hAnsi="Times New Roman" w:cs="Times New Roman"/>
          <w:sz w:val="20"/>
          <w:szCs w:val="20"/>
        </w:rPr>
        <w:t>Ar Veselības ministrijas2020.gada 9.novembra vēstuli Nr.</w:t>
      </w:r>
      <w:r w:rsidRPr="007B0329">
        <w:rPr>
          <w:rFonts w:ascii="Times New Roman" w:hAnsi="Times New Roman" w:cs="Times New Roman"/>
          <w:color w:val="212529"/>
          <w:sz w:val="20"/>
          <w:szCs w:val="20"/>
          <w:shd w:val="clear" w:color="auto" w:fill="FFFFFF"/>
        </w:rPr>
        <w:t xml:space="preserve"> 01-08/5808 izskatīšanai Ministru kabinetā kā Ministru kabineta lieta iesniegti </w:t>
      </w:r>
      <w:r w:rsidRPr="007B0329">
        <w:rPr>
          <w:rFonts w:ascii="Times New Roman" w:hAnsi="Times New Roman" w:cs="Times New Roman"/>
          <w:sz w:val="20"/>
          <w:szCs w:val="20"/>
        </w:rPr>
        <w:t>saskaņoti grozījumi Ministru kabineta 2016.gada 20.decembra noteikumos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p>
  </w:footnote>
  <w:footnote w:id="2">
    <w:p w14:paraId="7B655EA6" w14:textId="3A30489E" w:rsidR="002E38C8" w:rsidRDefault="002E38C8" w:rsidP="002E38C8">
      <w:pPr>
        <w:ind w:left="112" w:right="142" w:firstLine="284"/>
        <w:jc w:val="both"/>
      </w:pPr>
      <w:r>
        <w:rPr>
          <w:rStyle w:val="FootnoteReference"/>
          <w:sz w:val="20"/>
          <w:szCs w:val="20"/>
        </w:rPr>
        <w:footnoteRef/>
      </w:r>
      <w:r w:rsidRPr="007B0329">
        <w:rPr>
          <w:rFonts w:ascii="Times New Roman" w:hAnsi="Times New Roman" w:cs="Times New Roman"/>
          <w:sz w:val="20"/>
          <w:szCs w:val="20"/>
        </w:rPr>
        <w:t xml:space="preserve"> </w:t>
      </w:r>
      <w:r w:rsidRPr="002E38C8">
        <w:rPr>
          <w:rFonts w:ascii="Times New Roman" w:hAnsi="Times New Roman" w:cs="Times New Roman"/>
          <w:sz w:val="20"/>
          <w:szCs w:val="20"/>
        </w:rPr>
        <w:t>http://www.esfondi.vm.gov.lv/lat/2014__2020gads/eraf_sam_932/3_karta/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4E1002B1" w:rsidR="00132C38" w:rsidRPr="00C25B49" w:rsidRDefault="00132C3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F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C3937"/>
    <w:multiLevelType w:val="hybridMultilevel"/>
    <w:tmpl w:val="75DE4E10"/>
    <w:lvl w:ilvl="0" w:tplc="0426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1646C"/>
    <w:multiLevelType w:val="hybridMultilevel"/>
    <w:tmpl w:val="C35E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C0A1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027ED4"/>
    <w:multiLevelType w:val="hybridMultilevel"/>
    <w:tmpl w:val="79146D18"/>
    <w:lvl w:ilvl="0" w:tplc="696602C4">
      <w:start w:val="1"/>
      <w:numFmt w:val="decimal"/>
      <w:lvlText w:val="%1)"/>
      <w:lvlJc w:val="left"/>
      <w:pPr>
        <w:ind w:left="876" w:hanging="48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3CC935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0B5CF5"/>
    <w:multiLevelType w:val="hybridMultilevel"/>
    <w:tmpl w:val="AAD8D150"/>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E2270"/>
    <w:multiLevelType w:val="hybridMultilevel"/>
    <w:tmpl w:val="5A40B8C8"/>
    <w:lvl w:ilvl="0" w:tplc="D87A50CE">
      <w:start w:val="2"/>
      <w:numFmt w:val="bullet"/>
      <w:lvlText w:val="-"/>
      <w:lvlJc w:val="left"/>
      <w:pPr>
        <w:ind w:left="756" w:hanging="360"/>
      </w:pPr>
      <w:rPr>
        <w:rFonts w:ascii="Times New Roman" w:eastAsia="Times New Roman" w:hAnsi="Times New Roman" w:cs="Times New Roman" w:hint="default"/>
      </w:rPr>
    </w:lvl>
    <w:lvl w:ilvl="1" w:tplc="04260003">
      <w:start w:val="1"/>
      <w:numFmt w:val="bullet"/>
      <w:lvlText w:val="o"/>
      <w:lvlJc w:val="left"/>
      <w:pPr>
        <w:ind w:left="1476" w:hanging="360"/>
      </w:pPr>
      <w:rPr>
        <w:rFonts w:ascii="Courier New" w:hAnsi="Courier New" w:cs="Courier New" w:hint="default"/>
      </w:rPr>
    </w:lvl>
    <w:lvl w:ilvl="2" w:tplc="04260005">
      <w:start w:val="1"/>
      <w:numFmt w:val="bullet"/>
      <w:lvlText w:val=""/>
      <w:lvlJc w:val="left"/>
      <w:pPr>
        <w:ind w:left="2196" w:hanging="360"/>
      </w:pPr>
      <w:rPr>
        <w:rFonts w:ascii="Wingdings" w:hAnsi="Wingdings" w:hint="default"/>
      </w:rPr>
    </w:lvl>
    <w:lvl w:ilvl="3" w:tplc="04260001">
      <w:start w:val="1"/>
      <w:numFmt w:val="bullet"/>
      <w:lvlText w:val=""/>
      <w:lvlJc w:val="left"/>
      <w:pPr>
        <w:ind w:left="2916" w:hanging="360"/>
      </w:pPr>
      <w:rPr>
        <w:rFonts w:ascii="Symbol" w:hAnsi="Symbol" w:hint="default"/>
      </w:rPr>
    </w:lvl>
    <w:lvl w:ilvl="4" w:tplc="04260003">
      <w:start w:val="1"/>
      <w:numFmt w:val="bullet"/>
      <w:lvlText w:val="o"/>
      <w:lvlJc w:val="left"/>
      <w:pPr>
        <w:ind w:left="3636" w:hanging="360"/>
      </w:pPr>
      <w:rPr>
        <w:rFonts w:ascii="Courier New" w:hAnsi="Courier New" w:cs="Courier New" w:hint="default"/>
      </w:rPr>
    </w:lvl>
    <w:lvl w:ilvl="5" w:tplc="04260005">
      <w:start w:val="1"/>
      <w:numFmt w:val="bullet"/>
      <w:lvlText w:val=""/>
      <w:lvlJc w:val="left"/>
      <w:pPr>
        <w:ind w:left="4356" w:hanging="360"/>
      </w:pPr>
      <w:rPr>
        <w:rFonts w:ascii="Wingdings" w:hAnsi="Wingdings" w:hint="default"/>
      </w:rPr>
    </w:lvl>
    <w:lvl w:ilvl="6" w:tplc="04260001">
      <w:start w:val="1"/>
      <w:numFmt w:val="bullet"/>
      <w:lvlText w:val=""/>
      <w:lvlJc w:val="left"/>
      <w:pPr>
        <w:ind w:left="5076" w:hanging="360"/>
      </w:pPr>
      <w:rPr>
        <w:rFonts w:ascii="Symbol" w:hAnsi="Symbol" w:hint="default"/>
      </w:rPr>
    </w:lvl>
    <w:lvl w:ilvl="7" w:tplc="04260003">
      <w:start w:val="1"/>
      <w:numFmt w:val="bullet"/>
      <w:lvlText w:val="o"/>
      <w:lvlJc w:val="left"/>
      <w:pPr>
        <w:ind w:left="5796" w:hanging="360"/>
      </w:pPr>
      <w:rPr>
        <w:rFonts w:ascii="Courier New" w:hAnsi="Courier New" w:cs="Courier New" w:hint="default"/>
      </w:rPr>
    </w:lvl>
    <w:lvl w:ilvl="8" w:tplc="04260005">
      <w:start w:val="1"/>
      <w:numFmt w:val="bullet"/>
      <w:lvlText w:val=""/>
      <w:lvlJc w:val="left"/>
      <w:pPr>
        <w:ind w:left="6516" w:hanging="360"/>
      </w:pPr>
      <w:rPr>
        <w:rFonts w:ascii="Wingdings" w:hAnsi="Wingdings" w:hint="default"/>
      </w:rPr>
    </w:lvl>
  </w:abstractNum>
  <w:abstractNum w:abstractNumId="10" w15:restartNumberingAfterBreak="0">
    <w:nsid w:val="65402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12" w15:restartNumberingAfterBreak="0">
    <w:nsid w:val="72322AFF"/>
    <w:multiLevelType w:val="hybridMultilevel"/>
    <w:tmpl w:val="6228FEE6"/>
    <w:lvl w:ilvl="0" w:tplc="0426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4" w15:restartNumberingAfterBreak="0">
    <w:nsid w:val="7D2B2EF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3"/>
  </w:num>
  <w:num w:numId="4">
    <w:abstractNumId w:val="4"/>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9"/>
  </w:num>
  <w:num w:numId="10">
    <w:abstractNumId w:val="2"/>
  </w:num>
  <w:num w:numId="11">
    <w:abstractNumId w:val="5"/>
  </w:num>
  <w:num w:numId="12">
    <w:abstractNumId w:val="8"/>
  </w:num>
  <w:num w:numId="13">
    <w:abstractNumId w:val="1"/>
  </w:num>
  <w:num w:numId="14">
    <w:abstractNumId w:val="10"/>
  </w:num>
  <w:num w:numId="15">
    <w:abstractNumId w:val="0"/>
  </w:num>
  <w:num w:numId="16">
    <w:abstractNumId w:val="6"/>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582C"/>
    <w:rsid w:val="000064ED"/>
    <w:rsid w:val="00012E7C"/>
    <w:rsid w:val="00012F8C"/>
    <w:rsid w:val="0001525A"/>
    <w:rsid w:val="000223B1"/>
    <w:rsid w:val="0002311F"/>
    <w:rsid w:val="00023BA6"/>
    <w:rsid w:val="0002405C"/>
    <w:rsid w:val="00027CE4"/>
    <w:rsid w:val="00027F85"/>
    <w:rsid w:val="0003064C"/>
    <w:rsid w:val="000341AD"/>
    <w:rsid w:val="0003564F"/>
    <w:rsid w:val="00044C12"/>
    <w:rsid w:val="0004763F"/>
    <w:rsid w:val="00052B23"/>
    <w:rsid w:val="00055AA1"/>
    <w:rsid w:val="00057CFF"/>
    <w:rsid w:val="00061359"/>
    <w:rsid w:val="00072CA1"/>
    <w:rsid w:val="000812E5"/>
    <w:rsid w:val="00083856"/>
    <w:rsid w:val="00084DDB"/>
    <w:rsid w:val="000866B2"/>
    <w:rsid w:val="00087F7A"/>
    <w:rsid w:val="000924F5"/>
    <w:rsid w:val="00092E80"/>
    <w:rsid w:val="000930CA"/>
    <w:rsid w:val="000A54C7"/>
    <w:rsid w:val="000A57DF"/>
    <w:rsid w:val="000B2E47"/>
    <w:rsid w:val="000C0FFE"/>
    <w:rsid w:val="000C15FD"/>
    <w:rsid w:val="000C2A3D"/>
    <w:rsid w:val="000C6077"/>
    <w:rsid w:val="000C67EB"/>
    <w:rsid w:val="000D031D"/>
    <w:rsid w:val="000D3BD7"/>
    <w:rsid w:val="000E0E6E"/>
    <w:rsid w:val="000E40FA"/>
    <w:rsid w:val="000E6B14"/>
    <w:rsid w:val="000E72BD"/>
    <w:rsid w:val="000F3C3F"/>
    <w:rsid w:val="000F52A1"/>
    <w:rsid w:val="000F6EE3"/>
    <w:rsid w:val="000F7393"/>
    <w:rsid w:val="00102C8C"/>
    <w:rsid w:val="00114976"/>
    <w:rsid w:val="00116BB1"/>
    <w:rsid w:val="00120A04"/>
    <w:rsid w:val="00121790"/>
    <w:rsid w:val="00122920"/>
    <w:rsid w:val="001270FE"/>
    <w:rsid w:val="0013083F"/>
    <w:rsid w:val="001316F7"/>
    <w:rsid w:val="00132C38"/>
    <w:rsid w:val="00133F4A"/>
    <w:rsid w:val="00133FB0"/>
    <w:rsid w:val="001350E0"/>
    <w:rsid w:val="00140224"/>
    <w:rsid w:val="00140ED8"/>
    <w:rsid w:val="0014134E"/>
    <w:rsid w:val="00152531"/>
    <w:rsid w:val="001538B2"/>
    <w:rsid w:val="00156F00"/>
    <w:rsid w:val="00161747"/>
    <w:rsid w:val="00162590"/>
    <w:rsid w:val="00165120"/>
    <w:rsid w:val="00172C19"/>
    <w:rsid w:val="00173748"/>
    <w:rsid w:val="0017438A"/>
    <w:rsid w:val="0017554D"/>
    <w:rsid w:val="0017744B"/>
    <w:rsid w:val="001779DD"/>
    <w:rsid w:val="00181021"/>
    <w:rsid w:val="001817E3"/>
    <w:rsid w:val="00184820"/>
    <w:rsid w:val="00184D16"/>
    <w:rsid w:val="00184E83"/>
    <w:rsid w:val="00187A1D"/>
    <w:rsid w:val="00191D95"/>
    <w:rsid w:val="00195367"/>
    <w:rsid w:val="001A4525"/>
    <w:rsid w:val="001A5794"/>
    <w:rsid w:val="001B0471"/>
    <w:rsid w:val="001C06C7"/>
    <w:rsid w:val="001C2371"/>
    <w:rsid w:val="001D092F"/>
    <w:rsid w:val="001D2638"/>
    <w:rsid w:val="001D673B"/>
    <w:rsid w:val="001D7304"/>
    <w:rsid w:val="001E0494"/>
    <w:rsid w:val="001E6165"/>
    <w:rsid w:val="001E64AF"/>
    <w:rsid w:val="001F2E49"/>
    <w:rsid w:val="001F2F6F"/>
    <w:rsid w:val="001F3AEB"/>
    <w:rsid w:val="0020088C"/>
    <w:rsid w:val="00201883"/>
    <w:rsid w:val="002019BA"/>
    <w:rsid w:val="00207AA7"/>
    <w:rsid w:val="00210133"/>
    <w:rsid w:val="00211355"/>
    <w:rsid w:val="00214C2C"/>
    <w:rsid w:val="00216CA1"/>
    <w:rsid w:val="00220F2B"/>
    <w:rsid w:val="00226D89"/>
    <w:rsid w:val="00232DE8"/>
    <w:rsid w:val="00234630"/>
    <w:rsid w:val="00241A32"/>
    <w:rsid w:val="00243426"/>
    <w:rsid w:val="00243ABF"/>
    <w:rsid w:val="0025200E"/>
    <w:rsid w:val="00255B81"/>
    <w:rsid w:val="00261E7B"/>
    <w:rsid w:val="00265748"/>
    <w:rsid w:val="0026723B"/>
    <w:rsid w:val="00267D7F"/>
    <w:rsid w:val="00273945"/>
    <w:rsid w:val="00277575"/>
    <w:rsid w:val="002860EE"/>
    <w:rsid w:val="00286355"/>
    <w:rsid w:val="00291AC0"/>
    <w:rsid w:val="002946A2"/>
    <w:rsid w:val="002949B0"/>
    <w:rsid w:val="00297540"/>
    <w:rsid w:val="00297D07"/>
    <w:rsid w:val="002A50AA"/>
    <w:rsid w:val="002B4E85"/>
    <w:rsid w:val="002B5588"/>
    <w:rsid w:val="002C4B2A"/>
    <w:rsid w:val="002C66E5"/>
    <w:rsid w:val="002C6D31"/>
    <w:rsid w:val="002D1B7B"/>
    <w:rsid w:val="002D4156"/>
    <w:rsid w:val="002D7F2E"/>
    <w:rsid w:val="002E1C05"/>
    <w:rsid w:val="002E2485"/>
    <w:rsid w:val="002E337E"/>
    <w:rsid w:val="002E38C8"/>
    <w:rsid w:val="002E5783"/>
    <w:rsid w:val="002E5EA6"/>
    <w:rsid w:val="002F0C69"/>
    <w:rsid w:val="002F2CFA"/>
    <w:rsid w:val="002F4B00"/>
    <w:rsid w:val="002F765B"/>
    <w:rsid w:val="0030492A"/>
    <w:rsid w:val="00310B18"/>
    <w:rsid w:val="00312BC9"/>
    <w:rsid w:val="0032127F"/>
    <w:rsid w:val="00324688"/>
    <w:rsid w:val="00325775"/>
    <w:rsid w:val="00330241"/>
    <w:rsid w:val="003305BA"/>
    <w:rsid w:val="00331EDE"/>
    <w:rsid w:val="003320CC"/>
    <w:rsid w:val="0033231B"/>
    <w:rsid w:val="003326A1"/>
    <w:rsid w:val="00337688"/>
    <w:rsid w:val="003378C4"/>
    <w:rsid w:val="00337E9C"/>
    <w:rsid w:val="00344A96"/>
    <w:rsid w:val="00344EEA"/>
    <w:rsid w:val="003475A3"/>
    <w:rsid w:val="00350139"/>
    <w:rsid w:val="00353F09"/>
    <w:rsid w:val="003553B7"/>
    <w:rsid w:val="003558DA"/>
    <w:rsid w:val="003613A3"/>
    <w:rsid w:val="00364557"/>
    <w:rsid w:val="0036738C"/>
    <w:rsid w:val="0037155B"/>
    <w:rsid w:val="003717DD"/>
    <w:rsid w:val="00376B77"/>
    <w:rsid w:val="003938C6"/>
    <w:rsid w:val="00395560"/>
    <w:rsid w:val="003A71CA"/>
    <w:rsid w:val="003B0BF9"/>
    <w:rsid w:val="003B2539"/>
    <w:rsid w:val="003B4413"/>
    <w:rsid w:val="003D79C8"/>
    <w:rsid w:val="003E0791"/>
    <w:rsid w:val="003E0C12"/>
    <w:rsid w:val="003E3A19"/>
    <w:rsid w:val="003E4F55"/>
    <w:rsid w:val="003E7213"/>
    <w:rsid w:val="003F28AC"/>
    <w:rsid w:val="003F4506"/>
    <w:rsid w:val="003F5CBF"/>
    <w:rsid w:val="0040360B"/>
    <w:rsid w:val="0041041C"/>
    <w:rsid w:val="00411AA4"/>
    <w:rsid w:val="004147A0"/>
    <w:rsid w:val="004174B3"/>
    <w:rsid w:val="00420B00"/>
    <w:rsid w:val="00430565"/>
    <w:rsid w:val="0043632C"/>
    <w:rsid w:val="0043737A"/>
    <w:rsid w:val="004454FE"/>
    <w:rsid w:val="004506D8"/>
    <w:rsid w:val="00450E19"/>
    <w:rsid w:val="0045432F"/>
    <w:rsid w:val="00456E40"/>
    <w:rsid w:val="00461F38"/>
    <w:rsid w:val="00462F73"/>
    <w:rsid w:val="00471F27"/>
    <w:rsid w:val="00472A0E"/>
    <w:rsid w:val="00474932"/>
    <w:rsid w:val="00477A12"/>
    <w:rsid w:val="00480864"/>
    <w:rsid w:val="00481559"/>
    <w:rsid w:val="004909D7"/>
    <w:rsid w:val="00490CE4"/>
    <w:rsid w:val="004915E0"/>
    <w:rsid w:val="00491A35"/>
    <w:rsid w:val="0049296B"/>
    <w:rsid w:val="00493CDC"/>
    <w:rsid w:val="00494EA5"/>
    <w:rsid w:val="004B1387"/>
    <w:rsid w:val="004B2A52"/>
    <w:rsid w:val="004B39E8"/>
    <w:rsid w:val="004B618C"/>
    <w:rsid w:val="004B695A"/>
    <w:rsid w:val="004C28AA"/>
    <w:rsid w:val="004D1D36"/>
    <w:rsid w:val="004D5742"/>
    <w:rsid w:val="004D6A70"/>
    <w:rsid w:val="004E4C79"/>
    <w:rsid w:val="004E6C5B"/>
    <w:rsid w:val="004F04DE"/>
    <w:rsid w:val="004F18E4"/>
    <w:rsid w:val="004F75D2"/>
    <w:rsid w:val="0050178F"/>
    <w:rsid w:val="00506118"/>
    <w:rsid w:val="00514829"/>
    <w:rsid w:val="00522FB5"/>
    <w:rsid w:val="005271F0"/>
    <w:rsid w:val="0053089C"/>
    <w:rsid w:val="0053284C"/>
    <w:rsid w:val="00544156"/>
    <w:rsid w:val="005459CF"/>
    <w:rsid w:val="00546AE6"/>
    <w:rsid w:val="00551443"/>
    <w:rsid w:val="00552B8E"/>
    <w:rsid w:val="005538ED"/>
    <w:rsid w:val="00556E9F"/>
    <w:rsid w:val="00557343"/>
    <w:rsid w:val="00557373"/>
    <w:rsid w:val="00560BDD"/>
    <w:rsid w:val="00566A42"/>
    <w:rsid w:val="005778DB"/>
    <w:rsid w:val="00580606"/>
    <w:rsid w:val="00582C41"/>
    <w:rsid w:val="0058665C"/>
    <w:rsid w:val="00592C61"/>
    <w:rsid w:val="00592CC1"/>
    <w:rsid w:val="00597EB8"/>
    <w:rsid w:val="005A40D0"/>
    <w:rsid w:val="005B0A62"/>
    <w:rsid w:val="005B239D"/>
    <w:rsid w:val="005B7830"/>
    <w:rsid w:val="005B7FE1"/>
    <w:rsid w:val="005D0160"/>
    <w:rsid w:val="005D05A7"/>
    <w:rsid w:val="005D569B"/>
    <w:rsid w:val="005D5741"/>
    <w:rsid w:val="005E027B"/>
    <w:rsid w:val="005E2CCA"/>
    <w:rsid w:val="005E508B"/>
    <w:rsid w:val="005E6C88"/>
    <w:rsid w:val="005E7548"/>
    <w:rsid w:val="005F047F"/>
    <w:rsid w:val="005F0607"/>
    <w:rsid w:val="005F0725"/>
    <w:rsid w:val="005F6981"/>
    <w:rsid w:val="006018DF"/>
    <w:rsid w:val="00603830"/>
    <w:rsid w:val="006059EF"/>
    <w:rsid w:val="00607C3E"/>
    <w:rsid w:val="00611C9D"/>
    <w:rsid w:val="006153F2"/>
    <w:rsid w:val="00615D40"/>
    <w:rsid w:val="00615DD3"/>
    <w:rsid w:val="00621B31"/>
    <w:rsid w:val="0062327E"/>
    <w:rsid w:val="006264E6"/>
    <w:rsid w:val="0062747E"/>
    <w:rsid w:val="00632267"/>
    <w:rsid w:val="006363E2"/>
    <w:rsid w:val="00640930"/>
    <w:rsid w:val="00641595"/>
    <w:rsid w:val="00646E7E"/>
    <w:rsid w:val="00655837"/>
    <w:rsid w:val="00655F2C"/>
    <w:rsid w:val="00656FCC"/>
    <w:rsid w:val="0066105F"/>
    <w:rsid w:val="00667834"/>
    <w:rsid w:val="00667E17"/>
    <w:rsid w:val="00671E7A"/>
    <w:rsid w:val="00672CDC"/>
    <w:rsid w:val="00676B4D"/>
    <w:rsid w:val="00681437"/>
    <w:rsid w:val="00684A25"/>
    <w:rsid w:val="00685DC0"/>
    <w:rsid w:val="0068636E"/>
    <w:rsid w:val="00687BC0"/>
    <w:rsid w:val="006908A6"/>
    <w:rsid w:val="00691C04"/>
    <w:rsid w:val="006A168F"/>
    <w:rsid w:val="006B23FC"/>
    <w:rsid w:val="006B389C"/>
    <w:rsid w:val="006C45D6"/>
    <w:rsid w:val="006C5070"/>
    <w:rsid w:val="006C5D4A"/>
    <w:rsid w:val="006C6CFF"/>
    <w:rsid w:val="006C6F14"/>
    <w:rsid w:val="006C7E7D"/>
    <w:rsid w:val="006D1E88"/>
    <w:rsid w:val="006D3805"/>
    <w:rsid w:val="006D4722"/>
    <w:rsid w:val="006D4D6F"/>
    <w:rsid w:val="006D5050"/>
    <w:rsid w:val="006E1081"/>
    <w:rsid w:val="006E45E5"/>
    <w:rsid w:val="006F133E"/>
    <w:rsid w:val="00700BD7"/>
    <w:rsid w:val="007067B5"/>
    <w:rsid w:val="00707355"/>
    <w:rsid w:val="007114A3"/>
    <w:rsid w:val="00713798"/>
    <w:rsid w:val="00714316"/>
    <w:rsid w:val="00715530"/>
    <w:rsid w:val="00716D86"/>
    <w:rsid w:val="00720585"/>
    <w:rsid w:val="00723DFC"/>
    <w:rsid w:val="0072514D"/>
    <w:rsid w:val="007266B8"/>
    <w:rsid w:val="007363BB"/>
    <w:rsid w:val="007368D2"/>
    <w:rsid w:val="00737624"/>
    <w:rsid w:val="007431F1"/>
    <w:rsid w:val="007612A5"/>
    <w:rsid w:val="00761872"/>
    <w:rsid w:val="007715CB"/>
    <w:rsid w:val="00773AF6"/>
    <w:rsid w:val="007746DD"/>
    <w:rsid w:val="00775CA3"/>
    <w:rsid w:val="007824C1"/>
    <w:rsid w:val="00782FCD"/>
    <w:rsid w:val="0078498E"/>
    <w:rsid w:val="00784B67"/>
    <w:rsid w:val="007855CA"/>
    <w:rsid w:val="007856C0"/>
    <w:rsid w:val="007872B7"/>
    <w:rsid w:val="00795F71"/>
    <w:rsid w:val="007A03DC"/>
    <w:rsid w:val="007A4E65"/>
    <w:rsid w:val="007A5B39"/>
    <w:rsid w:val="007A663B"/>
    <w:rsid w:val="007B0329"/>
    <w:rsid w:val="007B3C16"/>
    <w:rsid w:val="007C1E33"/>
    <w:rsid w:val="007D1394"/>
    <w:rsid w:val="007D47EF"/>
    <w:rsid w:val="007D5A11"/>
    <w:rsid w:val="007D7B3A"/>
    <w:rsid w:val="007E1852"/>
    <w:rsid w:val="007E2E54"/>
    <w:rsid w:val="007E34F5"/>
    <w:rsid w:val="007E5F7A"/>
    <w:rsid w:val="007E7368"/>
    <w:rsid w:val="007E73AB"/>
    <w:rsid w:val="007F7E20"/>
    <w:rsid w:val="00800D9F"/>
    <w:rsid w:val="00803364"/>
    <w:rsid w:val="0080671F"/>
    <w:rsid w:val="00806FAB"/>
    <w:rsid w:val="008127C0"/>
    <w:rsid w:val="00812A7F"/>
    <w:rsid w:val="00816846"/>
    <w:rsid w:val="00816C11"/>
    <w:rsid w:val="00816DBF"/>
    <w:rsid w:val="00821CC2"/>
    <w:rsid w:val="0082330A"/>
    <w:rsid w:val="00827285"/>
    <w:rsid w:val="0083378B"/>
    <w:rsid w:val="00842DBB"/>
    <w:rsid w:val="008525A1"/>
    <w:rsid w:val="00853C0A"/>
    <w:rsid w:val="00855F27"/>
    <w:rsid w:val="00857533"/>
    <w:rsid w:val="00860EAF"/>
    <w:rsid w:val="00864A20"/>
    <w:rsid w:val="00867DB0"/>
    <w:rsid w:val="008709F5"/>
    <w:rsid w:val="00875EFD"/>
    <w:rsid w:val="00876D35"/>
    <w:rsid w:val="00882783"/>
    <w:rsid w:val="00883E0B"/>
    <w:rsid w:val="0088529E"/>
    <w:rsid w:val="00890B9E"/>
    <w:rsid w:val="00893D2A"/>
    <w:rsid w:val="00894C55"/>
    <w:rsid w:val="008A25F3"/>
    <w:rsid w:val="008A7D5E"/>
    <w:rsid w:val="008B5848"/>
    <w:rsid w:val="008C3A14"/>
    <w:rsid w:val="008C3F63"/>
    <w:rsid w:val="008D31F4"/>
    <w:rsid w:val="008D7B25"/>
    <w:rsid w:val="008E2F42"/>
    <w:rsid w:val="008E3C89"/>
    <w:rsid w:val="008E6546"/>
    <w:rsid w:val="008F38FF"/>
    <w:rsid w:val="008F55CA"/>
    <w:rsid w:val="008F6659"/>
    <w:rsid w:val="008F7715"/>
    <w:rsid w:val="00900E45"/>
    <w:rsid w:val="00910840"/>
    <w:rsid w:val="00920CA7"/>
    <w:rsid w:val="00921E91"/>
    <w:rsid w:val="00923123"/>
    <w:rsid w:val="00923FF0"/>
    <w:rsid w:val="009247DA"/>
    <w:rsid w:val="00924C45"/>
    <w:rsid w:val="0092726C"/>
    <w:rsid w:val="009307D5"/>
    <w:rsid w:val="00933DE8"/>
    <w:rsid w:val="00935DC2"/>
    <w:rsid w:val="00936A31"/>
    <w:rsid w:val="00941AED"/>
    <w:rsid w:val="009459FE"/>
    <w:rsid w:val="009575D7"/>
    <w:rsid w:val="009633B4"/>
    <w:rsid w:val="0096473A"/>
    <w:rsid w:val="00967884"/>
    <w:rsid w:val="00971F2A"/>
    <w:rsid w:val="009754BA"/>
    <w:rsid w:val="00985344"/>
    <w:rsid w:val="00986AE5"/>
    <w:rsid w:val="00990CAA"/>
    <w:rsid w:val="009914D6"/>
    <w:rsid w:val="00993A8A"/>
    <w:rsid w:val="009A2654"/>
    <w:rsid w:val="009A37F4"/>
    <w:rsid w:val="009A4347"/>
    <w:rsid w:val="009A6A16"/>
    <w:rsid w:val="009B122B"/>
    <w:rsid w:val="009B1DCE"/>
    <w:rsid w:val="009B4E57"/>
    <w:rsid w:val="009B74DE"/>
    <w:rsid w:val="009C37C0"/>
    <w:rsid w:val="009C6371"/>
    <w:rsid w:val="009C6BAD"/>
    <w:rsid w:val="009C795E"/>
    <w:rsid w:val="009D3AB4"/>
    <w:rsid w:val="009E2711"/>
    <w:rsid w:val="009F0F08"/>
    <w:rsid w:val="00A026F9"/>
    <w:rsid w:val="00A10FC3"/>
    <w:rsid w:val="00A121E1"/>
    <w:rsid w:val="00A154F6"/>
    <w:rsid w:val="00A222B3"/>
    <w:rsid w:val="00A22AE6"/>
    <w:rsid w:val="00A23A8A"/>
    <w:rsid w:val="00A33299"/>
    <w:rsid w:val="00A36BFE"/>
    <w:rsid w:val="00A36FF3"/>
    <w:rsid w:val="00A4563A"/>
    <w:rsid w:val="00A50625"/>
    <w:rsid w:val="00A52F4A"/>
    <w:rsid w:val="00A552EB"/>
    <w:rsid w:val="00A560BE"/>
    <w:rsid w:val="00A56765"/>
    <w:rsid w:val="00A567B2"/>
    <w:rsid w:val="00A600D3"/>
    <w:rsid w:val="00A6073E"/>
    <w:rsid w:val="00A73F21"/>
    <w:rsid w:val="00A75576"/>
    <w:rsid w:val="00A845DA"/>
    <w:rsid w:val="00A84E9E"/>
    <w:rsid w:val="00A86CD5"/>
    <w:rsid w:val="00A87AF6"/>
    <w:rsid w:val="00A96D57"/>
    <w:rsid w:val="00A97B00"/>
    <w:rsid w:val="00AA66AC"/>
    <w:rsid w:val="00AB6ED1"/>
    <w:rsid w:val="00AC19D7"/>
    <w:rsid w:val="00AC2986"/>
    <w:rsid w:val="00AC355A"/>
    <w:rsid w:val="00AC5783"/>
    <w:rsid w:val="00AD203C"/>
    <w:rsid w:val="00AD2E6C"/>
    <w:rsid w:val="00AD42EC"/>
    <w:rsid w:val="00AD5652"/>
    <w:rsid w:val="00AD7C62"/>
    <w:rsid w:val="00AE2E20"/>
    <w:rsid w:val="00AE3375"/>
    <w:rsid w:val="00AE34DE"/>
    <w:rsid w:val="00AE4349"/>
    <w:rsid w:val="00AE5567"/>
    <w:rsid w:val="00AE79F2"/>
    <w:rsid w:val="00AF1239"/>
    <w:rsid w:val="00AF1DF2"/>
    <w:rsid w:val="00AF2A24"/>
    <w:rsid w:val="00AF61E9"/>
    <w:rsid w:val="00AF7EB6"/>
    <w:rsid w:val="00B00C0D"/>
    <w:rsid w:val="00B03072"/>
    <w:rsid w:val="00B03328"/>
    <w:rsid w:val="00B06C06"/>
    <w:rsid w:val="00B118C7"/>
    <w:rsid w:val="00B1232E"/>
    <w:rsid w:val="00B14C66"/>
    <w:rsid w:val="00B16480"/>
    <w:rsid w:val="00B2165C"/>
    <w:rsid w:val="00B2677E"/>
    <w:rsid w:val="00B32E3F"/>
    <w:rsid w:val="00B3446F"/>
    <w:rsid w:val="00B353B9"/>
    <w:rsid w:val="00B35464"/>
    <w:rsid w:val="00B3718D"/>
    <w:rsid w:val="00B407F5"/>
    <w:rsid w:val="00B41B86"/>
    <w:rsid w:val="00B44CF3"/>
    <w:rsid w:val="00B46C0E"/>
    <w:rsid w:val="00B47B96"/>
    <w:rsid w:val="00B516A7"/>
    <w:rsid w:val="00B5457C"/>
    <w:rsid w:val="00B5690F"/>
    <w:rsid w:val="00B575CC"/>
    <w:rsid w:val="00B63501"/>
    <w:rsid w:val="00B638F6"/>
    <w:rsid w:val="00B63DD5"/>
    <w:rsid w:val="00B64A1C"/>
    <w:rsid w:val="00B85198"/>
    <w:rsid w:val="00B90939"/>
    <w:rsid w:val="00B915F8"/>
    <w:rsid w:val="00B91ED0"/>
    <w:rsid w:val="00B945CE"/>
    <w:rsid w:val="00B970BA"/>
    <w:rsid w:val="00B9768D"/>
    <w:rsid w:val="00BA20AA"/>
    <w:rsid w:val="00BA2389"/>
    <w:rsid w:val="00BA3718"/>
    <w:rsid w:val="00BB00F0"/>
    <w:rsid w:val="00BB1B74"/>
    <w:rsid w:val="00BB1D3F"/>
    <w:rsid w:val="00BB3D56"/>
    <w:rsid w:val="00BB506E"/>
    <w:rsid w:val="00BB510D"/>
    <w:rsid w:val="00BC0B8B"/>
    <w:rsid w:val="00BC6E2F"/>
    <w:rsid w:val="00BC736E"/>
    <w:rsid w:val="00BD19A5"/>
    <w:rsid w:val="00BD4425"/>
    <w:rsid w:val="00BD45B7"/>
    <w:rsid w:val="00BD4B87"/>
    <w:rsid w:val="00BD7A84"/>
    <w:rsid w:val="00BE3BDF"/>
    <w:rsid w:val="00BF0629"/>
    <w:rsid w:val="00BF0B53"/>
    <w:rsid w:val="00C12479"/>
    <w:rsid w:val="00C1433C"/>
    <w:rsid w:val="00C16469"/>
    <w:rsid w:val="00C1706C"/>
    <w:rsid w:val="00C23132"/>
    <w:rsid w:val="00C25B49"/>
    <w:rsid w:val="00C26198"/>
    <w:rsid w:val="00C27FF1"/>
    <w:rsid w:val="00C30790"/>
    <w:rsid w:val="00C3228F"/>
    <w:rsid w:val="00C334DB"/>
    <w:rsid w:val="00C33BD1"/>
    <w:rsid w:val="00C34E81"/>
    <w:rsid w:val="00C37E17"/>
    <w:rsid w:val="00C45D15"/>
    <w:rsid w:val="00C53688"/>
    <w:rsid w:val="00C54835"/>
    <w:rsid w:val="00C5665B"/>
    <w:rsid w:val="00C57511"/>
    <w:rsid w:val="00C57532"/>
    <w:rsid w:val="00C638E1"/>
    <w:rsid w:val="00C642FF"/>
    <w:rsid w:val="00C64D3D"/>
    <w:rsid w:val="00C67B41"/>
    <w:rsid w:val="00C67FB2"/>
    <w:rsid w:val="00C72023"/>
    <w:rsid w:val="00C72470"/>
    <w:rsid w:val="00C748F7"/>
    <w:rsid w:val="00C74B26"/>
    <w:rsid w:val="00C7776D"/>
    <w:rsid w:val="00C80F16"/>
    <w:rsid w:val="00C84299"/>
    <w:rsid w:val="00C91A44"/>
    <w:rsid w:val="00C95A58"/>
    <w:rsid w:val="00CA388E"/>
    <w:rsid w:val="00CA5C03"/>
    <w:rsid w:val="00CA703F"/>
    <w:rsid w:val="00CA7AA0"/>
    <w:rsid w:val="00CB1848"/>
    <w:rsid w:val="00CB2178"/>
    <w:rsid w:val="00CB23BD"/>
    <w:rsid w:val="00CB25F8"/>
    <w:rsid w:val="00CB3032"/>
    <w:rsid w:val="00CB445A"/>
    <w:rsid w:val="00CB55AF"/>
    <w:rsid w:val="00CB7A74"/>
    <w:rsid w:val="00CC0D2D"/>
    <w:rsid w:val="00CC0FA8"/>
    <w:rsid w:val="00CE00BB"/>
    <w:rsid w:val="00CE5657"/>
    <w:rsid w:val="00CF7A77"/>
    <w:rsid w:val="00D01C06"/>
    <w:rsid w:val="00D03514"/>
    <w:rsid w:val="00D046FD"/>
    <w:rsid w:val="00D06422"/>
    <w:rsid w:val="00D075F9"/>
    <w:rsid w:val="00D07F27"/>
    <w:rsid w:val="00D10B89"/>
    <w:rsid w:val="00D133F8"/>
    <w:rsid w:val="00D136FC"/>
    <w:rsid w:val="00D14A3E"/>
    <w:rsid w:val="00D15591"/>
    <w:rsid w:val="00D211A8"/>
    <w:rsid w:val="00D30745"/>
    <w:rsid w:val="00D40F7F"/>
    <w:rsid w:val="00D421DF"/>
    <w:rsid w:val="00D4396D"/>
    <w:rsid w:val="00D47144"/>
    <w:rsid w:val="00D478CA"/>
    <w:rsid w:val="00D530F9"/>
    <w:rsid w:val="00D566C4"/>
    <w:rsid w:val="00D60122"/>
    <w:rsid w:val="00D61754"/>
    <w:rsid w:val="00D70DE6"/>
    <w:rsid w:val="00D93E56"/>
    <w:rsid w:val="00D94E59"/>
    <w:rsid w:val="00D96E58"/>
    <w:rsid w:val="00D96EFD"/>
    <w:rsid w:val="00D97B0E"/>
    <w:rsid w:val="00DA28F6"/>
    <w:rsid w:val="00DA352F"/>
    <w:rsid w:val="00DA76CE"/>
    <w:rsid w:val="00DB03A2"/>
    <w:rsid w:val="00DB0FA8"/>
    <w:rsid w:val="00DC200C"/>
    <w:rsid w:val="00DC332D"/>
    <w:rsid w:val="00DC536C"/>
    <w:rsid w:val="00DC7E30"/>
    <w:rsid w:val="00DD2B3C"/>
    <w:rsid w:val="00DD6869"/>
    <w:rsid w:val="00DE0ECC"/>
    <w:rsid w:val="00DE10C1"/>
    <w:rsid w:val="00DF7AF0"/>
    <w:rsid w:val="00E00771"/>
    <w:rsid w:val="00E02DF7"/>
    <w:rsid w:val="00E05026"/>
    <w:rsid w:val="00E11286"/>
    <w:rsid w:val="00E128CC"/>
    <w:rsid w:val="00E16F71"/>
    <w:rsid w:val="00E17406"/>
    <w:rsid w:val="00E228E4"/>
    <w:rsid w:val="00E247EF"/>
    <w:rsid w:val="00E24BE7"/>
    <w:rsid w:val="00E25438"/>
    <w:rsid w:val="00E2769A"/>
    <w:rsid w:val="00E32924"/>
    <w:rsid w:val="00E3536C"/>
    <w:rsid w:val="00E3716B"/>
    <w:rsid w:val="00E432E4"/>
    <w:rsid w:val="00E43A56"/>
    <w:rsid w:val="00E5323B"/>
    <w:rsid w:val="00E631CF"/>
    <w:rsid w:val="00E71698"/>
    <w:rsid w:val="00E75971"/>
    <w:rsid w:val="00E76DE0"/>
    <w:rsid w:val="00E80741"/>
    <w:rsid w:val="00E823D8"/>
    <w:rsid w:val="00E8749E"/>
    <w:rsid w:val="00E87703"/>
    <w:rsid w:val="00E87AA2"/>
    <w:rsid w:val="00E87EF0"/>
    <w:rsid w:val="00E90C01"/>
    <w:rsid w:val="00E97465"/>
    <w:rsid w:val="00E974E6"/>
    <w:rsid w:val="00EA322A"/>
    <w:rsid w:val="00EA486E"/>
    <w:rsid w:val="00EA4913"/>
    <w:rsid w:val="00EA5C67"/>
    <w:rsid w:val="00EB63B4"/>
    <w:rsid w:val="00EB6408"/>
    <w:rsid w:val="00EC3BEC"/>
    <w:rsid w:val="00ED192F"/>
    <w:rsid w:val="00ED544F"/>
    <w:rsid w:val="00ED5938"/>
    <w:rsid w:val="00EE2C87"/>
    <w:rsid w:val="00EE5919"/>
    <w:rsid w:val="00EE6AE3"/>
    <w:rsid w:val="00EF3D0F"/>
    <w:rsid w:val="00EF7678"/>
    <w:rsid w:val="00F008A8"/>
    <w:rsid w:val="00F01FCE"/>
    <w:rsid w:val="00F02621"/>
    <w:rsid w:val="00F07815"/>
    <w:rsid w:val="00F07E23"/>
    <w:rsid w:val="00F17AA7"/>
    <w:rsid w:val="00F22115"/>
    <w:rsid w:val="00F2240B"/>
    <w:rsid w:val="00F23415"/>
    <w:rsid w:val="00F3134D"/>
    <w:rsid w:val="00F31418"/>
    <w:rsid w:val="00F32406"/>
    <w:rsid w:val="00F34918"/>
    <w:rsid w:val="00F470D7"/>
    <w:rsid w:val="00F50FEC"/>
    <w:rsid w:val="00F51C54"/>
    <w:rsid w:val="00F53C0D"/>
    <w:rsid w:val="00F53FEF"/>
    <w:rsid w:val="00F54D58"/>
    <w:rsid w:val="00F57B0C"/>
    <w:rsid w:val="00F57C32"/>
    <w:rsid w:val="00F60DB3"/>
    <w:rsid w:val="00F63F79"/>
    <w:rsid w:val="00F64BA5"/>
    <w:rsid w:val="00F651F4"/>
    <w:rsid w:val="00F6686E"/>
    <w:rsid w:val="00F66EB2"/>
    <w:rsid w:val="00F70327"/>
    <w:rsid w:val="00F742D4"/>
    <w:rsid w:val="00F75694"/>
    <w:rsid w:val="00F75B44"/>
    <w:rsid w:val="00F75F30"/>
    <w:rsid w:val="00F77E87"/>
    <w:rsid w:val="00F81460"/>
    <w:rsid w:val="00F81CD1"/>
    <w:rsid w:val="00F8606A"/>
    <w:rsid w:val="00F929DA"/>
    <w:rsid w:val="00F96B4B"/>
    <w:rsid w:val="00FA3B6E"/>
    <w:rsid w:val="00FB11EE"/>
    <w:rsid w:val="00FB22CA"/>
    <w:rsid w:val="00FB2CEF"/>
    <w:rsid w:val="00FB7F2D"/>
    <w:rsid w:val="00FC136E"/>
    <w:rsid w:val="00FC1D5E"/>
    <w:rsid w:val="00FC5279"/>
    <w:rsid w:val="00FD1F35"/>
    <w:rsid w:val="00FD37E6"/>
    <w:rsid w:val="00FD41C2"/>
    <w:rsid w:val="00FD4AC2"/>
    <w:rsid w:val="00FD518B"/>
    <w:rsid w:val="00FE2A0A"/>
    <w:rsid w:val="00FF0BD5"/>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CA70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qFormat/>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semiHidden/>
    <w:unhideWhenUsed/>
    <w:rsid w:val="00557373"/>
    <w:rPr>
      <w:sz w:val="16"/>
      <w:szCs w:val="16"/>
    </w:rPr>
  </w:style>
  <w:style w:type="paragraph" w:styleId="NoSpacing">
    <w:name w:val="No Spacing"/>
    <w:aliases w:val="No Spacing1,Normal1,Parastais"/>
    <w:link w:val="NoSpacingChar"/>
    <w:uiPriority w:val="1"/>
    <w:qFormat/>
    <w:rsid w:val="00557373"/>
    <w:pPr>
      <w:numPr>
        <w:numId w:val="1"/>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 w:type="character" w:customStyle="1" w:styleId="Heading3Char">
    <w:name w:val="Heading 3 Char"/>
    <w:basedOn w:val="DefaultParagraphFont"/>
    <w:link w:val="Heading3"/>
    <w:uiPriority w:val="9"/>
    <w:rsid w:val="00CA703F"/>
    <w:rPr>
      <w:rFonts w:ascii="Times New Roman" w:eastAsia="Times New Roman" w:hAnsi="Times New Roman" w:cs="Times New Roman"/>
      <w:b/>
      <w:bCs/>
      <w:sz w:val="27"/>
      <w:szCs w:val="27"/>
      <w:lang w:eastAsia="lv-LV"/>
    </w:rPr>
  </w:style>
  <w:style w:type="paragraph" w:customStyle="1" w:styleId="tv213">
    <w:name w:val="tv213"/>
    <w:basedOn w:val="Normal"/>
    <w:rsid w:val="00D07F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A222B3"/>
  </w:style>
  <w:style w:type="character" w:customStyle="1" w:styleId="xmsofootnotereference">
    <w:name w:val="x_msofootnotereference"/>
    <w:basedOn w:val="DefaultParagraphFont"/>
    <w:rsid w:val="00C91A44"/>
  </w:style>
  <w:style w:type="paragraph" w:styleId="BodyText">
    <w:name w:val="Body Text"/>
    <w:basedOn w:val="Normal"/>
    <w:link w:val="BodyTextChar"/>
    <w:uiPriority w:val="99"/>
    <w:rsid w:val="001149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9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4103">
      <w:bodyDiv w:val="1"/>
      <w:marLeft w:val="0"/>
      <w:marRight w:val="0"/>
      <w:marTop w:val="0"/>
      <w:marBottom w:val="0"/>
      <w:divBdr>
        <w:top w:val="none" w:sz="0" w:space="0" w:color="auto"/>
        <w:left w:val="none" w:sz="0" w:space="0" w:color="auto"/>
        <w:bottom w:val="none" w:sz="0" w:space="0" w:color="auto"/>
        <w:right w:val="none" w:sz="0" w:space="0" w:color="auto"/>
      </w:divBdr>
    </w:div>
    <w:div w:id="152837927">
      <w:bodyDiv w:val="1"/>
      <w:marLeft w:val="0"/>
      <w:marRight w:val="0"/>
      <w:marTop w:val="0"/>
      <w:marBottom w:val="0"/>
      <w:divBdr>
        <w:top w:val="none" w:sz="0" w:space="0" w:color="auto"/>
        <w:left w:val="none" w:sz="0" w:space="0" w:color="auto"/>
        <w:bottom w:val="none" w:sz="0" w:space="0" w:color="auto"/>
        <w:right w:val="none" w:sz="0" w:space="0" w:color="auto"/>
      </w:divBdr>
    </w:div>
    <w:div w:id="331686197">
      <w:bodyDiv w:val="1"/>
      <w:marLeft w:val="0"/>
      <w:marRight w:val="0"/>
      <w:marTop w:val="0"/>
      <w:marBottom w:val="0"/>
      <w:divBdr>
        <w:top w:val="none" w:sz="0" w:space="0" w:color="auto"/>
        <w:left w:val="none" w:sz="0" w:space="0" w:color="auto"/>
        <w:bottom w:val="none" w:sz="0" w:space="0" w:color="auto"/>
        <w:right w:val="none" w:sz="0" w:space="0" w:color="auto"/>
      </w:divBdr>
    </w:div>
    <w:div w:id="337391509">
      <w:bodyDiv w:val="1"/>
      <w:marLeft w:val="0"/>
      <w:marRight w:val="0"/>
      <w:marTop w:val="0"/>
      <w:marBottom w:val="0"/>
      <w:divBdr>
        <w:top w:val="none" w:sz="0" w:space="0" w:color="auto"/>
        <w:left w:val="none" w:sz="0" w:space="0" w:color="auto"/>
        <w:bottom w:val="none" w:sz="0" w:space="0" w:color="auto"/>
        <w:right w:val="none" w:sz="0" w:space="0" w:color="auto"/>
      </w:divBdr>
    </w:div>
    <w:div w:id="407532264">
      <w:bodyDiv w:val="1"/>
      <w:marLeft w:val="0"/>
      <w:marRight w:val="0"/>
      <w:marTop w:val="0"/>
      <w:marBottom w:val="0"/>
      <w:divBdr>
        <w:top w:val="none" w:sz="0" w:space="0" w:color="auto"/>
        <w:left w:val="none" w:sz="0" w:space="0" w:color="auto"/>
        <w:bottom w:val="none" w:sz="0" w:space="0" w:color="auto"/>
        <w:right w:val="none" w:sz="0" w:space="0" w:color="auto"/>
      </w:divBdr>
    </w:div>
    <w:div w:id="440418111">
      <w:bodyDiv w:val="1"/>
      <w:marLeft w:val="0"/>
      <w:marRight w:val="0"/>
      <w:marTop w:val="0"/>
      <w:marBottom w:val="0"/>
      <w:divBdr>
        <w:top w:val="none" w:sz="0" w:space="0" w:color="auto"/>
        <w:left w:val="none" w:sz="0" w:space="0" w:color="auto"/>
        <w:bottom w:val="none" w:sz="0" w:space="0" w:color="auto"/>
        <w:right w:val="none" w:sz="0" w:space="0" w:color="auto"/>
      </w:divBdr>
    </w:div>
    <w:div w:id="622616516">
      <w:bodyDiv w:val="1"/>
      <w:marLeft w:val="0"/>
      <w:marRight w:val="0"/>
      <w:marTop w:val="0"/>
      <w:marBottom w:val="0"/>
      <w:divBdr>
        <w:top w:val="none" w:sz="0" w:space="0" w:color="auto"/>
        <w:left w:val="none" w:sz="0" w:space="0" w:color="auto"/>
        <w:bottom w:val="none" w:sz="0" w:space="0" w:color="auto"/>
        <w:right w:val="none" w:sz="0" w:space="0" w:color="auto"/>
      </w:divBdr>
    </w:div>
    <w:div w:id="669259355">
      <w:bodyDiv w:val="1"/>
      <w:marLeft w:val="0"/>
      <w:marRight w:val="0"/>
      <w:marTop w:val="0"/>
      <w:marBottom w:val="0"/>
      <w:divBdr>
        <w:top w:val="none" w:sz="0" w:space="0" w:color="auto"/>
        <w:left w:val="none" w:sz="0" w:space="0" w:color="auto"/>
        <w:bottom w:val="none" w:sz="0" w:space="0" w:color="auto"/>
        <w:right w:val="none" w:sz="0" w:space="0" w:color="auto"/>
      </w:divBdr>
    </w:div>
    <w:div w:id="800996846">
      <w:bodyDiv w:val="1"/>
      <w:marLeft w:val="0"/>
      <w:marRight w:val="0"/>
      <w:marTop w:val="0"/>
      <w:marBottom w:val="0"/>
      <w:divBdr>
        <w:top w:val="none" w:sz="0" w:space="0" w:color="auto"/>
        <w:left w:val="none" w:sz="0" w:space="0" w:color="auto"/>
        <w:bottom w:val="none" w:sz="0" w:space="0" w:color="auto"/>
        <w:right w:val="none" w:sz="0" w:space="0" w:color="auto"/>
      </w:divBdr>
    </w:div>
    <w:div w:id="898442691">
      <w:bodyDiv w:val="1"/>
      <w:marLeft w:val="0"/>
      <w:marRight w:val="0"/>
      <w:marTop w:val="0"/>
      <w:marBottom w:val="0"/>
      <w:divBdr>
        <w:top w:val="none" w:sz="0" w:space="0" w:color="auto"/>
        <w:left w:val="none" w:sz="0" w:space="0" w:color="auto"/>
        <w:bottom w:val="none" w:sz="0" w:space="0" w:color="auto"/>
        <w:right w:val="none" w:sz="0" w:space="0" w:color="auto"/>
      </w:divBdr>
    </w:div>
    <w:div w:id="917444414">
      <w:bodyDiv w:val="1"/>
      <w:marLeft w:val="0"/>
      <w:marRight w:val="0"/>
      <w:marTop w:val="0"/>
      <w:marBottom w:val="0"/>
      <w:divBdr>
        <w:top w:val="none" w:sz="0" w:space="0" w:color="auto"/>
        <w:left w:val="none" w:sz="0" w:space="0" w:color="auto"/>
        <w:bottom w:val="none" w:sz="0" w:space="0" w:color="auto"/>
        <w:right w:val="none" w:sz="0" w:space="0" w:color="auto"/>
      </w:divBdr>
    </w:div>
    <w:div w:id="982538918">
      <w:bodyDiv w:val="1"/>
      <w:marLeft w:val="0"/>
      <w:marRight w:val="0"/>
      <w:marTop w:val="0"/>
      <w:marBottom w:val="0"/>
      <w:divBdr>
        <w:top w:val="none" w:sz="0" w:space="0" w:color="auto"/>
        <w:left w:val="none" w:sz="0" w:space="0" w:color="auto"/>
        <w:bottom w:val="none" w:sz="0" w:space="0" w:color="auto"/>
        <w:right w:val="none" w:sz="0" w:space="0" w:color="auto"/>
      </w:divBdr>
    </w:div>
    <w:div w:id="1186791732">
      <w:bodyDiv w:val="1"/>
      <w:marLeft w:val="0"/>
      <w:marRight w:val="0"/>
      <w:marTop w:val="0"/>
      <w:marBottom w:val="0"/>
      <w:divBdr>
        <w:top w:val="none" w:sz="0" w:space="0" w:color="auto"/>
        <w:left w:val="none" w:sz="0" w:space="0" w:color="auto"/>
        <w:bottom w:val="none" w:sz="0" w:space="0" w:color="auto"/>
        <w:right w:val="none" w:sz="0" w:space="0" w:color="auto"/>
      </w:divBdr>
    </w:div>
    <w:div w:id="1259289904">
      <w:bodyDiv w:val="1"/>
      <w:marLeft w:val="0"/>
      <w:marRight w:val="0"/>
      <w:marTop w:val="0"/>
      <w:marBottom w:val="0"/>
      <w:divBdr>
        <w:top w:val="none" w:sz="0" w:space="0" w:color="auto"/>
        <w:left w:val="none" w:sz="0" w:space="0" w:color="auto"/>
        <w:bottom w:val="none" w:sz="0" w:space="0" w:color="auto"/>
        <w:right w:val="none" w:sz="0" w:space="0" w:color="auto"/>
      </w:divBdr>
    </w:div>
    <w:div w:id="1419671782">
      <w:bodyDiv w:val="1"/>
      <w:marLeft w:val="0"/>
      <w:marRight w:val="0"/>
      <w:marTop w:val="0"/>
      <w:marBottom w:val="0"/>
      <w:divBdr>
        <w:top w:val="none" w:sz="0" w:space="0" w:color="auto"/>
        <w:left w:val="none" w:sz="0" w:space="0" w:color="auto"/>
        <w:bottom w:val="none" w:sz="0" w:space="0" w:color="auto"/>
        <w:right w:val="none" w:sz="0" w:space="0" w:color="auto"/>
      </w:divBdr>
    </w:div>
    <w:div w:id="1439905646">
      <w:bodyDiv w:val="1"/>
      <w:marLeft w:val="0"/>
      <w:marRight w:val="0"/>
      <w:marTop w:val="0"/>
      <w:marBottom w:val="0"/>
      <w:divBdr>
        <w:top w:val="none" w:sz="0" w:space="0" w:color="auto"/>
        <w:left w:val="none" w:sz="0" w:space="0" w:color="auto"/>
        <w:bottom w:val="none" w:sz="0" w:space="0" w:color="auto"/>
        <w:right w:val="none" w:sz="0" w:space="0" w:color="auto"/>
      </w:divBdr>
    </w:div>
    <w:div w:id="1442341284">
      <w:bodyDiv w:val="1"/>
      <w:marLeft w:val="0"/>
      <w:marRight w:val="0"/>
      <w:marTop w:val="0"/>
      <w:marBottom w:val="0"/>
      <w:divBdr>
        <w:top w:val="none" w:sz="0" w:space="0" w:color="auto"/>
        <w:left w:val="none" w:sz="0" w:space="0" w:color="auto"/>
        <w:bottom w:val="none" w:sz="0" w:space="0" w:color="auto"/>
        <w:right w:val="none" w:sz="0" w:space="0" w:color="auto"/>
      </w:divBdr>
    </w:div>
    <w:div w:id="1726297654">
      <w:bodyDiv w:val="1"/>
      <w:marLeft w:val="0"/>
      <w:marRight w:val="0"/>
      <w:marTop w:val="0"/>
      <w:marBottom w:val="0"/>
      <w:divBdr>
        <w:top w:val="none" w:sz="0" w:space="0" w:color="auto"/>
        <w:left w:val="none" w:sz="0" w:space="0" w:color="auto"/>
        <w:bottom w:val="none" w:sz="0" w:space="0" w:color="auto"/>
        <w:right w:val="none" w:sz="0" w:space="0" w:color="auto"/>
      </w:divBdr>
    </w:div>
    <w:div w:id="1733234382">
      <w:bodyDiv w:val="1"/>
      <w:marLeft w:val="0"/>
      <w:marRight w:val="0"/>
      <w:marTop w:val="0"/>
      <w:marBottom w:val="0"/>
      <w:divBdr>
        <w:top w:val="none" w:sz="0" w:space="0" w:color="auto"/>
        <w:left w:val="none" w:sz="0" w:space="0" w:color="auto"/>
        <w:bottom w:val="none" w:sz="0" w:space="0" w:color="auto"/>
        <w:right w:val="none" w:sz="0" w:space="0" w:color="auto"/>
      </w:divBdr>
    </w:div>
    <w:div w:id="1907565610">
      <w:bodyDiv w:val="1"/>
      <w:marLeft w:val="0"/>
      <w:marRight w:val="0"/>
      <w:marTop w:val="0"/>
      <w:marBottom w:val="0"/>
      <w:divBdr>
        <w:top w:val="none" w:sz="0" w:space="0" w:color="auto"/>
        <w:left w:val="none" w:sz="0" w:space="0" w:color="auto"/>
        <w:bottom w:val="none" w:sz="0" w:space="0" w:color="auto"/>
        <w:right w:val="none" w:sz="0" w:space="0" w:color="auto"/>
      </w:divBdr>
    </w:div>
    <w:div w:id="1986349248">
      <w:bodyDiv w:val="1"/>
      <w:marLeft w:val="0"/>
      <w:marRight w:val="0"/>
      <w:marTop w:val="0"/>
      <w:marBottom w:val="0"/>
      <w:divBdr>
        <w:top w:val="none" w:sz="0" w:space="0" w:color="auto"/>
        <w:left w:val="none" w:sz="0" w:space="0" w:color="auto"/>
        <w:bottom w:val="none" w:sz="0" w:space="0" w:color="auto"/>
        <w:right w:val="none" w:sz="0" w:space="0" w:color="auto"/>
      </w:divBdr>
    </w:div>
    <w:div w:id="2065593211">
      <w:bodyDiv w:val="1"/>
      <w:marLeft w:val="0"/>
      <w:marRight w:val="0"/>
      <w:marTop w:val="0"/>
      <w:marBottom w:val="0"/>
      <w:divBdr>
        <w:top w:val="none" w:sz="0" w:space="0" w:color="auto"/>
        <w:left w:val="none" w:sz="0" w:space="0" w:color="auto"/>
        <w:bottom w:val="none" w:sz="0" w:space="0" w:color="auto"/>
        <w:right w:val="none" w:sz="0" w:space="0" w:color="auto"/>
      </w:divBdr>
    </w:div>
    <w:div w:id="21290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hyperlink" Target="https://data1.csb.gov.lv/pxweb/lv/uzn/uzn__uznemfin__ikgad/UFG070.px/?rxid=e00b1d98-adfc-4db2-a781-076ee6ab1c4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65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ec/2012/21/oj/?locale=LV" TargetMode="External"/><Relationship Id="rId5" Type="http://schemas.openxmlformats.org/officeDocument/2006/relationships/webSettings" Target="webSettings.xml"/><Relationship Id="rId15" Type="http://schemas.openxmlformats.org/officeDocument/2006/relationships/hyperlink" Target="https://likumi.lv/ta/id/301850" TargetMode="External"/><Relationship Id="rId10" Type="http://schemas.openxmlformats.org/officeDocument/2006/relationships/hyperlink" Target="http://eur-lex.europa.eu/eli/dec/2012/21/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87656" TargetMode="External"/><Relationship Id="rId14" Type="http://schemas.openxmlformats.org/officeDocument/2006/relationships/hyperlink" Target="http://eur-lex.europa.eu/eli/reg/2015/158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776B-3303-4BB6-A750-DE3B53E3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15627</Words>
  <Characters>8908</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vector>
  </TitlesOfParts>
  <Company>Iestādes nosaukums</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sākotnējās ietekmes novērtējuma ziņojums (anotācija)</dc:title>
  <dc:subject>Anotācija</dc:subject>
  <dc:creator>Vārds Uzvārds;Agnese Tomsone</dc:creator>
  <dc:description>Jūlija Grabovska
Investīciju un Eiropas Savienības fondu 
uzraudzības departamenta ES fondu ieviešanas nodaļas vecākā referente
Tālr.:  67 876 173 Julija.Grabovska@vm.gov.lv</dc:description>
  <cp:lastModifiedBy>Līga Žurovska</cp:lastModifiedBy>
  <cp:revision>3</cp:revision>
  <dcterms:created xsi:type="dcterms:W3CDTF">2021-01-21T14:55:00Z</dcterms:created>
  <dcterms:modified xsi:type="dcterms:W3CDTF">2021-02-08T11:46:00Z</dcterms:modified>
</cp:coreProperties>
</file>